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273BA" w14:textId="77777777" w:rsidR="006E5D6E" w:rsidRPr="00F71A22" w:rsidRDefault="00350FFA" w:rsidP="005E35AB">
      <w:pPr>
        <w:ind w:left="-1474"/>
      </w:pPr>
      <w:r w:rsidRPr="00F71A22">
        <w:rPr>
          <w:noProof/>
          <w:lang w:eastAsia="en-AU"/>
        </w:rPr>
        <w:drawing>
          <wp:anchor distT="0" distB="0" distL="114300" distR="114300" simplePos="0" relativeHeight="251659776" behindDoc="1" locked="1" layoutInCell="1" allowOverlap="1" wp14:anchorId="51EA8631" wp14:editId="2F6497E4">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CE9158" w14:textId="77777777" w:rsidR="00930CDA" w:rsidRPr="00F71A22" w:rsidRDefault="00930CDA" w:rsidP="00AC65CC">
      <w:pPr>
        <w:rPr>
          <w:noProof/>
          <w:lang w:eastAsia="en-AU"/>
        </w:rPr>
      </w:pPr>
      <w:r w:rsidRPr="00DF7187">
        <w:rPr>
          <w:noProof/>
          <w:lang w:eastAsia="en-AU"/>
        </w:rPr>
        <w:drawing>
          <wp:inline distT="0" distB="0" distL="0" distR="0" wp14:anchorId="61BE1DA5" wp14:editId="558423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3B1F208A" w14:textId="5437799C" w:rsidR="00803324" w:rsidRDefault="00F35AB6" w:rsidP="007254B9">
      <w:pPr>
        <w:pStyle w:val="Title"/>
        <w:rPr>
          <w:noProof/>
          <w:lang w:eastAsia="en-AU"/>
        </w:rPr>
      </w:pPr>
      <w:r w:rsidRPr="00F71A22">
        <w:rPr>
          <w:noProof/>
          <w:lang w:eastAsia="en-AU"/>
        </w:rPr>
        <w:t>Online Employment Services Trial Evaluation</w:t>
      </w:r>
      <w:r w:rsidR="00233C13">
        <w:rPr>
          <w:noProof/>
          <w:lang w:eastAsia="en-AU"/>
        </w:rPr>
        <w:t xml:space="preserve"> Report</w:t>
      </w:r>
    </w:p>
    <w:p w14:paraId="0171938E" w14:textId="1DE37C2A" w:rsidR="00A13341" w:rsidRPr="00F71A22" w:rsidRDefault="00A13341" w:rsidP="005E35AB"/>
    <w:p w14:paraId="7D3664C1" w14:textId="77777777" w:rsidR="00A13341" w:rsidRPr="00F71A22" w:rsidRDefault="00A13341" w:rsidP="005E35AB">
      <w:pPr>
        <w:sectPr w:rsidR="00A13341" w:rsidRPr="00F71A22" w:rsidSect="00EA67FC">
          <w:footerReference w:type="default" r:id="rId13"/>
          <w:type w:val="continuous"/>
          <w:pgSz w:w="11906" w:h="16838"/>
          <w:pgMar w:top="1418" w:right="1440" w:bottom="1560" w:left="1276" w:header="708" w:footer="708" w:gutter="0"/>
          <w:cols w:space="708"/>
          <w:titlePg/>
          <w:docGrid w:linePitch="360"/>
        </w:sectPr>
      </w:pPr>
    </w:p>
    <w:p w14:paraId="2AC44CD5" w14:textId="77777777" w:rsidR="00A13341" w:rsidRPr="00F71A22" w:rsidRDefault="00A13341" w:rsidP="005E35AB">
      <w:pPr>
        <w:tabs>
          <w:tab w:val="left" w:pos="5856"/>
        </w:tabs>
        <w:spacing w:before="8400"/>
      </w:pPr>
      <w:bookmarkStart w:id="0" w:name="_Toc30065222"/>
    </w:p>
    <w:p w14:paraId="47C44B0A" w14:textId="77777777" w:rsidR="00A13341" w:rsidRPr="00F71A22" w:rsidRDefault="007855CC" w:rsidP="005E35AB">
      <w:pPr>
        <w:tabs>
          <w:tab w:val="left" w:pos="5856"/>
        </w:tabs>
      </w:pPr>
      <w:r w:rsidRPr="00F71A22">
        <w:t>ISBN</w:t>
      </w:r>
    </w:p>
    <w:p w14:paraId="73281714" w14:textId="3D199688" w:rsidR="00CF1207" w:rsidRDefault="00DE6081" w:rsidP="006777DD">
      <w:r>
        <w:t>978</w:t>
      </w:r>
      <w:r w:rsidR="00CF1207">
        <w:t>-1-76114-0</w:t>
      </w:r>
      <w:r w:rsidR="009126D6">
        <w:t>83</w:t>
      </w:r>
      <w:r w:rsidR="00CF1207">
        <w:t>-9</w:t>
      </w:r>
      <w:r w:rsidR="007855CC" w:rsidRPr="00DE6081">
        <w:t xml:space="preserve"> </w:t>
      </w:r>
      <w:r w:rsidR="007855CC" w:rsidRPr="00F71A22">
        <w:t>[PDF]</w:t>
      </w:r>
      <w:r w:rsidR="009126D6">
        <w:br/>
        <w:t>978-1-76114-084-6 [DOCX]</w:t>
      </w:r>
      <w:r w:rsidR="007855CC" w:rsidRPr="00F71A22">
        <w:br/>
      </w:r>
    </w:p>
    <w:p w14:paraId="4A28CA35" w14:textId="2A1E9ADF" w:rsidR="007855CC" w:rsidRPr="00F71A22" w:rsidRDefault="007855CC" w:rsidP="006777DD">
      <w:r w:rsidRPr="00F71A22">
        <w:rPr>
          <w:noProof/>
          <w:lang w:eastAsia="en-AU"/>
        </w:rPr>
        <w:drawing>
          <wp:inline distT="0" distB="0" distL="0" distR="0" wp14:anchorId="49596A6E" wp14:editId="0654DBDA">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3CC3032" w14:textId="2DF78BC0" w:rsidR="00EA67FC" w:rsidRPr="00F71A22" w:rsidRDefault="007855CC" w:rsidP="005E35AB">
      <w:r w:rsidRPr="00F71A22">
        <w:t xml:space="preserve">With the exception of the Commonwealth Coat of Arms, the Department’s logo, any material protected by a trade mark and where otherwise noted all material presented in this document is provided under a </w:t>
      </w:r>
      <w:hyperlink r:id="rId16" w:history="1">
        <w:r w:rsidRPr="00F71A22">
          <w:rPr>
            <w:rStyle w:val="Hyperlink"/>
            <w:color w:val="002D3F" w:themeColor="text2"/>
          </w:rPr>
          <w:t xml:space="preserve">Creative Commons Attribution </w:t>
        </w:r>
        <w:r w:rsidR="005C50EE" w:rsidRPr="00F71A22">
          <w:rPr>
            <w:rStyle w:val="Hyperlink"/>
            <w:color w:val="002D3F" w:themeColor="text2"/>
          </w:rPr>
          <w:t>4</w:t>
        </w:r>
        <w:r w:rsidRPr="00F71A22">
          <w:rPr>
            <w:rStyle w:val="Hyperlink"/>
            <w:color w:val="002D3F" w:themeColor="text2"/>
          </w:rPr>
          <w:t>.0 Australia</w:t>
        </w:r>
      </w:hyperlink>
      <w:r w:rsidRPr="00F71A22">
        <w:t xml:space="preserve"> licence.</w:t>
      </w:r>
      <w:r w:rsidRPr="00F71A22">
        <w:br/>
        <w:t xml:space="preserve">The details of the relevant licence conditions are available on the Creative Commons website (accessible using the links provided) as is the full legal code for the </w:t>
      </w:r>
      <w:hyperlink r:id="rId17" w:history="1">
        <w:r w:rsidRPr="00F71A22">
          <w:rPr>
            <w:rStyle w:val="Hyperlink"/>
            <w:color w:val="002D3F" w:themeColor="text2"/>
          </w:rPr>
          <w:t xml:space="preserve">CC BY </w:t>
        </w:r>
        <w:r w:rsidR="005C50EE" w:rsidRPr="00F71A22">
          <w:rPr>
            <w:rStyle w:val="Hyperlink"/>
            <w:color w:val="002D3F" w:themeColor="text2"/>
          </w:rPr>
          <w:t>4</w:t>
        </w:r>
        <w:r w:rsidRPr="00F71A22">
          <w:rPr>
            <w:rStyle w:val="Hyperlink"/>
            <w:color w:val="002D3F" w:themeColor="text2"/>
          </w:rPr>
          <w:t>.0 AU licence</w:t>
        </w:r>
      </w:hyperlink>
      <w:r w:rsidRPr="00F71A22">
        <w:t>.</w:t>
      </w:r>
      <w:r w:rsidR="000273B4" w:rsidRPr="00F71A22">
        <w:br/>
      </w:r>
      <w:r w:rsidRPr="00F71A22">
        <w:t>The document must be attributed as the (</w:t>
      </w:r>
      <w:r w:rsidR="00233C13">
        <w:t>Online Employment Services Trial Evaluation Report</w:t>
      </w:r>
      <w:r w:rsidRPr="00F71A22">
        <w:t>).</w:t>
      </w:r>
    </w:p>
    <w:p w14:paraId="4FDA9E1C" w14:textId="77777777" w:rsidR="005252D8" w:rsidRDefault="005252D8" w:rsidP="005E35AB">
      <w:pPr>
        <w:sectPr w:rsidR="005252D8" w:rsidSect="00A13341">
          <w:pgSz w:w="11906" w:h="16838"/>
          <w:pgMar w:top="2268" w:right="1440" w:bottom="1440" w:left="1440" w:header="709" w:footer="709" w:gutter="0"/>
          <w:cols w:space="708"/>
          <w:titlePg/>
          <w:docGrid w:linePitch="360"/>
        </w:sectPr>
      </w:pPr>
    </w:p>
    <w:p w14:paraId="72BA559D" w14:textId="39289D27" w:rsidR="007855CC" w:rsidRPr="00FE7ADD" w:rsidRDefault="005252D8" w:rsidP="00BD5333">
      <w:pPr>
        <w:pStyle w:val="Heading1"/>
      </w:pPr>
      <w:bookmarkStart w:id="1" w:name="_Toc67042556"/>
      <w:r w:rsidRPr="006777DD">
        <w:lastRenderedPageBreak/>
        <w:t>Acknowledgements</w:t>
      </w:r>
      <w:bookmarkEnd w:id="1"/>
    </w:p>
    <w:p w14:paraId="346F24AB" w14:textId="77777777" w:rsidR="00803324" w:rsidRDefault="005252D8" w:rsidP="005252D8">
      <w:r>
        <w:t>The evaluation was conducted by the RED Support and Strategic Research team in the Evaluation, Research and Evidence Branch, Quality, Integrity and Evidence Division.</w:t>
      </w:r>
    </w:p>
    <w:p w14:paraId="4052868F" w14:textId="77777777" w:rsidR="00803324" w:rsidRDefault="005252D8" w:rsidP="005252D8">
      <w:r>
        <w:t>Contributors to this report were Lixin Cai, Michael Bathgate, Emanuela Diaz, Minh-Ha Nguyen, Yusuf Muharram, Patricia Barber and Rob</w:t>
      </w:r>
      <w:r w:rsidR="00293955">
        <w:t>yn</w:t>
      </w:r>
      <w:r>
        <w:t xml:space="preserve"> Henderson.</w:t>
      </w:r>
    </w:p>
    <w:p w14:paraId="76D6418D" w14:textId="77777777" w:rsidR="00803324" w:rsidRDefault="005252D8" w:rsidP="005252D8">
      <w:r>
        <w:t>The department would also like to acknowledge the contribution to this report from commissioned research undertaken by ORIMA Research.</w:t>
      </w:r>
    </w:p>
    <w:p w14:paraId="33478F29" w14:textId="390102D4" w:rsidR="005252D8" w:rsidRDefault="005252D8" w:rsidP="005E35AB">
      <w:pPr>
        <w:sectPr w:rsidR="005252D8" w:rsidSect="00A13341">
          <w:pgSz w:w="11906" w:h="16838"/>
          <w:pgMar w:top="2268" w:right="1440" w:bottom="1440" w:left="1440" w:header="709" w:footer="709" w:gutter="0"/>
          <w:cols w:space="708"/>
          <w:titlePg/>
          <w:docGrid w:linePitch="360"/>
        </w:sectPr>
      </w:pPr>
    </w:p>
    <w:p w14:paraId="7CD3E502" w14:textId="1F12E77E" w:rsidR="005252D8" w:rsidRDefault="005252D8" w:rsidP="005E35AB">
      <w:pPr>
        <w:sectPr w:rsidR="005252D8" w:rsidSect="00A13341">
          <w:pgSz w:w="11906" w:h="16838"/>
          <w:pgMar w:top="2268" w:right="1440" w:bottom="1440" w:left="1440" w:header="709" w:footer="709" w:gutter="0"/>
          <w:cols w:space="708"/>
          <w:titlePg/>
          <w:docGrid w:linePitch="360"/>
        </w:sectPr>
      </w:pPr>
    </w:p>
    <w:sdt>
      <w:sdtPr>
        <w:rPr>
          <w:rFonts w:asciiTheme="minorHAnsi" w:eastAsiaTheme="minorHAnsi" w:hAnsiTheme="minorHAnsi" w:cstheme="minorBidi"/>
          <w:b w:val="0"/>
          <w:color w:val="auto"/>
          <w:sz w:val="22"/>
          <w:szCs w:val="22"/>
        </w:rPr>
        <w:id w:val="-743796810"/>
        <w:docPartObj>
          <w:docPartGallery w:val="Table of Contents"/>
          <w:docPartUnique/>
        </w:docPartObj>
      </w:sdtPr>
      <w:sdtEndPr>
        <w:rPr>
          <w:bCs/>
          <w:noProof/>
        </w:rPr>
      </w:sdtEndPr>
      <w:sdtContent>
        <w:p w14:paraId="0F17D900" w14:textId="77777777" w:rsidR="00631BAD" w:rsidRPr="00F71A22" w:rsidRDefault="00631BAD">
          <w:pPr>
            <w:pStyle w:val="TOCHeading"/>
          </w:pPr>
          <w:r w:rsidRPr="00F71A22">
            <w:t>Contents</w:t>
          </w:r>
        </w:p>
        <w:p w14:paraId="6F0DC1D0" w14:textId="3AABF4F5" w:rsidR="004F5570" w:rsidRDefault="00631BAD">
          <w:pPr>
            <w:pStyle w:val="TOC1"/>
            <w:rPr>
              <w:rFonts w:eastAsiaTheme="minorEastAsia"/>
              <w:b w:val="0"/>
              <w:noProof/>
              <w:lang w:eastAsia="en-AU"/>
            </w:rPr>
          </w:pPr>
          <w:r w:rsidRPr="00F71A22">
            <w:fldChar w:fldCharType="begin"/>
          </w:r>
          <w:r w:rsidRPr="00F71A22">
            <w:instrText xml:space="preserve"> TOC \o "1-3" \h \z \u </w:instrText>
          </w:r>
          <w:r w:rsidRPr="00F71A22">
            <w:fldChar w:fldCharType="separate"/>
          </w:r>
          <w:hyperlink w:anchor="_Toc67042556" w:history="1">
            <w:r w:rsidR="004F5570" w:rsidRPr="004C3185">
              <w:rPr>
                <w:rStyle w:val="Hyperlink"/>
                <w:noProof/>
              </w:rPr>
              <w:t>Acknowledgements</w:t>
            </w:r>
            <w:r w:rsidR="004F5570">
              <w:rPr>
                <w:noProof/>
                <w:webHidden/>
              </w:rPr>
              <w:tab/>
            </w:r>
            <w:r w:rsidR="004F5570">
              <w:rPr>
                <w:noProof/>
                <w:webHidden/>
              </w:rPr>
              <w:fldChar w:fldCharType="begin"/>
            </w:r>
            <w:r w:rsidR="004F5570">
              <w:rPr>
                <w:noProof/>
                <w:webHidden/>
              </w:rPr>
              <w:instrText xml:space="preserve"> PAGEREF _Toc67042556 \h </w:instrText>
            </w:r>
            <w:r w:rsidR="004F5570">
              <w:rPr>
                <w:noProof/>
                <w:webHidden/>
              </w:rPr>
            </w:r>
            <w:r w:rsidR="004F5570">
              <w:rPr>
                <w:noProof/>
                <w:webHidden/>
              </w:rPr>
              <w:fldChar w:fldCharType="separate"/>
            </w:r>
            <w:r w:rsidR="00A82B79">
              <w:rPr>
                <w:noProof/>
                <w:webHidden/>
              </w:rPr>
              <w:t>3</w:t>
            </w:r>
            <w:r w:rsidR="004F5570">
              <w:rPr>
                <w:noProof/>
                <w:webHidden/>
              </w:rPr>
              <w:fldChar w:fldCharType="end"/>
            </w:r>
          </w:hyperlink>
        </w:p>
        <w:p w14:paraId="7DD149F6" w14:textId="1029B126" w:rsidR="004F5570" w:rsidRDefault="00A82B79">
          <w:pPr>
            <w:pStyle w:val="TOC1"/>
            <w:rPr>
              <w:rFonts w:eastAsiaTheme="minorEastAsia"/>
              <w:b w:val="0"/>
              <w:noProof/>
              <w:lang w:eastAsia="en-AU"/>
            </w:rPr>
          </w:pPr>
          <w:hyperlink w:anchor="_Toc67042557" w:history="1">
            <w:r w:rsidR="004F5570" w:rsidRPr="004C3185">
              <w:rPr>
                <w:rStyle w:val="Hyperlink"/>
                <w:noProof/>
              </w:rPr>
              <w:t>List of abbreviations and acronyms</w:t>
            </w:r>
            <w:r w:rsidR="004F5570">
              <w:rPr>
                <w:noProof/>
                <w:webHidden/>
              </w:rPr>
              <w:tab/>
            </w:r>
            <w:r w:rsidR="004F5570">
              <w:rPr>
                <w:noProof/>
                <w:webHidden/>
              </w:rPr>
              <w:fldChar w:fldCharType="begin"/>
            </w:r>
            <w:r w:rsidR="004F5570">
              <w:rPr>
                <w:noProof/>
                <w:webHidden/>
              </w:rPr>
              <w:instrText xml:space="preserve"> PAGEREF _Toc67042557 \h </w:instrText>
            </w:r>
            <w:r w:rsidR="004F5570">
              <w:rPr>
                <w:noProof/>
                <w:webHidden/>
              </w:rPr>
            </w:r>
            <w:r w:rsidR="004F5570">
              <w:rPr>
                <w:noProof/>
                <w:webHidden/>
              </w:rPr>
              <w:fldChar w:fldCharType="separate"/>
            </w:r>
            <w:r>
              <w:rPr>
                <w:noProof/>
                <w:webHidden/>
              </w:rPr>
              <w:t>9</w:t>
            </w:r>
            <w:r w:rsidR="004F5570">
              <w:rPr>
                <w:noProof/>
                <w:webHidden/>
              </w:rPr>
              <w:fldChar w:fldCharType="end"/>
            </w:r>
          </w:hyperlink>
        </w:p>
        <w:p w14:paraId="610F56E1" w14:textId="36CADC30" w:rsidR="004F5570" w:rsidRDefault="00A82B79">
          <w:pPr>
            <w:pStyle w:val="TOC1"/>
            <w:rPr>
              <w:rFonts w:eastAsiaTheme="minorEastAsia"/>
              <w:b w:val="0"/>
              <w:noProof/>
              <w:lang w:eastAsia="en-AU"/>
            </w:rPr>
          </w:pPr>
          <w:hyperlink w:anchor="_Toc67042558" w:history="1">
            <w:r w:rsidR="004F5570" w:rsidRPr="004C3185">
              <w:rPr>
                <w:rStyle w:val="Hyperlink"/>
                <w:noProof/>
              </w:rPr>
              <w:t>List of tables</w:t>
            </w:r>
            <w:r w:rsidR="004F5570">
              <w:rPr>
                <w:noProof/>
                <w:webHidden/>
              </w:rPr>
              <w:tab/>
            </w:r>
            <w:r w:rsidR="004F5570">
              <w:rPr>
                <w:noProof/>
                <w:webHidden/>
              </w:rPr>
              <w:fldChar w:fldCharType="begin"/>
            </w:r>
            <w:r w:rsidR="004F5570">
              <w:rPr>
                <w:noProof/>
                <w:webHidden/>
              </w:rPr>
              <w:instrText xml:space="preserve"> PAGEREF _Toc67042558 \h </w:instrText>
            </w:r>
            <w:r w:rsidR="004F5570">
              <w:rPr>
                <w:noProof/>
                <w:webHidden/>
              </w:rPr>
            </w:r>
            <w:r w:rsidR="004F5570">
              <w:rPr>
                <w:noProof/>
                <w:webHidden/>
              </w:rPr>
              <w:fldChar w:fldCharType="separate"/>
            </w:r>
            <w:r>
              <w:rPr>
                <w:noProof/>
                <w:webHidden/>
              </w:rPr>
              <w:t>10</w:t>
            </w:r>
            <w:r w:rsidR="004F5570">
              <w:rPr>
                <w:noProof/>
                <w:webHidden/>
              </w:rPr>
              <w:fldChar w:fldCharType="end"/>
            </w:r>
          </w:hyperlink>
        </w:p>
        <w:p w14:paraId="2484E0F6" w14:textId="553ED84C" w:rsidR="004F5570" w:rsidRDefault="00A82B79">
          <w:pPr>
            <w:pStyle w:val="TOC1"/>
            <w:rPr>
              <w:rFonts w:eastAsiaTheme="minorEastAsia"/>
              <w:b w:val="0"/>
              <w:noProof/>
              <w:lang w:eastAsia="en-AU"/>
            </w:rPr>
          </w:pPr>
          <w:hyperlink w:anchor="_Toc67042559" w:history="1">
            <w:r w:rsidR="004F5570" w:rsidRPr="004C3185">
              <w:rPr>
                <w:rStyle w:val="Hyperlink"/>
                <w:noProof/>
              </w:rPr>
              <w:t>List of figures</w:t>
            </w:r>
            <w:r w:rsidR="004F5570">
              <w:rPr>
                <w:noProof/>
                <w:webHidden/>
              </w:rPr>
              <w:tab/>
            </w:r>
            <w:r w:rsidR="004F5570">
              <w:rPr>
                <w:noProof/>
                <w:webHidden/>
              </w:rPr>
              <w:fldChar w:fldCharType="begin"/>
            </w:r>
            <w:r w:rsidR="004F5570">
              <w:rPr>
                <w:noProof/>
                <w:webHidden/>
              </w:rPr>
              <w:instrText xml:space="preserve"> PAGEREF _Toc67042559 \h </w:instrText>
            </w:r>
            <w:r w:rsidR="004F5570">
              <w:rPr>
                <w:noProof/>
                <w:webHidden/>
              </w:rPr>
            </w:r>
            <w:r w:rsidR="004F5570">
              <w:rPr>
                <w:noProof/>
                <w:webHidden/>
              </w:rPr>
              <w:fldChar w:fldCharType="separate"/>
            </w:r>
            <w:r>
              <w:rPr>
                <w:noProof/>
                <w:webHidden/>
              </w:rPr>
              <w:t>11</w:t>
            </w:r>
            <w:r w:rsidR="004F5570">
              <w:rPr>
                <w:noProof/>
                <w:webHidden/>
              </w:rPr>
              <w:fldChar w:fldCharType="end"/>
            </w:r>
          </w:hyperlink>
        </w:p>
        <w:p w14:paraId="18B71470" w14:textId="0837098A" w:rsidR="004F5570" w:rsidRDefault="00A82B79">
          <w:pPr>
            <w:pStyle w:val="TOC1"/>
            <w:rPr>
              <w:rFonts w:eastAsiaTheme="minorEastAsia"/>
              <w:b w:val="0"/>
              <w:noProof/>
              <w:lang w:eastAsia="en-AU"/>
            </w:rPr>
          </w:pPr>
          <w:hyperlink w:anchor="_Toc67042560" w:history="1">
            <w:r w:rsidR="004F5570" w:rsidRPr="004C3185">
              <w:rPr>
                <w:rStyle w:val="Hyperlink"/>
                <w:noProof/>
              </w:rPr>
              <w:t>Glossary</w:t>
            </w:r>
            <w:r w:rsidR="004F5570">
              <w:rPr>
                <w:noProof/>
                <w:webHidden/>
              </w:rPr>
              <w:tab/>
            </w:r>
            <w:r w:rsidR="004F5570">
              <w:rPr>
                <w:noProof/>
                <w:webHidden/>
              </w:rPr>
              <w:fldChar w:fldCharType="begin"/>
            </w:r>
            <w:r w:rsidR="004F5570">
              <w:rPr>
                <w:noProof/>
                <w:webHidden/>
              </w:rPr>
              <w:instrText xml:space="preserve"> PAGEREF _Toc67042560 \h </w:instrText>
            </w:r>
            <w:r w:rsidR="004F5570">
              <w:rPr>
                <w:noProof/>
                <w:webHidden/>
              </w:rPr>
            </w:r>
            <w:r w:rsidR="004F5570">
              <w:rPr>
                <w:noProof/>
                <w:webHidden/>
              </w:rPr>
              <w:fldChar w:fldCharType="separate"/>
            </w:r>
            <w:r>
              <w:rPr>
                <w:noProof/>
                <w:webHidden/>
              </w:rPr>
              <w:t>13</w:t>
            </w:r>
            <w:r w:rsidR="004F5570">
              <w:rPr>
                <w:noProof/>
                <w:webHidden/>
              </w:rPr>
              <w:fldChar w:fldCharType="end"/>
            </w:r>
          </w:hyperlink>
        </w:p>
        <w:p w14:paraId="4297C2B6" w14:textId="35FB868D" w:rsidR="004F5570" w:rsidRDefault="00A82B79">
          <w:pPr>
            <w:pStyle w:val="TOC1"/>
            <w:rPr>
              <w:rFonts w:eastAsiaTheme="minorEastAsia"/>
              <w:b w:val="0"/>
              <w:noProof/>
              <w:lang w:eastAsia="en-AU"/>
            </w:rPr>
          </w:pPr>
          <w:hyperlink w:anchor="_Toc67042561" w:history="1">
            <w:r w:rsidR="004F5570" w:rsidRPr="004C3185">
              <w:rPr>
                <w:rStyle w:val="Hyperlink"/>
                <w:noProof/>
              </w:rPr>
              <w:t>Executive summary</w:t>
            </w:r>
            <w:r w:rsidR="004F5570">
              <w:rPr>
                <w:noProof/>
                <w:webHidden/>
              </w:rPr>
              <w:tab/>
            </w:r>
            <w:r w:rsidR="004F5570">
              <w:rPr>
                <w:noProof/>
                <w:webHidden/>
              </w:rPr>
              <w:fldChar w:fldCharType="begin"/>
            </w:r>
            <w:r w:rsidR="004F5570">
              <w:rPr>
                <w:noProof/>
                <w:webHidden/>
              </w:rPr>
              <w:instrText xml:space="preserve"> PAGEREF _Toc67042561 \h </w:instrText>
            </w:r>
            <w:r w:rsidR="004F5570">
              <w:rPr>
                <w:noProof/>
                <w:webHidden/>
              </w:rPr>
            </w:r>
            <w:r w:rsidR="004F5570">
              <w:rPr>
                <w:noProof/>
                <w:webHidden/>
              </w:rPr>
              <w:fldChar w:fldCharType="separate"/>
            </w:r>
            <w:r>
              <w:rPr>
                <w:noProof/>
                <w:webHidden/>
              </w:rPr>
              <w:t>16</w:t>
            </w:r>
            <w:r w:rsidR="004F5570">
              <w:rPr>
                <w:noProof/>
                <w:webHidden/>
              </w:rPr>
              <w:fldChar w:fldCharType="end"/>
            </w:r>
          </w:hyperlink>
        </w:p>
        <w:p w14:paraId="53159888" w14:textId="10E852EB" w:rsidR="004F5570" w:rsidRDefault="00A82B79">
          <w:pPr>
            <w:pStyle w:val="TOC2"/>
            <w:rPr>
              <w:rFonts w:eastAsiaTheme="minorEastAsia"/>
              <w:noProof/>
              <w:lang w:eastAsia="en-AU"/>
            </w:rPr>
          </w:pPr>
          <w:hyperlink w:anchor="_Toc67042562" w:history="1">
            <w:r w:rsidR="004F5570" w:rsidRPr="004C3185">
              <w:rPr>
                <w:rStyle w:val="Hyperlink"/>
                <w:noProof/>
              </w:rPr>
              <w:t>About the Online Employment Services Trial</w:t>
            </w:r>
            <w:r w:rsidR="004F5570">
              <w:rPr>
                <w:noProof/>
                <w:webHidden/>
              </w:rPr>
              <w:tab/>
            </w:r>
            <w:r w:rsidR="004F5570">
              <w:rPr>
                <w:noProof/>
                <w:webHidden/>
              </w:rPr>
              <w:fldChar w:fldCharType="begin"/>
            </w:r>
            <w:r w:rsidR="004F5570">
              <w:rPr>
                <w:noProof/>
                <w:webHidden/>
              </w:rPr>
              <w:instrText xml:space="preserve"> PAGEREF _Toc67042562 \h </w:instrText>
            </w:r>
            <w:r w:rsidR="004F5570">
              <w:rPr>
                <w:noProof/>
                <w:webHidden/>
              </w:rPr>
            </w:r>
            <w:r w:rsidR="004F5570">
              <w:rPr>
                <w:noProof/>
                <w:webHidden/>
              </w:rPr>
              <w:fldChar w:fldCharType="separate"/>
            </w:r>
            <w:r>
              <w:rPr>
                <w:noProof/>
                <w:webHidden/>
              </w:rPr>
              <w:t>16</w:t>
            </w:r>
            <w:r w:rsidR="004F5570">
              <w:rPr>
                <w:noProof/>
                <w:webHidden/>
              </w:rPr>
              <w:fldChar w:fldCharType="end"/>
            </w:r>
          </w:hyperlink>
        </w:p>
        <w:p w14:paraId="7E898021" w14:textId="117D37EC" w:rsidR="004F5570" w:rsidRDefault="00A82B79">
          <w:pPr>
            <w:pStyle w:val="TOC2"/>
            <w:rPr>
              <w:rFonts w:eastAsiaTheme="minorEastAsia"/>
              <w:noProof/>
              <w:lang w:eastAsia="en-AU"/>
            </w:rPr>
          </w:pPr>
          <w:hyperlink w:anchor="_Toc67042563" w:history="1">
            <w:r w:rsidR="004F5570" w:rsidRPr="004C3185">
              <w:rPr>
                <w:rStyle w:val="Hyperlink"/>
                <w:noProof/>
              </w:rPr>
              <w:t>Key findings</w:t>
            </w:r>
            <w:r w:rsidR="004F5570">
              <w:rPr>
                <w:noProof/>
                <w:webHidden/>
              </w:rPr>
              <w:tab/>
            </w:r>
            <w:r w:rsidR="004F5570">
              <w:rPr>
                <w:noProof/>
                <w:webHidden/>
              </w:rPr>
              <w:fldChar w:fldCharType="begin"/>
            </w:r>
            <w:r w:rsidR="004F5570">
              <w:rPr>
                <w:noProof/>
                <w:webHidden/>
              </w:rPr>
              <w:instrText xml:space="preserve"> PAGEREF _Toc67042563 \h </w:instrText>
            </w:r>
            <w:r w:rsidR="004F5570">
              <w:rPr>
                <w:noProof/>
                <w:webHidden/>
              </w:rPr>
            </w:r>
            <w:r w:rsidR="004F5570">
              <w:rPr>
                <w:noProof/>
                <w:webHidden/>
              </w:rPr>
              <w:fldChar w:fldCharType="separate"/>
            </w:r>
            <w:r>
              <w:rPr>
                <w:noProof/>
                <w:webHidden/>
              </w:rPr>
              <w:t>16</w:t>
            </w:r>
            <w:r w:rsidR="004F5570">
              <w:rPr>
                <w:noProof/>
                <w:webHidden/>
              </w:rPr>
              <w:fldChar w:fldCharType="end"/>
            </w:r>
          </w:hyperlink>
        </w:p>
        <w:p w14:paraId="7C057350" w14:textId="53108FE5" w:rsidR="004F5570" w:rsidRDefault="00A82B79">
          <w:pPr>
            <w:pStyle w:val="TOC3"/>
            <w:rPr>
              <w:rFonts w:eastAsiaTheme="minorEastAsia"/>
              <w:noProof/>
              <w:lang w:eastAsia="en-AU"/>
            </w:rPr>
          </w:pPr>
          <w:hyperlink w:anchor="_Toc67042564" w:history="1">
            <w:r w:rsidR="004F5570" w:rsidRPr="004C3185">
              <w:rPr>
                <w:rStyle w:val="Hyperlink"/>
                <w:noProof/>
              </w:rPr>
              <w:t>Efficiency</w:t>
            </w:r>
            <w:r w:rsidR="004F5570">
              <w:rPr>
                <w:noProof/>
                <w:webHidden/>
              </w:rPr>
              <w:tab/>
            </w:r>
            <w:r w:rsidR="004F5570">
              <w:rPr>
                <w:noProof/>
                <w:webHidden/>
              </w:rPr>
              <w:fldChar w:fldCharType="begin"/>
            </w:r>
            <w:r w:rsidR="004F5570">
              <w:rPr>
                <w:noProof/>
                <w:webHidden/>
              </w:rPr>
              <w:instrText xml:space="preserve"> PAGEREF _Toc67042564 \h </w:instrText>
            </w:r>
            <w:r w:rsidR="004F5570">
              <w:rPr>
                <w:noProof/>
                <w:webHidden/>
              </w:rPr>
            </w:r>
            <w:r w:rsidR="004F5570">
              <w:rPr>
                <w:noProof/>
                <w:webHidden/>
              </w:rPr>
              <w:fldChar w:fldCharType="separate"/>
            </w:r>
            <w:r>
              <w:rPr>
                <w:noProof/>
                <w:webHidden/>
              </w:rPr>
              <w:t>16</w:t>
            </w:r>
            <w:r w:rsidR="004F5570">
              <w:rPr>
                <w:noProof/>
                <w:webHidden/>
              </w:rPr>
              <w:fldChar w:fldCharType="end"/>
            </w:r>
          </w:hyperlink>
        </w:p>
        <w:p w14:paraId="7825B1AE" w14:textId="1CFAF808" w:rsidR="004F5570" w:rsidRDefault="00A82B79">
          <w:pPr>
            <w:pStyle w:val="TOC3"/>
            <w:rPr>
              <w:rFonts w:eastAsiaTheme="minorEastAsia"/>
              <w:noProof/>
              <w:lang w:eastAsia="en-AU"/>
            </w:rPr>
          </w:pPr>
          <w:hyperlink w:anchor="_Toc67042565" w:history="1">
            <w:r w:rsidR="004F5570" w:rsidRPr="004C3185">
              <w:rPr>
                <w:rStyle w:val="Hyperlink"/>
                <w:noProof/>
              </w:rPr>
              <w:t>Effectiveness</w:t>
            </w:r>
            <w:r w:rsidR="004F5570">
              <w:rPr>
                <w:noProof/>
                <w:webHidden/>
              </w:rPr>
              <w:tab/>
            </w:r>
            <w:r w:rsidR="004F5570">
              <w:rPr>
                <w:noProof/>
                <w:webHidden/>
              </w:rPr>
              <w:fldChar w:fldCharType="begin"/>
            </w:r>
            <w:r w:rsidR="004F5570">
              <w:rPr>
                <w:noProof/>
                <w:webHidden/>
              </w:rPr>
              <w:instrText xml:space="preserve"> PAGEREF _Toc67042565 \h </w:instrText>
            </w:r>
            <w:r w:rsidR="004F5570">
              <w:rPr>
                <w:noProof/>
                <w:webHidden/>
              </w:rPr>
            </w:r>
            <w:r w:rsidR="004F5570">
              <w:rPr>
                <w:noProof/>
                <w:webHidden/>
              </w:rPr>
              <w:fldChar w:fldCharType="separate"/>
            </w:r>
            <w:r>
              <w:rPr>
                <w:noProof/>
                <w:webHidden/>
              </w:rPr>
              <w:t>17</w:t>
            </w:r>
            <w:r w:rsidR="004F5570">
              <w:rPr>
                <w:noProof/>
                <w:webHidden/>
              </w:rPr>
              <w:fldChar w:fldCharType="end"/>
            </w:r>
          </w:hyperlink>
        </w:p>
        <w:p w14:paraId="591E5686" w14:textId="125C7CAC" w:rsidR="004F5570" w:rsidRDefault="00A82B79">
          <w:pPr>
            <w:pStyle w:val="TOC3"/>
            <w:rPr>
              <w:rFonts w:eastAsiaTheme="minorEastAsia"/>
              <w:noProof/>
              <w:lang w:eastAsia="en-AU"/>
            </w:rPr>
          </w:pPr>
          <w:hyperlink w:anchor="_Toc67042566" w:history="1">
            <w:r w:rsidR="004F5570" w:rsidRPr="004C3185">
              <w:rPr>
                <w:rStyle w:val="Hyperlink"/>
                <w:noProof/>
              </w:rPr>
              <w:t>OEST participant experience</w:t>
            </w:r>
            <w:r w:rsidR="004F5570">
              <w:rPr>
                <w:noProof/>
                <w:webHidden/>
              </w:rPr>
              <w:tab/>
            </w:r>
            <w:r w:rsidR="004F5570">
              <w:rPr>
                <w:noProof/>
                <w:webHidden/>
              </w:rPr>
              <w:fldChar w:fldCharType="begin"/>
            </w:r>
            <w:r w:rsidR="004F5570">
              <w:rPr>
                <w:noProof/>
                <w:webHidden/>
              </w:rPr>
              <w:instrText xml:space="preserve"> PAGEREF _Toc67042566 \h </w:instrText>
            </w:r>
            <w:r w:rsidR="004F5570">
              <w:rPr>
                <w:noProof/>
                <w:webHidden/>
              </w:rPr>
            </w:r>
            <w:r w:rsidR="004F5570">
              <w:rPr>
                <w:noProof/>
                <w:webHidden/>
              </w:rPr>
              <w:fldChar w:fldCharType="separate"/>
            </w:r>
            <w:r>
              <w:rPr>
                <w:noProof/>
                <w:webHidden/>
              </w:rPr>
              <w:t>18</w:t>
            </w:r>
            <w:r w:rsidR="004F5570">
              <w:rPr>
                <w:noProof/>
                <w:webHidden/>
              </w:rPr>
              <w:fldChar w:fldCharType="end"/>
            </w:r>
          </w:hyperlink>
        </w:p>
        <w:p w14:paraId="7BEA2552" w14:textId="65537424" w:rsidR="004F5570" w:rsidRDefault="00A82B79">
          <w:pPr>
            <w:pStyle w:val="TOC2"/>
            <w:rPr>
              <w:rFonts w:eastAsiaTheme="minorEastAsia"/>
              <w:noProof/>
              <w:lang w:eastAsia="en-AU"/>
            </w:rPr>
          </w:pPr>
          <w:hyperlink w:anchor="_Toc67042567" w:history="1">
            <w:r w:rsidR="004F5570" w:rsidRPr="004C3185">
              <w:rPr>
                <w:rStyle w:val="Hyperlink"/>
                <w:noProof/>
              </w:rPr>
              <w:t>Summary</w:t>
            </w:r>
            <w:r w:rsidR="004F5570">
              <w:rPr>
                <w:noProof/>
                <w:webHidden/>
              </w:rPr>
              <w:tab/>
            </w:r>
            <w:r w:rsidR="004F5570">
              <w:rPr>
                <w:noProof/>
                <w:webHidden/>
              </w:rPr>
              <w:fldChar w:fldCharType="begin"/>
            </w:r>
            <w:r w:rsidR="004F5570">
              <w:rPr>
                <w:noProof/>
                <w:webHidden/>
              </w:rPr>
              <w:instrText xml:space="preserve"> PAGEREF _Toc67042567 \h </w:instrText>
            </w:r>
            <w:r w:rsidR="004F5570">
              <w:rPr>
                <w:noProof/>
                <w:webHidden/>
              </w:rPr>
            </w:r>
            <w:r w:rsidR="004F5570">
              <w:rPr>
                <w:noProof/>
                <w:webHidden/>
              </w:rPr>
              <w:fldChar w:fldCharType="separate"/>
            </w:r>
            <w:r>
              <w:rPr>
                <w:noProof/>
                <w:webHidden/>
              </w:rPr>
              <w:t>19</w:t>
            </w:r>
            <w:r w:rsidR="004F5570">
              <w:rPr>
                <w:noProof/>
                <w:webHidden/>
              </w:rPr>
              <w:fldChar w:fldCharType="end"/>
            </w:r>
          </w:hyperlink>
        </w:p>
        <w:p w14:paraId="60A6C867" w14:textId="5DC9E786" w:rsidR="004F5570" w:rsidRDefault="00A82B79">
          <w:pPr>
            <w:pStyle w:val="TOC1"/>
            <w:rPr>
              <w:rFonts w:eastAsiaTheme="minorEastAsia"/>
              <w:b w:val="0"/>
              <w:noProof/>
              <w:lang w:eastAsia="en-AU"/>
            </w:rPr>
          </w:pPr>
          <w:hyperlink w:anchor="_Toc67042568" w:history="1">
            <w:r w:rsidR="004F5570" w:rsidRPr="004C3185">
              <w:rPr>
                <w:rStyle w:val="Hyperlink"/>
                <w:noProof/>
              </w:rPr>
              <w:t>Departmental response to the evaluation findings</w:t>
            </w:r>
            <w:r w:rsidR="004F5570">
              <w:rPr>
                <w:noProof/>
                <w:webHidden/>
              </w:rPr>
              <w:tab/>
            </w:r>
            <w:r w:rsidR="004F5570">
              <w:rPr>
                <w:noProof/>
                <w:webHidden/>
              </w:rPr>
              <w:fldChar w:fldCharType="begin"/>
            </w:r>
            <w:r w:rsidR="004F5570">
              <w:rPr>
                <w:noProof/>
                <w:webHidden/>
              </w:rPr>
              <w:instrText xml:space="preserve"> PAGEREF _Toc67042568 \h </w:instrText>
            </w:r>
            <w:r w:rsidR="004F5570">
              <w:rPr>
                <w:noProof/>
                <w:webHidden/>
              </w:rPr>
            </w:r>
            <w:r w:rsidR="004F5570">
              <w:rPr>
                <w:noProof/>
                <w:webHidden/>
              </w:rPr>
              <w:fldChar w:fldCharType="separate"/>
            </w:r>
            <w:r>
              <w:rPr>
                <w:noProof/>
                <w:webHidden/>
              </w:rPr>
              <w:t>20</w:t>
            </w:r>
            <w:r w:rsidR="004F5570">
              <w:rPr>
                <w:noProof/>
                <w:webHidden/>
              </w:rPr>
              <w:fldChar w:fldCharType="end"/>
            </w:r>
          </w:hyperlink>
        </w:p>
        <w:p w14:paraId="7962FCF1" w14:textId="655CF669" w:rsidR="004F5570" w:rsidRDefault="00A82B79">
          <w:pPr>
            <w:pStyle w:val="TOC2"/>
            <w:rPr>
              <w:rFonts w:eastAsiaTheme="minorEastAsia"/>
              <w:noProof/>
              <w:lang w:eastAsia="en-AU"/>
            </w:rPr>
          </w:pPr>
          <w:hyperlink w:anchor="_Toc67042569" w:history="1">
            <w:r w:rsidR="004F5570" w:rsidRPr="004C3185">
              <w:rPr>
                <w:rStyle w:val="Hyperlink"/>
                <w:noProof/>
              </w:rPr>
              <w:t>Safeguards and enhancements in OES</w:t>
            </w:r>
            <w:r w:rsidR="004F5570">
              <w:rPr>
                <w:noProof/>
                <w:webHidden/>
              </w:rPr>
              <w:tab/>
            </w:r>
            <w:r w:rsidR="004F5570">
              <w:rPr>
                <w:noProof/>
                <w:webHidden/>
              </w:rPr>
              <w:fldChar w:fldCharType="begin"/>
            </w:r>
            <w:r w:rsidR="004F5570">
              <w:rPr>
                <w:noProof/>
                <w:webHidden/>
              </w:rPr>
              <w:instrText xml:space="preserve"> PAGEREF _Toc67042569 \h </w:instrText>
            </w:r>
            <w:r w:rsidR="004F5570">
              <w:rPr>
                <w:noProof/>
                <w:webHidden/>
              </w:rPr>
            </w:r>
            <w:r w:rsidR="004F5570">
              <w:rPr>
                <w:noProof/>
                <w:webHidden/>
              </w:rPr>
              <w:fldChar w:fldCharType="separate"/>
            </w:r>
            <w:r>
              <w:rPr>
                <w:noProof/>
                <w:webHidden/>
              </w:rPr>
              <w:t>20</w:t>
            </w:r>
            <w:r w:rsidR="004F5570">
              <w:rPr>
                <w:noProof/>
                <w:webHidden/>
              </w:rPr>
              <w:fldChar w:fldCharType="end"/>
            </w:r>
          </w:hyperlink>
        </w:p>
        <w:p w14:paraId="658EAE79" w14:textId="7547F0F7" w:rsidR="004F5570" w:rsidRDefault="00A82B79">
          <w:pPr>
            <w:pStyle w:val="TOC1"/>
            <w:rPr>
              <w:rFonts w:eastAsiaTheme="minorEastAsia"/>
              <w:b w:val="0"/>
              <w:noProof/>
              <w:lang w:eastAsia="en-AU"/>
            </w:rPr>
          </w:pPr>
          <w:hyperlink w:anchor="_Toc67042570" w:history="1">
            <w:r w:rsidR="004F5570" w:rsidRPr="004C3185">
              <w:rPr>
                <w:rStyle w:val="Hyperlink"/>
                <w:noProof/>
              </w:rPr>
              <w:t>Chapter 1. Introduction</w:t>
            </w:r>
            <w:r w:rsidR="004F5570">
              <w:rPr>
                <w:noProof/>
                <w:webHidden/>
              </w:rPr>
              <w:tab/>
            </w:r>
            <w:r w:rsidR="004F5570">
              <w:rPr>
                <w:noProof/>
                <w:webHidden/>
              </w:rPr>
              <w:fldChar w:fldCharType="begin"/>
            </w:r>
            <w:r w:rsidR="004F5570">
              <w:rPr>
                <w:noProof/>
                <w:webHidden/>
              </w:rPr>
              <w:instrText xml:space="preserve"> PAGEREF _Toc67042570 \h </w:instrText>
            </w:r>
            <w:r w:rsidR="004F5570">
              <w:rPr>
                <w:noProof/>
                <w:webHidden/>
              </w:rPr>
            </w:r>
            <w:r w:rsidR="004F5570">
              <w:rPr>
                <w:noProof/>
                <w:webHidden/>
              </w:rPr>
              <w:fldChar w:fldCharType="separate"/>
            </w:r>
            <w:r>
              <w:rPr>
                <w:noProof/>
                <w:webHidden/>
              </w:rPr>
              <w:t>23</w:t>
            </w:r>
            <w:r w:rsidR="004F5570">
              <w:rPr>
                <w:noProof/>
                <w:webHidden/>
              </w:rPr>
              <w:fldChar w:fldCharType="end"/>
            </w:r>
          </w:hyperlink>
        </w:p>
        <w:p w14:paraId="2DC83ACA" w14:textId="286B212A" w:rsidR="004F5570" w:rsidRDefault="00A82B79">
          <w:pPr>
            <w:pStyle w:val="TOC2"/>
            <w:rPr>
              <w:rFonts w:eastAsiaTheme="minorEastAsia"/>
              <w:noProof/>
              <w:lang w:eastAsia="en-AU"/>
            </w:rPr>
          </w:pPr>
          <w:hyperlink w:anchor="_Toc67042571" w:history="1">
            <w:r w:rsidR="004F5570" w:rsidRPr="004C3185">
              <w:rPr>
                <w:rStyle w:val="Hyperlink"/>
                <w:noProof/>
              </w:rPr>
              <w:t>1.1 Digital trends in government services</w:t>
            </w:r>
            <w:r w:rsidR="004F5570">
              <w:rPr>
                <w:noProof/>
                <w:webHidden/>
              </w:rPr>
              <w:tab/>
            </w:r>
            <w:r w:rsidR="004F5570">
              <w:rPr>
                <w:noProof/>
                <w:webHidden/>
              </w:rPr>
              <w:fldChar w:fldCharType="begin"/>
            </w:r>
            <w:r w:rsidR="004F5570">
              <w:rPr>
                <w:noProof/>
                <w:webHidden/>
              </w:rPr>
              <w:instrText xml:space="preserve"> PAGEREF _Toc67042571 \h </w:instrText>
            </w:r>
            <w:r w:rsidR="004F5570">
              <w:rPr>
                <w:noProof/>
                <w:webHidden/>
              </w:rPr>
            </w:r>
            <w:r w:rsidR="004F5570">
              <w:rPr>
                <w:noProof/>
                <w:webHidden/>
              </w:rPr>
              <w:fldChar w:fldCharType="separate"/>
            </w:r>
            <w:r>
              <w:rPr>
                <w:noProof/>
                <w:webHidden/>
              </w:rPr>
              <w:t>23</w:t>
            </w:r>
            <w:r w:rsidR="004F5570">
              <w:rPr>
                <w:noProof/>
                <w:webHidden/>
              </w:rPr>
              <w:fldChar w:fldCharType="end"/>
            </w:r>
          </w:hyperlink>
        </w:p>
        <w:p w14:paraId="75842142" w14:textId="38F4A22A" w:rsidR="004F5570" w:rsidRDefault="00A82B79">
          <w:pPr>
            <w:pStyle w:val="TOC2"/>
            <w:rPr>
              <w:rFonts w:eastAsiaTheme="minorEastAsia"/>
              <w:noProof/>
              <w:lang w:eastAsia="en-AU"/>
            </w:rPr>
          </w:pPr>
          <w:hyperlink w:anchor="_Toc67042572" w:history="1">
            <w:r w:rsidR="004F5570" w:rsidRPr="004C3185">
              <w:rPr>
                <w:rStyle w:val="Hyperlink"/>
                <w:noProof/>
                <w:lang w:val="en"/>
              </w:rPr>
              <w:t xml:space="preserve">1.2 </w:t>
            </w:r>
            <w:r w:rsidR="004F5570" w:rsidRPr="004C3185">
              <w:rPr>
                <w:rStyle w:val="Hyperlink"/>
                <w:noProof/>
              </w:rPr>
              <w:t xml:space="preserve">The </w:t>
            </w:r>
            <w:r w:rsidR="004F5570" w:rsidRPr="004C3185">
              <w:rPr>
                <w:rStyle w:val="Hyperlink"/>
                <w:noProof/>
                <w:lang w:val="en"/>
              </w:rPr>
              <w:t>OEST</w:t>
            </w:r>
            <w:r w:rsidR="004F5570">
              <w:rPr>
                <w:noProof/>
                <w:webHidden/>
              </w:rPr>
              <w:tab/>
            </w:r>
            <w:r w:rsidR="004F5570">
              <w:rPr>
                <w:noProof/>
                <w:webHidden/>
              </w:rPr>
              <w:fldChar w:fldCharType="begin"/>
            </w:r>
            <w:r w:rsidR="004F5570">
              <w:rPr>
                <w:noProof/>
                <w:webHidden/>
              </w:rPr>
              <w:instrText xml:space="preserve"> PAGEREF _Toc67042572 \h </w:instrText>
            </w:r>
            <w:r w:rsidR="004F5570">
              <w:rPr>
                <w:noProof/>
                <w:webHidden/>
              </w:rPr>
            </w:r>
            <w:r w:rsidR="004F5570">
              <w:rPr>
                <w:noProof/>
                <w:webHidden/>
              </w:rPr>
              <w:fldChar w:fldCharType="separate"/>
            </w:r>
            <w:r>
              <w:rPr>
                <w:noProof/>
                <w:webHidden/>
              </w:rPr>
              <w:t>24</w:t>
            </w:r>
            <w:r w:rsidR="004F5570">
              <w:rPr>
                <w:noProof/>
                <w:webHidden/>
              </w:rPr>
              <w:fldChar w:fldCharType="end"/>
            </w:r>
          </w:hyperlink>
        </w:p>
        <w:p w14:paraId="68FCE4EC" w14:textId="76EBB962" w:rsidR="004F5570" w:rsidRDefault="00A82B79">
          <w:pPr>
            <w:pStyle w:val="TOC3"/>
            <w:rPr>
              <w:rFonts w:eastAsiaTheme="minorEastAsia"/>
              <w:noProof/>
              <w:lang w:eastAsia="en-AU"/>
            </w:rPr>
          </w:pPr>
          <w:hyperlink w:anchor="_Toc67042573" w:history="1">
            <w:r w:rsidR="004F5570" w:rsidRPr="004C3185">
              <w:rPr>
                <w:rStyle w:val="Hyperlink"/>
                <w:noProof/>
              </w:rPr>
              <w:t>1.2.1 Eligibility criteria of the OEST</w:t>
            </w:r>
            <w:r w:rsidR="004F5570">
              <w:rPr>
                <w:noProof/>
                <w:webHidden/>
              </w:rPr>
              <w:tab/>
            </w:r>
            <w:r w:rsidR="004F5570">
              <w:rPr>
                <w:noProof/>
                <w:webHidden/>
              </w:rPr>
              <w:fldChar w:fldCharType="begin"/>
            </w:r>
            <w:r w:rsidR="004F5570">
              <w:rPr>
                <w:noProof/>
                <w:webHidden/>
              </w:rPr>
              <w:instrText xml:space="preserve"> PAGEREF _Toc67042573 \h </w:instrText>
            </w:r>
            <w:r w:rsidR="004F5570">
              <w:rPr>
                <w:noProof/>
                <w:webHidden/>
              </w:rPr>
            </w:r>
            <w:r w:rsidR="004F5570">
              <w:rPr>
                <w:noProof/>
                <w:webHidden/>
              </w:rPr>
              <w:fldChar w:fldCharType="separate"/>
            </w:r>
            <w:r>
              <w:rPr>
                <w:noProof/>
                <w:webHidden/>
              </w:rPr>
              <w:t>24</w:t>
            </w:r>
            <w:r w:rsidR="004F5570">
              <w:rPr>
                <w:noProof/>
                <w:webHidden/>
              </w:rPr>
              <w:fldChar w:fldCharType="end"/>
            </w:r>
          </w:hyperlink>
        </w:p>
        <w:p w14:paraId="48E72CFE" w14:textId="7F4A943B" w:rsidR="004F5570" w:rsidRDefault="00A82B79">
          <w:pPr>
            <w:pStyle w:val="TOC3"/>
            <w:rPr>
              <w:rFonts w:eastAsiaTheme="minorEastAsia"/>
              <w:noProof/>
              <w:lang w:eastAsia="en-AU"/>
            </w:rPr>
          </w:pPr>
          <w:hyperlink w:anchor="_Toc67042574" w:history="1">
            <w:r w:rsidR="004F5570" w:rsidRPr="004C3185">
              <w:rPr>
                <w:rStyle w:val="Hyperlink"/>
                <w:noProof/>
              </w:rPr>
              <w:t>1.2.2 OEST services</w:t>
            </w:r>
            <w:r w:rsidR="004F5570">
              <w:rPr>
                <w:noProof/>
                <w:webHidden/>
              </w:rPr>
              <w:tab/>
            </w:r>
            <w:r w:rsidR="004F5570">
              <w:rPr>
                <w:noProof/>
                <w:webHidden/>
              </w:rPr>
              <w:fldChar w:fldCharType="begin"/>
            </w:r>
            <w:r w:rsidR="004F5570">
              <w:rPr>
                <w:noProof/>
                <w:webHidden/>
              </w:rPr>
              <w:instrText xml:space="preserve"> PAGEREF _Toc67042574 \h </w:instrText>
            </w:r>
            <w:r w:rsidR="004F5570">
              <w:rPr>
                <w:noProof/>
                <w:webHidden/>
              </w:rPr>
            </w:r>
            <w:r w:rsidR="004F5570">
              <w:rPr>
                <w:noProof/>
                <w:webHidden/>
              </w:rPr>
              <w:fldChar w:fldCharType="separate"/>
            </w:r>
            <w:r>
              <w:rPr>
                <w:noProof/>
                <w:webHidden/>
              </w:rPr>
              <w:t>25</w:t>
            </w:r>
            <w:r w:rsidR="004F5570">
              <w:rPr>
                <w:noProof/>
                <w:webHidden/>
              </w:rPr>
              <w:fldChar w:fldCharType="end"/>
            </w:r>
          </w:hyperlink>
        </w:p>
        <w:p w14:paraId="67B5DE65" w14:textId="1B24414F" w:rsidR="004F5570" w:rsidRDefault="00A82B79">
          <w:pPr>
            <w:pStyle w:val="TOC2"/>
            <w:rPr>
              <w:rFonts w:eastAsiaTheme="minorEastAsia"/>
              <w:noProof/>
              <w:lang w:eastAsia="en-AU"/>
            </w:rPr>
          </w:pPr>
          <w:hyperlink w:anchor="_Toc67042575" w:history="1">
            <w:r w:rsidR="004F5570" w:rsidRPr="004C3185">
              <w:rPr>
                <w:rStyle w:val="Hyperlink"/>
                <w:noProof/>
              </w:rPr>
              <w:t>1.3 Recent developments</w:t>
            </w:r>
            <w:r w:rsidR="004F5570">
              <w:rPr>
                <w:noProof/>
                <w:webHidden/>
              </w:rPr>
              <w:tab/>
            </w:r>
            <w:r w:rsidR="004F5570">
              <w:rPr>
                <w:noProof/>
                <w:webHidden/>
              </w:rPr>
              <w:fldChar w:fldCharType="begin"/>
            </w:r>
            <w:r w:rsidR="004F5570">
              <w:rPr>
                <w:noProof/>
                <w:webHidden/>
              </w:rPr>
              <w:instrText xml:space="preserve"> PAGEREF _Toc67042575 \h </w:instrText>
            </w:r>
            <w:r w:rsidR="004F5570">
              <w:rPr>
                <w:noProof/>
                <w:webHidden/>
              </w:rPr>
            </w:r>
            <w:r w:rsidR="004F5570">
              <w:rPr>
                <w:noProof/>
                <w:webHidden/>
              </w:rPr>
              <w:fldChar w:fldCharType="separate"/>
            </w:r>
            <w:r>
              <w:rPr>
                <w:noProof/>
                <w:webHidden/>
              </w:rPr>
              <w:t>25</w:t>
            </w:r>
            <w:r w:rsidR="004F5570">
              <w:rPr>
                <w:noProof/>
                <w:webHidden/>
              </w:rPr>
              <w:fldChar w:fldCharType="end"/>
            </w:r>
          </w:hyperlink>
        </w:p>
        <w:p w14:paraId="4721A587" w14:textId="2BFEA33A" w:rsidR="004F5570" w:rsidRDefault="00A82B79">
          <w:pPr>
            <w:pStyle w:val="TOC3"/>
            <w:rPr>
              <w:rFonts w:eastAsiaTheme="minorEastAsia"/>
              <w:noProof/>
              <w:lang w:eastAsia="en-AU"/>
            </w:rPr>
          </w:pPr>
          <w:hyperlink w:anchor="_Toc67042576" w:history="1">
            <w:r w:rsidR="004F5570" w:rsidRPr="004C3185">
              <w:rPr>
                <w:rStyle w:val="Hyperlink"/>
                <w:noProof/>
              </w:rPr>
              <w:t>1.3.1 New Employment Service</w:t>
            </w:r>
            <w:r w:rsidR="004F5570">
              <w:rPr>
                <w:noProof/>
                <w:webHidden/>
              </w:rPr>
              <w:tab/>
            </w:r>
            <w:r w:rsidR="004F5570">
              <w:rPr>
                <w:noProof/>
                <w:webHidden/>
              </w:rPr>
              <w:fldChar w:fldCharType="begin"/>
            </w:r>
            <w:r w:rsidR="004F5570">
              <w:rPr>
                <w:noProof/>
                <w:webHidden/>
              </w:rPr>
              <w:instrText xml:space="preserve"> PAGEREF _Toc67042576 \h </w:instrText>
            </w:r>
            <w:r w:rsidR="004F5570">
              <w:rPr>
                <w:noProof/>
                <w:webHidden/>
              </w:rPr>
            </w:r>
            <w:r w:rsidR="004F5570">
              <w:rPr>
                <w:noProof/>
                <w:webHidden/>
              </w:rPr>
              <w:fldChar w:fldCharType="separate"/>
            </w:r>
            <w:r>
              <w:rPr>
                <w:noProof/>
                <w:webHidden/>
              </w:rPr>
              <w:t>26</w:t>
            </w:r>
            <w:r w:rsidR="004F5570">
              <w:rPr>
                <w:noProof/>
                <w:webHidden/>
              </w:rPr>
              <w:fldChar w:fldCharType="end"/>
            </w:r>
          </w:hyperlink>
        </w:p>
        <w:p w14:paraId="70D807E7" w14:textId="464BCCCA" w:rsidR="004F5570" w:rsidRDefault="00A82B79">
          <w:pPr>
            <w:pStyle w:val="TOC3"/>
            <w:rPr>
              <w:rFonts w:eastAsiaTheme="minorEastAsia"/>
              <w:noProof/>
              <w:lang w:eastAsia="en-AU"/>
            </w:rPr>
          </w:pPr>
          <w:hyperlink w:anchor="_Toc67042577" w:history="1">
            <w:r w:rsidR="004F5570" w:rsidRPr="004C3185">
              <w:rPr>
                <w:rStyle w:val="Hyperlink"/>
                <w:noProof/>
              </w:rPr>
              <w:t>1.3.2 Online Employment Services</w:t>
            </w:r>
            <w:r w:rsidR="004F5570">
              <w:rPr>
                <w:noProof/>
                <w:webHidden/>
              </w:rPr>
              <w:tab/>
            </w:r>
            <w:r w:rsidR="004F5570">
              <w:rPr>
                <w:noProof/>
                <w:webHidden/>
              </w:rPr>
              <w:fldChar w:fldCharType="begin"/>
            </w:r>
            <w:r w:rsidR="004F5570">
              <w:rPr>
                <w:noProof/>
                <w:webHidden/>
              </w:rPr>
              <w:instrText xml:space="preserve"> PAGEREF _Toc67042577 \h </w:instrText>
            </w:r>
            <w:r w:rsidR="004F5570">
              <w:rPr>
                <w:noProof/>
                <w:webHidden/>
              </w:rPr>
            </w:r>
            <w:r w:rsidR="004F5570">
              <w:rPr>
                <w:noProof/>
                <w:webHidden/>
              </w:rPr>
              <w:fldChar w:fldCharType="separate"/>
            </w:r>
            <w:r>
              <w:rPr>
                <w:noProof/>
                <w:webHidden/>
              </w:rPr>
              <w:t>26</w:t>
            </w:r>
            <w:r w:rsidR="004F5570">
              <w:rPr>
                <w:noProof/>
                <w:webHidden/>
              </w:rPr>
              <w:fldChar w:fldCharType="end"/>
            </w:r>
          </w:hyperlink>
        </w:p>
        <w:p w14:paraId="2AB41D49" w14:textId="39FD5C73" w:rsidR="004F5570" w:rsidRDefault="00A82B79">
          <w:pPr>
            <w:pStyle w:val="TOC1"/>
            <w:rPr>
              <w:rFonts w:eastAsiaTheme="minorEastAsia"/>
              <w:b w:val="0"/>
              <w:noProof/>
              <w:lang w:eastAsia="en-AU"/>
            </w:rPr>
          </w:pPr>
          <w:hyperlink w:anchor="_Toc67042578" w:history="1">
            <w:r w:rsidR="004F5570" w:rsidRPr="004C3185">
              <w:rPr>
                <w:rStyle w:val="Hyperlink"/>
                <w:noProof/>
              </w:rPr>
              <w:t>Chapter 2. The evaluation of the OEST</w:t>
            </w:r>
            <w:r w:rsidR="004F5570">
              <w:rPr>
                <w:noProof/>
                <w:webHidden/>
              </w:rPr>
              <w:tab/>
            </w:r>
            <w:r w:rsidR="004F5570">
              <w:rPr>
                <w:noProof/>
                <w:webHidden/>
              </w:rPr>
              <w:fldChar w:fldCharType="begin"/>
            </w:r>
            <w:r w:rsidR="004F5570">
              <w:rPr>
                <w:noProof/>
                <w:webHidden/>
              </w:rPr>
              <w:instrText xml:space="preserve"> PAGEREF _Toc67042578 \h </w:instrText>
            </w:r>
            <w:r w:rsidR="004F5570">
              <w:rPr>
                <w:noProof/>
                <w:webHidden/>
              </w:rPr>
            </w:r>
            <w:r w:rsidR="004F5570">
              <w:rPr>
                <w:noProof/>
                <w:webHidden/>
              </w:rPr>
              <w:fldChar w:fldCharType="separate"/>
            </w:r>
            <w:r>
              <w:rPr>
                <w:noProof/>
                <w:webHidden/>
              </w:rPr>
              <w:t>27</w:t>
            </w:r>
            <w:r w:rsidR="004F5570">
              <w:rPr>
                <w:noProof/>
                <w:webHidden/>
              </w:rPr>
              <w:fldChar w:fldCharType="end"/>
            </w:r>
          </w:hyperlink>
        </w:p>
        <w:p w14:paraId="5AD43071" w14:textId="260090F3" w:rsidR="004F5570" w:rsidRDefault="00A82B79">
          <w:pPr>
            <w:pStyle w:val="TOC2"/>
            <w:rPr>
              <w:rFonts w:eastAsiaTheme="minorEastAsia"/>
              <w:noProof/>
              <w:lang w:eastAsia="en-AU"/>
            </w:rPr>
          </w:pPr>
          <w:hyperlink w:anchor="_Toc67042579" w:history="1">
            <w:r w:rsidR="004F5570" w:rsidRPr="004C3185">
              <w:rPr>
                <w:rStyle w:val="Hyperlink"/>
                <w:noProof/>
              </w:rPr>
              <w:t>2.1 Aims of the OEST evaluation</w:t>
            </w:r>
            <w:r w:rsidR="004F5570">
              <w:rPr>
                <w:noProof/>
                <w:webHidden/>
              </w:rPr>
              <w:tab/>
            </w:r>
            <w:r w:rsidR="004F5570">
              <w:rPr>
                <w:noProof/>
                <w:webHidden/>
              </w:rPr>
              <w:fldChar w:fldCharType="begin"/>
            </w:r>
            <w:r w:rsidR="004F5570">
              <w:rPr>
                <w:noProof/>
                <w:webHidden/>
              </w:rPr>
              <w:instrText xml:space="preserve"> PAGEREF _Toc67042579 \h </w:instrText>
            </w:r>
            <w:r w:rsidR="004F5570">
              <w:rPr>
                <w:noProof/>
                <w:webHidden/>
              </w:rPr>
            </w:r>
            <w:r w:rsidR="004F5570">
              <w:rPr>
                <w:noProof/>
                <w:webHidden/>
              </w:rPr>
              <w:fldChar w:fldCharType="separate"/>
            </w:r>
            <w:r>
              <w:rPr>
                <w:noProof/>
                <w:webHidden/>
              </w:rPr>
              <w:t>27</w:t>
            </w:r>
            <w:r w:rsidR="004F5570">
              <w:rPr>
                <w:noProof/>
                <w:webHidden/>
              </w:rPr>
              <w:fldChar w:fldCharType="end"/>
            </w:r>
          </w:hyperlink>
        </w:p>
        <w:p w14:paraId="19533E5D" w14:textId="7B60251F" w:rsidR="004F5570" w:rsidRDefault="00A82B79">
          <w:pPr>
            <w:pStyle w:val="TOC2"/>
            <w:rPr>
              <w:rFonts w:eastAsiaTheme="minorEastAsia"/>
              <w:noProof/>
              <w:lang w:eastAsia="en-AU"/>
            </w:rPr>
          </w:pPr>
          <w:hyperlink w:anchor="_Toc67042580" w:history="1">
            <w:r w:rsidR="004F5570" w:rsidRPr="004C3185">
              <w:rPr>
                <w:rStyle w:val="Hyperlink"/>
                <w:noProof/>
              </w:rPr>
              <w:t>2.2 Key evaluation questions</w:t>
            </w:r>
            <w:r w:rsidR="004F5570">
              <w:rPr>
                <w:noProof/>
                <w:webHidden/>
              </w:rPr>
              <w:tab/>
            </w:r>
            <w:r w:rsidR="004F5570">
              <w:rPr>
                <w:noProof/>
                <w:webHidden/>
              </w:rPr>
              <w:fldChar w:fldCharType="begin"/>
            </w:r>
            <w:r w:rsidR="004F5570">
              <w:rPr>
                <w:noProof/>
                <w:webHidden/>
              </w:rPr>
              <w:instrText xml:space="preserve"> PAGEREF _Toc67042580 \h </w:instrText>
            </w:r>
            <w:r w:rsidR="004F5570">
              <w:rPr>
                <w:noProof/>
                <w:webHidden/>
              </w:rPr>
            </w:r>
            <w:r w:rsidR="004F5570">
              <w:rPr>
                <w:noProof/>
                <w:webHidden/>
              </w:rPr>
              <w:fldChar w:fldCharType="separate"/>
            </w:r>
            <w:r>
              <w:rPr>
                <w:noProof/>
                <w:webHidden/>
              </w:rPr>
              <w:t>28</w:t>
            </w:r>
            <w:r w:rsidR="004F5570">
              <w:rPr>
                <w:noProof/>
                <w:webHidden/>
              </w:rPr>
              <w:fldChar w:fldCharType="end"/>
            </w:r>
          </w:hyperlink>
        </w:p>
        <w:p w14:paraId="298C2B10" w14:textId="0258360D" w:rsidR="004F5570" w:rsidRDefault="00A82B79">
          <w:pPr>
            <w:pStyle w:val="TOC3"/>
            <w:rPr>
              <w:rFonts w:eastAsiaTheme="minorEastAsia"/>
              <w:noProof/>
              <w:lang w:eastAsia="en-AU"/>
            </w:rPr>
          </w:pPr>
          <w:hyperlink w:anchor="_Toc67042581" w:history="1">
            <w:r w:rsidR="004F5570" w:rsidRPr="004C3185">
              <w:rPr>
                <w:rStyle w:val="Hyperlink"/>
                <w:noProof/>
              </w:rPr>
              <w:t>Efficiency</w:t>
            </w:r>
            <w:r w:rsidR="004F5570">
              <w:rPr>
                <w:noProof/>
                <w:webHidden/>
              </w:rPr>
              <w:tab/>
            </w:r>
            <w:r w:rsidR="004F5570">
              <w:rPr>
                <w:noProof/>
                <w:webHidden/>
              </w:rPr>
              <w:fldChar w:fldCharType="begin"/>
            </w:r>
            <w:r w:rsidR="004F5570">
              <w:rPr>
                <w:noProof/>
                <w:webHidden/>
              </w:rPr>
              <w:instrText xml:space="preserve"> PAGEREF _Toc67042581 \h </w:instrText>
            </w:r>
            <w:r w:rsidR="004F5570">
              <w:rPr>
                <w:noProof/>
                <w:webHidden/>
              </w:rPr>
            </w:r>
            <w:r w:rsidR="004F5570">
              <w:rPr>
                <w:noProof/>
                <w:webHidden/>
              </w:rPr>
              <w:fldChar w:fldCharType="separate"/>
            </w:r>
            <w:r>
              <w:rPr>
                <w:noProof/>
                <w:webHidden/>
              </w:rPr>
              <w:t>28</w:t>
            </w:r>
            <w:r w:rsidR="004F5570">
              <w:rPr>
                <w:noProof/>
                <w:webHidden/>
              </w:rPr>
              <w:fldChar w:fldCharType="end"/>
            </w:r>
          </w:hyperlink>
        </w:p>
        <w:p w14:paraId="015CBDE9" w14:textId="5F2DB30D" w:rsidR="004F5570" w:rsidRDefault="00A82B79">
          <w:pPr>
            <w:pStyle w:val="TOC3"/>
            <w:rPr>
              <w:rFonts w:eastAsiaTheme="minorEastAsia"/>
              <w:noProof/>
              <w:lang w:eastAsia="en-AU"/>
            </w:rPr>
          </w:pPr>
          <w:hyperlink w:anchor="_Toc67042582" w:history="1">
            <w:r w:rsidR="004F5570" w:rsidRPr="004C3185">
              <w:rPr>
                <w:rStyle w:val="Hyperlink"/>
                <w:noProof/>
              </w:rPr>
              <w:t>Effectiveness</w:t>
            </w:r>
            <w:r w:rsidR="004F5570">
              <w:rPr>
                <w:noProof/>
                <w:webHidden/>
              </w:rPr>
              <w:tab/>
            </w:r>
            <w:r w:rsidR="004F5570">
              <w:rPr>
                <w:noProof/>
                <w:webHidden/>
              </w:rPr>
              <w:fldChar w:fldCharType="begin"/>
            </w:r>
            <w:r w:rsidR="004F5570">
              <w:rPr>
                <w:noProof/>
                <w:webHidden/>
              </w:rPr>
              <w:instrText xml:space="preserve"> PAGEREF _Toc67042582 \h </w:instrText>
            </w:r>
            <w:r w:rsidR="004F5570">
              <w:rPr>
                <w:noProof/>
                <w:webHidden/>
              </w:rPr>
            </w:r>
            <w:r w:rsidR="004F5570">
              <w:rPr>
                <w:noProof/>
                <w:webHidden/>
              </w:rPr>
              <w:fldChar w:fldCharType="separate"/>
            </w:r>
            <w:r>
              <w:rPr>
                <w:noProof/>
                <w:webHidden/>
              </w:rPr>
              <w:t>28</w:t>
            </w:r>
            <w:r w:rsidR="004F5570">
              <w:rPr>
                <w:noProof/>
                <w:webHidden/>
              </w:rPr>
              <w:fldChar w:fldCharType="end"/>
            </w:r>
          </w:hyperlink>
        </w:p>
        <w:p w14:paraId="5DEE56DB" w14:textId="28E3992E" w:rsidR="004F5570" w:rsidRDefault="00A82B79">
          <w:pPr>
            <w:pStyle w:val="TOC2"/>
            <w:rPr>
              <w:rFonts w:eastAsiaTheme="minorEastAsia"/>
              <w:noProof/>
              <w:lang w:eastAsia="en-AU"/>
            </w:rPr>
          </w:pPr>
          <w:hyperlink w:anchor="_Toc67042583" w:history="1">
            <w:r w:rsidR="004F5570" w:rsidRPr="004C3185">
              <w:rPr>
                <w:rStyle w:val="Hyperlink"/>
                <w:noProof/>
              </w:rPr>
              <w:t>2.3 Methodology</w:t>
            </w:r>
            <w:r w:rsidR="004F5570">
              <w:rPr>
                <w:noProof/>
                <w:webHidden/>
              </w:rPr>
              <w:tab/>
            </w:r>
            <w:r w:rsidR="004F5570">
              <w:rPr>
                <w:noProof/>
                <w:webHidden/>
              </w:rPr>
              <w:fldChar w:fldCharType="begin"/>
            </w:r>
            <w:r w:rsidR="004F5570">
              <w:rPr>
                <w:noProof/>
                <w:webHidden/>
              </w:rPr>
              <w:instrText xml:space="preserve"> PAGEREF _Toc67042583 \h </w:instrText>
            </w:r>
            <w:r w:rsidR="004F5570">
              <w:rPr>
                <w:noProof/>
                <w:webHidden/>
              </w:rPr>
            </w:r>
            <w:r w:rsidR="004F5570">
              <w:rPr>
                <w:noProof/>
                <w:webHidden/>
              </w:rPr>
              <w:fldChar w:fldCharType="separate"/>
            </w:r>
            <w:r>
              <w:rPr>
                <w:noProof/>
                <w:webHidden/>
              </w:rPr>
              <w:t>29</w:t>
            </w:r>
            <w:r w:rsidR="004F5570">
              <w:rPr>
                <w:noProof/>
                <w:webHidden/>
              </w:rPr>
              <w:fldChar w:fldCharType="end"/>
            </w:r>
          </w:hyperlink>
        </w:p>
        <w:p w14:paraId="1B86E6C7" w14:textId="246750BB" w:rsidR="004F5570" w:rsidRDefault="00A82B79">
          <w:pPr>
            <w:pStyle w:val="TOC3"/>
            <w:rPr>
              <w:rFonts w:eastAsiaTheme="minorEastAsia"/>
              <w:noProof/>
              <w:lang w:eastAsia="en-AU"/>
            </w:rPr>
          </w:pPr>
          <w:hyperlink w:anchor="_Toc67042584" w:history="1">
            <w:r w:rsidR="004F5570" w:rsidRPr="004C3185">
              <w:rPr>
                <w:rStyle w:val="Hyperlink"/>
                <w:noProof/>
              </w:rPr>
              <w:t>2.3.1 Qualitative research</w:t>
            </w:r>
            <w:r w:rsidR="004F5570">
              <w:rPr>
                <w:noProof/>
                <w:webHidden/>
              </w:rPr>
              <w:tab/>
            </w:r>
            <w:r w:rsidR="004F5570">
              <w:rPr>
                <w:noProof/>
                <w:webHidden/>
              </w:rPr>
              <w:fldChar w:fldCharType="begin"/>
            </w:r>
            <w:r w:rsidR="004F5570">
              <w:rPr>
                <w:noProof/>
                <w:webHidden/>
              </w:rPr>
              <w:instrText xml:space="preserve"> PAGEREF _Toc67042584 \h </w:instrText>
            </w:r>
            <w:r w:rsidR="004F5570">
              <w:rPr>
                <w:noProof/>
                <w:webHidden/>
              </w:rPr>
            </w:r>
            <w:r w:rsidR="004F5570">
              <w:rPr>
                <w:noProof/>
                <w:webHidden/>
              </w:rPr>
              <w:fldChar w:fldCharType="separate"/>
            </w:r>
            <w:r>
              <w:rPr>
                <w:noProof/>
                <w:webHidden/>
              </w:rPr>
              <w:t>29</w:t>
            </w:r>
            <w:r w:rsidR="004F5570">
              <w:rPr>
                <w:noProof/>
                <w:webHidden/>
              </w:rPr>
              <w:fldChar w:fldCharType="end"/>
            </w:r>
          </w:hyperlink>
        </w:p>
        <w:p w14:paraId="21502FB8" w14:textId="129F2F62" w:rsidR="004F5570" w:rsidRDefault="00A82B79">
          <w:pPr>
            <w:pStyle w:val="TOC3"/>
            <w:rPr>
              <w:rFonts w:eastAsiaTheme="minorEastAsia"/>
              <w:noProof/>
              <w:lang w:eastAsia="en-AU"/>
            </w:rPr>
          </w:pPr>
          <w:hyperlink w:anchor="_Toc67042585" w:history="1">
            <w:r w:rsidR="004F5570" w:rsidRPr="004C3185">
              <w:rPr>
                <w:rStyle w:val="Hyperlink"/>
                <w:noProof/>
              </w:rPr>
              <w:t>2.3.2 Quantitative survey</w:t>
            </w:r>
            <w:r w:rsidR="004F5570">
              <w:rPr>
                <w:noProof/>
                <w:webHidden/>
              </w:rPr>
              <w:tab/>
            </w:r>
            <w:r w:rsidR="004F5570">
              <w:rPr>
                <w:noProof/>
                <w:webHidden/>
              </w:rPr>
              <w:fldChar w:fldCharType="begin"/>
            </w:r>
            <w:r w:rsidR="004F5570">
              <w:rPr>
                <w:noProof/>
                <w:webHidden/>
              </w:rPr>
              <w:instrText xml:space="preserve"> PAGEREF _Toc67042585 \h </w:instrText>
            </w:r>
            <w:r w:rsidR="004F5570">
              <w:rPr>
                <w:noProof/>
                <w:webHidden/>
              </w:rPr>
            </w:r>
            <w:r w:rsidR="004F5570">
              <w:rPr>
                <w:noProof/>
                <w:webHidden/>
              </w:rPr>
              <w:fldChar w:fldCharType="separate"/>
            </w:r>
            <w:r>
              <w:rPr>
                <w:noProof/>
                <w:webHidden/>
              </w:rPr>
              <w:t>30</w:t>
            </w:r>
            <w:r w:rsidR="004F5570">
              <w:rPr>
                <w:noProof/>
                <w:webHidden/>
              </w:rPr>
              <w:fldChar w:fldCharType="end"/>
            </w:r>
          </w:hyperlink>
        </w:p>
        <w:p w14:paraId="1C436E01" w14:textId="3D940A36" w:rsidR="004F5570" w:rsidRDefault="00A82B79">
          <w:pPr>
            <w:pStyle w:val="TOC3"/>
            <w:rPr>
              <w:rFonts w:eastAsiaTheme="minorEastAsia"/>
              <w:noProof/>
              <w:lang w:eastAsia="en-AU"/>
            </w:rPr>
          </w:pPr>
          <w:hyperlink w:anchor="_Toc67042586" w:history="1">
            <w:r w:rsidR="004F5570" w:rsidRPr="004C3185">
              <w:rPr>
                <w:rStyle w:val="Hyperlink"/>
                <w:noProof/>
              </w:rPr>
              <w:t>2.3.3 Quantitative analysis of departmental administrative data</w:t>
            </w:r>
            <w:r w:rsidR="004F5570">
              <w:rPr>
                <w:noProof/>
                <w:webHidden/>
              </w:rPr>
              <w:tab/>
            </w:r>
            <w:r w:rsidR="004F5570">
              <w:rPr>
                <w:noProof/>
                <w:webHidden/>
              </w:rPr>
              <w:fldChar w:fldCharType="begin"/>
            </w:r>
            <w:r w:rsidR="004F5570">
              <w:rPr>
                <w:noProof/>
                <w:webHidden/>
              </w:rPr>
              <w:instrText xml:space="preserve"> PAGEREF _Toc67042586 \h </w:instrText>
            </w:r>
            <w:r w:rsidR="004F5570">
              <w:rPr>
                <w:noProof/>
                <w:webHidden/>
              </w:rPr>
            </w:r>
            <w:r w:rsidR="004F5570">
              <w:rPr>
                <w:noProof/>
                <w:webHidden/>
              </w:rPr>
              <w:fldChar w:fldCharType="separate"/>
            </w:r>
            <w:r>
              <w:rPr>
                <w:noProof/>
                <w:webHidden/>
              </w:rPr>
              <w:t>31</w:t>
            </w:r>
            <w:r w:rsidR="004F5570">
              <w:rPr>
                <w:noProof/>
                <w:webHidden/>
              </w:rPr>
              <w:fldChar w:fldCharType="end"/>
            </w:r>
          </w:hyperlink>
        </w:p>
        <w:p w14:paraId="61DFCCC4" w14:textId="2526E352" w:rsidR="004F5570" w:rsidRDefault="00A82B79">
          <w:pPr>
            <w:pStyle w:val="TOC2"/>
            <w:rPr>
              <w:rFonts w:eastAsiaTheme="minorEastAsia"/>
              <w:noProof/>
              <w:lang w:eastAsia="en-AU"/>
            </w:rPr>
          </w:pPr>
          <w:hyperlink w:anchor="_Toc67042587" w:history="1">
            <w:r w:rsidR="004F5570" w:rsidRPr="004C3185">
              <w:rPr>
                <w:rStyle w:val="Hyperlink"/>
                <w:noProof/>
              </w:rPr>
              <w:t>2.4 The study populations</w:t>
            </w:r>
            <w:r w:rsidR="004F5570">
              <w:rPr>
                <w:noProof/>
                <w:webHidden/>
              </w:rPr>
              <w:tab/>
            </w:r>
            <w:r w:rsidR="004F5570">
              <w:rPr>
                <w:noProof/>
                <w:webHidden/>
              </w:rPr>
              <w:fldChar w:fldCharType="begin"/>
            </w:r>
            <w:r w:rsidR="004F5570">
              <w:rPr>
                <w:noProof/>
                <w:webHidden/>
              </w:rPr>
              <w:instrText xml:space="preserve"> PAGEREF _Toc67042587 \h </w:instrText>
            </w:r>
            <w:r w:rsidR="004F5570">
              <w:rPr>
                <w:noProof/>
                <w:webHidden/>
              </w:rPr>
            </w:r>
            <w:r w:rsidR="004F5570">
              <w:rPr>
                <w:noProof/>
                <w:webHidden/>
              </w:rPr>
              <w:fldChar w:fldCharType="separate"/>
            </w:r>
            <w:r>
              <w:rPr>
                <w:noProof/>
                <w:webHidden/>
              </w:rPr>
              <w:t>31</w:t>
            </w:r>
            <w:r w:rsidR="004F5570">
              <w:rPr>
                <w:noProof/>
                <w:webHidden/>
              </w:rPr>
              <w:fldChar w:fldCharType="end"/>
            </w:r>
          </w:hyperlink>
        </w:p>
        <w:p w14:paraId="61BF6214" w14:textId="68DD8F18" w:rsidR="004F5570" w:rsidRDefault="00A82B79">
          <w:pPr>
            <w:pStyle w:val="TOC3"/>
            <w:rPr>
              <w:rFonts w:eastAsiaTheme="minorEastAsia"/>
              <w:noProof/>
              <w:lang w:eastAsia="en-AU"/>
            </w:rPr>
          </w:pPr>
          <w:hyperlink w:anchor="_Toc67042588" w:history="1">
            <w:r w:rsidR="004F5570" w:rsidRPr="004C3185">
              <w:rPr>
                <w:rStyle w:val="Hyperlink"/>
                <w:noProof/>
              </w:rPr>
              <w:t>2.4.1 Study population characteristics</w:t>
            </w:r>
            <w:r w:rsidR="004F5570">
              <w:rPr>
                <w:noProof/>
                <w:webHidden/>
              </w:rPr>
              <w:tab/>
            </w:r>
            <w:r w:rsidR="004F5570">
              <w:rPr>
                <w:noProof/>
                <w:webHidden/>
              </w:rPr>
              <w:fldChar w:fldCharType="begin"/>
            </w:r>
            <w:r w:rsidR="004F5570">
              <w:rPr>
                <w:noProof/>
                <w:webHidden/>
              </w:rPr>
              <w:instrText xml:space="preserve"> PAGEREF _Toc67042588 \h </w:instrText>
            </w:r>
            <w:r w:rsidR="004F5570">
              <w:rPr>
                <w:noProof/>
                <w:webHidden/>
              </w:rPr>
            </w:r>
            <w:r w:rsidR="004F5570">
              <w:rPr>
                <w:noProof/>
                <w:webHidden/>
              </w:rPr>
              <w:fldChar w:fldCharType="separate"/>
            </w:r>
            <w:r>
              <w:rPr>
                <w:noProof/>
                <w:webHidden/>
              </w:rPr>
              <w:t>33</w:t>
            </w:r>
            <w:r w:rsidR="004F5570">
              <w:rPr>
                <w:noProof/>
                <w:webHidden/>
              </w:rPr>
              <w:fldChar w:fldCharType="end"/>
            </w:r>
          </w:hyperlink>
        </w:p>
        <w:p w14:paraId="0622822B" w14:textId="7E50056C" w:rsidR="004F5570" w:rsidRDefault="00A82B79">
          <w:pPr>
            <w:pStyle w:val="TOC1"/>
            <w:rPr>
              <w:rFonts w:eastAsiaTheme="minorEastAsia"/>
              <w:b w:val="0"/>
              <w:noProof/>
              <w:lang w:eastAsia="en-AU"/>
            </w:rPr>
          </w:pPr>
          <w:hyperlink w:anchor="_Toc67042589" w:history="1">
            <w:r w:rsidR="004F5570" w:rsidRPr="004C3185">
              <w:rPr>
                <w:rStyle w:val="Hyperlink"/>
                <w:noProof/>
              </w:rPr>
              <w:t>Chapter 3. The efficiency of the OEST</w:t>
            </w:r>
            <w:r w:rsidR="004F5570">
              <w:rPr>
                <w:noProof/>
                <w:webHidden/>
              </w:rPr>
              <w:tab/>
            </w:r>
            <w:r w:rsidR="004F5570">
              <w:rPr>
                <w:noProof/>
                <w:webHidden/>
              </w:rPr>
              <w:fldChar w:fldCharType="begin"/>
            </w:r>
            <w:r w:rsidR="004F5570">
              <w:rPr>
                <w:noProof/>
                <w:webHidden/>
              </w:rPr>
              <w:instrText xml:space="preserve"> PAGEREF _Toc67042589 \h </w:instrText>
            </w:r>
            <w:r w:rsidR="004F5570">
              <w:rPr>
                <w:noProof/>
                <w:webHidden/>
              </w:rPr>
            </w:r>
            <w:r w:rsidR="004F5570">
              <w:rPr>
                <w:noProof/>
                <w:webHidden/>
              </w:rPr>
              <w:fldChar w:fldCharType="separate"/>
            </w:r>
            <w:r>
              <w:rPr>
                <w:noProof/>
                <w:webHidden/>
              </w:rPr>
              <w:t>35</w:t>
            </w:r>
            <w:r w:rsidR="004F5570">
              <w:rPr>
                <w:noProof/>
                <w:webHidden/>
              </w:rPr>
              <w:fldChar w:fldCharType="end"/>
            </w:r>
          </w:hyperlink>
        </w:p>
        <w:p w14:paraId="74E86A7C" w14:textId="45D79331" w:rsidR="004F5570" w:rsidRDefault="00A82B79">
          <w:pPr>
            <w:pStyle w:val="TOC2"/>
            <w:rPr>
              <w:rFonts w:eastAsiaTheme="minorEastAsia"/>
              <w:noProof/>
              <w:lang w:eastAsia="en-AU"/>
            </w:rPr>
          </w:pPr>
          <w:hyperlink w:anchor="_Toc67042590" w:history="1">
            <w:r w:rsidR="004F5570" w:rsidRPr="004C3185">
              <w:rPr>
                <w:rStyle w:val="Hyperlink"/>
                <w:noProof/>
              </w:rPr>
              <w:t>3.1 Time to commencement</w:t>
            </w:r>
            <w:r w:rsidR="004F5570">
              <w:rPr>
                <w:noProof/>
                <w:webHidden/>
              </w:rPr>
              <w:tab/>
            </w:r>
            <w:r w:rsidR="004F5570">
              <w:rPr>
                <w:noProof/>
                <w:webHidden/>
              </w:rPr>
              <w:fldChar w:fldCharType="begin"/>
            </w:r>
            <w:r w:rsidR="004F5570">
              <w:rPr>
                <w:noProof/>
                <w:webHidden/>
              </w:rPr>
              <w:instrText xml:space="preserve"> PAGEREF _Toc67042590 \h </w:instrText>
            </w:r>
            <w:r w:rsidR="004F5570">
              <w:rPr>
                <w:noProof/>
                <w:webHidden/>
              </w:rPr>
            </w:r>
            <w:r w:rsidR="004F5570">
              <w:rPr>
                <w:noProof/>
                <w:webHidden/>
              </w:rPr>
              <w:fldChar w:fldCharType="separate"/>
            </w:r>
            <w:r>
              <w:rPr>
                <w:noProof/>
                <w:webHidden/>
              </w:rPr>
              <w:t>35</w:t>
            </w:r>
            <w:r w:rsidR="004F5570">
              <w:rPr>
                <w:noProof/>
                <w:webHidden/>
              </w:rPr>
              <w:fldChar w:fldCharType="end"/>
            </w:r>
          </w:hyperlink>
        </w:p>
        <w:p w14:paraId="134A0019" w14:textId="1C6DB309" w:rsidR="004F5570" w:rsidRDefault="00A82B79">
          <w:pPr>
            <w:pStyle w:val="TOC2"/>
            <w:rPr>
              <w:rFonts w:eastAsiaTheme="minorEastAsia"/>
              <w:noProof/>
              <w:lang w:eastAsia="en-AU"/>
            </w:rPr>
          </w:pPr>
          <w:hyperlink w:anchor="_Toc67042591" w:history="1">
            <w:r w:rsidR="004F5570" w:rsidRPr="004C3185">
              <w:rPr>
                <w:rStyle w:val="Hyperlink"/>
                <w:noProof/>
              </w:rPr>
              <w:t>3.2 Opt-outs</w:t>
            </w:r>
            <w:r w:rsidR="004F5570">
              <w:rPr>
                <w:noProof/>
                <w:webHidden/>
              </w:rPr>
              <w:tab/>
            </w:r>
            <w:r w:rsidR="004F5570">
              <w:rPr>
                <w:noProof/>
                <w:webHidden/>
              </w:rPr>
              <w:fldChar w:fldCharType="begin"/>
            </w:r>
            <w:r w:rsidR="004F5570">
              <w:rPr>
                <w:noProof/>
                <w:webHidden/>
              </w:rPr>
              <w:instrText xml:space="preserve"> PAGEREF _Toc67042591 \h </w:instrText>
            </w:r>
            <w:r w:rsidR="004F5570">
              <w:rPr>
                <w:noProof/>
                <w:webHidden/>
              </w:rPr>
            </w:r>
            <w:r w:rsidR="004F5570">
              <w:rPr>
                <w:noProof/>
                <w:webHidden/>
              </w:rPr>
              <w:fldChar w:fldCharType="separate"/>
            </w:r>
            <w:r>
              <w:rPr>
                <w:noProof/>
                <w:webHidden/>
              </w:rPr>
              <w:t>37</w:t>
            </w:r>
            <w:r w:rsidR="004F5570">
              <w:rPr>
                <w:noProof/>
                <w:webHidden/>
              </w:rPr>
              <w:fldChar w:fldCharType="end"/>
            </w:r>
          </w:hyperlink>
        </w:p>
        <w:p w14:paraId="18F28C09" w14:textId="6439F6B1" w:rsidR="004F5570" w:rsidRDefault="00A82B79">
          <w:pPr>
            <w:pStyle w:val="TOC3"/>
            <w:rPr>
              <w:rFonts w:eastAsiaTheme="minorEastAsia"/>
              <w:noProof/>
              <w:lang w:eastAsia="en-AU"/>
            </w:rPr>
          </w:pPr>
          <w:hyperlink w:anchor="_Toc67042592" w:history="1">
            <w:r w:rsidR="004F5570" w:rsidRPr="004C3185">
              <w:rPr>
                <w:rStyle w:val="Hyperlink"/>
                <w:noProof/>
              </w:rPr>
              <w:t>3.2.1 Characteristics of participants who opted out</w:t>
            </w:r>
            <w:r w:rsidR="004F5570">
              <w:rPr>
                <w:noProof/>
                <w:webHidden/>
              </w:rPr>
              <w:tab/>
            </w:r>
            <w:r w:rsidR="004F5570">
              <w:rPr>
                <w:noProof/>
                <w:webHidden/>
              </w:rPr>
              <w:fldChar w:fldCharType="begin"/>
            </w:r>
            <w:r w:rsidR="004F5570">
              <w:rPr>
                <w:noProof/>
                <w:webHidden/>
              </w:rPr>
              <w:instrText xml:space="preserve"> PAGEREF _Toc67042592 \h </w:instrText>
            </w:r>
            <w:r w:rsidR="004F5570">
              <w:rPr>
                <w:noProof/>
                <w:webHidden/>
              </w:rPr>
            </w:r>
            <w:r w:rsidR="004F5570">
              <w:rPr>
                <w:noProof/>
                <w:webHidden/>
              </w:rPr>
              <w:fldChar w:fldCharType="separate"/>
            </w:r>
            <w:r>
              <w:rPr>
                <w:noProof/>
                <w:webHidden/>
              </w:rPr>
              <w:t>37</w:t>
            </w:r>
            <w:r w:rsidR="004F5570">
              <w:rPr>
                <w:noProof/>
                <w:webHidden/>
              </w:rPr>
              <w:fldChar w:fldCharType="end"/>
            </w:r>
          </w:hyperlink>
        </w:p>
        <w:p w14:paraId="2BF2FDA7" w14:textId="5852AAA5" w:rsidR="004F5570" w:rsidRDefault="00A82B79">
          <w:pPr>
            <w:pStyle w:val="TOC3"/>
            <w:rPr>
              <w:rFonts w:eastAsiaTheme="minorEastAsia"/>
              <w:noProof/>
              <w:lang w:eastAsia="en-AU"/>
            </w:rPr>
          </w:pPr>
          <w:hyperlink w:anchor="_Toc67042593" w:history="1">
            <w:r w:rsidR="004F5570" w:rsidRPr="004C3185">
              <w:rPr>
                <w:rStyle w:val="Hyperlink"/>
                <w:noProof/>
              </w:rPr>
              <w:t>3.2.2 Opt-out reasons</w:t>
            </w:r>
            <w:r w:rsidR="004F5570">
              <w:rPr>
                <w:noProof/>
                <w:webHidden/>
              </w:rPr>
              <w:tab/>
            </w:r>
            <w:r w:rsidR="004F5570">
              <w:rPr>
                <w:noProof/>
                <w:webHidden/>
              </w:rPr>
              <w:fldChar w:fldCharType="begin"/>
            </w:r>
            <w:r w:rsidR="004F5570">
              <w:rPr>
                <w:noProof/>
                <w:webHidden/>
              </w:rPr>
              <w:instrText xml:space="preserve"> PAGEREF _Toc67042593 \h </w:instrText>
            </w:r>
            <w:r w:rsidR="004F5570">
              <w:rPr>
                <w:noProof/>
                <w:webHidden/>
              </w:rPr>
            </w:r>
            <w:r w:rsidR="004F5570">
              <w:rPr>
                <w:noProof/>
                <w:webHidden/>
              </w:rPr>
              <w:fldChar w:fldCharType="separate"/>
            </w:r>
            <w:r>
              <w:rPr>
                <w:noProof/>
                <w:webHidden/>
              </w:rPr>
              <w:t>38</w:t>
            </w:r>
            <w:r w:rsidR="004F5570">
              <w:rPr>
                <w:noProof/>
                <w:webHidden/>
              </w:rPr>
              <w:fldChar w:fldCharType="end"/>
            </w:r>
          </w:hyperlink>
        </w:p>
        <w:p w14:paraId="23F9B4FB" w14:textId="41C1EEB1" w:rsidR="004F5570" w:rsidRDefault="00A82B79">
          <w:pPr>
            <w:pStyle w:val="TOC3"/>
            <w:rPr>
              <w:rFonts w:eastAsiaTheme="minorEastAsia"/>
              <w:noProof/>
              <w:lang w:eastAsia="en-AU"/>
            </w:rPr>
          </w:pPr>
          <w:hyperlink w:anchor="_Toc67042594" w:history="1">
            <w:r w:rsidR="004F5570" w:rsidRPr="004C3185">
              <w:rPr>
                <w:rStyle w:val="Hyperlink"/>
                <w:noProof/>
              </w:rPr>
              <w:t>3.2.3 Awareness of opt-out arrangements</w:t>
            </w:r>
            <w:r w:rsidR="004F5570">
              <w:rPr>
                <w:noProof/>
                <w:webHidden/>
              </w:rPr>
              <w:tab/>
            </w:r>
            <w:r w:rsidR="004F5570">
              <w:rPr>
                <w:noProof/>
                <w:webHidden/>
              </w:rPr>
              <w:fldChar w:fldCharType="begin"/>
            </w:r>
            <w:r w:rsidR="004F5570">
              <w:rPr>
                <w:noProof/>
                <w:webHidden/>
              </w:rPr>
              <w:instrText xml:space="preserve"> PAGEREF _Toc67042594 \h </w:instrText>
            </w:r>
            <w:r w:rsidR="004F5570">
              <w:rPr>
                <w:noProof/>
                <w:webHidden/>
              </w:rPr>
            </w:r>
            <w:r w:rsidR="004F5570">
              <w:rPr>
                <w:noProof/>
                <w:webHidden/>
              </w:rPr>
              <w:fldChar w:fldCharType="separate"/>
            </w:r>
            <w:r>
              <w:rPr>
                <w:noProof/>
                <w:webHidden/>
              </w:rPr>
              <w:t>39</w:t>
            </w:r>
            <w:r w:rsidR="004F5570">
              <w:rPr>
                <w:noProof/>
                <w:webHidden/>
              </w:rPr>
              <w:fldChar w:fldCharType="end"/>
            </w:r>
          </w:hyperlink>
        </w:p>
        <w:p w14:paraId="3DA0B556" w14:textId="2F58033C" w:rsidR="004F5570" w:rsidRDefault="00A82B79">
          <w:pPr>
            <w:pStyle w:val="TOC2"/>
            <w:rPr>
              <w:rFonts w:eastAsiaTheme="minorEastAsia"/>
              <w:noProof/>
              <w:lang w:eastAsia="en-AU"/>
            </w:rPr>
          </w:pPr>
          <w:hyperlink w:anchor="_Toc67042595" w:history="1">
            <w:r w:rsidR="004F5570" w:rsidRPr="004C3185">
              <w:rPr>
                <w:rStyle w:val="Hyperlink"/>
                <w:noProof/>
                <w:lang w:val="en"/>
              </w:rPr>
              <w:t>3.3 The jobactive website</w:t>
            </w:r>
            <w:r w:rsidR="004F5570">
              <w:rPr>
                <w:noProof/>
                <w:webHidden/>
              </w:rPr>
              <w:tab/>
            </w:r>
            <w:r w:rsidR="004F5570">
              <w:rPr>
                <w:noProof/>
                <w:webHidden/>
              </w:rPr>
              <w:fldChar w:fldCharType="begin"/>
            </w:r>
            <w:r w:rsidR="004F5570">
              <w:rPr>
                <w:noProof/>
                <w:webHidden/>
              </w:rPr>
              <w:instrText xml:space="preserve"> PAGEREF _Toc67042595 \h </w:instrText>
            </w:r>
            <w:r w:rsidR="004F5570">
              <w:rPr>
                <w:noProof/>
                <w:webHidden/>
              </w:rPr>
            </w:r>
            <w:r w:rsidR="004F5570">
              <w:rPr>
                <w:noProof/>
                <w:webHidden/>
              </w:rPr>
              <w:fldChar w:fldCharType="separate"/>
            </w:r>
            <w:r>
              <w:rPr>
                <w:noProof/>
                <w:webHidden/>
              </w:rPr>
              <w:t>41</w:t>
            </w:r>
            <w:r w:rsidR="004F5570">
              <w:rPr>
                <w:noProof/>
                <w:webHidden/>
              </w:rPr>
              <w:fldChar w:fldCharType="end"/>
            </w:r>
          </w:hyperlink>
        </w:p>
        <w:p w14:paraId="595967E7" w14:textId="136C7399" w:rsidR="004F5570" w:rsidRDefault="00A82B79">
          <w:pPr>
            <w:pStyle w:val="TOC3"/>
            <w:rPr>
              <w:rFonts w:eastAsiaTheme="minorEastAsia"/>
              <w:noProof/>
              <w:lang w:eastAsia="en-AU"/>
            </w:rPr>
          </w:pPr>
          <w:hyperlink w:anchor="_Toc67042596" w:history="1">
            <w:r w:rsidR="004F5570" w:rsidRPr="004C3185">
              <w:rPr>
                <w:rStyle w:val="Hyperlink"/>
                <w:noProof/>
              </w:rPr>
              <w:t>3.3.1 Website usage</w:t>
            </w:r>
            <w:r w:rsidR="004F5570">
              <w:rPr>
                <w:noProof/>
                <w:webHidden/>
              </w:rPr>
              <w:tab/>
            </w:r>
            <w:r w:rsidR="004F5570">
              <w:rPr>
                <w:noProof/>
                <w:webHidden/>
              </w:rPr>
              <w:fldChar w:fldCharType="begin"/>
            </w:r>
            <w:r w:rsidR="004F5570">
              <w:rPr>
                <w:noProof/>
                <w:webHidden/>
              </w:rPr>
              <w:instrText xml:space="preserve"> PAGEREF _Toc67042596 \h </w:instrText>
            </w:r>
            <w:r w:rsidR="004F5570">
              <w:rPr>
                <w:noProof/>
                <w:webHidden/>
              </w:rPr>
            </w:r>
            <w:r w:rsidR="004F5570">
              <w:rPr>
                <w:noProof/>
                <w:webHidden/>
              </w:rPr>
              <w:fldChar w:fldCharType="separate"/>
            </w:r>
            <w:r>
              <w:rPr>
                <w:noProof/>
                <w:webHidden/>
              </w:rPr>
              <w:t>41</w:t>
            </w:r>
            <w:r w:rsidR="004F5570">
              <w:rPr>
                <w:noProof/>
                <w:webHidden/>
              </w:rPr>
              <w:fldChar w:fldCharType="end"/>
            </w:r>
          </w:hyperlink>
        </w:p>
        <w:p w14:paraId="55F3E395" w14:textId="5E755ECF" w:rsidR="004F5570" w:rsidRDefault="00A82B79">
          <w:pPr>
            <w:pStyle w:val="TOC3"/>
            <w:rPr>
              <w:rFonts w:eastAsiaTheme="minorEastAsia"/>
              <w:noProof/>
              <w:lang w:eastAsia="en-AU"/>
            </w:rPr>
          </w:pPr>
          <w:hyperlink w:anchor="_Toc67042597" w:history="1">
            <w:r w:rsidR="004F5570" w:rsidRPr="004C3185">
              <w:rPr>
                <w:rStyle w:val="Hyperlink"/>
                <w:noProof/>
              </w:rPr>
              <w:t>3.3.2 Usability</w:t>
            </w:r>
            <w:r w:rsidR="004F5570">
              <w:rPr>
                <w:noProof/>
                <w:webHidden/>
              </w:rPr>
              <w:tab/>
            </w:r>
            <w:r w:rsidR="004F5570">
              <w:rPr>
                <w:noProof/>
                <w:webHidden/>
              </w:rPr>
              <w:fldChar w:fldCharType="begin"/>
            </w:r>
            <w:r w:rsidR="004F5570">
              <w:rPr>
                <w:noProof/>
                <w:webHidden/>
              </w:rPr>
              <w:instrText xml:space="preserve"> PAGEREF _Toc67042597 \h </w:instrText>
            </w:r>
            <w:r w:rsidR="004F5570">
              <w:rPr>
                <w:noProof/>
                <w:webHidden/>
              </w:rPr>
            </w:r>
            <w:r w:rsidR="004F5570">
              <w:rPr>
                <w:noProof/>
                <w:webHidden/>
              </w:rPr>
              <w:fldChar w:fldCharType="separate"/>
            </w:r>
            <w:r>
              <w:rPr>
                <w:noProof/>
                <w:webHidden/>
              </w:rPr>
              <w:t>42</w:t>
            </w:r>
            <w:r w:rsidR="004F5570">
              <w:rPr>
                <w:noProof/>
                <w:webHidden/>
              </w:rPr>
              <w:fldChar w:fldCharType="end"/>
            </w:r>
          </w:hyperlink>
        </w:p>
        <w:p w14:paraId="086E9CBB" w14:textId="73C132F8" w:rsidR="004F5570" w:rsidRDefault="00A82B79">
          <w:pPr>
            <w:pStyle w:val="TOC3"/>
            <w:rPr>
              <w:rFonts w:eastAsiaTheme="minorEastAsia"/>
              <w:noProof/>
              <w:lang w:eastAsia="en-AU"/>
            </w:rPr>
          </w:pPr>
          <w:hyperlink w:anchor="_Toc67042598" w:history="1">
            <w:r w:rsidR="004F5570" w:rsidRPr="004C3185">
              <w:rPr>
                <w:rStyle w:val="Hyperlink"/>
                <w:noProof/>
              </w:rPr>
              <w:t>3.3.3 Participant satisfaction</w:t>
            </w:r>
            <w:r w:rsidR="004F5570">
              <w:rPr>
                <w:noProof/>
                <w:webHidden/>
              </w:rPr>
              <w:tab/>
            </w:r>
            <w:r w:rsidR="004F5570">
              <w:rPr>
                <w:noProof/>
                <w:webHidden/>
              </w:rPr>
              <w:fldChar w:fldCharType="begin"/>
            </w:r>
            <w:r w:rsidR="004F5570">
              <w:rPr>
                <w:noProof/>
                <w:webHidden/>
              </w:rPr>
              <w:instrText xml:space="preserve"> PAGEREF _Toc67042598 \h </w:instrText>
            </w:r>
            <w:r w:rsidR="004F5570">
              <w:rPr>
                <w:noProof/>
                <w:webHidden/>
              </w:rPr>
            </w:r>
            <w:r w:rsidR="004F5570">
              <w:rPr>
                <w:noProof/>
                <w:webHidden/>
              </w:rPr>
              <w:fldChar w:fldCharType="separate"/>
            </w:r>
            <w:r>
              <w:rPr>
                <w:noProof/>
                <w:webHidden/>
              </w:rPr>
              <w:t>43</w:t>
            </w:r>
            <w:r w:rsidR="004F5570">
              <w:rPr>
                <w:noProof/>
                <w:webHidden/>
              </w:rPr>
              <w:fldChar w:fldCharType="end"/>
            </w:r>
          </w:hyperlink>
        </w:p>
        <w:p w14:paraId="167F5DFF" w14:textId="3F44CF15" w:rsidR="004F5570" w:rsidRDefault="00A82B79">
          <w:pPr>
            <w:pStyle w:val="TOC2"/>
            <w:rPr>
              <w:rFonts w:eastAsiaTheme="minorEastAsia"/>
              <w:noProof/>
              <w:lang w:eastAsia="en-AU"/>
            </w:rPr>
          </w:pPr>
          <w:hyperlink w:anchor="_Toc67042599" w:history="1">
            <w:r w:rsidR="004F5570" w:rsidRPr="004C3185">
              <w:rPr>
                <w:rStyle w:val="Hyperlink"/>
                <w:iCs/>
                <w:noProof/>
              </w:rPr>
              <w:t xml:space="preserve">3.4 </w:t>
            </w:r>
            <w:r w:rsidR="004F5570" w:rsidRPr="004C3185">
              <w:rPr>
                <w:rStyle w:val="Hyperlink"/>
                <w:noProof/>
              </w:rPr>
              <w:t>Monitoring of OEST participant compliance</w:t>
            </w:r>
            <w:r w:rsidR="004F5570">
              <w:rPr>
                <w:noProof/>
                <w:webHidden/>
              </w:rPr>
              <w:tab/>
            </w:r>
            <w:r w:rsidR="004F5570">
              <w:rPr>
                <w:noProof/>
                <w:webHidden/>
              </w:rPr>
              <w:fldChar w:fldCharType="begin"/>
            </w:r>
            <w:r w:rsidR="004F5570">
              <w:rPr>
                <w:noProof/>
                <w:webHidden/>
              </w:rPr>
              <w:instrText xml:space="preserve"> PAGEREF _Toc67042599 \h </w:instrText>
            </w:r>
            <w:r w:rsidR="004F5570">
              <w:rPr>
                <w:noProof/>
                <w:webHidden/>
              </w:rPr>
            </w:r>
            <w:r w:rsidR="004F5570">
              <w:rPr>
                <w:noProof/>
                <w:webHidden/>
              </w:rPr>
              <w:fldChar w:fldCharType="separate"/>
            </w:r>
            <w:r>
              <w:rPr>
                <w:noProof/>
                <w:webHidden/>
              </w:rPr>
              <w:t>44</w:t>
            </w:r>
            <w:r w:rsidR="004F5570">
              <w:rPr>
                <w:noProof/>
                <w:webHidden/>
              </w:rPr>
              <w:fldChar w:fldCharType="end"/>
            </w:r>
          </w:hyperlink>
        </w:p>
        <w:p w14:paraId="2F45AB9F" w14:textId="3BE108E9" w:rsidR="004F5570" w:rsidRDefault="00A82B79">
          <w:pPr>
            <w:pStyle w:val="TOC3"/>
            <w:rPr>
              <w:rFonts w:eastAsiaTheme="minorEastAsia"/>
              <w:noProof/>
              <w:lang w:eastAsia="en-AU"/>
            </w:rPr>
          </w:pPr>
          <w:hyperlink w:anchor="_Toc67042600" w:history="1">
            <w:r w:rsidR="004F5570" w:rsidRPr="004C3185">
              <w:rPr>
                <w:rStyle w:val="Hyperlink"/>
                <w:noProof/>
              </w:rPr>
              <w:t>3.4.1 Awareness of requirements</w:t>
            </w:r>
            <w:r w:rsidR="004F5570">
              <w:rPr>
                <w:noProof/>
                <w:webHidden/>
              </w:rPr>
              <w:tab/>
            </w:r>
            <w:r w:rsidR="004F5570">
              <w:rPr>
                <w:noProof/>
                <w:webHidden/>
              </w:rPr>
              <w:fldChar w:fldCharType="begin"/>
            </w:r>
            <w:r w:rsidR="004F5570">
              <w:rPr>
                <w:noProof/>
                <w:webHidden/>
              </w:rPr>
              <w:instrText xml:space="preserve"> PAGEREF _Toc67042600 \h </w:instrText>
            </w:r>
            <w:r w:rsidR="004F5570">
              <w:rPr>
                <w:noProof/>
                <w:webHidden/>
              </w:rPr>
            </w:r>
            <w:r w:rsidR="004F5570">
              <w:rPr>
                <w:noProof/>
                <w:webHidden/>
              </w:rPr>
              <w:fldChar w:fldCharType="separate"/>
            </w:r>
            <w:r>
              <w:rPr>
                <w:noProof/>
                <w:webHidden/>
              </w:rPr>
              <w:t>44</w:t>
            </w:r>
            <w:r w:rsidR="004F5570">
              <w:rPr>
                <w:noProof/>
                <w:webHidden/>
              </w:rPr>
              <w:fldChar w:fldCharType="end"/>
            </w:r>
          </w:hyperlink>
        </w:p>
        <w:p w14:paraId="1ED5BE24" w14:textId="3187BE74" w:rsidR="004F5570" w:rsidRDefault="00A82B79">
          <w:pPr>
            <w:pStyle w:val="TOC3"/>
            <w:rPr>
              <w:rFonts w:eastAsiaTheme="minorEastAsia"/>
              <w:noProof/>
              <w:lang w:eastAsia="en-AU"/>
            </w:rPr>
          </w:pPr>
          <w:hyperlink w:anchor="_Toc67042601" w:history="1">
            <w:r w:rsidR="004F5570" w:rsidRPr="004C3185">
              <w:rPr>
                <w:rStyle w:val="Hyperlink"/>
                <w:noProof/>
              </w:rPr>
              <w:t>3.4.2 Accumulation of demerit points</w:t>
            </w:r>
            <w:r w:rsidR="004F5570">
              <w:rPr>
                <w:noProof/>
                <w:webHidden/>
              </w:rPr>
              <w:tab/>
            </w:r>
            <w:r w:rsidR="004F5570">
              <w:rPr>
                <w:noProof/>
                <w:webHidden/>
              </w:rPr>
              <w:fldChar w:fldCharType="begin"/>
            </w:r>
            <w:r w:rsidR="004F5570">
              <w:rPr>
                <w:noProof/>
                <w:webHidden/>
              </w:rPr>
              <w:instrText xml:space="preserve"> PAGEREF _Toc67042601 \h </w:instrText>
            </w:r>
            <w:r w:rsidR="004F5570">
              <w:rPr>
                <w:noProof/>
                <w:webHidden/>
              </w:rPr>
            </w:r>
            <w:r w:rsidR="004F5570">
              <w:rPr>
                <w:noProof/>
                <w:webHidden/>
              </w:rPr>
              <w:fldChar w:fldCharType="separate"/>
            </w:r>
            <w:r>
              <w:rPr>
                <w:noProof/>
                <w:webHidden/>
              </w:rPr>
              <w:t>45</w:t>
            </w:r>
            <w:r w:rsidR="004F5570">
              <w:rPr>
                <w:noProof/>
                <w:webHidden/>
              </w:rPr>
              <w:fldChar w:fldCharType="end"/>
            </w:r>
          </w:hyperlink>
        </w:p>
        <w:p w14:paraId="08EC3A95" w14:textId="4B96D0B7" w:rsidR="004F5570" w:rsidRDefault="00A82B79">
          <w:pPr>
            <w:pStyle w:val="TOC2"/>
            <w:rPr>
              <w:rFonts w:eastAsiaTheme="minorEastAsia"/>
              <w:noProof/>
              <w:lang w:eastAsia="en-AU"/>
            </w:rPr>
          </w:pPr>
          <w:hyperlink w:anchor="_Toc67042602" w:history="1">
            <w:r w:rsidR="004F5570" w:rsidRPr="004C3185">
              <w:rPr>
                <w:rStyle w:val="Hyperlink"/>
                <w:noProof/>
                <w:lang w:val="en"/>
              </w:rPr>
              <w:t>3.5 Awareness of service elements</w:t>
            </w:r>
            <w:r w:rsidR="004F5570">
              <w:rPr>
                <w:noProof/>
                <w:webHidden/>
              </w:rPr>
              <w:tab/>
            </w:r>
            <w:r w:rsidR="004F5570">
              <w:rPr>
                <w:noProof/>
                <w:webHidden/>
              </w:rPr>
              <w:fldChar w:fldCharType="begin"/>
            </w:r>
            <w:r w:rsidR="004F5570">
              <w:rPr>
                <w:noProof/>
                <w:webHidden/>
              </w:rPr>
              <w:instrText xml:space="preserve"> PAGEREF _Toc67042602 \h </w:instrText>
            </w:r>
            <w:r w:rsidR="004F5570">
              <w:rPr>
                <w:noProof/>
                <w:webHidden/>
              </w:rPr>
            </w:r>
            <w:r w:rsidR="004F5570">
              <w:rPr>
                <w:noProof/>
                <w:webHidden/>
              </w:rPr>
              <w:fldChar w:fldCharType="separate"/>
            </w:r>
            <w:r>
              <w:rPr>
                <w:noProof/>
                <w:webHidden/>
              </w:rPr>
              <w:t>48</w:t>
            </w:r>
            <w:r w:rsidR="004F5570">
              <w:rPr>
                <w:noProof/>
                <w:webHidden/>
              </w:rPr>
              <w:fldChar w:fldCharType="end"/>
            </w:r>
          </w:hyperlink>
        </w:p>
        <w:p w14:paraId="69900EE3" w14:textId="51D053B7" w:rsidR="004F5570" w:rsidRDefault="00A82B79">
          <w:pPr>
            <w:pStyle w:val="TOC1"/>
            <w:rPr>
              <w:rFonts w:eastAsiaTheme="minorEastAsia"/>
              <w:b w:val="0"/>
              <w:noProof/>
              <w:lang w:eastAsia="en-AU"/>
            </w:rPr>
          </w:pPr>
          <w:hyperlink w:anchor="_Toc67042603" w:history="1">
            <w:r w:rsidR="004F5570" w:rsidRPr="004C3185">
              <w:rPr>
                <w:rStyle w:val="Hyperlink"/>
                <w:noProof/>
              </w:rPr>
              <w:t>Chapter 4. The effectiveness of the OEST</w:t>
            </w:r>
            <w:r w:rsidR="004F5570">
              <w:rPr>
                <w:noProof/>
                <w:webHidden/>
              </w:rPr>
              <w:tab/>
            </w:r>
            <w:r w:rsidR="004F5570">
              <w:rPr>
                <w:noProof/>
                <w:webHidden/>
              </w:rPr>
              <w:fldChar w:fldCharType="begin"/>
            </w:r>
            <w:r w:rsidR="004F5570">
              <w:rPr>
                <w:noProof/>
                <w:webHidden/>
              </w:rPr>
              <w:instrText xml:space="preserve"> PAGEREF _Toc67042603 \h </w:instrText>
            </w:r>
            <w:r w:rsidR="004F5570">
              <w:rPr>
                <w:noProof/>
                <w:webHidden/>
              </w:rPr>
            </w:r>
            <w:r w:rsidR="004F5570">
              <w:rPr>
                <w:noProof/>
                <w:webHidden/>
              </w:rPr>
              <w:fldChar w:fldCharType="separate"/>
            </w:r>
            <w:r>
              <w:rPr>
                <w:noProof/>
                <w:webHidden/>
              </w:rPr>
              <w:t>49</w:t>
            </w:r>
            <w:r w:rsidR="004F5570">
              <w:rPr>
                <w:noProof/>
                <w:webHidden/>
              </w:rPr>
              <w:fldChar w:fldCharType="end"/>
            </w:r>
          </w:hyperlink>
        </w:p>
        <w:p w14:paraId="56981379" w14:textId="68CBC1E9" w:rsidR="004F5570" w:rsidRDefault="00A82B79">
          <w:pPr>
            <w:pStyle w:val="TOC2"/>
            <w:rPr>
              <w:rFonts w:eastAsiaTheme="minorEastAsia"/>
              <w:noProof/>
              <w:lang w:eastAsia="en-AU"/>
            </w:rPr>
          </w:pPr>
          <w:hyperlink w:anchor="_Toc67042604" w:history="1">
            <w:r w:rsidR="004F5570" w:rsidRPr="004C3185">
              <w:rPr>
                <w:rStyle w:val="Hyperlink"/>
                <w:noProof/>
              </w:rPr>
              <w:t>4.1 Exiting income support and employment services</w:t>
            </w:r>
            <w:r w:rsidR="004F5570">
              <w:rPr>
                <w:noProof/>
                <w:webHidden/>
              </w:rPr>
              <w:tab/>
            </w:r>
            <w:r w:rsidR="004F5570">
              <w:rPr>
                <w:noProof/>
                <w:webHidden/>
              </w:rPr>
              <w:fldChar w:fldCharType="begin"/>
            </w:r>
            <w:r w:rsidR="004F5570">
              <w:rPr>
                <w:noProof/>
                <w:webHidden/>
              </w:rPr>
              <w:instrText xml:space="preserve"> PAGEREF _Toc67042604 \h </w:instrText>
            </w:r>
            <w:r w:rsidR="004F5570">
              <w:rPr>
                <w:noProof/>
                <w:webHidden/>
              </w:rPr>
            </w:r>
            <w:r w:rsidR="004F5570">
              <w:rPr>
                <w:noProof/>
                <w:webHidden/>
              </w:rPr>
              <w:fldChar w:fldCharType="separate"/>
            </w:r>
            <w:r>
              <w:rPr>
                <w:noProof/>
                <w:webHidden/>
              </w:rPr>
              <w:t>50</w:t>
            </w:r>
            <w:r w:rsidR="004F5570">
              <w:rPr>
                <w:noProof/>
                <w:webHidden/>
              </w:rPr>
              <w:fldChar w:fldCharType="end"/>
            </w:r>
          </w:hyperlink>
        </w:p>
        <w:p w14:paraId="232FF036" w14:textId="47F4D91D" w:rsidR="004F5570" w:rsidRDefault="00A82B79">
          <w:pPr>
            <w:pStyle w:val="TOC3"/>
            <w:rPr>
              <w:rFonts w:eastAsiaTheme="minorEastAsia"/>
              <w:noProof/>
              <w:lang w:eastAsia="en-AU"/>
            </w:rPr>
          </w:pPr>
          <w:hyperlink w:anchor="_Toc67042605" w:history="1">
            <w:r w:rsidR="004F5570" w:rsidRPr="004C3185">
              <w:rPr>
                <w:rStyle w:val="Hyperlink"/>
                <w:noProof/>
              </w:rPr>
              <w:t>4.1.1 Exit rates after transferring to provider servicing</w:t>
            </w:r>
            <w:r w:rsidR="004F5570">
              <w:rPr>
                <w:noProof/>
                <w:webHidden/>
              </w:rPr>
              <w:tab/>
            </w:r>
            <w:r w:rsidR="004F5570">
              <w:rPr>
                <w:noProof/>
                <w:webHidden/>
              </w:rPr>
              <w:fldChar w:fldCharType="begin"/>
            </w:r>
            <w:r w:rsidR="004F5570">
              <w:rPr>
                <w:noProof/>
                <w:webHidden/>
              </w:rPr>
              <w:instrText xml:space="preserve"> PAGEREF _Toc67042605 \h </w:instrText>
            </w:r>
            <w:r w:rsidR="004F5570">
              <w:rPr>
                <w:noProof/>
                <w:webHidden/>
              </w:rPr>
            </w:r>
            <w:r w:rsidR="004F5570">
              <w:rPr>
                <w:noProof/>
                <w:webHidden/>
              </w:rPr>
              <w:fldChar w:fldCharType="separate"/>
            </w:r>
            <w:r>
              <w:rPr>
                <w:noProof/>
                <w:webHidden/>
              </w:rPr>
              <w:t>51</w:t>
            </w:r>
            <w:r w:rsidR="004F5570">
              <w:rPr>
                <w:noProof/>
                <w:webHidden/>
              </w:rPr>
              <w:fldChar w:fldCharType="end"/>
            </w:r>
          </w:hyperlink>
        </w:p>
        <w:p w14:paraId="011F06A3" w14:textId="294233A7" w:rsidR="004F5570" w:rsidRDefault="00A82B79">
          <w:pPr>
            <w:pStyle w:val="TOC3"/>
            <w:rPr>
              <w:rFonts w:eastAsiaTheme="minorEastAsia"/>
              <w:noProof/>
              <w:lang w:eastAsia="en-AU"/>
            </w:rPr>
          </w:pPr>
          <w:hyperlink w:anchor="_Toc67042606" w:history="1">
            <w:r w:rsidR="004F5570" w:rsidRPr="004C3185">
              <w:rPr>
                <w:rStyle w:val="Hyperlink"/>
                <w:noProof/>
              </w:rPr>
              <w:t>4.1.2 Impact of job seeker characteristics on exits from income support and employment services</w:t>
            </w:r>
            <w:r w:rsidR="004F5570">
              <w:rPr>
                <w:noProof/>
                <w:webHidden/>
              </w:rPr>
              <w:tab/>
            </w:r>
            <w:r w:rsidR="004F5570">
              <w:rPr>
                <w:noProof/>
                <w:webHidden/>
              </w:rPr>
              <w:fldChar w:fldCharType="begin"/>
            </w:r>
            <w:r w:rsidR="004F5570">
              <w:rPr>
                <w:noProof/>
                <w:webHidden/>
              </w:rPr>
              <w:instrText xml:space="preserve"> PAGEREF _Toc67042606 \h </w:instrText>
            </w:r>
            <w:r w:rsidR="004F5570">
              <w:rPr>
                <w:noProof/>
                <w:webHidden/>
              </w:rPr>
            </w:r>
            <w:r w:rsidR="004F5570">
              <w:rPr>
                <w:noProof/>
                <w:webHidden/>
              </w:rPr>
              <w:fldChar w:fldCharType="separate"/>
            </w:r>
            <w:r>
              <w:rPr>
                <w:noProof/>
                <w:webHidden/>
              </w:rPr>
              <w:t>52</w:t>
            </w:r>
            <w:r w:rsidR="004F5570">
              <w:rPr>
                <w:noProof/>
                <w:webHidden/>
              </w:rPr>
              <w:fldChar w:fldCharType="end"/>
            </w:r>
          </w:hyperlink>
        </w:p>
        <w:p w14:paraId="1E4E457A" w14:textId="639F3321" w:rsidR="004F5570" w:rsidRDefault="00A82B79">
          <w:pPr>
            <w:pStyle w:val="TOC3"/>
            <w:rPr>
              <w:rFonts w:eastAsiaTheme="minorEastAsia"/>
              <w:noProof/>
              <w:lang w:eastAsia="en-AU"/>
            </w:rPr>
          </w:pPr>
          <w:hyperlink w:anchor="_Toc67042607" w:history="1">
            <w:r w:rsidR="004F5570" w:rsidRPr="004C3185">
              <w:rPr>
                <w:rStyle w:val="Hyperlink"/>
                <w:noProof/>
              </w:rPr>
              <w:t>4.1.3 Sustainability of exits from income support</w:t>
            </w:r>
            <w:r w:rsidR="004F5570">
              <w:rPr>
                <w:noProof/>
                <w:webHidden/>
              </w:rPr>
              <w:tab/>
            </w:r>
            <w:r w:rsidR="004F5570">
              <w:rPr>
                <w:noProof/>
                <w:webHidden/>
              </w:rPr>
              <w:fldChar w:fldCharType="begin"/>
            </w:r>
            <w:r w:rsidR="004F5570">
              <w:rPr>
                <w:noProof/>
                <w:webHidden/>
              </w:rPr>
              <w:instrText xml:space="preserve"> PAGEREF _Toc67042607 \h </w:instrText>
            </w:r>
            <w:r w:rsidR="004F5570">
              <w:rPr>
                <w:noProof/>
                <w:webHidden/>
              </w:rPr>
            </w:r>
            <w:r w:rsidR="004F5570">
              <w:rPr>
                <w:noProof/>
                <w:webHidden/>
              </w:rPr>
              <w:fldChar w:fldCharType="separate"/>
            </w:r>
            <w:r>
              <w:rPr>
                <w:noProof/>
                <w:webHidden/>
              </w:rPr>
              <w:t>54</w:t>
            </w:r>
            <w:r w:rsidR="004F5570">
              <w:rPr>
                <w:noProof/>
                <w:webHidden/>
              </w:rPr>
              <w:fldChar w:fldCharType="end"/>
            </w:r>
          </w:hyperlink>
        </w:p>
        <w:p w14:paraId="3BCC1DE2" w14:textId="637F5445" w:rsidR="004F5570" w:rsidRDefault="00A82B79">
          <w:pPr>
            <w:pStyle w:val="TOC2"/>
            <w:rPr>
              <w:rFonts w:eastAsiaTheme="minorEastAsia"/>
              <w:noProof/>
              <w:lang w:eastAsia="en-AU"/>
            </w:rPr>
          </w:pPr>
          <w:hyperlink w:anchor="_Toc67042608" w:history="1">
            <w:r w:rsidR="004F5570" w:rsidRPr="004C3185">
              <w:rPr>
                <w:rStyle w:val="Hyperlink"/>
                <w:noProof/>
              </w:rPr>
              <w:t>4.2 Employment and study rates</w:t>
            </w:r>
            <w:r w:rsidR="004F5570">
              <w:rPr>
                <w:noProof/>
                <w:webHidden/>
              </w:rPr>
              <w:tab/>
            </w:r>
            <w:r w:rsidR="004F5570">
              <w:rPr>
                <w:noProof/>
                <w:webHidden/>
              </w:rPr>
              <w:fldChar w:fldCharType="begin"/>
            </w:r>
            <w:r w:rsidR="004F5570">
              <w:rPr>
                <w:noProof/>
                <w:webHidden/>
              </w:rPr>
              <w:instrText xml:space="preserve"> PAGEREF _Toc67042608 \h </w:instrText>
            </w:r>
            <w:r w:rsidR="004F5570">
              <w:rPr>
                <w:noProof/>
                <w:webHidden/>
              </w:rPr>
            </w:r>
            <w:r w:rsidR="004F5570">
              <w:rPr>
                <w:noProof/>
                <w:webHidden/>
              </w:rPr>
              <w:fldChar w:fldCharType="separate"/>
            </w:r>
            <w:r>
              <w:rPr>
                <w:noProof/>
                <w:webHidden/>
              </w:rPr>
              <w:t>54</w:t>
            </w:r>
            <w:r w:rsidR="004F5570">
              <w:rPr>
                <w:noProof/>
                <w:webHidden/>
              </w:rPr>
              <w:fldChar w:fldCharType="end"/>
            </w:r>
          </w:hyperlink>
        </w:p>
        <w:p w14:paraId="20A32DCC" w14:textId="33A14CF3" w:rsidR="004F5570" w:rsidRDefault="00A82B79">
          <w:pPr>
            <w:pStyle w:val="TOC3"/>
            <w:rPr>
              <w:rFonts w:eastAsiaTheme="minorEastAsia"/>
              <w:noProof/>
              <w:lang w:eastAsia="en-AU"/>
            </w:rPr>
          </w:pPr>
          <w:hyperlink w:anchor="_Toc67042609" w:history="1">
            <w:r w:rsidR="004F5570" w:rsidRPr="004C3185">
              <w:rPr>
                <w:rStyle w:val="Hyperlink"/>
                <w:noProof/>
              </w:rPr>
              <w:t>4.2.1 Employment rates</w:t>
            </w:r>
            <w:r w:rsidR="004F5570">
              <w:rPr>
                <w:noProof/>
                <w:webHidden/>
              </w:rPr>
              <w:tab/>
            </w:r>
            <w:r w:rsidR="004F5570">
              <w:rPr>
                <w:noProof/>
                <w:webHidden/>
              </w:rPr>
              <w:fldChar w:fldCharType="begin"/>
            </w:r>
            <w:r w:rsidR="004F5570">
              <w:rPr>
                <w:noProof/>
                <w:webHidden/>
              </w:rPr>
              <w:instrText xml:space="preserve"> PAGEREF _Toc67042609 \h </w:instrText>
            </w:r>
            <w:r w:rsidR="004F5570">
              <w:rPr>
                <w:noProof/>
                <w:webHidden/>
              </w:rPr>
            </w:r>
            <w:r w:rsidR="004F5570">
              <w:rPr>
                <w:noProof/>
                <w:webHidden/>
              </w:rPr>
              <w:fldChar w:fldCharType="separate"/>
            </w:r>
            <w:r>
              <w:rPr>
                <w:noProof/>
                <w:webHidden/>
              </w:rPr>
              <w:t>54</w:t>
            </w:r>
            <w:r w:rsidR="004F5570">
              <w:rPr>
                <w:noProof/>
                <w:webHidden/>
              </w:rPr>
              <w:fldChar w:fldCharType="end"/>
            </w:r>
          </w:hyperlink>
        </w:p>
        <w:p w14:paraId="2F20C03B" w14:textId="1C8B0AB2" w:rsidR="004F5570" w:rsidRDefault="00A82B79">
          <w:pPr>
            <w:pStyle w:val="TOC3"/>
            <w:rPr>
              <w:rFonts w:eastAsiaTheme="minorEastAsia"/>
              <w:noProof/>
              <w:lang w:eastAsia="en-AU"/>
            </w:rPr>
          </w:pPr>
          <w:hyperlink w:anchor="_Toc67042610" w:history="1">
            <w:r w:rsidR="004F5570" w:rsidRPr="004C3185">
              <w:rPr>
                <w:rStyle w:val="Hyperlink"/>
                <w:noProof/>
              </w:rPr>
              <w:t>4.2.2 Undertaking study and training</w:t>
            </w:r>
            <w:r w:rsidR="004F5570">
              <w:rPr>
                <w:noProof/>
                <w:webHidden/>
              </w:rPr>
              <w:tab/>
            </w:r>
            <w:r w:rsidR="004F5570">
              <w:rPr>
                <w:noProof/>
                <w:webHidden/>
              </w:rPr>
              <w:fldChar w:fldCharType="begin"/>
            </w:r>
            <w:r w:rsidR="004F5570">
              <w:rPr>
                <w:noProof/>
                <w:webHidden/>
              </w:rPr>
              <w:instrText xml:space="preserve"> PAGEREF _Toc67042610 \h </w:instrText>
            </w:r>
            <w:r w:rsidR="004F5570">
              <w:rPr>
                <w:noProof/>
                <w:webHidden/>
              </w:rPr>
            </w:r>
            <w:r w:rsidR="004F5570">
              <w:rPr>
                <w:noProof/>
                <w:webHidden/>
              </w:rPr>
              <w:fldChar w:fldCharType="separate"/>
            </w:r>
            <w:r>
              <w:rPr>
                <w:noProof/>
                <w:webHidden/>
              </w:rPr>
              <w:t>56</w:t>
            </w:r>
            <w:r w:rsidR="004F5570">
              <w:rPr>
                <w:noProof/>
                <w:webHidden/>
              </w:rPr>
              <w:fldChar w:fldCharType="end"/>
            </w:r>
          </w:hyperlink>
        </w:p>
        <w:p w14:paraId="167B5819" w14:textId="5A20C33A" w:rsidR="004F5570" w:rsidRDefault="00A82B79">
          <w:pPr>
            <w:pStyle w:val="TOC2"/>
            <w:rPr>
              <w:rFonts w:eastAsiaTheme="minorEastAsia"/>
              <w:noProof/>
              <w:lang w:eastAsia="en-AU"/>
            </w:rPr>
          </w:pPr>
          <w:hyperlink w:anchor="_Toc67042611" w:history="1">
            <w:r w:rsidR="004F5570" w:rsidRPr="004C3185">
              <w:rPr>
                <w:rStyle w:val="Hyperlink"/>
                <w:noProof/>
              </w:rPr>
              <w:t>4.3 Cost-effectiveness</w:t>
            </w:r>
            <w:r w:rsidR="004F5570">
              <w:rPr>
                <w:noProof/>
                <w:webHidden/>
              </w:rPr>
              <w:tab/>
            </w:r>
            <w:r w:rsidR="004F5570">
              <w:rPr>
                <w:noProof/>
                <w:webHidden/>
              </w:rPr>
              <w:fldChar w:fldCharType="begin"/>
            </w:r>
            <w:r w:rsidR="004F5570">
              <w:rPr>
                <w:noProof/>
                <w:webHidden/>
              </w:rPr>
              <w:instrText xml:space="preserve"> PAGEREF _Toc67042611 \h </w:instrText>
            </w:r>
            <w:r w:rsidR="004F5570">
              <w:rPr>
                <w:noProof/>
                <w:webHidden/>
              </w:rPr>
            </w:r>
            <w:r w:rsidR="004F5570">
              <w:rPr>
                <w:noProof/>
                <w:webHidden/>
              </w:rPr>
              <w:fldChar w:fldCharType="separate"/>
            </w:r>
            <w:r>
              <w:rPr>
                <w:noProof/>
                <w:webHidden/>
              </w:rPr>
              <w:t>57</w:t>
            </w:r>
            <w:r w:rsidR="004F5570">
              <w:rPr>
                <w:noProof/>
                <w:webHidden/>
              </w:rPr>
              <w:fldChar w:fldCharType="end"/>
            </w:r>
          </w:hyperlink>
        </w:p>
        <w:p w14:paraId="14EF878F" w14:textId="1631ADAE" w:rsidR="004F5570" w:rsidRDefault="00A82B79">
          <w:pPr>
            <w:pStyle w:val="TOC2"/>
            <w:rPr>
              <w:rFonts w:eastAsiaTheme="minorEastAsia"/>
              <w:noProof/>
              <w:lang w:eastAsia="en-AU"/>
            </w:rPr>
          </w:pPr>
          <w:hyperlink w:anchor="_Toc67042612" w:history="1">
            <w:r w:rsidR="004F5570" w:rsidRPr="004C3185">
              <w:rPr>
                <w:rStyle w:val="Hyperlink"/>
                <w:noProof/>
              </w:rPr>
              <w:t>4.4 Participants’ confidence</w:t>
            </w:r>
            <w:r w:rsidR="004F5570">
              <w:rPr>
                <w:noProof/>
                <w:webHidden/>
              </w:rPr>
              <w:tab/>
            </w:r>
            <w:r w:rsidR="004F5570">
              <w:rPr>
                <w:noProof/>
                <w:webHidden/>
              </w:rPr>
              <w:fldChar w:fldCharType="begin"/>
            </w:r>
            <w:r w:rsidR="004F5570">
              <w:rPr>
                <w:noProof/>
                <w:webHidden/>
              </w:rPr>
              <w:instrText xml:space="preserve"> PAGEREF _Toc67042612 \h </w:instrText>
            </w:r>
            <w:r w:rsidR="004F5570">
              <w:rPr>
                <w:noProof/>
                <w:webHidden/>
              </w:rPr>
            </w:r>
            <w:r w:rsidR="004F5570">
              <w:rPr>
                <w:noProof/>
                <w:webHidden/>
              </w:rPr>
              <w:fldChar w:fldCharType="separate"/>
            </w:r>
            <w:r>
              <w:rPr>
                <w:noProof/>
                <w:webHidden/>
              </w:rPr>
              <w:t>58</w:t>
            </w:r>
            <w:r w:rsidR="004F5570">
              <w:rPr>
                <w:noProof/>
                <w:webHidden/>
              </w:rPr>
              <w:fldChar w:fldCharType="end"/>
            </w:r>
          </w:hyperlink>
        </w:p>
        <w:p w14:paraId="44302F92" w14:textId="68325F66" w:rsidR="004F5570" w:rsidRDefault="00A82B79">
          <w:pPr>
            <w:pStyle w:val="TOC3"/>
            <w:rPr>
              <w:rFonts w:eastAsiaTheme="minorEastAsia"/>
              <w:noProof/>
              <w:lang w:eastAsia="en-AU"/>
            </w:rPr>
          </w:pPr>
          <w:hyperlink w:anchor="_Toc67042613" w:history="1">
            <w:r w:rsidR="004F5570" w:rsidRPr="004C3185">
              <w:rPr>
                <w:rStyle w:val="Hyperlink"/>
                <w:noProof/>
              </w:rPr>
              <w:t>4.4.1 Confidence in job search skills</w:t>
            </w:r>
            <w:r w:rsidR="004F5570">
              <w:rPr>
                <w:noProof/>
                <w:webHidden/>
              </w:rPr>
              <w:tab/>
            </w:r>
            <w:r w:rsidR="004F5570">
              <w:rPr>
                <w:noProof/>
                <w:webHidden/>
              </w:rPr>
              <w:fldChar w:fldCharType="begin"/>
            </w:r>
            <w:r w:rsidR="004F5570">
              <w:rPr>
                <w:noProof/>
                <w:webHidden/>
              </w:rPr>
              <w:instrText xml:space="preserve"> PAGEREF _Toc67042613 \h </w:instrText>
            </w:r>
            <w:r w:rsidR="004F5570">
              <w:rPr>
                <w:noProof/>
                <w:webHidden/>
              </w:rPr>
            </w:r>
            <w:r w:rsidR="004F5570">
              <w:rPr>
                <w:noProof/>
                <w:webHidden/>
              </w:rPr>
              <w:fldChar w:fldCharType="separate"/>
            </w:r>
            <w:r>
              <w:rPr>
                <w:noProof/>
                <w:webHidden/>
              </w:rPr>
              <w:t>58</w:t>
            </w:r>
            <w:r w:rsidR="004F5570">
              <w:rPr>
                <w:noProof/>
                <w:webHidden/>
              </w:rPr>
              <w:fldChar w:fldCharType="end"/>
            </w:r>
          </w:hyperlink>
        </w:p>
        <w:p w14:paraId="079DDDD7" w14:textId="04453B4C" w:rsidR="004F5570" w:rsidRDefault="00A82B79">
          <w:pPr>
            <w:pStyle w:val="TOC3"/>
            <w:rPr>
              <w:rFonts w:eastAsiaTheme="minorEastAsia"/>
              <w:noProof/>
              <w:lang w:eastAsia="en-AU"/>
            </w:rPr>
          </w:pPr>
          <w:hyperlink w:anchor="_Toc67042614" w:history="1">
            <w:r w:rsidR="004F5570" w:rsidRPr="004C3185">
              <w:rPr>
                <w:rStyle w:val="Hyperlink"/>
                <w:noProof/>
              </w:rPr>
              <w:t>4.4.2 Confidence in finding and retaining a job</w:t>
            </w:r>
            <w:r w:rsidR="004F5570">
              <w:rPr>
                <w:noProof/>
                <w:webHidden/>
              </w:rPr>
              <w:tab/>
            </w:r>
            <w:r w:rsidR="004F5570">
              <w:rPr>
                <w:noProof/>
                <w:webHidden/>
              </w:rPr>
              <w:fldChar w:fldCharType="begin"/>
            </w:r>
            <w:r w:rsidR="004F5570">
              <w:rPr>
                <w:noProof/>
                <w:webHidden/>
              </w:rPr>
              <w:instrText xml:space="preserve"> PAGEREF _Toc67042614 \h </w:instrText>
            </w:r>
            <w:r w:rsidR="004F5570">
              <w:rPr>
                <w:noProof/>
                <w:webHidden/>
              </w:rPr>
            </w:r>
            <w:r w:rsidR="004F5570">
              <w:rPr>
                <w:noProof/>
                <w:webHidden/>
              </w:rPr>
              <w:fldChar w:fldCharType="separate"/>
            </w:r>
            <w:r>
              <w:rPr>
                <w:noProof/>
                <w:webHidden/>
              </w:rPr>
              <w:t>59</w:t>
            </w:r>
            <w:r w:rsidR="004F5570">
              <w:rPr>
                <w:noProof/>
                <w:webHidden/>
              </w:rPr>
              <w:fldChar w:fldCharType="end"/>
            </w:r>
          </w:hyperlink>
        </w:p>
        <w:p w14:paraId="4E5446DD" w14:textId="7FB7E798" w:rsidR="004F5570" w:rsidRDefault="00A82B79">
          <w:pPr>
            <w:pStyle w:val="TOC3"/>
            <w:rPr>
              <w:rFonts w:eastAsiaTheme="minorEastAsia"/>
              <w:noProof/>
              <w:lang w:eastAsia="en-AU"/>
            </w:rPr>
          </w:pPr>
          <w:hyperlink w:anchor="_Toc67042615" w:history="1">
            <w:r w:rsidR="004F5570" w:rsidRPr="004C3185">
              <w:rPr>
                <w:rStyle w:val="Hyperlink"/>
                <w:noProof/>
              </w:rPr>
              <w:t>4.4.3 Confidence in job search resources and support</w:t>
            </w:r>
            <w:r w:rsidR="004F5570">
              <w:rPr>
                <w:noProof/>
                <w:webHidden/>
              </w:rPr>
              <w:tab/>
            </w:r>
            <w:r w:rsidR="004F5570">
              <w:rPr>
                <w:noProof/>
                <w:webHidden/>
              </w:rPr>
              <w:fldChar w:fldCharType="begin"/>
            </w:r>
            <w:r w:rsidR="004F5570">
              <w:rPr>
                <w:noProof/>
                <w:webHidden/>
              </w:rPr>
              <w:instrText xml:space="preserve"> PAGEREF _Toc67042615 \h </w:instrText>
            </w:r>
            <w:r w:rsidR="004F5570">
              <w:rPr>
                <w:noProof/>
                <w:webHidden/>
              </w:rPr>
            </w:r>
            <w:r w:rsidR="004F5570">
              <w:rPr>
                <w:noProof/>
                <w:webHidden/>
              </w:rPr>
              <w:fldChar w:fldCharType="separate"/>
            </w:r>
            <w:r>
              <w:rPr>
                <w:noProof/>
                <w:webHidden/>
              </w:rPr>
              <w:t>60</w:t>
            </w:r>
            <w:r w:rsidR="004F5570">
              <w:rPr>
                <w:noProof/>
                <w:webHidden/>
              </w:rPr>
              <w:fldChar w:fldCharType="end"/>
            </w:r>
          </w:hyperlink>
        </w:p>
        <w:p w14:paraId="122F6A40" w14:textId="2DB51E0D" w:rsidR="004F5570" w:rsidRDefault="00A82B79">
          <w:pPr>
            <w:pStyle w:val="TOC1"/>
            <w:rPr>
              <w:rFonts w:eastAsiaTheme="minorEastAsia"/>
              <w:b w:val="0"/>
              <w:noProof/>
              <w:lang w:eastAsia="en-AU"/>
            </w:rPr>
          </w:pPr>
          <w:hyperlink w:anchor="_Toc67042616" w:history="1">
            <w:r w:rsidR="004F5570" w:rsidRPr="004C3185">
              <w:rPr>
                <w:rStyle w:val="Hyperlink"/>
                <w:noProof/>
              </w:rPr>
              <w:t>Chapter 5. OEST participant experience</w:t>
            </w:r>
            <w:r w:rsidR="004F5570">
              <w:rPr>
                <w:noProof/>
                <w:webHidden/>
              </w:rPr>
              <w:tab/>
            </w:r>
            <w:r w:rsidR="004F5570">
              <w:rPr>
                <w:noProof/>
                <w:webHidden/>
              </w:rPr>
              <w:fldChar w:fldCharType="begin"/>
            </w:r>
            <w:r w:rsidR="004F5570">
              <w:rPr>
                <w:noProof/>
                <w:webHidden/>
              </w:rPr>
              <w:instrText xml:space="preserve"> PAGEREF _Toc67042616 \h </w:instrText>
            </w:r>
            <w:r w:rsidR="004F5570">
              <w:rPr>
                <w:noProof/>
                <w:webHidden/>
              </w:rPr>
            </w:r>
            <w:r w:rsidR="004F5570">
              <w:rPr>
                <w:noProof/>
                <w:webHidden/>
              </w:rPr>
              <w:fldChar w:fldCharType="separate"/>
            </w:r>
            <w:r>
              <w:rPr>
                <w:noProof/>
                <w:webHidden/>
              </w:rPr>
              <w:t>61</w:t>
            </w:r>
            <w:r w:rsidR="004F5570">
              <w:rPr>
                <w:noProof/>
                <w:webHidden/>
              </w:rPr>
              <w:fldChar w:fldCharType="end"/>
            </w:r>
          </w:hyperlink>
        </w:p>
        <w:p w14:paraId="400BC42F" w14:textId="1ADAD5E1" w:rsidR="004F5570" w:rsidRDefault="00A82B79">
          <w:pPr>
            <w:pStyle w:val="TOC2"/>
            <w:rPr>
              <w:rFonts w:eastAsiaTheme="minorEastAsia"/>
              <w:noProof/>
              <w:lang w:eastAsia="en-AU"/>
            </w:rPr>
          </w:pPr>
          <w:hyperlink w:anchor="_Toc67042617" w:history="1">
            <w:r w:rsidR="004F5570" w:rsidRPr="004C3185">
              <w:rPr>
                <w:rStyle w:val="Hyperlink"/>
                <w:noProof/>
              </w:rPr>
              <w:t>5.1 Participants’ experiences with the OEST</w:t>
            </w:r>
            <w:r w:rsidR="004F5570">
              <w:rPr>
                <w:noProof/>
                <w:webHidden/>
              </w:rPr>
              <w:tab/>
            </w:r>
            <w:r w:rsidR="004F5570">
              <w:rPr>
                <w:noProof/>
                <w:webHidden/>
              </w:rPr>
              <w:fldChar w:fldCharType="begin"/>
            </w:r>
            <w:r w:rsidR="004F5570">
              <w:rPr>
                <w:noProof/>
                <w:webHidden/>
              </w:rPr>
              <w:instrText xml:space="preserve"> PAGEREF _Toc67042617 \h </w:instrText>
            </w:r>
            <w:r w:rsidR="004F5570">
              <w:rPr>
                <w:noProof/>
                <w:webHidden/>
              </w:rPr>
            </w:r>
            <w:r w:rsidR="004F5570">
              <w:rPr>
                <w:noProof/>
                <w:webHidden/>
              </w:rPr>
              <w:fldChar w:fldCharType="separate"/>
            </w:r>
            <w:r>
              <w:rPr>
                <w:noProof/>
                <w:webHidden/>
              </w:rPr>
              <w:t>61</w:t>
            </w:r>
            <w:r w:rsidR="004F5570">
              <w:rPr>
                <w:noProof/>
                <w:webHidden/>
              </w:rPr>
              <w:fldChar w:fldCharType="end"/>
            </w:r>
          </w:hyperlink>
        </w:p>
        <w:p w14:paraId="1E721BFD" w14:textId="718F6D00" w:rsidR="004F5570" w:rsidRDefault="00A82B79">
          <w:pPr>
            <w:pStyle w:val="TOC3"/>
            <w:rPr>
              <w:rFonts w:eastAsiaTheme="minorEastAsia"/>
              <w:noProof/>
              <w:lang w:eastAsia="en-AU"/>
            </w:rPr>
          </w:pPr>
          <w:hyperlink w:anchor="_Toc67042618" w:history="1">
            <w:r w:rsidR="004F5570" w:rsidRPr="004C3185">
              <w:rPr>
                <w:rStyle w:val="Hyperlink"/>
                <w:noProof/>
              </w:rPr>
              <w:t>5.1.1 Satisfaction with online servicing</w:t>
            </w:r>
            <w:r w:rsidR="004F5570">
              <w:rPr>
                <w:noProof/>
                <w:webHidden/>
              </w:rPr>
              <w:tab/>
            </w:r>
            <w:r w:rsidR="004F5570">
              <w:rPr>
                <w:noProof/>
                <w:webHidden/>
              </w:rPr>
              <w:fldChar w:fldCharType="begin"/>
            </w:r>
            <w:r w:rsidR="004F5570">
              <w:rPr>
                <w:noProof/>
                <w:webHidden/>
              </w:rPr>
              <w:instrText xml:space="preserve"> PAGEREF _Toc67042618 \h </w:instrText>
            </w:r>
            <w:r w:rsidR="004F5570">
              <w:rPr>
                <w:noProof/>
                <w:webHidden/>
              </w:rPr>
            </w:r>
            <w:r w:rsidR="004F5570">
              <w:rPr>
                <w:noProof/>
                <w:webHidden/>
              </w:rPr>
              <w:fldChar w:fldCharType="separate"/>
            </w:r>
            <w:r>
              <w:rPr>
                <w:noProof/>
                <w:webHidden/>
              </w:rPr>
              <w:t>61</w:t>
            </w:r>
            <w:r w:rsidR="004F5570">
              <w:rPr>
                <w:noProof/>
                <w:webHidden/>
              </w:rPr>
              <w:fldChar w:fldCharType="end"/>
            </w:r>
          </w:hyperlink>
        </w:p>
        <w:p w14:paraId="1AA87561" w14:textId="3A2E70E1" w:rsidR="004F5570" w:rsidRDefault="00A82B79">
          <w:pPr>
            <w:pStyle w:val="TOC3"/>
            <w:rPr>
              <w:rFonts w:eastAsiaTheme="minorEastAsia"/>
              <w:noProof/>
              <w:lang w:eastAsia="en-AU"/>
            </w:rPr>
          </w:pPr>
          <w:hyperlink w:anchor="_Toc67042619" w:history="1">
            <w:r w:rsidR="004F5570" w:rsidRPr="004C3185">
              <w:rPr>
                <w:rStyle w:val="Hyperlink"/>
                <w:noProof/>
              </w:rPr>
              <w:t>5.1.2 Advantages and disadvantages of online servicing</w:t>
            </w:r>
            <w:r w:rsidR="004F5570">
              <w:rPr>
                <w:noProof/>
                <w:webHidden/>
              </w:rPr>
              <w:tab/>
            </w:r>
            <w:r w:rsidR="004F5570">
              <w:rPr>
                <w:noProof/>
                <w:webHidden/>
              </w:rPr>
              <w:fldChar w:fldCharType="begin"/>
            </w:r>
            <w:r w:rsidR="004F5570">
              <w:rPr>
                <w:noProof/>
                <w:webHidden/>
              </w:rPr>
              <w:instrText xml:space="preserve"> PAGEREF _Toc67042619 \h </w:instrText>
            </w:r>
            <w:r w:rsidR="004F5570">
              <w:rPr>
                <w:noProof/>
                <w:webHidden/>
              </w:rPr>
            </w:r>
            <w:r w:rsidR="004F5570">
              <w:rPr>
                <w:noProof/>
                <w:webHidden/>
              </w:rPr>
              <w:fldChar w:fldCharType="separate"/>
            </w:r>
            <w:r>
              <w:rPr>
                <w:noProof/>
                <w:webHidden/>
              </w:rPr>
              <w:t>63</w:t>
            </w:r>
            <w:r w:rsidR="004F5570">
              <w:rPr>
                <w:noProof/>
                <w:webHidden/>
              </w:rPr>
              <w:fldChar w:fldCharType="end"/>
            </w:r>
          </w:hyperlink>
        </w:p>
        <w:p w14:paraId="4BABD41E" w14:textId="6D1B2C87" w:rsidR="004F5570" w:rsidRDefault="00A82B79">
          <w:pPr>
            <w:pStyle w:val="TOC3"/>
            <w:rPr>
              <w:rFonts w:eastAsiaTheme="minorEastAsia"/>
              <w:noProof/>
              <w:lang w:eastAsia="en-AU"/>
            </w:rPr>
          </w:pPr>
          <w:hyperlink w:anchor="_Toc67042620" w:history="1">
            <w:r w:rsidR="004F5570" w:rsidRPr="004C3185">
              <w:rPr>
                <w:rStyle w:val="Hyperlink"/>
                <w:noProof/>
              </w:rPr>
              <w:t>5.1.3 Preference for online or provider servicing</w:t>
            </w:r>
            <w:r w:rsidR="004F5570">
              <w:rPr>
                <w:noProof/>
                <w:webHidden/>
              </w:rPr>
              <w:tab/>
            </w:r>
            <w:r w:rsidR="004F5570">
              <w:rPr>
                <w:noProof/>
                <w:webHidden/>
              </w:rPr>
              <w:fldChar w:fldCharType="begin"/>
            </w:r>
            <w:r w:rsidR="004F5570">
              <w:rPr>
                <w:noProof/>
                <w:webHidden/>
              </w:rPr>
              <w:instrText xml:space="preserve"> PAGEREF _Toc67042620 \h </w:instrText>
            </w:r>
            <w:r w:rsidR="004F5570">
              <w:rPr>
                <w:noProof/>
                <w:webHidden/>
              </w:rPr>
            </w:r>
            <w:r w:rsidR="004F5570">
              <w:rPr>
                <w:noProof/>
                <w:webHidden/>
              </w:rPr>
              <w:fldChar w:fldCharType="separate"/>
            </w:r>
            <w:r>
              <w:rPr>
                <w:noProof/>
                <w:webHidden/>
              </w:rPr>
              <w:t>64</w:t>
            </w:r>
            <w:r w:rsidR="004F5570">
              <w:rPr>
                <w:noProof/>
                <w:webHidden/>
              </w:rPr>
              <w:fldChar w:fldCharType="end"/>
            </w:r>
          </w:hyperlink>
        </w:p>
        <w:p w14:paraId="19F5607D" w14:textId="7171AC6E" w:rsidR="004F5570" w:rsidRDefault="00A82B79">
          <w:pPr>
            <w:pStyle w:val="TOC3"/>
            <w:rPr>
              <w:rFonts w:eastAsiaTheme="minorEastAsia"/>
              <w:noProof/>
              <w:lang w:eastAsia="en-AU"/>
            </w:rPr>
          </w:pPr>
          <w:hyperlink w:anchor="_Toc67042621" w:history="1">
            <w:r w:rsidR="004F5570" w:rsidRPr="004C3185">
              <w:rPr>
                <w:rStyle w:val="Hyperlink"/>
                <w:noProof/>
              </w:rPr>
              <w:t>5.1.4 Duration of online servicing</w:t>
            </w:r>
            <w:r w:rsidR="004F5570">
              <w:rPr>
                <w:noProof/>
                <w:webHidden/>
              </w:rPr>
              <w:tab/>
            </w:r>
            <w:r w:rsidR="004F5570">
              <w:rPr>
                <w:noProof/>
                <w:webHidden/>
              </w:rPr>
              <w:fldChar w:fldCharType="begin"/>
            </w:r>
            <w:r w:rsidR="004F5570">
              <w:rPr>
                <w:noProof/>
                <w:webHidden/>
              </w:rPr>
              <w:instrText xml:space="preserve"> PAGEREF _Toc67042621 \h </w:instrText>
            </w:r>
            <w:r w:rsidR="004F5570">
              <w:rPr>
                <w:noProof/>
                <w:webHidden/>
              </w:rPr>
            </w:r>
            <w:r w:rsidR="004F5570">
              <w:rPr>
                <w:noProof/>
                <w:webHidden/>
              </w:rPr>
              <w:fldChar w:fldCharType="separate"/>
            </w:r>
            <w:r>
              <w:rPr>
                <w:noProof/>
                <w:webHidden/>
              </w:rPr>
              <w:t>65</w:t>
            </w:r>
            <w:r w:rsidR="004F5570">
              <w:rPr>
                <w:noProof/>
                <w:webHidden/>
              </w:rPr>
              <w:fldChar w:fldCharType="end"/>
            </w:r>
          </w:hyperlink>
        </w:p>
        <w:p w14:paraId="758349DD" w14:textId="23A480AA" w:rsidR="004F5570" w:rsidRDefault="00A82B79">
          <w:pPr>
            <w:pStyle w:val="TOC2"/>
            <w:rPr>
              <w:rFonts w:eastAsiaTheme="minorEastAsia"/>
              <w:noProof/>
              <w:lang w:eastAsia="en-AU"/>
            </w:rPr>
          </w:pPr>
          <w:hyperlink w:anchor="_Toc67042622" w:history="1">
            <w:r w:rsidR="004F5570" w:rsidRPr="004C3185">
              <w:rPr>
                <w:rStyle w:val="Hyperlink"/>
                <w:noProof/>
              </w:rPr>
              <w:t>5.2 Transferring out of the OEST after completing six months</w:t>
            </w:r>
            <w:r w:rsidR="004F5570">
              <w:rPr>
                <w:noProof/>
                <w:webHidden/>
              </w:rPr>
              <w:tab/>
            </w:r>
            <w:r w:rsidR="004F5570">
              <w:rPr>
                <w:noProof/>
                <w:webHidden/>
              </w:rPr>
              <w:fldChar w:fldCharType="begin"/>
            </w:r>
            <w:r w:rsidR="004F5570">
              <w:rPr>
                <w:noProof/>
                <w:webHidden/>
              </w:rPr>
              <w:instrText xml:space="preserve"> PAGEREF _Toc67042622 \h </w:instrText>
            </w:r>
            <w:r w:rsidR="004F5570">
              <w:rPr>
                <w:noProof/>
                <w:webHidden/>
              </w:rPr>
            </w:r>
            <w:r w:rsidR="004F5570">
              <w:rPr>
                <w:noProof/>
                <w:webHidden/>
              </w:rPr>
              <w:fldChar w:fldCharType="separate"/>
            </w:r>
            <w:r>
              <w:rPr>
                <w:noProof/>
                <w:webHidden/>
              </w:rPr>
              <w:t>66</w:t>
            </w:r>
            <w:r w:rsidR="004F5570">
              <w:rPr>
                <w:noProof/>
                <w:webHidden/>
              </w:rPr>
              <w:fldChar w:fldCharType="end"/>
            </w:r>
          </w:hyperlink>
        </w:p>
        <w:p w14:paraId="48B594CD" w14:textId="147823DF" w:rsidR="004F5570" w:rsidRDefault="00A82B79">
          <w:pPr>
            <w:pStyle w:val="TOC3"/>
            <w:rPr>
              <w:rFonts w:eastAsiaTheme="minorEastAsia"/>
              <w:noProof/>
              <w:lang w:eastAsia="en-AU"/>
            </w:rPr>
          </w:pPr>
          <w:hyperlink w:anchor="_Toc67042623" w:history="1">
            <w:r w:rsidR="004F5570" w:rsidRPr="004C3185">
              <w:rPr>
                <w:rStyle w:val="Hyperlink"/>
                <w:noProof/>
              </w:rPr>
              <w:t>5.2.1 Awareness of transferring arrangements</w:t>
            </w:r>
            <w:r w:rsidR="004F5570">
              <w:rPr>
                <w:noProof/>
                <w:webHidden/>
              </w:rPr>
              <w:tab/>
            </w:r>
            <w:r w:rsidR="004F5570">
              <w:rPr>
                <w:noProof/>
                <w:webHidden/>
              </w:rPr>
              <w:fldChar w:fldCharType="begin"/>
            </w:r>
            <w:r w:rsidR="004F5570">
              <w:rPr>
                <w:noProof/>
                <w:webHidden/>
              </w:rPr>
              <w:instrText xml:space="preserve"> PAGEREF _Toc67042623 \h </w:instrText>
            </w:r>
            <w:r w:rsidR="004F5570">
              <w:rPr>
                <w:noProof/>
                <w:webHidden/>
              </w:rPr>
            </w:r>
            <w:r w:rsidR="004F5570">
              <w:rPr>
                <w:noProof/>
                <w:webHidden/>
              </w:rPr>
              <w:fldChar w:fldCharType="separate"/>
            </w:r>
            <w:r>
              <w:rPr>
                <w:noProof/>
                <w:webHidden/>
              </w:rPr>
              <w:t>68</w:t>
            </w:r>
            <w:r w:rsidR="004F5570">
              <w:rPr>
                <w:noProof/>
                <w:webHidden/>
              </w:rPr>
              <w:fldChar w:fldCharType="end"/>
            </w:r>
          </w:hyperlink>
        </w:p>
        <w:p w14:paraId="791A5D80" w14:textId="37E30707" w:rsidR="004F5570" w:rsidRDefault="00A82B79">
          <w:pPr>
            <w:pStyle w:val="TOC2"/>
            <w:rPr>
              <w:rFonts w:eastAsiaTheme="minorEastAsia"/>
              <w:noProof/>
              <w:lang w:eastAsia="en-AU"/>
            </w:rPr>
          </w:pPr>
          <w:hyperlink w:anchor="_Toc67042624" w:history="1">
            <w:r w:rsidR="004F5570" w:rsidRPr="004C3185">
              <w:rPr>
                <w:rStyle w:val="Hyperlink"/>
                <w:noProof/>
              </w:rPr>
              <w:t>5.3 OEST eligibility</w:t>
            </w:r>
            <w:r w:rsidR="004F5570">
              <w:rPr>
                <w:noProof/>
                <w:webHidden/>
              </w:rPr>
              <w:tab/>
            </w:r>
            <w:r w:rsidR="004F5570">
              <w:rPr>
                <w:noProof/>
                <w:webHidden/>
              </w:rPr>
              <w:fldChar w:fldCharType="begin"/>
            </w:r>
            <w:r w:rsidR="004F5570">
              <w:rPr>
                <w:noProof/>
                <w:webHidden/>
              </w:rPr>
              <w:instrText xml:space="preserve"> PAGEREF _Toc67042624 \h </w:instrText>
            </w:r>
            <w:r w:rsidR="004F5570">
              <w:rPr>
                <w:noProof/>
                <w:webHidden/>
              </w:rPr>
            </w:r>
            <w:r w:rsidR="004F5570">
              <w:rPr>
                <w:noProof/>
                <w:webHidden/>
              </w:rPr>
              <w:fldChar w:fldCharType="separate"/>
            </w:r>
            <w:r>
              <w:rPr>
                <w:noProof/>
                <w:webHidden/>
              </w:rPr>
              <w:t>68</w:t>
            </w:r>
            <w:r w:rsidR="004F5570">
              <w:rPr>
                <w:noProof/>
                <w:webHidden/>
              </w:rPr>
              <w:fldChar w:fldCharType="end"/>
            </w:r>
          </w:hyperlink>
        </w:p>
        <w:p w14:paraId="03820053" w14:textId="331CAC47" w:rsidR="004F5570" w:rsidRDefault="00A82B79">
          <w:pPr>
            <w:pStyle w:val="TOC3"/>
            <w:rPr>
              <w:rFonts w:eastAsiaTheme="minorEastAsia"/>
              <w:noProof/>
              <w:lang w:eastAsia="en-AU"/>
            </w:rPr>
          </w:pPr>
          <w:hyperlink w:anchor="_Toc67042625" w:history="1">
            <w:r w:rsidR="004F5570" w:rsidRPr="004C3185">
              <w:rPr>
                <w:rStyle w:val="Hyperlink"/>
                <w:noProof/>
              </w:rPr>
              <w:t>5.3.1 Digital literacy and access</w:t>
            </w:r>
            <w:r w:rsidR="004F5570">
              <w:rPr>
                <w:noProof/>
                <w:webHidden/>
              </w:rPr>
              <w:tab/>
            </w:r>
            <w:r w:rsidR="004F5570">
              <w:rPr>
                <w:noProof/>
                <w:webHidden/>
              </w:rPr>
              <w:fldChar w:fldCharType="begin"/>
            </w:r>
            <w:r w:rsidR="004F5570">
              <w:rPr>
                <w:noProof/>
                <w:webHidden/>
              </w:rPr>
              <w:instrText xml:space="preserve"> PAGEREF _Toc67042625 \h </w:instrText>
            </w:r>
            <w:r w:rsidR="004F5570">
              <w:rPr>
                <w:noProof/>
                <w:webHidden/>
              </w:rPr>
            </w:r>
            <w:r w:rsidR="004F5570">
              <w:rPr>
                <w:noProof/>
                <w:webHidden/>
              </w:rPr>
              <w:fldChar w:fldCharType="separate"/>
            </w:r>
            <w:r>
              <w:rPr>
                <w:noProof/>
                <w:webHidden/>
              </w:rPr>
              <w:t>69</w:t>
            </w:r>
            <w:r w:rsidR="004F5570">
              <w:rPr>
                <w:noProof/>
                <w:webHidden/>
              </w:rPr>
              <w:fldChar w:fldCharType="end"/>
            </w:r>
          </w:hyperlink>
        </w:p>
        <w:p w14:paraId="2D531757" w14:textId="0F36537A" w:rsidR="004F5570" w:rsidRDefault="00A82B79">
          <w:pPr>
            <w:pStyle w:val="TOC3"/>
            <w:rPr>
              <w:rFonts w:eastAsiaTheme="minorEastAsia"/>
              <w:noProof/>
              <w:lang w:eastAsia="en-AU"/>
            </w:rPr>
          </w:pPr>
          <w:hyperlink w:anchor="_Toc67042626" w:history="1">
            <w:r w:rsidR="004F5570" w:rsidRPr="004C3185">
              <w:rPr>
                <w:rStyle w:val="Hyperlink"/>
                <w:noProof/>
              </w:rPr>
              <w:t>5.3.2 Identifying job seekers with significant barriers to work</w:t>
            </w:r>
            <w:r w:rsidR="004F5570">
              <w:rPr>
                <w:noProof/>
                <w:webHidden/>
              </w:rPr>
              <w:tab/>
            </w:r>
            <w:r w:rsidR="004F5570">
              <w:rPr>
                <w:noProof/>
                <w:webHidden/>
              </w:rPr>
              <w:fldChar w:fldCharType="begin"/>
            </w:r>
            <w:r w:rsidR="004F5570">
              <w:rPr>
                <w:noProof/>
                <w:webHidden/>
              </w:rPr>
              <w:instrText xml:space="preserve"> PAGEREF _Toc67042626 \h </w:instrText>
            </w:r>
            <w:r w:rsidR="004F5570">
              <w:rPr>
                <w:noProof/>
                <w:webHidden/>
              </w:rPr>
            </w:r>
            <w:r w:rsidR="004F5570">
              <w:rPr>
                <w:noProof/>
                <w:webHidden/>
              </w:rPr>
              <w:fldChar w:fldCharType="separate"/>
            </w:r>
            <w:r>
              <w:rPr>
                <w:noProof/>
                <w:webHidden/>
              </w:rPr>
              <w:t>69</w:t>
            </w:r>
            <w:r w:rsidR="004F5570">
              <w:rPr>
                <w:noProof/>
                <w:webHidden/>
              </w:rPr>
              <w:fldChar w:fldCharType="end"/>
            </w:r>
          </w:hyperlink>
        </w:p>
        <w:p w14:paraId="67B33E5E" w14:textId="08354271" w:rsidR="004F5570" w:rsidRDefault="00A82B79">
          <w:pPr>
            <w:pStyle w:val="TOC2"/>
            <w:rPr>
              <w:rFonts w:eastAsiaTheme="minorEastAsia"/>
              <w:noProof/>
              <w:lang w:eastAsia="en-AU"/>
            </w:rPr>
          </w:pPr>
          <w:hyperlink w:anchor="_Toc67042627" w:history="1">
            <w:r w:rsidR="004F5570" w:rsidRPr="004C3185">
              <w:rPr>
                <w:rStyle w:val="Hyperlink"/>
                <w:noProof/>
              </w:rPr>
              <w:t>5.4 Understanding participant views of digital servicing</w:t>
            </w:r>
            <w:r w:rsidR="004F5570">
              <w:rPr>
                <w:noProof/>
                <w:webHidden/>
              </w:rPr>
              <w:tab/>
            </w:r>
            <w:r w:rsidR="004F5570">
              <w:rPr>
                <w:noProof/>
                <w:webHidden/>
              </w:rPr>
              <w:fldChar w:fldCharType="begin"/>
            </w:r>
            <w:r w:rsidR="004F5570">
              <w:rPr>
                <w:noProof/>
                <w:webHidden/>
              </w:rPr>
              <w:instrText xml:space="preserve"> PAGEREF _Toc67042627 \h </w:instrText>
            </w:r>
            <w:r w:rsidR="004F5570">
              <w:rPr>
                <w:noProof/>
                <w:webHidden/>
              </w:rPr>
            </w:r>
            <w:r w:rsidR="004F5570">
              <w:rPr>
                <w:noProof/>
                <w:webHidden/>
              </w:rPr>
              <w:fldChar w:fldCharType="separate"/>
            </w:r>
            <w:r>
              <w:rPr>
                <w:noProof/>
                <w:webHidden/>
              </w:rPr>
              <w:t>70</w:t>
            </w:r>
            <w:r w:rsidR="004F5570">
              <w:rPr>
                <w:noProof/>
                <w:webHidden/>
              </w:rPr>
              <w:fldChar w:fldCharType="end"/>
            </w:r>
          </w:hyperlink>
        </w:p>
        <w:p w14:paraId="626C8D37" w14:textId="5BA70249" w:rsidR="004F5570" w:rsidRDefault="00A82B79">
          <w:pPr>
            <w:pStyle w:val="TOC3"/>
            <w:rPr>
              <w:rFonts w:eastAsiaTheme="minorEastAsia"/>
              <w:noProof/>
              <w:lang w:eastAsia="en-AU"/>
            </w:rPr>
          </w:pPr>
          <w:hyperlink w:anchor="_Toc67042628" w:history="1">
            <w:r w:rsidR="004F5570" w:rsidRPr="004C3185">
              <w:rPr>
                <w:rStyle w:val="Hyperlink"/>
                <w:noProof/>
              </w:rPr>
              <w:t xml:space="preserve">Segment 1: </w:t>
            </w:r>
            <w:r w:rsidR="004F5570" w:rsidRPr="004C3185">
              <w:rPr>
                <w:rStyle w:val="Hyperlink"/>
                <w:i/>
                <w:iCs/>
                <w:noProof/>
              </w:rPr>
              <w:t>‘I can find employment myself, and I’d prefer to do it online’</w:t>
            </w:r>
            <w:r w:rsidR="004F5570">
              <w:rPr>
                <w:noProof/>
                <w:webHidden/>
              </w:rPr>
              <w:tab/>
            </w:r>
            <w:r w:rsidR="004F5570">
              <w:rPr>
                <w:noProof/>
                <w:webHidden/>
              </w:rPr>
              <w:fldChar w:fldCharType="begin"/>
            </w:r>
            <w:r w:rsidR="004F5570">
              <w:rPr>
                <w:noProof/>
                <w:webHidden/>
              </w:rPr>
              <w:instrText xml:space="preserve"> PAGEREF _Toc67042628 \h </w:instrText>
            </w:r>
            <w:r w:rsidR="004F5570">
              <w:rPr>
                <w:noProof/>
                <w:webHidden/>
              </w:rPr>
            </w:r>
            <w:r w:rsidR="004F5570">
              <w:rPr>
                <w:noProof/>
                <w:webHidden/>
              </w:rPr>
              <w:fldChar w:fldCharType="separate"/>
            </w:r>
            <w:r>
              <w:rPr>
                <w:noProof/>
                <w:webHidden/>
              </w:rPr>
              <w:t>70</w:t>
            </w:r>
            <w:r w:rsidR="004F5570">
              <w:rPr>
                <w:noProof/>
                <w:webHidden/>
              </w:rPr>
              <w:fldChar w:fldCharType="end"/>
            </w:r>
          </w:hyperlink>
        </w:p>
        <w:p w14:paraId="7972547D" w14:textId="3AF9933C" w:rsidR="004F5570" w:rsidRDefault="00A82B79">
          <w:pPr>
            <w:pStyle w:val="TOC3"/>
            <w:rPr>
              <w:rFonts w:eastAsiaTheme="minorEastAsia"/>
              <w:noProof/>
              <w:lang w:eastAsia="en-AU"/>
            </w:rPr>
          </w:pPr>
          <w:hyperlink w:anchor="_Toc67042629" w:history="1">
            <w:r w:rsidR="004F5570" w:rsidRPr="004C3185">
              <w:rPr>
                <w:rStyle w:val="Hyperlink"/>
                <w:noProof/>
              </w:rPr>
              <w:t xml:space="preserve">Segment 2: </w:t>
            </w:r>
            <w:r w:rsidR="004F5570" w:rsidRPr="004C3185">
              <w:rPr>
                <w:rStyle w:val="Hyperlink"/>
                <w:i/>
                <w:iCs/>
                <w:noProof/>
              </w:rPr>
              <w:t>‘I might need some extra help, but online is more convenient’</w:t>
            </w:r>
            <w:r w:rsidR="004F5570">
              <w:rPr>
                <w:noProof/>
                <w:webHidden/>
              </w:rPr>
              <w:tab/>
            </w:r>
            <w:r w:rsidR="004F5570">
              <w:rPr>
                <w:noProof/>
                <w:webHidden/>
              </w:rPr>
              <w:fldChar w:fldCharType="begin"/>
            </w:r>
            <w:r w:rsidR="004F5570">
              <w:rPr>
                <w:noProof/>
                <w:webHidden/>
              </w:rPr>
              <w:instrText xml:space="preserve"> PAGEREF _Toc67042629 \h </w:instrText>
            </w:r>
            <w:r w:rsidR="004F5570">
              <w:rPr>
                <w:noProof/>
                <w:webHidden/>
              </w:rPr>
            </w:r>
            <w:r w:rsidR="004F5570">
              <w:rPr>
                <w:noProof/>
                <w:webHidden/>
              </w:rPr>
              <w:fldChar w:fldCharType="separate"/>
            </w:r>
            <w:r>
              <w:rPr>
                <w:noProof/>
                <w:webHidden/>
              </w:rPr>
              <w:t>70</w:t>
            </w:r>
            <w:r w:rsidR="004F5570">
              <w:rPr>
                <w:noProof/>
                <w:webHidden/>
              </w:rPr>
              <w:fldChar w:fldCharType="end"/>
            </w:r>
          </w:hyperlink>
        </w:p>
        <w:p w14:paraId="322033A0" w14:textId="692CAAE8" w:rsidR="004F5570" w:rsidRDefault="00A82B79">
          <w:pPr>
            <w:pStyle w:val="TOC3"/>
            <w:rPr>
              <w:rFonts w:eastAsiaTheme="minorEastAsia"/>
              <w:noProof/>
              <w:lang w:eastAsia="en-AU"/>
            </w:rPr>
          </w:pPr>
          <w:hyperlink w:anchor="_Toc67042630" w:history="1">
            <w:r w:rsidR="004F5570" w:rsidRPr="004C3185">
              <w:rPr>
                <w:rStyle w:val="Hyperlink"/>
                <w:noProof/>
              </w:rPr>
              <w:t xml:space="preserve">Segment 3: </w:t>
            </w:r>
            <w:r w:rsidR="004F5570" w:rsidRPr="004C3185">
              <w:rPr>
                <w:rStyle w:val="Hyperlink"/>
                <w:i/>
                <w:iCs/>
                <w:noProof/>
              </w:rPr>
              <w:t>‘I need extra help, but don’t want the inconvenience of meeting a provider in person’</w:t>
            </w:r>
            <w:r w:rsidR="004F5570">
              <w:rPr>
                <w:noProof/>
                <w:webHidden/>
              </w:rPr>
              <w:tab/>
            </w:r>
            <w:r w:rsidR="004F5570">
              <w:rPr>
                <w:noProof/>
                <w:webHidden/>
              </w:rPr>
              <w:fldChar w:fldCharType="begin"/>
            </w:r>
            <w:r w:rsidR="004F5570">
              <w:rPr>
                <w:noProof/>
                <w:webHidden/>
              </w:rPr>
              <w:instrText xml:space="preserve"> PAGEREF _Toc67042630 \h </w:instrText>
            </w:r>
            <w:r w:rsidR="004F5570">
              <w:rPr>
                <w:noProof/>
                <w:webHidden/>
              </w:rPr>
            </w:r>
            <w:r w:rsidR="004F5570">
              <w:rPr>
                <w:noProof/>
                <w:webHidden/>
              </w:rPr>
              <w:fldChar w:fldCharType="separate"/>
            </w:r>
            <w:r>
              <w:rPr>
                <w:noProof/>
                <w:webHidden/>
              </w:rPr>
              <w:t>71</w:t>
            </w:r>
            <w:r w:rsidR="004F5570">
              <w:rPr>
                <w:noProof/>
                <w:webHidden/>
              </w:rPr>
              <w:fldChar w:fldCharType="end"/>
            </w:r>
          </w:hyperlink>
        </w:p>
        <w:p w14:paraId="1869507A" w14:textId="73ACB12B" w:rsidR="004F5570" w:rsidRDefault="00A82B79">
          <w:pPr>
            <w:pStyle w:val="TOC3"/>
            <w:rPr>
              <w:rFonts w:eastAsiaTheme="minorEastAsia"/>
              <w:noProof/>
              <w:lang w:eastAsia="en-AU"/>
            </w:rPr>
          </w:pPr>
          <w:hyperlink w:anchor="_Toc67042631" w:history="1">
            <w:r w:rsidR="004F5570" w:rsidRPr="004C3185">
              <w:rPr>
                <w:rStyle w:val="Hyperlink"/>
                <w:noProof/>
              </w:rPr>
              <w:t xml:space="preserve">Segment 4: </w:t>
            </w:r>
            <w:r w:rsidR="004F5570" w:rsidRPr="004C3185">
              <w:rPr>
                <w:rStyle w:val="Hyperlink"/>
                <w:i/>
                <w:iCs/>
                <w:noProof/>
              </w:rPr>
              <w:t>‘I need all the help I can get’</w:t>
            </w:r>
            <w:r w:rsidR="004F5570">
              <w:rPr>
                <w:noProof/>
                <w:webHidden/>
              </w:rPr>
              <w:tab/>
            </w:r>
            <w:r w:rsidR="004F5570">
              <w:rPr>
                <w:noProof/>
                <w:webHidden/>
              </w:rPr>
              <w:fldChar w:fldCharType="begin"/>
            </w:r>
            <w:r w:rsidR="004F5570">
              <w:rPr>
                <w:noProof/>
                <w:webHidden/>
              </w:rPr>
              <w:instrText xml:space="preserve"> PAGEREF _Toc67042631 \h </w:instrText>
            </w:r>
            <w:r w:rsidR="004F5570">
              <w:rPr>
                <w:noProof/>
                <w:webHidden/>
              </w:rPr>
            </w:r>
            <w:r w:rsidR="004F5570">
              <w:rPr>
                <w:noProof/>
                <w:webHidden/>
              </w:rPr>
              <w:fldChar w:fldCharType="separate"/>
            </w:r>
            <w:r>
              <w:rPr>
                <w:noProof/>
                <w:webHidden/>
              </w:rPr>
              <w:t>71</w:t>
            </w:r>
            <w:r w:rsidR="004F5570">
              <w:rPr>
                <w:noProof/>
                <w:webHidden/>
              </w:rPr>
              <w:fldChar w:fldCharType="end"/>
            </w:r>
          </w:hyperlink>
        </w:p>
        <w:p w14:paraId="1B411983" w14:textId="321E8F3B" w:rsidR="004F5570" w:rsidRDefault="00A82B79">
          <w:pPr>
            <w:pStyle w:val="TOC3"/>
            <w:rPr>
              <w:rFonts w:eastAsiaTheme="minorEastAsia"/>
              <w:noProof/>
              <w:lang w:eastAsia="en-AU"/>
            </w:rPr>
          </w:pPr>
          <w:hyperlink w:anchor="_Toc67042632" w:history="1">
            <w:r w:rsidR="004F5570" w:rsidRPr="004C3185">
              <w:rPr>
                <w:rStyle w:val="Hyperlink"/>
                <w:noProof/>
              </w:rPr>
              <w:t xml:space="preserve">Segment 5: </w:t>
            </w:r>
            <w:r w:rsidR="004F5570" w:rsidRPr="004C3185">
              <w:rPr>
                <w:rStyle w:val="Hyperlink"/>
                <w:i/>
                <w:iCs/>
                <w:noProof/>
              </w:rPr>
              <w:t>‘I could do it myself, but having extra advice and support from an employment service provider could be valuable’</w:t>
            </w:r>
            <w:r w:rsidR="004F5570">
              <w:rPr>
                <w:noProof/>
                <w:webHidden/>
              </w:rPr>
              <w:tab/>
            </w:r>
            <w:r w:rsidR="004F5570">
              <w:rPr>
                <w:noProof/>
                <w:webHidden/>
              </w:rPr>
              <w:fldChar w:fldCharType="begin"/>
            </w:r>
            <w:r w:rsidR="004F5570">
              <w:rPr>
                <w:noProof/>
                <w:webHidden/>
              </w:rPr>
              <w:instrText xml:space="preserve"> PAGEREF _Toc67042632 \h </w:instrText>
            </w:r>
            <w:r w:rsidR="004F5570">
              <w:rPr>
                <w:noProof/>
                <w:webHidden/>
              </w:rPr>
            </w:r>
            <w:r w:rsidR="004F5570">
              <w:rPr>
                <w:noProof/>
                <w:webHidden/>
              </w:rPr>
              <w:fldChar w:fldCharType="separate"/>
            </w:r>
            <w:r>
              <w:rPr>
                <w:noProof/>
                <w:webHidden/>
              </w:rPr>
              <w:t>71</w:t>
            </w:r>
            <w:r w:rsidR="004F5570">
              <w:rPr>
                <w:noProof/>
                <w:webHidden/>
              </w:rPr>
              <w:fldChar w:fldCharType="end"/>
            </w:r>
          </w:hyperlink>
        </w:p>
        <w:p w14:paraId="2B7C6B1E" w14:textId="43A210AE" w:rsidR="004F5570" w:rsidRDefault="00A82B79">
          <w:pPr>
            <w:pStyle w:val="TOC2"/>
            <w:rPr>
              <w:rFonts w:eastAsiaTheme="minorEastAsia"/>
              <w:noProof/>
              <w:lang w:eastAsia="en-AU"/>
            </w:rPr>
          </w:pPr>
          <w:hyperlink w:anchor="_Toc67042633" w:history="1">
            <w:r w:rsidR="004F5570" w:rsidRPr="004C3185">
              <w:rPr>
                <w:rStyle w:val="Hyperlink"/>
                <w:noProof/>
              </w:rPr>
              <w:t>5.5 Participants’ and stakeholders’ suggested improvements to online employment services</w:t>
            </w:r>
            <w:r w:rsidR="004F5570">
              <w:rPr>
                <w:noProof/>
                <w:webHidden/>
              </w:rPr>
              <w:tab/>
            </w:r>
            <w:r w:rsidR="004F5570">
              <w:rPr>
                <w:noProof/>
                <w:webHidden/>
              </w:rPr>
              <w:fldChar w:fldCharType="begin"/>
            </w:r>
            <w:r w:rsidR="004F5570">
              <w:rPr>
                <w:noProof/>
                <w:webHidden/>
              </w:rPr>
              <w:instrText xml:space="preserve"> PAGEREF _Toc67042633 \h </w:instrText>
            </w:r>
            <w:r w:rsidR="004F5570">
              <w:rPr>
                <w:noProof/>
                <w:webHidden/>
              </w:rPr>
            </w:r>
            <w:r w:rsidR="004F5570">
              <w:rPr>
                <w:noProof/>
                <w:webHidden/>
              </w:rPr>
              <w:fldChar w:fldCharType="separate"/>
            </w:r>
            <w:r>
              <w:rPr>
                <w:noProof/>
                <w:webHidden/>
              </w:rPr>
              <w:t>73</w:t>
            </w:r>
            <w:r w:rsidR="004F5570">
              <w:rPr>
                <w:noProof/>
                <w:webHidden/>
              </w:rPr>
              <w:fldChar w:fldCharType="end"/>
            </w:r>
          </w:hyperlink>
        </w:p>
        <w:p w14:paraId="5F261E09" w14:textId="70F93BAD" w:rsidR="004F5570" w:rsidRDefault="00A82B79">
          <w:pPr>
            <w:pStyle w:val="TOC1"/>
            <w:rPr>
              <w:rFonts w:eastAsiaTheme="minorEastAsia"/>
              <w:b w:val="0"/>
              <w:noProof/>
              <w:lang w:eastAsia="en-AU"/>
            </w:rPr>
          </w:pPr>
          <w:hyperlink w:anchor="_Toc67042634" w:history="1">
            <w:r w:rsidR="004F5570" w:rsidRPr="004C3185">
              <w:rPr>
                <w:rStyle w:val="Hyperlink"/>
                <w:noProof/>
              </w:rPr>
              <w:t>Chapter 6. Conclusion</w:t>
            </w:r>
            <w:r w:rsidR="004F5570">
              <w:rPr>
                <w:noProof/>
                <w:webHidden/>
              </w:rPr>
              <w:tab/>
            </w:r>
            <w:r w:rsidR="004F5570">
              <w:rPr>
                <w:noProof/>
                <w:webHidden/>
              </w:rPr>
              <w:fldChar w:fldCharType="begin"/>
            </w:r>
            <w:r w:rsidR="004F5570">
              <w:rPr>
                <w:noProof/>
                <w:webHidden/>
              </w:rPr>
              <w:instrText xml:space="preserve"> PAGEREF _Toc67042634 \h </w:instrText>
            </w:r>
            <w:r w:rsidR="004F5570">
              <w:rPr>
                <w:noProof/>
                <w:webHidden/>
              </w:rPr>
            </w:r>
            <w:r w:rsidR="004F5570">
              <w:rPr>
                <w:noProof/>
                <w:webHidden/>
              </w:rPr>
              <w:fldChar w:fldCharType="separate"/>
            </w:r>
            <w:r>
              <w:rPr>
                <w:noProof/>
                <w:webHidden/>
              </w:rPr>
              <w:t>75</w:t>
            </w:r>
            <w:r w:rsidR="004F5570">
              <w:rPr>
                <w:noProof/>
                <w:webHidden/>
              </w:rPr>
              <w:fldChar w:fldCharType="end"/>
            </w:r>
          </w:hyperlink>
        </w:p>
        <w:p w14:paraId="545B2BB1" w14:textId="746F00C8" w:rsidR="004F5570" w:rsidRDefault="00A82B79">
          <w:pPr>
            <w:pStyle w:val="TOC2"/>
            <w:rPr>
              <w:rFonts w:eastAsiaTheme="minorEastAsia"/>
              <w:noProof/>
              <w:lang w:eastAsia="en-AU"/>
            </w:rPr>
          </w:pPr>
          <w:hyperlink w:anchor="_Toc67042635" w:history="1">
            <w:r w:rsidR="004F5570" w:rsidRPr="004C3185">
              <w:rPr>
                <w:rStyle w:val="Hyperlink"/>
                <w:noProof/>
              </w:rPr>
              <w:t>6.1 What did we learn?</w:t>
            </w:r>
            <w:r w:rsidR="004F5570">
              <w:rPr>
                <w:noProof/>
                <w:webHidden/>
              </w:rPr>
              <w:tab/>
            </w:r>
            <w:r w:rsidR="004F5570">
              <w:rPr>
                <w:noProof/>
                <w:webHidden/>
              </w:rPr>
              <w:fldChar w:fldCharType="begin"/>
            </w:r>
            <w:r w:rsidR="004F5570">
              <w:rPr>
                <w:noProof/>
                <w:webHidden/>
              </w:rPr>
              <w:instrText xml:space="preserve"> PAGEREF _Toc67042635 \h </w:instrText>
            </w:r>
            <w:r w:rsidR="004F5570">
              <w:rPr>
                <w:noProof/>
                <w:webHidden/>
              </w:rPr>
            </w:r>
            <w:r w:rsidR="004F5570">
              <w:rPr>
                <w:noProof/>
                <w:webHidden/>
              </w:rPr>
              <w:fldChar w:fldCharType="separate"/>
            </w:r>
            <w:r>
              <w:rPr>
                <w:noProof/>
                <w:webHidden/>
              </w:rPr>
              <w:t>75</w:t>
            </w:r>
            <w:r w:rsidR="004F5570">
              <w:rPr>
                <w:noProof/>
                <w:webHidden/>
              </w:rPr>
              <w:fldChar w:fldCharType="end"/>
            </w:r>
          </w:hyperlink>
        </w:p>
        <w:p w14:paraId="48A7F8C5" w14:textId="356B2828" w:rsidR="004F5570" w:rsidRDefault="00A82B79">
          <w:pPr>
            <w:pStyle w:val="TOC3"/>
            <w:rPr>
              <w:rFonts w:eastAsiaTheme="minorEastAsia"/>
              <w:noProof/>
              <w:lang w:eastAsia="en-AU"/>
            </w:rPr>
          </w:pPr>
          <w:hyperlink w:anchor="_Toc67042636" w:history="1">
            <w:r w:rsidR="004F5570" w:rsidRPr="004C3185">
              <w:rPr>
                <w:rStyle w:val="Hyperlink"/>
                <w:noProof/>
              </w:rPr>
              <w:t>6.1.1 What worked?</w:t>
            </w:r>
            <w:r w:rsidR="004F5570">
              <w:rPr>
                <w:noProof/>
                <w:webHidden/>
              </w:rPr>
              <w:tab/>
            </w:r>
            <w:r w:rsidR="004F5570">
              <w:rPr>
                <w:noProof/>
                <w:webHidden/>
              </w:rPr>
              <w:fldChar w:fldCharType="begin"/>
            </w:r>
            <w:r w:rsidR="004F5570">
              <w:rPr>
                <w:noProof/>
                <w:webHidden/>
              </w:rPr>
              <w:instrText xml:space="preserve"> PAGEREF _Toc67042636 \h </w:instrText>
            </w:r>
            <w:r w:rsidR="004F5570">
              <w:rPr>
                <w:noProof/>
                <w:webHidden/>
              </w:rPr>
            </w:r>
            <w:r w:rsidR="004F5570">
              <w:rPr>
                <w:noProof/>
                <w:webHidden/>
              </w:rPr>
              <w:fldChar w:fldCharType="separate"/>
            </w:r>
            <w:r>
              <w:rPr>
                <w:noProof/>
                <w:webHidden/>
              </w:rPr>
              <w:t>75</w:t>
            </w:r>
            <w:r w:rsidR="004F5570">
              <w:rPr>
                <w:noProof/>
                <w:webHidden/>
              </w:rPr>
              <w:fldChar w:fldCharType="end"/>
            </w:r>
          </w:hyperlink>
        </w:p>
        <w:p w14:paraId="6EFF84BD" w14:textId="1E66BF76" w:rsidR="004F5570" w:rsidRDefault="00A82B79">
          <w:pPr>
            <w:pStyle w:val="TOC3"/>
            <w:rPr>
              <w:rFonts w:eastAsiaTheme="minorEastAsia"/>
              <w:noProof/>
              <w:lang w:eastAsia="en-AU"/>
            </w:rPr>
          </w:pPr>
          <w:hyperlink w:anchor="_Toc67042637" w:history="1">
            <w:r w:rsidR="004F5570" w:rsidRPr="004C3185">
              <w:rPr>
                <w:rStyle w:val="Hyperlink"/>
                <w:noProof/>
              </w:rPr>
              <w:t>6.1.2 Who did not participate?</w:t>
            </w:r>
            <w:r w:rsidR="004F5570">
              <w:rPr>
                <w:noProof/>
                <w:webHidden/>
              </w:rPr>
              <w:tab/>
            </w:r>
            <w:r w:rsidR="004F5570">
              <w:rPr>
                <w:noProof/>
                <w:webHidden/>
              </w:rPr>
              <w:fldChar w:fldCharType="begin"/>
            </w:r>
            <w:r w:rsidR="004F5570">
              <w:rPr>
                <w:noProof/>
                <w:webHidden/>
              </w:rPr>
              <w:instrText xml:space="preserve"> PAGEREF _Toc67042637 \h </w:instrText>
            </w:r>
            <w:r w:rsidR="004F5570">
              <w:rPr>
                <w:noProof/>
                <w:webHidden/>
              </w:rPr>
            </w:r>
            <w:r w:rsidR="004F5570">
              <w:rPr>
                <w:noProof/>
                <w:webHidden/>
              </w:rPr>
              <w:fldChar w:fldCharType="separate"/>
            </w:r>
            <w:r>
              <w:rPr>
                <w:noProof/>
                <w:webHidden/>
              </w:rPr>
              <w:t>76</w:t>
            </w:r>
            <w:r w:rsidR="004F5570">
              <w:rPr>
                <w:noProof/>
                <w:webHidden/>
              </w:rPr>
              <w:fldChar w:fldCharType="end"/>
            </w:r>
          </w:hyperlink>
        </w:p>
        <w:p w14:paraId="5B944B6F" w14:textId="31E5D813" w:rsidR="004F5570" w:rsidRDefault="00A82B79">
          <w:pPr>
            <w:pStyle w:val="TOC3"/>
            <w:rPr>
              <w:rFonts w:eastAsiaTheme="minorEastAsia"/>
              <w:noProof/>
              <w:lang w:eastAsia="en-AU"/>
            </w:rPr>
          </w:pPr>
          <w:hyperlink w:anchor="_Toc67042638" w:history="1">
            <w:r w:rsidR="004F5570" w:rsidRPr="004C3185">
              <w:rPr>
                <w:rStyle w:val="Hyperlink"/>
                <w:noProof/>
              </w:rPr>
              <w:t>6.1.3 Limits of the learnings</w:t>
            </w:r>
            <w:r w:rsidR="004F5570">
              <w:rPr>
                <w:noProof/>
                <w:webHidden/>
              </w:rPr>
              <w:tab/>
            </w:r>
            <w:r w:rsidR="004F5570">
              <w:rPr>
                <w:noProof/>
                <w:webHidden/>
              </w:rPr>
              <w:fldChar w:fldCharType="begin"/>
            </w:r>
            <w:r w:rsidR="004F5570">
              <w:rPr>
                <w:noProof/>
                <w:webHidden/>
              </w:rPr>
              <w:instrText xml:space="preserve"> PAGEREF _Toc67042638 \h </w:instrText>
            </w:r>
            <w:r w:rsidR="004F5570">
              <w:rPr>
                <w:noProof/>
                <w:webHidden/>
              </w:rPr>
            </w:r>
            <w:r w:rsidR="004F5570">
              <w:rPr>
                <w:noProof/>
                <w:webHidden/>
              </w:rPr>
              <w:fldChar w:fldCharType="separate"/>
            </w:r>
            <w:r>
              <w:rPr>
                <w:noProof/>
                <w:webHidden/>
              </w:rPr>
              <w:t>76</w:t>
            </w:r>
            <w:r w:rsidR="004F5570">
              <w:rPr>
                <w:noProof/>
                <w:webHidden/>
              </w:rPr>
              <w:fldChar w:fldCharType="end"/>
            </w:r>
          </w:hyperlink>
        </w:p>
        <w:p w14:paraId="631EB611" w14:textId="4757ADCD" w:rsidR="004F5570" w:rsidRDefault="00A82B79">
          <w:pPr>
            <w:pStyle w:val="TOC2"/>
            <w:rPr>
              <w:rFonts w:eastAsiaTheme="minorEastAsia"/>
              <w:noProof/>
              <w:lang w:eastAsia="en-AU"/>
            </w:rPr>
          </w:pPr>
          <w:hyperlink w:anchor="_Toc67042639" w:history="1">
            <w:r w:rsidR="004F5570" w:rsidRPr="004C3185">
              <w:rPr>
                <w:rStyle w:val="Hyperlink"/>
                <w:noProof/>
              </w:rPr>
              <w:t>6.2 Future directions</w:t>
            </w:r>
            <w:r w:rsidR="004F5570">
              <w:rPr>
                <w:noProof/>
                <w:webHidden/>
              </w:rPr>
              <w:tab/>
            </w:r>
            <w:r w:rsidR="004F5570">
              <w:rPr>
                <w:noProof/>
                <w:webHidden/>
              </w:rPr>
              <w:fldChar w:fldCharType="begin"/>
            </w:r>
            <w:r w:rsidR="004F5570">
              <w:rPr>
                <w:noProof/>
                <w:webHidden/>
              </w:rPr>
              <w:instrText xml:space="preserve"> PAGEREF _Toc67042639 \h </w:instrText>
            </w:r>
            <w:r w:rsidR="004F5570">
              <w:rPr>
                <w:noProof/>
                <w:webHidden/>
              </w:rPr>
            </w:r>
            <w:r w:rsidR="004F5570">
              <w:rPr>
                <w:noProof/>
                <w:webHidden/>
              </w:rPr>
              <w:fldChar w:fldCharType="separate"/>
            </w:r>
            <w:r>
              <w:rPr>
                <w:noProof/>
                <w:webHidden/>
              </w:rPr>
              <w:t>77</w:t>
            </w:r>
            <w:r w:rsidR="004F5570">
              <w:rPr>
                <w:noProof/>
                <w:webHidden/>
              </w:rPr>
              <w:fldChar w:fldCharType="end"/>
            </w:r>
          </w:hyperlink>
        </w:p>
        <w:p w14:paraId="2C3B94BA" w14:textId="45F74D67" w:rsidR="004F5570" w:rsidRDefault="00A82B79">
          <w:pPr>
            <w:pStyle w:val="TOC1"/>
            <w:rPr>
              <w:rFonts w:eastAsiaTheme="minorEastAsia"/>
              <w:b w:val="0"/>
              <w:noProof/>
              <w:lang w:eastAsia="en-AU"/>
            </w:rPr>
          </w:pPr>
          <w:hyperlink w:anchor="_Toc67042640" w:history="1">
            <w:r w:rsidR="004F5570" w:rsidRPr="004C3185">
              <w:rPr>
                <w:rStyle w:val="Hyperlink"/>
                <w:noProof/>
              </w:rPr>
              <w:t>Bibliography</w:t>
            </w:r>
            <w:r w:rsidR="004F5570">
              <w:rPr>
                <w:noProof/>
                <w:webHidden/>
              </w:rPr>
              <w:tab/>
            </w:r>
            <w:r w:rsidR="004F5570">
              <w:rPr>
                <w:noProof/>
                <w:webHidden/>
              </w:rPr>
              <w:fldChar w:fldCharType="begin"/>
            </w:r>
            <w:r w:rsidR="004F5570">
              <w:rPr>
                <w:noProof/>
                <w:webHidden/>
              </w:rPr>
              <w:instrText xml:space="preserve"> PAGEREF _Toc67042640 \h </w:instrText>
            </w:r>
            <w:r w:rsidR="004F5570">
              <w:rPr>
                <w:noProof/>
                <w:webHidden/>
              </w:rPr>
            </w:r>
            <w:r w:rsidR="004F5570">
              <w:rPr>
                <w:noProof/>
                <w:webHidden/>
              </w:rPr>
              <w:fldChar w:fldCharType="separate"/>
            </w:r>
            <w:r>
              <w:rPr>
                <w:noProof/>
                <w:webHidden/>
              </w:rPr>
              <w:t>78</w:t>
            </w:r>
            <w:r w:rsidR="004F5570">
              <w:rPr>
                <w:noProof/>
                <w:webHidden/>
              </w:rPr>
              <w:fldChar w:fldCharType="end"/>
            </w:r>
          </w:hyperlink>
        </w:p>
        <w:p w14:paraId="04C5624A" w14:textId="1DFB26DB" w:rsidR="004F5570" w:rsidRDefault="00A82B79">
          <w:pPr>
            <w:pStyle w:val="TOC1"/>
            <w:rPr>
              <w:rFonts w:eastAsiaTheme="minorEastAsia"/>
              <w:b w:val="0"/>
              <w:noProof/>
              <w:lang w:eastAsia="en-AU"/>
            </w:rPr>
          </w:pPr>
          <w:hyperlink w:anchor="_Toc67042641" w:history="1">
            <w:r w:rsidR="004F5570" w:rsidRPr="004C3185">
              <w:rPr>
                <w:rStyle w:val="Hyperlink"/>
                <w:noProof/>
              </w:rPr>
              <w:t>Appendices</w:t>
            </w:r>
            <w:r w:rsidR="004F5570">
              <w:rPr>
                <w:noProof/>
                <w:webHidden/>
              </w:rPr>
              <w:tab/>
            </w:r>
            <w:r w:rsidR="004F5570">
              <w:rPr>
                <w:noProof/>
                <w:webHidden/>
              </w:rPr>
              <w:fldChar w:fldCharType="begin"/>
            </w:r>
            <w:r w:rsidR="004F5570">
              <w:rPr>
                <w:noProof/>
                <w:webHidden/>
              </w:rPr>
              <w:instrText xml:space="preserve"> PAGEREF _Toc67042641 \h </w:instrText>
            </w:r>
            <w:r w:rsidR="004F5570">
              <w:rPr>
                <w:noProof/>
                <w:webHidden/>
              </w:rPr>
            </w:r>
            <w:r w:rsidR="004F5570">
              <w:rPr>
                <w:noProof/>
                <w:webHidden/>
              </w:rPr>
              <w:fldChar w:fldCharType="separate"/>
            </w:r>
            <w:r>
              <w:rPr>
                <w:noProof/>
                <w:webHidden/>
              </w:rPr>
              <w:t>82</w:t>
            </w:r>
            <w:r w:rsidR="004F5570">
              <w:rPr>
                <w:noProof/>
                <w:webHidden/>
              </w:rPr>
              <w:fldChar w:fldCharType="end"/>
            </w:r>
          </w:hyperlink>
        </w:p>
        <w:p w14:paraId="235865A2" w14:textId="0F8264AE" w:rsidR="004F5570" w:rsidRDefault="00A82B79">
          <w:pPr>
            <w:pStyle w:val="TOC2"/>
            <w:rPr>
              <w:rFonts w:eastAsiaTheme="minorEastAsia"/>
              <w:noProof/>
              <w:lang w:eastAsia="en-AU"/>
            </w:rPr>
          </w:pPr>
          <w:hyperlink w:anchor="_Toc67042642" w:history="1">
            <w:r w:rsidR="004F5570" w:rsidRPr="004C3185">
              <w:rPr>
                <w:rStyle w:val="Hyperlink"/>
                <w:noProof/>
              </w:rPr>
              <w:t>Appendix A International practice</w:t>
            </w:r>
            <w:r w:rsidR="004F5570">
              <w:rPr>
                <w:noProof/>
                <w:webHidden/>
              </w:rPr>
              <w:tab/>
            </w:r>
            <w:r w:rsidR="004F5570">
              <w:rPr>
                <w:noProof/>
                <w:webHidden/>
              </w:rPr>
              <w:fldChar w:fldCharType="begin"/>
            </w:r>
            <w:r w:rsidR="004F5570">
              <w:rPr>
                <w:noProof/>
                <w:webHidden/>
              </w:rPr>
              <w:instrText xml:space="preserve"> PAGEREF _Toc67042642 \h </w:instrText>
            </w:r>
            <w:r w:rsidR="004F5570">
              <w:rPr>
                <w:noProof/>
                <w:webHidden/>
              </w:rPr>
            </w:r>
            <w:r w:rsidR="004F5570">
              <w:rPr>
                <w:noProof/>
                <w:webHidden/>
              </w:rPr>
              <w:fldChar w:fldCharType="separate"/>
            </w:r>
            <w:r>
              <w:rPr>
                <w:noProof/>
                <w:webHidden/>
              </w:rPr>
              <w:t>82</w:t>
            </w:r>
            <w:r w:rsidR="004F5570">
              <w:rPr>
                <w:noProof/>
                <w:webHidden/>
              </w:rPr>
              <w:fldChar w:fldCharType="end"/>
            </w:r>
          </w:hyperlink>
        </w:p>
        <w:p w14:paraId="113FCCE6" w14:textId="491489BE" w:rsidR="004F5570" w:rsidRDefault="00A82B79">
          <w:pPr>
            <w:pStyle w:val="TOC3"/>
            <w:rPr>
              <w:rFonts w:eastAsiaTheme="minorEastAsia"/>
              <w:noProof/>
              <w:lang w:eastAsia="en-AU"/>
            </w:rPr>
          </w:pPr>
          <w:hyperlink w:anchor="_Toc67042643" w:history="1">
            <w:r w:rsidR="004F5570" w:rsidRPr="004C3185">
              <w:rPr>
                <w:rStyle w:val="Hyperlink"/>
                <w:noProof/>
                <w:lang w:val="en"/>
              </w:rPr>
              <w:t>The OECD</w:t>
            </w:r>
            <w:r w:rsidR="004F5570">
              <w:rPr>
                <w:noProof/>
                <w:webHidden/>
              </w:rPr>
              <w:tab/>
            </w:r>
            <w:r w:rsidR="004F5570">
              <w:rPr>
                <w:noProof/>
                <w:webHidden/>
              </w:rPr>
              <w:fldChar w:fldCharType="begin"/>
            </w:r>
            <w:r w:rsidR="004F5570">
              <w:rPr>
                <w:noProof/>
                <w:webHidden/>
              </w:rPr>
              <w:instrText xml:space="preserve"> PAGEREF _Toc67042643 \h </w:instrText>
            </w:r>
            <w:r w:rsidR="004F5570">
              <w:rPr>
                <w:noProof/>
                <w:webHidden/>
              </w:rPr>
            </w:r>
            <w:r w:rsidR="004F5570">
              <w:rPr>
                <w:noProof/>
                <w:webHidden/>
              </w:rPr>
              <w:fldChar w:fldCharType="separate"/>
            </w:r>
            <w:r>
              <w:rPr>
                <w:noProof/>
                <w:webHidden/>
              </w:rPr>
              <w:t>82</w:t>
            </w:r>
            <w:r w:rsidR="004F5570">
              <w:rPr>
                <w:noProof/>
                <w:webHidden/>
              </w:rPr>
              <w:fldChar w:fldCharType="end"/>
            </w:r>
          </w:hyperlink>
        </w:p>
        <w:p w14:paraId="57A44D40" w14:textId="5F86E997" w:rsidR="004F5570" w:rsidRDefault="00A82B79">
          <w:pPr>
            <w:pStyle w:val="TOC3"/>
            <w:rPr>
              <w:rFonts w:eastAsiaTheme="minorEastAsia"/>
              <w:noProof/>
              <w:lang w:eastAsia="en-AU"/>
            </w:rPr>
          </w:pPr>
          <w:hyperlink w:anchor="_Toc67042644" w:history="1">
            <w:r w:rsidR="004F5570" w:rsidRPr="004C3185">
              <w:rPr>
                <w:rStyle w:val="Hyperlink"/>
                <w:noProof/>
                <w:lang w:val="en"/>
              </w:rPr>
              <w:t>Canada</w:t>
            </w:r>
            <w:r w:rsidR="004F5570">
              <w:rPr>
                <w:noProof/>
                <w:webHidden/>
              </w:rPr>
              <w:tab/>
            </w:r>
            <w:r w:rsidR="004F5570">
              <w:rPr>
                <w:noProof/>
                <w:webHidden/>
              </w:rPr>
              <w:fldChar w:fldCharType="begin"/>
            </w:r>
            <w:r w:rsidR="004F5570">
              <w:rPr>
                <w:noProof/>
                <w:webHidden/>
              </w:rPr>
              <w:instrText xml:space="preserve"> PAGEREF _Toc67042644 \h </w:instrText>
            </w:r>
            <w:r w:rsidR="004F5570">
              <w:rPr>
                <w:noProof/>
                <w:webHidden/>
              </w:rPr>
            </w:r>
            <w:r w:rsidR="004F5570">
              <w:rPr>
                <w:noProof/>
                <w:webHidden/>
              </w:rPr>
              <w:fldChar w:fldCharType="separate"/>
            </w:r>
            <w:r>
              <w:rPr>
                <w:noProof/>
                <w:webHidden/>
              </w:rPr>
              <w:t>82</w:t>
            </w:r>
            <w:r w:rsidR="004F5570">
              <w:rPr>
                <w:noProof/>
                <w:webHidden/>
              </w:rPr>
              <w:fldChar w:fldCharType="end"/>
            </w:r>
          </w:hyperlink>
        </w:p>
        <w:p w14:paraId="553464D8" w14:textId="2EAB2F3B" w:rsidR="004F5570" w:rsidRDefault="00A82B79">
          <w:pPr>
            <w:pStyle w:val="TOC3"/>
            <w:rPr>
              <w:rFonts w:eastAsiaTheme="minorEastAsia"/>
              <w:noProof/>
              <w:lang w:eastAsia="en-AU"/>
            </w:rPr>
          </w:pPr>
          <w:hyperlink w:anchor="_Toc67042645" w:history="1">
            <w:r w:rsidR="004F5570" w:rsidRPr="004C3185">
              <w:rPr>
                <w:rStyle w:val="Hyperlink"/>
                <w:noProof/>
              </w:rPr>
              <w:t>India</w:t>
            </w:r>
            <w:r w:rsidR="004F5570">
              <w:rPr>
                <w:noProof/>
                <w:webHidden/>
              </w:rPr>
              <w:tab/>
            </w:r>
            <w:r w:rsidR="004F5570">
              <w:rPr>
                <w:noProof/>
                <w:webHidden/>
              </w:rPr>
              <w:fldChar w:fldCharType="begin"/>
            </w:r>
            <w:r w:rsidR="004F5570">
              <w:rPr>
                <w:noProof/>
                <w:webHidden/>
              </w:rPr>
              <w:instrText xml:space="preserve"> PAGEREF _Toc67042645 \h </w:instrText>
            </w:r>
            <w:r w:rsidR="004F5570">
              <w:rPr>
                <w:noProof/>
                <w:webHidden/>
              </w:rPr>
            </w:r>
            <w:r w:rsidR="004F5570">
              <w:rPr>
                <w:noProof/>
                <w:webHidden/>
              </w:rPr>
              <w:fldChar w:fldCharType="separate"/>
            </w:r>
            <w:r>
              <w:rPr>
                <w:noProof/>
                <w:webHidden/>
              </w:rPr>
              <w:t>83</w:t>
            </w:r>
            <w:r w:rsidR="004F5570">
              <w:rPr>
                <w:noProof/>
                <w:webHidden/>
              </w:rPr>
              <w:fldChar w:fldCharType="end"/>
            </w:r>
          </w:hyperlink>
        </w:p>
        <w:p w14:paraId="560D8F14" w14:textId="410EC677" w:rsidR="004F5570" w:rsidRDefault="00A82B79">
          <w:pPr>
            <w:pStyle w:val="TOC3"/>
            <w:rPr>
              <w:rFonts w:eastAsiaTheme="minorEastAsia"/>
              <w:noProof/>
              <w:lang w:eastAsia="en-AU"/>
            </w:rPr>
          </w:pPr>
          <w:hyperlink w:anchor="_Toc67042646" w:history="1">
            <w:r w:rsidR="004F5570" w:rsidRPr="004C3185">
              <w:rPr>
                <w:rStyle w:val="Hyperlink"/>
                <w:noProof/>
              </w:rPr>
              <w:t>South Korea</w:t>
            </w:r>
            <w:r w:rsidR="004F5570">
              <w:rPr>
                <w:noProof/>
                <w:webHidden/>
              </w:rPr>
              <w:tab/>
            </w:r>
            <w:r w:rsidR="004F5570">
              <w:rPr>
                <w:noProof/>
                <w:webHidden/>
              </w:rPr>
              <w:fldChar w:fldCharType="begin"/>
            </w:r>
            <w:r w:rsidR="004F5570">
              <w:rPr>
                <w:noProof/>
                <w:webHidden/>
              </w:rPr>
              <w:instrText xml:space="preserve"> PAGEREF _Toc67042646 \h </w:instrText>
            </w:r>
            <w:r w:rsidR="004F5570">
              <w:rPr>
                <w:noProof/>
                <w:webHidden/>
              </w:rPr>
            </w:r>
            <w:r w:rsidR="004F5570">
              <w:rPr>
                <w:noProof/>
                <w:webHidden/>
              </w:rPr>
              <w:fldChar w:fldCharType="separate"/>
            </w:r>
            <w:r>
              <w:rPr>
                <w:noProof/>
                <w:webHidden/>
              </w:rPr>
              <w:t>83</w:t>
            </w:r>
            <w:r w:rsidR="004F5570">
              <w:rPr>
                <w:noProof/>
                <w:webHidden/>
              </w:rPr>
              <w:fldChar w:fldCharType="end"/>
            </w:r>
          </w:hyperlink>
        </w:p>
        <w:p w14:paraId="6136DF96" w14:textId="38B49BB2" w:rsidR="004F5570" w:rsidRDefault="00A82B79">
          <w:pPr>
            <w:pStyle w:val="TOC3"/>
            <w:rPr>
              <w:rFonts w:eastAsiaTheme="minorEastAsia"/>
              <w:noProof/>
              <w:lang w:eastAsia="en-AU"/>
            </w:rPr>
          </w:pPr>
          <w:hyperlink w:anchor="_Toc67042647" w:history="1">
            <w:r w:rsidR="004F5570" w:rsidRPr="004C3185">
              <w:rPr>
                <w:rStyle w:val="Hyperlink"/>
                <w:noProof/>
              </w:rPr>
              <w:t>United Kingdom</w:t>
            </w:r>
            <w:r w:rsidR="004F5570">
              <w:rPr>
                <w:noProof/>
                <w:webHidden/>
              </w:rPr>
              <w:tab/>
            </w:r>
            <w:r w:rsidR="004F5570">
              <w:rPr>
                <w:noProof/>
                <w:webHidden/>
              </w:rPr>
              <w:fldChar w:fldCharType="begin"/>
            </w:r>
            <w:r w:rsidR="004F5570">
              <w:rPr>
                <w:noProof/>
                <w:webHidden/>
              </w:rPr>
              <w:instrText xml:space="preserve"> PAGEREF _Toc67042647 \h </w:instrText>
            </w:r>
            <w:r w:rsidR="004F5570">
              <w:rPr>
                <w:noProof/>
                <w:webHidden/>
              </w:rPr>
            </w:r>
            <w:r w:rsidR="004F5570">
              <w:rPr>
                <w:noProof/>
                <w:webHidden/>
              </w:rPr>
              <w:fldChar w:fldCharType="separate"/>
            </w:r>
            <w:r>
              <w:rPr>
                <w:noProof/>
                <w:webHidden/>
              </w:rPr>
              <w:t>84</w:t>
            </w:r>
            <w:r w:rsidR="004F5570">
              <w:rPr>
                <w:noProof/>
                <w:webHidden/>
              </w:rPr>
              <w:fldChar w:fldCharType="end"/>
            </w:r>
          </w:hyperlink>
        </w:p>
        <w:p w14:paraId="112C57DC" w14:textId="57BF05FB" w:rsidR="004F5570" w:rsidRDefault="00A82B79">
          <w:pPr>
            <w:pStyle w:val="TOC3"/>
            <w:rPr>
              <w:rFonts w:eastAsiaTheme="minorEastAsia"/>
              <w:noProof/>
              <w:lang w:eastAsia="en-AU"/>
            </w:rPr>
          </w:pPr>
          <w:hyperlink w:anchor="_Toc67042648" w:history="1">
            <w:r w:rsidR="004F5570" w:rsidRPr="004C3185">
              <w:rPr>
                <w:rStyle w:val="Hyperlink"/>
                <w:noProof/>
              </w:rPr>
              <w:t>Denmark</w:t>
            </w:r>
            <w:r w:rsidR="004F5570">
              <w:rPr>
                <w:noProof/>
                <w:webHidden/>
              </w:rPr>
              <w:tab/>
            </w:r>
            <w:r w:rsidR="004F5570">
              <w:rPr>
                <w:noProof/>
                <w:webHidden/>
              </w:rPr>
              <w:fldChar w:fldCharType="begin"/>
            </w:r>
            <w:r w:rsidR="004F5570">
              <w:rPr>
                <w:noProof/>
                <w:webHidden/>
              </w:rPr>
              <w:instrText xml:space="preserve"> PAGEREF _Toc67042648 \h </w:instrText>
            </w:r>
            <w:r w:rsidR="004F5570">
              <w:rPr>
                <w:noProof/>
                <w:webHidden/>
              </w:rPr>
            </w:r>
            <w:r w:rsidR="004F5570">
              <w:rPr>
                <w:noProof/>
                <w:webHidden/>
              </w:rPr>
              <w:fldChar w:fldCharType="separate"/>
            </w:r>
            <w:r>
              <w:rPr>
                <w:noProof/>
                <w:webHidden/>
              </w:rPr>
              <w:t>85</w:t>
            </w:r>
            <w:r w:rsidR="004F5570">
              <w:rPr>
                <w:noProof/>
                <w:webHidden/>
              </w:rPr>
              <w:fldChar w:fldCharType="end"/>
            </w:r>
          </w:hyperlink>
        </w:p>
        <w:p w14:paraId="6D3348A5" w14:textId="24BDF18E" w:rsidR="004F5570" w:rsidRDefault="00A82B79">
          <w:pPr>
            <w:pStyle w:val="TOC2"/>
            <w:rPr>
              <w:rFonts w:eastAsiaTheme="minorEastAsia"/>
              <w:noProof/>
              <w:lang w:eastAsia="en-AU"/>
            </w:rPr>
          </w:pPr>
          <w:hyperlink w:anchor="_Toc67042649" w:history="1">
            <w:r w:rsidR="004F5570" w:rsidRPr="004C3185">
              <w:rPr>
                <w:rStyle w:val="Hyperlink"/>
                <w:noProof/>
              </w:rPr>
              <w:t>Appendix B Impact of policy and systems changes 1 July 2019 to 9 December 2019</w:t>
            </w:r>
            <w:r w:rsidR="004F5570">
              <w:rPr>
                <w:noProof/>
                <w:webHidden/>
              </w:rPr>
              <w:tab/>
            </w:r>
            <w:r w:rsidR="004F5570">
              <w:rPr>
                <w:noProof/>
                <w:webHidden/>
              </w:rPr>
              <w:fldChar w:fldCharType="begin"/>
            </w:r>
            <w:r w:rsidR="004F5570">
              <w:rPr>
                <w:noProof/>
                <w:webHidden/>
              </w:rPr>
              <w:instrText xml:space="preserve"> PAGEREF _Toc67042649 \h </w:instrText>
            </w:r>
            <w:r w:rsidR="004F5570">
              <w:rPr>
                <w:noProof/>
                <w:webHidden/>
              </w:rPr>
            </w:r>
            <w:r w:rsidR="004F5570">
              <w:rPr>
                <w:noProof/>
                <w:webHidden/>
              </w:rPr>
              <w:fldChar w:fldCharType="separate"/>
            </w:r>
            <w:r>
              <w:rPr>
                <w:noProof/>
                <w:webHidden/>
              </w:rPr>
              <w:t>86</w:t>
            </w:r>
            <w:r w:rsidR="004F5570">
              <w:rPr>
                <w:noProof/>
                <w:webHidden/>
              </w:rPr>
              <w:fldChar w:fldCharType="end"/>
            </w:r>
          </w:hyperlink>
        </w:p>
        <w:p w14:paraId="6376C4D8" w14:textId="67C67C4E" w:rsidR="004F5570" w:rsidRDefault="00A82B79">
          <w:pPr>
            <w:pStyle w:val="TOC2"/>
            <w:rPr>
              <w:rFonts w:eastAsiaTheme="minorEastAsia"/>
              <w:noProof/>
              <w:lang w:eastAsia="en-AU"/>
            </w:rPr>
          </w:pPr>
          <w:hyperlink w:anchor="_Toc67042650" w:history="1">
            <w:r w:rsidR="004F5570" w:rsidRPr="004C3185">
              <w:rPr>
                <w:rStyle w:val="Hyperlink"/>
                <w:noProof/>
              </w:rPr>
              <w:t>Appendix C Demographic profile of focus groups</w:t>
            </w:r>
            <w:r w:rsidR="004F5570">
              <w:rPr>
                <w:noProof/>
                <w:webHidden/>
              </w:rPr>
              <w:tab/>
            </w:r>
            <w:r w:rsidR="004F5570">
              <w:rPr>
                <w:noProof/>
                <w:webHidden/>
              </w:rPr>
              <w:fldChar w:fldCharType="begin"/>
            </w:r>
            <w:r w:rsidR="004F5570">
              <w:rPr>
                <w:noProof/>
                <w:webHidden/>
              </w:rPr>
              <w:instrText xml:space="preserve"> PAGEREF _Toc67042650 \h </w:instrText>
            </w:r>
            <w:r w:rsidR="004F5570">
              <w:rPr>
                <w:noProof/>
                <w:webHidden/>
              </w:rPr>
            </w:r>
            <w:r w:rsidR="004F5570">
              <w:rPr>
                <w:noProof/>
                <w:webHidden/>
              </w:rPr>
              <w:fldChar w:fldCharType="separate"/>
            </w:r>
            <w:r>
              <w:rPr>
                <w:noProof/>
                <w:webHidden/>
              </w:rPr>
              <w:t>88</w:t>
            </w:r>
            <w:r w:rsidR="004F5570">
              <w:rPr>
                <w:noProof/>
                <w:webHidden/>
              </w:rPr>
              <w:fldChar w:fldCharType="end"/>
            </w:r>
          </w:hyperlink>
        </w:p>
        <w:p w14:paraId="5E6A89AE" w14:textId="24499B11" w:rsidR="004F5570" w:rsidRDefault="00A82B79">
          <w:pPr>
            <w:pStyle w:val="TOC2"/>
            <w:rPr>
              <w:rFonts w:eastAsiaTheme="minorEastAsia"/>
              <w:noProof/>
              <w:lang w:eastAsia="en-AU"/>
            </w:rPr>
          </w:pPr>
          <w:hyperlink w:anchor="_Toc67042651" w:history="1">
            <w:r w:rsidR="004F5570" w:rsidRPr="004C3185">
              <w:rPr>
                <w:rStyle w:val="Hyperlink"/>
                <w:noProof/>
              </w:rPr>
              <w:t>Appendix D The quantitative fieldwork</w:t>
            </w:r>
            <w:r w:rsidR="004F5570">
              <w:rPr>
                <w:noProof/>
                <w:webHidden/>
              </w:rPr>
              <w:tab/>
            </w:r>
            <w:r w:rsidR="004F5570">
              <w:rPr>
                <w:noProof/>
                <w:webHidden/>
              </w:rPr>
              <w:fldChar w:fldCharType="begin"/>
            </w:r>
            <w:r w:rsidR="004F5570">
              <w:rPr>
                <w:noProof/>
                <w:webHidden/>
              </w:rPr>
              <w:instrText xml:space="preserve"> PAGEREF _Toc67042651 \h </w:instrText>
            </w:r>
            <w:r w:rsidR="004F5570">
              <w:rPr>
                <w:noProof/>
                <w:webHidden/>
              </w:rPr>
            </w:r>
            <w:r w:rsidR="004F5570">
              <w:rPr>
                <w:noProof/>
                <w:webHidden/>
              </w:rPr>
              <w:fldChar w:fldCharType="separate"/>
            </w:r>
            <w:r>
              <w:rPr>
                <w:noProof/>
                <w:webHidden/>
              </w:rPr>
              <w:t>89</w:t>
            </w:r>
            <w:r w:rsidR="004F5570">
              <w:rPr>
                <w:noProof/>
                <w:webHidden/>
              </w:rPr>
              <w:fldChar w:fldCharType="end"/>
            </w:r>
          </w:hyperlink>
        </w:p>
        <w:p w14:paraId="3830B1AD" w14:textId="3114C25F" w:rsidR="004F5570" w:rsidRDefault="00A82B79">
          <w:pPr>
            <w:pStyle w:val="TOC2"/>
            <w:rPr>
              <w:rFonts w:eastAsiaTheme="minorEastAsia"/>
              <w:noProof/>
              <w:lang w:eastAsia="en-AU"/>
            </w:rPr>
          </w:pPr>
          <w:hyperlink w:anchor="_Toc67042652" w:history="1">
            <w:r w:rsidR="004F5570" w:rsidRPr="004C3185">
              <w:rPr>
                <w:rStyle w:val="Hyperlink"/>
                <w:noProof/>
              </w:rPr>
              <w:t>Appendix E Impact of participant characteristics on exits from income support and employment services – comparison group versus trial participants</w:t>
            </w:r>
            <w:r w:rsidR="004F5570">
              <w:rPr>
                <w:noProof/>
                <w:webHidden/>
              </w:rPr>
              <w:tab/>
            </w:r>
            <w:r w:rsidR="004F5570">
              <w:rPr>
                <w:noProof/>
                <w:webHidden/>
              </w:rPr>
              <w:fldChar w:fldCharType="begin"/>
            </w:r>
            <w:r w:rsidR="004F5570">
              <w:rPr>
                <w:noProof/>
                <w:webHidden/>
              </w:rPr>
              <w:instrText xml:space="preserve"> PAGEREF _Toc67042652 \h </w:instrText>
            </w:r>
            <w:r w:rsidR="004F5570">
              <w:rPr>
                <w:noProof/>
                <w:webHidden/>
              </w:rPr>
            </w:r>
            <w:r w:rsidR="004F5570">
              <w:rPr>
                <w:noProof/>
                <w:webHidden/>
              </w:rPr>
              <w:fldChar w:fldCharType="separate"/>
            </w:r>
            <w:r>
              <w:rPr>
                <w:noProof/>
                <w:webHidden/>
              </w:rPr>
              <w:t>90</w:t>
            </w:r>
            <w:r w:rsidR="004F5570">
              <w:rPr>
                <w:noProof/>
                <w:webHidden/>
              </w:rPr>
              <w:fldChar w:fldCharType="end"/>
            </w:r>
          </w:hyperlink>
        </w:p>
        <w:p w14:paraId="3F1D0F0B" w14:textId="10A801CE" w:rsidR="004F5570" w:rsidRDefault="00A82B79">
          <w:pPr>
            <w:pStyle w:val="TOC3"/>
            <w:rPr>
              <w:rFonts w:eastAsiaTheme="minorEastAsia"/>
              <w:noProof/>
              <w:lang w:eastAsia="en-AU"/>
            </w:rPr>
          </w:pPr>
          <w:hyperlink w:anchor="_Toc67042653" w:history="1">
            <w:r w:rsidR="004F5570" w:rsidRPr="004C3185">
              <w:rPr>
                <w:rStyle w:val="Hyperlink"/>
                <w:noProof/>
              </w:rPr>
              <w:t>Age</w:t>
            </w:r>
            <w:r w:rsidR="004F5570">
              <w:rPr>
                <w:noProof/>
                <w:webHidden/>
              </w:rPr>
              <w:tab/>
            </w:r>
            <w:r w:rsidR="004F5570">
              <w:rPr>
                <w:noProof/>
                <w:webHidden/>
              </w:rPr>
              <w:fldChar w:fldCharType="begin"/>
            </w:r>
            <w:r w:rsidR="004F5570">
              <w:rPr>
                <w:noProof/>
                <w:webHidden/>
              </w:rPr>
              <w:instrText xml:space="preserve"> PAGEREF _Toc67042653 \h </w:instrText>
            </w:r>
            <w:r w:rsidR="004F5570">
              <w:rPr>
                <w:noProof/>
                <w:webHidden/>
              </w:rPr>
            </w:r>
            <w:r w:rsidR="004F5570">
              <w:rPr>
                <w:noProof/>
                <w:webHidden/>
              </w:rPr>
              <w:fldChar w:fldCharType="separate"/>
            </w:r>
            <w:r>
              <w:rPr>
                <w:noProof/>
                <w:webHidden/>
              </w:rPr>
              <w:t>90</w:t>
            </w:r>
            <w:r w:rsidR="004F5570">
              <w:rPr>
                <w:noProof/>
                <w:webHidden/>
              </w:rPr>
              <w:fldChar w:fldCharType="end"/>
            </w:r>
          </w:hyperlink>
        </w:p>
        <w:p w14:paraId="58D6E0A0" w14:textId="4FAB85CD" w:rsidR="004F5570" w:rsidRDefault="00A82B79">
          <w:pPr>
            <w:pStyle w:val="TOC3"/>
            <w:rPr>
              <w:rFonts w:eastAsiaTheme="minorEastAsia"/>
              <w:noProof/>
              <w:lang w:eastAsia="en-AU"/>
            </w:rPr>
          </w:pPr>
          <w:hyperlink w:anchor="_Toc67042654" w:history="1">
            <w:r w:rsidR="004F5570" w:rsidRPr="004C3185">
              <w:rPr>
                <w:rStyle w:val="Hyperlink"/>
                <w:noProof/>
              </w:rPr>
              <w:t>Location</w:t>
            </w:r>
            <w:r w:rsidR="004F5570">
              <w:rPr>
                <w:noProof/>
                <w:webHidden/>
              </w:rPr>
              <w:tab/>
            </w:r>
            <w:r w:rsidR="004F5570">
              <w:rPr>
                <w:noProof/>
                <w:webHidden/>
              </w:rPr>
              <w:fldChar w:fldCharType="begin"/>
            </w:r>
            <w:r w:rsidR="004F5570">
              <w:rPr>
                <w:noProof/>
                <w:webHidden/>
              </w:rPr>
              <w:instrText xml:space="preserve"> PAGEREF _Toc67042654 \h </w:instrText>
            </w:r>
            <w:r w:rsidR="004F5570">
              <w:rPr>
                <w:noProof/>
                <w:webHidden/>
              </w:rPr>
            </w:r>
            <w:r w:rsidR="004F5570">
              <w:rPr>
                <w:noProof/>
                <w:webHidden/>
              </w:rPr>
              <w:fldChar w:fldCharType="separate"/>
            </w:r>
            <w:r>
              <w:rPr>
                <w:noProof/>
                <w:webHidden/>
              </w:rPr>
              <w:t>92</w:t>
            </w:r>
            <w:r w:rsidR="004F5570">
              <w:rPr>
                <w:noProof/>
                <w:webHidden/>
              </w:rPr>
              <w:fldChar w:fldCharType="end"/>
            </w:r>
          </w:hyperlink>
        </w:p>
        <w:p w14:paraId="46744CD7" w14:textId="5A3913F5" w:rsidR="004F5570" w:rsidRDefault="00A82B79">
          <w:pPr>
            <w:pStyle w:val="TOC3"/>
            <w:rPr>
              <w:rFonts w:eastAsiaTheme="minorEastAsia"/>
              <w:noProof/>
              <w:lang w:eastAsia="en-AU"/>
            </w:rPr>
          </w:pPr>
          <w:hyperlink w:anchor="_Toc67042655" w:history="1">
            <w:r w:rsidR="004F5570" w:rsidRPr="004C3185">
              <w:rPr>
                <w:rStyle w:val="Hyperlink"/>
                <w:noProof/>
              </w:rPr>
              <w:t>Gender</w:t>
            </w:r>
            <w:r w:rsidR="004F5570">
              <w:rPr>
                <w:noProof/>
                <w:webHidden/>
              </w:rPr>
              <w:tab/>
            </w:r>
            <w:r w:rsidR="004F5570">
              <w:rPr>
                <w:noProof/>
                <w:webHidden/>
              </w:rPr>
              <w:fldChar w:fldCharType="begin"/>
            </w:r>
            <w:r w:rsidR="004F5570">
              <w:rPr>
                <w:noProof/>
                <w:webHidden/>
              </w:rPr>
              <w:instrText xml:space="preserve"> PAGEREF _Toc67042655 \h </w:instrText>
            </w:r>
            <w:r w:rsidR="004F5570">
              <w:rPr>
                <w:noProof/>
                <w:webHidden/>
              </w:rPr>
            </w:r>
            <w:r w:rsidR="004F5570">
              <w:rPr>
                <w:noProof/>
                <w:webHidden/>
              </w:rPr>
              <w:fldChar w:fldCharType="separate"/>
            </w:r>
            <w:r>
              <w:rPr>
                <w:noProof/>
                <w:webHidden/>
              </w:rPr>
              <w:t>93</w:t>
            </w:r>
            <w:r w:rsidR="004F5570">
              <w:rPr>
                <w:noProof/>
                <w:webHidden/>
              </w:rPr>
              <w:fldChar w:fldCharType="end"/>
            </w:r>
          </w:hyperlink>
        </w:p>
        <w:p w14:paraId="76B4B177" w14:textId="0305CCDE" w:rsidR="004F5570" w:rsidRDefault="00A82B79">
          <w:pPr>
            <w:pStyle w:val="TOC3"/>
            <w:rPr>
              <w:rFonts w:eastAsiaTheme="minorEastAsia"/>
              <w:noProof/>
              <w:lang w:eastAsia="en-AU"/>
            </w:rPr>
          </w:pPr>
          <w:hyperlink w:anchor="_Toc67042656" w:history="1">
            <w:r w:rsidR="004F5570" w:rsidRPr="004C3185">
              <w:rPr>
                <w:rStyle w:val="Hyperlink"/>
                <w:noProof/>
              </w:rPr>
              <w:t>Education</w:t>
            </w:r>
            <w:r w:rsidR="004F5570">
              <w:rPr>
                <w:noProof/>
                <w:webHidden/>
              </w:rPr>
              <w:tab/>
            </w:r>
            <w:r w:rsidR="004F5570">
              <w:rPr>
                <w:noProof/>
                <w:webHidden/>
              </w:rPr>
              <w:fldChar w:fldCharType="begin"/>
            </w:r>
            <w:r w:rsidR="004F5570">
              <w:rPr>
                <w:noProof/>
                <w:webHidden/>
              </w:rPr>
              <w:instrText xml:space="preserve"> PAGEREF _Toc67042656 \h </w:instrText>
            </w:r>
            <w:r w:rsidR="004F5570">
              <w:rPr>
                <w:noProof/>
                <w:webHidden/>
              </w:rPr>
            </w:r>
            <w:r w:rsidR="004F5570">
              <w:rPr>
                <w:noProof/>
                <w:webHidden/>
              </w:rPr>
              <w:fldChar w:fldCharType="separate"/>
            </w:r>
            <w:r>
              <w:rPr>
                <w:noProof/>
                <w:webHidden/>
              </w:rPr>
              <w:t>94</w:t>
            </w:r>
            <w:r w:rsidR="004F5570">
              <w:rPr>
                <w:noProof/>
                <w:webHidden/>
              </w:rPr>
              <w:fldChar w:fldCharType="end"/>
            </w:r>
          </w:hyperlink>
        </w:p>
        <w:p w14:paraId="0D090883" w14:textId="25D562CC" w:rsidR="004F5570" w:rsidRDefault="00A82B79">
          <w:pPr>
            <w:pStyle w:val="TOC3"/>
            <w:rPr>
              <w:rFonts w:eastAsiaTheme="minorEastAsia"/>
              <w:noProof/>
              <w:lang w:eastAsia="en-AU"/>
            </w:rPr>
          </w:pPr>
          <w:hyperlink w:anchor="_Toc67042657" w:history="1">
            <w:r w:rsidR="004F5570" w:rsidRPr="004C3185">
              <w:rPr>
                <w:rStyle w:val="Hyperlink"/>
                <w:noProof/>
              </w:rPr>
              <w:t>CALD</w:t>
            </w:r>
            <w:r w:rsidR="004F5570">
              <w:rPr>
                <w:noProof/>
                <w:webHidden/>
              </w:rPr>
              <w:tab/>
            </w:r>
            <w:r w:rsidR="004F5570">
              <w:rPr>
                <w:noProof/>
                <w:webHidden/>
              </w:rPr>
              <w:fldChar w:fldCharType="begin"/>
            </w:r>
            <w:r w:rsidR="004F5570">
              <w:rPr>
                <w:noProof/>
                <w:webHidden/>
              </w:rPr>
              <w:instrText xml:space="preserve"> PAGEREF _Toc67042657 \h </w:instrText>
            </w:r>
            <w:r w:rsidR="004F5570">
              <w:rPr>
                <w:noProof/>
                <w:webHidden/>
              </w:rPr>
            </w:r>
            <w:r w:rsidR="004F5570">
              <w:rPr>
                <w:noProof/>
                <w:webHidden/>
              </w:rPr>
              <w:fldChar w:fldCharType="separate"/>
            </w:r>
            <w:r>
              <w:rPr>
                <w:noProof/>
                <w:webHidden/>
              </w:rPr>
              <w:t>95</w:t>
            </w:r>
            <w:r w:rsidR="004F5570">
              <w:rPr>
                <w:noProof/>
                <w:webHidden/>
              </w:rPr>
              <w:fldChar w:fldCharType="end"/>
            </w:r>
          </w:hyperlink>
        </w:p>
        <w:p w14:paraId="2E983AD2" w14:textId="4458F401" w:rsidR="004F5570" w:rsidRDefault="00A82B79">
          <w:pPr>
            <w:pStyle w:val="TOC3"/>
            <w:rPr>
              <w:rFonts w:eastAsiaTheme="minorEastAsia"/>
              <w:noProof/>
              <w:lang w:eastAsia="en-AU"/>
            </w:rPr>
          </w:pPr>
          <w:hyperlink w:anchor="_Toc67042658" w:history="1">
            <w:r w:rsidR="004F5570" w:rsidRPr="004C3185">
              <w:rPr>
                <w:rStyle w:val="Hyperlink"/>
                <w:rFonts w:eastAsia="Times New Roman"/>
                <w:noProof/>
                <w:lang w:eastAsia="en-AU"/>
              </w:rPr>
              <w:t>Previous experience of income support</w:t>
            </w:r>
            <w:r w:rsidR="004F5570">
              <w:rPr>
                <w:noProof/>
                <w:webHidden/>
              </w:rPr>
              <w:tab/>
            </w:r>
            <w:r w:rsidR="004F5570">
              <w:rPr>
                <w:noProof/>
                <w:webHidden/>
              </w:rPr>
              <w:fldChar w:fldCharType="begin"/>
            </w:r>
            <w:r w:rsidR="004F5570">
              <w:rPr>
                <w:noProof/>
                <w:webHidden/>
              </w:rPr>
              <w:instrText xml:space="preserve"> PAGEREF _Toc67042658 \h </w:instrText>
            </w:r>
            <w:r w:rsidR="004F5570">
              <w:rPr>
                <w:noProof/>
                <w:webHidden/>
              </w:rPr>
            </w:r>
            <w:r w:rsidR="004F5570">
              <w:rPr>
                <w:noProof/>
                <w:webHidden/>
              </w:rPr>
              <w:fldChar w:fldCharType="separate"/>
            </w:r>
            <w:r>
              <w:rPr>
                <w:noProof/>
                <w:webHidden/>
              </w:rPr>
              <w:t>96</w:t>
            </w:r>
            <w:r w:rsidR="004F5570">
              <w:rPr>
                <w:noProof/>
                <w:webHidden/>
              </w:rPr>
              <w:fldChar w:fldCharType="end"/>
            </w:r>
          </w:hyperlink>
        </w:p>
        <w:p w14:paraId="21154ABB" w14:textId="4141941C" w:rsidR="004F5570" w:rsidRDefault="00A82B79">
          <w:pPr>
            <w:pStyle w:val="TOC3"/>
            <w:rPr>
              <w:rFonts w:eastAsiaTheme="minorEastAsia"/>
              <w:noProof/>
              <w:lang w:eastAsia="en-AU"/>
            </w:rPr>
          </w:pPr>
          <w:hyperlink w:anchor="_Toc67042659" w:history="1">
            <w:r w:rsidR="004F5570" w:rsidRPr="004C3185">
              <w:rPr>
                <w:rStyle w:val="Hyperlink"/>
                <w:rFonts w:eastAsia="Times New Roman"/>
                <w:noProof/>
                <w:lang w:eastAsia="en-AU"/>
              </w:rPr>
              <w:t>Previous experience of jobactive services</w:t>
            </w:r>
            <w:r w:rsidR="004F5570">
              <w:rPr>
                <w:noProof/>
                <w:webHidden/>
              </w:rPr>
              <w:tab/>
            </w:r>
            <w:r w:rsidR="004F5570">
              <w:rPr>
                <w:noProof/>
                <w:webHidden/>
              </w:rPr>
              <w:fldChar w:fldCharType="begin"/>
            </w:r>
            <w:r w:rsidR="004F5570">
              <w:rPr>
                <w:noProof/>
                <w:webHidden/>
              </w:rPr>
              <w:instrText xml:space="preserve"> PAGEREF _Toc67042659 \h </w:instrText>
            </w:r>
            <w:r w:rsidR="004F5570">
              <w:rPr>
                <w:noProof/>
                <w:webHidden/>
              </w:rPr>
            </w:r>
            <w:r w:rsidR="004F5570">
              <w:rPr>
                <w:noProof/>
                <w:webHidden/>
              </w:rPr>
              <w:fldChar w:fldCharType="separate"/>
            </w:r>
            <w:r>
              <w:rPr>
                <w:noProof/>
                <w:webHidden/>
              </w:rPr>
              <w:t>97</w:t>
            </w:r>
            <w:r w:rsidR="004F5570">
              <w:rPr>
                <w:noProof/>
                <w:webHidden/>
              </w:rPr>
              <w:fldChar w:fldCharType="end"/>
            </w:r>
          </w:hyperlink>
        </w:p>
        <w:p w14:paraId="44A23092" w14:textId="48E0A380" w:rsidR="00631BAD" w:rsidRPr="00F71A22" w:rsidRDefault="00631BAD" w:rsidP="00631BAD">
          <w:r w:rsidRPr="00F71A22">
            <w:rPr>
              <w:b/>
              <w:bCs/>
              <w:noProof/>
            </w:rPr>
            <w:fldChar w:fldCharType="end"/>
          </w:r>
        </w:p>
      </w:sdtContent>
    </w:sdt>
    <w:p w14:paraId="1D2E2E8D" w14:textId="77777777" w:rsidR="00631BAD" w:rsidRPr="00F71A22" w:rsidRDefault="00631BAD" w:rsidP="00631BAD">
      <w:r w:rsidRPr="00F71A22">
        <w:br w:type="page"/>
      </w:r>
    </w:p>
    <w:p w14:paraId="0FBCA514" w14:textId="77777777" w:rsidR="00631BAD" w:rsidRPr="00F71A22" w:rsidRDefault="00631BAD" w:rsidP="00BD5333">
      <w:pPr>
        <w:pStyle w:val="Heading1"/>
        <w:spacing w:after="120"/>
      </w:pPr>
      <w:bookmarkStart w:id="2" w:name="_Toc67042557"/>
      <w:r w:rsidRPr="00F71A22">
        <w:lastRenderedPageBreak/>
        <w:t>List of abbreviations and acronyms</w:t>
      </w:r>
      <w:bookmarkEnd w:id="2"/>
    </w:p>
    <w:p w14:paraId="5315992D" w14:textId="698BA68E" w:rsidR="00631BAD" w:rsidRPr="00F71A22" w:rsidRDefault="00631BAD" w:rsidP="00D54599">
      <w:pPr>
        <w:tabs>
          <w:tab w:val="left" w:pos="2268"/>
        </w:tabs>
        <w:ind w:left="2880" w:hanging="2880"/>
      </w:pPr>
      <w:r w:rsidRPr="00F71A22">
        <w:t>the department/DESE</w:t>
      </w:r>
      <w:r w:rsidRPr="00F71A22">
        <w:tab/>
      </w:r>
      <w:r w:rsidRPr="00F71A22">
        <w:tab/>
        <w:t>Department of Education, Skills and Employment</w:t>
      </w:r>
      <w:r w:rsidR="00D54599" w:rsidRPr="00F71A22">
        <w:t xml:space="preserve"> (and its predecessors)</w:t>
      </w:r>
    </w:p>
    <w:p w14:paraId="7EA233ED" w14:textId="24CD15BF" w:rsidR="00631BAD" w:rsidRPr="00F71A22" w:rsidRDefault="00631BAD" w:rsidP="00631BAD">
      <w:pPr>
        <w:tabs>
          <w:tab w:val="left" w:pos="2268"/>
        </w:tabs>
      </w:pPr>
      <w:r w:rsidRPr="00F71A22">
        <w:t>CALD</w:t>
      </w:r>
      <w:r w:rsidRPr="00F71A22">
        <w:tab/>
      </w:r>
      <w:r w:rsidRPr="00F71A22">
        <w:tab/>
      </w:r>
      <w:r w:rsidR="00D61155" w:rsidRPr="00581AA1">
        <w:t>C</w:t>
      </w:r>
      <w:r w:rsidRPr="00581AA1">
        <w:t xml:space="preserve">ulturally and </w:t>
      </w:r>
      <w:r w:rsidR="00D61155" w:rsidRPr="00581AA1">
        <w:t>L</w:t>
      </w:r>
      <w:r w:rsidRPr="00581AA1">
        <w:t xml:space="preserve">inguistically </w:t>
      </w:r>
      <w:r w:rsidR="00D61155" w:rsidRPr="00581AA1">
        <w:t>D</w:t>
      </w:r>
      <w:r w:rsidRPr="00581AA1">
        <w:t>iverse</w:t>
      </w:r>
    </w:p>
    <w:p w14:paraId="2FAF1079" w14:textId="2DBE37AF" w:rsidR="00631BAD" w:rsidRPr="00F71A22" w:rsidRDefault="00631BAD" w:rsidP="00631BAD">
      <w:pPr>
        <w:tabs>
          <w:tab w:val="left" w:pos="2268"/>
        </w:tabs>
      </w:pPr>
      <w:r w:rsidRPr="00F71A22">
        <w:t>CATI</w:t>
      </w:r>
      <w:r w:rsidRPr="00F71A22">
        <w:tab/>
      </w:r>
      <w:r w:rsidRPr="00F71A22">
        <w:tab/>
        <w:t>Computer Assisted Telephone Interview</w:t>
      </w:r>
      <w:r w:rsidR="00F268EF">
        <w:t>s</w:t>
      </w:r>
    </w:p>
    <w:p w14:paraId="6A17B1B8" w14:textId="00030308" w:rsidR="00631BAD" w:rsidRPr="00F71A22" w:rsidRDefault="00631BAD" w:rsidP="00631BAD">
      <w:pPr>
        <w:tabs>
          <w:tab w:val="left" w:pos="2268"/>
        </w:tabs>
      </w:pPr>
      <w:r w:rsidRPr="00F71A22">
        <w:t>DHS</w:t>
      </w:r>
      <w:r w:rsidRPr="00F71A22">
        <w:tab/>
      </w:r>
      <w:r w:rsidRPr="00F71A22">
        <w:tab/>
        <w:t>Department of Human Services</w:t>
      </w:r>
      <w:r w:rsidR="00EE4EA7" w:rsidRPr="00F71A22">
        <w:t>, now Services Australia</w:t>
      </w:r>
    </w:p>
    <w:p w14:paraId="7E82796A" w14:textId="77777777" w:rsidR="00335C3D" w:rsidRPr="00F71A22" w:rsidRDefault="00335C3D" w:rsidP="00631BAD">
      <w:pPr>
        <w:tabs>
          <w:tab w:val="left" w:pos="2268"/>
        </w:tabs>
      </w:pPr>
      <w:r w:rsidRPr="00F71A22">
        <w:t>ESS</w:t>
      </w:r>
      <w:r w:rsidRPr="00F71A22">
        <w:tab/>
      </w:r>
      <w:r w:rsidRPr="00F71A22">
        <w:tab/>
        <w:t>Employment Services System</w:t>
      </w:r>
    </w:p>
    <w:p w14:paraId="6E78C7F9" w14:textId="6F86FB36" w:rsidR="00631BAD" w:rsidRPr="00F71A22" w:rsidRDefault="00631BAD" w:rsidP="00631BAD">
      <w:pPr>
        <w:tabs>
          <w:tab w:val="left" w:pos="2268"/>
        </w:tabs>
      </w:pPr>
      <w:r w:rsidRPr="00F71A22">
        <w:t>ICT</w:t>
      </w:r>
      <w:r w:rsidRPr="00F71A22">
        <w:tab/>
      </w:r>
      <w:r w:rsidRPr="00F71A22">
        <w:tab/>
      </w:r>
      <w:r w:rsidR="00372F31">
        <w:t>information and communications technology</w:t>
      </w:r>
    </w:p>
    <w:p w14:paraId="53014BAE" w14:textId="7B0671FC" w:rsidR="00631BAD" w:rsidRPr="00F71A22" w:rsidRDefault="00631BAD" w:rsidP="00631BAD">
      <w:pPr>
        <w:tabs>
          <w:tab w:val="left" w:pos="2268"/>
        </w:tabs>
      </w:pPr>
      <w:r w:rsidRPr="00F71A22">
        <w:t>JSCI</w:t>
      </w:r>
      <w:r w:rsidRPr="00F71A22">
        <w:tab/>
      </w:r>
      <w:r w:rsidRPr="00F71A22">
        <w:tab/>
        <w:t xml:space="preserve">Job </w:t>
      </w:r>
      <w:r w:rsidR="003B5D2A" w:rsidRPr="00F71A22">
        <w:t>S</w:t>
      </w:r>
      <w:r w:rsidRPr="00F71A22">
        <w:t>eeker Classification Instrument</w:t>
      </w:r>
    </w:p>
    <w:p w14:paraId="5328B2E3" w14:textId="6B0F95D1" w:rsidR="00631BAD" w:rsidRPr="00F71A22" w:rsidRDefault="00631BAD" w:rsidP="00631BAD">
      <w:pPr>
        <w:tabs>
          <w:tab w:val="left" w:pos="2268"/>
        </w:tabs>
      </w:pPr>
      <w:r w:rsidRPr="00F71A22">
        <w:t>MOR</w:t>
      </w:r>
      <w:r w:rsidR="00692892" w:rsidRPr="00F71A22">
        <w:t>s</w:t>
      </w:r>
      <w:r w:rsidRPr="00F71A22">
        <w:tab/>
      </w:r>
      <w:r w:rsidRPr="00F71A22">
        <w:tab/>
        <w:t xml:space="preserve">Mutual </w:t>
      </w:r>
      <w:r w:rsidR="003B5D2A" w:rsidRPr="00F71A22">
        <w:t>O</w:t>
      </w:r>
      <w:r w:rsidRPr="00F71A22">
        <w:t xml:space="preserve">bligation </w:t>
      </w:r>
      <w:r w:rsidR="003B5D2A" w:rsidRPr="00F71A22">
        <w:t>R</w:t>
      </w:r>
      <w:r w:rsidRPr="00F71A22">
        <w:t>equirements</w:t>
      </w:r>
    </w:p>
    <w:p w14:paraId="167652BB" w14:textId="77777777" w:rsidR="00631BAD" w:rsidRPr="00F71A22" w:rsidRDefault="00631BAD" w:rsidP="00631BAD">
      <w:pPr>
        <w:tabs>
          <w:tab w:val="left" w:pos="2268"/>
        </w:tabs>
      </w:pPr>
      <w:r w:rsidRPr="00F71A22">
        <w:t>NCSL</w:t>
      </w:r>
      <w:r w:rsidRPr="00F71A22">
        <w:tab/>
      </w:r>
      <w:r w:rsidRPr="00F71A22">
        <w:tab/>
        <w:t>National Customer Service Line</w:t>
      </w:r>
    </w:p>
    <w:p w14:paraId="338E399F" w14:textId="77777777" w:rsidR="006D4F3F" w:rsidRPr="00F71A22" w:rsidRDefault="006D4F3F" w:rsidP="00631BAD">
      <w:pPr>
        <w:tabs>
          <w:tab w:val="left" w:pos="2268"/>
        </w:tabs>
      </w:pPr>
      <w:r w:rsidRPr="00F71A22">
        <w:t>NESM</w:t>
      </w:r>
      <w:r w:rsidRPr="00F71A22">
        <w:tab/>
      </w:r>
      <w:r w:rsidRPr="00F71A22">
        <w:tab/>
        <w:t>New Employment Services Model</w:t>
      </w:r>
    </w:p>
    <w:p w14:paraId="724566CB" w14:textId="77777777" w:rsidR="006D4F3F" w:rsidRPr="00F71A22" w:rsidRDefault="00631BAD" w:rsidP="00631BAD">
      <w:pPr>
        <w:tabs>
          <w:tab w:val="left" w:pos="2268"/>
        </w:tabs>
      </w:pPr>
      <w:r w:rsidRPr="00F71A22">
        <w:t>NEST</w:t>
      </w:r>
      <w:r w:rsidRPr="00F71A22">
        <w:tab/>
      </w:r>
      <w:r w:rsidRPr="00F71A22">
        <w:tab/>
        <w:t>New Employment Services Trial</w:t>
      </w:r>
    </w:p>
    <w:p w14:paraId="6B85785F" w14:textId="3F0A866A" w:rsidR="00631BAD" w:rsidRPr="00F71A22" w:rsidRDefault="00631BAD" w:rsidP="00631BAD">
      <w:pPr>
        <w:tabs>
          <w:tab w:val="left" w:pos="2268"/>
        </w:tabs>
      </w:pPr>
      <w:r w:rsidRPr="00F71A22">
        <w:t>NSA</w:t>
      </w:r>
      <w:r w:rsidRPr="00F71A22">
        <w:tab/>
      </w:r>
      <w:r w:rsidRPr="00F71A22">
        <w:tab/>
      </w:r>
      <w:r w:rsidR="00351D48" w:rsidRPr="00F71A22">
        <w:t>Newstart Allowance</w:t>
      </w:r>
      <w:r w:rsidR="00EE4EA7" w:rsidRPr="00F71A22">
        <w:t>, now JobSeeker Payment</w:t>
      </w:r>
    </w:p>
    <w:p w14:paraId="7A67D3D0" w14:textId="77777777" w:rsidR="00631BAD" w:rsidRPr="00F71A22" w:rsidRDefault="00631BAD" w:rsidP="00631BAD">
      <w:pPr>
        <w:tabs>
          <w:tab w:val="left" w:pos="2268"/>
        </w:tabs>
      </w:pPr>
      <w:r w:rsidRPr="00F71A22">
        <w:t>OECD</w:t>
      </w:r>
      <w:r w:rsidRPr="00F71A22">
        <w:tab/>
      </w:r>
      <w:r w:rsidRPr="00F71A22">
        <w:tab/>
        <w:t>Organisation for Economic Co-operation and Development</w:t>
      </w:r>
    </w:p>
    <w:p w14:paraId="7C35C3C7" w14:textId="77777777" w:rsidR="00631BAD" w:rsidRPr="00F71A22" w:rsidRDefault="00631BAD" w:rsidP="00631BAD">
      <w:pPr>
        <w:tabs>
          <w:tab w:val="left" w:pos="2268"/>
        </w:tabs>
      </w:pPr>
      <w:r w:rsidRPr="00F71A22">
        <w:t>OES</w:t>
      </w:r>
      <w:r w:rsidRPr="00F71A22">
        <w:tab/>
      </w:r>
      <w:r w:rsidRPr="00F71A22">
        <w:tab/>
        <w:t>Online Employment Services</w:t>
      </w:r>
    </w:p>
    <w:p w14:paraId="35A494D1" w14:textId="6EA4F99A" w:rsidR="002D5657" w:rsidRPr="00F71A22" w:rsidRDefault="002D5657" w:rsidP="00631BAD">
      <w:pPr>
        <w:tabs>
          <w:tab w:val="left" w:pos="2268"/>
        </w:tabs>
      </w:pPr>
      <w:r w:rsidRPr="00F71A22">
        <w:t>OEST</w:t>
      </w:r>
      <w:r w:rsidR="00692892" w:rsidRPr="00F71A22">
        <w:t xml:space="preserve">/the </w:t>
      </w:r>
      <w:r w:rsidR="00DE5E20" w:rsidRPr="00F71A22">
        <w:t>t</w:t>
      </w:r>
      <w:r w:rsidR="00692892" w:rsidRPr="00F71A22">
        <w:t>rial</w:t>
      </w:r>
      <w:r w:rsidR="003D6BB4" w:rsidRPr="00F71A22">
        <w:tab/>
      </w:r>
      <w:r w:rsidR="003D6BB4" w:rsidRPr="00F71A22">
        <w:tab/>
        <w:t>Online Employment Services Trial</w:t>
      </w:r>
    </w:p>
    <w:p w14:paraId="0E7CB503" w14:textId="77777777" w:rsidR="00631BAD" w:rsidRPr="00F71A22" w:rsidRDefault="00631BAD" w:rsidP="00631BAD">
      <w:pPr>
        <w:tabs>
          <w:tab w:val="left" w:pos="2268"/>
        </w:tabs>
      </w:pPr>
      <w:r w:rsidRPr="00F71A22">
        <w:t>RED</w:t>
      </w:r>
      <w:r w:rsidRPr="00F71A22">
        <w:tab/>
      </w:r>
      <w:r w:rsidRPr="00F71A22">
        <w:tab/>
        <w:t>Research and Evaluation Database</w:t>
      </w:r>
    </w:p>
    <w:p w14:paraId="356E9734" w14:textId="7726CB04" w:rsidR="00631BAD" w:rsidRPr="00F71A22" w:rsidRDefault="00631BAD" w:rsidP="0046221C">
      <w:pPr>
        <w:tabs>
          <w:tab w:val="left" w:pos="2268"/>
        </w:tabs>
      </w:pPr>
      <w:r w:rsidRPr="00F71A22">
        <w:br w:type="page"/>
      </w:r>
    </w:p>
    <w:p w14:paraId="6EAB7204" w14:textId="589199FE" w:rsidR="00637986" w:rsidRPr="00F71A22" w:rsidRDefault="00631BAD" w:rsidP="003A3A64">
      <w:pPr>
        <w:pStyle w:val="Heading1"/>
      </w:pPr>
      <w:bookmarkStart w:id="3" w:name="_Toc67042558"/>
      <w:r w:rsidRPr="00F71A22">
        <w:lastRenderedPageBreak/>
        <w:t xml:space="preserve">List of </w:t>
      </w:r>
      <w:r w:rsidR="00AB0B37">
        <w:t>t</w:t>
      </w:r>
      <w:r w:rsidRPr="00F71A22">
        <w:t>able</w:t>
      </w:r>
      <w:r w:rsidR="00ED6483" w:rsidRPr="00F71A22">
        <w:t>s</w:t>
      </w:r>
      <w:bookmarkEnd w:id="3"/>
    </w:p>
    <w:p w14:paraId="05468489" w14:textId="0CC6CD45" w:rsidR="004F5570" w:rsidRDefault="00277D4A">
      <w:pPr>
        <w:pStyle w:val="TableofFigures"/>
        <w:tabs>
          <w:tab w:val="right" w:leader="dot" w:pos="9038"/>
        </w:tabs>
        <w:rPr>
          <w:rFonts w:eastAsiaTheme="minorEastAsia"/>
          <w:noProof/>
          <w:lang w:eastAsia="en-AU"/>
        </w:rPr>
      </w:pPr>
      <w:r w:rsidRPr="00F71A22">
        <w:fldChar w:fldCharType="begin"/>
      </w:r>
      <w:r w:rsidRPr="00F71A22">
        <w:instrText xml:space="preserve"> TOC \t "Table Caption" \c </w:instrText>
      </w:r>
      <w:r w:rsidRPr="00F71A22">
        <w:fldChar w:fldCharType="separate"/>
      </w:r>
      <w:r w:rsidR="004F5570">
        <w:rPr>
          <w:noProof/>
        </w:rPr>
        <w:t>Table  2.1 Demographic characteristics of the study groups</w:t>
      </w:r>
      <w:r w:rsidR="004F5570">
        <w:rPr>
          <w:noProof/>
        </w:rPr>
        <w:tab/>
      </w:r>
      <w:r w:rsidR="004F5570">
        <w:rPr>
          <w:noProof/>
        </w:rPr>
        <w:fldChar w:fldCharType="begin"/>
      </w:r>
      <w:r w:rsidR="004F5570">
        <w:rPr>
          <w:noProof/>
        </w:rPr>
        <w:instrText xml:space="preserve"> PAGEREF _Toc67042660 \h </w:instrText>
      </w:r>
      <w:r w:rsidR="004F5570">
        <w:rPr>
          <w:noProof/>
        </w:rPr>
      </w:r>
      <w:r w:rsidR="004F5570">
        <w:rPr>
          <w:noProof/>
        </w:rPr>
        <w:fldChar w:fldCharType="separate"/>
      </w:r>
      <w:r w:rsidR="00A82B79">
        <w:rPr>
          <w:noProof/>
        </w:rPr>
        <w:t>33</w:t>
      </w:r>
      <w:r w:rsidR="004F5570">
        <w:rPr>
          <w:noProof/>
        </w:rPr>
        <w:fldChar w:fldCharType="end"/>
      </w:r>
    </w:p>
    <w:p w14:paraId="7D5735B0" w14:textId="1CCE4FCB" w:rsidR="004F5570" w:rsidRDefault="004F5570">
      <w:pPr>
        <w:pStyle w:val="TableofFigures"/>
        <w:tabs>
          <w:tab w:val="right" w:leader="dot" w:pos="9038"/>
        </w:tabs>
        <w:rPr>
          <w:rFonts w:eastAsiaTheme="minorEastAsia"/>
          <w:noProof/>
          <w:lang w:eastAsia="en-AU"/>
        </w:rPr>
      </w:pPr>
      <w:r>
        <w:rPr>
          <w:noProof/>
        </w:rPr>
        <w:t>Table 3.1 Characteristics of OEST job seekers who opted out of the trial before or after commencement</w:t>
      </w:r>
      <w:r>
        <w:rPr>
          <w:noProof/>
        </w:rPr>
        <w:tab/>
      </w:r>
      <w:r>
        <w:rPr>
          <w:noProof/>
        </w:rPr>
        <w:fldChar w:fldCharType="begin"/>
      </w:r>
      <w:r>
        <w:rPr>
          <w:noProof/>
        </w:rPr>
        <w:instrText xml:space="preserve"> PAGEREF _Toc67042661 \h </w:instrText>
      </w:r>
      <w:r>
        <w:rPr>
          <w:noProof/>
        </w:rPr>
      </w:r>
      <w:r>
        <w:rPr>
          <w:noProof/>
        </w:rPr>
        <w:fldChar w:fldCharType="separate"/>
      </w:r>
      <w:r w:rsidR="00A82B79">
        <w:rPr>
          <w:noProof/>
        </w:rPr>
        <w:t>38</w:t>
      </w:r>
      <w:r>
        <w:rPr>
          <w:noProof/>
        </w:rPr>
        <w:fldChar w:fldCharType="end"/>
      </w:r>
    </w:p>
    <w:p w14:paraId="15B38A70" w14:textId="4249481E" w:rsidR="004F5570" w:rsidRDefault="004F5570">
      <w:pPr>
        <w:pStyle w:val="TableofFigures"/>
        <w:tabs>
          <w:tab w:val="right" w:leader="dot" w:pos="9038"/>
        </w:tabs>
        <w:rPr>
          <w:rFonts w:eastAsiaTheme="minorEastAsia"/>
          <w:noProof/>
          <w:lang w:eastAsia="en-AU"/>
        </w:rPr>
      </w:pPr>
      <w:r>
        <w:rPr>
          <w:noProof/>
        </w:rPr>
        <w:t>Table 3.2 Reasons for opting out of the OEST before and after commencement</w:t>
      </w:r>
      <w:r>
        <w:rPr>
          <w:noProof/>
        </w:rPr>
        <w:tab/>
      </w:r>
      <w:r>
        <w:rPr>
          <w:noProof/>
        </w:rPr>
        <w:fldChar w:fldCharType="begin"/>
      </w:r>
      <w:r>
        <w:rPr>
          <w:noProof/>
        </w:rPr>
        <w:instrText xml:space="preserve"> PAGEREF _Toc67042662 \h </w:instrText>
      </w:r>
      <w:r>
        <w:rPr>
          <w:noProof/>
        </w:rPr>
      </w:r>
      <w:r>
        <w:rPr>
          <w:noProof/>
        </w:rPr>
        <w:fldChar w:fldCharType="separate"/>
      </w:r>
      <w:r w:rsidR="00A82B79">
        <w:rPr>
          <w:noProof/>
        </w:rPr>
        <w:t>39</w:t>
      </w:r>
      <w:r>
        <w:rPr>
          <w:noProof/>
        </w:rPr>
        <w:fldChar w:fldCharType="end"/>
      </w:r>
    </w:p>
    <w:p w14:paraId="23D2BAF0" w14:textId="605D2E29" w:rsidR="004F5570" w:rsidRDefault="004F5570">
      <w:pPr>
        <w:pStyle w:val="TableofFigures"/>
        <w:tabs>
          <w:tab w:val="right" w:leader="dot" w:pos="9038"/>
        </w:tabs>
        <w:rPr>
          <w:rFonts w:eastAsiaTheme="minorEastAsia"/>
          <w:noProof/>
          <w:lang w:eastAsia="en-AU"/>
        </w:rPr>
      </w:pPr>
      <w:r>
        <w:rPr>
          <w:noProof/>
        </w:rPr>
        <w:t>Table 3.3 Accumulation of demerit points for insufficient job search for job seekers who commenced from July 2018 to June 2019</w:t>
      </w:r>
      <w:r>
        <w:rPr>
          <w:noProof/>
        </w:rPr>
        <w:tab/>
      </w:r>
      <w:r>
        <w:rPr>
          <w:noProof/>
        </w:rPr>
        <w:fldChar w:fldCharType="begin"/>
      </w:r>
      <w:r>
        <w:rPr>
          <w:noProof/>
        </w:rPr>
        <w:instrText xml:space="preserve"> PAGEREF _Toc67042663 \h </w:instrText>
      </w:r>
      <w:r>
        <w:rPr>
          <w:noProof/>
        </w:rPr>
      </w:r>
      <w:r>
        <w:rPr>
          <w:noProof/>
        </w:rPr>
        <w:fldChar w:fldCharType="separate"/>
      </w:r>
      <w:r w:rsidR="00A82B79">
        <w:rPr>
          <w:noProof/>
        </w:rPr>
        <w:t>46</w:t>
      </w:r>
      <w:r>
        <w:rPr>
          <w:noProof/>
        </w:rPr>
        <w:fldChar w:fldCharType="end"/>
      </w:r>
    </w:p>
    <w:p w14:paraId="665A5144" w14:textId="09C297E3" w:rsidR="004F5570" w:rsidRDefault="004F5570">
      <w:pPr>
        <w:pStyle w:val="TableofFigures"/>
        <w:tabs>
          <w:tab w:val="right" w:leader="dot" w:pos="9038"/>
        </w:tabs>
        <w:rPr>
          <w:rFonts w:eastAsiaTheme="minorEastAsia"/>
          <w:noProof/>
          <w:lang w:eastAsia="en-AU"/>
        </w:rPr>
      </w:pPr>
      <w:r>
        <w:rPr>
          <w:noProof/>
        </w:rPr>
        <w:t>Table 4.1 Exits from income support and employment services for OEST participants compared with job seekers in provider-based services who have completed six months</w:t>
      </w:r>
      <w:r>
        <w:rPr>
          <w:noProof/>
        </w:rPr>
        <w:tab/>
      </w:r>
      <w:r>
        <w:rPr>
          <w:noProof/>
        </w:rPr>
        <w:fldChar w:fldCharType="begin"/>
      </w:r>
      <w:r>
        <w:rPr>
          <w:noProof/>
        </w:rPr>
        <w:instrText xml:space="preserve"> PAGEREF _Toc67042664 \h </w:instrText>
      </w:r>
      <w:r>
        <w:rPr>
          <w:noProof/>
        </w:rPr>
      </w:r>
      <w:r>
        <w:rPr>
          <w:noProof/>
        </w:rPr>
        <w:fldChar w:fldCharType="separate"/>
      </w:r>
      <w:r w:rsidR="00A82B79">
        <w:rPr>
          <w:noProof/>
        </w:rPr>
        <w:t>52</w:t>
      </w:r>
      <w:r>
        <w:rPr>
          <w:noProof/>
        </w:rPr>
        <w:fldChar w:fldCharType="end"/>
      </w:r>
    </w:p>
    <w:p w14:paraId="31EC93DE" w14:textId="64581316" w:rsidR="004F5570" w:rsidRDefault="004F5570">
      <w:pPr>
        <w:pStyle w:val="TableofFigures"/>
        <w:tabs>
          <w:tab w:val="right" w:leader="dot" w:pos="9038"/>
        </w:tabs>
        <w:rPr>
          <w:rFonts w:eastAsiaTheme="minorEastAsia"/>
          <w:noProof/>
          <w:lang w:eastAsia="en-AU"/>
        </w:rPr>
      </w:pPr>
      <w:r w:rsidRPr="000E127C">
        <w:rPr>
          <w:rFonts w:eastAsia="Times New Roman"/>
          <w:noProof/>
          <w:lang w:eastAsia="en-AU"/>
        </w:rPr>
        <w:t>Table 4.2 Sustainability of income support exits over the period of 6 months from exit date (*)</w:t>
      </w:r>
      <w:r>
        <w:rPr>
          <w:noProof/>
        </w:rPr>
        <w:tab/>
      </w:r>
      <w:r>
        <w:rPr>
          <w:noProof/>
        </w:rPr>
        <w:fldChar w:fldCharType="begin"/>
      </w:r>
      <w:r>
        <w:rPr>
          <w:noProof/>
        </w:rPr>
        <w:instrText xml:space="preserve"> PAGEREF _Toc67042665 \h </w:instrText>
      </w:r>
      <w:r>
        <w:rPr>
          <w:noProof/>
        </w:rPr>
      </w:r>
      <w:r>
        <w:rPr>
          <w:noProof/>
        </w:rPr>
        <w:fldChar w:fldCharType="separate"/>
      </w:r>
      <w:r w:rsidR="00A82B79">
        <w:rPr>
          <w:noProof/>
        </w:rPr>
        <w:t>54</w:t>
      </w:r>
      <w:r>
        <w:rPr>
          <w:noProof/>
        </w:rPr>
        <w:fldChar w:fldCharType="end"/>
      </w:r>
    </w:p>
    <w:p w14:paraId="5BF17048" w14:textId="546DB9C1" w:rsidR="004F5570" w:rsidRDefault="004F5570">
      <w:pPr>
        <w:pStyle w:val="TableofFigures"/>
        <w:tabs>
          <w:tab w:val="right" w:leader="dot" w:pos="9038"/>
        </w:tabs>
        <w:rPr>
          <w:rFonts w:eastAsiaTheme="minorEastAsia"/>
          <w:noProof/>
          <w:lang w:eastAsia="en-AU"/>
        </w:rPr>
      </w:pPr>
      <w:r>
        <w:rPr>
          <w:noProof/>
        </w:rPr>
        <w:t>Table C1 Demographic profile of focus groups</w:t>
      </w:r>
      <w:r>
        <w:rPr>
          <w:noProof/>
        </w:rPr>
        <w:tab/>
      </w:r>
      <w:r>
        <w:rPr>
          <w:noProof/>
        </w:rPr>
        <w:fldChar w:fldCharType="begin"/>
      </w:r>
      <w:r>
        <w:rPr>
          <w:noProof/>
        </w:rPr>
        <w:instrText xml:space="preserve"> PAGEREF _Toc67042666 \h </w:instrText>
      </w:r>
      <w:r>
        <w:rPr>
          <w:noProof/>
        </w:rPr>
      </w:r>
      <w:r>
        <w:rPr>
          <w:noProof/>
        </w:rPr>
        <w:fldChar w:fldCharType="separate"/>
      </w:r>
      <w:r w:rsidR="00A82B79">
        <w:rPr>
          <w:noProof/>
        </w:rPr>
        <w:t>88</w:t>
      </w:r>
      <w:r>
        <w:rPr>
          <w:noProof/>
        </w:rPr>
        <w:fldChar w:fldCharType="end"/>
      </w:r>
    </w:p>
    <w:p w14:paraId="586D62AE" w14:textId="7F4BB4D4" w:rsidR="004F5570" w:rsidRDefault="004F5570">
      <w:pPr>
        <w:pStyle w:val="TableofFigures"/>
        <w:tabs>
          <w:tab w:val="right" w:leader="dot" w:pos="9038"/>
        </w:tabs>
        <w:rPr>
          <w:rFonts w:eastAsiaTheme="minorEastAsia"/>
          <w:noProof/>
          <w:lang w:eastAsia="en-AU"/>
        </w:rPr>
      </w:pPr>
      <w:r>
        <w:rPr>
          <w:noProof/>
        </w:rPr>
        <w:t>Table E1 Exits by age group</w:t>
      </w:r>
      <w:r>
        <w:rPr>
          <w:noProof/>
        </w:rPr>
        <w:tab/>
      </w:r>
      <w:r>
        <w:rPr>
          <w:noProof/>
        </w:rPr>
        <w:fldChar w:fldCharType="begin"/>
      </w:r>
      <w:r>
        <w:rPr>
          <w:noProof/>
        </w:rPr>
        <w:instrText xml:space="preserve"> PAGEREF _Toc67042667 \h </w:instrText>
      </w:r>
      <w:r>
        <w:rPr>
          <w:noProof/>
        </w:rPr>
      </w:r>
      <w:r>
        <w:rPr>
          <w:noProof/>
        </w:rPr>
        <w:fldChar w:fldCharType="separate"/>
      </w:r>
      <w:r w:rsidR="00A82B79">
        <w:rPr>
          <w:noProof/>
        </w:rPr>
        <w:t>90</w:t>
      </w:r>
      <w:r>
        <w:rPr>
          <w:noProof/>
        </w:rPr>
        <w:fldChar w:fldCharType="end"/>
      </w:r>
    </w:p>
    <w:p w14:paraId="776F95F5" w14:textId="3E9281A1" w:rsidR="004F5570" w:rsidRDefault="004F5570">
      <w:pPr>
        <w:pStyle w:val="TableofFigures"/>
        <w:tabs>
          <w:tab w:val="right" w:leader="dot" w:pos="9038"/>
        </w:tabs>
        <w:rPr>
          <w:rFonts w:eastAsiaTheme="minorEastAsia"/>
          <w:noProof/>
          <w:lang w:eastAsia="en-AU"/>
        </w:rPr>
      </w:pPr>
      <w:r>
        <w:rPr>
          <w:noProof/>
        </w:rPr>
        <w:t>Table E2 Exits by remoteness</w:t>
      </w:r>
      <w:r>
        <w:rPr>
          <w:noProof/>
        </w:rPr>
        <w:tab/>
      </w:r>
      <w:r>
        <w:rPr>
          <w:noProof/>
        </w:rPr>
        <w:fldChar w:fldCharType="begin"/>
      </w:r>
      <w:r>
        <w:rPr>
          <w:noProof/>
        </w:rPr>
        <w:instrText xml:space="preserve"> PAGEREF _Toc67042668 \h </w:instrText>
      </w:r>
      <w:r>
        <w:rPr>
          <w:noProof/>
        </w:rPr>
      </w:r>
      <w:r>
        <w:rPr>
          <w:noProof/>
        </w:rPr>
        <w:fldChar w:fldCharType="separate"/>
      </w:r>
      <w:r w:rsidR="00A82B79">
        <w:rPr>
          <w:noProof/>
        </w:rPr>
        <w:t>92</w:t>
      </w:r>
      <w:r>
        <w:rPr>
          <w:noProof/>
        </w:rPr>
        <w:fldChar w:fldCharType="end"/>
      </w:r>
    </w:p>
    <w:p w14:paraId="0ED8D5A9" w14:textId="7EF3D728" w:rsidR="004F5570" w:rsidRDefault="004F5570">
      <w:pPr>
        <w:pStyle w:val="TableofFigures"/>
        <w:tabs>
          <w:tab w:val="right" w:leader="dot" w:pos="9038"/>
        </w:tabs>
        <w:rPr>
          <w:rFonts w:eastAsiaTheme="minorEastAsia"/>
          <w:noProof/>
          <w:lang w:eastAsia="en-AU"/>
        </w:rPr>
      </w:pPr>
      <w:r>
        <w:rPr>
          <w:noProof/>
        </w:rPr>
        <w:t>Table E3 Exits by gender</w:t>
      </w:r>
      <w:r>
        <w:rPr>
          <w:noProof/>
        </w:rPr>
        <w:tab/>
      </w:r>
      <w:r>
        <w:rPr>
          <w:noProof/>
        </w:rPr>
        <w:fldChar w:fldCharType="begin"/>
      </w:r>
      <w:r>
        <w:rPr>
          <w:noProof/>
        </w:rPr>
        <w:instrText xml:space="preserve"> PAGEREF _Toc67042669 \h </w:instrText>
      </w:r>
      <w:r>
        <w:rPr>
          <w:noProof/>
        </w:rPr>
      </w:r>
      <w:r>
        <w:rPr>
          <w:noProof/>
        </w:rPr>
        <w:fldChar w:fldCharType="separate"/>
      </w:r>
      <w:r w:rsidR="00A82B79">
        <w:rPr>
          <w:noProof/>
        </w:rPr>
        <w:t>93</w:t>
      </w:r>
      <w:r>
        <w:rPr>
          <w:noProof/>
        </w:rPr>
        <w:fldChar w:fldCharType="end"/>
      </w:r>
    </w:p>
    <w:p w14:paraId="2F897F66" w14:textId="5EEF333F" w:rsidR="004F5570" w:rsidRDefault="004F5570">
      <w:pPr>
        <w:pStyle w:val="TableofFigures"/>
        <w:tabs>
          <w:tab w:val="right" w:leader="dot" w:pos="9038"/>
        </w:tabs>
        <w:rPr>
          <w:rFonts w:eastAsiaTheme="minorEastAsia"/>
          <w:noProof/>
          <w:lang w:eastAsia="en-AU"/>
        </w:rPr>
      </w:pPr>
      <w:r>
        <w:rPr>
          <w:noProof/>
        </w:rPr>
        <w:t>Table E4 Exits by education</w:t>
      </w:r>
      <w:r>
        <w:rPr>
          <w:noProof/>
        </w:rPr>
        <w:tab/>
      </w:r>
      <w:r>
        <w:rPr>
          <w:noProof/>
        </w:rPr>
        <w:fldChar w:fldCharType="begin"/>
      </w:r>
      <w:r>
        <w:rPr>
          <w:noProof/>
        </w:rPr>
        <w:instrText xml:space="preserve"> PAGEREF _Toc67042670 \h </w:instrText>
      </w:r>
      <w:r>
        <w:rPr>
          <w:noProof/>
        </w:rPr>
      </w:r>
      <w:r>
        <w:rPr>
          <w:noProof/>
        </w:rPr>
        <w:fldChar w:fldCharType="separate"/>
      </w:r>
      <w:r w:rsidR="00A82B79">
        <w:rPr>
          <w:noProof/>
        </w:rPr>
        <w:t>94</w:t>
      </w:r>
      <w:r>
        <w:rPr>
          <w:noProof/>
        </w:rPr>
        <w:fldChar w:fldCharType="end"/>
      </w:r>
    </w:p>
    <w:p w14:paraId="48E93F13" w14:textId="7359FFB8" w:rsidR="004F5570" w:rsidRDefault="004F5570">
      <w:pPr>
        <w:pStyle w:val="TableofFigures"/>
        <w:tabs>
          <w:tab w:val="right" w:leader="dot" w:pos="9038"/>
        </w:tabs>
        <w:rPr>
          <w:rFonts w:eastAsiaTheme="minorEastAsia"/>
          <w:noProof/>
          <w:lang w:eastAsia="en-AU"/>
        </w:rPr>
      </w:pPr>
      <w:r>
        <w:rPr>
          <w:noProof/>
        </w:rPr>
        <w:t>Table E5 Exit by CALD status</w:t>
      </w:r>
      <w:r>
        <w:rPr>
          <w:noProof/>
        </w:rPr>
        <w:tab/>
      </w:r>
      <w:r>
        <w:rPr>
          <w:noProof/>
        </w:rPr>
        <w:fldChar w:fldCharType="begin"/>
      </w:r>
      <w:r>
        <w:rPr>
          <w:noProof/>
        </w:rPr>
        <w:instrText xml:space="preserve"> PAGEREF _Toc67042671 \h </w:instrText>
      </w:r>
      <w:r>
        <w:rPr>
          <w:noProof/>
        </w:rPr>
      </w:r>
      <w:r>
        <w:rPr>
          <w:noProof/>
        </w:rPr>
        <w:fldChar w:fldCharType="separate"/>
      </w:r>
      <w:r w:rsidR="00A82B79">
        <w:rPr>
          <w:noProof/>
        </w:rPr>
        <w:t>95</w:t>
      </w:r>
      <w:r>
        <w:rPr>
          <w:noProof/>
        </w:rPr>
        <w:fldChar w:fldCharType="end"/>
      </w:r>
    </w:p>
    <w:p w14:paraId="37259FA2" w14:textId="40739429" w:rsidR="004F5570" w:rsidRDefault="004F5570">
      <w:pPr>
        <w:pStyle w:val="TableofFigures"/>
        <w:tabs>
          <w:tab w:val="right" w:leader="dot" w:pos="9038"/>
        </w:tabs>
        <w:rPr>
          <w:rFonts w:eastAsiaTheme="minorEastAsia"/>
          <w:noProof/>
          <w:lang w:eastAsia="en-AU"/>
        </w:rPr>
      </w:pPr>
      <w:r>
        <w:rPr>
          <w:noProof/>
        </w:rPr>
        <w:t>Table E6 Exits by previous experience of income support</w:t>
      </w:r>
      <w:r>
        <w:rPr>
          <w:noProof/>
        </w:rPr>
        <w:tab/>
      </w:r>
      <w:r>
        <w:rPr>
          <w:noProof/>
        </w:rPr>
        <w:fldChar w:fldCharType="begin"/>
      </w:r>
      <w:r>
        <w:rPr>
          <w:noProof/>
        </w:rPr>
        <w:instrText xml:space="preserve"> PAGEREF _Toc67042672 \h </w:instrText>
      </w:r>
      <w:r>
        <w:rPr>
          <w:noProof/>
        </w:rPr>
      </w:r>
      <w:r>
        <w:rPr>
          <w:noProof/>
        </w:rPr>
        <w:fldChar w:fldCharType="separate"/>
      </w:r>
      <w:r w:rsidR="00A82B79">
        <w:rPr>
          <w:noProof/>
        </w:rPr>
        <w:t>96</w:t>
      </w:r>
      <w:r>
        <w:rPr>
          <w:noProof/>
        </w:rPr>
        <w:fldChar w:fldCharType="end"/>
      </w:r>
    </w:p>
    <w:p w14:paraId="3969DAA0" w14:textId="1EA3CE03" w:rsidR="004F5570" w:rsidRDefault="004F5570">
      <w:pPr>
        <w:pStyle w:val="TableofFigures"/>
        <w:tabs>
          <w:tab w:val="right" w:leader="dot" w:pos="9038"/>
        </w:tabs>
        <w:rPr>
          <w:rFonts w:eastAsiaTheme="minorEastAsia"/>
          <w:noProof/>
          <w:lang w:eastAsia="en-AU"/>
        </w:rPr>
      </w:pPr>
      <w:r>
        <w:rPr>
          <w:noProof/>
        </w:rPr>
        <w:t>Table E7 Exits by previous experience of jobactive services</w:t>
      </w:r>
      <w:r>
        <w:rPr>
          <w:noProof/>
        </w:rPr>
        <w:tab/>
      </w:r>
      <w:r>
        <w:rPr>
          <w:noProof/>
        </w:rPr>
        <w:fldChar w:fldCharType="begin"/>
      </w:r>
      <w:r>
        <w:rPr>
          <w:noProof/>
        </w:rPr>
        <w:instrText xml:space="preserve"> PAGEREF _Toc67042673 \h </w:instrText>
      </w:r>
      <w:r>
        <w:rPr>
          <w:noProof/>
        </w:rPr>
      </w:r>
      <w:r>
        <w:rPr>
          <w:noProof/>
        </w:rPr>
        <w:fldChar w:fldCharType="separate"/>
      </w:r>
      <w:r w:rsidR="00A82B79">
        <w:rPr>
          <w:noProof/>
        </w:rPr>
        <w:t>97</w:t>
      </w:r>
      <w:r>
        <w:rPr>
          <w:noProof/>
        </w:rPr>
        <w:fldChar w:fldCharType="end"/>
      </w:r>
    </w:p>
    <w:p w14:paraId="4241F246" w14:textId="2CF4FE9F" w:rsidR="00631BAD" w:rsidRPr="00F71A22" w:rsidRDefault="00277D4A" w:rsidP="00AC65CC">
      <w:pPr>
        <w:rPr>
          <w:rFonts w:ascii="Calibri" w:eastAsiaTheme="majorEastAsia" w:hAnsi="Calibri" w:cstheme="majorBidi"/>
          <w:b/>
          <w:color w:val="343741"/>
          <w:sz w:val="32"/>
          <w:szCs w:val="32"/>
        </w:rPr>
      </w:pPr>
      <w:r w:rsidRPr="00F71A22">
        <w:fldChar w:fldCharType="end"/>
      </w:r>
      <w:r w:rsidR="00631BAD" w:rsidRPr="00F71A22">
        <w:br w:type="page"/>
      </w:r>
    </w:p>
    <w:p w14:paraId="76F833C7" w14:textId="3AEE4912" w:rsidR="00631BAD" w:rsidRPr="00F71A22" w:rsidRDefault="00631BAD" w:rsidP="00631BAD">
      <w:pPr>
        <w:pStyle w:val="Heading1"/>
      </w:pPr>
      <w:bookmarkStart w:id="4" w:name="_Toc67042559"/>
      <w:r w:rsidRPr="00F71A22">
        <w:lastRenderedPageBreak/>
        <w:t xml:space="preserve">List of </w:t>
      </w:r>
      <w:r w:rsidR="00AB0B37">
        <w:t>f</w:t>
      </w:r>
      <w:r w:rsidRPr="00F71A22">
        <w:t>igures</w:t>
      </w:r>
      <w:bookmarkEnd w:id="4"/>
    </w:p>
    <w:bookmarkStart w:id="5" w:name="_Toc44928943"/>
    <w:p w14:paraId="168B40E3" w14:textId="165F08E3" w:rsidR="004F5570" w:rsidRDefault="00277D4A">
      <w:pPr>
        <w:pStyle w:val="TableofFigures"/>
        <w:tabs>
          <w:tab w:val="right" w:leader="dot" w:pos="9038"/>
        </w:tabs>
        <w:rPr>
          <w:rFonts w:eastAsiaTheme="minorEastAsia"/>
          <w:noProof/>
          <w:lang w:eastAsia="en-AU"/>
        </w:rPr>
      </w:pPr>
      <w:r w:rsidRPr="00F71A22">
        <w:fldChar w:fldCharType="begin"/>
      </w:r>
      <w:r w:rsidRPr="00F71A22">
        <w:instrText xml:space="preserve"> TOC \t "Figure Caption" \c </w:instrText>
      </w:r>
      <w:r w:rsidRPr="00F71A22">
        <w:fldChar w:fldCharType="separate"/>
      </w:r>
      <w:r w:rsidR="004F5570">
        <w:rPr>
          <w:noProof/>
        </w:rPr>
        <w:t>Figure 2.1 Overview of the OEST participant pathways</w:t>
      </w:r>
      <w:r w:rsidR="004F5570">
        <w:rPr>
          <w:noProof/>
        </w:rPr>
        <w:tab/>
      </w:r>
      <w:r w:rsidR="004F5570">
        <w:rPr>
          <w:noProof/>
        </w:rPr>
        <w:fldChar w:fldCharType="begin"/>
      </w:r>
      <w:r w:rsidR="004F5570">
        <w:rPr>
          <w:noProof/>
        </w:rPr>
        <w:instrText xml:space="preserve"> PAGEREF _Toc67042674 \h </w:instrText>
      </w:r>
      <w:r w:rsidR="004F5570">
        <w:rPr>
          <w:noProof/>
        </w:rPr>
      </w:r>
      <w:r w:rsidR="004F5570">
        <w:rPr>
          <w:noProof/>
        </w:rPr>
        <w:fldChar w:fldCharType="separate"/>
      </w:r>
      <w:r w:rsidR="00A82B79">
        <w:rPr>
          <w:noProof/>
        </w:rPr>
        <w:t>32</w:t>
      </w:r>
      <w:r w:rsidR="004F5570">
        <w:rPr>
          <w:noProof/>
        </w:rPr>
        <w:fldChar w:fldCharType="end"/>
      </w:r>
    </w:p>
    <w:p w14:paraId="77450D98" w14:textId="1F176CDA" w:rsidR="004F5570" w:rsidRDefault="004F5570">
      <w:pPr>
        <w:pStyle w:val="TableofFigures"/>
        <w:tabs>
          <w:tab w:val="right" w:leader="dot" w:pos="9038"/>
        </w:tabs>
        <w:rPr>
          <w:rFonts w:eastAsiaTheme="minorEastAsia"/>
          <w:noProof/>
          <w:lang w:eastAsia="en-AU"/>
        </w:rPr>
      </w:pPr>
      <w:r>
        <w:rPr>
          <w:noProof/>
        </w:rPr>
        <w:t>Figure 3.1 Time from referral to commencement of online services compared with provider-based services</w:t>
      </w:r>
      <w:r>
        <w:rPr>
          <w:noProof/>
        </w:rPr>
        <w:tab/>
      </w:r>
      <w:r>
        <w:rPr>
          <w:noProof/>
        </w:rPr>
        <w:fldChar w:fldCharType="begin"/>
      </w:r>
      <w:r>
        <w:rPr>
          <w:noProof/>
        </w:rPr>
        <w:instrText xml:space="preserve"> PAGEREF _Toc67042675 \h </w:instrText>
      </w:r>
      <w:r>
        <w:rPr>
          <w:noProof/>
        </w:rPr>
      </w:r>
      <w:r>
        <w:rPr>
          <w:noProof/>
        </w:rPr>
        <w:fldChar w:fldCharType="separate"/>
      </w:r>
      <w:r w:rsidR="00A82B79">
        <w:rPr>
          <w:noProof/>
        </w:rPr>
        <w:t>36</w:t>
      </w:r>
      <w:r>
        <w:rPr>
          <w:noProof/>
        </w:rPr>
        <w:fldChar w:fldCharType="end"/>
      </w:r>
    </w:p>
    <w:p w14:paraId="2F2764D9" w14:textId="7E622DE7" w:rsidR="004F5570" w:rsidRDefault="004F5570">
      <w:pPr>
        <w:pStyle w:val="TableofFigures"/>
        <w:tabs>
          <w:tab w:val="right" w:leader="dot" w:pos="9038"/>
        </w:tabs>
        <w:rPr>
          <w:rFonts w:eastAsiaTheme="minorEastAsia"/>
          <w:noProof/>
          <w:lang w:eastAsia="en-AU"/>
        </w:rPr>
      </w:pPr>
      <w:r>
        <w:rPr>
          <w:noProof/>
        </w:rPr>
        <w:t>Figure 3.2 OEST commenced participants – opt-out reasons by month (cumulative)</w:t>
      </w:r>
      <w:r>
        <w:rPr>
          <w:noProof/>
        </w:rPr>
        <w:tab/>
      </w:r>
      <w:r>
        <w:rPr>
          <w:noProof/>
        </w:rPr>
        <w:fldChar w:fldCharType="begin"/>
      </w:r>
      <w:r>
        <w:rPr>
          <w:noProof/>
        </w:rPr>
        <w:instrText xml:space="preserve"> PAGEREF _Toc67042676 \h </w:instrText>
      </w:r>
      <w:r>
        <w:rPr>
          <w:noProof/>
        </w:rPr>
      </w:r>
      <w:r>
        <w:rPr>
          <w:noProof/>
        </w:rPr>
        <w:fldChar w:fldCharType="separate"/>
      </w:r>
      <w:r w:rsidR="00A82B79">
        <w:rPr>
          <w:noProof/>
        </w:rPr>
        <w:t>40</w:t>
      </w:r>
      <w:r>
        <w:rPr>
          <w:noProof/>
        </w:rPr>
        <w:fldChar w:fldCharType="end"/>
      </w:r>
    </w:p>
    <w:p w14:paraId="1554B093" w14:textId="56B88B14" w:rsidR="004F5570" w:rsidRDefault="004F5570">
      <w:pPr>
        <w:pStyle w:val="TableofFigures"/>
        <w:tabs>
          <w:tab w:val="right" w:leader="dot" w:pos="9038"/>
        </w:tabs>
        <w:rPr>
          <w:rFonts w:eastAsiaTheme="minorEastAsia"/>
          <w:noProof/>
          <w:lang w:eastAsia="en-AU"/>
        </w:rPr>
      </w:pPr>
      <w:r>
        <w:rPr>
          <w:noProof/>
        </w:rPr>
        <w:t>Figure 3.3 Ease of using the jobactive website</w:t>
      </w:r>
      <w:r>
        <w:rPr>
          <w:noProof/>
        </w:rPr>
        <w:tab/>
      </w:r>
      <w:r>
        <w:rPr>
          <w:noProof/>
        </w:rPr>
        <w:fldChar w:fldCharType="begin"/>
      </w:r>
      <w:r>
        <w:rPr>
          <w:noProof/>
        </w:rPr>
        <w:instrText xml:space="preserve"> PAGEREF _Toc67042677 \h </w:instrText>
      </w:r>
      <w:r>
        <w:rPr>
          <w:noProof/>
        </w:rPr>
      </w:r>
      <w:r>
        <w:rPr>
          <w:noProof/>
        </w:rPr>
        <w:fldChar w:fldCharType="separate"/>
      </w:r>
      <w:r w:rsidR="00A82B79">
        <w:rPr>
          <w:noProof/>
        </w:rPr>
        <w:t>42</w:t>
      </w:r>
      <w:r>
        <w:rPr>
          <w:noProof/>
        </w:rPr>
        <w:fldChar w:fldCharType="end"/>
      </w:r>
    </w:p>
    <w:p w14:paraId="6D06C5C6" w14:textId="563EE1F4" w:rsidR="004F5570" w:rsidRDefault="004F5570">
      <w:pPr>
        <w:pStyle w:val="TableofFigures"/>
        <w:tabs>
          <w:tab w:val="right" w:leader="dot" w:pos="9038"/>
        </w:tabs>
        <w:rPr>
          <w:rFonts w:eastAsiaTheme="minorEastAsia"/>
          <w:noProof/>
          <w:lang w:eastAsia="en-AU"/>
        </w:rPr>
      </w:pPr>
      <w:r>
        <w:rPr>
          <w:noProof/>
        </w:rPr>
        <w:t>Figure 3.4 Satisfaction with the jobactive website – OEST participants and comparison group</w:t>
      </w:r>
      <w:r>
        <w:rPr>
          <w:noProof/>
        </w:rPr>
        <w:tab/>
      </w:r>
      <w:r>
        <w:rPr>
          <w:noProof/>
        </w:rPr>
        <w:fldChar w:fldCharType="begin"/>
      </w:r>
      <w:r>
        <w:rPr>
          <w:noProof/>
        </w:rPr>
        <w:instrText xml:space="preserve"> PAGEREF _Toc67042678 \h </w:instrText>
      </w:r>
      <w:r>
        <w:rPr>
          <w:noProof/>
        </w:rPr>
      </w:r>
      <w:r>
        <w:rPr>
          <w:noProof/>
        </w:rPr>
        <w:fldChar w:fldCharType="separate"/>
      </w:r>
      <w:r w:rsidR="00A82B79">
        <w:rPr>
          <w:noProof/>
        </w:rPr>
        <w:t>43</w:t>
      </w:r>
      <w:r>
        <w:rPr>
          <w:noProof/>
        </w:rPr>
        <w:fldChar w:fldCharType="end"/>
      </w:r>
    </w:p>
    <w:p w14:paraId="37DE3CFC" w14:textId="52F46635" w:rsidR="004F5570" w:rsidRDefault="004F5570">
      <w:pPr>
        <w:pStyle w:val="TableofFigures"/>
        <w:tabs>
          <w:tab w:val="right" w:leader="dot" w:pos="9038"/>
        </w:tabs>
        <w:rPr>
          <w:rFonts w:eastAsiaTheme="minorEastAsia"/>
          <w:noProof/>
          <w:lang w:eastAsia="en-AU"/>
        </w:rPr>
      </w:pPr>
      <w:r>
        <w:rPr>
          <w:noProof/>
        </w:rPr>
        <w:t>Figure 3.5 Awareness of Mutual Obligation Requirements</w:t>
      </w:r>
      <w:r>
        <w:rPr>
          <w:noProof/>
        </w:rPr>
        <w:tab/>
      </w:r>
      <w:r>
        <w:rPr>
          <w:noProof/>
        </w:rPr>
        <w:fldChar w:fldCharType="begin"/>
      </w:r>
      <w:r>
        <w:rPr>
          <w:noProof/>
        </w:rPr>
        <w:instrText xml:space="preserve"> PAGEREF _Toc67042679 \h </w:instrText>
      </w:r>
      <w:r>
        <w:rPr>
          <w:noProof/>
        </w:rPr>
      </w:r>
      <w:r>
        <w:rPr>
          <w:noProof/>
        </w:rPr>
        <w:fldChar w:fldCharType="separate"/>
      </w:r>
      <w:r w:rsidR="00A82B79">
        <w:rPr>
          <w:noProof/>
        </w:rPr>
        <w:t>45</w:t>
      </w:r>
      <w:r>
        <w:rPr>
          <w:noProof/>
        </w:rPr>
        <w:fldChar w:fldCharType="end"/>
      </w:r>
    </w:p>
    <w:p w14:paraId="63D6535B" w14:textId="362E1A25" w:rsidR="004F5570" w:rsidRDefault="004F5570">
      <w:pPr>
        <w:pStyle w:val="TableofFigures"/>
        <w:tabs>
          <w:tab w:val="right" w:leader="dot" w:pos="9038"/>
        </w:tabs>
        <w:rPr>
          <w:rFonts w:eastAsiaTheme="minorEastAsia"/>
          <w:noProof/>
          <w:lang w:eastAsia="en-AU"/>
        </w:rPr>
      </w:pPr>
      <w:r>
        <w:rPr>
          <w:noProof/>
        </w:rPr>
        <w:t>Figure 3.6 Percentage of job seekers without job search demerits by commencement month (matched samples)</w:t>
      </w:r>
      <w:r>
        <w:rPr>
          <w:noProof/>
        </w:rPr>
        <w:tab/>
      </w:r>
      <w:r>
        <w:rPr>
          <w:noProof/>
        </w:rPr>
        <w:fldChar w:fldCharType="begin"/>
      </w:r>
      <w:r>
        <w:rPr>
          <w:noProof/>
        </w:rPr>
        <w:instrText xml:space="preserve"> PAGEREF _Toc67042680 \h </w:instrText>
      </w:r>
      <w:r>
        <w:rPr>
          <w:noProof/>
        </w:rPr>
      </w:r>
      <w:r>
        <w:rPr>
          <w:noProof/>
        </w:rPr>
        <w:fldChar w:fldCharType="separate"/>
      </w:r>
      <w:r w:rsidR="00A82B79">
        <w:rPr>
          <w:noProof/>
        </w:rPr>
        <w:t>47</w:t>
      </w:r>
      <w:r>
        <w:rPr>
          <w:noProof/>
        </w:rPr>
        <w:fldChar w:fldCharType="end"/>
      </w:r>
    </w:p>
    <w:p w14:paraId="3048B2A9" w14:textId="25737378" w:rsidR="004F5570" w:rsidRDefault="004F5570">
      <w:pPr>
        <w:pStyle w:val="TableofFigures"/>
        <w:tabs>
          <w:tab w:val="right" w:leader="dot" w:pos="9038"/>
        </w:tabs>
        <w:rPr>
          <w:rFonts w:eastAsiaTheme="minorEastAsia"/>
          <w:noProof/>
          <w:lang w:eastAsia="en-AU"/>
        </w:rPr>
      </w:pPr>
      <w:r>
        <w:rPr>
          <w:noProof/>
        </w:rPr>
        <w:t>Figure 4.1 Comparison of exits from employment services and income support</w:t>
      </w:r>
      <w:r>
        <w:rPr>
          <w:noProof/>
        </w:rPr>
        <w:tab/>
      </w:r>
      <w:r>
        <w:rPr>
          <w:noProof/>
        </w:rPr>
        <w:fldChar w:fldCharType="begin"/>
      </w:r>
      <w:r>
        <w:rPr>
          <w:noProof/>
        </w:rPr>
        <w:instrText xml:space="preserve"> PAGEREF _Toc67042681 \h </w:instrText>
      </w:r>
      <w:r>
        <w:rPr>
          <w:noProof/>
        </w:rPr>
      </w:r>
      <w:r>
        <w:rPr>
          <w:noProof/>
        </w:rPr>
        <w:fldChar w:fldCharType="separate"/>
      </w:r>
      <w:r w:rsidR="00A82B79">
        <w:rPr>
          <w:noProof/>
        </w:rPr>
        <w:t>50</w:t>
      </w:r>
      <w:r>
        <w:rPr>
          <w:noProof/>
        </w:rPr>
        <w:fldChar w:fldCharType="end"/>
      </w:r>
    </w:p>
    <w:p w14:paraId="6FFAC6BF" w14:textId="74DAD547" w:rsidR="004F5570" w:rsidRDefault="004F5570">
      <w:pPr>
        <w:pStyle w:val="TableofFigures"/>
        <w:tabs>
          <w:tab w:val="right" w:leader="dot" w:pos="9038"/>
        </w:tabs>
        <w:rPr>
          <w:rFonts w:eastAsiaTheme="minorEastAsia"/>
          <w:noProof/>
          <w:lang w:eastAsia="en-AU"/>
        </w:rPr>
      </w:pPr>
      <w:r>
        <w:rPr>
          <w:noProof/>
        </w:rPr>
        <w:t>Figure 4.2 Comparison of exits from income support and employment services by individual characteristics</w:t>
      </w:r>
      <w:r>
        <w:rPr>
          <w:noProof/>
        </w:rPr>
        <w:tab/>
      </w:r>
      <w:r>
        <w:rPr>
          <w:noProof/>
        </w:rPr>
        <w:fldChar w:fldCharType="begin"/>
      </w:r>
      <w:r>
        <w:rPr>
          <w:noProof/>
        </w:rPr>
        <w:instrText xml:space="preserve"> PAGEREF _Toc67042682 \h </w:instrText>
      </w:r>
      <w:r>
        <w:rPr>
          <w:noProof/>
        </w:rPr>
      </w:r>
      <w:r>
        <w:rPr>
          <w:noProof/>
        </w:rPr>
        <w:fldChar w:fldCharType="separate"/>
      </w:r>
      <w:r w:rsidR="00A82B79">
        <w:rPr>
          <w:noProof/>
        </w:rPr>
        <w:t>53</w:t>
      </w:r>
      <w:r>
        <w:rPr>
          <w:noProof/>
        </w:rPr>
        <w:fldChar w:fldCharType="end"/>
      </w:r>
    </w:p>
    <w:p w14:paraId="02A786ED" w14:textId="2AB7EE4E" w:rsidR="004F5570" w:rsidRDefault="004F5570">
      <w:pPr>
        <w:pStyle w:val="TableofFigures"/>
        <w:tabs>
          <w:tab w:val="right" w:leader="dot" w:pos="9038"/>
        </w:tabs>
        <w:rPr>
          <w:rFonts w:eastAsiaTheme="minorEastAsia"/>
          <w:noProof/>
          <w:lang w:eastAsia="en-AU"/>
        </w:rPr>
      </w:pPr>
      <w:r>
        <w:rPr>
          <w:noProof/>
        </w:rPr>
        <w:t>Figure 4.3 Employment rates by duration in employment services</w:t>
      </w:r>
      <w:r>
        <w:rPr>
          <w:noProof/>
        </w:rPr>
        <w:tab/>
      </w:r>
      <w:r>
        <w:rPr>
          <w:noProof/>
        </w:rPr>
        <w:fldChar w:fldCharType="begin"/>
      </w:r>
      <w:r>
        <w:rPr>
          <w:noProof/>
        </w:rPr>
        <w:instrText xml:space="preserve"> PAGEREF _Toc67042683 \h </w:instrText>
      </w:r>
      <w:r>
        <w:rPr>
          <w:noProof/>
        </w:rPr>
      </w:r>
      <w:r>
        <w:rPr>
          <w:noProof/>
        </w:rPr>
        <w:fldChar w:fldCharType="separate"/>
      </w:r>
      <w:r w:rsidR="00A82B79">
        <w:rPr>
          <w:noProof/>
        </w:rPr>
        <w:t>55</w:t>
      </w:r>
      <w:r>
        <w:rPr>
          <w:noProof/>
        </w:rPr>
        <w:fldChar w:fldCharType="end"/>
      </w:r>
    </w:p>
    <w:p w14:paraId="6FEFD72F" w14:textId="7C800833" w:rsidR="004F5570" w:rsidRDefault="004F5570">
      <w:pPr>
        <w:pStyle w:val="TableofFigures"/>
        <w:tabs>
          <w:tab w:val="right" w:leader="dot" w:pos="9038"/>
        </w:tabs>
        <w:rPr>
          <w:rFonts w:eastAsiaTheme="minorEastAsia"/>
          <w:noProof/>
          <w:lang w:eastAsia="en-AU"/>
        </w:rPr>
      </w:pPr>
      <w:r>
        <w:rPr>
          <w:noProof/>
        </w:rPr>
        <w:t>Figure 4.4 Study or training rates by duration on assistance</w:t>
      </w:r>
      <w:r>
        <w:rPr>
          <w:noProof/>
        </w:rPr>
        <w:tab/>
      </w:r>
      <w:r>
        <w:rPr>
          <w:noProof/>
        </w:rPr>
        <w:fldChar w:fldCharType="begin"/>
      </w:r>
      <w:r>
        <w:rPr>
          <w:noProof/>
        </w:rPr>
        <w:instrText xml:space="preserve"> PAGEREF _Toc67042684 \h </w:instrText>
      </w:r>
      <w:r>
        <w:rPr>
          <w:noProof/>
        </w:rPr>
      </w:r>
      <w:r>
        <w:rPr>
          <w:noProof/>
        </w:rPr>
        <w:fldChar w:fldCharType="separate"/>
      </w:r>
      <w:r w:rsidR="00A82B79">
        <w:rPr>
          <w:noProof/>
        </w:rPr>
        <w:t>57</w:t>
      </w:r>
      <w:r>
        <w:rPr>
          <w:noProof/>
        </w:rPr>
        <w:fldChar w:fldCharType="end"/>
      </w:r>
    </w:p>
    <w:p w14:paraId="5F1F22E8" w14:textId="40E1AE82" w:rsidR="004F5570" w:rsidRDefault="004F5570">
      <w:pPr>
        <w:pStyle w:val="TableofFigures"/>
        <w:tabs>
          <w:tab w:val="right" w:leader="dot" w:pos="9038"/>
        </w:tabs>
        <w:rPr>
          <w:rFonts w:eastAsiaTheme="minorEastAsia"/>
          <w:noProof/>
          <w:lang w:eastAsia="en-AU"/>
        </w:rPr>
      </w:pPr>
      <w:r>
        <w:rPr>
          <w:noProof/>
        </w:rPr>
        <w:t>Figure 4.5 Job seekers’ confidence in job search skills</w:t>
      </w:r>
      <w:r>
        <w:rPr>
          <w:noProof/>
        </w:rPr>
        <w:tab/>
      </w:r>
      <w:r>
        <w:rPr>
          <w:noProof/>
        </w:rPr>
        <w:fldChar w:fldCharType="begin"/>
      </w:r>
      <w:r>
        <w:rPr>
          <w:noProof/>
        </w:rPr>
        <w:instrText xml:space="preserve"> PAGEREF _Toc67042685 \h </w:instrText>
      </w:r>
      <w:r>
        <w:rPr>
          <w:noProof/>
        </w:rPr>
      </w:r>
      <w:r>
        <w:rPr>
          <w:noProof/>
        </w:rPr>
        <w:fldChar w:fldCharType="separate"/>
      </w:r>
      <w:r w:rsidR="00A82B79">
        <w:rPr>
          <w:noProof/>
        </w:rPr>
        <w:t>58</w:t>
      </w:r>
      <w:r>
        <w:rPr>
          <w:noProof/>
        </w:rPr>
        <w:fldChar w:fldCharType="end"/>
      </w:r>
    </w:p>
    <w:p w14:paraId="488B005D" w14:textId="22590542" w:rsidR="004F5570" w:rsidRDefault="004F5570">
      <w:pPr>
        <w:pStyle w:val="TableofFigures"/>
        <w:tabs>
          <w:tab w:val="right" w:leader="dot" w:pos="9038"/>
        </w:tabs>
        <w:rPr>
          <w:rFonts w:eastAsiaTheme="minorEastAsia"/>
          <w:noProof/>
          <w:lang w:eastAsia="en-AU"/>
        </w:rPr>
      </w:pPr>
      <w:r>
        <w:rPr>
          <w:noProof/>
        </w:rPr>
        <w:t>Figure 4.6 Change in confidence in job search skills for longitudinal respondents</w:t>
      </w:r>
      <w:r>
        <w:rPr>
          <w:noProof/>
        </w:rPr>
        <w:tab/>
      </w:r>
      <w:r>
        <w:rPr>
          <w:noProof/>
        </w:rPr>
        <w:fldChar w:fldCharType="begin"/>
      </w:r>
      <w:r>
        <w:rPr>
          <w:noProof/>
        </w:rPr>
        <w:instrText xml:space="preserve"> PAGEREF _Toc67042686 \h </w:instrText>
      </w:r>
      <w:r>
        <w:rPr>
          <w:noProof/>
        </w:rPr>
      </w:r>
      <w:r>
        <w:rPr>
          <w:noProof/>
        </w:rPr>
        <w:fldChar w:fldCharType="separate"/>
      </w:r>
      <w:r w:rsidR="00A82B79">
        <w:rPr>
          <w:noProof/>
        </w:rPr>
        <w:t>59</w:t>
      </w:r>
      <w:r>
        <w:rPr>
          <w:noProof/>
        </w:rPr>
        <w:fldChar w:fldCharType="end"/>
      </w:r>
    </w:p>
    <w:p w14:paraId="1799C0B6" w14:textId="3827DDC1" w:rsidR="004F5570" w:rsidRDefault="004F5570">
      <w:pPr>
        <w:pStyle w:val="TableofFigures"/>
        <w:tabs>
          <w:tab w:val="right" w:leader="dot" w:pos="9038"/>
        </w:tabs>
        <w:rPr>
          <w:rFonts w:eastAsiaTheme="minorEastAsia"/>
          <w:noProof/>
          <w:lang w:eastAsia="en-AU"/>
        </w:rPr>
      </w:pPr>
      <w:r>
        <w:rPr>
          <w:noProof/>
        </w:rPr>
        <w:t>Figure 4.7 Confidence in finding and retaining a job</w:t>
      </w:r>
      <w:r>
        <w:rPr>
          <w:noProof/>
        </w:rPr>
        <w:tab/>
      </w:r>
      <w:r>
        <w:rPr>
          <w:noProof/>
        </w:rPr>
        <w:fldChar w:fldCharType="begin"/>
      </w:r>
      <w:r>
        <w:rPr>
          <w:noProof/>
        </w:rPr>
        <w:instrText xml:space="preserve"> PAGEREF _Toc67042687 \h </w:instrText>
      </w:r>
      <w:r>
        <w:rPr>
          <w:noProof/>
        </w:rPr>
      </w:r>
      <w:r>
        <w:rPr>
          <w:noProof/>
        </w:rPr>
        <w:fldChar w:fldCharType="separate"/>
      </w:r>
      <w:r w:rsidR="00A82B79">
        <w:rPr>
          <w:noProof/>
        </w:rPr>
        <w:t>60</w:t>
      </w:r>
      <w:r>
        <w:rPr>
          <w:noProof/>
        </w:rPr>
        <w:fldChar w:fldCharType="end"/>
      </w:r>
    </w:p>
    <w:p w14:paraId="0082C031" w14:textId="12C432D4" w:rsidR="004F5570" w:rsidRDefault="004F5570">
      <w:pPr>
        <w:pStyle w:val="TableofFigures"/>
        <w:tabs>
          <w:tab w:val="right" w:leader="dot" w:pos="9038"/>
        </w:tabs>
        <w:rPr>
          <w:rFonts w:eastAsiaTheme="minorEastAsia"/>
          <w:noProof/>
          <w:lang w:eastAsia="en-AU"/>
        </w:rPr>
      </w:pPr>
      <w:r>
        <w:rPr>
          <w:noProof/>
        </w:rPr>
        <w:t>Figure 4.8 Job search resources and support</w:t>
      </w:r>
      <w:r>
        <w:rPr>
          <w:noProof/>
        </w:rPr>
        <w:tab/>
      </w:r>
      <w:r>
        <w:rPr>
          <w:noProof/>
        </w:rPr>
        <w:fldChar w:fldCharType="begin"/>
      </w:r>
      <w:r>
        <w:rPr>
          <w:noProof/>
        </w:rPr>
        <w:instrText xml:space="preserve"> PAGEREF _Toc67042688 \h </w:instrText>
      </w:r>
      <w:r>
        <w:rPr>
          <w:noProof/>
        </w:rPr>
      </w:r>
      <w:r>
        <w:rPr>
          <w:noProof/>
        </w:rPr>
        <w:fldChar w:fldCharType="separate"/>
      </w:r>
      <w:r w:rsidR="00A82B79">
        <w:rPr>
          <w:noProof/>
        </w:rPr>
        <w:t>60</w:t>
      </w:r>
      <w:r>
        <w:rPr>
          <w:noProof/>
        </w:rPr>
        <w:fldChar w:fldCharType="end"/>
      </w:r>
    </w:p>
    <w:p w14:paraId="3313C283" w14:textId="771DCCAB" w:rsidR="004F5570" w:rsidRDefault="004F5570">
      <w:pPr>
        <w:pStyle w:val="TableofFigures"/>
        <w:tabs>
          <w:tab w:val="right" w:leader="dot" w:pos="9038"/>
        </w:tabs>
        <w:rPr>
          <w:rFonts w:eastAsiaTheme="minorEastAsia"/>
          <w:noProof/>
          <w:lang w:eastAsia="en-AU"/>
        </w:rPr>
      </w:pPr>
      <w:r>
        <w:rPr>
          <w:noProof/>
        </w:rPr>
        <w:t>Figure 5.1 Satisfaction with online servicing</w:t>
      </w:r>
      <w:r>
        <w:rPr>
          <w:noProof/>
        </w:rPr>
        <w:tab/>
      </w:r>
      <w:r>
        <w:rPr>
          <w:noProof/>
        </w:rPr>
        <w:fldChar w:fldCharType="begin"/>
      </w:r>
      <w:r>
        <w:rPr>
          <w:noProof/>
        </w:rPr>
        <w:instrText xml:space="preserve"> PAGEREF _Toc67042689 \h </w:instrText>
      </w:r>
      <w:r>
        <w:rPr>
          <w:noProof/>
        </w:rPr>
      </w:r>
      <w:r>
        <w:rPr>
          <w:noProof/>
        </w:rPr>
        <w:fldChar w:fldCharType="separate"/>
      </w:r>
      <w:r w:rsidR="00A82B79">
        <w:rPr>
          <w:noProof/>
        </w:rPr>
        <w:t>62</w:t>
      </w:r>
      <w:r>
        <w:rPr>
          <w:noProof/>
        </w:rPr>
        <w:fldChar w:fldCharType="end"/>
      </w:r>
    </w:p>
    <w:p w14:paraId="1819E39A" w14:textId="6A1CB95A" w:rsidR="004F5570" w:rsidRDefault="004F5570">
      <w:pPr>
        <w:pStyle w:val="TableofFigures"/>
        <w:tabs>
          <w:tab w:val="right" w:leader="dot" w:pos="9038"/>
        </w:tabs>
        <w:rPr>
          <w:rFonts w:eastAsiaTheme="minorEastAsia"/>
          <w:noProof/>
          <w:lang w:eastAsia="en-AU"/>
        </w:rPr>
      </w:pPr>
      <w:r>
        <w:rPr>
          <w:noProof/>
        </w:rPr>
        <w:t>Figure 5.2 Top five advantages of online employment services</w:t>
      </w:r>
      <w:r>
        <w:rPr>
          <w:noProof/>
        </w:rPr>
        <w:tab/>
      </w:r>
      <w:r>
        <w:rPr>
          <w:noProof/>
        </w:rPr>
        <w:fldChar w:fldCharType="begin"/>
      </w:r>
      <w:r>
        <w:rPr>
          <w:noProof/>
        </w:rPr>
        <w:instrText xml:space="preserve"> PAGEREF _Toc67042690 \h </w:instrText>
      </w:r>
      <w:r>
        <w:rPr>
          <w:noProof/>
        </w:rPr>
      </w:r>
      <w:r>
        <w:rPr>
          <w:noProof/>
        </w:rPr>
        <w:fldChar w:fldCharType="separate"/>
      </w:r>
      <w:r w:rsidR="00A82B79">
        <w:rPr>
          <w:noProof/>
        </w:rPr>
        <w:t>63</w:t>
      </w:r>
      <w:r>
        <w:rPr>
          <w:noProof/>
        </w:rPr>
        <w:fldChar w:fldCharType="end"/>
      </w:r>
    </w:p>
    <w:p w14:paraId="343D38EA" w14:textId="6A1CE6FB" w:rsidR="004F5570" w:rsidRDefault="004F5570">
      <w:pPr>
        <w:pStyle w:val="TableofFigures"/>
        <w:tabs>
          <w:tab w:val="right" w:leader="dot" w:pos="9038"/>
        </w:tabs>
        <w:rPr>
          <w:rFonts w:eastAsiaTheme="minorEastAsia"/>
          <w:noProof/>
          <w:lang w:eastAsia="en-AU"/>
        </w:rPr>
      </w:pPr>
      <w:r>
        <w:rPr>
          <w:noProof/>
        </w:rPr>
        <w:t>Figure 5.3 OEST participants’ and job seekers’ preference for using online or provider-based employment services to look for a job</w:t>
      </w:r>
      <w:r>
        <w:rPr>
          <w:noProof/>
        </w:rPr>
        <w:tab/>
      </w:r>
      <w:r>
        <w:rPr>
          <w:noProof/>
        </w:rPr>
        <w:fldChar w:fldCharType="begin"/>
      </w:r>
      <w:r>
        <w:rPr>
          <w:noProof/>
        </w:rPr>
        <w:instrText xml:space="preserve"> PAGEREF _Toc67042691 \h </w:instrText>
      </w:r>
      <w:r>
        <w:rPr>
          <w:noProof/>
        </w:rPr>
      </w:r>
      <w:r>
        <w:rPr>
          <w:noProof/>
        </w:rPr>
        <w:fldChar w:fldCharType="separate"/>
      </w:r>
      <w:r w:rsidR="00A82B79">
        <w:rPr>
          <w:noProof/>
        </w:rPr>
        <w:t>65</w:t>
      </w:r>
      <w:r>
        <w:rPr>
          <w:noProof/>
        </w:rPr>
        <w:fldChar w:fldCharType="end"/>
      </w:r>
    </w:p>
    <w:p w14:paraId="2BBD406A" w14:textId="3D5A2885" w:rsidR="004F5570" w:rsidRDefault="004F5570">
      <w:pPr>
        <w:pStyle w:val="TableofFigures"/>
        <w:tabs>
          <w:tab w:val="right" w:leader="dot" w:pos="9038"/>
        </w:tabs>
        <w:rPr>
          <w:rFonts w:eastAsiaTheme="minorEastAsia"/>
          <w:noProof/>
          <w:lang w:eastAsia="en-AU"/>
        </w:rPr>
      </w:pPr>
      <w:r>
        <w:rPr>
          <w:noProof/>
        </w:rPr>
        <w:lastRenderedPageBreak/>
        <w:t>Figure 5.4 Experience after transferring out of the OEST after six months</w:t>
      </w:r>
      <w:r>
        <w:rPr>
          <w:noProof/>
        </w:rPr>
        <w:tab/>
      </w:r>
      <w:r>
        <w:rPr>
          <w:noProof/>
        </w:rPr>
        <w:fldChar w:fldCharType="begin"/>
      </w:r>
      <w:r>
        <w:rPr>
          <w:noProof/>
        </w:rPr>
        <w:instrText xml:space="preserve"> PAGEREF _Toc67042692 \h </w:instrText>
      </w:r>
      <w:r>
        <w:rPr>
          <w:noProof/>
        </w:rPr>
      </w:r>
      <w:r>
        <w:rPr>
          <w:noProof/>
        </w:rPr>
        <w:fldChar w:fldCharType="separate"/>
      </w:r>
      <w:r w:rsidR="00A82B79">
        <w:rPr>
          <w:noProof/>
        </w:rPr>
        <w:t>67</w:t>
      </w:r>
      <w:r>
        <w:rPr>
          <w:noProof/>
        </w:rPr>
        <w:fldChar w:fldCharType="end"/>
      </w:r>
    </w:p>
    <w:p w14:paraId="165CE4B6" w14:textId="67C05768" w:rsidR="004F5570" w:rsidRDefault="004F5570">
      <w:pPr>
        <w:pStyle w:val="TableofFigures"/>
        <w:tabs>
          <w:tab w:val="right" w:leader="dot" w:pos="9038"/>
        </w:tabs>
        <w:rPr>
          <w:rFonts w:eastAsiaTheme="minorEastAsia"/>
          <w:noProof/>
          <w:lang w:eastAsia="en-AU"/>
        </w:rPr>
      </w:pPr>
      <w:r>
        <w:rPr>
          <w:noProof/>
        </w:rPr>
        <w:t>Figure 5.5 Segmentation of job seekers who were eligible for the OEST</w:t>
      </w:r>
      <w:r>
        <w:rPr>
          <w:noProof/>
        </w:rPr>
        <w:tab/>
      </w:r>
      <w:r>
        <w:rPr>
          <w:noProof/>
        </w:rPr>
        <w:fldChar w:fldCharType="begin"/>
      </w:r>
      <w:r>
        <w:rPr>
          <w:noProof/>
        </w:rPr>
        <w:instrText xml:space="preserve"> PAGEREF _Toc67042693 \h </w:instrText>
      </w:r>
      <w:r>
        <w:rPr>
          <w:noProof/>
        </w:rPr>
      </w:r>
      <w:r>
        <w:rPr>
          <w:noProof/>
        </w:rPr>
        <w:fldChar w:fldCharType="separate"/>
      </w:r>
      <w:r w:rsidR="00A82B79">
        <w:rPr>
          <w:noProof/>
        </w:rPr>
        <w:t>72</w:t>
      </w:r>
      <w:r>
        <w:rPr>
          <w:noProof/>
        </w:rPr>
        <w:fldChar w:fldCharType="end"/>
      </w:r>
    </w:p>
    <w:p w14:paraId="5240C531" w14:textId="04BECCCF" w:rsidR="00631BAD" w:rsidRPr="00F71A22" w:rsidRDefault="00277D4A" w:rsidP="00CD493A">
      <w:pPr>
        <w:pStyle w:val="Heading1"/>
      </w:pPr>
      <w:r w:rsidRPr="00F71A22">
        <w:fldChar w:fldCharType="end"/>
      </w:r>
      <w:r w:rsidR="00631BAD" w:rsidRPr="00F71A22">
        <w:br w:type="page"/>
      </w:r>
      <w:bookmarkStart w:id="6" w:name="_Toc67042560"/>
      <w:bookmarkStart w:id="7" w:name="_Hlk52360981"/>
      <w:r w:rsidR="00631BAD" w:rsidRPr="00F71A22">
        <w:lastRenderedPageBreak/>
        <w:t>Glossary</w:t>
      </w:r>
      <w:bookmarkEnd w:id="5"/>
      <w:bookmarkEnd w:id="6"/>
    </w:p>
    <w:tbl>
      <w:tblPr>
        <w:tblStyle w:val="SRC21"/>
        <w:tblW w:w="9072" w:type="dxa"/>
        <w:tblLook w:val="0420" w:firstRow="1" w:lastRow="0" w:firstColumn="0" w:lastColumn="0" w:noHBand="0" w:noVBand="1"/>
        <w:tblDescription w:val="Annual Funded Places: TtW providers are contracted for an agreed number of places per annum per employment region, with each funded place expected to allow participation for two young people on average per annum. &#10;Commence(ment): In this report, to commence(ment) is to start actively engaging with employment services. A participant commences with TtW when they attend their first appointment with the TtW provider. Then there is a 28-day ‘Initial Phase’ when the provider must explain their services and make sure the participant understands the Mutual Obligation Requirements and the consequences of not participating appropriately. A participant commences with jobactive when they attend their first appointment with the jobactive provider. The provider assesses the job seeker’s circumstances, explains to the job seeker their obligations under social security law and, together with the job seeker, develops and agrees on a Job Plan. &#10;commencement rate: The commencement rate is the percentage of people referred to TtW who attended an initial appointment with a TtW provider.&#10;contract: In this report, a contract is an agreement between a provider and the Australian Government to deliver TtW services in a particular Employment Region. Some providers have more than one contract because they deliver TtW in more than one region.&#10;Employment Fund: The Employment Fund General Account (Employment Fund) is a flexible pool of funds available to jobactive providers. Each jobactive provider receives credits which they can use to claim reimbursement for goods and services that genuinely support and assist job seekers to gain the tools, skills and experience they need to get and keep a job. TtW does not provide Employment Fund access, as providers are expected to use up front payments to support young people to get and keep a job.&#10;ESS Web: This is the Employment Services System secure web interface, where providers enter servicing information about participant transactions that stimulate payments consistent with the contractual arrangement with the Department.&#10;exit: In this report, an exit is when a TtW provider removes a participant from their caseload. Most exits are automatic (effective exit) for reasons such as stopping or changing income support payments, changing to another employment service, death and imprisonment. Providers can initiate a manual exit (provider exit). They must record reasons for exits.&#10;Group One: Young people referred to TtW through DHS Centrelink who meet the following eligibility criteria:&#10;—have not been awarded a Year 12 certificate or a Certificate III or higher&#10;—are receiving Youth Allowance (Other) or any other activity-tested income support payment&#10;—are eligible for Stream B in jobactive but do not have a pending Employment Services Assessment (ESAt).&#10;Group Two: Disengaged young people who are directly registered with a TtW provider and who meet the following eligibility criteria:&#10;—have not been awarded a Year 12 certificate or a Certificate III or higher&#10;—are not already participating in employment services&#10;—for the last 13 weeks have not been working an average of eight hours or more per week&#10;—have not attended secondary education for 13 weeks, are not enrolled in secondary education and do not have an approved exemption from legal requirements to attend school&#10;—are not receiving income support or are receiving non-activity-tested income support such as Parenting Payment.&#10;Group Three: Young people referred from a jobactive provider who meet the following eligibility criteria:&#10;—are in Stream C in jobactive&#10;—are identified by their jobactive provider as having capacity to benefit from TtW (e.g. young people with particular types of disadvantages, such as unstable housing).&#10;Initial Phase: In this report, the Initial Phase is the 28 days immediately after a participant commences with TtW. (Also referred to as ‘initial commencement phase’.) &#10;Job Plan: A Job Plan is an agreement that a jobactive or TtW participant must make with their employment services provider and comply with in return for receiving income support payments and services. It covers things they need to do to find work, including applying for jobs, attending appointments with the provider and participating in approved activities.&#10;jobactive: jobactive is the Australian Government’s mainstream employment service. &#10;jobactive comparison group: For the purpose of evaluation, a comparison group of jobactive participants was matched to the TtW inflow sample on age at referral, stream, and educational attainment.&#10;Learning Centre: The Learning Centre is an online learning site on the Department of Jobs and Small Business website.&#10;Mutual Obligation Requirements: Mutual Obligation Requirements are things that people on activity-tested income support must do in return for receiving payments. These include requirements for job seekers to attend employment service provider appointments and interviews, undertake activities to improve their job prospects, and look for and accept suitable paid work.&#10;Outcome Performance Targets: Outcome Performance Targets are the benchmark for provider performance in TtW. TtW providers are required to achieve an agreed specified number of outcomes each year. &#10;participant: In this report, a participant is a young person who has commenced with the TtW service (or in some cases with jobactive).&#10;program guidelines: Program guidelines provide information on administering employment service programs and are published on the Department’s Provider Portal&#10;provider: In this report, a provider is an organisation that has a contract (or contracts) to deliver TtW (or, where specified, jobactive) services.&#10;Provider Portal: The Provider Portal is a secure website for providers of Australian Government employment services and departmental staff to access policy and program advice.&#10;Question Manager: Question Manager is a knowledge-based system that supports the lodgement, transmission and resolution of policy and operational questions. &#10;RapidConnect: RapidConnect is the commencement timeline for most young people who contact DHS to claim or transfer to Youth Allowance as a job seeker. RapidConnect typically requires attendance at an initial appointment with an employment services provider within two working days of initial contact with DHS.&#10;referrals: In this report, referrals are people who have been referred by DHS and TtW providers to the TtW service (or in some cases to jobactive). &#10;Stream A (jobactive): Stream A participants are assessed as the most job ready. They receive services to help them understand what employers want and how to navigate the local labour market, build résumés, and look for jobs.&#10;Stream B (jobactive): Stream B participants are those who require more assistance from their jobactive provider. They may have barriers such as housing instability or poor language, literacy and numeracy skills that make them less competitive in the job market.&#10;Stream C (jobactive): Stream C participants are the most disadvantaged group in jobactive. They have a combination of serious issues that need to be addressed before they can take up and retain a job.&#10;study period: Participants in the matched TtW and jobactive inflows who had started in the services by 31 August 2016 were followed for 180 days from their commencement date. Unless otherwise indicated, this was the study period for this evaluation. The inflow population includes young people referred to the service in the period between 1 February 2016 and 31 July 2016. Caseload refers to the number of participants in services and information about this group captured at a point in time.&#10;TtW Deed: This is the legal agreement under which a provider is contracted to deliver TtW services.&#10;utilisation rate: In this report, the utilisation rate is the percentage of a TtW provider’s Annual Funded Places that are being used by a TtW participant.&#10;"/>
      </w:tblPr>
      <w:tblGrid>
        <w:gridCol w:w="2977"/>
        <w:gridCol w:w="6095"/>
      </w:tblGrid>
      <w:tr w:rsidR="00631BAD" w:rsidRPr="00701C69" w14:paraId="669D0AEB" w14:textId="77777777" w:rsidTr="005576EA">
        <w:trPr>
          <w:cnfStyle w:val="100000000000" w:firstRow="1" w:lastRow="0" w:firstColumn="0" w:lastColumn="0" w:oddVBand="0" w:evenVBand="0" w:oddHBand="0" w:evenHBand="0" w:firstRowFirstColumn="0" w:firstRowLastColumn="0" w:lastRowFirstColumn="0" w:lastRowLastColumn="0"/>
          <w:tblHeader/>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2D3F"/>
            <w:vAlign w:val="center"/>
          </w:tcPr>
          <w:p w14:paraId="19D9C065" w14:textId="318AD0D6" w:rsidR="00631BAD" w:rsidRPr="00701C69" w:rsidRDefault="00631BAD" w:rsidP="00701C69">
            <w:pPr>
              <w:pStyle w:val="Glossary"/>
              <w:jc w:val="left"/>
              <w:rPr>
                <w:rFonts w:asciiTheme="minorHAnsi" w:hAnsiTheme="minorHAnsi"/>
              </w:rPr>
            </w:pPr>
            <w:r w:rsidRPr="00701C69">
              <w:rPr>
                <w:rFonts w:asciiTheme="minorHAnsi" w:hAnsiTheme="minorHAnsi"/>
              </w:rPr>
              <w:t>Term</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2D3F"/>
            <w:vAlign w:val="center"/>
          </w:tcPr>
          <w:p w14:paraId="51B6A321" w14:textId="77777777" w:rsidR="00631BAD" w:rsidRPr="00701C69" w:rsidRDefault="00631BAD" w:rsidP="00701C69">
            <w:pPr>
              <w:pStyle w:val="Glossary"/>
              <w:jc w:val="left"/>
              <w:rPr>
                <w:rFonts w:asciiTheme="minorHAnsi" w:hAnsiTheme="minorHAnsi"/>
              </w:rPr>
            </w:pPr>
            <w:r w:rsidRPr="00701C69">
              <w:rPr>
                <w:rFonts w:asciiTheme="minorHAnsi" w:hAnsiTheme="minorHAnsi"/>
              </w:rPr>
              <w:t>Description</w:t>
            </w:r>
          </w:p>
        </w:tc>
      </w:tr>
      <w:tr w:rsidR="00631BAD" w:rsidRPr="00701C69" w14:paraId="2A61BFA4" w14:textId="77777777" w:rsidTr="005576EA">
        <w:trPr>
          <w:cnfStyle w:val="000000100000" w:firstRow="0" w:lastRow="0" w:firstColumn="0" w:lastColumn="0" w:oddVBand="0" w:evenVBand="0" w:oddHBand="1"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31B8C2B9" w14:textId="77777777" w:rsidR="00631BAD" w:rsidRPr="00701C69" w:rsidRDefault="00631BAD" w:rsidP="00AF5D20">
            <w:pPr>
              <w:pStyle w:val="Glossary"/>
              <w:jc w:val="left"/>
              <w:rPr>
                <w:rFonts w:asciiTheme="minorHAnsi" w:hAnsiTheme="minorHAnsi"/>
              </w:rPr>
            </w:pPr>
            <w:r w:rsidRPr="00701C69">
              <w:rPr>
                <w:rFonts w:asciiTheme="minorHAnsi" w:hAnsiTheme="minorHAnsi"/>
              </w:rPr>
              <w:t>Caseload</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1812F585" w14:textId="77777777" w:rsidR="00631BAD" w:rsidRPr="00701C69" w:rsidRDefault="00631BAD" w:rsidP="00AF5D20">
            <w:pPr>
              <w:pStyle w:val="Glossary"/>
              <w:jc w:val="left"/>
              <w:rPr>
                <w:rFonts w:asciiTheme="minorHAnsi" w:hAnsiTheme="minorHAnsi"/>
              </w:rPr>
            </w:pPr>
            <w:r w:rsidRPr="00701C69">
              <w:rPr>
                <w:rFonts w:asciiTheme="minorHAnsi" w:hAnsiTheme="minorHAnsi"/>
              </w:rPr>
              <w:t>Caseload refers to the number of participants in services and information about this group captured at a point in time.</w:t>
            </w:r>
          </w:p>
        </w:tc>
      </w:tr>
      <w:tr w:rsidR="00631BAD" w:rsidRPr="00701C69" w14:paraId="53BDD5F8" w14:textId="77777777" w:rsidTr="005576EA">
        <w:trPr>
          <w:cnfStyle w:val="000000010000" w:firstRow="0" w:lastRow="0" w:firstColumn="0" w:lastColumn="0" w:oddVBand="0" w:evenVBand="0" w:oddHBand="0" w:evenHBand="1"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14DDF7F" w14:textId="77777777" w:rsidR="00631BAD" w:rsidRPr="00701C69" w:rsidRDefault="00631BAD" w:rsidP="00AF5D20">
            <w:pPr>
              <w:pStyle w:val="Glossary"/>
              <w:jc w:val="left"/>
              <w:rPr>
                <w:rFonts w:asciiTheme="minorHAnsi" w:hAnsiTheme="minorHAnsi"/>
              </w:rPr>
            </w:pPr>
            <w:r w:rsidRPr="00701C69">
              <w:rPr>
                <w:rFonts w:asciiTheme="minorHAnsi" w:hAnsiTheme="minorHAnsi"/>
              </w:rPr>
              <w:t>Commencement</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383D637" w14:textId="4A843FA7" w:rsidR="00631BAD" w:rsidRPr="00701C69" w:rsidRDefault="00631BAD" w:rsidP="00AF5D20">
            <w:pPr>
              <w:pStyle w:val="Glossary"/>
              <w:jc w:val="left"/>
              <w:rPr>
                <w:rFonts w:asciiTheme="minorHAnsi" w:hAnsiTheme="minorHAnsi"/>
                <w:lang w:val="en-US"/>
              </w:rPr>
            </w:pPr>
            <w:r w:rsidRPr="00701C69">
              <w:rPr>
                <w:rFonts w:asciiTheme="minorHAnsi" w:hAnsiTheme="minorHAnsi"/>
              </w:rPr>
              <w:t>For job seekers participating in the trial, commencement is the date the job seeker agrees to a</w:t>
            </w:r>
            <w:r w:rsidR="000273B4" w:rsidRPr="00701C69">
              <w:rPr>
                <w:rFonts w:asciiTheme="minorHAnsi" w:hAnsiTheme="minorHAnsi"/>
              </w:rPr>
              <w:t xml:space="preserve"> J</w:t>
            </w:r>
            <w:r w:rsidRPr="00701C69">
              <w:rPr>
                <w:rFonts w:asciiTheme="minorHAnsi" w:hAnsiTheme="minorHAnsi"/>
              </w:rPr>
              <w:t xml:space="preserve">ob </w:t>
            </w:r>
            <w:r w:rsidR="000273B4" w:rsidRPr="00701C69">
              <w:rPr>
                <w:rFonts w:asciiTheme="minorHAnsi" w:hAnsiTheme="minorHAnsi"/>
              </w:rPr>
              <w:t>P</w:t>
            </w:r>
            <w:r w:rsidRPr="00701C69">
              <w:rPr>
                <w:rFonts w:asciiTheme="minorHAnsi" w:hAnsiTheme="minorHAnsi"/>
              </w:rPr>
              <w:t>lan on the jobactive website</w:t>
            </w:r>
            <w:r w:rsidR="000273B4" w:rsidRPr="00701C69">
              <w:rPr>
                <w:rFonts w:asciiTheme="minorHAnsi" w:hAnsiTheme="minorHAnsi"/>
              </w:rPr>
              <w:t>, which</w:t>
            </w:r>
            <w:r w:rsidRPr="00701C69">
              <w:rPr>
                <w:rFonts w:asciiTheme="minorHAnsi" w:hAnsiTheme="minorHAnsi"/>
              </w:rPr>
              <w:t xml:space="preserve"> is done by </w:t>
            </w:r>
            <w:r w:rsidR="00EE4EA7" w:rsidRPr="00701C69">
              <w:rPr>
                <w:rFonts w:asciiTheme="minorHAnsi" w:hAnsiTheme="minorHAnsi"/>
              </w:rPr>
              <w:t>following prompts</w:t>
            </w:r>
            <w:r w:rsidRPr="00701C69">
              <w:rPr>
                <w:rFonts w:asciiTheme="minorHAnsi" w:hAnsiTheme="minorHAnsi"/>
              </w:rPr>
              <w:t xml:space="preserve">. For job seekers who </w:t>
            </w:r>
            <w:r w:rsidR="000273B4" w:rsidRPr="00701C69">
              <w:rPr>
                <w:rFonts w:asciiTheme="minorHAnsi" w:hAnsiTheme="minorHAnsi"/>
              </w:rPr>
              <w:t xml:space="preserve">are </w:t>
            </w:r>
            <w:r w:rsidRPr="00701C69">
              <w:rPr>
                <w:rFonts w:asciiTheme="minorHAnsi" w:hAnsiTheme="minorHAnsi"/>
              </w:rPr>
              <w:t>receiv</w:t>
            </w:r>
            <w:r w:rsidR="000273B4" w:rsidRPr="00701C69">
              <w:rPr>
                <w:rFonts w:asciiTheme="minorHAnsi" w:hAnsiTheme="minorHAnsi"/>
              </w:rPr>
              <w:t>ing</w:t>
            </w:r>
            <w:r w:rsidRPr="00701C69">
              <w:rPr>
                <w:rFonts w:asciiTheme="minorHAnsi" w:hAnsiTheme="minorHAnsi"/>
              </w:rPr>
              <w:t xml:space="preserve"> </w:t>
            </w:r>
            <w:r w:rsidR="000273B4" w:rsidRPr="00701C69">
              <w:rPr>
                <w:rFonts w:asciiTheme="minorHAnsi" w:hAnsiTheme="minorHAnsi"/>
              </w:rPr>
              <w:t>provider-based</w:t>
            </w:r>
            <w:r w:rsidRPr="00701C69">
              <w:rPr>
                <w:rFonts w:asciiTheme="minorHAnsi" w:hAnsiTheme="minorHAnsi"/>
              </w:rPr>
              <w:t xml:space="preserve"> jobactive servicing, commencement is the date the job seeker </w:t>
            </w:r>
            <w:r w:rsidR="00EE4EA7" w:rsidRPr="00701C69">
              <w:rPr>
                <w:rFonts w:asciiTheme="minorHAnsi" w:hAnsiTheme="minorHAnsi"/>
              </w:rPr>
              <w:t>participates in an initial interview.</w:t>
            </w:r>
          </w:p>
        </w:tc>
      </w:tr>
      <w:tr w:rsidR="00631BAD" w:rsidRPr="00701C69" w14:paraId="629D191B" w14:textId="77777777" w:rsidTr="005576EA">
        <w:trPr>
          <w:cnfStyle w:val="000000100000" w:firstRow="0" w:lastRow="0" w:firstColumn="0" w:lastColumn="0" w:oddVBand="0" w:evenVBand="0" w:oddHBand="1"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34C66AB4" w14:textId="77777777" w:rsidR="00631BAD" w:rsidRPr="00701C69" w:rsidRDefault="00631BAD" w:rsidP="00AF5D20">
            <w:pPr>
              <w:pStyle w:val="Glossary"/>
              <w:jc w:val="left"/>
              <w:rPr>
                <w:rFonts w:asciiTheme="minorHAnsi" w:hAnsiTheme="minorHAnsi"/>
              </w:rPr>
            </w:pPr>
            <w:r w:rsidRPr="00701C69">
              <w:rPr>
                <w:rFonts w:asciiTheme="minorHAnsi" w:hAnsiTheme="minorHAnsi"/>
              </w:rPr>
              <w:t>Comparison group</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3AF84C8A" w14:textId="5E705658" w:rsidR="003F7262" w:rsidRPr="00701C69" w:rsidRDefault="00631BAD" w:rsidP="00AF5D20">
            <w:pPr>
              <w:pStyle w:val="Glossary"/>
              <w:jc w:val="left"/>
              <w:rPr>
                <w:rFonts w:asciiTheme="minorHAnsi" w:hAnsiTheme="minorHAnsi"/>
              </w:rPr>
            </w:pPr>
            <w:r w:rsidRPr="00701C69">
              <w:rPr>
                <w:rFonts w:asciiTheme="minorHAnsi" w:hAnsiTheme="minorHAnsi"/>
                <w:lang w:val="en-US"/>
              </w:rPr>
              <w:t>Includes</w:t>
            </w:r>
            <w:r w:rsidRPr="00701C69">
              <w:rPr>
                <w:rFonts w:asciiTheme="minorHAnsi" w:hAnsiTheme="minorHAnsi"/>
              </w:rPr>
              <w:t xml:space="preserve"> job seekers who</w:t>
            </w:r>
            <w:r w:rsidR="00E06674" w:rsidRPr="00701C69">
              <w:rPr>
                <w:rFonts w:asciiTheme="minorHAnsi" w:hAnsiTheme="minorHAnsi"/>
              </w:rPr>
              <w:t>,</w:t>
            </w:r>
            <w:r w:rsidRPr="00701C69">
              <w:rPr>
                <w:rFonts w:asciiTheme="minorHAnsi" w:hAnsiTheme="minorHAnsi"/>
              </w:rPr>
              <w:t xml:space="preserve"> </w:t>
            </w:r>
            <w:r w:rsidR="00692892" w:rsidRPr="00701C69">
              <w:rPr>
                <w:rFonts w:asciiTheme="minorHAnsi" w:hAnsiTheme="minorHAnsi"/>
              </w:rPr>
              <w:t xml:space="preserve">at the time of referral, </w:t>
            </w:r>
            <w:r w:rsidRPr="00701C69">
              <w:rPr>
                <w:rFonts w:asciiTheme="minorHAnsi" w:hAnsiTheme="minorHAnsi"/>
              </w:rPr>
              <w:t xml:space="preserve">are eligible for the </w:t>
            </w:r>
            <w:r w:rsidR="00DE7779" w:rsidRPr="00701C69">
              <w:rPr>
                <w:rFonts w:asciiTheme="minorHAnsi" w:hAnsiTheme="minorHAnsi"/>
              </w:rPr>
              <w:t xml:space="preserve">OEST </w:t>
            </w:r>
            <w:r w:rsidRPr="00701C69">
              <w:rPr>
                <w:rFonts w:asciiTheme="minorHAnsi" w:hAnsiTheme="minorHAnsi"/>
              </w:rPr>
              <w:t xml:space="preserve">but not selected </w:t>
            </w:r>
            <w:r w:rsidR="000273B4" w:rsidRPr="00701C69">
              <w:rPr>
                <w:rFonts w:asciiTheme="minorHAnsi" w:hAnsiTheme="minorHAnsi"/>
              </w:rPr>
              <w:t>to be in the trial. Instead, these job seekers receive</w:t>
            </w:r>
            <w:r w:rsidRPr="00701C69">
              <w:rPr>
                <w:rFonts w:asciiTheme="minorHAnsi" w:hAnsiTheme="minorHAnsi"/>
              </w:rPr>
              <w:t xml:space="preserve"> assistance in government employment services with a jobactive provider. This group has a </w:t>
            </w:r>
            <w:r w:rsidR="000273B4" w:rsidRPr="00701C69">
              <w:rPr>
                <w:rFonts w:asciiTheme="minorHAnsi" w:eastAsia="Times New Roman" w:hAnsiTheme="minorHAnsi"/>
              </w:rPr>
              <w:t>provider-based</w:t>
            </w:r>
            <w:r w:rsidRPr="00701C69">
              <w:rPr>
                <w:rFonts w:asciiTheme="minorHAnsi" w:eastAsia="Times New Roman" w:hAnsiTheme="minorHAnsi"/>
              </w:rPr>
              <w:t xml:space="preserve"> service experience without any online trial experience</w:t>
            </w:r>
            <w:r w:rsidR="00142085" w:rsidRPr="00701C69">
              <w:rPr>
                <w:rFonts w:asciiTheme="minorHAnsi" w:eastAsia="Times New Roman" w:hAnsiTheme="minorHAnsi"/>
              </w:rPr>
              <w:t>.</w:t>
            </w:r>
            <w:r w:rsidRPr="00701C69">
              <w:rPr>
                <w:rFonts w:asciiTheme="minorHAnsi" w:hAnsiTheme="minorHAnsi"/>
              </w:rPr>
              <w:t xml:space="preserve"> </w:t>
            </w:r>
          </w:p>
        </w:tc>
      </w:tr>
      <w:tr w:rsidR="00631BAD" w:rsidRPr="00701C69" w14:paraId="5AB6EB43" w14:textId="77777777" w:rsidTr="005576EA">
        <w:trPr>
          <w:cnfStyle w:val="000000010000" w:firstRow="0" w:lastRow="0" w:firstColumn="0" w:lastColumn="0" w:oddVBand="0" w:evenVBand="0" w:oddHBand="0" w:evenHBand="1"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51CB9A3" w14:textId="77777777" w:rsidR="00631BAD" w:rsidRPr="00701C69" w:rsidRDefault="00631BAD" w:rsidP="00AF5D20">
            <w:pPr>
              <w:pStyle w:val="Glossary"/>
              <w:jc w:val="left"/>
              <w:rPr>
                <w:rFonts w:asciiTheme="minorHAnsi" w:hAnsiTheme="minorHAnsi"/>
              </w:rPr>
            </w:pPr>
            <w:r w:rsidRPr="00701C69">
              <w:rPr>
                <w:rFonts w:asciiTheme="minorHAnsi" w:hAnsiTheme="minorHAnsi"/>
              </w:rPr>
              <w:t>Employment Fund</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A0A5DA2" w14:textId="4EBD2D01" w:rsidR="00631BAD" w:rsidRPr="00701C69" w:rsidRDefault="00631BAD" w:rsidP="00AF5D20">
            <w:pPr>
              <w:pStyle w:val="Glossary"/>
              <w:jc w:val="left"/>
              <w:rPr>
                <w:rFonts w:asciiTheme="minorHAnsi" w:hAnsiTheme="minorHAnsi"/>
              </w:rPr>
            </w:pPr>
            <w:r w:rsidRPr="00701C69">
              <w:rPr>
                <w:rFonts w:asciiTheme="minorHAnsi" w:hAnsiTheme="minorHAnsi"/>
              </w:rPr>
              <w:t>The Employment Fund General Account (Employment Fund) is a flexible pool of funds available to jobactive providers. Each provider receives credits which they can use to claim reimbursement</w:t>
            </w:r>
            <w:r w:rsidR="000F7AC2" w:rsidRPr="00701C69">
              <w:rPr>
                <w:rFonts w:asciiTheme="minorHAnsi" w:hAnsiTheme="minorHAnsi"/>
              </w:rPr>
              <w:t>s</w:t>
            </w:r>
            <w:r w:rsidRPr="00701C69">
              <w:rPr>
                <w:rFonts w:asciiTheme="minorHAnsi" w:hAnsiTheme="minorHAnsi"/>
              </w:rPr>
              <w:t xml:space="preserve"> for goods and services that support and assist job seekers to gain the tools, skills and experience they need to get and keep a job. </w:t>
            </w:r>
            <w:r w:rsidR="000F7AC2" w:rsidRPr="00701C69">
              <w:rPr>
                <w:rFonts w:asciiTheme="minorHAnsi" w:hAnsiTheme="minorHAnsi"/>
              </w:rPr>
              <w:t>OEST</w:t>
            </w:r>
            <w:r w:rsidRPr="00701C69">
              <w:rPr>
                <w:rFonts w:asciiTheme="minorHAnsi" w:hAnsiTheme="minorHAnsi"/>
              </w:rPr>
              <w:t xml:space="preserve"> participants do not have </w:t>
            </w:r>
            <w:r w:rsidR="00DE5E20" w:rsidRPr="00701C69">
              <w:rPr>
                <w:rFonts w:asciiTheme="minorHAnsi" w:hAnsiTheme="minorHAnsi"/>
              </w:rPr>
              <w:t>access</w:t>
            </w:r>
            <w:r w:rsidR="00155A27" w:rsidRPr="00701C69">
              <w:rPr>
                <w:rFonts w:asciiTheme="minorHAnsi" w:hAnsiTheme="minorHAnsi"/>
              </w:rPr>
              <w:t xml:space="preserve"> </w:t>
            </w:r>
            <w:r w:rsidR="000F7AC2" w:rsidRPr="00701C69">
              <w:rPr>
                <w:rFonts w:asciiTheme="minorHAnsi" w:hAnsiTheme="minorHAnsi"/>
              </w:rPr>
              <w:t xml:space="preserve">to the </w:t>
            </w:r>
            <w:r w:rsidRPr="00701C69">
              <w:rPr>
                <w:rFonts w:asciiTheme="minorHAnsi" w:hAnsiTheme="minorHAnsi"/>
              </w:rPr>
              <w:t>Employment Fund</w:t>
            </w:r>
            <w:r w:rsidR="000F7AC2" w:rsidRPr="00701C69">
              <w:rPr>
                <w:rFonts w:asciiTheme="minorHAnsi" w:hAnsiTheme="minorHAnsi"/>
              </w:rPr>
              <w:t>.</w:t>
            </w:r>
          </w:p>
        </w:tc>
      </w:tr>
      <w:tr w:rsidR="00631BAD" w:rsidRPr="00701C69" w14:paraId="69A53CA9" w14:textId="77777777" w:rsidTr="005576EA">
        <w:trPr>
          <w:cnfStyle w:val="000000100000" w:firstRow="0" w:lastRow="0" w:firstColumn="0" w:lastColumn="0" w:oddVBand="0" w:evenVBand="0" w:oddHBand="1" w:evenHBand="0" w:firstRowFirstColumn="0" w:firstRowLastColumn="0" w:lastRowFirstColumn="0" w:lastRowLastColumn="0"/>
          <w:cantSplit/>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6B607791" w14:textId="77777777" w:rsidR="00631BAD" w:rsidRPr="00701C69" w:rsidRDefault="003F624C" w:rsidP="00AF5D20">
            <w:pPr>
              <w:pStyle w:val="Glossary"/>
              <w:jc w:val="left"/>
              <w:rPr>
                <w:rFonts w:asciiTheme="minorHAnsi" w:hAnsiTheme="minorHAnsi"/>
              </w:rPr>
            </w:pPr>
            <w:r w:rsidRPr="00701C69">
              <w:rPr>
                <w:rFonts w:asciiTheme="minorHAnsi" w:hAnsiTheme="minorHAnsi"/>
              </w:rPr>
              <w:t>Job Plan</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6ED7D8CE" w14:textId="2405C6DE" w:rsidR="00631BAD" w:rsidRPr="00701C69" w:rsidRDefault="003F624C" w:rsidP="00AF5D20">
            <w:pPr>
              <w:pStyle w:val="Glossary"/>
              <w:jc w:val="left"/>
              <w:rPr>
                <w:rFonts w:asciiTheme="minorHAnsi" w:hAnsiTheme="minorHAnsi"/>
              </w:rPr>
            </w:pPr>
            <w:r w:rsidRPr="00701C69">
              <w:rPr>
                <w:rFonts w:asciiTheme="minorHAnsi" w:hAnsiTheme="minorHAnsi"/>
              </w:rPr>
              <w:t xml:space="preserve">A Job Plan is an agreement </w:t>
            </w:r>
            <w:r w:rsidR="000F7AC2" w:rsidRPr="00701C69">
              <w:rPr>
                <w:rFonts w:asciiTheme="minorHAnsi" w:hAnsiTheme="minorHAnsi"/>
              </w:rPr>
              <w:t>by</w:t>
            </w:r>
            <w:r w:rsidRPr="00701C69">
              <w:rPr>
                <w:rFonts w:asciiTheme="minorHAnsi" w:hAnsiTheme="minorHAnsi"/>
              </w:rPr>
              <w:t xml:space="preserve"> a </w:t>
            </w:r>
            <w:r w:rsidR="007E7BFB" w:rsidRPr="00701C69">
              <w:rPr>
                <w:rFonts w:asciiTheme="minorHAnsi" w:hAnsiTheme="minorHAnsi"/>
              </w:rPr>
              <w:t xml:space="preserve">participant </w:t>
            </w:r>
            <w:r w:rsidR="00973C4E" w:rsidRPr="00701C69">
              <w:rPr>
                <w:rFonts w:asciiTheme="minorHAnsi" w:hAnsiTheme="minorHAnsi"/>
              </w:rPr>
              <w:t xml:space="preserve">in employment services </w:t>
            </w:r>
            <w:r w:rsidRPr="00701C69">
              <w:rPr>
                <w:rFonts w:asciiTheme="minorHAnsi" w:hAnsiTheme="minorHAnsi"/>
              </w:rPr>
              <w:t xml:space="preserve">in return for income support payments and services. It </w:t>
            </w:r>
            <w:r w:rsidR="000F7AC2" w:rsidRPr="00701C69">
              <w:rPr>
                <w:rFonts w:asciiTheme="minorHAnsi" w:hAnsiTheme="minorHAnsi"/>
              </w:rPr>
              <w:t>details</w:t>
            </w:r>
            <w:r w:rsidRPr="00701C69">
              <w:rPr>
                <w:rFonts w:asciiTheme="minorHAnsi" w:hAnsiTheme="minorHAnsi"/>
              </w:rPr>
              <w:t xml:space="preserve"> </w:t>
            </w:r>
            <w:r w:rsidR="007E7BFB" w:rsidRPr="00701C69">
              <w:rPr>
                <w:rFonts w:asciiTheme="minorHAnsi" w:hAnsiTheme="minorHAnsi"/>
              </w:rPr>
              <w:t xml:space="preserve">actions </w:t>
            </w:r>
            <w:r w:rsidRPr="00701C69">
              <w:rPr>
                <w:rFonts w:asciiTheme="minorHAnsi" w:hAnsiTheme="minorHAnsi"/>
              </w:rPr>
              <w:t xml:space="preserve">they need to </w:t>
            </w:r>
            <w:r w:rsidR="007E7BFB" w:rsidRPr="00701C69">
              <w:rPr>
                <w:rFonts w:asciiTheme="minorHAnsi" w:hAnsiTheme="minorHAnsi"/>
              </w:rPr>
              <w:t>take</w:t>
            </w:r>
            <w:r w:rsidRPr="00701C69">
              <w:rPr>
                <w:rFonts w:asciiTheme="minorHAnsi" w:hAnsiTheme="minorHAnsi"/>
              </w:rPr>
              <w:t xml:space="preserve"> to meet their </w:t>
            </w:r>
            <w:r w:rsidR="00E95AD9" w:rsidRPr="00701C69">
              <w:rPr>
                <w:rFonts w:asciiTheme="minorHAnsi" w:hAnsiTheme="minorHAnsi"/>
              </w:rPr>
              <w:t>M</w:t>
            </w:r>
            <w:r w:rsidRPr="00701C69">
              <w:rPr>
                <w:rFonts w:asciiTheme="minorHAnsi" w:hAnsiTheme="minorHAnsi"/>
              </w:rPr>
              <w:t xml:space="preserve">utual </w:t>
            </w:r>
            <w:r w:rsidR="00E95AD9" w:rsidRPr="00701C69">
              <w:rPr>
                <w:rFonts w:asciiTheme="minorHAnsi" w:hAnsiTheme="minorHAnsi"/>
              </w:rPr>
              <w:t>O</w:t>
            </w:r>
            <w:r w:rsidRPr="00701C69">
              <w:rPr>
                <w:rFonts w:asciiTheme="minorHAnsi" w:hAnsiTheme="minorHAnsi"/>
              </w:rPr>
              <w:t>bligation</w:t>
            </w:r>
            <w:r w:rsidR="00E95AD9" w:rsidRPr="00701C69">
              <w:rPr>
                <w:rFonts w:asciiTheme="minorHAnsi" w:hAnsiTheme="minorHAnsi"/>
              </w:rPr>
              <w:t xml:space="preserve"> Requirements</w:t>
            </w:r>
            <w:r w:rsidRPr="00701C69">
              <w:rPr>
                <w:rFonts w:asciiTheme="minorHAnsi" w:hAnsiTheme="minorHAnsi"/>
              </w:rPr>
              <w:t>, for example applying for jobs, attending appointments with the provider and participating in approved activities.</w:t>
            </w:r>
          </w:p>
        </w:tc>
      </w:tr>
      <w:tr w:rsidR="00631BAD" w:rsidRPr="00701C69" w14:paraId="2CFDE151" w14:textId="77777777" w:rsidTr="005576EA">
        <w:trPr>
          <w:cnfStyle w:val="000000010000" w:firstRow="0" w:lastRow="0" w:firstColumn="0" w:lastColumn="0" w:oddVBand="0" w:evenVBand="0" w:oddHBand="0" w:evenHBand="1"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31519E8" w14:textId="77777777" w:rsidR="00631BAD" w:rsidRPr="00701C69" w:rsidRDefault="003F624C" w:rsidP="00AF5D20">
            <w:pPr>
              <w:pStyle w:val="Glossary"/>
              <w:jc w:val="left"/>
              <w:rPr>
                <w:rFonts w:asciiTheme="minorHAnsi" w:hAnsiTheme="minorHAnsi"/>
              </w:rPr>
            </w:pPr>
            <w:r w:rsidRPr="00701C69">
              <w:rPr>
                <w:rFonts w:asciiTheme="minorHAnsi" w:hAnsiTheme="minorHAnsi"/>
              </w:rPr>
              <w:t>jobactive</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B8F8C15" w14:textId="5D4D672A" w:rsidR="00631BAD" w:rsidRPr="00701C69" w:rsidRDefault="003F624C" w:rsidP="00AF5D20">
            <w:pPr>
              <w:pStyle w:val="Glossary"/>
              <w:jc w:val="left"/>
              <w:rPr>
                <w:rFonts w:asciiTheme="minorHAnsi" w:hAnsiTheme="minorHAnsi"/>
              </w:rPr>
            </w:pPr>
            <w:r w:rsidRPr="00701C69">
              <w:rPr>
                <w:rFonts w:asciiTheme="minorHAnsi" w:hAnsiTheme="minorHAnsi"/>
              </w:rPr>
              <w:t>jobactive is the Australian Government’s mainstream employment service</w:t>
            </w:r>
            <w:r w:rsidR="002A64EB" w:rsidRPr="00701C69">
              <w:rPr>
                <w:rFonts w:asciiTheme="minorHAnsi" w:hAnsiTheme="minorHAnsi"/>
              </w:rPr>
              <w:t>s system. It connects job seekers with employers and is delivered by a network of jobactive providers in over 1</w:t>
            </w:r>
            <w:r w:rsidR="005E6AD9" w:rsidRPr="00701C69">
              <w:rPr>
                <w:rFonts w:asciiTheme="minorHAnsi" w:hAnsiTheme="minorHAnsi"/>
              </w:rPr>
              <w:t>,</w:t>
            </w:r>
            <w:r w:rsidR="002A64EB" w:rsidRPr="00701C69">
              <w:rPr>
                <w:rFonts w:asciiTheme="minorHAnsi" w:hAnsiTheme="minorHAnsi"/>
              </w:rPr>
              <w:t>700 locations across Australia. jobactive commenced on 1 July 2015.</w:t>
            </w:r>
          </w:p>
        </w:tc>
      </w:tr>
      <w:tr w:rsidR="00631BAD" w:rsidRPr="00701C69" w14:paraId="4E31B131" w14:textId="77777777" w:rsidTr="005576EA">
        <w:trPr>
          <w:cnfStyle w:val="000000100000" w:firstRow="0" w:lastRow="0" w:firstColumn="0" w:lastColumn="0" w:oddVBand="0" w:evenVBand="0" w:oddHBand="1" w:evenHBand="0" w:firstRowFirstColumn="0" w:firstRowLastColumn="0" w:lastRowFirstColumn="0" w:lastRowLastColumn="0"/>
          <w:cantSplit/>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22B9A92F" w14:textId="77777777" w:rsidR="00631BAD" w:rsidRPr="00701C69" w:rsidRDefault="00631BAD" w:rsidP="00AF5D20">
            <w:pPr>
              <w:pStyle w:val="Glossary"/>
              <w:jc w:val="left"/>
              <w:rPr>
                <w:rFonts w:asciiTheme="minorHAnsi" w:hAnsiTheme="minorHAnsi"/>
              </w:rPr>
            </w:pPr>
            <w:r w:rsidRPr="00701C69">
              <w:rPr>
                <w:rFonts w:asciiTheme="minorHAnsi" w:hAnsiTheme="minorHAnsi"/>
              </w:rPr>
              <w:lastRenderedPageBreak/>
              <w:t>Mutual Obligation Requirements</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479C31DC" w14:textId="7ACD03E9" w:rsidR="00631BAD" w:rsidRPr="00701C69" w:rsidRDefault="00631BAD" w:rsidP="00AF5D20">
            <w:pPr>
              <w:pStyle w:val="Glossary"/>
              <w:jc w:val="left"/>
              <w:rPr>
                <w:rFonts w:asciiTheme="minorHAnsi" w:hAnsiTheme="minorHAnsi"/>
              </w:rPr>
            </w:pPr>
            <w:r w:rsidRPr="00701C69">
              <w:rPr>
                <w:rFonts w:asciiTheme="minorHAnsi" w:hAnsiTheme="minorHAnsi"/>
              </w:rPr>
              <w:t xml:space="preserve">Mutual Obligation Requirements are actions that people on activity-tested income support must complete </w:t>
            </w:r>
            <w:r w:rsidR="00A175DB" w:rsidRPr="00701C69">
              <w:rPr>
                <w:rFonts w:asciiTheme="minorHAnsi" w:hAnsiTheme="minorHAnsi"/>
              </w:rPr>
              <w:t xml:space="preserve">for a certain number of hours per week </w:t>
            </w:r>
            <w:r w:rsidRPr="00701C69">
              <w:rPr>
                <w:rFonts w:asciiTheme="minorHAnsi" w:hAnsiTheme="minorHAnsi"/>
              </w:rPr>
              <w:t>in return for receiving payments. These</w:t>
            </w:r>
            <w:r w:rsidR="00FF102D" w:rsidRPr="00701C69">
              <w:rPr>
                <w:rFonts w:asciiTheme="minorHAnsi" w:hAnsiTheme="minorHAnsi"/>
              </w:rPr>
              <w:t xml:space="preserve"> may</w:t>
            </w:r>
            <w:r w:rsidRPr="00701C69">
              <w:rPr>
                <w:rFonts w:asciiTheme="minorHAnsi" w:hAnsiTheme="minorHAnsi"/>
              </w:rPr>
              <w:t xml:space="preserve"> include requirements for job seekers to attend </w:t>
            </w:r>
            <w:r w:rsidR="000F7AC2" w:rsidRPr="00701C69">
              <w:rPr>
                <w:rFonts w:asciiTheme="minorHAnsi" w:hAnsiTheme="minorHAnsi"/>
              </w:rPr>
              <w:t xml:space="preserve">appointments and interviews with </w:t>
            </w:r>
            <w:r w:rsidRPr="00701C69">
              <w:rPr>
                <w:rFonts w:asciiTheme="minorHAnsi" w:hAnsiTheme="minorHAnsi"/>
              </w:rPr>
              <w:t>employment service provider</w:t>
            </w:r>
            <w:r w:rsidR="000F7AC2" w:rsidRPr="00701C69">
              <w:rPr>
                <w:rFonts w:asciiTheme="minorHAnsi" w:hAnsiTheme="minorHAnsi"/>
              </w:rPr>
              <w:t>s</w:t>
            </w:r>
            <w:r w:rsidR="002C52A5" w:rsidRPr="00701C69">
              <w:rPr>
                <w:rFonts w:asciiTheme="minorHAnsi" w:hAnsiTheme="minorHAnsi"/>
              </w:rPr>
              <w:t xml:space="preserve"> or </w:t>
            </w:r>
            <w:r w:rsidR="00FD58AF" w:rsidRPr="00701C69">
              <w:rPr>
                <w:rFonts w:asciiTheme="minorHAnsi" w:hAnsiTheme="minorHAnsi"/>
              </w:rPr>
              <w:t>Services Australia</w:t>
            </w:r>
            <w:r w:rsidRPr="00701C69">
              <w:rPr>
                <w:rFonts w:asciiTheme="minorHAnsi" w:hAnsiTheme="minorHAnsi"/>
              </w:rPr>
              <w:t>, undertake activities to improve their job prospects, and look for and accept suitable paid work</w:t>
            </w:r>
            <w:r w:rsidR="00142085" w:rsidRPr="00701C69">
              <w:rPr>
                <w:rFonts w:asciiTheme="minorHAnsi" w:hAnsiTheme="minorHAnsi"/>
              </w:rPr>
              <w:t>.</w:t>
            </w:r>
          </w:p>
        </w:tc>
      </w:tr>
      <w:tr w:rsidR="00631BAD" w:rsidRPr="00701C69" w14:paraId="4B3BBF4A" w14:textId="77777777" w:rsidTr="005576EA">
        <w:trPr>
          <w:cnfStyle w:val="000000010000" w:firstRow="0" w:lastRow="0" w:firstColumn="0" w:lastColumn="0" w:oddVBand="0" w:evenVBand="0" w:oddHBand="0" w:evenHBand="1"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36790B2" w14:textId="21E4537F" w:rsidR="00631BAD" w:rsidRPr="00701C69" w:rsidRDefault="00631BAD" w:rsidP="00AF5D20">
            <w:pPr>
              <w:pStyle w:val="Glossary"/>
              <w:jc w:val="left"/>
              <w:rPr>
                <w:rFonts w:asciiTheme="minorHAnsi" w:hAnsiTheme="minorHAnsi"/>
              </w:rPr>
            </w:pPr>
            <w:bookmarkStart w:id="8" w:name="_Hlk52360567"/>
            <w:r w:rsidRPr="00701C69">
              <w:rPr>
                <w:rFonts w:asciiTheme="minorHAnsi" w:hAnsiTheme="minorHAnsi"/>
              </w:rPr>
              <w:t xml:space="preserve">OEST </w:t>
            </w:r>
            <w:r w:rsidR="006E60BD" w:rsidRPr="00701C69">
              <w:rPr>
                <w:rFonts w:asciiTheme="minorHAnsi" w:hAnsiTheme="minorHAnsi"/>
              </w:rPr>
              <w:t>participants</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726EC16" w14:textId="6ADC7C25" w:rsidR="00631BAD" w:rsidRPr="00701C69" w:rsidRDefault="00AB0B37" w:rsidP="00AF5D20">
            <w:pPr>
              <w:pStyle w:val="Glossary"/>
              <w:jc w:val="left"/>
              <w:rPr>
                <w:rFonts w:asciiTheme="minorHAnsi" w:hAnsiTheme="minorHAnsi"/>
              </w:rPr>
            </w:pPr>
            <w:r w:rsidRPr="00701C69">
              <w:rPr>
                <w:rFonts w:asciiTheme="minorHAnsi" w:hAnsiTheme="minorHAnsi"/>
              </w:rPr>
              <w:t xml:space="preserve">OEST participants are job seekers who commenced in the OEST, including those who were still in the trial at the time of analysis, those who had exited employment services from the trial (e.g. because they found a job or commenced study/training) and those who had completed the full </w:t>
            </w:r>
            <w:r w:rsidR="00F268EF" w:rsidRPr="00701C69">
              <w:rPr>
                <w:rFonts w:asciiTheme="minorHAnsi" w:hAnsiTheme="minorHAnsi"/>
              </w:rPr>
              <w:t>six</w:t>
            </w:r>
            <w:r w:rsidRPr="00701C69">
              <w:rPr>
                <w:rFonts w:asciiTheme="minorHAnsi" w:hAnsiTheme="minorHAnsi"/>
              </w:rPr>
              <w:t> months of the trial and were automatically transferred into provider-based employment services.</w:t>
            </w:r>
          </w:p>
        </w:tc>
      </w:tr>
      <w:tr w:rsidR="00631BAD" w:rsidRPr="00701C69" w14:paraId="44E99F49" w14:textId="77777777" w:rsidTr="005576EA">
        <w:trPr>
          <w:cnfStyle w:val="000000100000" w:firstRow="0" w:lastRow="0" w:firstColumn="0" w:lastColumn="0" w:oddVBand="0" w:evenVBand="0" w:oddHBand="1"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4E2655AB" w14:textId="584AF64A" w:rsidR="00631BAD" w:rsidRPr="00701C69" w:rsidRDefault="00631BAD" w:rsidP="00AF5D20">
            <w:pPr>
              <w:pStyle w:val="Glossary"/>
              <w:jc w:val="left"/>
              <w:rPr>
                <w:rFonts w:asciiTheme="minorHAnsi" w:hAnsiTheme="minorHAnsi"/>
              </w:rPr>
            </w:pPr>
            <w:r w:rsidRPr="00701C69">
              <w:rPr>
                <w:rFonts w:asciiTheme="minorHAnsi" w:hAnsiTheme="minorHAnsi"/>
              </w:rPr>
              <w:t>Opt-</w:t>
            </w:r>
            <w:r w:rsidR="00E06674" w:rsidRPr="00701C69">
              <w:rPr>
                <w:rFonts w:asciiTheme="minorHAnsi" w:hAnsiTheme="minorHAnsi"/>
              </w:rPr>
              <w:t>o</w:t>
            </w:r>
            <w:r w:rsidRPr="00701C69">
              <w:rPr>
                <w:rFonts w:asciiTheme="minorHAnsi" w:hAnsiTheme="minorHAnsi"/>
              </w:rPr>
              <w:t>u</w:t>
            </w:r>
            <w:r w:rsidR="003F624C" w:rsidRPr="00701C69">
              <w:rPr>
                <w:rFonts w:asciiTheme="minorHAnsi" w:hAnsiTheme="minorHAnsi"/>
              </w:rPr>
              <w:t>ts</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7D8D8"/>
            <w:vAlign w:val="center"/>
          </w:tcPr>
          <w:p w14:paraId="2FB16E85" w14:textId="1B1B9A69" w:rsidR="00631BAD" w:rsidRPr="00701C69" w:rsidRDefault="00AB0B37" w:rsidP="00AF5D20">
            <w:pPr>
              <w:pStyle w:val="Glossary"/>
              <w:jc w:val="left"/>
              <w:rPr>
                <w:rFonts w:asciiTheme="minorHAnsi" w:hAnsiTheme="minorHAnsi"/>
              </w:rPr>
            </w:pPr>
            <w:r w:rsidRPr="00701C69">
              <w:rPr>
                <w:rFonts w:asciiTheme="minorHAnsi" w:hAnsiTheme="minorHAnsi"/>
              </w:rPr>
              <w:t xml:space="preserve">Opt-outs are job seekers selected for the OEST who opted out of the trial before or after commencing and receive </w:t>
            </w:r>
            <w:r w:rsidRPr="00701C69">
              <w:rPr>
                <w:rFonts w:asciiTheme="minorHAnsi" w:eastAsia="Times New Roman" w:hAnsiTheme="minorHAnsi"/>
              </w:rPr>
              <w:t>provider-based jobactive employment services</w:t>
            </w:r>
            <w:r w:rsidRPr="00701C69">
              <w:rPr>
                <w:rFonts w:asciiTheme="minorHAnsi" w:hAnsiTheme="minorHAnsi"/>
              </w:rPr>
              <w:t>.</w:t>
            </w:r>
          </w:p>
        </w:tc>
      </w:tr>
      <w:bookmarkEnd w:id="8"/>
      <w:tr w:rsidR="00631BAD" w:rsidRPr="00701C69" w14:paraId="1922DA57" w14:textId="77777777" w:rsidTr="005576EA">
        <w:trPr>
          <w:cnfStyle w:val="000000010000" w:firstRow="0" w:lastRow="0" w:firstColumn="0" w:lastColumn="0" w:oddVBand="0" w:evenVBand="0" w:oddHBand="0" w:evenHBand="1"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190D25E" w14:textId="77777777" w:rsidR="00631BAD" w:rsidRPr="00701C69" w:rsidRDefault="00631BAD" w:rsidP="00AF5D20">
            <w:pPr>
              <w:pStyle w:val="Glossary"/>
              <w:jc w:val="left"/>
              <w:rPr>
                <w:rFonts w:asciiTheme="minorHAnsi" w:hAnsiTheme="minorHAnsi"/>
              </w:rPr>
            </w:pPr>
            <w:r w:rsidRPr="00701C69">
              <w:rPr>
                <w:rFonts w:asciiTheme="minorHAnsi" w:hAnsiTheme="minorHAnsi"/>
              </w:rPr>
              <w:t>RapidConnect</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BE346E0" w14:textId="4ED7476A" w:rsidR="00631BAD" w:rsidRPr="00701C69" w:rsidRDefault="00EE4EA7" w:rsidP="00AF5D20">
            <w:pPr>
              <w:pStyle w:val="Glossary"/>
              <w:jc w:val="left"/>
              <w:rPr>
                <w:rFonts w:asciiTheme="minorHAnsi" w:hAnsiTheme="minorHAnsi"/>
              </w:rPr>
            </w:pPr>
            <w:r w:rsidRPr="00701C69">
              <w:rPr>
                <w:rFonts w:asciiTheme="minorHAnsi" w:hAnsiTheme="minorHAnsi"/>
              </w:rPr>
              <w:t xml:space="preserve">RapidConnect </w:t>
            </w:r>
            <w:r w:rsidR="00D61155" w:rsidRPr="00701C69">
              <w:rPr>
                <w:rFonts w:asciiTheme="minorHAnsi" w:hAnsiTheme="minorHAnsi"/>
              </w:rPr>
              <w:t xml:space="preserve">was </w:t>
            </w:r>
            <w:r w:rsidRPr="00701C69">
              <w:rPr>
                <w:rFonts w:asciiTheme="minorHAnsi" w:hAnsiTheme="minorHAnsi"/>
              </w:rPr>
              <w:t>a Social Security policy that connect</w:t>
            </w:r>
            <w:r w:rsidR="00BC1625" w:rsidRPr="00701C69">
              <w:rPr>
                <w:rFonts w:asciiTheme="minorHAnsi" w:hAnsiTheme="minorHAnsi"/>
              </w:rPr>
              <w:t>ed</w:t>
            </w:r>
            <w:r w:rsidRPr="00701C69">
              <w:rPr>
                <w:rFonts w:asciiTheme="minorHAnsi" w:hAnsiTheme="minorHAnsi"/>
              </w:rPr>
              <w:t xml:space="preserve"> Newstart Allowance (now JobSeeker Payment) or Youth Allowance (Other) recipients with an employment service provider in a timely manner. </w:t>
            </w:r>
            <w:r w:rsidR="00D61155" w:rsidRPr="00701C69">
              <w:rPr>
                <w:rFonts w:asciiTheme="minorHAnsi" w:hAnsiTheme="minorHAnsi"/>
                <w:szCs w:val="28"/>
              </w:rPr>
              <w:t xml:space="preserve">Operating during the time of the evaluation period, </w:t>
            </w:r>
            <w:r w:rsidRPr="00701C69">
              <w:rPr>
                <w:rFonts w:asciiTheme="minorHAnsi" w:hAnsiTheme="minorHAnsi"/>
              </w:rPr>
              <w:t>RapidConnect typically require</w:t>
            </w:r>
            <w:r w:rsidR="00D61155" w:rsidRPr="00701C69">
              <w:rPr>
                <w:rFonts w:asciiTheme="minorHAnsi" w:hAnsiTheme="minorHAnsi"/>
              </w:rPr>
              <w:t>d</w:t>
            </w:r>
            <w:r w:rsidRPr="00701C69">
              <w:rPr>
                <w:rFonts w:asciiTheme="minorHAnsi" w:hAnsiTheme="minorHAnsi"/>
              </w:rPr>
              <w:t xml:space="preserve"> attendance at an initial appointment with an employment service provider within </w:t>
            </w:r>
            <w:r w:rsidR="004D7D73" w:rsidRPr="00701C69">
              <w:rPr>
                <w:rFonts w:asciiTheme="minorHAnsi" w:hAnsiTheme="minorHAnsi"/>
              </w:rPr>
              <w:t>two</w:t>
            </w:r>
            <w:r w:rsidRPr="00701C69">
              <w:rPr>
                <w:rFonts w:asciiTheme="minorHAnsi" w:hAnsiTheme="minorHAnsi"/>
              </w:rPr>
              <w:t xml:space="preserve"> working days of initial contact with </w:t>
            </w:r>
            <w:r w:rsidR="00FD58AF" w:rsidRPr="00701C69">
              <w:rPr>
                <w:rFonts w:asciiTheme="minorHAnsi" w:hAnsiTheme="minorHAnsi"/>
              </w:rPr>
              <w:t>Services Australia</w:t>
            </w:r>
            <w:r w:rsidRPr="00701C69">
              <w:rPr>
                <w:rFonts w:asciiTheme="minorHAnsi" w:hAnsiTheme="minorHAnsi"/>
              </w:rPr>
              <w:t>.</w:t>
            </w:r>
            <w:r w:rsidR="00D61155" w:rsidRPr="00701C69">
              <w:rPr>
                <w:rStyle w:val="FootnoteReference"/>
                <w:rFonts w:asciiTheme="minorHAnsi" w:hAnsiTheme="minorHAnsi"/>
              </w:rPr>
              <w:footnoteReference w:id="2"/>
            </w:r>
          </w:p>
        </w:tc>
      </w:tr>
      <w:tr w:rsidR="00631BAD" w:rsidRPr="00701C69" w14:paraId="5B5C24B7" w14:textId="77777777" w:rsidTr="005576EA">
        <w:trPr>
          <w:cnfStyle w:val="000000100000" w:firstRow="0" w:lastRow="0" w:firstColumn="0" w:lastColumn="0" w:oddVBand="0" w:evenVBand="0" w:oddHBand="1" w:evenHBand="0" w:firstRowFirstColumn="0" w:firstRowLastColumn="0" w:lastRowFirstColumn="0" w:lastRowLastColumn="0"/>
        </w:trPr>
        <w:tc>
          <w:tcPr>
            <w:tcW w:w="2977" w:type="dxa"/>
            <w:tcBorders>
              <w:top w:val="none" w:sz="0" w:space="0" w:color="auto"/>
              <w:left w:val="none" w:sz="0" w:space="0" w:color="auto"/>
              <w:bottom w:val="nil"/>
              <w:right w:val="none" w:sz="0" w:space="0" w:color="auto"/>
              <w:tl2br w:val="none" w:sz="0" w:space="0" w:color="auto"/>
              <w:tr2bl w:val="none" w:sz="0" w:space="0" w:color="auto"/>
            </w:tcBorders>
            <w:shd w:val="clear" w:color="auto" w:fill="D7D8D8"/>
            <w:vAlign w:val="center"/>
          </w:tcPr>
          <w:p w14:paraId="691F02B6" w14:textId="77777777" w:rsidR="00631BAD" w:rsidRPr="00701C69" w:rsidRDefault="00631BAD" w:rsidP="00AF5D20">
            <w:pPr>
              <w:pStyle w:val="Glossary"/>
              <w:jc w:val="left"/>
              <w:rPr>
                <w:rFonts w:asciiTheme="minorHAnsi" w:hAnsiTheme="minorHAnsi"/>
              </w:rPr>
            </w:pPr>
            <w:r w:rsidRPr="00701C69">
              <w:rPr>
                <w:rFonts w:asciiTheme="minorHAnsi" w:hAnsiTheme="minorHAnsi"/>
              </w:rPr>
              <w:t>Referrals</w:t>
            </w:r>
          </w:p>
        </w:tc>
        <w:tc>
          <w:tcPr>
            <w:tcW w:w="6095" w:type="dxa"/>
            <w:tcBorders>
              <w:top w:val="none" w:sz="0" w:space="0" w:color="auto"/>
              <w:left w:val="none" w:sz="0" w:space="0" w:color="auto"/>
              <w:bottom w:val="nil"/>
              <w:right w:val="none" w:sz="0" w:space="0" w:color="auto"/>
              <w:tl2br w:val="none" w:sz="0" w:space="0" w:color="auto"/>
              <w:tr2bl w:val="none" w:sz="0" w:space="0" w:color="auto"/>
            </w:tcBorders>
            <w:shd w:val="clear" w:color="auto" w:fill="D7D8D8"/>
            <w:vAlign w:val="center"/>
          </w:tcPr>
          <w:p w14:paraId="65B7E86A" w14:textId="43D644EE" w:rsidR="00631BAD" w:rsidRPr="00701C69" w:rsidRDefault="002A64EB" w:rsidP="00AF5D20">
            <w:pPr>
              <w:pStyle w:val="Glossary"/>
              <w:jc w:val="left"/>
              <w:rPr>
                <w:rFonts w:asciiTheme="minorHAnsi" w:hAnsiTheme="minorHAnsi"/>
              </w:rPr>
            </w:pPr>
            <w:r w:rsidRPr="00701C69">
              <w:rPr>
                <w:rFonts w:asciiTheme="minorHAnsi" w:hAnsiTheme="minorHAnsi"/>
              </w:rPr>
              <w:t xml:space="preserve">A referral is when a participant is referred to the OEST or jobactive prior to commencing in employment services. </w:t>
            </w:r>
          </w:p>
        </w:tc>
      </w:tr>
      <w:tr w:rsidR="00631BAD" w:rsidRPr="00701C69" w14:paraId="54813102" w14:textId="77777777" w:rsidTr="005576EA">
        <w:trPr>
          <w:cnfStyle w:val="000000010000" w:firstRow="0" w:lastRow="0" w:firstColumn="0" w:lastColumn="0" w:oddVBand="0" w:evenVBand="0" w:oddHBand="0" w:evenHBand="1"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8F96422" w14:textId="77777777" w:rsidR="00631BAD" w:rsidRPr="00701C69" w:rsidRDefault="00631BAD" w:rsidP="00AF5D20">
            <w:pPr>
              <w:pStyle w:val="Glossary"/>
              <w:jc w:val="left"/>
              <w:rPr>
                <w:rFonts w:asciiTheme="minorHAnsi" w:hAnsiTheme="minorHAnsi"/>
              </w:rPr>
            </w:pPr>
            <w:r w:rsidRPr="00701C69">
              <w:rPr>
                <w:rFonts w:asciiTheme="minorHAnsi" w:hAnsiTheme="minorHAnsi"/>
              </w:rPr>
              <w:lastRenderedPageBreak/>
              <w:t>Stream A (jobactive)</w:t>
            </w:r>
          </w:p>
        </w:tc>
        <w:tc>
          <w:tcPr>
            <w:tcW w:w="609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2835C86" w14:textId="51AC089F" w:rsidR="00631BAD" w:rsidRPr="00701C69" w:rsidRDefault="00631BAD" w:rsidP="00AF5D20">
            <w:pPr>
              <w:pStyle w:val="Glossary"/>
              <w:jc w:val="left"/>
              <w:rPr>
                <w:rFonts w:asciiTheme="minorHAnsi" w:hAnsiTheme="minorHAnsi"/>
              </w:rPr>
            </w:pPr>
            <w:r w:rsidRPr="00701C69">
              <w:rPr>
                <w:rFonts w:asciiTheme="minorHAnsi" w:hAnsiTheme="minorHAnsi"/>
              </w:rPr>
              <w:t xml:space="preserve">Stream A participants are the most </w:t>
            </w:r>
            <w:r w:rsidR="00A932B4" w:rsidRPr="00701C69">
              <w:rPr>
                <w:rFonts w:asciiTheme="minorHAnsi" w:hAnsiTheme="minorHAnsi"/>
              </w:rPr>
              <w:t>job</w:t>
            </w:r>
            <w:r w:rsidR="0001666F" w:rsidRPr="00701C69">
              <w:rPr>
                <w:rFonts w:asciiTheme="minorHAnsi" w:hAnsiTheme="minorHAnsi"/>
              </w:rPr>
              <w:t>-</w:t>
            </w:r>
            <w:r w:rsidRPr="00701C69">
              <w:rPr>
                <w:rFonts w:asciiTheme="minorHAnsi" w:hAnsiTheme="minorHAnsi"/>
              </w:rPr>
              <w:t>ready. They receive services to help them understand what employers want and how to navigate the local labour market, build résumés and look for jobs.</w:t>
            </w:r>
          </w:p>
        </w:tc>
      </w:tr>
      <w:tr w:rsidR="006E60BD" w:rsidRPr="00191F57" w14:paraId="34B1624F" w14:textId="77777777" w:rsidTr="005576EA">
        <w:trPr>
          <w:cnfStyle w:val="000000100000" w:firstRow="0" w:lastRow="0" w:firstColumn="0" w:lastColumn="0" w:oddVBand="0" w:evenVBand="0" w:oddHBand="1" w:evenHBand="0" w:firstRowFirstColumn="0" w:firstRowLastColumn="0" w:lastRowFirstColumn="0" w:lastRowLastColumn="0"/>
        </w:trPr>
        <w:tc>
          <w:tcPr>
            <w:tcW w:w="2977" w:type="dxa"/>
            <w:tcBorders>
              <w:top w:val="nil"/>
              <w:left w:val="none" w:sz="0" w:space="0" w:color="auto"/>
              <w:bottom w:val="single" w:sz="4" w:space="0" w:color="auto"/>
              <w:right w:val="none" w:sz="0" w:space="0" w:color="auto"/>
              <w:tl2br w:val="none" w:sz="0" w:space="0" w:color="auto"/>
              <w:tr2bl w:val="none" w:sz="0" w:space="0" w:color="auto"/>
            </w:tcBorders>
            <w:shd w:val="clear" w:color="auto" w:fill="D7D8D8"/>
            <w:vAlign w:val="center"/>
          </w:tcPr>
          <w:p w14:paraId="3DBE341E" w14:textId="77777777" w:rsidR="006E60BD" w:rsidRPr="00191F57" w:rsidRDefault="006E60BD" w:rsidP="00AF5D20">
            <w:pPr>
              <w:pStyle w:val="Glossary"/>
              <w:jc w:val="left"/>
            </w:pPr>
            <w:r w:rsidRPr="00191F57">
              <w:t>Study population</w:t>
            </w:r>
          </w:p>
        </w:tc>
        <w:tc>
          <w:tcPr>
            <w:tcW w:w="6095" w:type="dxa"/>
            <w:tcBorders>
              <w:top w:val="nil"/>
              <w:left w:val="none" w:sz="0" w:space="0" w:color="auto"/>
              <w:bottom w:val="single" w:sz="4" w:space="0" w:color="auto"/>
              <w:right w:val="none" w:sz="0" w:space="0" w:color="auto"/>
              <w:tl2br w:val="none" w:sz="0" w:space="0" w:color="auto"/>
              <w:tr2bl w:val="none" w:sz="0" w:space="0" w:color="auto"/>
            </w:tcBorders>
            <w:shd w:val="clear" w:color="auto" w:fill="D7D8D8"/>
            <w:vAlign w:val="center"/>
          </w:tcPr>
          <w:p w14:paraId="44E23253" w14:textId="77777777" w:rsidR="006E60BD" w:rsidRPr="00191F57" w:rsidRDefault="006E60BD" w:rsidP="00AF5D20">
            <w:pPr>
              <w:pStyle w:val="Glossary"/>
              <w:jc w:val="left"/>
            </w:pPr>
            <w:r w:rsidRPr="00191F57">
              <w:t>The study population is the primary population used in this report. It contains participants who commenced in the trial between 1 July </w:t>
            </w:r>
            <w:r w:rsidRPr="00191F57">
              <w:rPr>
                <w:lang w:val="en"/>
              </w:rPr>
              <w:t>2018 and end September 2019.</w:t>
            </w:r>
          </w:p>
        </w:tc>
      </w:tr>
    </w:tbl>
    <w:p w14:paraId="3BA2EA69" w14:textId="77777777" w:rsidR="006223AE" w:rsidRDefault="006223AE" w:rsidP="00F5462D">
      <w:pPr>
        <w:pStyle w:val="Heading1"/>
      </w:pPr>
      <w:bookmarkStart w:id="9" w:name="_Toc47520056"/>
      <w:bookmarkStart w:id="10" w:name="_Toc49256381"/>
      <w:bookmarkStart w:id="11" w:name="_Hlk52339728"/>
      <w:bookmarkEnd w:id="7"/>
    </w:p>
    <w:p w14:paraId="5F02F6E3" w14:textId="77777777" w:rsidR="006223AE" w:rsidRDefault="006223AE">
      <w:pPr>
        <w:spacing w:before="0" w:after="160" w:line="259" w:lineRule="auto"/>
        <w:rPr>
          <w:rFonts w:ascii="Calibri" w:eastAsiaTheme="majorEastAsia" w:hAnsi="Calibri" w:cstheme="majorBidi"/>
          <w:b/>
          <w:color w:val="343741"/>
          <w:sz w:val="32"/>
          <w:szCs w:val="32"/>
        </w:rPr>
      </w:pPr>
      <w:r>
        <w:br w:type="page"/>
      </w:r>
    </w:p>
    <w:p w14:paraId="04E9C066" w14:textId="74078194" w:rsidR="00A66D08" w:rsidRPr="00F71A22" w:rsidRDefault="00A66D08" w:rsidP="00F5462D">
      <w:pPr>
        <w:pStyle w:val="Heading1"/>
      </w:pPr>
      <w:bookmarkStart w:id="12" w:name="_Toc67042561"/>
      <w:r w:rsidRPr="00F71A22">
        <w:lastRenderedPageBreak/>
        <w:t xml:space="preserve">Executive </w:t>
      </w:r>
      <w:r w:rsidR="00AB0B37">
        <w:t>s</w:t>
      </w:r>
      <w:r w:rsidRPr="00F71A22">
        <w:t>ummary</w:t>
      </w:r>
      <w:bookmarkEnd w:id="9"/>
      <w:bookmarkEnd w:id="10"/>
      <w:bookmarkEnd w:id="12"/>
    </w:p>
    <w:p w14:paraId="54D3BCC6" w14:textId="77777777" w:rsidR="00803324" w:rsidRDefault="00A66D08" w:rsidP="00A66D08">
      <w:pPr>
        <w:pStyle w:val="Heading2"/>
      </w:pPr>
      <w:bookmarkStart w:id="13" w:name="_Toc47520057"/>
      <w:bookmarkStart w:id="14" w:name="_Toc49256382"/>
      <w:bookmarkStart w:id="15" w:name="_Toc67042562"/>
      <w:r w:rsidRPr="00F71A22">
        <w:t>About the Online Employment Service</w:t>
      </w:r>
      <w:r w:rsidR="00446F36" w:rsidRPr="00F71A22">
        <w:t>s</w:t>
      </w:r>
      <w:r w:rsidRPr="00F71A22">
        <w:t xml:space="preserve"> Trial</w:t>
      </w:r>
      <w:bookmarkEnd w:id="13"/>
      <w:bookmarkEnd w:id="14"/>
      <w:bookmarkEnd w:id="15"/>
    </w:p>
    <w:p w14:paraId="4996E39B" w14:textId="1C9680B1" w:rsidR="00A66D08" w:rsidRPr="00F71A22" w:rsidRDefault="00A66D08" w:rsidP="00A66D08">
      <w:pPr>
        <w:rPr>
          <w:lang w:val="en"/>
        </w:rPr>
      </w:pPr>
      <w:bookmarkStart w:id="16" w:name="_Hlk53135567"/>
      <w:r w:rsidRPr="00F71A22">
        <w:rPr>
          <w:lang w:val="en"/>
        </w:rPr>
        <w:t xml:space="preserve">The </w:t>
      </w:r>
      <w:r w:rsidR="00A42B6B" w:rsidRPr="00F71A22">
        <w:rPr>
          <w:lang w:val="en"/>
        </w:rPr>
        <w:t>Online Employment Services Trial (</w:t>
      </w:r>
      <w:r w:rsidRPr="00F71A22">
        <w:rPr>
          <w:lang w:val="en"/>
        </w:rPr>
        <w:t>OEST</w:t>
      </w:r>
      <w:r w:rsidR="00A42B6B" w:rsidRPr="00F71A22">
        <w:rPr>
          <w:lang w:val="en"/>
        </w:rPr>
        <w:t>)</w:t>
      </w:r>
      <w:r w:rsidRPr="00F71A22">
        <w:rPr>
          <w:lang w:val="en"/>
        </w:rPr>
        <w:t xml:space="preserve"> sought to test whether job seekers with </w:t>
      </w:r>
      <w:r w:rsidR="00E95AD9" w:rsidRPr="00F71A22">
        <w:rPr>
          <w:lang w:val="en"/>
        </w:rPr>
        <w:t>M</w:t>
      </w:r>
      <w:r w:rsidRPr="00F71A22">
        <w:rPr>
          <w:lang w:val="en"/>
        </w:rPr>
        <w:t xml:space="preserve">utual </w:t>
      </w:r>
      <w:r w:rsidR="00E95AD9" w:rsidRPr="00F71A22">
        <w:rPr>
          <w:lang w:val="en"/>
        </w:rPr>
        <w:t>O</w:t>
      </w:r>
      <w:r w:rsidRPr="00F71A22">
        <w:rPr>
          <w:lang w:val="en"/>
        </w:rPr>
        <w:t xml:space="preserve">bligation </w:t>
      </w:r>
      <w:r w:rsidR="00E95AD9" w:rsidRPr="00F71A22">
        <w:rPr>
          <w:lang w:val="en"/>
        </w:rPr>
        <w:t>R</w:t>
      </w:r>
      <w:r w:rsidRPr="00F71A22">
        <w:rPr>
          <w:lang w:val="en"/>
        </w:rPr>
        <w:t xml:space="preserve">equirements </w:t>
      </w:r>
      <w:r w:rsidR="009940F4" w:rsidRPr="00F71A22">
        <w:rPr>
          <w:lang w:val="en"/>
        </w:rPr>
        <w:t xml:space="preserve">(MORs) </w:t>
      </w:r>
      <w:r w:rsidRPr="00F71A22">
        <w:rPr>
          <w:lang w:val="en"/>
        </w:rPr>
        <w:t>receiving employment services assistance through jobactive could effectively self-</w:t>
      </w:r>
      <w:r w:rsidR="000C0638" w:rsidRPr="00F71A22">
        <w:rPr>
          <w:lang w:val="en"/>
        </w:rPr>
        <w:t>manage</w:t>
      </w:r>
      <w:r w:rsidR="00991D59" w:rsidRPr="00F71A22">
        <w:rPr>
          <w:lang w:val="en"/>
        </w:rPr>
        <w:t xml:space="preserve"> using an online platform. This included </w:t>
      </w:r>
      <w:r w:rsidRPr="00F71A22">
        <w:rPr>
          <w:lang w:val="en"/>
        </w:rPr>
        <w:t>undertaking job search and meeting their MORs</w:t>
      </w:r>
      <w:r w:rsidR="009940F4" w:rsidRPr="00F71A22">
        <w:rPr>
          <w:lang w:val="en"/>
        </w:rPr>
        <w:t>.</w:t>
      </w:r>
    </w:p>
    <w:bookmarkEnd w:id="16"/>
    <w:p w14:paraId="79B2E0BE" w14:textId="77777777" w:rsidR="00803324" w:rsidRDefault="00FF102D" w:rsidP="00A66D08">
      <w:r w:rsidRPr="00F71A22">
        <w:rPr>
          <w:lang w:val="en"/>
        </w:rPr>
        <w:t xml:space="preserve">The </w:t>
      </w:r>
      <w:r w:rsidR="00A66D08" w:rsidRPr="00F71A22">
        <w:rPr>
          <w:lang w:val="en"/>
        </w:rPr>
        <w:t xml:space="preserve">OEST was offered </w:t>
      </w:r>
      <w:r w:rsidR="00A66D08" w:rsidRPr="00F71A22">
        <w:t xml:space="preserve">for a maximum of </w:t>
      </w:r>
      <w:r w:rsidR="00F268EF">
        <w:t>six</w:t>
      </w:r>
      <w:r w:rsidR="00A66D08" w:rsidRPr="00F71A22">
        <w:t xml:space="preserve"> months</w:t>
      </w:r>
      <w:r w:rsidR="00A66D08" w:rsidRPr="00F71A22">
        <w:rPr>
          <w:lang w:val="en"/>
        </w:rPr>
        <w:t xml:space="preserve"> to job seekers who were considered </w:t>
      </w:r>
      <w:r w:rsidR="00627004">
        <w:rPr>
          <w:lang w:val="en"/>
        </w:rPr>
        <w:t xml:space="preserve">the </w:t>
      </w:r>
      <w:r w:rsidR="00A66D08" w:rsidRPr="00F71A22">
        <w:rPr>
          <w:lang w:val="en"/>
        </w:rPr>
        <w:t xml:space="preserve">most </w:t>
      </w:r>
      <w:r w:rsidR="00A932B4">
        <w:rPr>
          <w:lang w:val="en"/>
        </w:rPr>
        <w:t>job</w:t>
      </w:r>
      <w:r w:rsidR="0001666F">
        <w:rPr>
          <w:lang w:val="en"/>
        </w:rPr>
        <w:t>-</w:t>
      </w:r>
      <w:r w:rsidR="00A932B4">
        <w:rPr>
          <w:lang w:val="en"/>
        </w:rPr>
        <w:t>ready</w:t>
      </w:r>
      <w:r w:rsidR="00A66D08" w:rsidRPr="00F71A22">
        <w:rPr>
          <w:lang w:val="en"/>
        </w:rPr>
        <w:t xml:space="preserve"> and who did not require any specialised assistance</w:t>
      </w:r>
      <w:r w:rsidR="00A66D08" w:rsidRPr="00F71A22">
        <w:t xml:space="preserve">. </w:t>
      </w:r>
      <w:r w:rsidR="00D64A6F" w:rsidRPr="00F71A22">
        <w:t>P</w:t>
      </w:r>
      <w:r w:rsidR="00A66D08" w:rsidRPr="00F71A22">
        <w:t xml:space="preserve">articipants </w:t>
      </w:r>
      <w:r w:rsidR="00C02CFA" w:rsidRPr="00F71A22">
        <w:t>agreed to</w:t>
      </w:r>
      <w:r w:rsidR="00A66D08" w:rsidRPr="00F71A22">
        <w:t xml:space="preserve"> an online Job Plan designed to help them meet their </w:t>
      </w:r>
      <w:r w:rsidR="00703B43" w:rsidRPr="00F71A22">
        <w:t>MORs</w:t>
      </w:r>
      <w:r w:rsidR="00446F36" w:rsidRPr="00F71A22">
        <w:t xml:space="preserve"> and accessed the jobactive website to search for jobs and report their job search efforts online.</w:t>
      </w:r>
    </w:p>
    <w:p w14:paraId="016273F0" w14:textId="59FDD3CA" w:rsidR="00AB0B37" w:rsidRDefault="00AB0B37" w:rsidP="00AB0B37">
      <w:bookmarkStart w:id="17" w:name="_Toc47520059"/>
      <w:bookmarkStart w:id="18" w:name="_Toc49256384"/>
      <w:r>
        <w:t>Unlike those in provider-based servicing, OEST participants we</w:t>
      </w:r>
      <w:r w:rsidRPr="00EA517E">
        <w:t xml:space="preserve">re </w:t>
      </w:r>
      <w:r w:rsidRPr="001261D9">
        <w:rPr>
          <w:b/>
        </w:rPr>
        <w:t>not</w:t>
      </w:r>
      <w:r w:rsidRPr="00EA517E">
        <w:t xml:space="preserve"> matched with an employment service provider</w:t>
      </w:r>
      <w:r>
        <w:t>;</w:t>
      </w:r>
      <w:r w:rsidRPr="00EA517E">
        <w:t xml:space="preserve"> </w:t>
      </w:r>
      <w:r>
        <w:t>nor</w:t>
      </w:r>
      <w:r w:rsidRPr="00EA517E">
        <w:t xml:space="preserve"> </w:t>
      </w:r>
      <w:r>
        <w:t xml:space="preserve">were they </w:t>
      </w:r>
      <w:r w:rsidRPr="00EA517E">
        <w:t>required to attend appointments</w:t>
      </w:r>
      <w:r>
        <w:t>. However, participants</w:t>
      </w:r>
      <w:r w:rsidRPr="00EA517E">
        <w:t xml:space="preserve"> </w:t>
      </w:r>
      <w:r>
        <w:t>could</w:t>
      </w:r>
      <w:r w:rsidRPr="00EA517E">
        <w:t xml:space="preserve"> opt out of </w:t>
      </w:r>
      <w:r>
        <w:t>OEST and transfer</w:t>
      </w:r>
      <w:r w:rsidRPr="00EA517E">
        <w:t xml:space="preserve"> to </w:t>
      </w:r>
      <w:r>
        <w:t xml:space="preserve">jobactive provider-based </w:t>
      </w:r>
      <w:r w:rsidRPr="00EA517E">
        <w:t>servic</w:t>
      </w:r>
      <w:r>
        <w:t>es</w:t>
      </w:r>
      <w:r w:rsidRPr="00EA517E">
        <w:t xml:space="preserve"> at any time by contacting the National Custo</w:t>
      </w:r>
      <w:r>
        <w:t xml:space="preserve">mer Service Line (NCSL) of the Department of Education, Skills and Employment (the department). </w:t>
      </w:r>
      <w:r w:rsidRPr="00064752">
        <w:t xml:space="preserve">Participants who had not left the service within </w:t>
      </w:r>
      <w:r w:rsidR="00F268EF">
        <w:t>six</w:t>
      </w:r>
      <w:r>
        <w:t> </w:t>
      </w:r>
      <w:r w:rsidRPr="00064752">
        <w:t>months</w:t>
      </w:r>
      <w:r>
        <w:t xml:space="preserve"> were</w:t>
      </w:r>
      <w:r w:rsidRPr="00EA517E">
        <w:t xml:space="preserve"> </w:t>
      </w:r>
      <w:r>
        <w:t>transferred</w:t>
      </w:r>
      <w:r w:rsidRPr="00EA517E">
        <w:t xml:space="preserve"> </w:t>
      </w:r>
      <w:r>
        <w:t xml:space="preserve">from the OEST </w:t>
      </w:r>
      <w:r w:rsidRPr="00EA517E">
        <w:t xml:space="preserve">to </w:t>
      </w:r>
      <w:r>
        <w:t xml:space="preserve">provider-based </w:t>
      </w:r>
      <w:r w:rsidRPr="00EA517E">
        <w:t>services.</w:t>
      </w:r>
    </w:p>
    <w:p w14:paraId="7101392F" w14:textId="0FF790B8" w:rsidR="00A66D08" w:rsidRDefault="00A66D08" w:rsidP="00A66D08">
      <w:pPr>
        <w:pStyle w:val="Heading2"/>
      </w:pPr>
      <w:bookmarkStart w:id="19" w:name="_Toc67042563"/>
      <w:r w:rsidRPr="00F71A22">
        <w:t xml:space="preserve">Key </w:t>
      </w:r>
      <w:r w:rsidR="00AB0B37">
        <w:t>f</w:t>
      </w:r>
      <w:r w:rsidRPr="00F71A22">
        <w:t>indings</w:t>
      </w:r>
      <w:bookmarkEnd w:id="17"/>
      <w:bookmarkEnd w:id="18"/>
      <w:bookmarkEnd w:id="19"/>
    </w:p>
    <w:p w14:paraId="56FBAC1F" w14:textId="77777777" w:rsidR="00A66D08" w:rsidRPr="00F71A22" w:rsidRDefault="00A66D08" w:rsidP="00BD5333">
      <w:pPr>
        <w:pStyle w:val="Heading3"/>
      </w:pPr>
      <w:bookmarkStart w:id="20" w:name="_Toc47520060"/>
      <w:bookmarkStart w:id="21" w:name="_Toc67042564"/>
      <w:r w:rsidRPr="00F71A22">
        <w:t>Efficiency</w:t>
      </w:r>
      <w:bookmarkEnd w:id="20"/>
      <w:bookmarkEnd w:id="21"/>
    </w:p>
    <w:p w14:paraId="2EFECE6F" w14:textId="77777777" w:rsidR="00ED3569" w:rsidRPr="00075283" w:rsidRDefault="00ED3569" w:rsidP="007158E1">
      <w:pPr>
        <w:pStyle w:val="ListBullet"/>
        <w:rPr>
          <w:bCs/>
        </w:rPr>
      </w:pPr>
      <w:bookmarkStart w:id="22" w:name="_Toc47520061"/>
      <w:r w:rsidRPr="00142EF1">
        <w:t xml:space="preserve">OEST participants commenced services </w:t>
      </w:r>
      <w:r>
        <w:t>more quickly than the comparison group.</w:t>
      </w:r>
      <w:r>
        <w:rPr>
          <w:b/>
          <w:bCs/>
        </w:rPr>
        <w:t xml:space="preserve"> S</w:t>
      </w:r>
      <w:r w:rsidRPr="00F621AF">
        <w:rPr>
          <w:b/>
          <w:bCs/>
        </w:rPr>
        <w:t>ixt</w:t>
      </w:r>
      <w:r>
        <w:rPr>
          <w:b/>
          <w:bCs/>
        </w:rPr>
        <w:t>y</w:t>
      </w:r>
      <w:r>
        <w:rPr>
          <w:b/>
          <w:bCs/>
        </w:rPr>
        <w:noBreakHyphen/>
      </w:r>
      <w:r w:rsidRPr="00F621AF">
        <w:rPr>
          <w:b/>
          <w:bCs/>
        </w:rPr>
        <w:t>two</w:t>
      </w:r>
      <w:r>
        <w:rPr>
          <w:b/>
          <w:bCs/>
        </w:rPr>
        <w:t> </w:t>
      </w:r>
      <w:r w:rsidRPr="00F621AF">
        <w:rPr>
          <w:b/>
          <w:bCs/>
        </w:rPr>
        <w:t>per</w:t>
      </w:r>
      <w:r>
        <w:rPr>
          <w:b/>
          <w:bCs/>
        </w:rPr>
        <w:t> </w:t>
      </w:r>
      <w:r w:rsidRPr="00F621AF">
        <w:rPr>
          <w:b/>
          <w:bCs/>
        </w:rPr>
        <w:t>cent</w:t>
      </w:r>
      <w:r>
        <w:t xml:space="preserve"> of OEST participants commenced employment services on the day they were referred, compared to </w:t>
      </w:r>
      <w:r w:rsidRPr="00F621AF">
        <w:rPr>
          <w:b/>
          <w:bCs/>
        </w:rPr>
        <w:t>10</w:t>
      </w:r>
      <w:r>
        <w:rPr>
          <w:b/>
          <w:bCs/>
        </w:rPr>
        <w:t>%</w:t>
      </w:r>
      <w:r>
        <w:t xml:space="preserve"> of the comparison group.</w:t>
      </w:r>
    </w:p>
    <w:p w14:paraId="00424FFF" w14:textId="2B3C349A" w:rsidR="00ED3569" w:rsidRPr="000F5F3D" w:rsidRDefault="00627004" w:rsidP="007158E1">
      <w:pPr>
        <w:pStyle w:val="ListBullet"/>
        <w:rPr>
          <w:bCs/>
        </w:rPr>
      </w:pPr>
      <w:r>
        <w:t>Fewer than on</w:t>
      </w:r>
      <w:r w:rsidR="00293955">
        <w:t>e</w:t>
      </w:r>
      <w:r>
        <w:t xml:space="preserve"> in 10</w:t>
      </w:r>
      <w:r w:rsidRPr="000F5F3D">
        <w:t xml:space="preserve"> </w:t>
      </w:r>
      <w:r w:rsidR="00ED3569" w:rsidRPr="000F5F3D">
        <w:t>OEST participants (</w:t>
      </w:r>
      <w:r w:rsidR="00ED3569" w:rsidRPr="000F5F3D">
        <w:rPr>
          <w:b/>
          <w:bCs/>
        </w:rPr>
        <w:t>9.3</w:t>
      </w:r>
      <w:r w:rsidR="00ED3569">
        <w:rPr>
          <w:b/>
          <w:bCs/>
        </w:rPr>
        <w:t>%</w:t>
      </w:r>
      <w:r w:rsidR="00ED3569" w:rsidRPr="000F5F3D">
        <w:t>) opted</w:t>
      </w:r>
      <w:r w:rsidR="00ED3569">
        <w:t xml:space="preserve"> </w:t>
      </w:r>
      <w:r w:rsidR="00ED3569" w:rsidRPr="000F5F3D">
        <w:t xml:space="preserve">out of the OEST, either before or after commencement in </w:t>
      </w:r>
      <w:r w:rsidR="00ED3569" w:rsidRPr="0094094B">
        <w:t>the trial</w:t>
      </w:r>
      <w:r w:rsidR="00ED3569" w:rsidRPr="000F5F3D">
        <w:t xml:space="preserve">, with </w:t>
      </w:r>
      <w:r w:rsidR="00ED3569" w:rsidRPr="000F5F3D">
        <w:rPr>
          <w:b/>
        </w:rPr>
        <w:t>3.8</w:t>
      </w:r>
      <w:r w:rsidR="00ED3569">
        <w:rPr>
          <w:b/>
        </w:rPr>
        <w:t>%</w:t>
      </w:r>
      <w:r w:rsidR="00ED3569" w:rsidRPr="000F5F3D">
        <w:t xml:space="preserve"> opting out before commencement and </w:t>
      </w:r>
      <w:r w:rsidR="00ED3569" w:rsidRPr="000F5F3D">
        <w:rPr>
          <w:b/>
        </w:rPr>
        <w:t>5.5</w:t>
      </w:r>
      <w:r w:rsidR="00ED3569">
        <w:rPr>
          <w:b/>
        </w:rPr>
        <w:t>%</w:t>
      </w:r>
      <w:r w:rsidR="00ED3569" w:rsidRPr="000F5F3D">
        <w:t xml:space="preserve"> opting out after commencement. The</w:t>
      </w:r>
      <w:r w:rsidR="00ED3569">
        <w:t xml:space="preserve"> main reasons job seekers expressed for opting out of the trial after commencement were a preference for</w:t>
      </w:r>
      <w:r w:rsidR="00ED3569" w:rsidRPr="000F5F3D">
        <w:t xml:space="preserve"> face-to-face servicing (</w:t>
      </w:r>
      <w:r w:rsidR="00ED3569" w:rsidRPr="000F5F3D">
        <w:rPr>
          <w:b/>
          <w:bCs/>
        </w:rPr>
        <w:t>49</w:t>
      </w:r>
      <w:r w:rsidR="00ED3569">
        <w:rPr>
          <w:b/>
        </w:rPr>
        <w:t>%</w:t>
      </w:r>
      <w:r w:rsidR="00ED3569" w:rsidRPr="000F5F3D">
        <w:t xml:space="preserve">) </w:t>
      </w:r>
      <w:r w:rsidR="00ED3569">
        <w:t>and</w:t>
      </w:r>
      <w:r w:rsidR="00ED3569" w:rsidRPr="000F5F3D">
        <w:t xml:space="preserve"> </w:t>
      </w:r>
      <w:r w:rsidR="00ED3569">
        <w:t>a lack of</w:t>
      </w:r>
      <w:r w:rsidR="00ED3569" w:rsidRPr="000F5F3D">
        <w:t xml:space="preserve"> confidence in, or difficulty with, using computers or the internet (</w:t>
      </w:r>
      <w:r w:rsidR="00ED3569" w:rsidRPr="000F5F3D">
        <w:rPr>
          <w:b/>
          <w:bCs/>
        </w:rPr>
        <w:t>12</w:t>
      </w:r>
      <w:r w:rsidR="00ED3569">
        <w:rPr>
          <w:b/>
          <w:bCs/>
        </w:rPr>
        <w:t>%</w:t>
      </w:r>
      <w:r w:rsidR="00ED3569" w:rsidRPr="000F5F3D">
        <w:t>).</w:t>
      </w:r>
    </w:p>
    <w:p w14:paraId="0B038AAF" w14:textId="77777777" w:rsidR="00ED3569" w:rsidRPr="008D0FC2" w:rsidRDefault="00ED3569" w:rsidP="007158E1">
      <w:pPr>
        <w:pStyle w:val="ListBullet"/>
      </w:pPr>
      <w:r w:rsidRPr="008D0FC2">
        <w:t>Opt-out rates were</w:t>
      </w:r>
      <w:r w:rsidRPr="008D0FC2">
        <w:rPr>
          <w:color w:val="FF0000"/>
        </w:rPr>
        <w:t xml:space="preserve"> </w:t>
      </w:r>
      <w:r w:rsidRPr="008D0FC2">
        <w:t>notably higher for participants aged 50 years or older</w:t>
      </w:r>
      <w:r>
        <w:t xml:space="preserve">, both </w:t>
      </w:r>
      <w:r w:rsidRPr="008D0FC2">
        <w:t>prior to commencement</w:t>
      </w:r>
      <w:r>
        <w:t xml:space="preserve"> </w:t>
      </w:r>
      <w:r w:rsidRPr="008D0FC2">
        <w:t>(</w:t>
      </w:r>
      <w:r w:rsidRPr="008D0FC2">
        <w:rPr>
          <w:b/>
        </w:rPr>
        <w:t>12</w:t>
      </w:r>
      <w:r>
        <w:rPr>
          <w:b/>
        </w:rPr>
        <w:t>%</w:t>
      </w:r>
      <w:r w:rsidRPr="008D0FC2">
        <w:t>) and after commencement</w:t>
      </w:r>
      <w:r>
        <w:t xml:space="preserve"> </w:t>
      </w:r>
      <w:r w:rsidRPr="008D0FC2">
        <w:t>(</w:t>
      </w:r>
      <w:r w:rsidRPr="008D0FC2">
        <w:rPr>
          <w:b/>
          <w:bCs/>
        </w:rPr>
        <w:t>9.8</w:t>
      </w:r>
      <w:r>
        <w:rPr>
          <w:b/>
          <w:bCs/>
        </w:rPr>
        <w:t>%</w:t>
      </w:r>
      <w:r w:rsidRPr="008D0FC2">
        <w:t>).</w:t>
      </w:r>
      <w:r>
        <w:t xml:space="preserve"> Participants without Year 12 and those living in outer regional areas also had higher opt-out rates.</w:t>
      </w:r>
    </w:p>
    <w:p w14:paraId="21EC1306" w14:textId="77777777" w:rsidR="00ED3569" w:rsidRDefault="00ED3569" w:rsidP="007158E1">
      <w:pPr>
        <w:pStyle w:val="ListBullet"/>
        <w:rPr>
          <w:bCs/>
        </w:rPr>
      </w:pPr>
      <w:r w:rsidRPr="002B35EC">
        <w:lastRenderedPageBreak/>
        <w:t xml:space="preserve">The majority of </w:t>
      </w:r>
      <w:r>
        <w:t xml:space="preserve">OEST participants were satisfied with the jobactive website </w:t>
      </w:r>
      <w:r w:rsidRPr="0078049B">
        <w:t>(</w:t>
      </w:r>
      <w:r>
        <w:rPr>
          <w:b/>
        </w:rPr>
        <w:t>80%</w:t>
      </w:r>
      <w:r w:rsidRPr="002B35EC">
        <w:t xml:space="preserve">) </w:t>
      </w:r>
      <w:r>
        <w:t>and found the website functionality easy to u</w:t>
      </w:r>
      <w:r w:rsidRPr="003D7EF0">
        <w:t>se</w:t>
      </w:r>
      <w:r>
        <w:t xml:space="preserve"> (</w:t>
      </w:r>
      <w:r>
        <w:rPr>
          <w:b/>
        </w:rPr>
        <w:t>83%)</w:t>
      </w:r>
      <w:r w:rsidRPr="00D62732">
        <w:t>.</w:t>
      </w:r>
    </w:p>
    <w:p w14:paraId="57611EC3" w14:textId="2693CE0D" w:rsidR="00627004" w:rsidRPr="0062258F" w:rsidRDefault="00ED3569" w:rsidP="007158E1">
      <w:pPr>
        <w:pStyle w:val="ListBullet"/>
      </w:pPr>
      <w:r w:rsidRPr="00AE3436">
        <w:t>OEST participants were as likely to incur no job search related demerit points as those in provider servicing.</w:t>
      </w:r>
    </w:p>
    <w:p w14:paraId="59CD6534" w14:textId="77777777" w:rsidR="00A66D08" w:rsidRPr="00F71A22" w:rsidRDefault="00A66D08" w:rsidP="00BD5333">
      <w:pPr>
        <w:pStyle w:val="Heading3"/>
      </w:pPr>
      <w:bookmarkStart w:id="23" w:name="_Toc67042565"/>
      <w:r w:rsidRPr="00F71A22">
        <w:t>Effectiveness</w:t>
      </w:r>
      <w:bookmarkEnd w:id="22"/>
      <w:bookmarkEnd w:id="23"/>
    </w:p>
    <w:p w14:paraId="5E6FB1EC" w14:textId="77777777" w:rsidR="00803324" w:rsidRDefault="00ED3569" w:rsidP="00741A91">
      <w:pPr>
        <w:pStyle w:val="ListBullet"/>
      </w:pPr>
      <w:r w:rsidRPr="007432A5">
        <w:t xml:space="preserve">OEST participants in the quantitative research indicated </w:t>
      </w:r>
      <w:r w:rsidRPr="007432A5">
        <w:rPr>
          <w:iCs/>
        </w:rPr>
        <w:t>higher</w:t>
      </w:r>
      <w:r w:rsidRPr="007432A5">
        <w:t xml:space="preserve"> levels of confidence than did those in the comparison group that the assistance they received would help them secure employment.</w:t>
      </w:r>
    </w:p>
    <w:p w14:paraId="2D3F16CD" w14:textId="5CFACB49" w:rsidR="00ED3569" w:rsidRDefault="00ED3569" w:rsidP="00741A91">
      <w:pPr>
        <w:pStyle w:val="ListBullet"/>
      </w:pPr>
      <w:r>
        <w:t xml:space="preserve">Over two-thirds of OEST participants in a longitudinal survey agreed that </w:t>
      </w:r>
      <w:r w:rsidRPr="00DC2F2C">
        <w:t xml:space="preserve">their skills in using the internet for job searches and applications </w:t>
      </w:r>
      <w:r>
        <w:t>had</w:t>
      </w:r>
      <w:r w:rsidRPr="00DC2F2C">
        <w:t xml:space="preserve"> increased (</w:t>
      </w:r>
      <w:r w:rsidRPr="0063219B">
        <w:rPr>
          <w:b/>
        </w:rPr>
        <w:t>70</w:t>
      </w:r>
      <w:r>
        <w:rPr>
          <w:b/>
        </w:rPr>
        <w:t>%</w:t>
      </w:r>
      <w:r w:rsidRPr="00DC2F2C">
        <w:t>)</w:t>
      </w:r>
      <w:r>
        <w:t xml:space="preserve"> together with </w:t>
      </w:r>
      <w:r w:rsidRPr="00DC2F2C">
        <w:t>their job</w:t>
      </w:r>
      <w:r w:rsidR="00E06674">
        <w:t>-</w:t>
      </w:r>
      <w:r w:rsidRPr="00DC2F2C">
        <w:t>seeking skills (</w:t>
      </w:r>
      <w:r w:rsidRPr="0063219B">
        <w:rPr>
          <w:b/>
        </w:rPr>
        <w:t>68</w:t>
      </w:r>
      <w:r>
        <w:rPr>
          <w:b/>
        </w:rPr>
        <w:t>%</w:t>
      </w:r>
      <w:r>
        <w:t>).</w:t>
      </w:r>
    </w:p>
    <w:p w14:paraId="685A8E36" w14:textId="77777777" w:rsidR="00ED3569" w:rsidRPr="000B5F1E" w:rsidRDefault="00ED3569" w:rsidP="00741A91">
      <w:pPr>
        <w:pStyle w:val="ListBullet"/>
      </w:pPr>
      <w:r>
        <w:t>OEST participants were more likely to report that their employment services were improving their chances of getting a job than the comparison group (</w:t>
      </w:r>
      <w:r w:rsidRPr="0078049B">
        <w:rPr>
          <w:b/>
        </w:rPr>
        <w:t>63</w:t>
      </w:r>
      <w:r>
        <w:rPr>
          <w:b/>
        </w:rPr>
        <w:t>%</w:t>
      </w:r>
      <w:r>
        <w:t xml:space="preserve"> </w:t>
      </w:r>
      <w:r w:rsidRPr="0094094B">
        <w:rPr>
          <w:bCs/>
        </w:rPr>
        <w:t>versus</w:t>
      </w:r>
      <w:r w:rsidRPr="0078049B">
        <w:rPr>
          <w:b/>
        </w:rPr>
        <w:t xml:space="preserve"> 46</w:t>
      </w:r>
      <w:r>
        <w:rPr>
          <w:b/>
        </w:rPr>
        <w:t>%</w:t>
      </w:r>
      <w:r>
        <w:t>).</w:t>
      </w:r>
    </w:p>
    <w:p w14:paraId="750EA25A" w14:textId="151FA3AC" w:rsidR="00ED3569" w:rsidRPr="00C70DDA" w:rsidRDefault="00ED3569" w:rsidP="00741A91">
      <w:pPr>
        <w:pStyle w:val="ListBullet"/>
        <w:rPr>
          <w:lang w:val="en"/>
        </w:rPr>
      </w:pPr>
      <w:r w:rsidRPr="000B5F1E">
        <w:rPr>
          <w:lang w:val="en"/>
        </w:rPr>
        <w:t>OEST</w:t>
      </w:r>
      <w:r>
        <w:rPr>
          <w:lang w:val="en"/>
        </w:rPr>
        <w:t xml:space="preserve"> participants</w:t>
      </w:r>
      <w:r w:rsidRPr="000B5F1E">
        <w:rPr>
          <w:lang w:val="en"/>
        </w:rPr>
        <w:t xml:space="preserve"> were </w:t>
      </w:r>
      <w:r>
        <w:rPr>
          <w:lang w:val="en"/>
        </w:rPr>
        <w:t>as</w:t>
      </w:r>
      <w:r w:rsidRPr="000B5F1E">
        <w:rPr>
          <w:lang w:val="en"/>
        </w:rPr>
        <w:t xml:space="preserve"> </w:t>
      </w:r>
      <w:r w:rsidRPr="00DA4868">
        <w:rPr>
          <w:lang w:val="en"/>
        </w:rPr>
        <w:t>likely to</w:t>
      </w:r>
      <w:r w:rsidRPr="000B5F1E">
        <w:rPr>
          <w:lang w:val="en"/>
        </w:rPr>
        <w:t xml:space="preserve"> exit </w:t>
      </w:r>
      <w:r>
        <w:rPr>
          <w:lang w:val="en"/>
        </w:rPr>
        <w:t xml:space="preserve">income support and </w:t>
      </w:r>
      <w:r w:rsidRPr="000B5F1E">
        <w:rPr>
          <w:lang w:val="en"/>
        </w:rPr>
        <w:t xml:space="preserve">employment services within </w:t>
      </w:r>
      <w:r w:rsidR="00F268EF">
        <w:rPr>
          <w:lang w:val="en"/>
        </w:rPr>
        <w:t>six</w:t>
      </w:r>
      <w:r>
        <w:rPr>
          <w:lang w:val="en"/>
        </w:rPr>
        <w:t> </w:t>
      </w:r>
      <w:r w:rsidRPr="000B5F1E">
        <w:rPr>
          <w:lang w:val="en"/>
        </w:rPr>
        <w:t xml:space="preserve">months </w:t>
      </w:r>
      <w:r>
        <w:rPr>
          <w:lang w:val="en"/>
        </w:rPr>
        <w:t xml:space="preserve">of commencement as </w:t>
      </w:r>
      <w:r w:rsidRPr="000B5F1E">
        <w:rPr>
          <w:lang w:val="en"/>
        </w:rPr>
        <w:t xml:space="preserve">those receiving </w:t>
      </w:r>
      <w:r>
        <w:rPr>
          <w:lang w:val="en"/>
        </w:rPr>
        <w:t>provider-based</w:t>
      </w:r>
      <w:r w:rsidRPr="000B5F1E">
        <w:rPr>
          <w:lang w:val="en"/>
        </w:rPr>
        <w:t xml:space="preserve"> servic</w:t>
      </w:r>
      <w:r>
        <w:rPr>
          <w:lang w:val="en"/>
        </w:rPr>
        <w:t>es (</w:t>
      </w:r>
      <w:r w:rsidRPr="00485BF3">
        <w:rPr>
          <w:b/>
          <w:lang w:val="en"/>
        </w:rPr>
        <w:t>5</w:t>
      </w:r>
      <w:r w:rsidRPr="00D62732">
        <w:rPr>
          <w:b/>
          <w:lang w:val="en"/>
        </w:rPr>
        <w:t>0</w:t>
      </w:r>
      <w:r>
        <w:rPr>
          <w:b/>
          <w:lang w:val="en"/>
        </w:rPr>
        <w:t>%</w:t>
      </w:r>
      <w:r w:rsidRPr="00D62732">
        <w:rPr>
          <w:b/>
          <w:lang w:val="en"/>
        </w:rPr>
        <w:t xml:space="preserve"> </w:t>
      </w:r>
      <w:r>
        <w:rPr>
          <w:bCs/>
          <w:lang w:val="en"/>
        </w:rPr>
        <w:t>versus</w:t>
      </w:r>
      <w:r w:rsidRPr="00D62732">
        <w:rPr>
          <w:b/>
          <w:lang w:val="en"/>
        </w:rPr>
        <w:t xml:space="preserve"> 52</w:t>
      </w:r>
      <w:r>
        <w:rPr>
          <w:b/>
          <w:lang w:val="en"/>
        </w:rPr>
        <w:t>%</w:t>
      </w:r>
      <w:r>
        <w:rPr>
          <w:lang w:val="en"/>
        </w:rPr>
        <w:t xml:space="preserve"> and </w:t>
      </w:r>
      <w:r w:rsidRPr="00901BF9">
        <w:rPr>
          <w:b/>
          <w:bCs/>
          <w:lang w:val="en"/>
        </w:rPr>
        <w:t>47</w:t>
      </w:r>
      <w:r>
        <w:rPr>
          <w:b/>
          <w:bCs/>
          <w:lang w:val="en"/>
        </w:rPr>
        <w:t xml:space="preserve">% </w:t>
      </w:r>
      <w:r>
        <w:rPr>
          <w:lang w:val="en"/>
        </w:rPr>
        <w:t>versus</w:t>
      </w:r>
      <w:r>
        <w:rPr>
          <w:b/>
          <w:bCs/>
          <w:lang w:val="en"/>
        </w:rPr>
        <w:t xml:space="preserve"> 47% </w:t>
      </w:r>
      <w:r w:rsidRPr="005B45E8">
        <w:rPr>
          <w:bCs/>
          <w:lang w:val="en"/>
        </w:rPr>
        <w:t>respectively</w:t>
      </w:r>
      <w:r w:rsidRPr="0063219B">
        <w:rPr>
          <w:lang w:val="en"/>
        </w:rPr>
        <w:t>).</w:t>
      </w:r>
      <w:r w:rsidR="007C1396">
        <w:rPr>
          <w:lang w:val="en"/>
        </w:rPr>
        <w:t xml:space="preserve"> This suggested that job</w:t>
      </w:r>
      <w:r w:rsidR="0001666F">
        <w:rPr>
          <w:lang w:val="en"/>
        </w:rPr>
        <w:t>-</w:t>
      </w:r>
      <w:r w:rsidR="007C1396">
        <w:rPr>
          <w:lang w:val="en"/>
        </w:rPr>
        <w:t xml:space="preserve">ready job seekers in online servicing can achieve similar employment outcomes to comparable job seekers in provider servicing. Given online servicing was provided at a lower cost than provider-based services, it was a more cost-effective way of providing employment services to </w:t>
      </w:r>
      <w:r w:rsidR="0001666F">
        <w:rPr>
          <w:lang w:val="en"/>
        </w:rPr>
        <w:t>job-ready</w:t>
      </w:r>
      <w:r w:rsidR="007C1396">
        <w:rPr>
          <w:lang w:val="en"/>
        </w:rPr>
        <w:t xml:space="preserve"> job seekers.</w:t>
      </w:r>
    </w:p>
    <w:p w14:paraId="4D7756BF" w14:textId="11B96794" w:rsidR="00ED3569" w:rsidRDefault="00ED3569" w:rsidP="00741A91">
      <w:pPr>
        <w:pStyle w:val="ListBullet"/>
      </w:pPr>
      <w:r w:rsidRPr="004226F9">
        <w:t xml:space="preserve">When exits within </w:t>
      </w:r>
      <w:r>
        <w:t>one month (</w:t>
      </w:r>
      <w:r w:rsidR="00F268EF">
        <w:t>four</w:t>
      </w:r>
      <w:r>
        <w:t xml:space="preserve"> weeks) and </w:t>
      </w:r>
      <w:r w:rsidR="00F268EF">
        <w:t>three</w:t>
      </w:r>
      <w:r w:rsidRPr="004226F9">
        <w:t xml:space="preserve"> months (12 weeks) of service commencement </w:t>
      </w:r>
      <w:r>
        <w:t>were</w:t>
      </w:r>
      <w:r w:rsidRPr="004226F9">
        <w:t xml:space="preserve"> considered, </w:t>
      </w:r>
      <w:r>
        <w:t>OEST</w:t>
      </w:r>
      <w:r w:rsidRPr="004226F9">
        <w:t xml:space="preserve"> participants perform</w:t>
      </w:r>
      <w:r>
        <w:t>ed</w:t>
      </w:r>
      <w:r w:rsidRPr="004226F9">
        <w:t xml:space="preserve"> better than the </w:t>
      </w:r>
      <w:r>
        <w:t xml:space="preserve">comparison </w:t>
      </w:r>
      <w:r w:rsidRPr="004226F9">
        <w:t>group</w:t>
      </w:r>
      <w:r>
        <w:t>.</w:t>
      </w:r>
    </w:p>
    <w:p w14:paraId="4F12E2DB" w14:textId="1C5597AC" w:rsidR="00803324" w:rsidRDefault="00ED3569" w:rsidP="00741A91">
      <w:pPr>
        <w:pStyle w:val="ListBullet"/>
      </w:pPr>
      <w:r>
        <w:t xml:space="preserve">However, OEST participants had poorer results than comparison job seekers </w:t>
      </w:r>
      <w:r w:rsidRPr="00D62732">
        <w:rPr>
          <w:b/>
          <w:i/>
        </w:rPr>
        <w:t>after</w:t>
      </w:r>
      <w:r>
        <w:t xml:space="preserve"> they transferred to provider servicing. After a </w:t>
      </w:r>
      <w:r w:rsidR="00F268EF">
        <w:t>nine</w:t>
      </w:r>
      <w:r>
        <w:t xml:space="preserve">-month period (including </w:t>
      </w:r>
      <w:r w:rsidR="00F268EF">
        <w:t>three</w:t>
      </w:r>
      <w:r>
        <w:t xml:space="preserve"> months in provider servicing and a </w:t>
      </w:r>
      <w:r>
        <w:rPr>
          <w:b/>
          <w:bCs/>
        </w:rPr>
        <w:t>full</w:t>
      </w:r>
      <w:r>
        <w:t xml:space="preserve"> </w:t>
      </w:r>
      <w:r w:rsidR="00F268EF">
        <w:t>six</w:t>
      </w:r>
      <w:r>
        <w:t xml:space="preserve"> months in the OEST) </w:t>
      </w:r>
      <w:r w:rsidR="00627004">
        <w:t xml:space="preserve">trial </w:t>
      </w:r>
      <w:r>
        <w:t>participants were less likely to exit from income support and employment services (</w:t>
      </w:r>
      <w:r w:rsidRPr="001261D9">
        <w:rPr>
          <w:b/>
        </w:rPr>
        <w:t>5.3%</w:t>
      </w:r>
      <w:r>
        <w:t xml:space="preserve"> and </w:t>
      </w:r>
      <w:r w:rsidRPr="001261D9">
        <w:rPr>
          <w:b/>
        </w:rPr>
        <w:t>2.7%</w:t>
      </w:r>
      <w:r>
        <w:t xml:space="preserve"> less respectively) than the comparison group. Potential explanations include </w:t>
      </w:r>
      <w:r w:rsidR="00001EBB">
        <w:t>participants</w:t>
      </w:r>
      <w:r>
        <w:t xml:space="preserve"> finding the adjustment of transferring from OEST to provider servicing challenging, and a lack of </w:t>
      </w:r>
      <w:r w:rsidR="00627004">
        <w:t xml:space="preserve">financial </w:t>
      </w:r>
      <w:r>
        <w:t xml:space="preserve">incentives for jobactive providers to service </w:t>
      </w:r>
      <w:r w:rsidR="00BC1625">
        <w:t>Stream A entrants to their caseloads</w:t>
      </w:r>
      <w:r w:rsidR="00CE0403">
        <w:t xml:space="preserve"> during</w:t>
      </w:r>
      <w:r w:rsidR="00627004">
        <w:t xml:space="preserve"> the first 90 days </w:t>
      </w:r>
      <w:r w:rsidR="00BC1625">
        <w:t xml:space="preserve">(including former </w:t>
      </w:r>
      <w:r w:rsidR="00627004">
        <w:t>OEST</w:t>
      </w:r>
      <w:r w:rsidR="003008AB">
        <w:t xml:space="preserve"> </w:t>
      </w:r>
      <w:r w:rsidR="00BC1625">
        <w:lastRenderedPageBreak/>
        <w:t>participants</w:t>
      </w:r>
      <w:r w:rsidR="00627004">
        <w:t>)</w:t>
      </w:r>
      <w:r w:rsidR="00E72A72">
        <w:t>.</w:t>
      </w:r>
      <w:r w:rsidR="004D7D73">
        <w:rPr>
          <w:rStyle w:val="FootnoteReference"/>
        </w:rPr>
        <w:footnoteReference w:id="3"/>
      </w:r>
      <w:r>
        <w:t xml:space="preserve"> It is also possible that provider servicing </w:t>
      </w:r>
      <w:r w:rsidR="00627004">
        <w:t xml:space="preserve">from the outset </w:t>
      </w:r>
      <w:r>
        <w:t>was more suitable for this cohort, perhaps due to undisclosed disadvantage or a lack of ability to self-manage</w:t>
      </w:r>
      <w:r w:rsidR="00BC1625">
        <w:t xml:space="preserve"> their job search requirements</w:t>
      </w:r>
      <w:r>
        <w:t>.</w:t>
      </w:r>
    </w:p>
    <w:p w14:paraId="69A84A5C" w14:textId="77777777" w:rsidR="00803324" w:rsidRDefault="00ED3569" w:rsidP="00741A91">
      <w:pPr>
        <w:pStyle w:val="ListBullet"/>
      </w:pPr>
      <w:r>
        <w:t xml:space="preserve">Online servicing was as successful as provider servicing at </w:t>
      </w:r>
      <w:r w:rsidRPr="005242DE">
        <w:t>maintaining exits from income support</w:t>
      </w:r>
      <w:r>
        <w:t xml:space="preserve">. </w:t>
      </w:r>
      <w:r w:rsidRPr="00CC2710">
        <w:rPr>
          <w:b/>
          <w:bCs/>
        </w:rPr>
        <w:t>Ninety-one</w:t>
      </w:r>
      <w:r w:rsidRPr="006464E9">
        <w:rPr>
          <w:b/>
          <w:bCs/>
        </w:rPr>
        <w:t xml:space="preserve"> per cent</w:t>
      </w:r>
      <w:r w:rsidRPr="005242DE">
        <w:t xml:space="preserve"> of the OEST group </w:t>
      </w:r>
      <w:r>
        <w:t>did not return</w:t>
      </w:r>
      <w:r w:rsidRPr="005242DE">
        <w:t xml:space="preserve"> to income support </w:t>
      </w:r>
      <w:r>
        <w:t xml:space="preserve">within </w:t>
      </w:r>
      <w:r w:rsidR="00D31119">
        <w:t>six</w:t>
      </w:r>
      <w:r>
        <w:t> months following their exit date</w:t>
      </w:r>
      <w:r w:rsidRPr="005242DE">
        <w:t xml:space="preserve">, compared with </w:t>
      </w:r>
      <w:r w:rsidRPr="006464E9">
        <w:rPr>
          <w:b/>
          <w:bCs/>
        </w:rPr>
        <w:t>89</w:t>
      </w:r>
      <w:r>
        <w:rPr>
          <w:b/>
          <w:bCs/>
        </w:rPr>
        <w:t>%</w:t>
      </w:r>
      <w:r w:rsidRPr="005242DE">
        <w:t xml:space="preserve"> of job seekers in the comparison group.</w:t>
      </w:r>
    </w:p>
    <w:p w14:paraId="35787175" w14:textId="2295D8BB" w:rsidR="00A66D08" w:rsidRPr="00F71A22" w:rsidRDefault="005649F5" w:rsidP="001F4507">
      <w:pPr>
        <w:pStyle w:val="Heading3"/>
      </w:pPr>
      <w:bookmarkStart w:id="24" w:name="_Toc67042566"/>
      <w:r w:rsidRPr="00F71A22">
        <w:t>OEST participant experience</w:t>
      </w:r>
      <w:bookmarkEnd w:id="24"/>
    </w:p>
    <w:p w14:paraId="1F532D4C" w14:textId="19C718B6" w:rsidR="00ED3569" w:rsidRDefault="00E22E5B" w:rsidP="00660DE9">
      <w:pPr>
        <w:pStyle w:val="ListBullet"/>
      </w:pPr>
      <w:bookmarkStart w:id="25" w:name="_Toc47520065"/>
      <w:bookmarkStart w:id="26" w:name="_Toc49256385"/>
      <w:r>
        <w:rPr>
          <w:b/>
          <w:bCs/>
        </w:rPr>
        <w:t>Seventy-one</w:t>
      </w:r>
      <w:r w:rsidR="00ED3569" w:rsidRPr="000E6BFF">
        <w:rPr>
          <w:b/>
          <w:bCs/>
        </w:rPr>
        <w:t xml:space="preserve"> per cent</w:t>
      </w:r>
      <w:r w:rsidR="00ED3569">
        <w:t xml:space="preserve"> of the OEST group were satisfied or very satisfied with online employment services and </w:t>
      </w:r>
      <w:r>
        <w:rPr>
          <w:b/>
        </w:rPr>
        <w:t>8</w:t>
      </w:r>
      <w:r w:rsidR="00ED3569">
        <w:rPr>
          <w:b/>
        </w:rPr>
        <w:t>%</w:t>
      </w:r>
      <w:r w:rsidR="00ED3569">
        <w:t xml:space="preserve"> were dissatisfied. The level of satisfaction with provider services for the comparison group was similar (</w:t>
      </w:r>
      <w:r w:rsidR="00ED3569" w:rsidRPr="004012BB">
        <w:rPr>
          <w:b/>
          <w:bCs/>
        </w:rPr>
        <w:t>67</w:t>
      </w:r>
      <w:r w:rsidR="00ED3569">
        <w:rPr>
          <w:b/>
          <w:bCs/>
        </w:rPr>
        <w:t>%</w:t>
      </w:r>
      <w:r w:rsidR="00ED3569">
        <w:t xml:space="preserve"> and </w:t>
      </w:r>
      <w:r w:rsidR="00ED3569" w:rsidRPr="004012BB">
        <w:rPr>
          <w:b/>
          <w:bCs/>
        </w:rPr>
        <w:t>14</w:t>
      </w:r>
      <w:r w:rsidR="00ED3569">
        <w:rPr>
          <w:b/>
          <w:bCs/>
        </w:rPr>
        <w:t>%</w:t>
      </w:r>
      <w:r w:rsidR="00ED3569" w:rsidRPr="00D62732">
        <w:rPr>
          <w:bCs/>
        </w:rPr>
        <w:t xml:space="preserve"> respectively</w:t>
      </w:r>
      <w:r w:rsidR="00ED3569">
        <w:t>).</w:t>
      </w:r>
    </w:p>
    <w:p w14:paraId="54FD8297" w14:textId="77777777" w:rsidR="00ED3569" w:rsidRPr="00E95AD9" w:rsidRDefault="00ED3569" w:rsidP="00660DE9">
      <w:pPr>
        <w:pStyle w:val="ListBullet"/>
      </w:pPr>
      <w:r w:rsidRPr="00E95AD9">
        <w:t>OEST participants identified various advantages of online employment servicing such as the convenience of being able to access services from home or other places (</w:t>
      </w:r>
      <w:r w:rsidRPr="00E95AD9">
        <w:rPr>
          <w:b/>
          <w:bCs/>
        </w:rPr>
        <w:t>68</w:t>
      </w:r>
      <w:r>
        <w:rPr>
          <w:b/>
          <w:bCs/>
        </w:rPr>
        <w:t>%</w:t>
      </w:r>
      <w:r w:rsidRPr="00E95AD9">
        <w:t>) and at their own time or after business hours (</w:t>
      </w:r>
      <w:r w:rsidRPr="00E95AD9">
        <w:rPr>
          <w:b/>
          <w:bCs/>
        </w:rPr>
        <w:t>58</w:t>
      </w:r>
      <w:r>
        <w:rPr>
          <w:b/>
          <w:bCs/>
        </w:rPr>
        <w:t>%</w:t>
      </w:r>
      <w:r w:rsidRPr="00E95AD9">
        <w:t>). Participants also agreed that not having to attend appointments with a jobactive provider was a significant advantage that gave them more time to look for work (</w:t>
      </w:r>
      <w:r w:rsidRPr="00E95AD9">
        <w:rPr>
          <w:b/>
          <w:bCs/>
        </w:rPr>
        <w:t>50</w:t>
      </w:r>
      <w:r>
        <w:rPr>
          <w:b/>
          <w:bCs/>
        </w:rPr>
        <w:t>%</w:t>
      </w:r>
      <w:r w:rsidRPr="00E95AD9">
        <w:t>).</w:t>
      </w:r>
    </w:p>
    <w:p w14:paraId="1C87CDB9" w14:textId="1343EEB9" w:rsidR="00ED3569" w:rsidRDefault="00ED3569" w:rsidP="00660DE9">
      <w:pPr>
        <w:pStyle w:val="ListBullet"/>
      </w:pPr>
      <w:r w:rsidRPr="000D16C2">
        <w:rPr>
          <w:lang w:val="en"/>
        </w:rPr>
        <w:t>Some cohorts of OEST participants</w:t>
      </w:r>
      <w:r>
        <w:rPr>
          <w:lang w:val="en"/>
        </w:rPr>
        <w:t xml:space="preserve"> reported</w:t>
      </w:r>
      <w:r w:rsidRPr="000D16C2">
        <w:rPr>
          <w:lang w:val="en"/>
        </w:rPr>
        <w:t xml:space="preserve"> difficulties with aspects of online servicing</w:t>
      </w:r>
      <w:r>
        <w:rPr>
          <w:lang w:val="en"/>
        </w:rPr>
        <w:t>. These</w:t>
      </w:r>
      <w:r w:rsidR="003A5731">
        <w:rPr>
          <w:lang w:val="en"/>
        </w:rPr>
        <w:t xml:space="preserve"> participants</w:t>
      </w:r>
      <w:r>
        <w:rPr>
          <w:lang w:val="en"/>
        </w:rPr>
        <w:t xml:space="preserve"> tended to be older, had limited </w:t>
      </w:r>
      <w:r w:rsidRPr="0094094B">
        <w:rPr>
          <w:lang w:val="en"/>
        </w:rPr>
        <w:t>IT</w:t>
      </w:r>
      <w:r>
        <w:rPr>
          <w:lang w:val="en"/>
        </w:rPr>
        <w:t xml:space="preserve"> skills and/or did not have a computer at home</w:t>
      </w:r>
      <w:r w:rsidRPr="00EA517E">
        <w:t>.</w:t>
      </w:r>
      <w:r>
        <w:t xml:space="preserve"> This conforms with existing literature findings that identify age and low internet usage and/or access as factors impacting on digital exclusion.</w:t>
      </w:r>
    </w:p>
    <w:p w14:paraId="20EBF725" w14:textId="4E171D20" w:rsidR="00ED3569" w:rsidRPr="0001029C" w:rsidRDefault="00ED3569" w:rsidP="00660DE9">
      <w:pPr>
        <w:pStyle w:val="ListBullet"/>
        <w:rPr>
          <w:bCs/>
        </w:rPr>
      </w:pPr>
      <w:r>
        <w:t>jobactive providers interviewed for the evaluation expressed concern that</w:t>
      </w:r>
      <w:r w:rsidRPr="00EA517E">
        <w:t xml:space="preserve"> online servicing</w:t>
      </w:r>
      <w:r>
        <w:t xml:space="preserve"> was not suitable for certain Stream A job seekers. P</w:t>
      </w:r>
      <w:r w:rsidRPr="00EA517E">
        <w:t>rovide</w:t>
      </w:r>
      <w:r>
        <w:t xml:space="preserve">rs also indicated that their experiences had shown that participants’ </w:t>
      </w:r>
      <w:r w:rsidRPr="00EA517E">
        <w:t xml:space="preserve">barriers </w:t>
      </w:r>
      <w:r>
        <w:t>were</w:t>
      </w:r>
      <w:r w:rsidRPr="00EA517E">
        <w:t xml:space="preserve"> not always </w:t>
      </w:r>
      <w:r>
        <w:t xml:space="preserve">disclosed. Providers noted that </w:t>
      </w:r>
      <w:r w:rsidRPr="00EA517E">
        <w:t>digital literacy</w:t>
      </w:r>
      <w:r>
        <w:rPr>
          <w:rFonts w:ascii="Calibri" w:hAnsi="Calibri"/>
        </w:rPr>
        <w:t xml:space="preserve"> screening did not form part of the trial (</w:t>
      </w:r>
      <w:r w:rsidR="003C6834">
        <w:rPr>
          <w:rFonts w:ascii="Calibri" w:hAnsi="Calibri"/>
        </w:rPr>
        <w:t>this</w:t>
      </w:r>
      <w:r>
        <w:rPr>
          <w:rFonts w:ascii="Calibri" w:hAnsi="Calibri"/>
        </w:rPr>
        <w:t xml:space="preserve"> has since been developed and implemented as part of digital servicing).</w:t>
      </w:r>
    </w:p>
    <w:p w14:paraId="534C9AE8" w14:textId="77777777" w:rsidR="00803324" w:rsidRDefault="00ED3569" w:rsidP="00660DE9">
      <w:pPr>
        <w:pStyle w:val="ListBullet"/>
      </w:pPr>
      <w:r>
        <w:lastRenderedPageBreak/>
        <w:t xml:space="preserve">Feedback </w:t>
      </w:r>
      <w:r w:rsidRPr="00EA517E">
        <w:t>suggests that appropriate targeti</w:t>
      </w:r>
      <w:r>
        <w:t xml:space="preserve">ng of the eligibility criteria </w:t>
      </w:r>
      <w:r w:rsidRPr="00EA517E">
        <w:t>is a vital component of an effective online employment services model.</w:t>
      </w:r>
      <w:bookmarkEnd w:id="25"/>
      <w:bookmarkEnd w:id="26"/>
    </w:p>
    <w:p w14:paraId="25074C9A" w14:textId="78398FBF" w:rsidR="00A66D08" w:rsidRPr="00F71A22" w:rsidRDefault="00445D7B" w:rsidP="00850270">
      <w:pPr>
        <w:pStyle w:val="Heading2"/>
      </w:pPr>
      <w:bookmarkStart w:id="27" w:name="_Toc67042567"/>
      <w:r w:rsidRPr="00F71A22">
        <w:t>Summary</w:t>
      </w:r>
      <w:bookmarkEnd w:id="27"/>
    </w:p>
    <w:p w14:paraId="6763CA09" w14:textId="77777777" w:rsidR="00803324" w:rsidRDefault="001913AF" w:rsidP="009342E5">
      <w:r w:rsidRPr="00F71A22">
        <w:t xml:space="preserve">The evaluation found that online servicing is an </w:t>
      </w:r>
      <w:r w:rsidRPr="00F71A22">
        <w:rPr>
          <w:b/>
        </w:rPr>
        <w:t>efficient</w:t>
      </w:r>
      <w:r w:rsidRPr="00F71A22">
        <w:t xml:space="preserve"> way to deliver employment services to the most </w:t>
      </w:r>
      <w:r w:rsidR="0001666F">
        <w:t>job-ready</w:t>
      </w:r>
      <w:r w:rsidRPr="00F71A22">
        <w:t xml:space="preserve"> participants</w:t>
      </w:r>
      <w:r w:rsidR="00CB61F4" w:rsidRPr="00F71A22">
        <w:t>, with only a small percentage</w:t>
      </w:r>
      <w:r w:rsidR="005B498A" w:rsidRPr="00F71A22">
        <w:t xml:space="preserve"> </w:t>
      </w:r>
      <w:r w:rsidR="00CB61F4" w:rsidRPr="00F71A22">
        <w:t>of job seekers indicating difficulty in accessing or trusting the necessary website functionality.</w:t>
      </w:r>
    </w:p>
    <w:p w14:paraId="68F84A29" w14:textId="3CDF8E53" w:rsidR="001913AF" w:rsidRPr="00F71A22" w:rsidRDefault="00143D89" w:rsidP="001913AF">
      <w:r w:rsidRPr="00F71A22">
        <w:t>T</w:t>
      </w:r>
      <w:r w:rsidR="001913AF" w:rsidRPr="00F71A22">
        <w:t xml:space="preserve">he OEST was as </w:t>
      </w:r>
      <w:r w:rsidR="001913AF" w:rsidRPr="00F71A22">
        <w:rPr>
          <w:b/>
        </w:rPr>
        <w:t>effective</w:t>
      </w:r>
      <w:r w:rsidR="001913AF" w:rsidRPr="00F71A22">
        <w:t xml:space="preserve"> </w:t>
      </w:r>
      <w:r w:rsidRPr="00F71A22">
        <w:t xml:space="preserve">as provider-based servicing in </w:t>
      </w:r>
      <w:r w:rsidR="001913AF" w:rsidRPr="00F71A22">
        <w:t>delivering employment services</w:t>
      </w:r>
      <w:r w:rsidRPr="00F71A22">
        <w:t xml:space="preserve"> to the most </w:t>
      </w:r>
      <w:r w:rsidR="0001666F">
        <w:t>job-ready</w:t>
      </w:r>
      <w:r w:rsidRPr="00F71A22">
        <w:t xml:space="preserve"> job seekers</w:t>
      </w:r>
      <w:r w:rsidR="001913AF" w:rsidRPr="00F71A22">
        <w:t xml:space="preserve">. OEST participants were as likely as job seekers in the comparison group to exit </w:t>
      </w:r>
      <w:r w:rsidR="002D3FAC" w:rsidRPr="00F71A22">
        <w:t xml:space="preserve">employment services and income support </w:t>
      </w:r>
      <w:r w:rsidR="001913AF" w:rsidRPr="00F71A22">
        <w:t xml:space="preserve">within </w:t>
      </w:r>
      <w:r w:rsidR="00F268EF">
        <w:t>six</w:t>
      </w:r>
      <w:r w:rsidR="001913AF" w:rsidRPr="00F71A22">
        <w:t xml:space="preserve"> months</w:t>
      </w:r>
      <w:r w:rsidR="002D3FAC" w:rsidRPr="00F71A22">
        <w:t xml:space="preserve"> of commencement</w:t>
      </w:r>
      <w:r w:rsidR="001913AF" w:rsidRPr="00F71A22">
        <w:t>.</w:t>
      </w:r>
    </w:p>
    <w:p w14:paraId="1841FFAF" w14:textId="75B2771D" w:rsidR="001913AF" w:rsidRPr="00F71A22" w:rsidRDefault="001913AF" w:rsidP="001913AF">
      <w:r w:rsidRPr="00F71A22">
        <w:t xml:space="preserve">The majority of OEST participants were satisfied with OEST and the jobactive website, reflecting the </w:t>
      </w:r>
      <w:r w:rsidRPr="00F71A22">
        <w:rPr>
          <w:b/>
        </w:rPr>
        <w:t>quality</w:t>
      </w:r>
      <w:r w:rsidRPr="00F71A22">
        <w:t xml:space="preserve"> of the online platform. Most respondents surveyed (from both the OEST and comparison groups) agreed that online services should be the default or ‘first option’ for providing employment services to job seekers who have just started looking for a job.</w:t>
      </w:r>
    </w:p>
    <w:p w14:paraId="1D88BF57" w14:textId="42B71657" w:rsidR="00803324" w:rsidRDefault="009519E7" w:rsidP="009519E7">
      <w:r w:rsidRPr="00F71A22">
        <w:t xml:space="preserve">Given the efficiency, effectiveness and quality of online servicing, this evaluation </w:t>
      </w:r>
      <w:r w:rsidR="003C6834">
        <w:t>provides evidence that supports</w:t>
      </w:r>
      <w:r w:rsidR="003C6834" w:rsidRPr="00F71A22">
        <w:t xml:space="preserve"> </w:t>
      </w:r>
      <w:r w:rsidRPr="00F71A22">
        <w:t xml:space="preserve">the Government’s broad move towards digital services for the most </w:t>
      </w:r>
      <w:r w:rsidR="0001666F">
        <w:t>job-ready</w:t>
      </w:r>
      <w:r w:rsidRPr="00F71A22">
        <w:t xml:space="preserve"> job seekers. In particular, it provides firm evidence for rolling out the Online Employment Service in the</w:t>
      </w:r>
      <w:r w:rsidR="005E6AD9">
        <w:t> </w:t>
      </w:r>
      <w:r w:rsidRPr="00F71A22">
        <w:t>2020</w:t>
      </w:r>
      <w:r w:rsidR="00E72A72">
        <w:t>–</w:t>
      </w:r>
      <w:r w:rsidRPr="00F71A22">
        <w:t>21 Budget.</w:t>
      </w:r>
    </w:p>
    <w:p w14:paraId="1D6BB0EE" w14:textId="04E0D2B1" w:rsidR="009940F4" w:rsidRPr="00F71A22" w:rsidRDefault="009940F4" w:rsidP="009940F4">
      <w:r w:rsidRPr="00F71A22">
        <w:t xml:space="preserve">As online servicing is expanded over the coming years, it is important to ensure it is </w:t>
      </w:r>
      <w:r w:rsidRPr="00F71A22">
        <w:rPr>
          <w:b/>
        </w:rPr>
        <w:t xml:space="preserve">targeted </w:t>
      </w:r>
      <w:r w:rsidRPr="00F71A22">
        <w:t xml:space="preserve">at the most </w:t>
      </w:r>
      <w:r w:rsidR="0001666F">
        <w:t>job-ready</w:t>
      </w:r>
      <w:r w:rsidRPr="00F71A22">
        <w:t xml:space="preserve"> job seekers. Overall, the low opt-out rates and employment outcomes suggest eligibility was generally well targeted. However, the evaluation confirmed international and Australian research that job seekers most likely to experience difficulties with online employment servicing are those with low levels of digital literacy and lack of job search skills.</w:t>
      </w:r>
    </w:p>
    <w:p w14:paraId="650ECC3E" w14:textId="77777777" w:rsidR="00135332" w:rsidRDefault="00135332" w:rsidP="001F4507">
      <w:bookmarkStart w:id="28" w:name="_Toc49256386"/>
      <w:bookmarkStart w:id="29" w:name="_Toc47520066"/>
      <w:bookmarkStart w:id="30" w:name="_Toc48829341"/>
      <w:bookmarkStart w:id="31" w:name="_Toc48829462"/>
      <w:r>
        <w:br w:type="page"/>
      </w:r>
    </w:p>
    <w:p w14:paraId="35339BE6" w14:textId="1E38E559" w:rsidR="00135332" w:rsidRPr="00BE7BB7" w:rsidRDefault="00135332" w:rsidP="00135332">
      <w:pPr>
        <w:pStyle w:val="Heading1"/>
      </w:pPr>
      <w:bookmarkStart w:id="32" w:name="_Toc67042568"/>
      <w:r w:rsidRPr="00BE7BB7">
        <w:lastRenderedPageBreak/>
        <w:t>Departmental response to the evaluation findings</w:t>
      </w:r>
      <w:bookmarkEnd w:id="32"/>
    </w:p>
    <w:p w14:paraId="7903C881" w14:textId="77777777" w:rsidR="004B58AA" w:rsidRPr="00BE7BB7" w:rsidRDefault="004B58AA" w:rsidP="003C6834">
      <w:r w:rsidRPr="00BE7BB7">
        <w:t>Technology is driving change in how employment services are being delivered in Australia.</w:t>
      </w:r>
    </w:p>
    <w:p w14:paraId="79A64A5D" w14:textId="77777777" w:rsidR="00803324" w:rsidRDefault="004B58AA" w:rsidP="003C6834">
      <w:r w:rsidRPr="00BE7BB7">
        <w:t>Demand is shifting away from face-to-face service delivery, as increasingly more job seekers can, and do, look for and find work using government and private sector digital services every day.</w:t>
      </w:r>
    </w:p>
    <w:p w14:paraId="52C85ADE" w14:textId="3FFF7491" w:rsidR="00803324" w:rsidRDefault="004B58AA" w:rsidP="003C6834">
      <w:r w:rsidRPr="00BE7BB7">
        <w:t xml:space="preserve">The Government recognises digital service delivery may not be appropriate for some job seekers, such as disadvantaged job seekers </w:t>
      </w:r>
      <w:r w:rsidR="00E72A72">
        <w:t>who</w:t>
      </w:r>
      <w:r w:rsidR="00E72A72" w:rsidRPr="00BE7BB7">
        <w:t xml:space="preserve"> </w:t>
      </w:r>
      <w:r w:rsidRPr="00BE7BB7">
        <w:t>require more intensive support. Job seekers who require greater assistance will continue to access support offered by employment service providers.</w:t>
      </w:r>
    </w:p>
    <w:p w14:paraId="661A5A4B" w14:textId="77777777" w:rsidR="00803324" w:rsidRDefault="004B58AA" w:rsidP="003C6834">
      <w:r w:rsidRPr="00BE7BB7">
        <w:t xml:space="preserve">To test whether </w:t>
      </w:r>
      <w:r w:rsidR="0001666F">
        <w:t>job-ready</w:t>
      </w:r>
      <w:r w:rsidRPr="00BE7BB7">
        <w:t xml:space="preserve"> job seekers can effectively self-manage using an online platform, the Government commenced an Online Employment Services Trial (OEST) from 2 July 2018. The trial was conducted for a group of randomly selected </w:t>
      </w:r>
      <w:r w:rsidR="0001666F">
        <w:t>job-ready</w:t>
      </w:r>
      <w:r w:rsidRPr="00BE7BB7">
        <w:t xml:space="preserve"> job seekers.</w:t>
      </w:r>
    </w:p>
    <w:p w14:paraId="04D2292A" w14:textId="6B52E4A4" w:rsidR="004B58AA" w:rsidRPr="00BE7BB7" w:rsidRDefault="004B58AA" w:rsidP="003C6834">
      <w:r w:rsidRPr="00BE7BB7">
        <w:t xml:space="preserve">As detailed in the OEST evaluation report, evidence generally supports that most </w:t>
      </w:r>
      <w:r w:rsidR="0001666F">
        <w:t>job-ready</w:t>
      </w:r>
      <w:r w:rsidRPr="00BE7BB7">
        <w:t xml:space="preserve"> job seekers can self-manage using the online platform. Furthermore, the COVID-19 pandemic necessitated the extension of online servicing from a trial with selected </w:t>
      </w:r>
      <w:r w:rsidR="0001666F">
        <w:t>job-ready</w:t>
      </w:r>
      <w:r w:rsidRPr="00BE7BB7">
        <w:t xml:space="preserve"> job seekers to all eligible </w:t>
      </w:r>
      <w:r w:rsidR="0001666F">
        <w:t>job-ready</w:t>
      </w:r>
      <w:r w:rsidRPr="00BE7BB7">
        <w:t xml:space="preserve"> job seekers and the OEST platform has been transformed into Online Employment Services (OES).</w:t>
      </w:r>
    </w:p>
    <w:p w14:paraId="0D81DC3E" w14:textId="5C9150F9" w:rsidR="004B58AA" w:rsidRPr="00BE7BB7" w:rsidRDefault="004B58AA" w:rsidP="004B58AA">
      <w:pPr>
        <w:pStyle w:val="Heading2"/>
      </w:pPr>
      <w:bookmarkStart w:id="33" w:name="_Toc67042569"/>
      <w:r w:rsidRPr="00BE7BB7">
        <w:t xml:space="preserve">Safeguards </w:t>
      </w:r>
      <w:r w:rsidR="003C6834">
        <w:t>and</w:t>
      </w:r>
      <w:r w:rsidR="003C6834" w:rsidRPr="00BE7BB7">
        <w:t xml:space="preserve"> </w:t>
      </w:r>
      <w:r w:rsidRPr="00BE7BB7">
        <w:t>enhancements in OES</w:t>
      </w:r>
      <w:bookmarkEnd w:id="33"/>
    </w:p>
    <w:p w14:paraId="4BE71C75" w14:textId="77777777" w:rsidR="00803324" w:rsidRDefault="004B58AA" w:rsidP="003C6834">
      <w:r w:rsidRPr="003C6834">
        <w:t xml:space="preserve">As with the OEST, job seekers can opt out of OES at any time and be referred to an employment service provider. Job seekers can also update their </w:t>
      </w:r>
      <w:r w:rsidR="003008AB">
        <w:t>assessment profile</w:t>
      </w:r>
      <w:r w:rsidRPr="003C6834">
        <w:t xml:space="preserve"> if their circumstances change, which will ensure they are referred to the most appropriate service.</w:t>
      </w:r>
    </w:p>
    <w:p w14:paraId="12D962C4" w14:textId="77777777" w:rsidR="00803324" w:rsidRDefault="004B58AA" w:rsidP="003C6834">
      <w:r w:rsidRPr="003C6834">
        <w:t>Informed by the OEST evidence, there are additional safeguards and enhancements built into OES.</w:t>
      </w:r>
    </w:p>
    <w:p w14:paraId="2170D1E2" w14:textId="77777777" w:rsidR="00803324" w:rsidRDefault="004B58AA" w:rsidP="003C6834">
      <w:r w:rsidRPr="003C6834">
        <w:t>The Digital Services Contact Centre has been expanded. The Digital Services Contact Centre assists job seekers to deal with issues</w:t>
      </w:r>
      <w:r w:rsidR="003C6834">
        <w:t xml:space="preserve"> and</w:t>
      </w:r>
      <w:r w:rsidRPr="003C6834">
        <w:t xml:space="preserve"> provide</w:t>
      </w:r>
      <w:r w:rsidR="003C6834">
        <w:t>s</w:t>
      </w:r>
      <w:r w:rsidRPr="003C6834">
        <w:t xml:space="preserve"> individualised advice to support their job preparation and training needs</w:t>
      </w:r>
      <w:r w:rsidR="003C6834">
        <w:t xml:space="preserve">. It also helps to </w:t>
      </w:r>
      <w:r w:rsidRPr="003C6834">
        <w:t xml:space="preserve">manage any issues </w:t>
      </w:r>
      <w:r w:rsidR="003C6834">
        <w:t>job seekers</w:t>
      </w:r>
      <w:r w:rsidR="003C6834" w:rsidRPr="003C6834">
        <w:t xml:space="preserve"> </w:t>
      </w:r>
      <w:r w:rsidRPr="003C6834">
        <w:t xml:space="preserve">face in relation to complying with </w:t>
      </w:r>
      <w:r w:rsidR="008703F1">
        <w:t>their MORs</w:t>
      </w:r>
      <w:r w:rsidRPr="003C6834">
        <w:t xml:space="preserve"> to ensure they do not face any unnecessary financial burden.</w:t>
      </w:r>
    </w:p>
    <w:p w14:paraId="627CE285" w14:textId="77777777" w:rsidR="00803324" w:rsidRDefault="004B58AA" w:rsidP="003C6834">
      <w:r w:rsidRPr="003C6834">
        <w:t>Additional assessment points have been introduced to make sure job seekers are and remain suitable for online servicing. A Digital Assessment will help identify job seekers who may not have the ability to participate online and prompt them to consider opting into face-to-face servicing.</w:t>
      </w:r>
    </w:p>
    <w:p w14:paraId="7FAFB767" w14:textId="003092D0" w:rsidR="004B58AA" w:rsidRPr="003C6834" w:rsidRDefault="004B58AA" w:rsidP="003C6834">
      <w:r w:rsidRPr="003C6834">
        <w:lastRenderedPageBreak/>
        <w:t xml:space="preserve">A new Digital Service Review will be conducted every </w:t>
      </w:r>
      <w:r w:rsidR="00F268EF">
        <w:t>four</w:t>
      </w:r>
      <w:r w:rsidRPr="003C6834">
        <w:t xml:space="preserve"> months to help ensure that job seekers are successfully managing their online job search requirements. Those job seekers identified as potentially at risk will be prompted to consider opting into face-to-face servicing.</w:t>
      </w:r>
    </w:p>
    <w:p w14:paraId="131BF62A" w14:textId="328CD281" w:rsidR="004B58AA" w:rsidRPr="003C6834" w:rsidRDefault="004B58AA" w:rsidP="003C6834">
      <w:r w:rsidRPr="003C6834">
        <w:t>Participation in the OES is time limited. Job seekers who have been unsuccessful in finding employment will be referred to a provider at a maximum of 12 months in online servicing. Those who undertake study or training can remain in the online platform for up to six months after the completion of their course, even if this takes them beyond 12 months. Job seekers with earnings from employment can also remain in the OES.</w:t>
      </w:r>
    </w:p>
    <w:p w14:paraId="32BF5398" w14:textId="4627B538" w:rsidR="004B58AA" w:rsidRPr="003C6834" w:rsidRDefault="004B58AA" w:rsidP="003C6834">
      <w:r w:rsidRPr="003C6834">
        <w:t>There will also be enhanced services for young job seekers. From March 2021 young people (aged</w:t>
      </w:r>
      <w:r w:rsidR="00473244">
        <w:t> </w:t>
      </w:r>
      <w:r w:rsidRPr="003C6834">
        <w:t>15</w:t>
      </w:r>
      <w:r w:rsidR="00E72A72">
        <w:t>–</w:t>
      </w:r>
      <w:r w:rsidRPr="003C6834">
        <w:t>24) in the OES and the Digital Employment Services in the New Employment Services Trial will have access to up to three one-hour advisory sessions with a Transition to Work (TtW) provider. Young people who think they might benefit will be able to call the Digital Services Contact Centre to connect with a TtW provider that has expressed its interest and capacity to deliver advisory sessions.</w:t>
      </w:r>
    </w:p>
    <w:p w14:paraId="787BF99F" w14:textId="77777777" w:rsidR="00803324" w:rsidRDefault="004B58AA" w:rsidP="003C6834">
      <w:r w:rsidRPr="003C6834">
        <w:t>These sessions will be tailored to meet the needs of the young person and may include provider support such as interview preparation assistance, career advice, or help to connect with education, training or non-vocational support services. Participation is voluntary and can be accessed any time during the young person’s time in OES.</w:t>
      </w:r>
    </w:p>
    <w:p w14:paraId="4440B1D3" w14:textId="6C0AE18E" w:rsidR="004B58AA" w:rsidRPr="003C6834" w:rsidRDefault="004B58AA" w:rsidP="003C6834">
      <w:r w:rsidRPr="003C6834">
        <w:t>Further enhancements are being made to OES to support the needs of online job seekers. These include the following:</w:t>
      </w:r>
    </w:p>
    <w:p w14:paraId="00F2B29D" w14:textId="4861E8C7" w:rsidR="004B58AA" w:rsidRPr="00BE7BB7" w:rsidRDefault="004B58AA" w:rsidP="0084329A">
      <w:pPr>
        <w:pStyle w:val="ListBullet"/>
      </w:pPr>
      <w:r w:rsidRPr="00BE7BB7">
        <w:t>Functionality to allow employers to better describe the requirements they are looking for when advertising roles, to better target/match suitable job seekers.</w:t>
      </w:r>
    </w:p>
    <w:p w14:paraId="79BAE508" w14:textId="14BBBF7C" w:rsidR="004B58AA" w:rsidRPr="00BE7BB7" w:rsidRDefault="004B58AA" w:rsidP="0084329A">
      <w:pPr>
        <w:pStyle w:val="ListBullet"/>
      </w:pPr>
      <w:r w:rsidRPr="00BE7BB7">
        <w:t>Support to upskill or reskill through links to subsidised training offered through JobTrainer and higher education short course offerings.</w:t>
      </w:r>
    </w:p>
    <w:p w14:paraId="547D8F95" w14:textId="2B7621E8" w:rsidR="00803324" w:rsidRDefault="004B58AA" w:rsidP="0084329A">
      <w:pPr>
        <w:pStyle w:val="ListBullet"/>
      </w:pPr>
      <w:bookmarkStart w:id="34" w:name="_Hlk65234345"/>
      <w:r w:rsidRPr="00BE7BB7">
        <w:t>Skills matching tools – including Job Switch</w:t>
      </w:r>
      <w:r w:rsidR="00E72A72">
        <w:t>,</w:t>
      </w:r>
      <w:r w:rsidRPr="00BE7BB7">
        <w:t xml:space="preserve"> which is powered by a newly developed</w:t>
      </w:r>
      <w:r w:rsidR="001F2D22">
        <w:t xml:space="preserve"> skills-based labour market</w:t>
      </w:r>
      <w:r w:rsidRPr="00BE7BB7">
        <w:t xml:space="preserve"> </w:t>
      </w:r>
      <w:r w:rsidR="00E905FC">
        <w:t>analysis tool</w:t>
      </w:r>
      <w:r w:rsidRPr="00BE7BB7">
        <w:t xml:space="preserve"> that integrates skill supply and demand information, known as the </w:t>
      </w:r>
      <w:r w:rsidR="00E905FC">
        <w:t>Jobs and Education Data Infrastructure (</w:t>
      </w:r>
      <w:r w:rsidR="00E905FC" w:rsidRPr="00BE7BB7">
        <w:t>JEDI</w:t>
      </w:r>
      <w:r w:rsidR="00E905FC">
        <w:t>)</w:t>
      </w:r>
      <w:r w:rsidR="00E72A72">
        <w:t>,</w:t>
      </w:r>
      <w:r w:rsidRPr="00BE7BB7">
        <w:t xml:space="preserve"> managed by the National </w:t>
      </w:r>
      <w:r w:rsidR="00E905FC">
        <w:t>Careers Institute</w:t>
      </w:r>
      <w:r w:rsidRPr="00BE7BB7">
        <w:t>.</w:t>
      </w:r>
    </w:p>
    <w:bookmarkEnd w:id="34"/>
    <w:p w14:paraId="74F09F93" w14:textId="47243E79" w:rsidR="004B58AA" w:rsidRPr="00BE7BB7" w:rsidRDefault="004B58AA" w:rsidP="0084329A">
      <w:pPr>
        <w:pStyle w:val="ListBullet"/>
      </w:pPr>
      <w:r w:rsidRPr="00BE7BB7">
        <w:t>Support to connect job seekers to complementary programs such as New Enterprise Incentive Scheme, Employability Skills Training, Career Transition Assistance and training opportunities.</w:t>
      </w:r>
    </w:p>
    <w:p w14:paraId="4E26C788" w14:textId="70242975" w:rsidR="004B58AA" w:rsidRPr="00BE7BB7" w:rsidRDefault="004B58AA" w:rsidP="0084329A">
      <w:pPr>
        <w:pStyle w:val="ListBullet"/>
      </w:pPr>
      <w:r w:rsidRPr="00BE7BB7">
        <w:t>Greater capacity for support through expansion of the Digital Service Contact Centre. This support will:</w:t>
      </w:r>
    </w:p>
    <w:p w14:paraId="6B032DED" w14:textId="77777777" w:rsidR="00803324" w:rsidRDefault="004B58AA" w:rsidP="0084329A">
      <w:pPr>
        <w:pStyle w:val="ListBullet2"/>
      </w:pPr>
      <w:r w:rsidRPr="00BE7BB7">
        <w:lastRenderedPageBreak/>
        <w:t>supplement the human interaction job seekers would otherwise get from a provider to help them deal with issues</w:t>
      </w:r>
    </w:p>
    <w:p w14:paraId="1D220617" w14:textId="77777777" w:rsidR="00803324" w:rsidRDefault="004B58AA" w:rsidP="0084329A">
      <w:pPr>
        <w:pStyle w:val="ListBullet2"/>
      </w:pPr>
      <w:r w:rsidRPr="00BE7BB7">
        <w:t>provide individualised advice to support their job preparation and training needs</w:t>
      </w:r>
    </w:p>
    <w:p w14:paraId="4D062B8D" w14:textId="77777777" w:rsidR="00803324" w:rsidRDefault="004B58AA" w:rsidP="0084329A">
      <w:pPr>
        <w:pStyle w:val="ListBullet2"/>
      </w:pPr>
      <w:r w:rsidRPr="00BE7BB7">
        <w:t xml:space="preserve">manage any issues they face in relation to complying with </w:t>
      </w:r>
      <w:r w:rsidR="008703F1">
        <w:t>MORs</w:t>
      </w:r>
      <w:r w:rsidRPr="00BE7BB7">
        <w:t xml:space="preserve"> to ensure they do not face any unnecessary financial burden.</w:t>
      </w:r>
    </w:p>
    <w:p w14:paraId="1F821B01" w14:textId="77777777" w:rsidR="00803324" w:rsidRDefault="004B58AA" w:rsidP="003C6834">
      <w:r w:rsidRPr="00BE7BB7">
        <w:t xml:space="preserve">Job seekers in OES will have more flexibility to undertake study or training as part of their </w:t>
      </w:r>
      <w:r w:rsidR="008703F1">
        <w:t>MORs</w:t>
      </w:r>
      <w:r w:rsidRPr="00BE7BB7">
        <w:t>. Job seekers will also be able to participate in other activities, including complementary programs and training.</w:t>
      </w:r>
    </w:p>
    <w:p w14:paraId="46E4E020" w14:textId="77777777" w:rsidR="00803324" w:rsidRDefault="004B58AA" w:rsidP="003C6834">
      <w:r w:rsidRPr="00BE7BB7">
        <w:t>The Department is also looking at ways to best address the concerns raised by job seekers and providers about the transition from online to provider servicing. This could include system changes to ensure that providers are aware that a job seeker has transferred from online services and receive additional advice through existing communication channels. The department is</w:t>
      </w:r>
      <w:r w:rsidR="003C6834">
        <w:t xml:space="preserve"> also</w:t>
      </w:r>
      <w:r w:rsidRPr="00BE7BB7">
        <w:t xml:space="preserve"> monitoring the transition processes in the New Employment Services Trial (NEST)</w:t>
      </w:r>
      <w:r w:rsidR="003C6834">
        <w:rPr>
          <w:rStyle w:val="FootnoteReference"/>
        </w:rPr>
        <w:footnoteReference w:id="4"/>
      </w:r>
      <w:r w:rsidRPr="00BE7BB7">
        <w:t xml:space="preserve"> to ensure that job seekers are not disadvantaged through this process.</w:t>
      </w:r>
    </w:p>
    <w:p w14:paraId="733B80DC" w14:textId="089FAD54" w:rsidR="004B58AA" w:rsidRDefault="004B58AA" w:rsidP="003C6834">
      <w:pPr>
        <w:rPr>
          <w:b/>
          <w:bCs/>
        </w:rPr>
      </w:pPr>
      <w:r w:rsidRPr="00BE7BB7">
        <w:t>It should be noted that the new employment services referral arrangements require new referrals to jobactive and NEST to first be referred to Online Employment Services and NEST Digital Services. Job seekers will complete their JSCI and Digital Assessment while in the online ‘gateway’ before being referred to providers if required.</w:t>
      </w:r>
    </w:p>
    <w:p w14:paraId="59F0CFD1" w14:textId="77777777" w:rsidR="00135332" w:rsidRDefault="00135332">
      <w:pPr>
        <w:spacing w:before="0" w:after="160" w:line="259" w:lineRule="auto"/>
        <w:rPr>
          <w:rFonts w:ascii="Calibri" w:eastAsiaTheme="majorEastAsia" w:hAnsi="Calibri" w:cstheme="majorBidi"/>
          <w:b/>
          <w:color w:val="343741"/>
          <w:sz w:val="32"/>
          <w:szCs w:val="32"/>
        </w:rPr>
      </w:pPr>
      <w:r>
        <w:br w:type="page"/>
      </w:r>
    </w:p>
    <w:p w14:paraId="2119AB44" w14:textId="6B0C8254" w:rsidR="00345594" w:rsidRPr="00F71A22" w:rsidRDefault="0016190A" w:rsidP="00135332">
      <w:pPr>
        <w:pStyle w:val="Heading1"/>
      </w:pPr>
      <w:bookmarkStart w:id="35" w:name="_Toc67042570"/>
      <w:r w:rsidRPr="00F71A22">
        <w:lastRenderedPageBreak/>
        <w:t xml:space="preserve">Chapter </w:t>
      </w:r>
      <w:r w:rsidR="00345594" w:rsidRPr="00F71A22">
        <w:t>1. Introduction</w:t>
      </w:r>
      <w:bookmarkEnd w:id="28"/>
      <w:bookmarkEnd w:id="35"/>
    </w:p>
    <w:p w14:paraId="70CC2605" w14:textId="50B4B135" w:rsidR="00345594" w:rsidRPr="00F71A22" w:rsidRDefault="00345594" w:rsidP="00345594">
      <w:pPr>
        <w:pStyle w:val="Heading2"/>
      </w:pPr>
      <w:bookmarkStart w:id="36" w:name="_Toc49256387"/>
      <w:bookmarkStart w:id="37" w:name="_Toc67042571"/>
      <w:r w:rsidRPr="00F71A22">
        <w:t>1.1 Digital trends</w:t>
      </w:r>
      <w:bookmarkEnd w:id="36"/>
      <w:r w:rsidR="000F551F" w:rsidRPr="00F71A22">
        <w:t xml:space="preserve"> </w:t>
      </w:r>
      <w:r w:rsidR="00445D7B" w:rsidRPr="00F71A22">
        <w:t>in</w:t>
      </w:r>
      <w:r w:rsidR="000F551F" w:rsidRPr="00F71A22">
        <w:t xml:space="preserve"> government services</w:t>
      </w:r>
      <w:bookmarkEnd w:id="37"/>
    </w:p>
    <w:p w14:paraId="508FA99F" w14:textId="77777777" w:rsidR="00803324" w:rsidRDefault="00345594" w:rsidP="00044EBA">
      <w:r w:rsidRPr="00F71A22">
        <w:t xml:space="preserve">Digital technology is changing service delivery around the world. International practice (see </w:t>
      </w:r>
      <w:r w:rsidRPr="00F71A22">
        <w:rPr>
          <w:b/>
        </w:rPr>
        <w:t xml:space="preserve">Appendix </w:t>
      </w:r>
      <w:r w:rsidR="008436EE" w:rsidRPr="00F71A22">
        <w:rPr>
          <w:b/>
        </w:rPr>
        <w:t>A</w:t>
      </w:r>
      <w:r w:rsidRPr="00F71A22">
        <w:t>) provides useful insights into the philosophy behind, and rationale for, online servicing. Despite differences across setting</w:t>
      </w:r>
      <w:r w:rsidR="003C6834">
        <w:t>s</w:t>
      </w:r>
      <w:r w:rsidRPr="00F71A22">
        <w:t>, there are common benefits from the successful delivery of online service</w:t>
      </w:r>
      <w:r w:rsidR="00B42CC1" w:rsidRPr="00F71A22">
        <w:t>s</w:t>
      </w:r>
      <w:r w:rsidRPr="00F71A22">
        <w:t xml:space="preserve">. These include </w:t>
      </w:r>
      <w:r w:rsidR="00CB61F4" w:rsidRPr="00F71A22">
        <w:t xml:space="preserve">potential </w:t>
      </w:r>
      <w:r w:rsidRPr="00F71A22">
        <w:t>benefits for both governments and end users such as:</w:t>
      </w:r>
    </w:p>
    <w:p w14:paraId="4F036325" w14:textId="77777777" w:rsidR="00803324" w:rsidRDefault="00CB61F4" w:rsidP="002E6602">
      <w:pPr>
        <w:pStyle w:val="ListBullet"/>
      </w:pPr>
      <w:r w:rsidRPr="00F71A22">
        <w:t>improved efficiency and convenience for end users</w:t>
      </w:r>
    </w:p>
    <w:p w14:paraId="736C3C3D" w14:textId="326B074A" w:rsidR="00CB61F4" w:rsidRPr="00F71A22" w:rsidRDefault="00CB61F4" w:rsidP="002E6602">
      <w:pPr>
        <w:pStyle w:val="ListBullet"/>
      </w:pPr>
      <w:r w:rsidRPr="00F71A22">
        <w:t>time and cost benefits for users and cost savings to government</w:t>
      </w:r>
    </w:p>
    <w:p w14:paraId="1A4FF6E2" w14:textId="77777777" w:rsidR="00CB61F4" w:rsidRPr="00F71A22" w:rsidRDefault="00CB61F4" w:rsidP="002E6602">
      <w:pPr>
        <w:pStyle w:val="ListBullet"/>
      </w:pPr>
      <w:r w:rsidRPr="00F71A22">
        <w:t xml:space="preserve">enhanced coverage of government services, for example </w:t>
      </w:r>
      <w:r w:rsidRPr="00F71A22">
        <w:rPr>
          <w:rFonts w:eastAsiaTheme="majorEastAsia"/>
        </w:rPr>
        <w:t>to rural and remote areas</w:t>
      </w:r>
    </w:p>
    <w:p w14:paraId="08BF065C" w14:textId="77BF3406" w:rsidR="00CB61F4" w:rsidRPr="00F71A22" w:rsidRDefault="00CB61F4" w:rsidP="002E6602">
      <w:pPr>
        <w:pStyle w:val="ListBullet"/>
      </w:pPr>
      <w:r w:rsidRPr="00F71A22">
        <w:t xml:space="preserve">more efficient record keeping </w:t>
      </w:r>
      <w:r w:rsidR="009D04D6" w:rsidRPr="00F71A22">
        <w:t>(including reducing the burden of record keeping from citizens) and administrative work</w:t>
      </w:r>
    </w:p>
    <w:p w14:paraId="2363AB20" w14:textId="77777777" w:rsidR="00CB61F4" w:rsidRPr="00F71A22" w:rsidRDefault="00CB61F4" w:rsidP="002E6602">
      <w:pPr>
        <w:pStyle w:val="ListBullet"/>
      </w:pPr>
      <w:r w:rsidRPr="00F71A22">
        <w:t>data driven policy development</w:t>
      </w:r>
    </w:p>
    <w:p w14:paraId="41A8AAD7" w14:textId="77777777" w:rsidR="00CB61F4" w:rsidRPr="00F71A22" w:rsidRDefault="00CB61F4" w:rsidP="002E6602">
      <w:pPr>
        <w:pStyle w:val="ListBullet"/>
      </w:pPr>
      <w:r w:rsidRPr="00F71A22">
        <w:t>greater transparency</w:t>
      </w:r>
    </w:p>
    <w:p w14:paraId="7EAEC721" w14:textId="62CA1571" w:rsidR="00CB61F4" w:rsidRPr="00F71A22" w:rsidRDefault="00CB61F4" w:rsidP="002E6602">
      <w:pPr>
        <w:pStyle w:val="ListBullet"/>
      </w:pPr>
      <w:r w:rsidRPr="00F71A22">
        <w:t>the development of improved digital literacy among individuals.</w:t>
      </w:r>
    </w:p>
    <w:p w14:paraId="5C93248F" w14:textId="0C67FF86" w:rsidR="00B42CC1" w:rsidRPr="00F71A22" w:rsidRDefault="00B42CC1" w:rsidP="00044EBA">
      <w:bookmarkStart w:id="38" w:name="_Toc49256388"/>
      <w:r w:rsidRPr="00F71A22">
        <w:t xml:space="preserve">With digital technology transforming the global and Australian economy, workplaces and jobs, the Australian Government has adopted an e-government agenda and digital transformation strategy. In 2015, the Digital Transformation Agency </w:t>
      </w:r>
      <w:r w:rsidR="005519F5" w:rsidRPr="00F71A22">
        <w:t xml:space="preserve">was formed </w:t>
      </w:r>
      <w:r w:rsidRPr="00F71A22">
        <w:t>to focus on enhancing service delivery and as a central repository for open government data, including myGov, which is a simple and secure way to access government services online with one login and one password.</w:t>
      </w:r>
    </w:p>
    <w:p w14:paraId="13EE6B61" w14:textId="5D735F14" w:rsidR="00B42CC1" w:rsidRPr="001F36EA" w:rsidRDefault="00B42CC1" w:rsidP="001F36EA">
      <w:pPr>
        <w:pStyle w:val="Quote"/>
      </w:pPr>
      <w:r w:rsidRPr="001F36EA">
        <w:t xml:space="preserve"> The move towards e-government-more responsive, comprehensive and integrated government operations and service delivery-requires a transformation of business processes to adopt and respond to new technologies. In this environment, the business case for a whole-of-government approach to ICT investment and governance is strengthened. </w:t>
      </w:r>
      <w:r w:rsidR="00200937">
        <w:br/>
      </w:r>
      <w:r w:rsidRPr="001F36EA">
        <w:t>(A</w:t>
      </w:r>
      <w:r w:rsidR="003D180E" w:rsidRPr="001F36EA">
        <w:t>ustralian</w:t>
      </w:r>
      <w:r w:rsidR="006F7860" w:rsidRPr="001F36EA">
        <w:t> </w:t>
      </w:r>
      <w:r w:rsidR="003D180E" w:rsidRPr="001F36EA">
        <w:t>Public Service</w:t>
      </w:r>
      <w:r w:rsidR="006F7860" w:rsidRPr="001F36EA">
        <w:t> </w:t>
      </w:r>
      <w:r w:rsidR="003D180E" w:rsidRPr="001F36EA">
        <w:t>Commission,</w:t>
      </w:r>
      <w:r w:rsidRPr="001F36EA">
        <w:t xml:space="preserve"> 2018)</w:t>
      </w:r>
    </w:p>
    <w:bookmarkEnd w:id="38"/>
    <w:p w14:paraId="13B799FE" w14:textId="77777777" w:rsidR="00803324" w:rsidRDefault="00B42CC1" w:rsidP="00B42CC1">
      <w:pPr>
        <w:rPr>
          <w:lang w:val="en"/>
        </w:rPr>
      </w:pPr>
      <w:r w:rsidRPr="00F71A22">
        <w:t xml:space="preserve">In January 2018, an Employment Services Expert Advisory Panel was established to provide options for a future mainstream employment services model to commence when the current employment service provider contracts expire in mid-2022. </w:t>
      </w:r>
      <w:r w:rsidRPr="00F71A22">
        <w:rPr>
          <w:lang w:val="en"/>
        </w:rPr>
        <w:t>In the evolving digital environment, the design of future employment services considered these technological changes.</w:t>
      </w:r>
    </w:p>
    <w:p w14:paraId="367FCEB4" w14:textId="4787A15D" w:rsidR="00803324" w:rsidRDefault="00345594" w:rsidP="00F712C8">
      <w:pPr>
        <w:rPr>
          <w:rFonts w:ascii="Segoe UI" w:hAnsi="Segoe UI" w:cs="Segoe UI"/>
          <w:color w:val="000000"/>
          <w:sz w:val="20"/>
          <w:szCs w:val="20"/>
        </w:rPr>
      </w:pPr>
      <w:r w:rsidRPr="00F71A22">
        <w:lastRenderedPageBreak/>
        <w:t xml:space="preserve">To inform the future of the new employment services model, the </w:t>
      </w:r>
      <w:r w:rsidR="005D4F9B" w:rsidRPr="00F71A22">
        <w:t>d</w:t>
      </w:r>
      <w:r w:rsidRPr="00F71A22">
        <w:t xml:space="preserve">epartment commenced </w:t>
      </w:r>
      <w:r w:rsidR="00F268EF">
        <w:t>two</w:t>
      </w:r>
      <w:r w:rsidRPr="00F71A22">
        <w:t xml:space="preserve"> trials in July 2018 to test </w:t>
      </w:r>
      <w:r w:rsidR="005D4F9B" w:rsidRPr="00F71A22">
        <w:t xml:space="preserve">the </w:t>
      </w:r>
      <w:r w:rsidRPr="00F71A22">
        <w:t xml:space="preserve">online delivery of some elements of employment services: </w:t>
      </w:r>
      <w:r w:rsidR="0032316D" w:rsidRPr="00F71A22">
        <w:t>The</w:t>
      </w:r>
      <w:r w:rsidRPr="00F71A22">
        <w:t xml:space="preserve"> Online Employment Services Trial (OEST) </w:t>
      </w:r>
      <w:r w:rsidR="000F551F" w:rsidRPr="00F71A22">
        <w:t xml:space="preserve">and </w:t>
      </w:r>
      <w:r w:rsidRPr="00F71A22">
        <w:t>the Online Job Seeker Classification Instrument (JSCI) Trial.</w:t>
      </w:r>
      <w:r w:rsidR="00803324">
        <w:t xml:space="preserve"> </w:t>
      </w:r>
      <w:bookmarkStart w:id="39" w:name="_Toc49256391"/>
      <w:r w:rsidR="00FA2575" w:rsidRPr="00F71A22">
        <w:t xml:space="preserve">An </w:t>
      </w:r>
      <w:r w:rsidR="00FA2575" w:rsidRPr="00F71A22">
        <w:rPr>
          <w:rFonts w:ascii="Segoe UI" w:hAnsi="Segoe UI" w:cs="Segoe UI"/>
          <w:color w:val="000000"/>
          <w:sz w:val="20"/>
          <w:szCs w:val="20"/>
        </w:rPr>
        <w:t xml:space="preserve">evaluation of the Online JSCI Trial </w:t>
      </w:r>
      <w:r w:rsidR="009940F4" w:rsidRPr="00F71A22">
        <w:rPr>
          <w:rFonts w:ascii="Segoe UI" w:hAnsi="Segoe UI" w:cs="Segoe UI"/>
          <w:color w:val="000000"/>
          <w:sz w:val="20"/>
          <w:szCs w:val="20"/>
        </w:rPr>
        <w:t>will be presented</w:t>
      </w:r>
      <w:r w:rsidR="00FA2575" w:rsidRPr="00F71A22">
        <w:rPr>
          <w:rFonts w:ascii="Segoe UI" w:hAnsi="Segoe UI" w:cs="Segoe UI"/>
          <w:color w:val="000000"/>
          <w:sz w:val="20"/>
          <w:szCs w:val="20"/>
        </w:rPr>
        <w:t xml:space="preserve"> in a separate report.</w:t>
      </w:r>
    </w:p>
    <w:p w14:paraId="15424548" w14:textId="059B6BB6" w:rsidR="00345594" w:rsidRPr="00F71A22" w:rsidRDefault="00345594" w:rsidP="00FA2575">
      <w:pPr>
        <w:pStyle w:val="Heading2"/>
        <w:rPr>
          <w:lang w:val="en"/>
        </w:rPr>
      </w:pPr>
      <w:bookmarkStart w:id="40" w:name="_Toc67042572"/>
      <w:r w:rsidRPr="00F71A22">
        <w:rPr>
          <w:lang w:val="en"/>
        </w:rPr>
        <w:t>1.</w:t>
      </w:r>
      <w:r w:rsidR="00FA2575" w:rsidRPr="00F71A22">
        <w:rPr>
          <w:lang w:val="en"/>
        </w:rPr>
        <w:t>2</w:t>
      </w:r>
      <w:r w:rsidRPr="00F71A22">
        <w:rPr>
          <w:lang w:val="en"/>
        </w:rPr>
        <w:t xml:space="preserve"> </w:t>
      </w:r>
      <w:r w:rsidRPr="00F71A22">
        <w:t xml:space="preserve">The </w:t>
      </w:r>
      <w:r w:rsidRPr="00F71A22">
        <w:rPr>
          <w:lang w:val="en"/>
        </w:rPr>
        <w:t>OEST</w:t>
      </w:r>
      <w:bookmarkEnd w:id="39"/>
      <w:bookmarkEnd w:id="40"/>
    </w:p>
    <w:p w14:paraId="38373AA7" w14:textId="77777777" w:rsidR="00803324" w:rsidRDefault="00E2002C" w:rsidP="00E2002C">
      <w:pPr>
        <w:rPr>
          <w:lang w:val="en"/>
        </w:rPr>
      </w:pPr>
      <w:bookmarkStart w:id="41" w:name="_Hlk53136646"/>
      <w:bookmarkStart w:id="42" w:name="_Toc49256392"/>
      <w:r w:rsidRPr="00F71A22">
        <w:rPr>
          <w:rFonts w:cstheme="minorHAnsi"/>
        </w:rPr>
        <w:t xml:space="preserve">The OEST commenced on 1 July 2018 and was expected to run until </w:t>
      </w:r>
      <w:r w:rsidR="007249E4" w:rsidRPr="00F71A22">
        <w:t>the implementation of the new employment services model</w:t>
      </w:r>
      <w:r w:rsidRPr="00F71A22">
        <w:rPr>
          <w:rFonts w:cstheme="minorHAnsi"/>
        </w:rPr>
        <w:t xml:space="preserve">. </w:t>
      </w:r>
      <w:bookmarkEnd w:id="41"/>
      <w:r w:rsidR="006A1EEE" w:rsidRPr="00F71A22">
        <w:t xml:space="preserve">The </w:t>
      </w:r>
      <w:r w:rsidRPr="00F71A22">
        <w:t xml:space="preserve">purpose of the OEST was to assess the feasibility of delivering some aspects of employment services online. The trial focused on testing whether more </w:t>
      </w:r>
      <w:r w:rsidR="0001666F">
        <w:t>job-ready</w:t>
      </w:r>
      <w:r w:rsidRPr="00F71A22">
        <w:t xml:space="preserve"> job seekers could effectively self-</w:t>
      </w:r>
      <w:r w:rsidR="007249E4" w:rsidRPr="00F71A22">
        <w:t>manage</w:t>
      </w:r>
      <w:r w:rsidRPr="00F71A22">
        <w:t xml:space="preserve"> using digital tools</w:t>
      </w:r>
      <w:r w:rsidR="00010DA1" w:rsidRPr="00F71A22">
        <w:t xml:space="preserve"> </w:t>
      </w:r>
      <w:r w:rsidRPr="00F71A22">
        <w:rPr>
          <w:lang w:val="en"/>
        </w:rPr>
        <w:t xml:space="preserve">and meet their </w:t>
      </w:r>
      <w:r w:rsidR="007249E4" w:rsidRPr="00F71A22">
        <w:rPr>
          <w:lang w:val="en"/>
        </w:rPr>
        <w:t>M</w:t>
      </w:r>
      <w:r w:rsidRPr="00F71A22">
        <w:rPr>
          <w:lang w:val="en"/>
        </w:rPr>
        <w:t xml:space="preserve">utual </w:t>
      </w:r>
      <w:r w:rsidR="007249E4" w:rsidRPr="00F71A22">
        <w:rPr>
          <w:lang w:val="en"/>
        </w:rPr>
        <w:t>O</w:t>
      </w:r>
      <w:r w:rsidRPr="00F71A22">
        <w:rPr>
          <w:lang w:val="en"/>
        </w:rPr>
        <w:t xml:space="preserve">bligation </w:t>
      </w:r>
      <w:r w:rsidR="007249E4" w:rsidRPr="00F71A22">
        <w:rPr>
          <w:lang w:val="en"/>
        </w:rPr>
        <w:t>R</w:t>
      </w:r>
      <w:r w:rsidRPr="00F71A22">
        <w:rPr>
          <w:lang w:val="en"/>
        </w:rPr>
        <w:t>equirements (MORs) in a</w:t>
      </w:r>
      <w:r w:rsidR="00D92539" w:rsidRPr="00F71A22">
        <w:rPr>
          <w:lang w:val="en"/>
        </w:rPr>
        <w:t xml:space="preserve">n </w:t>
      </w:r>
      <w:r w:rsidRPr="00F71A22">
        <w:rPr>
          <w:lang w:val="en"/>
        </w:rPr>
        <w:t>efficient and effective manner using an online platform.</w:t>
      </w:r>
    </w:p>
    <w:p w14:paraId="63E68CE5" w14:textId="6029A1F6" w:rsidR="0089490D" w:rsidRPr="00F71A22" w:rsidRDefault="0089490D" w:rsidP="0089490D">
      <w:pPr>
        <w:rPr>
          <w:lang w:val="en"/>
        </w:rPr>
      </w:pPr>
      <w:r w:rsidRPr="00F71A22">
        <w:rPr>
          <w:szCs w:val="18"/>
        </w:rPr>
        <w:t>A</w:t>
      </w:r>
      <w:r w:rsidRPr="00F71A22">
        <w:rPr>
          <w:rFonts w:cstheme="minorHAnsi"/>
          <w:szCs w:val="18"/>
        </w:rPr>
        <w:t xml:space="preserve">s at 30 September 2019, 17,800 </w:t>
      </w:r>
      <w:r w:rsidR="0001666F">
        <w:rPr>
          <w:rFonts w:cstheme="minorHAnsi"/>
          <w:szCs w:val="18"/>
        </w:rPr>
        <w:t>job-ready</w:t>
      </w:r>
      <w:r w:rsidRPr="00F71A22">
        <w:rPr>
          <w:rFonts w:cstheme="minorHAnsi"/>
          <w:szCs w:val="18"/>
        </w:rPr>
        <w:t xml:space="preserve"> job seekers had agreed to a Job Plan that commenced them in the OEST.</w:t>
      </w:r>
    </w:p>
    <w:p w14:paraId="4FB2863F" w14:textId="2BC26F8C" w:rsidR="007E6852" w:rsidRPr="00F71A22" w:rsidRDefault="007E6852" w:rsidP="007E6852">
      <w:pPr>
        <w:rPr>
          <w:rFonts w:cstheme="minorHAnsi"/>
        </w:rPr>
      </w:pPr>
      <w:bookmarkStart w:id="43" w:name="_Hlk53136668"/>
      <w:r w:rsidRPr="00F71A22">
        <w:t xml:space="preserve">The OEST was suspended </w:t>
      </w:r>
      <w:r w:rsidR="00CB61F4" w:rsidRPr="00F71A22">
        <w:t xml:space="preserve">as a trial </w:t>
      </w:r>
      <w:r w:rsidR="0069576E">
        <w:t>in mid-</w:t>
      </w:r>
      <w:r w:rsidR="0089490D">
        <w:t xml:space="preserve">April 2020 </w:t>
      </w:r>
      <w:r w:rsidR="00CB61F4" w:rsidRPr="00F71A22">
        <w:t xml:space="preserve">because </w:t>
      </w:r>
      <w:r w:rsidRPr="00F71A22">
        <w:t>with the advent of the COVID-19 pandemic</w:t>
      </w:r>
      <w:r w:rsidR="00CB61F4" w:rsidRPr="00F71A22">
        <w:t xml:space="preserve"> demand for employment services changed rapidly and dramatically. </w:t>
      </w:r>
      <w:r w:rsidRPr="00F71A22">
        <w:rPr>
          <w:rFonts w:cstheme="minorHAnsi"/>
        </w:rPr>
        <w:t xml:space="preserve">Online Employment Services (OES) </w:t>
      </w:r>
      <w:r w:rsidR="00CB61F4" w:rsidRPr="00F71A22">
        <w:rPr>
          <w:rFonts w:cstheme="minorHAnsi"/>
        </w:rPr>
        <w:t xml:space="preserve">commenced </w:t>
      </w:r>
      <w:r w:rsidRPr="00F71A22">
        <w:rPr>
          <w:rFonts w:cstheme="minorHAnsi"/>
        </w:rPr>
        <w:t xml:space="preserve">in April 2020 </w:t>
      </w:r>
      <w:r w:rsidR="007249E4" w:rsidRPr="00F71A22">
        <w:rPr>
          <w:rFonts w:cstheme="minorHAnsi"/>
        </w:rPr>
        <w:t xml:space="preserve">as the mainstream online employment servicing platform on the jobactive website for </w:t>
      </w:r>
      <w:r w:rsidR="00A932B4">
        <w:rPr>
          <w:rFonts w:cstheme="minorHAnsi"/>
        </w:rPr>
        <w:t>job ready</w:t>
      </w:r>
      <w:r w:rsidR="007249E4" w:rsidRPr="00F71A22">
        <w:rPr>
          <w:rFonts w:cstheme="minorHAnsi"/>
        </w:rPr>
        <w:t xml:space="preserve"> job seekers </w:t>
      </w:r>
      <w:bookmarkEnd w:id="43"/>
      <w:r w:rsidRPr="00F71A22">
        <w:rPr>
          <w:rFonts w:cstheme="minorHAnsi"/>
        </w:rPr>
        <w:t xml:space="preserve">(see </w:t>
      </w:r>
      <w:r w:rsidR="009940F4" w:rsidRPr="002F58E3">
        <w:rPr>
          <w:rFonts w:cstheme="minorHAnsi"/>
          <w:b/>
          <w:bCs/>
        </w:rPr>
        <w:t>Section 1.3</w:t>
      </w:r>
      <w:r w:rsidRPr="00F71A22">
        <w:rPr>
          <w:rFonts w:cstheme="minorHAnsi"/>
        </w:rPr>
        <w:t>).</w:t>
      </w:r>
    </w:p>
    <w:p w14:paraId="6C92A26C" w14:textId="30D6AC03" w:rsidR="00345594" w:rsidRPr="00F71A22" w:rsidRDefault="00345594" w:rsidP="00345594">
      <w:pPr>
        <w:pStyle w:val="Heading3"/>
      </w:pPr>
      <w:bookmarkStart w:id="44" w:name="_Toc67042573"/>
      <w:r w:rsidRPr="00F71A22">
        <w:t>1.</w:t>
      </w:r>
      <w:r w:rsidR="007E6852" w:rsidRPr="00F71A22">
        <w:t>2</w:t>
      </w:r>
      <w:r w:rsidRPr="00F71A22">
        <w:t>.1 Eligibility criteria of the OEST</w:t>
      </w:r>
      <w:bookmarkEnd w:id="42"/>
      <w:bookmarkEnd w:id="44"/>
    </w:p>
    <w:p w14:paraId="237EF823" w14:textId="6F48DCF2" w:rsidR="00345594" w:rsidRPr="00F71A22" w:rsidRDefault="0052075B" w:rsidP="00345594">
      <w:pPr>
        <w:rPr>
          <w:lang w:val="en"/>
        </w:rPr>
      </w:pPr>
      <w:r w:rsidRPr="00F71A22">
        <w:rPr>
          <w:rFonts w:cstheme="minorHAnsi"/>
        </w:rPr>
        <w:t xml:space="preserve">The </w:t>
      </w:r>
      <w:r w:rsidR="00345594" w:rsidRPr="00F71A22">
        <w:rPr>
          <w:rFonts w:cstheme="minorHAnsi"/>
        </w:rPr>
        <w:t xml:space="preserve">OEST </w:t>
      </w:r>
      <w:r w:rsidR="00A31FDB" w:rsidRPr="00F71A22">
        <w:t>participants were randomly selected from eligible job seekers</w:t>
      </w:r>
      <w:r w:rsidR="007E6852" w:rsidRPr="00F71A22">
        <w:t xml:space="preserve"> who were:</w:t>
      </w:r>
      <w:bookmarkStart w:id="45" w:name="_Hlk49780665"/>
    </w:p>
    <w:p w14:paraId="2BF42224" w14:textId="77777777" w:rsidR="002F58E3" w:rsidRDefault="002F58E3" w:rsidP="002E6602">
      <w:pPr>
        <w:pStyle w:val="ListBullet"/>
      </w:pPr>
      <w:r>
        <w:t>newly registered with the</w:t>
      </w:r>
      <w:r w:rsidRPr="00CF7DC8">
        <w:t xml:space="preserve"> </w:t>
      </w:r>
      <w:r>
        <w:t>former Department of Human Services (DHS, now Services Australia) on or after 1 July 2018</w:t>
      </w:r>
    </w:p>
    <w:p w14:paraId="42EA3E16" w14:textId="77777777" w:rsidR="00803324" w:rsidRDefault="002F58E3" w:rsidP="002E6602">
      <w:pPr>
        <w:pStyle w:val="ListBullet"/>
      </w:pPr>
      <w:r>
        <w:t>in Stream A of jobactive with a</w:t>
      </w:r>
      <w:r w:rsidRPr="00F06ACF">
        <w:rPr>
          <w:bCs/>
        </w:rPr>
        <w:t xml:space="preserve"> low</w:t>
      </w:r>
      <w:r w:rsidRPr="00037A90">
        <w:rPr>
          <w:b/>
        </w:rPr>
        <w:t xml:space="preserve"> </w:t>
      </w:r>
      <w:r>
        <w:t>JSCI score</w:t>
      </w:r>
    </w:p>
    <w:p w14:paraId="4396A380" w14:textId="39D1DBCE" w:rsidR="002F58E3" w:rsidRDefault="002F58E3" w:rsidP="002E6602">
      <w:pPr>
        <w:pStyle w:val="ListBullet"/>
      </w:pPr>
      <w:r>
        <w:t xml:space="preserve">receiving Newstart Allowance (NSA, </w:t>
      </w:r>
      <w:r w:rsidR="004D4C9B">
        <w:t xml:space="preserve">which became the </w:t>
      </w:r>
      <w:r>
        <w:t>JobSeeker Payment from 20</w:t>
      </w:r>
      <w:r w:rsidR="00473244">
        <w:t> </w:t>
      </w:r>
      <w:r>
        <w:t>March</w:t>
      </w:r>
      <w:r w:rsidR="004D4C9B">
        <w:t> </w:t>
      </w:r>
      <w:r>
        <w:t xml:space="preserve">2020), or Youth Allowance </w:t>
      </w:r>
      <w:r w:rsidRPr="0094094B">
        <w:t>(other</w:t>
      </w:r>
      <w:r w:rsidR="004D4C9B">
        <w:t>)</w:t>
      </w:r>
      <w:r w:rsidRPr="0094094B">
        <w:t xml:space="preserve"> </w:t>
      </w:r>
      <w:r w:rsidR="004D4C9B">
        <w:t>(</w:t>
      </w:r>
      <w:r w:rsidRPr="0094094B">
        <w:t>YA(o)</w:t>
      </w:r>
      <w:r>
        <w:t>)</w:t>
      </w:r>
    </w:p>
    <w:p w14:paraId="050B4078" w14:textId="560CE46A" w:rsidR="002F58E3" w:rsidRDefault="002F58E3" w:rsidP="002E6602">
      <w:pPr>
        <w:pStyle w:val="ListBullet"/>
      </w:pPr>
      <w:r>
        <w:t xml:space="preserve">RapidConnect eligible (RapidConnect </w:t>
      </w:r>
      <w:r w:rsidR="004D4C9B">
        <w:t xml:space="preserve">was </w:t>
      </w:r>
      <w:r>
        <w:t>a Social Security policy that connect</w:t>
      </w:r>
      <w:r w:rsidR="004D4C9B">
        <w:t>ed</w:t>
      </w:r>
      <w:r>
        <w:t xml:space="preserve"> NSA and YA(o) recipients with an employment service provider in a timely manner)</w:t>
      </w:r>
      <w:r w:rsidR="00D8571A">
        <w:rPr>
          <w:rStyle w:val="FootnoteReference"/>
        </w:rPr>
        <w:footnoteReference w:id="5"/>
      </w:r>
    </w:p>
    <w:p w14:paraId="1BB4DC57" w14:textId="77777777" w:rsidR="002F58E3" w:rsidRDefault="002F58E3" w:rsidP="002E6602">
      <w:pPr>
        <w:pStyle w:val="ListBullet"/>
      </w:pPr>
      <w:r>
        <w:t>subject to full-time MORs</w:t>
      </w:r>
    </w:p>
    <w:p w14:paraId="0E8F9AB4" w14:textId="77777777" w:rsidR="00803324" w:rsidRDefault="002F58E3" w:rsidP="002E6602">
      <w:pPr>
        <w:pStyle w:val="ListBullet"/>
      </w:pPr>
      <w:r>
        <w:lastRenderedPageBreak/>
        <w:t>registered in the Employment Services System (ESS)</w:t>
      </w:r>
      <w:r w:rsidRPr="001D5EE5">
        <w:t xml:space="preserve"> </w:t>
      </w:r>
      <w:r>
        <w:t>with an email address or a mobile phone number.</w:t>
      </w:r>
    </w:p>
    <w:p w14:paraId="3823BEB5" w14:textId="77777777" w:rsidR="00803324" w:rsidRDefault="005C4AD9" w:rsidP="00345594">
      <w:r w:rsidRPr="00F71A22">
        <w:t>To commence in the trial</w:t>
      </w:r>
      <w:r w:rsidR="00104020" w:rsidRPr="00F71A22">
        <w:t>,</w:t>
      </w:r>
      <w:r w:rsidRPr="00F71A22">
        <w:t xml:space="preserve"> job seekers were required to accept a system generated </w:t>
      </w:r>
      <w:r w:rsidR="005D4F9B" w:rsidRPr="00F71A22">
        <w:t>J</w:t>
      </w:r>
      <w:r w:rsidRPr="00F71A22">
        <w:t xml:space="preserve">ob </w:t>
      </w:r>
      <w:r w:rsidR="005D4F9B" w:rsidRPr="00F71A22">
        <w:t>P</w:t>
      </w:r>
      <w:r w:rsidRPr="00F71A22">
        <w:t xml:space="preserve">lan. </w:t>
      </w:r>
      <w:r w:rsidR="00104020" w:rsidRPr="00F71A22">
        <w:t>J</w:t>
      </w:r>
      <w:r w:rsidRPr="00F71A22">
        <w:t>ob seekers could opt out before commencing the trial, or at any time during the trial.</w:t>
      </w:r>
    </w:p>
    <w:p w14:paraId="0515E54B" w14:textId="362EB007" w:rsidR="002F58E3" w:rsidRDefault="002F58E3" w:rsidP="002F58E3">
      <w:bookmarkStart w:id="46" w:name="_Toc49256393"/>
      <w:bookmarkEnd w:id="45"/>
      <w:r>
        <w:t xml:space="preserve">Participants could remain in OEST for up to </w:t>
      </w:r>
      <w:r w:rsidR="00F268EF">
        <w:t>six</w:t>
      </w:r>
      <w:r>
        <w:t> months, after which they were transferred to a jobactive provider. The online system tracked demerit points accrued by trial participants who did</w:t>
      </w:r>
      <w:r w:rsidRPr="00D950ED">
        <w:t xml:space="preserve"> not meet their MORs during the </w:t>
      </w:r>
      <w:r>
        <w:t xml:space="preserve">trial. Those who incurred </w:t>
      </w:r>
      <w:r w:rsidR="00F268EF">
        <w:t>three</w:t>
      </w:r>
      <w:r>
        <w:t xml:space="preserve"> demerits were automatically transferred out of the trial to a jobactive provider.</w:t>
      </w:r>
    </w:p>
    <w:p w14:paraId="3E2CD827" w14:textId="3ED35106" w:rsidR="00345594" w:rsidRPr="00F71A22" w:rsidRDefault="00B42CC1" w:rsidP="00345594">
      <w:pPr>
        <w:pStyle w:val="Heading3"/>
      </w:pPr>
      <w:bookmarkStart w:id="47" w:name="_Toc67042574"/>
      <w:r w:rsidRPr="00F71A22">
        <w:t>1.</w:t>
      </w:r>
      <w:r w:rsidR="007E6852" w:rsidRPr="00F71A22">
        <w:t>2</w:t>
      </w:r>
      <w:r w:rsidRPr="00F71A22">
        <w:t xml:space="preserve">.2 </w:t>
      </w:r>
      <w:r w:rsidR="00345594" w:rsidRPr="00F71A22">
        <w:t>OEST services</w:t>
      </w:r>
      <w:bookmarkEnd w:id="46"/>
      <w:bookmarkEnd w:id="47"/>
    </w:p>
    <w:p w14:paraId="596D2E20" w14:textId="74B1729F" w:rsidR="00ED12F0" w:rsidRPr="00F71A22" w:rsidRDefault="00345594" w:rsidP="00345594">
      <w:r w:rsidRPr="00F71A22">
        <w:t xml:space="preserve">OEST participants were </w:t>
      </w:r>
      <w:r w:rsidR="00010DA1" w:rsidRPr="00F71A22">
        <w:t>assisted</w:t>
      </w:r>
      <w:r w:rsidRPr="00F71A22">
        <w:t xml:space="preserve"> through the jobactive website. Website features include</w:t>
      </w:r>
      <w:r w:rsidR="005D4F9B" w:rsidRPr="00F71A22">
        <w:t>d</w:t>
      </w:r>
      <w:r w:rsidRPr="00F71A22">
        <w:t xml:space="preserve"> </w:t>
      </w:r>
      <w:r w:rsidR="0067258E" w:rsidRPr="00F71A22">
        <w:t xml:space="preserve">the ability to </w:t>
      </w:r>
      <w:r w:rsidR="0066190D" w:rsidRPr="00F71A22">
        <w:t>agree to</w:t>
      </w:r>
      <w:r w:rsidR="00ED12F0" w:rsidRPr="00F71A22">
        <w:t xml:space="preserve"> a </w:t>
      </w:r>
      <w:r w:rsidR="005D4F9B" w:rsidRPr="00F71A22">
        <w:t>J</w:t>
      </w:r>
      <w:r w:rsidR="00ED12F0" w:rsidRPr="00F71A22">
        <w:t xml:space="preserve">ob </w:t>
      </w:r>
      <w:r w:rsidR="005D4F9B" w:rsidRPr="00F71A22">
        <w:t>P</w:t>
      </w:r>
      <w:r w:rsidR="00ED12F0" w:rsidRPr="00F71A22">
        <w:t>lan</w:t>
      </w:r>
      <w:r w:rsidR="0067258E" w:rsidRPr="00F71A22">
        <w:t xml:space="preserve">, access resources </w:t>
      </w:r>
      <w:r w:rsidR="00ED12F0" w:rsidRPr="00F71A22">
        <w:t>and instructional videos</w:t>
      </w:r>
      <w:r w:rsidR="00E50A5D" w:rsidRPr="00F71A22">
        <w:t xml:space="preserve"> on topics including training and compliance</w:t>
      </w:r>
      <w:r w:rsidR="0067258E" w:rsidRPr="00F71A22">
        <w:t xml:space="preserve">, </w:t>
      </w:r>
      <w:r w:rsidR="00ED12F0" w:rsidRPr="00F71A22">
        <w:t xml:space="preserve">search for jobs, </w:t>
      </w:r>
      <w:r w:rsidR="0066190D" w:rsidRPr="00F71A22">
        <w:t>create</w:t>
      </w:r>
      <w:r w:rsidR="00ED12F0" w:rsidRPr="00F71A22">
        <w:t xml:space="preserve"> a career profile, set up job alerts, </w:t>
      </w:r>
      <w:r w:rsidR="0067258E" w:rsidRPr="00F71A22">
        <w:t xml:space="preserve">and </w:t>
      </w:r>
      <w:r w:rsidR="0066190D" w:rsidRPr="00F71A22">
        <w:t xml:space="preserve">report </w:t>
      </w:r>
      <w:r w:rsidR="0067258E" w:rsidRPr="00F71A22">
        <w:t>job search efforts in order to meet MORs</w:t>
      </w:r>
      <w:r w:rsidRPr="00F71A22">
        <w:t xml:space="preserve">. </w:t>
      </w:r>
      <w:r w:rsidR="007E6852" w:rsidRPr="00F71A22">
        <w:t xml:space="preserve">The service guarantee to job seekers in digital employment services is found </w:t>
      </w:r>
      <w:r w:rsidR="00F14BE4">
        <w:t xml:space="preserve">on the </w:t>
      </w:r>
      <w:hyperlink r:id="rId18" w:history="1">
        <w:r w:rsidR="00F14BE4" w:rsidRPr="00F14BE4">
          <w:rPr>
            <w:rStyle w:val="Hyperlink"/>
          </w:rPr>
          <w:t>Online Employment Services Guarantee page</w:t>
        </w:r>
      </w:hyperlink>
      <w:r w:rsidR="00F14BE4">
        <w:t xml:space="preserve"> of the Department of Education, Skills and Employment website</w:t>
      </w:r>
      <w:r w:rsidR="005314E1">
        <w:t>.</w:t>
      </w:r>
      <w:r w:rsidR="000D4B3A" w:rsidRPr="005314E1">
        <w:rPr>
          <w:rStyle w:val="FootnoteReference"/>
        </w:rPr>
        <w:footnoteReference w:id="6"/>
      </w:r>
    </w:p>
    <w:p w14:paraId="1D71845F" w14:textId="77777777" w:rsidR="00803324" w:rsidRDefault="00345594" w:rsidP="00345594">
      <w:r w:rsidRPr="00F71A22">
        <w:t>OEST participants were unable to access the Employment Fund</w:t>
      </w:r>
      <w:r w:rsidR="007E6852" w:rsidRPr="00F71A22">
        <w:t xml:space="preserve"> (a flexible pool of funds available to jobactive providers to offer tailored support to job seekers)</w:t>
      </w:r>
      <w:r w:rsidRPr="00F71A22">
        <w:t xml:space="preserve"> or relocation assistance during online servicing.</w:t>
      </w:r>
    </w:p>
    <w:p w14:paraId="5F8DEA1A" w14:textId="77777777" w:rsidR="00803324" w:rsidRDefault="00345594" w:rsidP="00345594">
      <w:r w:rsidRPr="00F71A22">
        <w:t xml:space="preserve">Over the life of the OEST, a number of policy and systems changes, events and improvements to the jobactive website </w:t>
      </w:r>
      <w:r w:rsidR="0066190D" w:rsidRPr="00F71A22">
        <w:t>were</w:t>
      </w:r>
      <w:r w:rsidRPr="00F71A22">
        <w:t xml:space="preserve"> made (</w:t>
      </w:r>
      <w:r w:rsidR="00814610" w:rsidRPr="00F71A22">
        <w:t xml:space="preserve">refer </w:t>
      </w:r>
      <w:r w:rsidR="002F58E3">
        <w:t xml:space="preserve">to </w:t>
      </w:r>
      <w:r w:rsidRPr="00F71A22">
        <w:rPr>
          <w:b/>
          <w:bCs/>
        </w:rPr>
        <w:t xml:space="preserve">Appendix </w:t>
      </w:r>
      <w:r w:rsidR="005D2086" w:rsidRPr="00F71A22">
        <w:rPr>
          <w:b/>
          <w:bCs/>
        </w:rPr>
        <w:t>B</w:t>
      </w:r>
      <w:r w:rsidR="00814610" w:rsidRPr="00F71A22">
        <w:rPr>
          <w:b/>
          <w:bCs/>
        </w:rPr>
        <w:t xml:space="preserve"> </w:t>
      </w:r>
      <w:r w:rsidR="00814610" w:rsidRPr="00F71A22">
        <w:rPr>
          <w:bCs/>
        </w:rPr>
        <w:t>for details</w:t>
      </w:r>
      <w:r w:rsidRPr="00F71A22">
        <w:t>).</w:t>
      </w:r>
    </w:p>
    <w:p w14:paraId="5D91E50A" w14:textId="26EFFB71" w:rsidR="009940F4" w:rsidRPr="00F71A22" w:rsidRDefault="009940F4" w:rsidP="009940F4">
      <w:pPr>
        <w:pStyle w:val="Heading2"/>
      </w:pPr>
      <w:bookmarkStart w:id="48" w:name="_Toc52332843"/>
      <w:bookmarkStart w:id="49" w:name="_Toc67042575"/>
      <w:bookmarkStart w:id="50" w:name="_Toc52332844"/>
      <w:bookmarkEnd w:id="11"/>
      <w:r w:rsidRPr="00F71A22">
        <w:t xml:space="preserve">1.3 </w:t>
      </w:r>
      <w:bookmarkEnd w:id="48"/>
      <w:r w:rsidRPr="00F71A22">
        <w:t>Recent developments</w:t>
      </w:r>
      <w:bookmarkEnd w:id="49"/>
    </w:p>
    <w:p w14:paraId="50CF6702" w14:textId="77777777" w:rsidR="00803324" w:rsidRDefault="009940F4" w:rsidP="00F712C8">
      <w:r w:rsidRPr="00F71A22">
        <w:t xml:space="preserve">Since the </w:t>
      </w:r>
      <w:r w:rsidR="00D8571A">
        <w:t>two</w:t>
      </w:r>
      <w:r w:rsidRPr="00F71A22">
        <w:t xml:space="preserve"> trials </w:t>
      </w:r>
      <w:r w:rsidR="0078067B" w:rsidRPr="00F71A22">
        <w:t xml:space="preserve">(the OEST and the Online JSCI Trial) </w:t>
      </w:r>
      <w:r w:rsidRPr="00F71A22">
        <w:t>were announced, the digital employment services environment has changed fundamentally.</w:t>
      </w:r>
    </w:p>
    <w:p w14:paraId="1ADB221A" w14:textId="625ACF4B" w:rsidR="009940F4" w:rsidRPr="00F71A22" w:rsidRDefault="009940F4" w:rsidP="009940F4">
      <w:pPr>
        <w:pStyle w:val="Heading3"/>
      </w:pPr>
      <w:bookmarkStart w:id="51" w:name="_Toc67042576"/>
      <w:r w:rsidRPr="00F71A22">
        <w:lastRenderedPageBreak/>
        <w:t>1.3.1 New Employment Service</w:t>
      </w:r>
      <w:bookmarkEnd w:id="50"/>
      <w:bookmarkEnd w:id="51"/>
    </w:p>
    <w:p w14:paraId="42249F47" w14:textId="699D6FBA" w:rsidR="002F58E3" w:rsidRDefault="002F58E3" w:rsidP="002F58E3">
      <w:bookmarkStart w:id="52" w:name="_Toc52332845"/>
      <w:r>
        <w:t xml:space="preserve">Informed by the OEST and the Online JSCI Trial, and earlier work, the department </w:t>
      </w:r>
      <w:r w:rsidR="00D8571A">
        <w:t xml:space="preserve">commenced a trial of </w:t>
      </w:r>
      <w:r w:rsidRPr="003A5DE0">
        <w:t xml:space="preserve">key elements of the </w:t>
      </w:r>
      <w:r>
        <w:t xml:space="preserve">New Employment Services Model (NESM) </w:t>
      </w:r>
      <w:r w:rsidRPr="003A5DE0">
        <w:t xml:space="preserve">in </w:t>
      </w:r>
      <w:r w:rsidR="00D31119">
        <w:t>two</w:t>
      </w:r>
      <w:r>
        <w:t xml:space="preserve"> regions, Adelaide South (South Australia) and Mid North Coast (New South Wales), from 1 July 2019.</w:t>
      </w:r>
    </w:p>
    <w:p w14:paraId="4CDD9FF1" w14:textId="77777777" w:rsidR="00803324" w:rsidRDefault="002F58E3" w:rsidP="002F58E3">
      <w:pPr>
        <w:autoSpaceDE w:val="0"/>
        <w:autoSpaceDN w:val="0"/>
        <w:adjustRightInd w:val="0"/>
        <w:spacing w:after="0"/>
      </w:pPr>
      <w:r>
        <w:t>Under the NESM, job seekers who are job-ready and digitally literate (much like those in the OEST) are placed into Digital First to self-service online. Job seekers who need some extra support can access Digital Plus,</w:t>
      </w:r>
      <w:r w:rsidDel="00DF17BD">
        <w:t xml:space="preserve"> </w:t>
      </w:r>
      <w:r>
        <w:t xml:space="preserve">where digital servicing is supplemented by additional support – </w:t>
      </w:r>
      <w:r w:rsidRPr="00F83957">
        <w:t>includ</w:t>
      </w:r>
      <w:r>
        <w:t>ing</w:t>
      </w:r>
      <w:r w:rsidRPr="00F83957">
        <w:t xml:space="preserve"> training to help</w:t>
      </w:r>
      <w:r>
        <w:t xml:space="preserve"> with</w:t>
      </w:r>
      <w:r w:rsidRPr="00F83957">
        <w:t xml:space="preserve"> us</w:t>
      </w:r>
      <w:r>
        <w:t>ing</w:t>
      </w:r>
      <w:r w:rsidRPr="00F83957">
        <w:t xml:space="preserve"> the digital service, work skills training, </w:t>
      </w:r>
      <w:r>
        <w:t>and</w:t>
      </w:r>
      <w:r w:rsidRPr="00F83957">
        <w:t xml:space="preserve"> funding to pay for </w:t>
      </w:r>
      <w:r>
        <w:t xml:space="preserve">things like </w:t>
      </w:r>
      <w:r w:rsidRPr="006E561F">
        <w:t>tools and</w:t>
      </w:r>
      <w:r w:rsidRPr="00F83957">
        <w:t xml:space="preserve"> licence</w:t>
      </w:r>
      <w:r>
        <w:t>s – in addition to face-to-face support from an employment services or training provider as needed. The most disadvantaged job seekers receive enhanced s</w:t>
      </w:r>
      <w:r w:rsidRPr="0094094B">
        <w:t>ervices</w:t>
      </w:r>
      <w:r>
        <w:t xml:space="preserve"> delivered through employment service providers.</w:t>
      </w:r>
    </w:p>
    <w:p w14:paraId="13C71334" w14:textId="3FAF8DBF" w:rsidR="009940F4" w:rsidRPr="00F71A22" w:rsidRDefault="009940F4" w:rsidP="009940F4">
      <w:pPr>
        <w:pStyle w:val="Heading3"/>
      </w:pPr>
      <w:bookmarkStart w:id="53" w:name="_Toc67042577"/>
      <w:r w:rsidRPr="00F71A22">
        <w:t>1.3.2 Online Employment Services</w:t>
      </w:r>
      <w:bookmarkEnd w:id="52"/>
      <w:bookmarkEnd w:id="53"/>
    </w:p>
    <w:p w14:paraId="5CA36117" w14:textId="7BD0DB24" w:rsidR="00803324" w:rsidRDefault="002F58E3" w:rsidP="009940F4">
      <w:pPr>
        <w:rPr>
          <w:rFonts w:cstheme="minorHAnsi"/>
        </w:rPr>
      </w:pPr>
      <w:r>
        <w:rPr>
          <w:rFonts w:cstheme="minorHAnsi"/>
        </w:rPr>
        <w:t>The impact of the COVID-19 pandemic fast-tracked digital provision of</w:t>
      </w:r>
      <w:r w:rsidR="003C48EE">
        <w:rPr>
          <w:rFonts w:cstheme="minorHAnsi"/>
        </w:rPr>
        <w:t xml:space="preserve"> online</w:t>
      </w:r>
      <w:r>
        <w:rPr>
          <w:rFonts w:cstheme="minorHAnsi"/>
        </w:rPr>
        <w:t xml:space="preserve"> employment services</w:t>
      </w:r>
      <w:r w:rsidR="003C48EE">
        <w:rPr>
          <w:rFonts w:cstheme="minorHAnsi"/>
        </w:rPr>
        <w:t xml:space="preserve"> (OES)</w:t>
      </w:r>
      <w:r>
        <w:rPr>
          <w:rFonts w:cstheme="minorHAnsi"/>
        </w:rPr>
        <w:t xml:space="preserve">. </w:t>
      </w:r>
      <w:r w:rsidRPr="00414824">
        <w:rPr>
          <w:rFonts w:cstheme="minorHAnsi"/>
        </w:rPr>
        <w:t xml:space="preserve">Created </w:t>
      </w:r>
      <w:r>
        <w:rPr>
          <w:rFonts w:cstheme="minorHAnsi"/>
        </w:rPr>
        <w:t>i</w:t>
      </w:r>
      <w:r w:rsidRPr="00414824">
        <w:rPr>
          <w:rFonts w:cstheme="minorHAnsi"/>
        </w:rPr>
        <w:t xml:space="preserve">n April 2020 </w:t>
      </w:r>
      <w:r>
        <w:rPr>
          <w:rFonts w:cstheme="minorHAnsi"/>
        </w:rPr>
        <w:t xml:space="preserve">because of a </w:t>
      </w:r>
      <w:r w:rsidRPr="00414824">
        <w:rPr>
          <w:rFonts w:cstheme="minorHAnsi"/>
        </w:rPr>
        <w:t>demand for Centrelink payments and employment services</w:t>
      </w:r>
      <w:r>
        <w:rPr>
          <w:rFonts w:cstheme="minorHAnsi"/>
        </w:rPr>
        <w:t>,</w:t>
      </w:r>
      <w:r w:rsidRPr="00414824">
        <w:rPr>
          <w:rFonts w:cstheme="minorHAnsi"/>
        </w:rPr>
        <w:t xml:space="preserve"> OES </w:t>
      </w:r>
      <w:r>
        <w:rPr>
          <w:rFonts w:cstheme="minorHAnsi"/>
        </w:rPr>
        <w:t xml:space="preserve">became </w:t>
      </w:r>
      <w:r w:rsidRPr="00414824">
        <w:rPr>
          <w:rFonts w:cstheme="minorHAnsi"/>
        </w:rPr>
        <w:t xml:space="preserve">the Australian Government’s mainstream online </w:t>
      </w:r>
      <w:r w:rsidRPr="00864F0F">
        <w:rPr>
          <w:rFonts w:cstheme="minorHAnsi"/>
        </w:rPr>
        <w:t xml:space="preserve">employment servicing platform on the </w:t>
      </w:r>
      <w:hyperlink r:id="rId19" w:history="1">
        <w:r w:rsidRPr="00864F0F">
          <w:rPr>
            <w:rStyle w:val="Hyperlink"/>
            <w:rFonts w:cstheme="minorHAnsi"/>
          </w:rPr>
          <w:t>jobactive website</w:t>
        </w:r>
      </w:hyperlink>
      <w:r w:rsidR="00B369C8">
        <w:rPr>
          <w:rStyle w:val="FootnoteReference"/>
          <w:rFonts w:cstheme="minorHAnsi"/>
          <w:color w:val="287BB3"/>
          <w:u w:val="single"/>
        </w:rPr>
        <w:footnoteReference w:id="7"/>
      </w:r>
      <w:r w:rsidR="005314E1" w:rsidRPr="00BD5333">
        <w:t xml:space="preserve"> </w:t>
      </w:r>
      <w:r w:rsidRPr="004943BF">
        <w:t xml:space="preserve">for </w:t>
      </w:r>
      <w:r w:rsidR="006D6AB7">
        <w:t xml:space="preserve">the most </w:t>
      </w:r>
      <w:r w:rsidR="0001666F">
        <w:t>job-ready</w:t>
      </w:r>
      <w:r w:rsidRPr="004943BF">
        <w:t xml:space="preserve"> job seekers</w:t>
      </w:r>
      <w:r w:rsidRPr="00864F0F">
        <w:rPr>
          <w:rFonts w:cstheme="minorHAnsi"/>
        </w:rPr>
        <w:t xml:space="preserve">. </w:t>
      </w:r>
      <w:r>
        <w:rPr>
          <w:rFonts w:cstheme="minorHAnsi"/>
        </w:rPr>
        <w:t xml:space="preserve">As at 30 </w:t>
      </w:r>
      <w:r w:rsidR="003F4D81">
        <w:rPr>
          <w:rFonts w:cstheme="minorHAnsi"/>
        </w:rPr>
        <w:t xml:space="preserve">September </w:t>
      </w:r>
      <w:r>
        <w:rPr>
          <w:rFonts w:cstheme="minorHAnsi"/>
        </w:rPr>
        <w:t>2020, 1.</w:t>
      </w:r>
      <w:r w:rsidR="00EF68E2">
        <w:rPr>
          <w:rFonts w:cstheme="minorHAnsi"/>
        </w:rPr>
        <w:t>25</w:t>
      </w:r>
      <w:r>
        <w:rPr>
          <w:rFonts w:cstheme="minorHAnsi"/>
        </w:rPr>
        <w:t> million job seekers had been referred to OES.</w:t>
      </w:r>
      <w:r w:rsidR="009940F4" w:rsidRPr="00F71A22">
        <w:rPr>
          <w:rFonts w:cstheme="minorHAnsi"/>
        </w:rPr>
        <w:t xml:space="preserve"> Based on JSCI assessments, job seekers were referred to provider servicing as required. Similar to the OEST, </w:t>
      </w:r>
      <w:r>
        <w:rPr>
          <w:rFonts w:cstheme="minorHAnsi"/>
        </w:rPr>
        <w:t xml:space="preserve">OES allows </w:t>
      </w:r>
      <w:r w:rsidR="009940F4" w:rsidRPr="00F71A22">
        <w:rPr>
          <w:rFonts w:cstheme="minorHAnsi"/>
        </w:rPr>
        <w:t xml:space="preserve">job seekers </w:t>
      </w:r>
      <w:r>
        <w:rPr>
          <w:rFonts w:cstheme="minorHAnsi"/>
        </w:rPr>
        <w:t>to</w:t>
      </w:r>
      <w:r w:rsidR="009940F4" w:rsidRPr="00F71A22">
        <w:rPr>
          <w:rFonts w:cstheme="minorHAnsi"/>
        </w:rPr>
        <w:t xml:space="preserve"> opt out of online servicing at any time.</w:t>
      </w:r>
    </w:p>
    <w:p w14:paraId="2CA93563" w14:textId="6D4DCC4C" w:rsidR="009940F4" w:rsidRPr="00F71A22" w:rsidRDefault="009940F4" w:rsidP="009940F4">
      <w:r w:rsidRPr="00F71A22">
        <w:rPr>
          <w:rFonts w:cstheme="minorHAnsi"/>
        </w:rPr>
        <w:t xml:space="preserve">Much like the OEST, OES enables job seekers to self-manage their job search and reporting requirements online. </w:t>
      </w:r>
      <w:r w:rsidRPr="00F71A22">
        <w:t xml:space="preserve">Participation in OES is time limited. Job seekers will normally be referred to a provider after a maximum of 12 months in OES (compared to </w:t>
      </w:r>
      <w:r w:rsidR="00F268EF">
        <w:t>six</w:t>
      </w:r>
      <w:r w:rsidRPr="00F71A22">
        <w:t xml:space="preserve"> months in OEST). However, there are </w:t>
      </w:r>
      <w:r w:rsidR="002F58E3">
        <w:t>exceptions – for example</w:t>
      </w:r>
      <w:r w:rsidRPr="00F71A22">
        <w:t>, job seekers who are earning or learning will remain in OES.</w:t>
      </w:r>
    </w:p>
    <w:p w14:paraId="16FDBFE3" w14:textId="77777777" w:rsidR="00803324" w:rsidRDefault="002F58E3" w:rsidP="002F58E3">
      <w:bookmarkStart w:id="54" w:name="_Toc47520076"/>
      <w:bookmarkStart w:id="55" w:name="_Toc49256396"/>
      <w:bookmarkStart w:id="56" w:name="_Toc49158716"/>
      <w:bookmarkStart w:id="57" w:name="_Toc49166629"/>
      <w:bookmarkStart w:id="58" w:name="_Toc49247907"/>
      <w:r>
        <w:rPr>
          <w:rFonts w:cstheme="minorHAnsi"/>
        </w:rPr>
        <w:t>A major change from the OEST is that once job seekers are referred to OES they will complete</w:t>
      </w:r>
      <w:r w:rsidRPr="00DC76BF">
        <w:t xml:space="preserve"> </w:t>
      </w:r>
      <w:r>
        <w:t xml:space="preserve">a Job Seeker Snapshot, which is the online version of the JSCI, and a Digital Assessment. </w:t>
      </w:r>
      <w:r w:rsidRPr="0094094B">
        <w:t>The Snapshot</w:t>
      </w:r>
      <w:r>
        <w:t xml:space="preserve"> and </w:t>
      </w:r>
      <w:r w:rsidR="00A932B4">
        <w:t>Digital Assessment</w:t>
      </w:r>
      <w:r>
        <w:t xml:space="preserve"> will identify job seekers who require provider support.</w:t>
      </w:r>
    </w:p>
    <w:p w14:paraId="5D14E792" w14:textId="02D09556" w:rsidR="004A294C" w:rsidRPr="00F71A22" w:rsidRDefault="004A294C">
      <w:pPr>
        <w:spacing w:before="0" w:after="160" w:line="259" w:lineRule="auto"/>
        <w:rPr>
          <w:rFonts w:ascii="Calibri" w:eastAsiaTheme="majorEastAsia" w:hAnsi="Calibri" w:cstheme="majorBidi"/>
          <w:b/>
          <w:color w:val="343741"/>
          <w:sz w:val="32"/>
          <w:szCs w:val="32"/>
        </w:rPr>
      </w:pPr>
      <w:r w:rsidRPr="00F71A22">
        <w:br w:type="page"/>
      </w:r>
    </w:p>
    <w:p w14:paraId="6F99B0B5" w14:textId="7E8B5589" w:rsidR="00345594" w:rsidRDefault="00345594" w:rsidP="00345594">
      <w:pPr>
        <w:pStyle w:val="Heading1"/>
      </w:pPr>
      <w:bookmarkStart w:id="59" w:name="_Toc67042578"/>
      <w:r w:rsidRPr="00F71A22">
        <w:lastRenderedPageBreak/>
        <w:t xml:space="preserve">Chapter 2. The </w:t>
      </w:r>
      <w:r w:rsidR="003C4508">
        <w:t>e</w:t>
      </w:r>
      <w:r w:rsidRPr="00F71A22">
        <w:t>valuation of the OEST</w:t>
      </w:r>
      <w:bookmarkEnd w:id="54"/>
      <w:bookmarkEnd w:id="55"/>
      <w:bookmarkEnd w:id="59"/>
    </w:p>
    <w:p w14:paraId="5B4F5AB5" w14:textId="798C1E47" w:rsidR="00403073" w:rsidRPr="00F71A22" w:rsidRDefault="00403073" w:rsidP="00082027">
      <w:r>
        <w:rPr>
          <w:noProof/>
        </w:rPr>
        <w:drawing>
          <wp:inline distT="0" distB="0" distL="0" distR="0" wp14:anchorId="0F727FF5" wp14:editId="2AB320D7">
            <wp:extent cx="5407163" cy="4568961"/>
            <wp:effectExtent l="0" t="0" r="3175" b="3175"/>
            <wp:docPr id="14" name="Picture 14" descr="Diagram showing the evaluation process of OEST.&#10;4 main reasons for evaluation are to: identify the barriers faced by participants in using digital services, identify advantages and disadvantages of online servicing, compare the performance of online servicing to provider servicing and identify cohorts that would benefit from extra support.&#10;3 main research activities were conducted: quantitative research using department administrative data between July 2018 and September 2019, quantitative surveys between March 2019 and November 2019 and qualitative research from October 2018 to Sept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EST evaluation diagram.png"/>
                    <pic:cNvPicPr/>
                  </pic:nvPicPr>
                  <pic:blipFill>
                    <a:blip r:embed="rId20"/>
                    <a:stretch>
                      <a:fillRect/>
                    </a:stretch>
                  </pic:blipFill>
                  <pic:spPr>
                    <a:xfrm>
                      <a:off x="0" y="0"/>
                      <a:ext cx="5407163" cy="4568961"/>
                    </a:xfrm>
                    <a:prstGeom prst="rect">
                      <a:avLst/>
                    </a:prstGeom>
                  </pic:spPr>
                </pic:pic>
              </a:graphicData>
            </a:graphic>
          </wp:inline>
        </w:drawing>
      </w:r>
    </w:p>
    <w:p w14:paraId="51EFD16D" w14:textId="77777777" w:rsidR="00803324" w:rsidRDefault="003C4508" w:rsidP="003C4508">
      <w:bookmarkStart w:id="60" w:name="_Toc47520078"/>
      <w:bookmarkStart w:id="61" w:name="_Toc49256398"/>
      <w:r>
        <w:t xml:space="preserve">This chapter details the evaluation approach, including the use </w:t>
      </w:r>
      <w:r w:rsidRPr="001F5AEE">
        <w:t>of mixed</w:t>
      </w:r>
      <w:r>
        <w:t>-</w:t>
      </w:r>
      <w:r w:rsidRPr="001F5AEE">
        <w:t>methods</w:t>
      </w:r>
      <w:r>
        <w:t xml:space="preserve"> analysis and data sources used in the evaluation</w:t>
      </w:r>
      <w:r w:rsidRPr="001F5AEE">
        <w:t>.</w:t>
      </w:r>
      <w:r w:rsidRPr="0007114F">
        <w:t xml:space="preserve"> </w:t>
      </w:r>
      <w:r>
        <w:t>A profile of the characteristics of the study populations is featured in this chapter, including details of the population’s size and profile and how it differed from the main study population.</w:t>
      </w:r>
    </w:p>
    <w:p w14:paraId="533C4449" w14:textId="1FB7316C" w:rsidR="00345594" w:rsidRPr="00F71A22" w:rsidRDefault="00345594" w:rsidP="00345594">
      <w:pPr>
        <w:pStyle w:val="Heading2"/>
      </w:pPr>
      <w:bookmarkStart w:id="62" w:name="_Toc67042579"/>
      <w:r w:rsidRPr="00F71A22">
        <w:t>2.</w:t>
      </w:r>
      <w:r w:rsidR="0066190D" w:rsidRPr="00F71A22">
        <w:t>1</w:t>
      </w:r>
      <w:r w:rsidRPr="00F71A22">
        <w:t xml:space="preserve"> Aim</w:t>
      </w:r>
      <w:r w:rsidR="0066190D" w:rsidRPr="00F71A22">
        <w:t>s</w:t>
      </w:r>
      <w:r w:rsidRPr="00F71A22">
        <w:t xml:space="preserve"> of the OEST evaluation</w:t>
      </w:r>
      <w:bookmarkEnd w:id="60"/>
      <w:bookmarkEnd w:id="61"/>
      <w:bookmarkEnd w:id="62"/>
    </w:p>
    <w:p w14:paraId="4A148866" w14:textId="3241C988" w:rsidR="00345594" w:rsidRPr="00F71A22" w:rsidRDefault="00001D29" w:rsidP="00345594">
      <w:r w:rsidRPr="00F71A22">
        <w:t>The objectives of the evaluation were to assess the appropriateness, efficiency and effectiveness of the trial. To this end</w:t>
      </w:r>
      <w:r w:rsidR="00AE0DE4" w:rsidRPr="00F71A22">
        <w:t>,</w:t>
      </w:r>
      <w:r w:rsidRPr="00F71A22">
        <w:t xml:space="preserve"> the</w:t>
      </w:r>
      <w:r w:rsidR="00345594" w:rsidRPr="00F71A22">
        <w:t xml:space="preserve"> OEST evaluation:</w:t>
      </w:r>
    </w:p>
    <w:p w14:paraId="1E4F0393" w14:textId="77777777" w:rsidR="00803324" w:rsidRDefault="00345594" w:rsidP="006E1227">
      <w:pPr>
        <w:pStyle w:val="ListBullet"/>
      </w:pPr>
      <w:r w:rsidRPr="00F71A22">
        <w:t>compare</w:t>
      </w:r>
      <w:r w:rsidR="005D2086" w:rsidRPr="00F71A22">
        <w:t>d</w:t>
      </w:r>
      <w:r w:rsidRPr="00F71A22">
        <w:t xml:space="preserve"> the performance of digital servic</w:t>
      </w:r>
      <w:r w:rsidR="00001D29" w:rsidRPr="00F71A22">
        <w:t>ing</w:t>
      </w:r>
      <w:r w:rsidRPr="00F71A22">
        <w:t xml:space="preserve"> to </w:t>
      </w:r>
      <w:r w:rsidR="005D2086" w:rsidRPr="00F71A22">
        <w:t>provider</w:t>
      </w:r>
      <w:r w:rsidRPr="00F71A22">
        <w:t xml:space="preserve"> servicing</w:t>
      </w:r>
    </w:p>
    <w:p w14:paraId="7D327033" w14:textId="77777777" w:rsidR="00803324" w:rsidRDefault="00345594" w:rsidP="006E1227">
      <w:pPr>
        <w:pStyle w:val="ListBullet"/>
      </w:pPr>
      <w:r w:rsidRPr="00F71A22">
        <w:t>identif</w:t>
      </w:r>
      <w:r w:rsidR="00001D29" w:rsidRPr="00F71A22">
        <w:t>ie</w:t>
      </w:r>
      <w:r w:rsidR="005D2086" w:rsidRPr="00F71A22">
        <w:t>d</w:t>
      </w:r>
      <w:r w:rsidRPr="00F71A22">
        <w:t xml:space="preserve"> the advantages and disadvantages of online servicing for job seekers</w:t>
      </w:r>
    </w:p>
    <w:p w14:paraId="7B118E90" w14:textId="5848D579" w:rsidR="00345594" w:rsidRPr="00F71A22" w:rsidRDefault="00345594" w:rsidP="006E1227">
      <w:pPr>
        <w:pStyle w:val="ListBullet"/>
      </w:pPr>
      <w:r w:rsidRPr="00F71A22">
        <w:lastRenderedPageBreak/>
        <w:t>identif</w:t>
      </w:r>
      <w:r w:rsidR="00001D29" w:rsidRPr="00F71A22">
        <w:t>ie</w:t>
      </w:r>
      <w:r w:rsidR="005D2086" w:rsidRPr="00F71A22">
        <w:t>d</w:t>
      </w:r>
      <w:r w:rsidR="00001D29" w:rsidRPr="00F71A22">
        <w:t xml:space="preserve"> the</w:t>
      </w:r>
      <w:r w:rsidRPr="00F71A22">
        <w:t xml:space="preserve"> barriers faced by job seekers in using digital service</w:t>
      </w:r>
      <w:r w:rsidR="005D2086" w:rsidRPr="00F71A22">
        <w:t>s</w:t>
      </w:r>
    </w:p>
    <w:p w14:paraId="6B973766" w14:textId="00875BD8" w:rsidR="00345594" w:rsidRPr="00F71A22" w:rsidRDefault="00345594" w:rsidP="006E1227">
      <w:pPr>
        <w:pStyle w:val="ListBullet"/>
      </w:pPr>
      <w:r w:rsidRPr="00F71A22">
        <w:t>identif</w:t>
      </w:r>
      <w:r w:rsidR="00001D29" w:rsidRPr="00F71A22">
        <w:t>ie</w:t>
      </w:r>
      <w:r w:rsidR="005D2086" w:rsidRPr="00F71A22">
        <w:t>d</w:t>
      </w:r>
      <w:r w:rsidRPr="00F71A22">
        <w:t xml:space="preserve"> cohorts that would benefit from extra support or tailoring of digital service</w:t>
      </w:r>
      <w:r w:rsidR="005D2086" w:rsidRPr="00F71A22">
        <w:t>s</w:t>
      </w:r>
      <w:r w:rsidRPr="00F71A22">
        <w:t>.</w:t>
      </w:r>
    </w:p>
    <w:p w14:paraId="6B789811" w14:textId="0C52D980" w:rsidR="00345594" w:rsidRPr="00F71A22" w:rsidRDefault="00345594" w:rsidP="00345594">
      <w:pPr>
        <w:pStyle w:val="Heading2"/>
      </w:pPr>
      <w:bookmarkStart w:id="63" w:name="_Toc47520079"/>
      <w:bookmarkStart w:id="64" w:name="_Toc49256399"/>
      <w:bookmarkStart w:id="65" w:name="_Toc67042580"/>
      <w:r w:rsidRPr="00F71A22">
        <w:t>2.</w:t>
      </w:r>
      <w:r w:rsidR="0066190D" w:rsidRPr="00F71A22">
        <w:t>2</w:t>
      </w:r>
      <w:r w:rsidRPr="00F71A22">
        <w:t xml:space="preserve"> Key evaluation questions</w:t>
      </w:r>
      <w:bookmarkEnd w:id="63"/>
      <w:bookmarkEnd w:id="64"/>
      <w:bookmarkEnd w:id="65"/>
    </w:p>
    <w:p w14:paraId="1A5326CE" w14:textId="77777777" w:rsidR="00803324" w:rsidRDefault="00345594" w:rsidP="00345594">
      <w:r w:rsidRPr="00F71A22">
        <w:t>The evaluation sought to address the following questions and examine whether the results varied by different cohorts of job seekers.</w:t>
      </w:r>
    </w:p>
    <w:p w14:paraId="7AA0E20E" w14:textId="13074E4A" w:rsidR="006A1EEE" w:rsidRPr="00F71A22" w:rsidRDefault="006A1EEE" w:rsidP="006A1EEE">
      <w:pPr>
        <w:pStyle w:val="Heading3"/>
      </w:pPr>
      <w:bookmarkStart w:id="66" w:name="_Toc51339403"/>
      <w:bookmarkStart w:id="67" w:name="_Toc67042581"/>
      <w:r w:rsidRPr="00F71A22">
        <w:t>Efficiency</w:t>
      </w:r>
      <w:bookmarkEnd w:id="66"/>
      <w:bookmarkEnd w:id="67"/>
    </w:p>
    <w:p w14:paraId="2034493A" w14:textId="639D0B3D" w:rsidR="009F41C7" w:rsidRPr="00F712C8" w:rsidRDefault="009F41C7" w:rsidP="00E41EF5">
      <w:pPr>
        <w:pStyle w:val="ListBullet"/>
      </w:pPr>
      <w:r w:rsidRPr="00F712C8">
        <w:t xml:space="preserve">What were the opt-out rates from the trial? What were the reasons for </w:t>
      </w:r>
      <w:r w:rsidR="001471B1" w:rsidRPr="00F712C8">
        <w:t xml:space="preserve">opting </w:t>
      </w:r>
      <w:r w:rsidRPr="00F712C8">
        <w:t xml:space="preserve">out from the OEST into </w:t>
      </w:r>
      <w:r w:rsidR="00834A53" w:rsidRPr="00F712C8">
        <w:t>provider</w:t>
      </w:r>
      <w:r w:rsidRPr="00F712C8">
        <w:t xml:space="preserve"> services?</w:t>
      </w:r>
    </w:p>
    <w:p w14:paraId="10EA0413" w14:textId="602F18CD" w:rsidR="009F41C7" w:rsidRPr="00F712C8" w:rsidRDefault="009F41C7" w:rsidP="00E41EF5">
      <w:pPr>
        <w:pStyle w:val="ListBullet"/>
      </w:pPr>
      <w:r w:rsidRPr="00F712C8">
        <w:t xml:space="preserve">What were the patterns of use of online services by </w:t>
      </w:r>
      <w:r w:rsidR="00834A53" w:rsidRPr="00F712C8">
        <w:t xml:space="preserve">OEST </w:t>
      </w:r>
      <w:r w:rsidRPr="00F712C8">
        <w:t>participants?</w:t>
      </w:r>
    </w:p>
    <w:p w14:paraId="7CAB03BF" w14:textId="77777777" w:rsidR="009F41C7" w:rsidRPr="00F712C8" w:rsidRDefault="009F41C7" w:rsidP="00E41EF5">
      <w:pPr>
        <w:pStyle w:val="ListBullet"/>
      </w:pPr>
      <w:r w:rsidRPr="00F712C8">
        <w:t>How efficient was the monitoring of job seeker compliance requirements in a digital environment?</w:t>
      </w:r>
    </w:p>
    <w:p w14:paraId="47BBB517" w14:textId="743B9240" w:rsidR="009F41C7" w:rsidRPr="00F712C8" w:rsidRDefault="009F41C7" w:rsidP="00E41EF5">
      <w:pPr>
        <w:pStyle w:val="ListBullet"/>
      </w:pPr>
      <w:r w:rsidRPr="00F712C8">
        <w:t xml:space="preserve">Was job search compliance similar between OEST participants and provider-serviced job </w:t>
      </w:r>
      <w:r w:rsidR="006A1EEE" w:rsidRPr="00F712C8">
        <w:t>seekers</w:t>
      </w:r>
      <w:r w:rsidRPr="00F712C8">
        <w:t>?</w:t>
      </w:r>
    </w:p>
    <w:p w14:paraId="071F1331" w14:textId="77777777" w:rsidR="009F41C7" w:rsidRPr="00F71A22" w:rsidRDefault="009F41C7" w:rsidP="009F41C7">
      <w:pPr>
        <w:pStyle w:val="Heading3"/>
      </w:pPr>
      <w:bookmarkStart w:id="68" w:name="_Toc67042582"/>
      <w:r w:rsidRPr="00F71A22">
        <w:t>Effectiveness</w:t>
      </w:r>
      <w:bookmarkEnd w:id="68"/>
    </w:p>
    <w:p w14:paraId="4E2FFE7D" w14:textId="77777777" w:rsidR="009F41C7" w:rsidRPr="00F71A22" w:rsidRDefault="009F41C7" w:rsidP="00E41EF5">
      <w:pPr>
        <w:pStyle w:val="ListBullet"/>
      </w:pPr>
      <w:r w:rsidRPr="00F71A22">
        <w:t>Did digital services affect the probability of job seekers finding employment?</w:t>
      </w:r>
    </w:p>
    <w:p w14:paraId="2242EA63" w14:textId="021CA7D4" w:rsidR="009F41C7" w:rsidRPr="00F71A22" w:rsidRDefault="009F41C7" w:rsidP="00E41EF5">
      <w:pPr>
        <w:pStyle w:val="ListBullet"/>
      </w:pPr>
      <w:r w:rsidRPr="00F71A22">
        <w:t xml:space="preserve">How did exits from employment services and income support compare between OEST participants and provider-serviced job </w:t>
      </w:r>
      <w:r w:rsidR="006A1EEE" w:rsidRPr="00F71A22">
        <w:t>seekers</w:t>
      </w:r>
      <w:r w:rsidRPr="00F71A22">
        <w:t>?</w:t>
      </w:r>
    </w:p>
    <w:p w14:paraId="7C269DCB" w14:textId="77777777" w:rsidR="009F41C7" w:rsidRPr="00F71A22" w:rsidRDefault="009F41C7" w:rsidP="00E41EF5">
      <w:pPr>
        <w:pStyle w:val="ListBullet"/>
      </w:pPr>
      <w:r w:rsidRPr="00F71A22">
        <w:t>How did employment rates for job seekers in OEST compare with provider-serviced job seekers</w:t>
      </w:r>
      <w:r w:rsidRPr="00F71A22" w:rsidDel="00763613">
        <w:t xml:space="preserve"> </w:t>
      </w:r>
      <w:r w:rsidRPr="00F71A22">
        <w:t>over time?</w:t>
      </w:r>
    </w:p>
    <w:p w14:paraId="70808009" w14:textId="10B0FCCF" w:rsidR="009F41C7" w:rsidRPr="00F71A22" w:rsidRDefault="009F41C7" w:rsidP="00E41EF5">
      <w:pPr>
        <w:pStyle w:val="ListBullet"/>
      </w:pPr>
      <w:r w:rsidRPr="00F71A22">
        <w:t>How did the online delivery of services affect job seekers’ job search skills and experience?</w:t>
      </w:r>
    </w:p>
    <w:p w14:paraId="70DF5DEC" w14:textId="65381464" w:rsidR="00D37BD7" w:rsidRPr="00F71A22" w:rsidRDefault="00D37BD7" w:rsidP="00E41EF5">
      <w:pPr>
        <w:pStyle w:val="ListBullet"/>
      </w:pPr>
      <w:r w:rsidRPr="00F71A22">
        <w:t xml:space="preserve">Is digital servicing more cost efficient for government compared to </w:t>
      </w:r>
      <w:r w:rsidR="00E95AD9" w:rsidRPr="00F71A22">
        <w:t>provider</w:t>
      </w:r>
      <w:r w:rsidRPr="00F71A22">
        <w:t xml:space="preserve"> services?</w:t>
      </w:r>
    </w:p>
    <w:p w14:paraId="0CBCCCE3" w14:textId="6F1F8114" w:rsidR="009F41C7" w:rsidRPr="00F71A22" w:rsidRDefault="009F41C7" w:rsidP="009F41C7">
      <w:r w:rsidRPr="00F71A22">
        <w:t xml:space="preserve">The evaluation also </w:t>
      </w:r>
      <w:r w:rsidR="00834A53" w:rsidRPr="00F71A22">
        <w:t>explored participants’ experience and satisfaction with the OEST:</w:t>
      </w:r>
    </w:p>
    <w:p w14:paraId="02BE041F" w14:textId="77777777" w:rsidR="009F41C7" w:rsidRPr="00F71A22" w:rsidRDefault="009F41C7" w:rsidP="00E41EF5">
      <w:pPr>
        <w:pStyle w:val="ListBullet"/>
      </w:pPr>
      <w:r w:rsidRPr="00F71A22">
        <w:t>What were job seekers’ expectations and experiences – were they satisfied?</w:t>
      </w:r>
    </w:p>
    <w:p w14:paraId="4EB0CACA" w14:textId="0F2C6BB3" w:rsidR="009F41C7" w:rsidRPr="00F71A22" w:rsidRDefault="009F41C7" w:rsidP="00E41EF5">
      <w:pPr>
        <w:pStyle w:val="ListBullet"/>
      </w:pPr>
      <w:r w:rsidRPr="00F71A22">
        <w:t>What were providers</w:t>
      </w:r>
      <w:r w:rsidR="005314E1">
        <w:t>’</w:t>
      </w:r>
      <w:r w:rsidRPr="00F71A22">
        <w:t xml:space="preserve"> and peak bodies’ views about online services provision?</w:t>
      </w:r>
    </w:p>
    <w:p w14:paraId="64A92C1D" w14:textId="77777777" w:rsidR="009F41C7" w:rsidRPr="00F71A22" w:rsidRDefault="009F41C7" w:rsidP="00E41EF5">
      <w:pPr>
        <w:pStyle w:val="ListBullet"/>
      </w:pPr>
      <w:r w:rsidRPr="00F71A22">
        <w:t>What were the barriers faced by job seekers in using the online service?</w:t>
      </w:r>
    </w:p>
    <w:p w14:paraId="490E3677" w14:textId="77777777" w:rsidR="009F41C7" w:rsidRPr="00F71A22" w:rsidRDefault="009F41C7" w:rsidP="00E41EF5">
      <w:pPr>
        <w:pStyle w:val="ListBullet"/>
      </w:pPr>
      <w:r w:rsidRPr="00F71A22">
        <w:lastRenderedPageBreak/>
        <w:t>What were the advantages and disadvantages of online servicing for different cohorts of job seekers?</w:t>
      </w:r>
    </w:p>
    <w:p w14:paraId="2715D1EF" w14:textId="68219121" w:rsidR="00345594" w:rsidRPr="00F71A22" w:rsidRDefault="00345594" w:rsidP="00345594">
      <w:pPr>
        <w:pStyle w:val="Heading2"/>
      </w:pPr>
      <w:bookmarkStart w:id="69" w:name="_Toc47520080"/>
      <w:bookmarkStart w:id="70" w:name="_Toc49256400"/>
      <w:bookmarkStart w:id="71" w:name="_Toc67042583"/>
      <w:r w:rsidRPr="00F71A22">
        <w:t>2.</w:t>
      </w:r>
      <w:r w:rsidR="0066190D" w:rsidRPr="00F71A22">
        <w:t>3</w:t>
      </w:r>
      <w:r w:rsidRPr="00F71A22">
        <w:t xml:space="preserve"> Method</w:t>
      </w:r>
      <w:bookmarkEnd w:id="69"/>
      <w:bookmarkEnd w:id="70"/>
      <w:r w:rsidR="004A294C" w:rsidRPr="00F71A22">
        <w:t>ology</w:t>
      </w:r>
      <w:bookmarkEnd w:id="71"/>
    </w:p>
    <w:p w14:paraId="5C4873B4" w14:textId="77777777" w:rsidR="00803324" w:rsidRDefault="00345594" w:rsidP="00F712C8">
      <w:r w:rsidRPr="00F71A22">
        <w:t xml:space="preserve">The evaluation of </w:t>
      </w:r>
      <w:r w:rsidR="003C4508">
        <w:t xml:space="preserve">the </w:t>
      </w:r>
      <w:r w:rsidRPr="00F71A22">
        <w:t>OEST used a mixed methods approach. It included:</w:t>
      </w:r>
    </w:p>
    <w:p w14:paraId="23BF2E8C" w14:textId="77777777" w:rsidR="00803324" w:rsidRDefault="003C4508" w:rsidP="00DE3738">
      <w:pPr>
        <w:pStyle w:val="ListBullet"/>
      </w:pPr>
      <w:bookmarkStart w:id="72" w:name="_Toc47520081"/>
      <w:bookmarkStart w:id="73" w:name="_Toc49256401"/>
      <w:r>
        <w:t xml:space="preserve">qualitative research that involved analysis of the </w:t>
      </w:r>
      <w:r w:rsidRPr="00EA517E">
        <w:t xml:space="preserve">perceptions and experiences of </w:t>
      </w:r>
      <w:r>
        <w:t>the OEST from</w:t>
      </w:r>
      <w:r w:rsidRPr="00EA517E">
        <w:t xml:space="preserve"> </w:t>
      </w:r>
      <w:r>
        <w:t xml:space="preserve">focus group discussions and in-depth interviews with participants and </w:t>
      </w:r>
      <w:r w:rsidRPr="00EA517E">
        <w:t>stakeholder</w:t>
      </w:r>
      <w:r>
        <w:t>s</w:t>
      </w:r>
    </w:p>
    <w:p w14:paraId="3FB96F60" w14:textId="44FD082F" w:rsidR="003C4508" w:rsidRDefault="005F71FF" w:rsidP="00DE3738">
      <w:pPr>
        <w:pStyle w:val="ListBullet"/>
      </w:pPr>
      <w:r>
        <w:t>t</w:t>
      </w:r>
      <w:r w:rsidR="00473244">
        <w:t>hree</w:t>
      </w:r>
      <w:r w:rsidR="003C4508">
        <w:t xml:space="preserve"> waves of a quantitative </w:t>
      </w:r>
      <w:r w:rsidR="003C4508" w:rsidRPr="00EA517E">
        <w:t>survey</w:t>
      </w:r>
      <w:r w:rsidR="003C4508">
        <w:t xml:space="preserve"> that </w:t>
      </w:r>
      <w:r w:rsidR="003C4508" w:rsidRPr="00EA517E">
        <w:t>provide</w:t>
      </w:r>
      <w:r w:rsidR="003C4508">
        <w:t>d</w:t>
      </w:r>
      <w:r w:rsidR="003C4508" w:rsidRPr="00EA517E">
        <w:t xml:space="preserve"> </w:t>
      </w:r>
      <w:r w:rsidR="003C4508">
        <w:t xml:space="preserve">further </w:t>
      </w:r>
      <w:r w:rsidR="003C4508" w:rsidRPr="00EA517E">
        <w:t xml:space="preserve">information </w:t>
      </w:r>
      <w:r w:rsidR="003C4508">
        <w:t>about the</w:t>
      </w:r>
      <w:r w:rsidR="003C4508" w:rsidRPr="00EA517E">
        <w:t xml:space="preserve"> experiences of the </w:t>
      </w:r>
      <w:r w:rsidR="003C4508">
        <w:t>OEST participants</w:t>
      </w:r>
    </w:p>
    <w:p w14:paraId="47F293FC" w14:textId="77777777" w:rsidR="003C4508" w:rsidRPr="00EA517E" w:rsidRDefault="003C4508" w:rsidP="00DE3738">
      <w:pPr>
        <w:pStyle w:val="ListBullet"/>
      </w:pPr>
      <w:r>
        <w:t>administrative data</w:t>
      </w:r>
      <w:r w:rsidRPr="00EA517E">
        <w:t xml:space="preserve"> analysis </w:t>
      </w:r>
      <w:r>
        <w:t xml:space="preserve">using data from the Employment Services System (ESS) and the Research and Evaluation Database (RED), including exit rates, trial opt-out rates and the </w:t>
      </w:r>
      <w:r w:rsidRPr="00EA517E">
        <w:t xml:space="preserve">compliance </w:t>
      </w:r>
      <w:r>
        <w:t xml:space="preserve">results </w:t>
      </w:r>
      <w:r w:rsidRPr="00A92E84">
        <w:t>of OEST</w:t>
      </w:r>
      <w:r w:rsidRPr="00595FD1">
        <w:t xml:space="preserve"> participants </w:t>
      </w:r>
      <w:r>
        <w:t>compared to job seekers in the</w:t>
      </w:r>
      <w:r w:rsidRPr="00050930">
        <w:t xml:space="preserve"> comparison group</w:t>
      </w:r>
      <w:r>
        <w:t>.</w:t>
      </w:r>
    </w:p>
    <w:p w14:paraId="1353E7FC" w14:textId="2C36810F" w:rsidR="00345594" w:rsidRPr="00F71A22" w:rsidRDefault="00345594" w:rsidP="00345594">
      <w:pPr>
        <w:pStyle w:val="Heading3"/>
      </w:pPr>
      <w:bookmarkStart w:id="74" w:name="_Toc67042584"/>
      <w:r w:rsidRPr="00F71A22">
        <w:t>2.</w:t>
      </w:r>
      <w:r w:rsidR="0066190D" w:rsidRPr="00F71A22">
        <w:t>3</w:t>
      </w:r>
      <w:r w:rsidRPr="00F71A22">
        <w:t>.1 Qualitative research</w:t>
      </w:r>
      <w:bookmarkEnd w:id="72"/>
      <w:bookmarkEnd w:id="73"/>
      <w:bookmarkEnd w:id="74"/>
    </w:p>
    <w:p w14:paraId="22AD4D21" w14:textId="77777777" w:rsidR="003C4508" w:rsidRPr="00026F60" w:rsidRDefault="003C4508" w:rsidP="003C4508">
      <w:pPr>
        <w:rPr>
          <w:iCs/>
        </w:rPr>
      </w:pPr>
      <w:r w:rsidRPr="00050930">
        <w:rPr>
          <w:iCs/>
        </w:rPr>
        <w:t xml:space="preserve">The </w:t>
      </w:r>
      <w:r>
        <w:rPr>
          <w:iCs/>
        </w:rPr>
        <w:t>d</w:t>
      </w:r>
      <w:r w:rsidRPr="00050930">
        <w:rPr>
          <w:iCs/>
        </w:rPr>
        <w:t xml:space="preserve">epartment commissioned </w:t>
      </w:r>
      <w:r w:rsidRPr="0094094B">
        <w:rPr>
          <w:iCs/>
        </w:rPr>
        <w:t>Orima</w:t>
      </w:r>
      <w:r w:rsidRPr="00050930">
        <w:rPr>
          <w:iCs/>
        </w:rPr>
        <w:t xml:space="preserve"> Research to conduct </w:t>
      </w:r>
      <w:r>
        <w:rPr>
          <w:iCs/>
        </w:rPr>
        <w:t xml:space="preserve">the </w:t>
      </w:r>
      <w:r w:rsidRPr="00050930">
        <w:rPr>
          <w:iCs/>
        </w:rPr>
        <w:t xml:space="preserve">qualitative </w:t>
      </w:r>
      <w:r>
        <w:rPr>
          <w:iCs/>
        </w:rPr>
        <w:t xml:space="preserve">fieldwork </w:t>
      </w:r>
      <w:r w:rsidRPr="00050930">
        <w:rPr>
          <w:iCs/>
        </w:rPr>
        <w:t xml:space="preserve">and quantitative </w:t>
      </w:r>
      <w:r>
        <w:rPr>
          <w:iCs/>
        </w:rPr>
        <w:t>surveys</w:t>
      </w:r>
      <w:r w:rsidRPr="00050930">
        <w:rPr>
          <w:iCs/>
        </w:rPr>
        <w:t xml:space="preserve"> to </w:t>
      </w:r>
      <w:r>
        <w:rPr>
          <w:iCs/>
        </w:rPr>
        <w:t>inform the evaluation</w:t>
      </w:r>
      <w:r w:rsidRPr="00050930">
        <w:rPr>
          <w:iCs/>
        </w:rPr>
        <w:t xml:space="preserve">. </w:t>
      </w:r>
      <w:r>
        <w:rPr>
          <w:iCs/>
        </w:rPr>
        <w:t>Orima</w:t>
      </w:r>
      <w:r w:rsidRPr="00050930">
        <w:rPr>
          <w:iCs/>
        </w:rPr>
        <w:t xml:space="preserve"> researched the perceptions, attitudes and experiences of job seekers who participated in or were eligible </w:t>
      </w:r>
      <w:r w:rsidRPr="0094094B">
        <w:rPr>
          <w:iCs/>
        </w:rPr>
        <w:t>for OEST</w:t>
      </w:r>
      <w:r>
        <w:rPr>
          <w:iCs/>
        </w:rPr>
        <w:t>,</w:t>
      </w:r>
      <w:r w:rsidRPr="00050930">
        <w:rPr>
          <w:iCs/>
        </w:rPr>
        <w:t xml:space="preserve"> as well as the perceptions and attitudes of </w:t>
      </w:r>
      <w:r>
        <w:rPr>
          <w:iCs/>
        </w:rPr>
        <w:t>jobactive</w:t>
      </w:r>
      <w:r w:rsidRPr="00050930">
        <w:rPr>
          <w:iCs/>
        </w:rPr>
        <w:t xml:space="preserve"> providers and peak bodies</w:t>
      </w:r>
      <w:r>
        <w:rPr>
          <w:iCs/>
        </w:rPr>
        <w:t>.</w:t>
      </w:r>
    </w:p>
    <w:p w14:paraId="6D74A0C9" w14:textId="57D410C1" w:rsidR="003C4508" w:rsidRDefault="003C4508" w:rsidP="003C4508">
      <w:pPr>
        <w:pStyle w:val="Bullet1"/>
        <w:numPr>
          <w:ilvl w:val="0"/>
          <w:numId w:val="0"/>
        </w:numPr>
        <w:spacing w:line="276" w:lineRule="auto"/>
        <w:rPr>
          <w:bCs/>
          <w:lang w:val="en-US"/>
        </w:rPr>
      </w:pPr>
      <w:r w:rsidRPr="00431007">
        <w:rPr>
          <w:bCs/>
          <w:lang w:val="en-US"/>
        </w:rPr>
        <w:t xml:space="preserve">The </w:t>
      </w:r>
      <w:r w:rsidRPr="004B70A7">
        <w:rPr>
          <w:iCs/>
        </w:rPr>
        <w:t>qualitative</w:t>
      </w:r>
      <w:r>
        <w:rPr>
          <w:bCs/>
          <w:lang w:val="en-US"/>
        </w:rPr>
        <w:t xml:space="preserve"> fieldwork</w:t>
      </w:r>
      <w:r w:rsidRPr="00431007">
        <w:rPr>
          <w:bCs/>
          <w:lang w:val="en-US"/>
        </w:rPr>
        <w:t xml:space="preserve"> involved </w:t>
      </w:r>
      <w:r w:rsidR="00FB14E0">
        <w:rPr>
          <w:bCs/>
          <w:lang w:val="en-US"/>
        </w:rPr>
        <w:t xml:space="preserve">two </w:t>
      </w:r>
      <w:r>
        <w:rPr>
          <w:bCs/>
          <w:lang w:val="en-US"/>
        </w:rPr>
        <w:t>stages of research:</w:t>
      </w:r>
    </w:p>
    <w:p w14:paraId="2E4928E5" w14:textId="099DA8E8" w:rsidR="003C4508" w:rsidRPr="00C243A6" w:rsidRDefault="003C4508" w:rsidP="00582BF2">
      <w:pPr>
        <w:pStyle w:val="ListBullet"/>
      </w:pPr>
      <w:r>
        <w:t>A</w:t>
      </w:r>
      <w:r w:rsidRPr="00C243A6">
        <w:t xml:space="preserve">n </w:t>
      </w:r>
      <w:r w:rsidRPr="00C243A6">
        <w:rPr>
          <w:b/>
          <w:bCs/>
        </w:rPr>
        <w:t>initial stage</w:t>
      </w:r>
      <w:r w:rsidRPr="00C243A6">
        <w:t xml:space="preserve"> </w:t>
      </w:r>
      <w:r>
        <w:t xml:space="preserve">was </w:t>
      </w:r>
      <w:r w:rsidRPr="00C243A6">
        <w:t xml:space="preserve">conducted </w:t>
      </w:r>
      <w:r w:rsidR="00473244">
        <w:t>four</w:t>
      </w:r>
      <w:r w:rsidRPr="00C243A6">
        <w:t xml:space="preserve"> months after the commencement of OEST</w:t>
      </w:r>
      <w:r>
        <w:t>,</w:t>
      </w:r>
      <w:r w:rsidRPr="00C243A6">
        <w:t xml:space="preserve"> whe</w:t>
      </w:r>
      <w:r>
        <w:t>n</w:t>
      </w:r>
      <w:r w:rsidRPr="00C243A6">
        <w:t xml:space="preserve"> most participants had been using the online service for </w:t>
      </w:r>
      <w:r w:rsidR="00FB14E0">
        <w:t>two</w:t>
      </w:r>
      <w:r w:rsidRPr="00C243A6">
        <w:t xml:space="preserve"> months or less</w:t>
      </w:r>
      <w:r>
        <w:t xml:space="preserve">. </w:t>
      </w:r>
      <w:r>
        <w:rPr>
          <w:lang w:val="en-US"/>
        </w:rPr>
        <w:t xml:space="preserve">This first stage was </w:t>
      </w:r>
      <w:r w:rsidRPr="00431007">
        <w:rPr>
          <w:lang w:val="en-US"/>
        </w:rPr>
        <w:t xml:space="preserve">conducted </w:t>
      </w:r>
      <w:r w:rsidRPr="00431007">
        <w:t>between 15</w:t>
      </w:r>
      <w:r>
        <w:t> </w:t>
      </w:r>
      <w:r w:rsidRPr="00431007">
        <w:t xml:space="preserve">October </w:t>
      </w:r>
      <w:r>
        <w:t xml:space="preserve">2018 </w:t>
      </w:r>
      <w:r w:rsidRPr="00431007">
        <w:t>and 8</w:t>
      </w:r>
      <w:r>
        <w:t> </w:t>
      </w:r>
      <w:r w:rsidRPr="00431007">
        <w:t>November 2018</w:t>
      </w:r>
      <w:r>
        <w:t xml:space="preserve"> and </w:t>
      </w:r>
      <w:r>
        <w:rPr>
          <w:lang w:val="en-US"/>
        </w:rPr>
        <w:t>consisted of 10 focus group discussions and 21</w:t>
      </w:r>
      <w:r w:rsidR="00473244">
        <w:rPr>
          <w:lang w:val="en-US"/>
        </w:rPr>
        <w:t> </w:t>
      </w:r>
      <w:r>
        <w:rPr>
          <w:lang w:val="en-US"/>
        </w:rPr>
        <w:t>in-depth interviews with 98 participants.</w:t>
      </w:r>
    </w:p>
    <w:p w14:paraId="7F717AF1" w14:textId="77777777" w:rsidR="00803324" w:rsidRDefault="003C4508" w:rsidP="00582BF2">
      <w:pPr>
        <w:pStyle w:val="ListBullet"/>
      </w:pPr>
      <w:bookmarkStart w:id="75" w:name="_Toc47520082"/>
      <w:bookmarkStart w:id="76" w:name="_Toc49256402"/>
      <w:r>
        <w:t>Drawing on the results of the initial stage, a</w:t>
      </w:r>
      <w:r w:rsidRPr="00C243A6">
        <w:t xml:space="preserve"> smaller </w:t>
      </w:r>
      <w:r w:rsidRPr="00C243A6">
        <w:rPr>
          <w:b/>
          <w:bCs/>
        </w:rPr>
        <w:t>follow</w:t>
      </w:r>
      <w:r>
        <w:rPr>
          <w:b/>
          <w:bCs/>
        </w:rPr>
        <w:t>-</w:t>
      </w:r>
      <w:r w:rsidRPr="00C243A6">
        <w:rPr>
          <w:b/>
          <w:bCs/>
        </w:rPr>
        <w:t>up stage</w:t>
      </w:r>
      <w:r w:rsidRPr="00C243A6">
        <w:t xml:space="preserve"> </w:t>
      </w:r>
      <w:r>
        <w:t xml:space="preserve">was </w:t>
      </w:r>
      <w:r w:rsidRPr="00C243A6">
        <w:t>conducted around one</w:t>
      </w:r>
      <w:r>
        <w:t> </w:t>
      </w:r>
      <w:r w:rsidRPr="00C243A6">
        <w:t>year later</w:t>
      </w:r>
      <w:r>
        <w:t>. This stage aimed</w:t>
      </w:r>
      <w:r w:rsidRPr="00C243A6">
        <w:t xml:space="preserve"> to understand the impacts on participants who had been in the trial for a longer period </w:t>
      </w:r>
      <w:r>
        <w:t xml:space="preserve">(i.e. </w:t>
      </w:r>
      <w:r w:rsidR="00473244">
        <w:t>four</w:t>
      </w:r>
      <w:r>
        <w:t xml:space="preserve"> to </w:t>
      </w:r>
      <w:r w:rsidR="00473244">
        <w:t>six</w:t>
      </w:r>
      <w:r>
        <w:t xml:space="preserve"> months) </w:t>
      </w:r>
      <w:r w:rsidRPr="00C243A6">
        <w:t>and participants’ experiences of transitioning to provider-based servicing.</w:t>
      </w:r>
      <w:r>
        <w:t xml:space="preserve"> The follow-up stage was conducted between 9 and 12 September 2019 and consisted of </w:t>
      </w:r>
      <w:r w:rsidR="00FB14E0">
        <w:t xml:space="preserve">two </w:t>
      </w:r>
      <w:r>
        <w:t>focus group discussions with 19 participants.</w:t>
      </w:r>
    </w:p>
    <w:p w14:paraId="2D860121" w14:textId="78696C6D" w:rsidR="003C4508" w:rsidRDefault="003C4508" w:rsidP="0032316D">
      <w:pPr>
        <w:keepNext/>
      </w:pPr>
      <w:r>
        <w:lastRenderedPageBreak/>
        <w:t>Qualitative research participants comprised:</w:t>
      </w:r>
    </w:p>
    <w:p w14:paraId="25B8F6FF" w14:textId="77777777" w:rsidR="00803324" w:rsidRDefault="003C4508" w:rsidP="0032316D">
      <w:pPr>
        <w:pStyle w:val="ListBullet"/>
        <w:keepNext/>
      </w:pPr>
      <w:r w:rsidRPr="00F712C8">
        <w:t>OEST participants</w:t>
      </w:r>
    </w:p>
    <w:p w14:paraId="451444D0" w14:textId="77777777" w:rsidR="00803324" w:rsidRDefault="003C4508" w:rsidP="0032316D">
      <w:pPr>
        <w:pStyle w:val="ListBullet"/>
        <w:keepNext/>
      </w:pPr>
      <w:r w:rsidRPr="00F712C8">
        <w:t>job seekers who opted out of OEST</w:t>
      </w:r>
    </w:p>
    <w:p w14:paraId="7B22161F" w14:textId="43E8626A" w:rsidR="003C4508" w:rsidRPr="00F712C8" w:rsidRDefault="003C4508" w:rsidP="0032316D">
      <w:pPr>
        <w:pStyle w:val="ListBullet"/>
        <w:keepNext/>
      </w:pPr>
      <w:r w:rsidRPr="00F712C8">
        <w:t>jobactive providers</w:t>
      </w:r>
    </w:p>
    <w:p w14:paraId="65B79108" w14:textId="77777777" w:rsidR="003C4508" w:rsidRPr="00F712C8" w:rsidRDefault="003C4508" w:rsidP="0032316D">
      <w:pPr>
        <w:pStyle w:val="ListBullet"/>
        <w:keepNext/>
      </w:pPr>
      <w:r w:rsidRPr="00F712C8">
        <w:t>peak bodies including Jobs Australia and National Employment Services Australia.</w:t>
      </w:r>
    </w:p>
    <w:p w14:paraId="73964356" w14:textId="77777777" w:rsidR="00803324" w:rsidRDefault="00345594" w:rsidP="00345594">
      <w:pPr>
        <w:pStyle w:val="Heading3"/>
      </w:pPr>
      <w:bookmarkStart w:id="77" w:name="_Toc67042585"/>
      <w:r w:rsidRPr="00F71A22">
        <w:t>2.</w:t>
      </w:r>
      <w:r w:rsidR="0066190D" w:rsidRPr="00F71A22">
        <w:t>3</w:t>
      </w:r>
      <w:r w:rsidRPr="00F71A22">
        <w:t xml:space="preserve">.2 Quantitative </w:t>
      </w:r>
      <w:r w:rsidR="00B8111C" w:rsidRPr="00F71A22">
        <w:t>survey</w:t>
      </w:r>
      <w:bookmarkEnd w:id="75"/>
      <w:bookmarkEnd w:id="76"/>
      <w:bookmarkEnd w:id="77"/>
    </w:p>
    <w:p w14:paraId="7547C029" w14:textId="77777777" w:rsidR="00803324" w:rsidRDefault="00F61375" w:rsidP="00345594">
      <w:pPr>
        <w:rPr>
          <w:bCs/>
          <w:lang w:val="en-US"/>
        </w:rPr>
      </w:pPr>
      <w:r w:rsidRPr="00F71A22">
        <w:rPr>
          <w:bCs/>
          <w:lang w:val="en-US"/>
        </w:rPr>
        <w:t>A</w:t>
      </w:r>
      <w:r w:rsidR="00345594" w:rsidRPr="00F71A22">
        <w:rPr>
          <w:bCs/>
          <w:lang w:val="en-US"/>
        </w:rPr>
        <w:t xml:space="preserve"> quantitative </w:t>
      </w:r>
      <w:r w:rsidR="00D02D29" w:rsidRPr="00F71A22">
        <w:rPr>
          <w:bCs/>
          <w:lang w:val="en-US"/>
        </w:rPr>
        <w:t xml:space="preserve">survey was conducted over </w:t>
      </w:r>
      <w:r w:rsidR="00473244">
        <w:rPr>
          <w:bCs/>
          <w:lang w:val="en-US"/>
        </w:rPr>
        <w:t>three</w:t>
      </w:r>
      <w:r w:rsidR="00345594" w:rsidRPr="00F71A22">
        <w:rPr>
          <w:bCs/>
          <w:lang w:val="en-US"/>
        </w:rPr>
        <w:t xml:space="preserve"> waves between March 2019 and November 2019</w:t>
      </w:r>
      <w:r w:rsidR="00D02D29" w:rsidRPr="00F71A22">
        <w:rPr>
          <w:bCs/>
          <w:lang w:val="en-US"/>
        </w:rPr>
        <w:t>.</w:t>
      </w:r>
      <w:r w:rsidR="00345594" w:rsidRPr="00F71A22">
        <w:rPr>
          <w:bCs/>
          <w:lang w:val="en-US"/>
        </w:rPr>
        <w:t xml:space="preserve"> </w:t>
      </w:r>
      <w:r w:rsidRPr="00F71A22">
        <w:rPr>
          <w:bCs/>
          <w:lang w:val="en-US"/>
        </w:rPr>
        <w:t>The survey was informed by the findings of the qualitative research in terms of the topics it covered and the specific questions that were asked.</w:t>
      </w:r>
    </w:p>
    <w:p w14:paraId="14C9F6BA" w14:textId="77777777" w:rsidR="00803324" w:rsidRDefault="00345594" w:rsidP="00345594">
      <w:r w:rsidRPr="00F71A22">
        <w:t>Data was collected using both online and Computer Assisted Telephone Interviews (CATI) collection modes. The combined data collection approach maximised the response rate and minimise</w:t>
      </w:r>
      <w:r w:rsidR="00C948E2" w:rsidRPr="00F71A22">
        <w:t>d</w:t>
      </w:r>
      <w:r w:rsidRPr="00F71A22">
        <w:t xml:space="preserve"> the risk of biasing the survey results towards participants who preferred either online or telephone survey completion modes.</w:t>
      </w:r>
    </w:p>
    <w:p w14:paraId="306D8CAC" w14:textId="5CA3D908" w:rsidR="003C4508" w:rsidRPr="00271F5D" w:rsidRDefault="003C4508" w:rsidP="00582BF2">
      <w:pPr>
        <w:pStyle w:val="ListBullet"/>
      </w:pPr>
      <w:r>
        <w:t>W</w:t>
      </w:r>
      <w:r w:rsidRPr="00271F5D">
        <w:t>ave 1 involved stratified random sample</w:t>
      </w:r>
      <w:r>
        <w:t>s</w:t>
      </w:r>
      <w:r w:rsidRPr="00271F5D">
        <w:t xml:space="preserve"> of job seekers who were selected for the </w:t>
      </w:r>
      <w:r>
        <w:t>t</w:t>
      </w:r>
      <w:r w:rsidRPr="00271F5D">
        <w:t xml:space="preserve">rial, job seekers </w:t>
      </w:r>
      <w:r>
        <w:t>who</w:t>
      </w:r>
      <w:r w:rsidRPr="00271F5D">
        <w:t xml:space="preserve"> were in the </w:t>
      </w:r>
      <w:r>
        <w:t>comparison</w:t>
      </w:r>
      <w:r w:rsidRPr="00271F5D">
        <w:t xml:space="preserve"> </w:t>
      </w:r>
      <w:r>
        <w:t>group and job seekers who were not eligible for the trial</w:t>
      </w:r>
    </w:p>
    <w:p w14:paraId="75BA7E58" w14:textId="77777777" w:rsidR="003C4508" w:rsidRPr="00271F5D" w:rsidRDefault="003C4508" w:rsidP="00582BF2">
      <w:pPr>
        <w:pStyle w:val="ListBullet"/>
      </w:pPr>
      <w:r>
        <w:t>W</w:t>
      </w:r>
      <w:r w:rsidRPr="00271F5D">
        <w:t>ave</w:t>
      </w:r>
      <w:r>
        <w:t>s</w:t>
      </w:r>
      <w:r w:rsidRPr="00271F5D">
        <w:t xml:space="preserve"> 2 and </w:t>
      </w:r>
      <w:r>
        <w:t>3</w:t>
      </w:r>
      <w:r w:rsidRPr="00271F5D">
        <w:t xml:space="preserve"> included a smaller </w:t>
      </w:r>
      <w:r>
        <w:t>new</w:t>
      </w:r>
      <w:r w:rsidRPr="00271F5D">
        <w:t xml:space="preserve"> sample of job seekers within the groups </w:t>
      </w:r>
      <w:r>
        <w:t>who</w:t>
      </w:r>
      <w:r w:rsidRPr="00271F5D">
        <w:t xml:space="preserve"> took part in </w:t>
      </w:r>
      <w:r>
        <w:t>W</w:t>
      </w:r>
      <w:r w:rsidRPr="00271F5D">
        <w:t>ave 1</w:t>
      </w:r>
      <w:r>
        <w:t>,</w:t>
      </w:r>
      <w:r w:rsidRPr="00271F5D">
        <w:t xml:space="preserve"> as well as a longitudinal sample</w:t>
      </w:r>
      <w:r>
        <w:t xml:space="preserve"> – that is, </w:t>
      </w:r>
      <w:r w:rsidRPr="00271F5D">
        <w:t xml:space="preserve">participants selected for the </w:t>
      </w:r>
      <w:r>
        <w:t>t</w:t>
      </w:r>
      <w:r w:rsidRPr="00271F5D">
        <w:t xml:space="preserve">rial who </w:t>
      </w:r>
      <w:r>
        <w:t xml:space="preserve">had </w:t>
      </w:r>
      <w:r w:rsidRPr="00271F5D">
        <w:t>completed a survey in at least one of the previous waves.</w:t>
      </w:r>
    </w:p>
    <w:p w14:paraId="0E8DEA56" w14:textId="4EC15DF1" w:rsidR="003C4508" w:rsidRDefault="003C4508" w:rsidP="003C4508">
      <w:pPr>
        <w:rPr>
          <w:rFonts w:cs="Calibri"/>
        </w:rPr>
      </w:pPr>
      <w:r>
        <w:rPr>
          <w:rFonts w:cs="Calibri"/>
        </w:rPr>
        <w:t xml:space="preserve">A total of 4,083 job seekers completed the surveys across all </w:t>
      </w:r>
      <w:r w:rsidR="00473244">
        <w:rPr>
          <w:rFonts w:cs="Calibri"/>
        </w:rPr>
        <w:t>three</w:t>
      </w:r>
      <w:r>
        <w:rPr>
          <w:rFonts w:cs="Calibri"/>
        </w:rPr>
        <w:t xml:space="preserve"> waves. This included 2,222 survey respondents in Wave 1 with 880 additional respondents in Wave 2, and another 981 additional respondents in Wave 3. </w:t>
      </w:r>
      <w:r>
        <w:rPr>
          <w:rFonts w:cstheme="minorHAnsi"/>
        </w:rPr>
        <w:t xml:space="preserve">Further </w:t>
      </w:r>
      <w:r>
        <w:t xml:space="preserve">information on the surveys can be found in </w:t>
      </w:r>
      <w:r w:rsidRPr="004B70A7">
        <w:rPr>
          <w:b/>
        </w:rPr>
        <w:t xml:space="preserve">Appendix </w:t>
      </w:r>
      <w:r>
        <w:rPr>
          <w:b/>
        </w:rPr>
        <w:t>D</w:t>
      </w:r>
      <w:r>
        <w:t>.</w:t>
      </w:r>
    </w:p>
    <w:p w14:paraId="45141A2F" w14:textId="69057266" w:rsidR="00467E2B" w:rsidRPr="00F71A22" w:rsidRDefault="00467E2B" w:rsidP="00467E2B">
      <w:pPr>
        <w:pStyle w:val="Heading4"/>
      </w:pPr>
      <w:r w:rsidRPr="00F71A22">
        <w:t>Longitudinal analysis</w:t>
      </w:r>
    </w:p>
    <w:p w14:paraId="7188A008" w14:textId="1CD8AD7D" w:rsidR="003C4508" w:rsidRDefault="003C4508" w:rsidP="003C4508">
      <w:pPr>
        <w:rPr>
          <w:rFonts w:cs="Calibri"/>
        </w:rPr>
      </w:pPr>
      <w:bookmarkStart w:id="78" w:name="_Hlk53139655"/>
      <w:bookmarkStart w:id="79" w:name="_Toc49256403"/>
      <w:bookmarkStart w:id="80" w:name="_Toc47520083"/>
      <w:r>
        <w:rPr>
          <w:rFonts w:cs="Calibri"/>
        </w:rPr>
        <w:t xml:space="preserve">A longitudinal analysis was conducted on responses from 863 job seekers who had participated in at least </w:t>
      </w:r>
      <w:r w:rsidR="00FB14E0">
        <w:rPr>
          <w:rFonts w:cs="Calibri"/>
        </w:rPr>
        <w:t xml:space="preserve">two </w:t>
      </w:r>
      <w:r>
        <w:rPr>
          <w:rFonts w:cs="Calibri"/>
        </w:rPr>
        <w:t>of the main survey waves.</w:t>
      </w:r>
      <w:r>
        <w:rPr>
          <w:rStyle w:val="FootnoteReference"/>
          <w:rFonts w:cs="Calibri"/>
        </w:rPr>
        <w:footnoteReference w:id="8"/>
      </w:r>
      <w:r>
        <w:rPr>
          <w:rFonts w:cs="Calibri"/>
        </w:rPr>
        <w:t xml:space="preserve"> The longitudinal analysis provided a measure of changes in job seekers’ views and experiences over time. It drew on:</w:t>
      </w:r>
    </w:p>
    <w:p w14:paraId="217049F8" w14:textId="77777777" w:rsidR="003C4508" w:rsidRDefault="003C4508" w:rsidP="003C4508">
      <w:pPr>
        <w:pStyle w:val="Bullet1"/>
      </w:pPr>
      <w:r>
        <w:lastRenderedPageBreak/>
        <w:t>490 responses from job seekers who participated in both Wave 1 and Wave 2</w:t>
      </w:r>
    </w:p>
    <w:p w14:paraId="7985A039" w14:textId="77777777" w:rsidR="00803324" w:rsidRDefault="003C4508" w:rsidP="003C4508">
      <w:pPr>
        <w:pStyle w:val="Bullet1"/>
      </w:pPr>
      <w:r>
        <w:t>373 responses from job seekers who participated in Wave 3 in addition to Wave 1, Wave 2 or both Wave 1 and Wave 2.</w:t>
      </w:r>
    </w:p>
    <w:bookmarkEnd w:id="78"/>
    <w:p w14:paraId="04B9E312" w14:textId="2D53A795" w:rsidR="003C4508" w:rsidRPr="000B036F" w:rsidRDefault="003C4508" w:rsidP="003C4508">
      <w:r>
        <w:t xml:space="preserve">Further details on longitudinal sample selection </w:t>
      </w:r>
      <w:r w:rsidR="000D33D1">
        <w:t>are</w:t>
      </w:r>
      <w:r>
        <w:t xml:space="preserve"> in </w:t>
      </w:r>
      <w:r>
        <w:rPr>
          <w:b/>
          <w:bCs/>
        </w:rPr>
        <w:t>Appendix D</w:t>
      </w:r>
      <w:r>
        <w:t>.</w:t>
      </w:r>
    </w:p>
    <w:p w14:paraId="0F5752BA" w14:textId="0D6BDAFA" w:rsidR="00345594" w:rsidRPr="00F71A22" w:rsidRDefault="00345594" w:rsidP="00345594">
      <w:pPr>
        <w:pStyle w:val="Heading3"/>
      </w:pPr>
      <w:bookmarkStart w:id="81" w:name="_Toc67042586"/>
      <w:r w:rsidRPr="00F71A22">
        <w:t>2.</w:t>
      </w:r>
      <w:r w:rsidR="0066190D" w:rsidRPr="00F71A22">
        <w:t>3</w:t>
      </w:r>
      <w:r w:rsidRPr="00F71A22">
        <w:t>.3 Quantitative analysis of departmental administrative data</w:t>
      </w:r>
      <w:bookmarkEnd w:id="79"/>
      <w:bookmarkEnd w:id="80"/>
      <w:bookmarkEnd w:id="81"/>
    </w:p>
    <w:p w14:paraId="240D6F55" w14:textId="6B9880D4" w:rsidR="0051408B" w:rsidRPr="00F71A22" w:rsidRDefault="0051408B" w:rsidP="00BD5333">
      <w:r w:rsidRPr="00F71A22">
        <w:t>The department conducted q</w:t>
      </w:r>
      <w:r w:rsidR="00345594" w:rsidRPr="00F71A22">
        <w:t>uantitative analysis of administrative data for the OEST</w:t>
      </w:r>
      <w:r w:rsidR="001471B1" w:rsidRPr="00F71A22">
        <w:t xml:space="preserve"> evaluation</w:t>
      </w:r>
      <w:r w:rsidRPr="00F71A22">
        <w:t xml:space="preserve">, </w:t>
      </w:r>
      <w:r w:rsidR="00345594" w:rsidRPr="00F71A22">
        <w:t xml:space="preserve">comparing OEST participants with job seekers in </w:t>
      </w:r>
      <w:r w:rsidR="001B2070" w:rsidRPr="00F71A22">
        <w:t>the</w:t>
      </w:r>
      <w:r w:rsidR="00345594" w:rsidRPr="00F71A22">
        <w:t xml:space="preserve"> comparison group</w:t>
      </w:r>
      <w:r w:rsidRPr="00F71A22">
        <w:t>.</w:t>
      </w:r>
    </w:p>
    <w:p w14:paraId="049C628D" w14:textId="77777777" w:rsidR="003C4508" w:rsidRPr="00B07367" w:rsidRDefault="003C4508">
      <w:r w:rsidRPr="00227EAD">
        <w:t>Two administrat</w:t>
      </w:r>
      <w:r w:rsidRPr="00B07367">
        <w:t xml:space="preserve">ive datasets managed by the department </w:t>
      </w:r>
      <w:r>
        <w:t>were</w:t>
      </w:r>
      <w:r w:rsidRPr="00B07367">
        <w:t xml:space="preserve"> used: RED</w:t>
      </w:r>
      <w:r w:rsidRPr="00A818BF">
        <w:t xml:space="preserve"> and ESS. RED is a longitudinal dataset </w:t>
      </w:r>
      <w:r w:rsidRPr="003F2CA4">
        <w:t>on recipients of Australian Government income support payments</w:t>
      </w:r>
      <w:r w:rsidRPr="00327C59">
        <w:t xml:space="preserve">. ESS contains jobactive administrative data, </w:t>
      </w:r>
      <w:r>
        <w:t xml:space="preserve">providing insights about </w:t>
      </w:r>
      <w:r w:rsidRPr="00327C59">
        <w:t>people</w:t>
      </w:r>
      <w:r>
        <w:t>’</w:t>
      </w:r>
      <w:r w:rsidRPr="00327C59">
        <w:t xml:space="preserve">s </w:t>
      </w:r>
      <w:r>
        <w:t>interactions with employment services through transactions recorded by employment service provider staff</w:t>
      </w:r>
      <w:r w:rsidRPr="00327C59">
        <w:t>.</w:t>
      </w:r>
    </w:p>
    <w:p w14:paraId="6AA929AF" w14:textId="539820AD" w:rsidR="003C4508" w:rsidRDefault="003C4508">
      <w:bookmarkStart w:id="82" w:name="_Toc47520085"/>
      <w:bookmarkStart w:id="83" w:name="_Toc49256405"/>
      <w:r w:rsidRPr="00EA517E">
        <w:t xml:space="preserve">The quantitative analysis </w:t>
      </w:r>
      <w:r>
        <w:t>used</w:t>
      </w:r>
      <w:r w:rsidRPr="00EA517E">
        <w:t xml:space="preserve"> </w:t>
      </w:r>
      <w:r>
        <w:t xml:space="preserve">the </w:t>
      </w:r>
      <w:r w:rsidR="00FB14E0">
        <w:t>two</w:t>
      </w:r>
      <w:r w:rsidR="00FB14E0" w:rsidRPr="00EA517E">
        <w:t xml:space="preserve"> </w:t>
      </w:r>
      <w:r w:rsidRPr="00EA517E">
        <w:t>administrative datasets</w:t>
      </w:r>
      <w:r>
        <w:t xml:space="preserve"> </w:t>
      </w:r>
      <w:r w:rsidRPr="00EA517E">
        <w:t xml:space="preserve">to </w:t>
      </w:r>
      <w:r w:rsidRPr="002C2ACC">
        <w:t>examine income support and employment services exit rates</w:t>
      </w:r>
      <w:r>
        <w:t xml:space="preserve"> (as a proxy for employment)</w:t>
      </w:r>
      <w:r w:rsidRPr="002C2ACC">
        <w:t>, compliance with job search requirements and opt-out rates.</w:t>
      </w:r>
    </w:p>
    <w:p w14:paraId="124503F4" w14:textId="493E2309" w:rsidR="00803324" w:rsidRDefault="003C4508" w:rsidP="00F712C8">
      <w:r>
        <w:t xml:space="preserve">The analysis covered </w:t>
      </w:r>
      <w:r w:rsidRPr="00EA517E">
        <w:t>a 15</w:t>
      </w:r>
      <w:r>
        <w:t>-</w:t>
      </w:r>
      <w:r w:rsidRPr="00EA517E">
        <w:t xml:space="preserve">month period from </w:t>
      </w:r>
      <w:r>
        <w:t xml:space="preserve">1 </w:t>
      </w:r>
      <w:r w:rsidRPr="00EA517E">
        <w:t xml:space="preserve">July 2018 (start date for the </w:t>
      </w:r>
      <w:r>
        <w:t>OEST</w:t>
      </w:r>
      <w:r w:rsidRPr="00EA517E">
        <w:t xml:space="preserve">) to </w:t>
      </w:r>
      <w:r w:rsidRPr="002C2ACC">
        <w:t>30</w:t>
      </w:r>
      <w:r>
        <w:t> </w:t>
      </w:r>
      <w:r w:rsidRPr="002C2ACC">
        <w:t>September</w:t>
      </w:r>
      <w:r w:rsidR="003C0E46">
        <w:t> </w:t>
      </w:r>
      <w:r w:rsidRPr="002C2ACC">
        <w:t>2019</w:t>
      </w:r>
      <w:r>
        <w:t xml:space="preserve">. Analysis of compliance data covered a longer </w:t>
      </w:r>
      <w:r w:rsidRPr="00037A90">
        <w:t>period to 31</w:t>
      </w:r>
      <w:r>
        <w:t> </w:t>
      </w:r>
      <w:r w:rsidRPr="00037A90">
        <w:t xml:space="preserve">December 2019 in order to take </w:t>
      </w:r>
      <w:r>
        <w:t xml:space="preserve">into </w:t>
      </w:r>
      <w:r w:rsidRPr="00037A90">
        <w:t>account policy changes which occurred mid</w:t>
      </w:r>
      <w:r w:rsidR="000D33D1">
        <w:t>-</w:t>
      </w:r>
      <w:r w:rsidRPr="00037A90">
        <w:t>way through 2019 and their resulti</w:t>
      </w:r>
      <w:r>
        <w:t>ng impact on demerit rates for t</w:t>
      </w:r>
      <w:r w:rsidRPr="00037A90">
        <w:t>rial participants.</w:t>
      </w:r>
    </w:p>
    <w:p w14:paraId="55E26F25" w14:textId="77777777" w:rsidR="00803324" w:rsidRDefault="00345594" w:rsidP="00345594">
      <w:pPr>
        <w:pStyle w:val="Heading2"/>
      </w:pPr>
      <w:bookmarkStart w:id="84" w:name="_Toc67042587"/>
      <w:r w:rsidRPr="00F71A22">
        <w:t>2.</w:t>
      </w:r>
      <w:r w:rsidR="0066190D" w:rsidRPr="00F71A22">
        <w:t>4</w:t>
      </w:r>
      <w:r w:rsidRPr="00F71A22">
        <w:t xml:space="preserve"> The study populations</w:t>
      </w:r>
      <w:bookmarkEnd w:id="82"/>
      <w:bookmarkEnd w:id="83"/>
      <w:bookmarkEnd w:id="84"/>
    </w:p>
    <w:p w14:paraId="19801CD0" w14:textId="77777777" w:rsidR="00803324" w:rsidRDefault="00B41917" w:rsidP="00F712C8">
      <w:bookmarkStart w:id="85" w:name="_Toc47520086"/>
      <w:bookmarkStart w:id="86" w:name="_Toc49256406"/>
      <w:r w:rsidRPr="003F36C0">
        <w:t>Over the evaluation period, 21,493 job seekers were selected to participate in the OEST. However, n</w:t>
      </w:r>
      <w:r w:rsidRPr="00F55E41">
        <w:t xml:space="preserve">ot all job seekers who were selected for the OEST commenced in or completed the trial. </w:t>
      </w:r>
      <w:r w:rsidRPr="001261D9">
        <w:rPr>
          <w:b/>
        </w:rPr>
        <w:t>Figure 2.1</w:t>
      </w:r>
      <w:r w:rsidRPr="00F55E41">
        <w:t xml:space="preserve"> shows the possible pathways of an OEST participant.</w:t>
      </w:r>
    </w:p>
    <w:p w14:paraId="70CAD1C9" w14:textId="6ACEC59E" w:rsidR="00B41917" w:rsidRPr="00F55E41" w:rsidRDefault="00B41917" w:rsidP="00BD5333">
      <w:r w:rsidRPr="003F36C0">
        <w:t xml:space="preserve">Of those selected, 17,810 </w:t>
      </w:r>
      <w:r w:rsidRPr="004B70A7">
        <w:t>(</w:t>
      </w:r>
      <w:r w:rsidRPr="001261D9">
        <w:rPr>
          <w:b/>
        </w:rPr>
        <w:t>82.9%</w:t>
      </w:r>
      <w:r w:rsidRPr="004B70A7">
        <w:t>)</w:t>
      </w:r>
      <w:r w:rsidRPr="003F36C0">
        <w:t xml:space="preserve"> job seekers commenced in the trial </w:t>
      </w:r>
      <w:r>
        <w:t xml:space="preserve">(by agreeing to a Job Plan) </w:t>
      </w:r>
      <w:r w:rsidRPr="003F36C0">
        <w:t>while 3,683 job seekers (</w:t>
      </w:r>
      <w:r w:rsidRPr="001261D9">
        <w:rPr>
          <w:b/>
        </w:rPr>
        <w:t>17.1%</w:t>
      </w:r>
      <w:r w:rsidRPr="003F36C0">
        <w:t>) did not c</w:t>
      </w:r>
      <w:r>
        <w:t>ommence for various reasons</w:t>
      </w:r>
      <w:r w:rsidRPr="003F36C0">
        <w:t>.</w:t>
      </w:r>
      <w:r>
        <w:t xml:space="preserve"> Of those who commenced, a further 3,480 either opted out or were transferred out due to eligibility changes.</w:t>
      </w:r>
    </w:p>
    <w:p w14:paraId="2FDF0003" w14:textId="77777777" w:rsidR="00B41917" w:rsidRDefault="00B41917" w:rsidP="00BD5333">
      <w:pPr>
        <w:rPr>
          <w:lang w:val="en"/>
        </w:rPr>
      </w:pPr>
      <w:r>
        <w:t xml:space="preserve">The remaining </w:t>
      </w:r>
      <w:r w:rsidRPr="004B70A7">
        <w:t>14,</w:t>
      </w:r>
      <w:r>
        <w:t>3</w:t>
      </w:r>
      <w:r w:rsidRPr="004B70A7">
        <w:t xml:space="preserve">30 </w:t>
      </w:r>
      <w:r w:rsidRPr="00F55E41">
        <w:t xml:space="preserve">OEST participants who commenced in the program </w:t>
      </w:r>
      <w:r w:rsidRPr="00F55E41">
        <w:rPr>
          <w:lang w:val="en"/>
        </w:rPr>
        <w:t>between 1 July 2018 and end September 2019</w:t>
      </w:r>
      <w:r>
        <w:rPr>
          <w:lang w:val="en"/>
        </w:rPr>
        <w:t xml:space="preserve"> made up the main study population for this evaluation. This consists of those who:</w:t>
      </w:r>
    </w:p>
    <w:p w14:paraId="7A96D918" w14:textId="77777777" w:rsidR="00803324" w:rsidRDefault="00B41917" w:rsidP="0049475F">
      <w:pPr>
        <w:pStyle w:val="ListBullet"/>
      </w:pPr>
      <w:r w:rsidRPr="004B70A7">
        <w:t>were still in the OEST at the time of analysis</w:t>
      </w:r>
    </w:p>
    <w:p w14:paraId="1CACCE74" w14:textId="62DE05F1" w:rsidR="00B41917" w:rsidRPr="004B70A7" w:rsidRDefault="00B41917" w:rsidP="0049475F">
      <w:pPr>
        <w:pStyle w:val="ListBullet"/>
      </w:pPr>
      <w:r w:rsidRPr="004B70A7">
        <w:lastRenderedPageBreak/>
        <w:t>had exited the OEST and employment services (e.g. because they found a job</w:t>
      </w:r>
      <w:r>
        <w:t xml:space="preserve"> or </w:t>
      </w:r>
      <w:r w:rsidRPr="004B70A7">
        <w:t>commenced training)</w:t>
      </w:r>
    </w:p>
    <w:p w14:paraId="2C78EFAA" w14:textId="1B6AB88B" w:rsidR="00B41917" w:rsidRPr="004B70A7" w:rsidRDefault="00B41917" w:rsidP="0049475F">
      <w:pPr>
        <w:pStyle w:val="ListBullet"/>
      </w:pPr>
      <w:r w:rsidRPr="004B70A7">
        <w:t xml:space="preserve">had completed the full </w:t>
      </w:r>
      <w:r w:rsidR="00473244">
        <w:t>six</w:t>
      </w:r>
      <w:r>
        <w:t> </w:t>
      </w:r>
      <w:r w:rsidRPr="004B70A7">
        <w:t xml:space="preserve">months of the OEST and were automatically transferred </w:t>
      </w:r>
      <w:r>
        <w:t>to a jobactive provider.</w:t>
      </w:r>
    </w:p>
    <w:p w14:paraId="443177CE" w14:textId="6A7383D2" w:rsidR="00981980" w:rsidRPr="00F71A22" w:rsidRDefault="001866D0" w:rsidP="00BD5333">
      <w:pPr>
        <w:rPr>
          <w:szCs w:val="24"/>
        </w:rPr>
      </w:pPr>
      <w:r w:rsidRPr="00F71A22">
        <w:t>The</w:t>
      </w:r>
      <w:r w:rsidR="00981980" w:rsidRPr="00F71A22">
        <w:t xml:space="preserve"> comparison group </w:t>
      </w:r>
      <w:r w:rsidRPr="00F71A22">
        <w:t xml:space="preserve">consisted </w:t>
      </w:r>
      <w:r w:rsidR="00981980" w:rsidRPr="00F71A22">
        <w:t xml:space="preserve">of job seekers who were eligible for OEST but </w:t>
      </w:r>
      <w:r w:rsidR="00B41917">
        <w:t xml:space="preserve">were </w:t>
      </w:r>
      <w:r w:rsidR="00981980" w:rsidRPr="00F71A22">
        <w:t xml:space="preserve">not selected and were </w:t>
      </w:r>
      <w:r w:rsidRPr="00F71A22">
        <w:t xml:space="preserve">instead </w:t>
      </w:r>
      <w:r w:rsidR="00981980" w:rsidRPr="00F71A22">
        <w:t xml:space="preserve">referred to </w:t>
      </w:r>
      <w:r w:rsidRPr="00F71A22">
        <w:t xml:space="preserve">a </w:t>
      </w:r>
      <w:r w:rsidR="00981980" w:rsidRPr="00F71A22">
        <w:t xml:space="preserve">jobactive </w:t>
      </w:r>
      <w:r w:rsidRPr="00F71A22">
        <w:t>provider.</w:t>
      </w:r>
    </w:p>
    <w:p w14:paraId="5AED17F9" w14:textId="34D18DF1" w:rsidR="00981980" w:rsidRPr="00F71A22" w:rsidRDefault="00B33188" w:rsidP="00BD5333">
      <w:r w:rsidRPr="00F71A22">
        <w:t>The evaluation also analyse</w:t>
      </w:r>
      <w:r w:rsidR="001866D0" w:rsidRPr="00F71A22">
        <w:t>d</w:t>
      </w:r>
      <w:r w:rsidRPr="00F71A22">
        <w:t xml:space="preserve"> </w:t>
      </w:r>
      <w:r w:rsidR="00981980" w:rsidRPr="00F71A22">
        <w:t xml:space="preserve">job seekers who commenced OEST but chose to opt-out of the OEST into </w:t>
      </w:r>
      <w:r w:rsidR="001866D0" w:rsidRPr="00F71A22">
        <w:t>provider-based</w:t>
      </w:r>
      <w:r w:rsidR="00981980" w:rsidRPr="00F71A22">
        <w:t xml:space="preserve"> services </w:t>
      </w:r>
      <w:r w:rsidRPr="00F71A22">
        <w:t>(</w:t>
      </w:r>
      <w:r w:rsidRPr="00B41917">
        <w:rPr>
          <w:b/>
          <w:bCs/>
        </w:rPr>
        <w:t>Chapter 3</w:t>
      </w:r>
      <w:r w:rsidRPr="00F71A22">
        <w:t>).</w:t>
      </w:r>
    </w:p>
    <w:p w14:paraId="6CECCC75" w14:textId="2D3FFD09" w:rsidR="00981980" w:rsidRDefault="00981980" w:rsidP="00B93BF9">
      <w:pPr>
        <w:pStyle w:val="FigureCaption"/>
      </w:pPr>
      <w:bookmarkStart w:id="87" w:name="_Toc67042674"/>
      <w:r w:rsidRPr="00F71A22">
        <w:t>Figure 2.1</w:t>
      </w:r>
      <w:r w:rsidR="004D3CAE" w:rsidRPr="00F71A22">
        <w:t xml:space="preserve"> Overview of the</w:t>
      </w:r>
      <w:r w:rsidRPr="00F71A22">
        <w:t xml:space="preserve"> OEST participant </w:t>
      </w:r>
      <w:r w:rsidR="006A1EEE" w:rsidRPr="00F71A22">
        <w:t>pathways</w:t>
      </w:r>
      <w:bookmarkEnd w:id="87"/>
    </w:p>
    <w:p w14:paraId="0ADAFB4B" w14:textId="73A79742" w:rsidR="004A045E" w:rsidRPr="004A045E" w:rsidRDefault="004A045E" w:rsidP="004A045E">
      <w:r>
        <w:rPr>
          <w:noProof/>
        </w:rPr>
        <w:drawing>
          <wp:inline distT="0" distB="0" distL="0" distR="0" wp14:anchorId="7F62A387" wp14:editId="0CEC44F0">
            <wp:extent cx="5746750" cy="3940175"/>
            <wp:effectExtent l="0" t="0" r="6350" b="3175"/>
            <wp:docPr id="15" name="Picture 15" descr="Overview of OEST participant pathways.&#10;As OEST participation was voluntary, participants could optout at various points.&#10;Out of 67,324 job seekers eligible for OEST, 21,493 were selected to participate and out of these, 17,810 commenced in the trial.&#10;Of the 17,810 job seekers who commenced in the OEST, 1,191 opted out and 2,289 were transferred out of the trial due to change in their eligibility, leaving 14,330 participants in the OEST.&#10;From the 21,493 who were selected for the OEST, 810 opted out before commencing in the trial, and 2,873 did not commence at all.&#10;The comparison group for this evaluation were 38,404 job seekers who were not selected for th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ticipant pathway diagram - vector.png"/>
                    <pic:cNvPicPr/>
                  </pic:nvPicPr>
                  <pic:blipFill>
                    <a:blip r:embed="rId21"/>
                    <a:stretch>
                      <a:fillRect/>
                    </a:stretch>
                  </pic:blipFill>
                  <pic:spPr>
                    <a:xfrm>
                      <a:off x="0" y="0"/>
                      <a:ext cx="5746750" cy="3940175"/>
                    </a:xfrm>
                    <a:prstGeom prst="rect">
                      <a:avLst/>
                    </a:prstGeom>
                  </pic:spPr>
                </pic:pic>
              </a:graphicData>
            </a:graphic>
          </wp:inline>
        </w:drawing>
      </w:r>
    </w:p>
    <w:p w14:paraId="766A8E64" w14:textId="1B8E6251" w:rsidR="002E114D" w:rsidRPr="00F71A22" w:rsidRDefault="002E114D" w:rsidP="002E114D">
      <w:pPr>
        <w:pStyle w:val="Source"/>
      </w:pPr>
      <w:r w:rsidRPr="00F71A22">
        <w:rPr>
          <w:b/>
          <w:bCs/>
        </w:rPr>
        <w:t>Source</w:t>
      </w:r>
      <w:r w:rsidRPr="00F71A22">
        <w:t xml:space="preserve">: DESE </w:t>
      </w:r>
      <w:r w:rsidR="00B41917">
        <w:t>a</w:t>
      </w:r>
      <w:r w:rsidRPr="00F71A22">
        <w:t xml:space="preserve">dministrative </w:t>
      </w:r>
      <w:r w:rsidR="00B41917">
        <w:t>d</w:t>
      </w:r>
      <w:r w:rsidRPr="00F71A22">
        <w:t>ata</w:t>
      </w:r>
    </w:p>
    <w:p w14:paraId="275DC315" w14:textId="08CFA5C2" w:rsidR="00345594" w:rsidRPr="00F71A22" w:rsidRDefault="00345594" w:rsidP="009A5DCE">
      <w:pPr>
        <w:pStyle w:val="TableCaption"/>
      </w:pPr>
      <w:bookmarkStart w:id="88" w:name="_Toc67042660"/>
      <w:bookmarkEnd w:id="85"/>
      <w:bookmarkEnd w:id="86"/>
      <w:r w:rsidRPr="00F71A22">
        <w:lastRenderedPageBreak/>
        <w:t>Table</w:t>
      </w:r>
      <w:r w:rsidR="002F71D9">
        <w:t xml:space="preserve"> </w:t>
      </w:r>
      <w:r w:rsidRPr="00F71A22">
        <w:t xml:space="preserve"> 2.1 Demographic characteristics of the study </w:t>
      </w:r>
      <w:r w:rsidR="006A1EEE" w:rsidRPr="00F71A22">
        <w:t>groups</w:t>
      </w:r>
      <w:bookmarkEnd w:id="88"/>
    </w:p>
    <w:tbl>
      <w:tblPr>
        <w:tblW w:w="8410" w:type="dxa"/>
        <w:tblInd w:w="-10" w:type="dxa"/>
        <w:tblCellMar>
          <w:left w:w="0" w:type="dxa"/>
          <w:right w:w="0" w:type="dxa"/>
        </w:tblCellMar>
        <w:tblLook w:val="04A0" w:firstRow="1" w:lastRow="0" w:firstColumn="1" w:lastColumn="0" w:noHBand="0" w:noVBand="1"/>
        <w:tblCaption w:val="Table 2.1 Demographic characteristics of the study groups"/>
        <w:tblDescription w:val="A table comparing the demographic profiles of OEST participants with job seekers in the comparison group."/>
      </w:tblPr>
      <w:tblGrid>
        <w:gridCol w:w="3460"/>
        <w:gridCol w:w="1052"/>
        <w:gridCol w:w="1423"/>
        <w:gridCol w:w="1052"/>
        <w:gridCol w:w="1423"/>
      </w:tblGrid>
      <w:tr w:rsidR="00345594" w:rsidRPr="00F71A22" w14:paraId="704F7EA2" w14:textId="77777777" w:rsidTr="00C61AFD">
        <w:trPr>
          <w:cantSplit/>
          <w:trHeight w:val="203"/>
          <w:tblHeader/>
        </w:trPr>
        <w:tc>
          <w:tcPr>
            <w:tcW w:w="3460" w:type="dxa"/>
            <w:tcBorders>
              <w:top w:val="single" w:sz="4" w:space="0" w:color="auto"/>
              <w:left w:val="single" w:sz="4" w:space="0" w:color="auto"/>
              <w:bottom w:val="single" w:sz="4" w:space="0" w:color="auto"/>
              <w:right w:val="single" w:sz="4" w:space="0" w:color="auto"/>
            </w:tcBorders>
            <w:shd w:val="clear" w:color="auto" w:fill="002D3F"/>
            <w:tcMar>
              <w:top w:w="0" w:type="dxa"/>
              <w:left w:w="108" w:type="dxa"/>
              <w:bottom w:w="0" w:type="dxa"/>
              <w:right w:w="108" w:type="dxa"/>
            </w:tcMar>
            <w:vAlign w:val="center"/>
            <w:hideMark/>
          </w:tcPr>
          <w:p w14:paraId="5311D186" w14:textId="0EC020BC" w:rsidR="00345594" w:rsidRPr="00BD5333" w:rsidRDefault="00EA2DDE">
            <w:pPr>
              <w:pStyle w:val="TableText"/>
              <w:rPr>
                <w:b/>
                <w:bCs w:val="0"/>
                <w:color w:val="FFFFFF" w:themeColor="background1"/>
              </w:rPr>
            </w:pPr>
            <w:r w:rsidRPr="00BD5333">
              <w:rPr>
                <w:b/>
                <w:bCs w:val="0"/>
                <w:color w:val="FFFFFF" w:themeColor="background1"/>
              </w:rPr>
              <w:t>Characteristics</w:t>
            </w:r>
          </w:p>
        </w:tc>
        <w:tc>
          <w:tcPr>
            <w:tcW w:w="2475" w:type="dxa"/>
            <w:gridSpan w:val="2"/>
            <w:tcBorders>
              <w:top w:val="single" w:sz="4" w:space="0" w:color="auto"/>
              <w:left w:val="single" w:sz="4" w:space="0" w:color="auto"/>
              <w:bottom w:val="single" w:sz="4" w:space="0" w:color="auto"/>
              <w:right w:val="single" w:sz="4" w:space="0" w:color="auto"/>
            </w:tcBorders>
            <w:shd w:val="clear" w:color="auto" w:fill="002D3F"/>
            <w:tcMar>
              <w:top w:w="0" w:type="dxa"/>
              <w:left w:w="108" w:type="dxa"/>
              <w:bottom w:w="0" w:type="dxa"/>
              <w:right w:w="108" w:type="dxa"/>
            </w:tcMar>
            <w:vAlign w:val="center"/>
            <w:hideMark/>
          </w:tcPr>
          <w:p w14:paraId="6D9FD3CC" w14:textId="2CF9C6D6" w:rsidR="00345594" w:rsidRPr="00F71A22" w:rsidRDefault="00345594" w:rsidP="00A2041A">
            <w:pPr>
              <w:pStyle w:val="TableText"/>
              <w:jc w:val="center"/>
              <w:rPr>
                <w:b/>
                <w:bCs w:val="0"/>
              </w:rPr>
            </w:pPr>
            <w:r w:rsidRPr="00F71A22">
              <w:rPr>
                <w:b/>
                <w:bCs w:val="0"/>
              </w:rPr>
              <w:t>OEST group</w:t>
            </w:r>
          </w:p>
        </w:tc>
        <w:tc>
          <w:tcPr>
            <w:tcW w:w="2475" w:type="dxa"/>
            <w:gridSpan w:val="2"/>
            <w:tcBorders>
              <w:top w:val="single" w:sz="4" w:space="0" w:color="auto"/>
              <w:left w:val="single" w:sz="4" w:space="0" w:color="auto"/>
              <w:bottom w:val="single" w:sz="4" w:space="0" w:color="auto"/>
              <w:right w:val="single" w:sz="4" w:space="0" w:color="auto"/>
            </w:tcBorders>
            <w:shd w:val="clear" w:color="auto" w:fill="002D3F"/>
            <w:tcMar>
              <w:top w:w="0" w:type="dxa"/>
              <w:left w:w="108" w:type="dxa"/>
              <w:bottom w:w="0" w:type="dxa"/>
              <w:right w:w="108" w:type="dxa"/>
            </w:tcMar>
            <w:vAlign w:val="center"/>
          </w:tcPr>
          <w:p w14:paraId="278D3C50" w14:textId="77777777" w:rsidR="00345594" w:rsidRPr="00F71A22" w:rsidRDefault="00345594" w:rsidP="00A2041A">
            <w:pPr>
              <w:pStyle w:val="TableText"/>
              <w:jc w:val="center"/>
              <w:rPr>
                <w:b/>
                <w:bCs w:val="0"/>
              </w:rPr>
            </w:pPr>
            <w:r w:rsidRPr="00F71A22">
              <w:rPr>
                <w:b/>
                <w:bCs w:val="0"/>
              </w:rPr>
              <w:t>Comparison group</w:t>
            </w:r>
          </w:p>
        </w:tc>
      </w:tr>
      <w:tr w:rsidR="00A2041A" w:rsidRPr="00F71A22" w14:paraId="67FF04C8" w14:textId="77777777" w:rsidTr="00C61AFD">
        <w:trPr>
          <w:cantSplit/>
          <w:trHeight w:val="300"/>
          <w:tblHeader/>
        </w:trPr>
        <w:tc>
          <w:tcPr>
            <w:tcW w:w="3460" w:type="dxa"/>
            <w:tcBorders>
              <w:top w:val="single" w:sz="4" w:space="0" w:color="auto"/>
              <w:left w:val="single" w:sz="4" w:space="0" w:color="auto"/>
              <w:bottom w:val="single" w:sz="4" w:space="0" w:color="auto"/>
              <w:right w:val="single" w:sz="4" w:space="0" w:color="auto"/>
            </w:tcBorders>
            <w:shd w:val="clear" w:color="auto" w:fill="002D3F"/>
            <w:noWrap/>
            <w:tcMar>
              <w:top w:w="0" w:type="dxa"/>
              <w:left w:w="108" w:type="dxa"/>
              <w:bottom w:w="0" w:type="dxa"/>
              <w:right w:w="108" w:type="dxa"/>
            </w:tcMar>
            <w:vAlign w:val="bottom"/>
            <w:hideMark/>
          </w:tcPr>
          <w:p w14:paraId="34BA082F" w14:textId="465D74B9" w:rsidR="00345594" w:rsidRPr="00F71A22" w:rsidRDefault="003F73C7">
            <w:pPr>
              <w:pStyle w:val="TableText"/>
              <w:rPr>
                <w:b/>
                <w:bCs w:val="0"/>
                <w:color w:val="FFFFFF" w:themeColor="background1"/>
              </w:rPr>
            </w:pPr>
            <w:r w:rsidRPr="00BD5333">
              <w:rPr>
                <w:b/>
                <w:bCs w:val="0"/>
                <w:color w:val="002060"/>
              </w:rPr>
              <w:t>—</w:t>
            </w:r>
          </w:p>
        </w:tc>
        <w:tc>
          <w:tcPr>
            <w:tcW w:w="1052" w:type="dxa"/>
            <w:tcBorders>
              <w:top w:val="single" w:sz="4" w:space="0" w:color="auto"/>
              <w:left w:val="single" w:sz="4" w:space="0" w:color="auto"/>
              <w:bottom w:val="single" w:sz="4" w:space="0" w:color="auto"/>
              <w:right w:val="single" w:sz="4" w:space="0" w:color="auto"/>
            </w:tcBorders>
            <w:shd w:val="clear" w:color="auto" w:fill="002D3F"/>
            <w:noWrap/>
            <w:tcMar>
              <w:top w:w="0" w:type="dxa"/>
              <w:left w:w="108" w:type="dxa"/>
              <w:bottom w:w="0" w:type="dxa"/>
              <w:right w:w="108" w:type="dxa"/>
            </w:tcMar>
            <w:vAlign w:val="bottom"/>
            <w:hideMark/>
          </w:tcPr>
          <w:p w14:paraId="5FD8CC50" w14:textId="723C7A4F" w:rsidR="00345594" w:rsidRPr="00F71A22" w:rsidRDefault="005354C8" w:rsidP="00A2041A">
            <w:pPr>
              <w:pStyle w:val="TableText"/>
              <w:jc w:val="center"/>
              <w:rPr>
                <w:b/>
                <w:bCs w:val="0"/>
                <w:color w:val="FFFFFF" w:themeColor="background1"/>
              </w:rPr>
            </w:pPr>
            <w:r>
              <w:rPr>
                <w:b/>
                <w:bCs w:val="0"/>
                <w:color w:val="FFFFFF" w:themeColor="background1"/>
              </w:rPr>
              <w:t>Number</w:t>
            </w:r>
          </w:p>
        </w:tc>
        <w:tc>
          <w:tcPr>
            <w:tcW w:w="1423" w:type="dxa"/>
            <w:tcBorders>
              <w:top w:val="single" w:sz="4" w:space="0" w:color="auto"/>
              <w:left w:val="single" w:sz="4" w:space="0" w:color="auto"/>
              <w:bottom w:val="single" w:sz="4" w:space="0" w:color="auto"/>
              <w:right w:val="single" w:sz="4" w:space="0" w:color="auto"/>
            </w:tcBorders>
            <w:shd w:val="clear" w:color="auto" w:fill="002D3F"/>
            <w:noWrap/>
            <w:tcMar>
              <w:top w:w="0" w:type="dxa"/>
              <w:left w:w="108" w:type="dxa"/>
              <w:bottom w:w="0" w:type="dxa"/>
              <w:right w:w="108" w:type="dxa"/>
            </w:tcMar>
            <w:vAlign w:val="bottom"/>
            <w:hideMark/>
          </w:tcPr>
          <w:p w14:paraId="1B22FFB8" w14:textId="2F4AD706" w:rsidR="00345594" w:rsidRPr="00F71A22" w:rsidRDefault="005354C8" w:rsidP="00A2041A">
            <w:pPr>
              <w:pStyle w:val="TableText"/>
              <w:jc w:val="center"/>
              <w:rPr>
                <w:b/>
                <w:bCs w:val="0"/>
                <w:color w:val="FFFFFF" w:themeColor="background1"/>
              </w:rPr>
            </w:pPr>
            <w:r>
              <w:rPr>
                <w:b/>
                <w:bCs w:val="0"/>
                <w:color w:val="FFFFFF" w:themeColor="background1"/>
              </w:rPr>
              <w:t>(%)</w:t>
            </w:r>
          </w:p>
        </w:tc>
        <w:tc>
          <w:tcPr>
            <w:tcW w:w="1052" w:type="dxa"/>
            <w:tcBorders>
              <w:top w:val="single" w:sz="4" w:space="0" w:color="auto"/>
              <w:left w:val="single" w:sz="4" w:space="0" w:color="auto"/>
              <w:bottom w:val="single" w:sz="4" w:space="0" w:color="auto"/>
              <w:right w:val="single" w:sz="4" w:space="0" w:color="auto"/>
            </w:tcBorders>
            <w:shd w:val="clear" w:color="auto" w:fill="002D3F"/>
            <w:noWrap/>
            <w:tcMar>
              <w:top w:w="0" w:type="dxa"/>
              <w:left w:w="108" w:type="dxa"/>
              <w:bottom w:w="0" w:type="dxa"/>
              <w:right w:w="108" w:type="dxa"/>
            </w:tcMar>
            <w:vAlign w:val="bottom"/>
            <w:hideMark/>
          </w:tcPr>
          <w:p w14:paraId="28B8E37A" w14:textId="6F2FF5DD" w:rsidR="00345594" w:rsidRPr="00F71A22" w:rsidRDefault="005354C8" w:rsidP="00A2041A">
            <w:pPr>
              <w:pStyle w:val="TableText"/>
              <w:jc w:val="center"/>
              <w:rPr>
                <w:b/>
                <w:bCs w:val="0"/>
                <w:color w:val="FFFFFF" w:themeColor="background1"/>
              </w:rPr>
            </w:pPr>
            <w:r>
              <w:rPr>
                <w:b/>
                <w:bCs w:val="0"/>
                <w:color w:val="FFFFFF" w:themeColor="background1"/>
              </w:rPr>
              <w:t>Number</w:t>
            </w:r>
          </w:p>
        </w:tc>
        <w:tc>
          <w:tcPr>
            <w:tcW w:w="1423" w:type="dxa"/>
            <w:tcBorders>
              <w:top w:val="single" w:sz="4" w:space="0" w:color="auto"/>
              <w:left w:val="single" w:sz="4" w:space="0" w:color="auto"/>
              <w:bottom w:val="single" w:sz="4" w:space="0" w:color="auto"/>
              <w:right w:val="single" w:sz="4" w:space="0" w:color="auto"/>
            </w:tcBorders>
            <w:shd w:val="clear" w:color="auto" w:fill="002D3F"/>
            <w:noWrap/>
            <w:tcMar>
              <w:top w:w="0" w:type="dxa"/>
              <w:left w:w="108" w:type="dxa"/>
              <w:bottom w:w="0" w:type="dxa"/>
              <w:right w:w="108" w:type="dxa"/>
            </w:tcMar>
            <w:vAlign w:val="bottom"/>
            <w:hideMark/>
          </w:tcPr>
          <w:p w14:paraId="57FB8A8C" w14:textId="56642D9D" w:rsidR="00345594" w:rsidRPr="00F71A22" w:rsidRDefault="00345594" w:rsidP="00A2041A">
            <w:pPr>
              <w:pStyle w:val="TableText"/>
              <w:jc w:val="center"/>
              <w:rPr>
                <w:b/>
                <w:bCs w:val="0"/>
                <w:color w:val="FFFFFF" w:themeColor="background1"/>
              </w:rPr>
            </w:pPr>
            <w:r w:rsidRPr="00F71A22">
              <w:rPr>
                <w:b/>
                <w:bCs w:val="0"/>
                <w:color w:val="FFFFFF" w:themeColor="background1"/>
              </w:rPr>
              <w:t xml:space="preserve"> (%)</w:t>
            </w:r>
          </w:p>
        </w:tc>
      </w:tr>
      <w:tr w:rsidR="00345594" w:rsidRPr="00F71A22" w14:paraId="2E66ACEA" w14:textId="77777777" w:rsidTr="00A2041A">
        <w:trPr>
          <w:trHeight w:val="300"/>
        </w:trPr>
        <w:tc>
          <w:tcPr>
            <w:tcW w:w="3460" w:type="dxa"/>
            <w:tcBorders>
              <w:top w:val="single" w:sz="4" w:space="0" w:color="auto"/>
            </w:tcBorders>
            <w:shd w:val="clear" w:color="auto" w:fill="D7D8D8"/>
            <w:noWrap/>
            <w:tcMar>
              <w:top w:w="0" w:type="dxa"/>
              <w:left w:w="108" w:type="dxa"/>
              <w:bottom w:w="0" w:type="dxa"/>
              <w:right w:w="108" w:type="dxa"/>
            </w:tcMar>
            <w:vAlign w:val="bottom"/>
            <w:hideMark/>
          </w:tcPr>
          <w:p w14:paraId="3D676A63" w14:textId="77777777" w:rsidR="00345594" w:rsidRPr="00F71A22" w:rsidRDefault="00345594">
            <w:pPr>
              <w:pStyle w:val="TableText"/>
            </w:pPr>
            <w:r w:rsidRPr="00F71A22">
              <w:t>Gender</w:t>
            </w:r>
          </w:p>
        </w:tc>
        <w:tc>
          <w:tcPr>
            <w:tcW w:w="1052" w:type="dxa"/>
            <w:tcBorders>
              <w:top w:val="single" w:sz="4" w:space="0" w:color="auto"/>
            </w:tcBorders>
            <w:shd w:val="clear" w:color="auto" w:fill="D7D8D8"/>
            <w:noWrap/>
            <w:tcMar>
              <w:top w:w="0" w:type="dxa"/>
              <w:left w:w="108" w:type="dxa"/>
              <w:bottom w:w="0" w:type="dxa"/>
              <w:right w:w="108" w:type="dxa"/>
            </w:tcMar>
            <w:vAlign w:val="bottom"/>
            <w:hideMark/>
          </w:tcPr>
          <w:p w14:paraId="436929DD" w14:textId="1E572475" w:rsidR="00345594" w:rsidRPr="00BD5333" w:rsidRDefault="003F73C7">
            <w:pPr>
              <w:pStyle w:val="TableText"/>
              <w:rPr>
                <w:color w:val="D9D9D9" w:themeColor="background1" w:themeShade="D9"/>
              </w:rPr>
            </w:pPr>
            <w:r w:rsidRPr="00BD5333">
              <w:rPr>
                <w:color w:val="D9D9D9" w:themeColor="background1" w:themeShade="D9"/>
              </w:rPr>
              <w:t>—</w:t>
            </w:r>
          </w:p>
        </w:tc>
        <w:tc>
          <w:tcPr>
            <w:tcW w:w="1423" w:type="dxa"/>
            <w:tcBorders>
              <w:top w:val="single" w:sz="4" w:space="0" w:color="auto"/>
              <w:right w:val="single" w:sz="4" w:space="0" w:color="auto"/>
            </w:tcBorders>
            <w:shd w:val="clear" w:color="auto" w:fill="D7D8D8"/>
            <w:noWrap/>
            <w:tcMar>
              <w:top w:w="0" w:type="dxa"/>
              <w:left w:w="108" w:type="dxa"/>
              <w:bottom w:w="0" w:type="dxa"/>
              <w:right w:w="108" w:type="dxa"/>
            </w:tcMar>
            <w:vAlign w:val="bottom"/>
            <w:hideMark/>
          </w:tcPr>
          <w:p w14:paraId="3477CB38" w14:textId="101E4D83" w:rsidR="00345594" w:rsidRPr="00BD5333" w:rsidRDefault="003F73C7">
            <w:pPr>
              <w:pStyle w:val="TableText"/>
              <w:rPr>
                <w:rFonts w:eastAsia="Times New Roman"/>
                <w:color w:val="D9D9D9" w:themeColor="background1" w:themeShade="D9"/>
              </w:rPr>
            </w:pPr>
            <w:r w:rsidRPr="00BD5333">
              <w:rPr>
                <w:rFonts w:eastAsia="Times New Roman"/>
                <w:color w:val="D9D9D9" w:themeColor="background1" w:themeShade="D9"/>
              </w:rPr>
              <w:t>—</w:t>
            </w:r>
          </w:p>
        </w:tc>
        <w:tc>
          <w:tcPr>
            <w:tcW w:w="1052" w:type="dxa"/>
            <w:tcBorders>
              <w:top w:val="single" w:sz="4" w:space="0" w:color="auto"/>
              <w:left w:val="single" w:sz="4" w:space="0" w:color="auto"/>
            </w:tcBorders>
            <w:shd w:val="clear" w:color="auto" w:fill="D7D8D8"/>
            <w:noWrap/>
            <w:tcMar>
              <w:top w:w="0" w:type="dxa"/>
              <w:left w:w="108" w:type="dxa"/>
              <w:bottom w:w="0" w:type="dxa"/>
              <w:right w:w="108" w:type="dxa"/>
            </w:tcMar>
            <w:vAlign w:val="bottom"/>
            <w:hideMark/>
          </w:tcPr>
          <w:p w14:paraId="72BBE534" w14:textId="7590461F" w:rsidR="00345594" w:rsidRPr="00BD5333" w:rsidRDefault="003F73C7">
            <w:pPr>
              <w:pStyle w:val="TableText"/>
              <w:rPr>
                <w:rFonts w:eastAsia="Times New Roman"/>
                <w:color w:val="D9D9D9" w:themeColor="background1" w:themeShade="D9"/>
              </w:rPr>
            </w:pPr>
            <w:r w:rsidRPr="00BD5333">
              <w:rPr>
                <w:rFonts w:eastAsia="Times New Roman"/>
                <w:color w:val="D9D9D9" w:themeColor="background1" w:themeShade="D9"/>
              </w:rPr>
              <w:t>—</w:t>
            </w:r>
          </w:p>
        </w:tc>
        <w:tc>
          <w:tcPr>
            <w:tcW w:w="1423" w:type="dxa"/>
            <w:tcBorders>
              <w:top w:val="single" w:sz="4" w:space="0" w:color="auto"/>
            </w:tcBorders>
            <w:shd w:val="clear" w:color="auto" w:fill="D7D8D8"/>
            <w:noWrap/>
            <w:tcMar>
              <w:top w:w="0" w:type="dxa"/>
              <w:left w:w="108" w:type="dxa"/>
              <w:bottom w:w="0" w:type="dxa"/>
              <w:right w:w="108" w:type="dxa"/>
            </w:tcMar>
            <w:vAlign w:val="bottom"/>
            <w:hideMark/>
          </w:tcPr>
          <w:p w14:paraId="2D54EF22" w14:textId="3ADF018F" w:rsidR="00345594" w:rsidRPr="00BD5333" w:rsidRDefault="003F73C7">
            <w:pPr>
              <w:pStyle w:val="TableText"/>
              <w:rPr>
                <w:rFonts w:eastAsia="Times New Roman"/>
                <w:color w:val="D9D9D9" w:themeColor="background1" w:themeShade="D9"/>
              </w:rPr>
            </w:pPr>
            <w:r w:rsidRPr="00BD5333">
              <w:rPr>
                <w:rFonts w:eastAsia="Times New Roman"/>
                <w:color w:val="D9D9D9" w:themeColor="background1" w:themeShade="D9"/>
              </w:rPr>
              <w:t>—</w:t>
            </w:r>
          </w:p>
        </w:tc>
      </w:tr>
      <w:tr w:rsidR="00345594" w:rsidRPr="00F71A22" w14:paraId="6C45E7FC" w14:textId="77777777" w:rsidTr="00A2041A">
        <w:trPr>
          <w:trHeight w:val="300"/>
        </w:trPr>
        <w:tc>
          <w:tcPr>
            <w:tcW w:w="3460" w:type="dxa"/>
            <w:noWrap/>
            <w:tcMar>
              <w:top w:w="0" w:type="dxa"/>
              <w:left w:w="108" w:type="dxa"/>
              <w:bottom w:w="0" w:type="dxa"/>
              <w:right w:w="108" w:type="dxa"/>
            </w:tcMar>
            <w:vAlign w:val="bottom"/>
            <w:hideMark/>
          </w:tcPr>
          <w:p w14:paraId="34046460" w14:textId="77777777" w:rsidR="00345594" w:rsidRPr="00F71A22" w:rsidRDefault="00345594">
            <w:pPr>
              <w:pStyle w:val="TableText"/>
              <w:rPr>
                <w:color w:val="000000"/>
              </w:rPr>
            </w:pPr>
            <w:r w:rsidRPr="00F71A22">
              <w:rPr>
                <w:color w:val="000000"/>
              </w:rPr>
              <w:t>Female</w:t>
            </w:r>
          </w:p>
        </w:tc>
        <w:tc>
          <w:tcPr>
            <w:tcW w:w="1052" w:type="dxa"/>
            <w:noWrap/>
            <w:tcMar>
              <w:top w:w="0" w:type="dxa"/>
              <w:left w:w="108" w:type="dxa"/>
              <w:bottom w:w="0" w:type="dxa"/>
              <w:right w:w="108" w:type="dxa"/>
            </w:tcMar>
            <w:vAlign w:val="bottom"/>
            <w:hideMark/>
          </w:tcPr>
          <w:p w14:paraId="278B88C6" w14:textId="77777777" w:rsidR="00345594" w:rsidRPr="00F71A22" w:rsidRDefault="00345594">
            <w:pPr>
              <w:pStyle w:val="TableText"/>
              <w:jc w:val="right"/>
              <w:rPr>
                <w:color w:val="000000"/>
              </w:rPr>
            </w:pPr>
            <w:r w:rsidRPr="00F71A22">
              <w:rPr>
                <w:color w:val="000000"/>
              </w:rPr>
              <w:t>5,993</w:t>
            </w:r>
          </w:p>
        </w:tc>
        <w:tc>
          <w:tcPr>
            <w:tcW w:w="1423" w:type="dxa"/>
            <w:tcBorders>
              <w:right w:val="single" w:sz="4" w:space="0" w:color="auto"/>
            </w:tcBorders>
            <w:noWrap/>
            <w:tcMar>
              <w:top w:w="0" w:type="dxa"/>
              <w:left w:w="108" w:type="dxa"/>
              <w:bottom w:w="0" w:type="dxa"/>
              <w:right w:w="108" w:type="dxa"/>
            </w:tcMar>
            <w:vAlign w:val="bottom"/>
            <w:hideMark/>
          </w:tcPr>
          <w:p w14:paraId="2F0ADBDD" w14:textId="77777777" w:rsidR="00345594" w:rsidRPr="00F71A22" w:rsidRDefault="00345594">
            <w:pPr>
              <w:pStyle w:val="TableText"/>
              <w:jc w:val="right"/>
              <w:rPr>
                <w:color w:val="000000"/>
              </w:rPr>
            </w:pPr>
            <w:r w:rsidRPr="00F71A22">
              <w:rPr>
                <w:color w:val="000000"/>
              </w:rPr>
              <w:t>41.8</w:t>
            </w:r>
          </w:p>
        </w:tc>
        <w:tc>
          <w:tcPr>
            <w:tcW w:w="1052" w:type="dxa"/>
            <w:tcBorders>
              <w:left w:val="single" w:sz="4" w:space="0" w:color="auto"/>
            </w:tcBorders>
            <w:noWrap/>
            <w:tcMar>
              <w:top w:w="0" w:type="dxa"/>
              <w:left w:w="108" w:type="dxa"/>
              <w:bottom w:w="0" w:type="dxa"/>
              <w:right w:w="108" w:type="dxa"/>
            </w:tcMar>
            <w:vAlign w:val="bottom"/>
            <w:hideMark/>
          </w:tcPr>
          <w:p w14:paraId="4EA16F26" w14:textId="77777777" w:rsidR="00345594" w:rsidRPr="00F71A22" w:rsidRDefault="00345594">
            <w:pPr>
              <w:pStyle w:val="TableText"/>
              <w:jc w:val="right"/>
              <w:rPr>
                <w:color w:val="000000"/>
              </w:rPr>
            </w:pPr>
            <w:r w:rsidRPr="00F71A22">
              <w:rPr>
                <w:color w:val="000000"/>
              </w:rPr>
              <w:t>16,139</w:t>
            </w:r>
          </w:p>
        </w:tc>
        <w:tc>
          <w:tcPr>
            <w:tcW w:w="1423" w:type="dxa"/>
            <w:noWrap/>
            <w:tcMar>
              <w:top w:w="0" w:type="dxa"/>
              <w:left w:w="108" w:type="dxa"/>
              <w:bottom w:w="0" w:type="dxa"/>
              <w:right w:w="108" w:type="dxa"/>
            </w:tcMar>
            <w:vAlign w:val="bottom"/>
            <w:hideMark/>
          </w:tcPr>
          <w:p w14:paraId="2231D1AF" w14:textId="77777777" w:rsidR="00345594" w:rsidRPr="00F71A22" w:rsidRDefault="00345594">
            <w:pPr>
              <w:pStyle w:val="TableText"/>
              <w:jc w:val="right"/>
              <w:rPr>
                <w:color w:val="000000"/>
              </w:rPr>
            </w:pPr>
            <w:r w:rsidRPr="00F71A22">
              <w:rPr>
                <w:color w:val="000000"/>
              </w:rPr>
              <w:t>42.0</w:t>
            </w:r>
          </w:p>
        </w:tc>
      </w:tr>
      <w:tr w:rsidR="00345594" w:rsidRPr="00F71A22" w14:paraId="6E31542C" w14:textId="77777777" w:rsidTr="00A2041A">
        <w:trPr>
          <w:trHeight w:val="300"/>
        </w:trPr>
        <w:tc>
          <w:tcPr>
            <w:tcW w:w="3460" w:type="dxa"/>
            <w:noWrap/>
            <w:tcMar>
              <w:top w:w="0" w:type="dxa"/>
              <w:left w:w="108" w:type="dxa"/>
              <w:bottom w:w="0" w:type="dxa"/>
              <w:right w:w="108" w:type="dxa"/>
            </w:tcMar>
            <w:vAlign w:val="bottom"/>
            <w:hideMark/>
          </w:tcPr>
          <w:p w14:paraId="50E19E57" w14:textId="77777777" w:rsidR="00345594" w:rsidRPr="00F71A22" w:rsidRDefault="00345594">
            <w:pPr>
              <w:pStyle w:val="TableText"/>
              <w:rPr>
                <w:color w:val="000000"/>
              </w:rPr>
            </w:pPr>
            <w:r w:rsidRPr="00F71A22">
              <w:rPr>
                <w:color w:val="000000"/>
              </w:rPr>
              <w:t xml:space="preserve">Male </w:t>
            </w:r>
          </w:p>
        </w:tc>
        <w:tc>
          <w:tcPr>
            <w:tcW w:w="1052" w:type="dxa"/>
            <w:noWrap/>
            <w:tcMar>
              <w:top w:w="0" w:type="dxa"/>
              <w:left w:w="108" w:type="dxa"/>
              <w:bottom w:w="0" w:type="dxa"/>
              <w:right w:w="108" w:type="dxa"/>
            </w:tcMar>
            <w:vAlign w:val="bottom"/>
            <w:hideMark/>
          </w:tcPr>
          <w:p w14:paraId="7A8449BE" w14:textId="77777777" w:rsidR="00345594" w:rsidRPr="00F71A22" w:rsidRDefault="00345594">
            <w:pPr>
              <w:pStyle w:val="TableText"/>
              <w:jc w:val="right"/>
              <w:rPr>
                <w:color w:val="000000"/>
              </w:rPr>
            </w:pPr>
            <w:r w:rsidRPr="00F71A22">
              <w:rPr>
                <w:color w:val="000000"/>
              </w:rPr>
              <w:t>8,337</w:t>
            </w:r>
          </w:p>
        </w:tc>
        <w:tc>
          <w:tcPr>
            <w:tcW w:w="1423" w:type="dxa"/>
            <w:tcBorders>
              <w:right w:val="single" w:sz="4" w:space="0" w:color="auto"/>
            </w:tcBorders>
            <w:noWrap/>
            <w:tcMar>
              <w:top w:w="0" w:type="dxa"/>
              <w:left w:w="108" w:type="dxa"/>
              <w:bottom w:w="0" w:type="dxa"/>
              <w:right w:w="108" w:type="dxa"/>
            </w:tcMar>
            <w:vAlign w:val="bottom"/>
            <w:hideMark/>
          </w:tcPr>
          <w:p w14:paraId="400DEB92" w14:textId="77777777" w:rsidR="00345594" w:rsidRPr="00F71A22" w:rsidRDefault="00345594">
            <w:pPr>
              <w:pStyle w:val="TableText"/>
              <w:jc w:val="right"/>
              <w:rPr>
                <w:color w:val="000000"/>
              </w:rPr>
            </w:pPr>
            <w:r w:rsidRPr="00F71A22">
              <w:rPr>
                <w:color w:val="000000"/>
              </w:rPr>
              <w:t>58.2</w:t>
            </w:r>
          </w:p>
        </w:tc>
        <w:tc>
          <w:tcPr>
            <w:tcW w:w="1052" w:type="dxa"/>
            <w:tcBorders>
              <w:left w:val="single" w:sz="4" w:space="0" w:color="auto"/>
            </w:tcBorders>
            <w:noWrap/>
            <w:tcMar>
              <w:top w:w="0" w:type="dxa"/>
              <w:left w:w="108" w:type="dxa"/>
              <w:bottom w:w="0" w:type="dxa"/>
              <w:right w:w="108" w:type="dxa"/>
            </w:tcMar>
            <w:vAlign w:val="bottom"/>
            <w:hideMark/>
          </w:tcPr>
          <w:p w14:paraId="71130917" w14:textId="77777777" w:rsidR="00345594" w:rsidRPr="00F71A22" w:rsidRDefault="00345594">
            <w:pPr>
              <w:pStyle w:val="TableText"/>
              <w:jc w:val="right"/>
              <w:rPr>
                <w:color w:val="000000"/>
              </w:rPr>
            </w:pPr>
            <w:r w:rsidRPr="00F71A22">
              <w:rPr>
                <w:color w:val="000000"/>
              </w:rPr>
              <w:t>22,265</w:t>
            </w:r>
          </w:p>
        </w:tc>
        <w:tc>
          <w:tcPr>
            <w:tcW w:w="1423" w:type="dxa"/>
            <w:noWrap/>
            <w:tcMar>
              <w:top w:w="0" w:type="dxa"/>
              <w:left w:w="108" w:type="dxa"/>
              <w:bottom w:w="0" w:type="dxa"/>
              <w:right w:w="108" w:type="dxa"/>
            </w:tcMar>
            <w:vAlign w:val="bottom"/>
            <w:hideMark/>
          </w:tcPr>
          <w:p w14:paraId="0250BB62" w14:textId="77777777" w:rsidR="00345594" w:rsidRPr="00F71A22" w:rsidRDefault="00345594">
            <w:pPr>
              <w:pStyle w:val="TableText"/>
              <w:jc w:val="right"/>
              <w:rPr>
                <w:color w:val="000000"/>
              </w:rPr>
            </w:pPr>
            <w:r w:rsidRPr="00F71A22">
              <w:rPr>
                <w:color w:val="000000"/>
              </w:rPr>
              <w:t>58.0</w:t>
            </w:r>
          </w:p>
        </w:tc>
      </w:tr>
      <w:tr w:rsidR="003F73C7" w:rsidRPr="00F71A22" w14:paraId="77160823" w14:textId="77777777" w:rsidTr="00A2041A">
        <w:trPr>
          <w:trHeight w:val="300"/>
        </w:trPr>
        <w:tc>
          <w:tcPr>
            <w:tcW w:w="3460" w:type="dxa"/>
            <w:shd w:val="clear" w:color="auto" w:fill="D7D8D8"/>
            <w:noWrap/>
            <w:tcMar>
              <w:top w:w="0" w:type="dxa"/>
              <w:left w:w="108" w:type="dxa"/>
              <w:bottom w:w="0" w:type="dxa"/>
              <w:right w:w="108" w:type="dxa"/>
            </w:tcMar>
            <w:vAlign w:val="bottom"/>
            <w:hideMark/>
          </w:tcPr>
          <w:p w14:paraId="75771751" w14:textId="77777777" w:rsidR="003F73C7" w:rsidRPr="00F71A22" w:rsidRDefault="003F73C7">
            <w:pPr>
              <w:pStyle w:val="TableText"/>
              <w:rPr>
                <w:color w:val="000000"/>
              </w:rPr>
            </w:pPr>
            <w:r w:rsidRPr="00F71A22">
              <w:rPr>
                <w:color w:val="000000"/>
              </w:rPr>
              <w:t>Education</w:t>
            </w:r>
          </w:p>
        </w:tc>
        <w:tc>
          <w:tcPr>
            <w:tcW w:w="1052" w:type="dxa"/>
            <w:shd w:val="clear" w:color="auto" w:fill="D7D8D8"/>
            <w:noWrap/>
            <w:tcMar>
              <w:top w:w="0" w:type="dxa"/>
              <w:left w:w="108" w:type="dxa"/>
              <w:bottom w:w="0" w:type="dxa"/>
              <w:right w:w="108" w:type="dxa"/>
            </w:tcMar>
            <w:vAlign w:val="bottom"/>
            <w:hideMark/>
          </w:tcPr>
          <w:p w14:paraId="74C66E97" w14:textId="60D65D05" w:rsidR="003F73C7" w:rsidRPr="00F71A22" w:rsidRDefault="003F73C7">
            <w:pPr>
              <w:pStyle w:val="TableText"/>
              <w:jc w:val="right"/>
              <w:rPr>
                <w:color w:val="000000"/>
              </w:rPr>
            </w:pPr>
            <w:r w:rsidRPr="0051366F">
              <w:rPr>
                <w:color w:val="D9D9D9" w:themeColor="background1" w:themeShade="D9"/>
              </w:rPr>
              <w:t>—</w:t>
            </w:r>
          </w:p>
        </w:tc>
        <w:tc>
          <w:tcPr>
            <w:tcW w:w="1423" w:type="dxa"/>
            <w:tcBorders>
              <w:right w:val="single" w:sz="4" w:space="0" w:color="auto"/>
            </w:tcBorders>
            <w:shd w:val="clear" w:color="auto" w:fill="D7D8D8"/>
            <w:noWrap/>
            <w:tcMar>
              <w:top w:w="0" w:type="dxa"/>
              <w:left w:w="108" w:type="dxa"/>
              <w:bottom w:w="0" w:type="dxa"/>
              <w:right w:w="108" w:type="dxa"/>
            </w:tcMar>
            <w:vAlign w:val="bottom"/>
            <w:hideMark/>
          </w:tcPr>
          <w:p w14:paraId="7B8D93E8" w14:textId="1ABB685A"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052" w:type="dxa"/>
            <w:tcBorders>
              <w:left w:val="single" w:sz="4" w:space="0" w:color="auto"/>
            </w:tcBorders>
            <w:shd w:val="clear" w:color="auto" w:fill="D7D8D8"/>
            <w:noWrap/>
            <w:tcMar>
              <w:top w:w="0" w:type="dxa"/>
              <w:left w:w="108" w:type="dxa"/>
              <w:bottom w:w="0" w:type="dxa"/>
              <w:right w:w="108" w:type="dxa"/>
            </w:tcMar>
            <w:vAlign w:val="bottom"/>
            <w:hideMark/>
          </w:tcPr>
          <w:p w14:paraId="017031A2" w14:textId="229F0EE0"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423" w:type="dxa"/>
            <w:shd w:val="clear" w:color="auto" w:fill="D7D8D8"/>
            <w:noWrap/>
            <w:tcMar>
              <w:top w:w="0" w:type="dxa"/>
              <w:left w:w="108" w:type="dxa"/>
              <w:bottom w:w="0" w:type="dxa"/>
              <w:right w:w="108" w:type="dxa"/>
            </w:tcMar>
            <w:vAlign w:val="bottom"/>
            <w:hideMark/>
          </w:tcPr>
          <w:p w14:paraId="482CBB30" w14:textId="4B0A7A78" w:rsidR="003F73C7" w:rsidRPr="00F71A22" w:rsidRDefault="003F73C7">
            <w:pPr>
              <w:pStyle w:val="TableText"/>
              <w:jc w:val="right"/>
              <w:rPr>
                <w:rFonts w:eastAsia="Times New Roman"/>
              </w:rPr>
            </w:pPr>
            <w:r w:rsidRPr="0051366F">
              <w:rPr>
                <w:rFonts w:eastAsia="Times New Roman"/>
                <w:color w:val="D9D9D9" w:themeColor="background1" w:themeShade="D9"/>
              </w:rPr>
              <w:t>—</w:t>
            </w:r>
          </w:p>
        </w:tc>
      </w:tr>
      <w:tr w:rsidR="00345594" w:rsidRPr="00F71A22" w14:paraId="7A520270" w14:textId="77777777" w:rsidTr="00A2041A">
        <w:trPr>
          <w:trHeight w:val="300"/>
        </w:trPr>
        <w:tc>
          <w:tcPr>
            <w:tcW w:w="3460" w:type="dxa"/>
            <w:noWrap/>
            <w:tcMar>
              <w:top w:w="0" w:type="dxa"/>
              <w:left w:w="108" w:type="dxa"/>
              <w:bottom w:w="0" w:type="dxa"/>
              <w:right w:w="108" w:type="dxa"/>
            </w:tcMar>
            <w:vAlign w:val="bottom"/>
            <w:hideMark/>
          </w:tcPr>
          <w:p w14:paraId="23431B01" w14:textId="77777777" w:rsidR="00345594" w:rsidRPr="00F71A22" w:rsidRDefault="00345594">
            <w:pPr>
              <w:pStyle w:val="TableText"/>
              <w:rPr>
                <w:color w:val="000000"/>
              </w:rPr>
            </w:pPr>
            <w:r w:rsidRPr="00F71A22">
              <w:rPr>
                <w:color w:val="000000"/>
              </w:rPr>
              <w:t>Under Year 12</w:t>
            </w:r>
          </w:p>
        </w:tc>
        <w:tc>
          <w:tcPr>
            <w:tcW w:w="1052" w:type="dxa"/>
            <w:noWrap/>
            <w:tcMar>
              <w:top w:w="0" w:type="dxa"/>
              <w:left w:w="108" w:type="dxa"/>
              <w:bottom w:w="0" w:type="dxa"/>
              <w:right w:w="108" w:type="dxa"/>
            </w:tcMar>
            <w:vAlign w:val="bottom"/>
            <w:hideMark/>
          </w:tcPr>
          <w:p w14:paraId="606FCB9B" w14:textId="77777777" w:rsidR="00345594" w:rsidRPr="00F71A22" w:rsidRDefault="00345594">
            <w:pPr>
              <w:pStyle w:val="TableText"/>
              <w:jc w:val="right"/>
              <w:rPr>
                <w:color w:val="000000"/>
              </w:rPr>
            </w:pPr>
            <w:r w:rsidRPr="00F71A22">
              <w:rPr>
                <w:color w:val="000000"/>
              </w:rPr>
              <w:t>1,449</w:t>
            </w:r>
          </w:p>
        </w:tc>
        <w:tc>
          <w:tcPr>
            <w:tcW w:w="1423" w:type="dxa"/>
            <w:tcBorders>
              <w:right w:val="single" w:sz="4" w:space="0" w:color="auto"/>
            </w:tcBorders>
            <w:noWrap/>
            <w:tcMar>
              <w:top w:w="0" w:type="dxa"/>
              <w:left w:w="108" w:type="dxa"/>
              <w:bottom w:w="0" w:type="dxa"/>
              <w:right w:w="108" w:type="dxa"/>
            </w:tcMar>
            <w:vAlign w:val="bottom"/>
            <w:hideMark/>
          </w:tcPr>
          <w:p w14:paraId="3BE2D5C5" w14:textId="77777777" w:rsidR="00345594" w:rsidRPr="00F71A22" w:rsidRDefault="00345594">
            <w:pPr>
              <w:pStyle w:val="TableText"/>
              <w:jc w:val="right"/>
              <w:rPr>
                <w:color w:val="000000"/>
              </w:rPr>
            </w:pPr>
            <w:r w:rsidRPr="00F71A22">
              <w:rPr>
                <w:color w:val="000000"/>
              </w:rPr>
              <w:t>10.1</w:t>
            </w:r>
          </w:p>
        </w:tc>
        <w:tc>
          <w:tcPr>
            <w:tcW w:w="1052" w:type="dxa"/>
            <w:tcBorders>
              <w:left w:val="single" w:sz="4" w:space="0" w:color="auto"/>
            </w:tcBorders>
            <w:noWrap/>
            <w:tcMar>
              <w:top w:w="0" w:type="dxa"/>
              <w:left w:w="108" w:type="dxa"/>
              <w:bottom w:w="0" w:type="dxa"/>
              <w:right w:w="108" w:type="dxa"/>
            </w:tcMar>
            <w:vAlign w:val="bottom"/>
            <w:hideMark/>
          </w:tcPr>
          <w:p w14:paraId="082FC5F4" w14:textId="77777777" w:rsidR="00345594" w:rsidRPr="00F71A22" w:rsidRDefault="00345594">
            <w:pPr>
              <w:pStyle w:val="TableText"/>
              <w:jc w:val="right"/>
              <w:rPr>
                <w:color w:val="000000"/>
              </w:rPr>
            </w:pPr>
            <w:r w:rsidRPr="00F71A22">
              <w:rPr>
                <w:color w:val="000000"/>
              </w:rPr>
              <w:t>3,352</w:t>
            </w:r>
          </w:p>
        </w:tc>
        <w:tc>
          <w:tcPr>
            <w:tcW w:w="1423" w:type="dxa"/>
            <w:noWrap/>
            <w:tcMar>
              <w:top w:w="0" w:type="dxa"/>
              <w:left w:w="108" w:type="dxa"/>
              <w:bottom w:w="0" w:type="dxa"/>
              <w:right w:w="108" w:type="dxa"/>
            </w:tcMar>
            <w:vAlign w:val="bottom"/>
            <w:hideMark/>
          </w:tcPr>
          <w:p w14:paraId="2BC9DDE2" w14:textId="77777777" w:rsidR="00345594" w:rsidRPr="00F71A22" w:rsidRDefault="00345594">
            <w:pPr>
              <w:pStyle w:val="TableText"/>
              <w:jc w:val="right"/>
              <w:rPr>
                <w:color w:val="000000"/>
              </w:rPr>
            </w:pPr>
            <w:r w:rsidRPr="00F71A22">
              <w:rPr>
                <w:color w:val="000000"/>
              </w:rPr>
              <w:t>8.7</w:t>
            </w:r>
          </w:p>
        </w:tc>
      </w:tr>
      <w:tr w:rsidR="00345594" w:rsidRPr="00F71A22" w14:paraId="4F3B7563" w14:textId="77777777" w:rsidTr="00A2041A">
        <w:trPr>
          <w:trHeight w:val="300"/>
        </w:trPr>
        <w:tc>
          <w:tcPr>
            <w:tcW w:w="3460" w:type="dxa"/>
            <w:noWrap/>
            <w:tcMar>
              <w:top w:w="0" w:type="dxa"/>
              <w:left w:w="108" w:type="dxa"/>
              <w:bottom w:w="0" w:type="dxa"/>
              <w:right w:w="108" w:type="dxa"/>
            </w:tcMar>
            <w:vAlign w:val="bottom"/>
            <w:hideMark/>
          </w:tcPr>
          <w:p w14:paraId="37346CA3" w14:textId="77777777" w:rsidR="00345594" w:rsidRPr="00F71A22" w:rsidRDefault="00345594">
            <w:pPr>
              <w:pStyle w:val="TableText"/>
              <w:rPr>
                <w:color w:val="000000"/>
              </w:rPr>
            </w:pPr>
            <w:r w:rsidRPr="00F71A22">
              <w:rPr>
                <w:color w:val="000000"/>
              </w:rPr>
              <w:t>Year 12 and above</w:t>
            </w:r>
          </w:p>
        </w:tc>
        <w:tc>
          <w:tcPr>
            <w:tcW w:w="1052" w:type="dxa"/>
            <w:noWrap/>
            <w:tcMar>
              <w:top w:w="0" w:type="dxa"/>
              <w:left w:w="108" w:type="dxa"/>
              <w:bottom w:w="0" w:type="dxa"/>
              <w:right w:w="108" w:type="dxa"/>
            </w:tcMar>
            <w:vAlign w:val="bottom"/>
            <w:hideMark/>
          </w:tcPr>
          <w:p w14:paraId="71387D0F" w14:textId="77777777" w:rsidR="00345594" w:rsidRPr="00F71A22" w:rsidRDefault="00345594">
            <w:pPr>
              <w:pStyle w:val="TableText"/>
              <w:jc w:val="right"/>
              <w:rPr>
                <w:color w:val="000000"/>
              </w:rPr>
            </w:pPr>
            <w:r w:rsidRPr="00F71A22">
              <w:rPr>
                <w:color w:val="000000"/>
              </w:rPr>
              <w:t>12,881</w:t>
            </w:r>
          </w:p>
        </w:tc>
        <w:tc>
          <w:tcPr>
            <w:tcW w:w="1423" w:type="dxa"/>
            <w:tcBorders>
              <w:right w:val="single" w:sz="4" w:space="0" w:color="auto"/>
            </w:tcBorders>
            <w:noWrap/>
            <w:tcMar>
              <w:top w:w="0" w:type="dxa"/>
              <w:left w:w="108" w:type="dxa"/>
              <w:bottom w:w="0" w:type="dxa"/>
              <w:right w:w="108" w:type="dxa"/>
            </w:tcMar>
            <w:vAlign w:val="bottom"/>
            <w:hideMark/>
          </w:tcPr>
          <w:p w14:paraId="1F228C1B" w14:textId="77777777" w:rsidR="00345594" w:rsidRPr="00F71A22" w:rsidRDefault="00345594">
            <w:pPr>
              <w:pStyle w:val="TableText"/>
              <w:jc w:val="right"/>
              <w:rPr>
                <w:color w:val="000000"/>
              </w:rPr>
            </w:pPr>
            <w:r w:rsidRPr="00F71A22">
              <w:rPr>
                <w:color w:val="000000"/>
              </w:rPr>
              <w:t>89.9</w:t>
            </w:r>
          </w:p>
        </w:tc>
        <w:tc>
          <w:tcPr>
            <w:tcW w:w="1052" w:type="dxa"/>
            <w:tcBorders>
              <w:left w:val="single" w:sz="4" w:space="0" w:color="auto"/>
            </w:tcBorders>
            <w:noWrap/>
            <w:tcMar>
              <w:top w:w="0" w:type="dxa"/>
              <w:left w:w="108" w:type="dxa"/>
              <w:bottom w:w="0" w:type="dxa"/>
              <w:right w:w="108" w:type="dxa"/>
            </w:tcMar>
            <w:vAlign w:val="bottom"/>
            <w:hideMark/>
          </w:tcPr>
          <w:p w14:paraId="0B65B1C4" w14:textId="77777777" w:rsidR="00345594" w:rsidRPr="00F71A22" w:rsidRDefault="00345594">
            <w:pPr>
              <w:pStyle w:val="TableText"/>
              <w:jc w:val="right"/>
              <w:rPr>
                <w:color w:val="000000"/>
              </w:rPr>
            </w:pPr>
            <w:r w:rsidRPr="00F71A22">
              <w:rPr>
                <w:color w:val="000000"/>
              </w:rPr>
              <w:t>35,052</w:t>
            </w:r>
          </w:p>
        </w:tc>
        <w:tc>
          <w:tcPr>
            <w:tcW w:w="1423" w:type="dxa"/>
            <w:noWrap/>
            <w:tcMar>
              <w:top w:w="0" w:type="dxa"/>
              <w:left w:w="108" w:type="dxa"/>
              <w:bottom w:w="0" w:type="dxa"/>
              <w:right w:w="108" w:type="dxa"/>
            </w:tcMar>
            <w:vAlign w:val="bottom"/>
            <w:hideMark/>
          </w:tcPr>
          <w:p w14:paraId="57616A64" w14:textId="77777777" w:rsidR="00345594" w:rsidRPr="00F71A22" w:rsidRDefault="00345594">
            <w:pPr>
              <w:pStyle w:val="TableText"/>
              <w:jc w:val="right"/>
              <w:rPr>
                <w:color w:val="000000"/>
              </w:rPr>
            </w:pPr>
            <w:r w:rsidRPr="00F71A22">
              <w:rPr>
                <w:color w:val="000000"/>
              </w:rPr>
              <w:t>91.3</w:t>
            </w:r>
          </w:p>
        </w:tc>
      </w:tr>
      <w:tr w:rsidR="00345594" w:rsidRPr="00F71A22" w14:paraId="10C5046A" w14:textId="77777777" w:rsidTr="00A2041A">
        <w:trPr>
          <w:trHeight w:val="300"/>
        </w:trPr>
        <w:tc>
          <w:tcPr>
            <w:tcW w:w="3460" w:type="dxa"/>
            <w:shd w:val="clear" w:color="auto" w:fill="D7D8D8"/>
            <w:noWrap/>
            <w:tcMar>
              <w:top w:w="0" w:type="dxa"/>
              <w:left w:w="108" w:type="dxa"/>
              <w:bottom w:w="0" w:type="dxa"/>
              <w:right w:w="108" w:type="dxa"/>
            </w:tcMar>
            <w:vAlign w:val="bottom"/>
            <w:hideMark/>
          </w:tcPr>
          <w:p w14:paraId="371348DB" w14:textId="77777777" w:rsidR="00345594" w:rsidRPr="00F71A22" w:rsidRDefault="00345594">
            <w:pPr>
              <w:pStyle w:val="TableText"/>
              <w:rPr>
                <w:color w:val="000000"/>
              </w:rPr>
            </w:pPr>
            <w:r w:rsidRPr="00F71A22">
              <w:rPr>
                <w:color w:val="000000"/>
              </w:rPr>
              <w:t>Age group</w:t>
            </w:r>
          </w:p>
        </w:tc>
        <w:tc>
          <w:tcPr>
            <w:tcW w:w="1052" w:type="dxa"/>
            <w:shd w:val="clear" w:color="auto" w:fill="D7D8D8"/>
            <w:noWrap/>
            <w:tcMar>
              <w:top w:w="0" w:type="dxa"/>
              <w:left w:w="108" w:type="dxa"/>
              <w:bottom w:w="0" w:type="dxa"/>
              <w:right w:w="108" w:type="dxa"/>
            </w:tcMar>
            <w:vAlign w:val="bottom"/>
            <w:hideMark/>
          </w:tcPr>
          <w:p w14:paraId="79DED6FE" w14:textId="77777777" w:rsidR="00345594" w:rsidRPr="00F71A22" w:rsidRDefault="00345594" w:rsidP="00BD5333">
            <w:pPr>
              <w:pStyle w:val="TableText"/>
              <w:jc w:val="right"/>
              <w:rPr>
                <w:color w:val="000000"/>
              </w:rPr>
            </w:pPr>
          </w:p>
        </w:tc>
        <w:tc>
          <w:tcPr>
            <w:tcW w:w="1423" w:type="dxa"/>
            <w:tcBorders>
              <w:right w:val="single" w:sz="4" w:space="0" w:color="auto"/>
            </w:tcBorders>
            <w:shd w:val="clear" w:color="auto" w:fill="D7D8D8"/>
            <w:noWrap/>
            <w:tcMar>
              <w:top w:w="0" w:type="dxa"/>
              <w:left w:w="108" w:type="dxa"/>
              <w:bottom w:w="0" w:type="dxa"/>
              <w:right w:w="108" w:type="dxa"/>
            </w:tcMar>
            <w:vAlign w:val="bottom"/>
            <w:hideMark/>
          </w:tcPr>
          <w:p w14:paraId="74EABB84" w14:textId="77777777" w:rsidR="00345594" w:rsidRPr="00F71A22" w:rsidRDefault="00345594" w:rsidP="00BD5333">
            <w:pPr>
              <w:pStyle w:val="TableText"/>
              <w:jc w:val="right"/>
              <w:rPr>
                <w:rFonts w:eastAsia="Times New Roman"/>
              </w:rPr>
            </w:pPr>
          </w:p>
        </w:tc>
        <w:tc>
          <w:tcPr>
            <w:tcW w:w="1052" w:type="dxa"/>
            <w:tcBorders>
              <w:left w:val="single" w:sz="4" w:space="0" w:color="auto"/>
            </w:tcBorders>
            <w:shd w:val="clear" w:color="auto" w:fill="D7D8D8"/>
            <w:noWrap/>
            <w:tcMar>
              <w:top w:w="0" w:type="dxa"/>
              <w:left w:w="108" w:type="dxa"/>
              <w:bottom w:w="0" w:type="dxa"/>
              <w:right w:w="108" w:type="dxa"/>
            </w:tcMar>
            <w:vAlign w:val="bottom"/>
            <w:hideMark/>
          </w:tcPr>
          <w:p w14:paraId="6C28B0DC" w14:textId="77777777" w:rsidR="00345594" w:rsidRPr="00F71A22" w:rsidRDefault="00345594" w:rsidP="00BD5333">
            <w:pPr>
              <w:pStyle w:val="TableText"/>
              <w:jc w:val="right"/>
              <w:rPr>
                <w:rFonts w:eastAsia="Times New Roman"/>
              </w:rPr>
            </w:pPr>
          </w:p>
        </w:tc>
        <w:tc>
          <w:tcPr>
            <w:tcW w:w="1423" w:type="dxa"/>
            <w:shd w:val="clear" w:color="auto" w:fill="D7D8D8"/>
            <w:noWrap/>
            <w:tcMar>
              <w:top w:w="0" w:type="dxa"/>
              <w:left w:w="108" w:type="dxa"/>
              <w:bottom w:w="0" w:type="dxa"/>
              <w:right w:w="108" w:type="dxa"/>
            </w:tcMar>
            <w:vAlign w:val="bottom"/>
            <w:hideMark/>
          </w:tcPr>
          <w:p w14:paraId="7015D624" w14:textId="77777777" w:rsidR="00345594" w:rsidRPr="00F71A22" w:rsidRDefault="00345594" w:rsidP="00BD5333">
            <w:pPr>
              <w:pStyle w:val="TableText"/>
              <w:jc w:val="right"/>
              <w:rPr>
                <w:rFonts w:eastAsia="Times New Roman"/>
              </w:rPr>
            </w:pPr>
          </w:p>
        </w:tc>
      </w:tr>
      <w:tr w:rsidR="00345594" w:rsidRPr="00F71A22" w14:paraId="69BF9DF3" w14:textId="77777777" w:rsidTr="00A2041A">
        <w:trPr>
          <w:trHeight w:val="300"/>
        </w:trPr>
        <w:tc>
          <w:tcPr>
            <w:tcW w:w="3460" w:type="dxa"/>
            <w:noWrap/>
            <w:tcMar>
              <w:top w:w="0" w:type="dxa"/>
              <w:left w:w="108" w:type="dxa"/>
              <w:bottom w:w="0" w:type="dxa"/>
              <w:right w:w="108" w:type="dxa"/>
            </w:tcMar>
            <w:vAlign w:val="bottom"/>
            <w:hideMark/>
          </w:tcPr>
          <w:p w14:paraId="7147082F" w14:textId="77777777" w:rsidR="00345594" w:rsidRPr="00F71A22" w:rsidRDefault="00345594">
            <w:pPr>
              <w:pStyle w:val="TableText"/>
              <w:rPr>
                <w:color w:val="000000"/>
              </w:rPr>
            </w:pPr>
            <w:r w:rsidRPr="00F71A22">
              <w:rPr>
                <w:color w:val="000000"/>
              </w:rPr>
              <w:t>Less than 25 years</w:t>
            </w:r>
          </w:p>
        </w:tc>
        <w:tc>
          <w:tcPr>
            <w:tcW w:w="1052" w:type="dxa"/>
            <w:noWrap/>
            <w:tcMar>
              <w:top w:w="0" w:type="dxa"/>
              <w:left w:w="108" w:type="dxa"/>
              <w:bottom w:w="0" w:type="dxa"/>
              <w:right w:w="108" w:type="dxa"/>
            </w:tcMar>
            <w:vAlign w:val="bottom"/>
            <w:hideMark/>
          </w:tcPr>
          <w:p w14:paraId="4D11DD52" w14:textId="77777777" w:rsidR="00345594" w:rsidRPr="00F71A22" w:rsidRDefault="00345594">
            <w:pPr>
              <w:pStyle w:val="TableText"/>
              <w:jc w:val="right"/>
              <w:rPr>
                <w:color w:val="000000"/>
              </w:rPr>
            </w:pPr>
            <w:r w:rsidRPr="00F71A22">
              <w:rPr>
                <w:color w:val="000000"/>
              </w:rPr>
              <w:t>7,901</w:t>
            </w:r>
          </w:p>
        </w:tc>
        <w:tc>
          <w:tcPr>
            <w:tcW w:w="1423" w:type="dxa"/>
            <w:tcBorders>
              <w:right w:val="single" w:sz="4" w:space="0" w:color="auto"/>
            </w:tcBorders>
            <w:noWrap/>
            <w:tcMar>
              <w:top w:w="0" w:type="dxa"/>
              <w:left w:w="108" w:type="dxa"/>
              <w:bottom w:w="0" w:type="dxa"/>
              <w:right w:w="108" w:type="dxa"/>
            </w:tcMar>
            <w:vAlign w:val="bottom"/>
            <w:hideMark/>
          </w:tcPr>
          <w:p w14:paraId="41648282" w14:textId="77777777" w:rsidR="00345594" w:rsidRPr="00F71A22" w:rsidRDefault="00345594">
            <w:pPr>
              <w:pStyle w:val="TableText"/>
              <w:jc w:val="right"/>
              <w:rPr>
                <w:color w:val="000000"/>
              </w:rPr>
            </w:pPr>
            <w:r w:rsidRPr="00F71A22">
              <w:rPr>
                <w:color w:val="000000"/>
              </w:rPr>
              <w:t>55.1</w:t>
            </w:r>
          </w:p>
        </w:tc>
        <w:tc>
          <w:tcPr>
            <w:tcW w:w="1052" w:type="dxa"/>
            <w:tcBorders>
              <w:left w:val="single" w:sz="4" w:space="0" w:color="auto"/>
            </w:tcBorders>
            <w:noWrap/>
            <w:tcMar>
              <w:top w:w="0" w:type="dxa"/>
              <w:left w:w="108" w:type="dxa"/>
              <w:bottom w:w="0" w:type="dxa"/>
              <w:right w:w="108" w:type="dxa"/>
            </w:tcMar>
            <w:vAlign w:val="bottom"/>
            <w:hideMark/>
          </w:tcPr>
          <w:p w14:paraId="47EF8866" w14:textId="77777777" w:rsidR="00345594" w:rsidRPr="00F71A22" w:rsidRDefault="00345594">
            <w:pPr>
              <w:pStyle w:val="TableText"/>
              <w:jc w:val="right"/>
              <w:rPr>
                <w:color w:val="000000"/>
              </w:rPr>
            </w:pPr>
            <w:r w:rsidRPr="00F71A22">
              <w:rPr>
                <w:color w:val="000000"/>
              </w:rPr>
              <w:t>18,634</w:t>
            </w:r>
          </w:p>
        </w:tc>
        <w:tc>
          <w:tcPr>
            <w:tcW w:w="1423" w:type="dxa"/>
            <w:noWrap/>
            <w:tcMar>
              <w:top w:w="0" w:type="dxa"/>
              <w:left w:w="108" w:type="dxa"/>
              <w:bottom w:w="0" w:type="dxa"/>
              <w:right w:w="108" w:type="dxa"/>
            </w:tcMar>
            <w:vAlign w:val="bottom"/>
            <w:hideMark/>
          </w:tcPr>
          <w:p w14:paraId="4B507C5B" w14:textId="77777777" w:rsidR="00345594" w:rsidRPr="00F71A22" w:rsidRDefault="00345594">
            <w:pPr>
              <w:pStyle w:val="TableText"/>
              <w:jc w:val="right"/>
              <w:rPr>
                <w:color w:val="000000"/>
              </w:rPr>
            </w:pPr>
            <w:r w:rsidRPr="00F71A22">
              <w:rPr>
                <w:color w:val="000000"/>
              </w:rPr>
              <w:t>48.5</w:t>
            </w:r>
          </w:p>
        </w:tc>
      </w:tr>
      <w:tr w:rsidR="00345594" w:rsidRPr="00F71A22" w14:paraId="14E63C8F" w14:textId="77777777" w:rsidTr="00A2041A">
        <w:trPr>
          <w:trHeight w:val="300"/>
        </w:trPr>
        <w:tc>
          <w:tcPr>
            <w:tcW w:w="3460" w:type="dxa"/>
            <w:noWrap/>
            <w:tcMar>
              <w:top w:w="0" w:type="dxa"/>
              <w:left w:w="108" w:type="dxa"/>
              <w:bottom w:w="0" w:type="dxa"/>
              <w:right w:w="108" w:type="dxa"/>
            </w:tcMar>
            <w:vAlign w:val="bottom"/>
            <w:hideMark/>
          </w:tcPr>
          <w:p w14:paraId="771B6CE2" w14:textId="77777777" w:rsidR="00345594" w:rsidRPr="00F71A22" w:rsidRDefault="00345594">
            <w:pPr>
              <w:pStyle w:val="TableText"/>
              <w:rPr>
                <w:color w:val="000000"/>
              </w:rPr>
            </w:pPr>
            <w:r w:rsidRPr="00F71A22">
              <w:rPr>
                <w:color w:val="000000"/>
              </w:rPr>
              <w:t>25 to 29 years</w:t>
            </w:r>
          </w:p>
        </w:tc>
        <w:tc>
          <w:tcPr>
            <w:tcW w:w="1052" w:type="dxa"/>
            <w:noWrap/>
            <w:tcMar>
              <w:top w:w="0" w:type="dxa"/>
              <w:left w:w="108" w:type="dxa"/>
              <w:bottom w:w="0" w:type="dxa"/>
              <w:right w:w="108" w:type="dxa"/>
            </w:tcMar>
            <w:vAlign w:val="bottom"/>
            <w:hideMark/>
          </w:tcPr>
          <w:p w14:paraId="722D12BC" w14:textId="77777777" w:rsidR="00345594" w:rsidRPr="00F71A22" w:rsidRDefault="00345594">
            <w:pPr>
              <w:pStyle w:val="TableText"/>
              <w:jc w:val="right"/>
              <w:rPr>
                <w:color w:val="000000"/>
              </w:rPr>
            </w:pPr>
            <w:r w:rsidRPr="00F71A22">
              <w:rPr>
                <w:color w:val="000000"/>
              </w:rPr>
              <w:t>1,755</w:t>
            </w:r>
          </w:p>
        </w:tc>
        <w:tc>
          <w:tcPr>
            <w:tcW w:w="1423" w:type="dxa"/>
            <w:tcBorders>
              <w:right w:val="single" w:sz="4" w:space="0" w:color="auto"/>
            </w:tcBorders>
            <w:noWrap/>
            <w:tcMar>
              <w:top w:w="0" w:type="dxa"/>
              <w:left w:w="108" w:type="dxa"/>
              <w:bottom w:w="0" w:type="dxa"/>
              <w:right w:w="108" w:type="dxa"/>
            </w:tcMar>
            <w:vAlign w:val="bottom"/>
            <w:hideMark/>
          </w:tcPr>
          <w:p w14:paraId="4634A138" w14:textId="77777777" w:rsidR="00345594" w:rsidRPr="00F71A22" w:rsidRDefault="00345594">
            <w:pPr>
              <w:pStyle w:val="TableText"/>
              <w:jc w:val="right"/>
              <w:rPr>
                <w:color w:val="000000"/>
              </w:rPr>
            </w:pPr>
            <w:r w:rsidRPr="00F71A22">
              <w:rPr>
                <w:color w:val="000000"/>
              </w:rPr>
              <w:t>12.2</w:t>
            </w:r>
          </w:p>
        </w:tc>
        <w:tc>
          <w:tcPr>
            <w:tcW w:w="1052" w:type="dxa"/>
            <w:tcBorders>
              <w:left w:val="single" w:sz="4" w:space="0" w:color="auto"/>
            </w:tcBorders>
            <w:noWrap/>
            <w:tcMar>
              <w:top w:w="0" w:type="dxa"/>
              <w:left w:w="108" w:type="dxa"/>
              <w:bottom w:w="0" w:type="dxa"/>
              <w:right w:w="108" w:type="dxa"/>
            </w:tcMar>
            <w:vAlign w:val="bottom"/>
            <w:hideMark/>
          </w:tcPr>
          <w:p w14:paraId="6C19C2F9" w14:textId="77777777" w:rsidR="00345594" w:rsidRPr="00F71A22" w:rsidRDefault="00345594">
            <w:pPr>
              <w:pStyle w:val="TableText"/>
              <w:jc w:val="right"/>
              <w:rPr>
                <w:color w:val="000000"/>
              </w:rPr>
            </w:pPr>
            <w:r w:rsidRPr="00F71A22">
              <w:rPr>
                <w:color w:val="000000"/>
              </w:rPr>
              <w:t>4,439</w:t>
            </w:r>
          </w:p>
        </w:tc>
        <w:tc>
          <w:tcPr>
            <w:tcW w:w="1423" w:type="dxa"/>
            <w:noWrap/>
            <w:tcMar>
              <w:top w:w="0" w:type="dxa"/>
              <w:left w:w="108" w:type="dxa"/>
              <w:bottom w:w="0" w:type="dxa"/>
              <w:right w:w="108" w:type="dxa"/>
            </w:tcMar>
            <w:vAlign w:val="bottom"/>
            <w:hideMark/>
          </w:tcPr>
          <w:p w14:paraId="3359BE4C" w14:textId="77777777" w:rsidR="00345594" w:rsidRPr="00F71A22" w:rsidRDefault="00345594">
            <w:pPr>
              <w:pStyle w:val="TableText"/>
              <w:jc w:val="right"/>
              <w:rPr>
                <w:color w:val="000000"/>
              </w:rPr>
            </w:pPr>
            <w:r w:rsidRPr="00F71A22">
              <w:rPr>
                <w:color w:val="000000"/>
              </w:rPr>
              <w:t>11.6</w:t>
            </w:r>
          </w:p>
        </w:tc>
      </w:tr>
      <w:tr w:rsidR="00345594" w:rsidRPr="00F71A22" w14:paraId="4069E023" w14:textId="77777777" w:rsidTr="00A2041A">
        <w:trPr>
          <w:trHeight w:val="300"/>
        </w:trPr>
        <w:tc>
          <w:tcPr>
            <w:tcW w:w="3460" w:type="dxa"/>
            <w:noWrap/>
            <w:tcMar>
              <w:top w:w="0" w:type="dxa"/>
              <w:left w:w="108" w:type="dxa"/>
              <w:bottom w:w="0" w:type="dxa"/>
              <w:right w:w="108" w:type="dxa"/>
            </w:tcMar>
            <w:vAlign w:val="bottom"/>
            <w:hideMark/>
          </w:tcPr>
          <w:p w14:paraId="5FADF058" w14:textId="77777777" w:rsidR="00345594" w:rsidRPr="00F71A22" w:rsidRDefault="00345594">
            <w:pPr>
              <w:pStyle w:val="TableText"/>
              <w:rPr>
                <w:color w:val="000000"/>
              </w:rPr>
            </w:pPr>
            <w:r w:rsidRPr="00F71A22">
              <w:rPr>
                <w:color w:val="000000"/>
              </w:rPr>
              <w:t>30 to 49 years</w:t>
            </w:r>
          </w:p>
        </w:tc>
        <w:tc>
          <w:tcPr>
            <w:tcW w:w="1052" w:type="dxa"/>
            <w:noWrap/>
            <w:tcMar>
              <w:top w:w="0" w:type="dxa"/>
              <w:left w:w="108" w:type="dxa"/>
              <w:bottom w:w="0" w:type="dxa"/>
              <w:right w:w="108" w:type="dxa"/>
            </w:tcMar>
            <w:vAlign w:val="bottom"/>
            <w:hideMark/>
          </w:tcPr>
          <w:p w14:paraId="2EEA5B3A" w14:textId="77777777" w:rsidR="00345594" w:rsidRPr="00F71A22" w:rsidRDefault="00345594">
            <w:pPr>
              <w:pStyle w:val="TableText"/>
              <w:jc w:val="right"/>
              <w:rPr>
                <w:color w:val="000000"/>
              </w:rPr>
            </w:pPr>
            <w:r w:rsidRPr="00F71A22">
              <w:rPr>
                <w:color w:val="000000"/>
              </w:rPr>
              <w:t>3,149</w:t>
            </w:r>
          </w:p>
        </w:tc>
        <w:tc>
          <w:tcPr>
            <w:tcW w:w="1423" w:type="dxa"/>
            <w:tcBorders>
              <w:right w:val="single" w:sz="4" w:space="0" w:color="auto"/>
            </w:tcBorders>
            <w:noWrap/>
            <w:tcMar>
              <w:top w:w="0" w:type="dxa"/>
              <w:left w:w="108" w:type="dxa"/>
              <w:bottom w:w="0" w:type="dxa"/>
              <w:right w:w="108" w:type="dxa"/>
            </w:tcMar>
            <w:vAlign w:val="bottom"/>
            <w:hideMark/>
          </w:tcPr>
          <w:p w14:paraId="6FBA9230" w14:textId="77777777" w:rsidR="00345594" w:rsidRPr="00F71A22" w:rsidRDefault="00345594">
            <w:pPr>
              <w:pStyle w:val="TableText"/>
              <w:jc w:val="right"/>
              <w:rPr>
                <w:color w:val="000000"/>
              </w:rPr>
            </w:pPr>
            <w:r w:rsidRPr="00F71A22">
              <w:rPr>
                <w:color w:val="000000"/>
              </w:rPr>
              <w:t>22.0</w:t>
            </w:r>
          </w:p>
        </w:tc>
        <w:tc>
          <w:tcPr>
            <w:tcW w:w="1052" w:type="dxa"/>
            <w:tcBorders>
              <w:left w:val="single" w:sz="4" w:space="0" w:color="auto"/>
            </w:tcBorders>
            <w:noWrap/>
            <w:tcMar>
              <w:top w:w="0" w:type="dxa"/>
              <w:left w:w="108" w:type="dxa"/>
              <w:bottom w:w="0" w:type="dxa"/>
              <w:right w:w="108" w:type="dxa"/>
            </w:tcMar>
            <w:vAlign w:val="bottom"/>
            <w:hideMark/>
          </w:tcPr>
          <w:p w14:paraId="63873EA3" w14:textId="77777777" w:rsidR="00345594" w:rsidRPr="00F71A22" w:rsidRDefault="00345594">
            <w:pPr>
              <w:pStyle w:val="TableText"/>
              <w:jc w:val="right"/>
              <w:rPr>
                <w:color w:val="000000"/>
              </w:rPr>
            </w:pPr>
            <w:r w:rsidRPr="00F71A22">
              <w:rPr>
                <w:color w:val="000000"/>
              </w:rPr>
              <w:t>9,468</w:t>
            </w:r>
          </w:p>
        </w:tc>
        <w:tc>
          <w:tcPr>
            <w:tcW w:w="1423" w:type="dxa"/>
            <w:noWrap/>
            <w:tcMar>
              <w:top w:w="0" w:type="dxa"/>
              <w:left w:w="108" w:type="dxa"/>
              <w:bottom w:w="0" w:type="dxa"/>
              <w:right w:w="108" w:type="dxa"/>
            </w:tcMar>
            <w:vAlign w:val="bottom"/>
            <w:hideMark/>
          </w:tcPr>
          <w:p w14:paraId="567ACF27" w14:textId="77777777" w:rsidR="00345594" w:rsidRPr="00F71A22" w:rsidRDefault="00345594">
            <w:pPr>
              <w:pStyle w:val="TableText"/>
              <w:jc w:val="right"/>
              <w:rPr>
                <w:color w:val="000000"/>
              </w:rPr>
            </w:pPr>
            <w:r w:rsidRPr="00F71A22">
              <w:rPr>
                <w:color w:val="000000"/>
              </w:rPr>
              <w:t>24.7</w:t>
            </w:r>
          </w:p>
        </w:tc>
      </w:tr>
      <w:tr w:rsidR="00345594" w:rsidRPr="00F71A22" w14:paraId="4047A571" w14:textId="77777777" w:rsidTr="00A2041A">
        <w:trPr>
          <w:trHeight w:val="300"/>
        </w:trPr>
        <w:tc>
          <w:tcPr>
            <w:tcW w:w="3460" w:type="dxa"/>
            <w:noWrap/>
            <w:tcMar>
              <w:top w:w="0" w:type="dxa"/>
              <w:left w:w="108" w:type="dxa"/>
              <w:bottom w:w="0" w:type="dxa"/>
              <w:right w:w="108" w:type="dxa"/>
            </w:tcMar>
            <w:vAlign w:val="bottom"/>
            <w:hideMark/>
          </w:tcPr>
          <w:p w14:paraId="38C877CE" w14:textId="50362F7E" w:rsidR="00345594" w:rsidRPr="00F71A22" w:rsidRDefault="00345594">
            <w:pPr>
              <w:pStyle w:val="TableText"/>
              <w:rPr>
                <w:color w:val="000000"/>
              </w:rPr>
            </w:pPr>
            <w:r w:rsidRPr="00F71A22">
              <w:rPr>
                <w:color w:val="000000"/>
              </w:rPr>
              <w:t>50 years and above</w:t>
            </w:r>
          </w:p>
        </w:tc>
        <w:tc>
          <w:tcPr>
            <w:tcW w:w="1052" w:type="dxa"/>
            <w:noWrap/>
            <w:tcMar>
              <w:top w:w="0" w:type="dxa"/>
              <w:left w:w="108" w:type="dxa"/>
              <w:bottom w:w="0" w:type="dxa"/>
              <w:right w:w="108" w:type="dxa"/>
            </w:tcMar>
            <w:vAlign w:val="bottom"/>
            <w:hideMark/>
          </w:tcPr>
          <w:p w14:paraId="7DA8F28C" w14:textId="77777777" w:rsidR="00345594" w:rsidRPr="00F71A22" w:rsidRDefault="00345594">
            <w:pPr>
              <w:pStyle w:val="TableText"/>
              <w:jc w:val="right"/>
              <w:rPr>
                <w:color w:val="000000"/>
              </w:rPr>
            </w:pPr>
            <w:r w:rsidRPr="00F71A22">
              <w:rPr>
                <w:color w:val="000000"/>
              </w:rPr>
              <w:t>1,525</w:t>
            </w:r>
          </w:p>
        </w:tc>
        <w:tc>
          <w:tcPr>
            <w:tcW w:w="1423" w:type="dxa"/>
            <w:tcBorders>
              <w:right w:val="single" w:sz="4" w:space="0" w:color="auto"/>
            </w:tcBorders>
            <w:noWrap/>
            <w:tcMar>
              <w:top w:w="0" w:type="dxa"/>
              <w:left w:w="108" w:type="dxa"/>
              <w:bottom w:w="0" w:type="dxa"/>
              <w:right w:w="108" w:type="dxa"/>
            </w:tcMar>
            <w:vAlign w:val="bottom"/>
            <w:hideMark/>
          </w:tcPr>
          <w:p w14:paraId="556DE775" w14:textId="77777777" w:rsidR="00345594" w:rsidRPr="00F71A22" w:rsidRDefault="00345594">
            <w:pPr>
              <w:pStyle w:val="TableText"/>
              <w:jc w:val="right"/>
              <w:rPr>
                <w:color w:val="000000"/>
              </w:rPr>
            </w:pPr>
            <w:r w:rsidRPr="00F71A22">
              <w:rPr>
                <w:color w:val="000000"/>
              </w:rPr>
              <w:t>10.6</w:t>
            </w:r>
          </w:p>
        </w:tc>
        <w:tc>
          <w:tcPr>
            <w:tcW w:w="1052" w:type="dxa"/>
            <w:tcBorders>
              <w:left w:val="single" w:sz="4" w:space="0" w:color="auto"/>
            </w:tcBorders>
            <w:noWrap/>
            <w:tcMar>
              <w:top w:w="0" w:type="dxa"/>
              <w:left w:w="108" w:type="dxa"/>
              <w:bottom w:w="0" w:type="dxa"/>
              <w:right w:w="108" w:type="dxa"/>
            </w:tcMar>
            <w:vAlign w:val="bottom"/>
            <w:hideMark/>
          </w:tcPr>
          <w:p w14:paraId="7455646B" w14:textId="77777777" w:rsidR="00345594" w:rsidRPr="00F71A22" w:rsidRDefault="00345594">
            <w:pPr>
              <w:pStyle w:val="TableText"/>
              <w:jc w:val="right"/>
              <w:rPr>
                <w:color w:val="000000"/>
              </w:rPr>
            </w:pPr>
            <w:r w:rsidRPr="00F71A22">
              <w:rPr>
                <w:color w:val="000000"/>
              </w:rPr>
              <w:t>5,863</w:t>
            </w:r>
          </w:p>
        </w:tc>
        <w:tc>
          <w:tcPr>
            <w:tcW w:w="1423" w:type="dxa"/>
            <w:noWrap/>
            <w:tcMar>
              <w:top w:w="0" w:type="dxa"/>
              <w:left w:w="108" w:type="dxa"/>
              <w:bottom w:w="0" w:type="dxa"/>
              <w:right w:w="108" w:type="dxa"/>
            </w:tcMar>
            <w:vAlign w:val="bottom"/>
            <w:hideMark/>
          </w:tcPr>
          <w:p w14:paraId="0AFA52D0" w14:textId="77777777" w:rsidR="00345594" w:rsidRPr="00F71A22" w:rsidRDefault="00345594">
            <w:pPr>
              <w:pStyle w:val="TableText"/>
              <w:jc w:val="right"/>
              <w:rPr>
                <w:color w:val="000000"/>
              </w:rPr>
            </w:pPr>
            <w:r w:rsidRPr="00F71A22">
              <w:rPr>
                <w:color w:val="000000"/>
              </w:rPr>
              <w:t>15.3</w:t>
            </w:r>
          </w:p>
        </w:tc>
      </w:tr>
      <w:tr w:rsidR="003F73C7" w:rsidRPr="00F71A22" w14:paraId="6278A2CE" w14:textId="77777777" w:rsidTr="00A2041A">
        <w:trPr>
          <w:trHeight w:val="300"/>
        </w:trPr>
        <w:tc>
          <w:tcPr>
            <w:tcW w:w="3460" w:type="dxa"/>
            <w:shd w:val="clear" w:color="auto" w:fill="D7D8D8"/>
            <w:noWrap/>
            <w:tcMar>
              <w:top w:w="0" w:type="dxa"/>
              <w:left w:w="108" w:type="dxa"/>
              <w:bottom w:w="0" w:type="dxa"/>
              <w:right w:w="108" w:type="dxa"/>
            </w:tcMar>
            <w:vAlign w:val="bottom"/>
            <w:hideMark/>
          </w:tcPr>
          <w:p w14:paraId="17A2BC84" w14:textId="77777777" w:rsidR="003F73C7" w:rsidRPr="00F71A22" w:rsidRDefault="003F73C7">
            <w:pPr>
              <w:pStyle w:val="TableText"/>
              <w:rPr>
                <w:color w:val="000000"/>
              </w:rPr>
            </w:pPr>
            <w:r w:rsidRPr="00F71A22">
              <w:rPr>
                <w:color w:val="000000"/>
              </w:rPr>
              <w:t>Indigeneity</w:t>
            </w:r>
          </w:p>
        </w:tc>
        <w:tc>
          <w:tcPr>
            <w:tcW w:w="1052" w:type="dxa"/>
            <w:shd w:val="clear" w:color="auto" w:fill="D7D8D8"/>
            <w:noWrap/>
            <w:tcMar>
              <w:top w:w="0" w:type="dxa"/>
              <w:left w:w="108" w:type="dxa"/>
              <w:bottom w:w="0" w:type="dxa"/>
              <w:right w:w="108" w:type="dxa"/>
            </w:tcMar>
            <w:vAlign w:val="bottom"/>
            <w:hideMark/>
          </w:tcPr>
          <w:p w14:paraId="5926CCF9" w14:textId="51AEDD62" w:rsidR="003F73C7" w:rsidRPr="00F71A22" w:rsidRDefault="003F73C7">
            <w:pPr>
              <w:pStyle w:val="TableText"/>
              <w:jc w:val="right"/>
              <w:rPr>
                <w:color w:val="000000"/>
              </w:rPr>
            </w:pPr>
            <w:r w:rsidRPr="0051366F">
              <w:rPr>
                <w:color w:val="D9D9D9" w:themeColor="background1" w:themeShade="D9"/>
              </w:rPr>
              <w:t>—</w:t>
            </w:r>
          </w:p>
        </w:tc>
        <w:tc>
          <w:tcPr>
            <w:tcW w:w="1423" w:type="dxa"/>
            <w:tcBorders>
              <w:right w:val="single" w:sz="4" w:space="0" w:color="auto"/>
            </w:tcBorders>
            <w:shd w:val="clear" w:color="auto" w:fill="D7D8D8"/>
            <w:noWrap/>
            <w:tcMar>
              <w:top w:w="0" w:type="dxa"/>
              <w:left w:w="108" w:type="dxa"/>
              <w:bottom w:w="0" w:type="dxa"/>
              <w:right w:w="108" w:type="dxa"/>
            </w:tcMar>
            <w:vAlign w:val="bottom"/>
            <w:hideMark/>
          </w:tcPr>
          <w:p w14:paraId="40924F10" w14:textId="3C6FD8A9"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052" w:type="dxa"/>
            <w:tcBorders>
              <w:left w:val="single" w:sz="4" w:space="0" w:color="auto"/>
            </w:tcBorders>
            <w:shd w:val="clear" w:color="auto" w:fill="D7D8D8"/>
            <w:noWrap/>
            <w:tcMar>
              <w:top w:w="0" w:type="dxa"/>
              <w:left w:w="108" w:type="dxa"/>
              <w:bottom w:w="0" w:type="dxa"/>
              <w:right w:w="108" w:type="dxa"/>
            </w:tcMar>
            <w:vAlign w:val="bottom"/>
            <w:hideMark/>
          </w:tcPr>
          <w:p w14:paraId="47EFF426" w14:textId="29D79FFE"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423" w:type="dxa"/>
            <w:shd w:val="clear" w:color="auto" w:fill="D7D8D8"/>
            <w:noWrap/>
            <w:tcMar>
              <w:top w:w="0" w:type="dxa"/>
              <w:left w:w="108" w:type="dxa"/>
              <w:bottom w:w="0" w:type="dxa"/>
              <w:right w:w="108" w:type="dxa"/>
            </w:tcMar>
            <w:vAlign w:val="bottom"/>
            <w:hideMark/>
          </w:tcPr>
          <w:p w14:paraId="5B763FC0" w14:textId="50218985" w:rsidR="003F73C7" w:rsidRPr="00F71A22" w:rsidRDefault="003F73C7">
            <w:pPr>
              <w:pStyle w:val="TableText"/>
              <w:jc w:val="right"/>
              <w:rPr>
                <w:rFonts w:eastAsia="Times New Roman"/>
              </w:rPr>
            </w:pPr>
            <w:r w:rsidRPr="0051366F">
              <w:rPr>
                <w:rFonts w:eastAsia="Times New Roman"/>
                <w:color w:val="D9D9D9" w:themeColor="background1" w:themeShade="D9"/>
              </w:rPr>
              <w:t>—</w:t>
            </w:r>
          </w:p>
        </w:tc>
      </w:tr>
      <w:tr w:rsidR="00345594" w:rsidRPr="00F71A22" w14:paraId="1D003B69" w14:textId="77777777" w:rsidTr="00A2041A">
        <w:trPr>
          <w:trHeight w:val="300"/>
        </w:trPr>
        <w:tc>
          <w:tcPr>
            <w:tcW w:w="3460" w:type="dxa"/>
            <w:noWrap/>
            <w:tcMar>
              <w:top w:w="0" w:type="dxa"/>
              <w:left w:w="108" w:type="dxa"/>
              <w:bottom w:w="0" w:type="dxa"/>
              <w:right w:w="108" w:type="dxa"/>
            </w:tcMar>
            <w:vAlign w:val="bottom"/>
            <w:hideMark/>
          </w:tcPr>
          <w:p w14:paraId="490AB4EB" w14:textId="77777777" w:rsidR="00345594" w:rsidRPr="00F71A22" w:rsidRDefault="00345594">
            <w:pPr>
              <w:pStyle w:val="TableText"/>
              <w:rPr>
                <w:color w:val="000000"/>
              </w:rPr>
            </w:pPr>
            <w:r w:rsidRPr="00F71A22">
              <w:rPr>
                <w:color w:val="000000"/>
              </w:rPr>
              <w:t>Indigenous</w:t>
            </w:r>
          </w:p>
        </w:tc>
        <w:tc>
          <w:tcPr>
            <w:tcW w:w="1052" w:type="dxa"/>
            <w:noWrap/>
            <w:tcMar>
              <w:top w:w="0" w:type="dxa"/>
              <w:left w:w="108" w:type="dxa"/>
              <w:bottom w:w="0" w:type="dxa"/>
              <w:right w:w="108" w:type="dxa"/>
            </w:tcMar>
            <w:vAlign w:val="bottom"/>
            <w:hideMark/>
          </w:tcPr>
          <w:p w14:paraId="3ACB6D6B" w14:textId="77777777" w:rsidR="00345594" w:rsidRPr="00F71A22" w:rsidRDefault="00345594">
            <w:pPr>
              <w:pStyle w:val="TableText"/>
              <w:jc w:val="right"/>
              <w:rPr>
                <w:color w:val="000000"/>
              </w:rPr>
            </w:pPr>
            <w:r w:rsidRPr="00F71A22">
              <w:rPr>
                <w:color w:val="000000"/>
              </w:rPr>
              <w:t>291</w:t>
            </w:r>
          </w:p>
        </w:tc>
        <w:tc>
          <w:tcPr>
            <w:tcW w:w="1423" w:type="dxa"/>
            <w:tcBorders>
              <w:right w:val="single" w:sz="4" w:space="0" w:color="auto"/>
            </w:tcBorders>
            <w:noWrap/>
            <w:tcMar>
              <w:top w:w="0" w:type="dxa"/>
              <w:left w:w="108" w:type="dxa"/>
              <w:bottom w:w="0" w:type="dxa"/>
              <w:right w:w="108" w:type="dxa"/>
            </w:tcMar>
            <w:vAlign w:val="bottom"/>
            <w:hideMark/>
          </w:tcPr>
          <w:p w14:paraId="293177BE" w14:textId="77777777" w:rsidR="00345594" w:rsidRPr="00F71A22" w:rsidRDefault="00345594">
            <w:pPr>
              <w:pStyle w:val="TableText"/>
              <w:jc w:val="right"/>
              <w:rPr>
                <w:color w:val="000000"/>
              </w:rPr>
            </w:pPr>
            <w:r w:rsidRPr="00F71A22">
              <w:rPr>
                <w:color w:val="000000"/>
              </w:rPr>
              <w:t>2.0</w:t>
            </w:r>
          </w:p>
        </w:tc>
        <w:tc>
          <w:tcPr>
            <w:tcW w:w="1052" w:type="dxa"/>
            <w:tcBorders>
              <w:left w:val="single" w:sz="4" w:space="0" w:color="auto"/>
            </w:tcBorders>
            <w:noWrap/>
            <w:tcMar>
              <w:top w:w="0" w:type="dxa"/>
              <w:left w:w="108" w:type="dxa"/>
              <w:bottom w:w="0" w:type="dxa"/>
              <w:right w:w="108" w:type="dxa"/>
            </w:tcMar>
            <w:vAlign w:val="bottom"/>
            <w:hideMark/>
          </w:tcPr>
          <w:p w14:paraId="69CB6DA4" w14:textId="77777777" w:rsidR="00345594" w:rsidRPr="00F71A22" w:rsidRDefault="00345594">
            <w:pPr>
              <w:pStyle w:val="TableText"/>
              <w:jc w:val="right"/>
              <w:rPr>
                <w:color w:val="000000"/>
              </w:rPr>
            </w:pPr>
            <w:r w:rsidRPr="00F71A22">
              <w:rPr>
                <w:color w:val="000000"/>
              </w:rPr>
              <w:t>600</w:t>
            </w:r>
          </w:p>
        </w:tc>
        <w:tc>
          <w:tcPr>
            <w:tcW w:w="1423" w:type="dxa"/>
            <w:noWrap/>
            <w:tcMar>
              <w:top w:w="0" w:type="dxa"/>
              <w:left w:w="108" w:type="dxa"/>
              <w:bottom w:w="0" w:type="dxa"/>
              <w:right w:w="108" w:type="dxa"/>
            </w:tcMar>
            <w:vAlign w:val="bottom"/>
            <w:hideMark/>
          </w:tcPr>
          <w:p w14:paraId="3C3A2091" w14:textId="77777777" w:rsidR="00345594" w:rsidRPr="00F71A22" w:rsidRDefault="00345594">
            <w:pPr>
              <w:pStyle w:val="TableText"/>
              <w:jc w:val="right"/>
              <w:rPr>
                <w:color w:val="000000"/>
              </w:rPr>
            </w:pPr>
            <w:r w:rsidRPr="00F71A22">
              <w:rPr>
                <w:color w:val="000000"/>
              </w:rPr>
              <w:t>1.6</w:t>
            </w:r>
          </w:p>
        </w:tc>
      </w:tr>
      <w:tr w:rsidR="00345594" w:rsidRPr="00F71A22" w14:paraId="5F8C777F" w14:textId="77777777" w:rsidTr="00A2041A">
        <w:trPr>
          <w:trHeight w:val="300"/>
        </w:trPr>
        <w:tc>
          <w:tcPr>
            <w:tcW w:w="3460" w:type="dxa"/>
            <w:noWrap/>
            <w:tcMar>
              <w:top w:w="0" w:type="dxa"/>
              <w:left w:w="108" w:type="dxa"/>
              <w:bottom w:w="0" w:type="dxa"/>
              <w:right w:w="108" w:type="dxa"/>
            </w:tcMar>
            <w:vAlign w:val="bottom"/>
            <w:hideMark/>
          </w:tcPr>
          <w:p w14:paraId="2CF3F1BA" w14:textId="77777777" w:rsidR="00345594" w:rsidRPr="00F71A22" w:rsidRDefault="00345594">
            <w:pPr>
              <w:pStyle w:val="TableText"/>
              <w:rPr>
                <w:color w:val="000000"/>
              </w:rPr>
            </w:pPr>
            <w:r w:rsidRPr="00F71A22">
              <w:rPr>
                <w:color w:val="000000"/>
              </w:rPr>
              <w:t>Non-Indigenous</w:t>
            </w:r>
          </w:p>
        </w:tc>
        <w:tc>
          <w:tcPr>
            <w:tcW w:w="1052" w:type="dxa"/>
            <w:noWrap/>
            <w:tcMar>
              <w:top w:w="0" w:type="dxa"/>
              <w:left w:w="108" w:type="dxa"/>
              <w:bottom w:w="0" w:type="dxa"/>
              <w:right w:w="108" w:type="dxa"/>
            </w:tcMar>
            <w:vAlign w:val="bottom"/>
            <w:hideMark/>
          </w:tcPr>
          <w:p w14:paraId="258D4A75" w14:textId="77777777" w:rsidR="00345594" w:rsidRPr="00F71A22" w:rsidRDefault="00345594">
            <w:pPr>
              <w:pStyle w:val="TableText"/>
              <w:jc w:val="right"/>
              <w:rPr>
                <w:color w:val="000000"/>
              </w:rPr>
            </w:pPr>
            <w:r w:rsidRPr="00F71A22">
              <w:rPr>
                <w:color w:val="000000"/>
              </w:rPr>
              <w:t>14,039</w:t>
            </w:r>
          </w:p>
        </w:tc>
        <w:tc>
          <w:tcPr>
            <w:tcW w:w="1423" w:type="dxa"/>
            <w:tcBorders>
              <w:right w:val="single" w:sz="4" w:space="0" w:color="auto"/>
            </w:tcBorders>
            <w:noWrap/>
            <w:tcMar>
              <w:top w:w="0" w:type="dxa"/>
              <w:left w:w="108" w:type="dxa"/>
              <w:bottom w:w="0" w:type="dxa"/>
              <w:right w:w="108" w:type="dxa"/>
            </w:tcMar>
            <w:vAlign w:val="bottom"/>
            <w:hideMark/>
          </w:tcPr>
          <w:p w14:paraId="386E34D5" w14:textId="77777777" w:rsidR="00345594" w:rsidRPr="00F71A22" w:rsidRDefault="00345594">
            <w:pPr>
              <w:pStyle w:val="TableText"/>
              <w:jc w:val="right"/>
              <w:rPr>
                <w:color w:val="000000"/>
              </w:rPr>
            </w:pPr>
            <w:r w:rsidRPr="00F71A22">
              <w:rPr>
                <w:color w:val="000000"/>
              </w:rPr>
              <w:t>98.0</w:t>
            </w:r>
          </w:p>
        </w:tc>
        <w:tc>
          <w:tcPr>
            <w:tcW w:w="1052" w:type="dxa"/>
            <w:tcBorders>
              <w:left w:val="single" w:sz="4" w:space="0" w:color="auto"/>
            </w:tcBorders>
            <w:noWrap/>
            <w:tcMar>
              <w:top w:w="0" w:type="dxa"/>
              <w:left w:w="108" w:type="dxa"/>
              <w:bottom w:w="0" w:type="dxa"/>
              <w:right w:w="108" w:type="dxa"/>
            </w:tcMar>
            <w:vAlign w:val="bottom"/>
            <w:hideMark/>
          </w:tcPr>
          <w:p w14:paraId="76EDB068" w14:textId="77777777" w:rsidR="00345594" w:rsidRPr="00F71A22" w:rsidRDefault="00345594">
            <w:pPr>
              <w:pStyle w:val="TableText"/>
              <w:jc w:val="right"/>
              <w:rPr>
                <w:color w:val="000000"/>
              </w:rPr>
            </w:pPr>
            <w:r w:rsidRPr="00F71A22">
              <w:rPr>
                <w:color w:val="000000"/>
              </w:rPr>
              <w:t>37,804</w:t>
            </w:r>
          </w:p>
        </w:tc>
        <w:tc>
          <w:tcPr>
            <w:tcW w:w="1423" w:type="dxa"/>
            <w:noWrap/>
            <w:tcMar>
              <w:top w:w="0" w:type="dxa"/>
              <w:left w:w="108" w:type="dxa"/>
              <w:bottom w:w="0" w:type="dxa"/>
              <w:right w:w="108" w:type="dxa"/>
            </w:tcMar>
            <w:vAlign w:val="bottom"/>
            <w:hideMark/>
          </w:tcPr>
          <w:p w14:paraId="17958E9A" w14:textId="77777777" w:rsidR="00345594" w:rsidRPr="00F71A22" w:rsidRDefault="00345594">
            <w:pPr>
              <w:pStyle w:val="TableText"/>
              <w:jc w:val="right"/>
              <w:rPr>
                <w:color w:val="000000"/>
              </w:rPr>
            </w:pPr>
            <w:r w:rsidRPr="00F71A22">
              <w:rPr>
                <w:color w:val="000000"/>
              </w:rPr>
              <w:t>98.4</w:t>
            </w:r>
          </w:p>
        </w:tc>
      </w:tr>
      <w:tr w:rsidR="00345594" w:rsidRPr="00F71A22" w14:paraId="75C11D8A" w14:textId="77777777" w:rsidTr="00A2041A">
        <w:trPr>
          <w:trHeight w:val="300"/>
        </w:trPr>
        <w:tc>
          <w:tcPr>
            <w:tcW w:w="3460" w:type="dxa"/>
            <w:shd w:val="clear" w:color="auto" w:fill="D7D8D8"/>
            <w:noWrap/>
            <w:tcMar>
              <w:top w:w="0" w:type="dxa"/>
              <w:left w:w="108" w:type="dxa"/>
              <w:bottom w:w="0" w:type="dxa"/>
              <w:right w:w="108" w:type="dxa"/>
            </w:tcMar>
            <w:vAlign w:val="bottom"/>
            <w:hideMark/>
          </w:tcPr>
          <w:p w14:paraId="2AD11CE7" w14:textId="77777777" w:rsidR="00345594" w:rsidRPr="00F71A22" w:rsidRDefault="00345594">
            <w:pPr>
              <w:pStyle w:val="TableText"/>
              <w:rPr>
                <w:color w:val="000000"/>
              </w:rPr>
            </w:pPr>
            <w:r w:rsidRPr="00F71A22">
              <w:rPr>
                <w:color w:val="000000"/>
              </w:rPr>
              <w:t>Remoteness</w:t>
            </w:r>
          </w:p>
        </w:tc>
        <w:tc>
          <w:tcPr>
            <w:tcW w:w="1052" w:type="dxa"/>
            <w:shd w:val="clear" w:color="auto" w:fill="D7D8D8"/>
            <w:noWrap/>
            <w:tcMar>
              <w:top w:w="0" w:type="dxa"/>
              <w:left w:w="108" w:type="dxa"/>
              <w:bottom w:w="0" w:type="dxa"/>
              <w:right w:w="108" w:type="dxa"/>
            </w:tcMar>
            <w:vAlign w:val="bottom"/>
            <w:hideMark/>
          </w:tcPr>
          <w:p w14:paraId="334E949F" w14:textId="77777777" w:rsidR="00345594" w:rsidRPr="00F71A22" w:rsidRDefault="00345594">
            <w:pPr>
              <w:pStyle w:val="TableText"/>
              <w:jc w:val="right"/>
              <w:rPr>
                <w:color w:val="000000"/>
              </w:rPr>
            </w:pPr>
          </w:p>
        </w:tc>
        <w:tc>
          <w:tcPr>
            <w:tcW w:w="1423" w:type="dxa"/>
            <w:tcBorders>
              <w:right w:val="single" w:sz="4" w:space="0" w:color="auto"/>
            </w:tcBorders>
            <w:shd w:val="clear" w:color="auto" w:fill="D7D8D8"/>
            <w:noWrap/>
            <w:tcMar>
              <w:top w:w="0" w:type="dxa"/>
              <w:left w:w="108" w:type="dxa"/>
              <w:bottom w:w="0" w:type="dxa"/>
              <w:right w:w="108" w:type="dxa"/>
            </w:tcMar>
            <w:vAlign w:val="bottom"/>
            <w:hideMark/>
          </w:tcPr>
          <w:p w14:paraId="68A87545" w14:textId="77777777" w:rsidR="00345594" w:rsidRPr="00F71A22" w:rsidRDefault="00345594">
            <w:pPr>
              <w:pStyle w:val="TableText"/>
              <w:jc w:val="right"/>
              <w:rPr>
                <w:rFonts w:eastAsia="Times New Roman"/>
              </w:rPr>
            </w:pPr>
          </w:p>
        </w:tc>
        <w:tc>
          <w:tcPr>
            <w:tcW w:w="1052" w:type="dxa"/>
            <w:tcBorders>
              <w:left w:val="single" w:sz="4" w:space="0" w:color="auto"/>
            </w:tcBorders>
            <w:shd w:val="clear" w:color="auto" w:fill="D7D8D8"/>
            <w:noWrap/>
            <w:tcMar>
              <w:top w:w="0" w:type="dxa"/>
              <w:left w:w="108" w:type="dxa"/>
              <w:bottom w:w="0" w:type="dxa"/>
              <w:right w:w="108" w:type="dxa"/>
            </w:tcMar>
            <w:vAlign w:val="bottom"/>
            <w:hideMark/>
          </w:tcPr>
          <w:p w14:paraId="21A7CC48" w14:textId="77777777" w:rsidR="00345594" w:rsidRPr="00F71A22" w:rsidRDefault="00345594">
            <w:pPr>
              <w:pStyle w:val="TableText"/>
              <w:jc w:val="right"/>
              <w:rPr>
                <w:rFonts w:eastAsia="Times New Roman"/>
              </w:rPr>
            </w:pPr>
          </w:p>
        </w:tc>
        <w:tc>
          <w:tcPr>
            <w:tcW w:w="1423" w:type="dxa"/>
            <w:shd w:val="clear" w:color="auto" w:fill="D7D8D8"/>
            <w:noWrap/>
            <w:tcMar>
              <w:top w:w="0" w:type="dxa"/>
              <w:left w:w="108" w:type="dxa"/>
              <w:bottom w:w="0" w:type="dxa"/>
              <w:right w:w="108" w:type="dxa"/>
            </w:tcMar>
            <w:vAlign w:val="bottom"/>
            <w:hideMark/>
          </w:tcPr>
          <w:p w14:paraId="3D54B56E" w14:textId="77777777" w:rsidR="00345594" w:rsidRPr="00F71A22" w:rsidRDefault="00345594">
            <w:pPr>
              <w:pStyle w:val="TableText"/>
              <w:jc w:val="right"/>
              <w:rPr>
                <w:rFonts w:eastAsia="Times New Roman"/>
              </w:rPr>
            </w:pPr>
          </w:p>
        </w:tc>
      </w:tr>
      <w:tr w:rsidR="00345594" w:rsidRPr="00F71A22" w14:paraId="0801602C" w14:textId="77777777" w:rsidTr="00A2041A">
        <w:trPr>
          <w:trHeight w:val="300"/>
        </w:trPr>
        <w:tc>
          <w:tcPr>
            <w:tcW w:w="3460" w:type="dxa"/>
            <w:noWrap/>
            <w:tcMar>
              <w:top w:w="0" w:type="dxa"/>
              <w:left w:w="108" w:type="dxa"/>
              <w:bottom w:w="0" w:type="dxa"/>
              <w:right w:w="108" w:type="dxa"/>
            </w:tcMar>
            <w:vAlign w:val="bottom"/>
            <w:hideMark/>
          </w:tcPr>
          <w:p w14:paraId="0C973C82" w14:textId="67F29FC7" w:rsidR="00345594" w:rsidRPr="00F71A22" w:rsidRDefault="00345594">
            <w:pPr>
              <w:pStyle w:val="TableText"/>
              <w:rPr>
                <w:color w:val="000000"/>
              </w:rPr>
            </w:pPr>
            <w:r w:rsidRPr="00F71A22">
              <w:rPr>
                <w:color w:val="000000"/>
              </w:rPr>
              <w:t xml:space="preserve">Major </w:t>
            </w:r>
            <w:r w:rsidR="00B41917">
              <w:rPr>
                <w:color w:val="000000"/>
              </w:rPr>
              <w:t>c</w:t>
            </w:r>
            <w:r w:rsidRPr="00F71A22">
              <w:rPr>
                <w:color w:val="000000"/>
              </w:rPr>
              <w:t>ities</w:t>
            </w:r>
          </w:p>
        </w:tc>
        <w:tc>
          <w:tcPr>
            <w:tcW w:w="1052" w:type="dxa"/>
            <w:noWrap/>
            <w:tcMar>
              <w:top w:w="0" w:type="dxa"/>
              <w:left w:w="108" w:type="dxa"/>
              <w:bottom w:w="0" w:type="dxa"/>
              <w:right w:w="108" w:type="dxa"/>
            </w:tcMar>
            <w:vAlign w:val="bottom"/>
            <w:hideMark/>
          </w:tcPr>
          <w:p w14:paraId="20F906FE" w14:textId="77777777" w:rsidR="00345594" w:rsidRPr="00F71A22" w:rsidRDefault="00345594">
            <w:pPr>
              <w:pStyle w:val="TableText"/>
              <w:jc w:val="right"/>
              <w:rPr>
                <w:color w:val="000000"/>
              </w:rPr>
            </w:pPr>
            <w:r w:rsidRPr="00F71A22">
              <w:rPr>
                <w:color w:val="000000"/>
              </w:rPr>
              <w:t>10,737</w:t>
            </w:r>
          </w:p>
        </w:tc>
        <w:tc>
          <w:tcPr>
            <w:tcW w:w="1423" w:type="dxa"/>
            <w:tcBorders>
              <w:right w:val="single" w:sz="4" w:space="0" w:color="auto"/>
            </w:tcBorders>
            <w:noWrap/>
            <w:tcMar>
              <w:top w:w="0" w:type="dxa"/>
              <w:left w:w="108" w:type="dxa"/>
              <w:bottom w:w="0" w:type="dxa"/>
              <w:right w:w="108" w:type="dxa"/>
            </w:tcMar>
            <w:vAlign w:val="bottom"/>
            <w:hideMark/>
          </w:tcPr>
          <w:p w14:paraId="0C8E07DB" w14:textId="77777777" w:rsidR="00345594" w:rsidRPr="00F71A22" w:rsidRDefault="00345594">
            <w:pPr>
              <w:pStyle w:val="TableText"/>
              <w:jc w:val="right"/>
              <w:rPr>
                <w:color w:val="000000"/>
              </w:rPr>
            </w:pPr>
            <w:r w:rsidRPr="00F71A22">
              <w:rPr>
                <w:color w:val="000000"/>
              </w:rPr>
              <w:t>74.9</w:t>
            </w:r>
          </w:p>
        </w:tc>
        <w:tc>
          <w:tcPr>
            <w:tcW w:w="1052" w:type="dxa"/>
            <w:tcBorders>
              <w:left w:val="single" w:sz="4" w:space="0" w:color="auto"/>
            </w:tcBorders>
            <w:noWrap/>
            <w:tcMar>
              <w:top w:w="0" w:type="dxa"/>
              <w:left w:w="108" w:type="dxa"/>
              <w:bottom w:w="0" w:type="dxa"/>
              <w:right w:w="108" w:type="dxa"/>
            </w:tcMar>
            <w:vAlign w:val="bottom"/>
            <w:hideMark/>
          </w:tcPr>
          <w:p w14:paraId="3FD01E45" w14:textId="77777777" w:rsidR="00345594" w:rsidRPr="00F71A22" w:rsidRDefault="00345594">
            <w:pPr>
              <w:pStyle w:val="TableText"/>
              <w:jc w:val="right"/>
              <w:rPr>
                <w:color w:val="000000"/>
              </w:rPr>
            </w:pPr>
            <w:r w:rsidRPr="00F71A22">
              <w:rPr>
                <w:color w:val="000000"/>
              </w:rPr>
              <w:t>28,404</w:t>
            </w:r>
          </w:p>
        </w:tc>
        <w:tc>
          <w:tcPr>
            <w:tcW w:w="1423" w:type="dxa"/>
            <w:noWrap/>
            <w:tcMar>
              <w:top w:w="0" w:type="dxa"/>
              <w:left w:w="108" w:type="dxa"/>
              <w:bottom w:w="0" w:type="dxa"/>
              <w:right w:w="108" w:type="dxa"/>
            </w:tcMar>
            <w:vAlign w:val="bottom"/>
            <w:hideMark/>
          </w:tcPr>
          <w:p w14:paraId="2E26225F" w14:textId="77777777" w:rsidR="00345594" w:rsidRPr="00F71A22" w:rsidRDefault="00345594">
            <w:pPr>
              <w:pStyle w:val="TableText"/>
              <w:jc w:val="right"/>
              <w:rPr>
                <w:color w:val="000000"/>
              </w:rPr>
            </w:pPr>
            <w:r w:rsidRPr="00F71A22">
              <w:rPr>
                <w:color w:val="000000"/>
              </w:rPr>
              <w:t>74.0</w:t>
            </w:r>
          </w:p>
        </w:tc>
      </w:tr>
      <w:tr w:rsidR="00345594" w:rsidRPr="00F71A22" w14:paraId="5C7FFFAC" w14:textId="77777777" w:rsidTr="00A2041A">
        <w:trPr>
          <w:trHeight w:val="300"/>
        </w:trPr>
        <w:tc>
          <w:tcPr>
            <w:tcW w:w="3460" w:type="dxa"/>
            <w:noWrap/>
            <w:tcMar>
              <w:top w:w="0" w:type="dxa"/>
              <w:left w:w="108" w:type="dxa"/>
              <w:bottom w:w="0" w:type="dxa"/>
              <w:right w:w="108" w:type="dxa"/>
            </w:tcMar>
            <w:vAlign w:val="bottom"/>
            <w:hideMark/>
          </w:tcPr>
          <w:p w14:paraId="37D31A4D" w14:textId="2E2CEF51" w:rsidR="00345594" w:rsidRPr="00F71A22" w:rsidRDefault="00345594">
            <w:pPr>
              <w:pStyle w:val="TableText"/>
              <w:rPr>
                <w:color w:val="000000"/>
              </w:rPr>
            </w:pPr>
            <w:r w:rsidRPr="00F71A22">
              <w:rPr>
                <w:color w:val="000000"/>
              </w:rPr>
              <w:t xml:space="preserve">Inner </w:t>
            </w:r>
            <w:r w:rsidR="00B41917">
              <w:rPr>
                <w:color w:val="000000"/>
              </w:rPr>
              <w:t>r</w:t>
            </w:r>
            <w:r w:rsidRPr="00F71A22">
              <w:rPr>
                <w:color w:val="000000"/>
              </w:rPr>
              <w:t>egional</w:t>
            </w:r>
          </w:p>
        </w:tc>
        <w:tc>
          <w:tcPr>
            <w:tcW w:w="1052" w:type="dxa"/>
            <w:noWrap/>
            <w:tcMar>
              <w:top w:w="0" w:type="dxa"/>
              <w:left w:w="108" w:type="dxa"/>
              <w:bottom w:w="0" w:type="dxa"/>
              <w:right w:w="108" w:type="dxa"/>
            </w:tcMar>
            <w:vAlign w:val="bottom"/>
            <w:hideMark/>
          </w:tcPr>
          <w:p w14:paraId="38A4DD28" w14:textId="77777777" w:rsidR="00345594" w:rsidRPr="00F71A22" w:rsidRDefault="00345594">
            <w:pPr>
              <w:pStyle w:val="TableText"/>
              <w:jc w:val="right"/>
              <w:rPr>
                <w:color w:val="000000"/>
              </w:rPr>
            </w:pPr>
            <w:r w:rsidRPr="00F71A22">
              <w:rPr>
                <w:color w:val="000000"/>
              </w:rPr>
              <w:t>2,644</w:t>
            </w:r>
          </w:p>
        </w:tc>
        <w:tc>
          <w:tcPr>
            <w:tcW w:w="1423" w:type="dxa"/>
            <w:tcBorders>
              <w:right w:val="single" w:sz="4" w:space="0" w:color="auto"/>
            </w:tcBorders>
            <w:noWrap/>
            <w:tcMar>
              <w:top w:w="0" w:type="dxa"/>
              <w:left w:w="108" w:type="dxa"/>
              <w:bottom w:w="0" w:type="dxa"/>
              <w:right w:w="108" w:type="dxa"/>
            </w:tcMar>
            <w:vAlign w:val="bottom"/>
            <w:hideMark/>
          </w:tcPr>
          <w:p w14:paraId="27C51190" w14:textId="77777777" w:rsidR="00345594" w:rsidRPr="00F71A22" w:rsidRDefault="00345594">
            <w:pPr>
              <w:pStyle w:val="TableText"/>
              <w:jc w:val="right"/>
              <w:rPr>
                <w:color w:val="000000"/>
              </w:rPr>
            </w:pPr>
            <w:r w:rsidRPr="00F71A22">
              <w:rPr>
                <w:color w:val="000000"/>
              </w:rPr>
              <w:t>18.5</w:t>
            </w:r>
          </w:p>
        </w:tc>
        <w:tc>
          <w:tcPr>
            <w:tcW w:w="1052" w:type="dxa"/>
            <w:tcBorders>
              <w:left w:val="single" w:sz="4" w:space="0" w:color="auto"/>
            </w:tcBorders>
            <w:noWrap/>
            <w:tcMar>
              <w:top w:w="0" w:type="dxa"/>
              <w:left w:w="108" w:type="dxa"/>
              <w:bottom w:w="0" w:type="dxa"/>
              <w:right w:w="108" w:type="dxa"/>
            </w:tcMar>
            <w:vAlign w:val="bottom"/>
            <w:hideMark/>
          </w:tcPr>
          <w:p w14:paraId="4E3F8679" w14:textId="77777777" w:rsidR="00345594" w:rsidRPr="00F71A22" w:rsidRDefault="00345594">
            <w:pPr>
              <w:pStyle w:val="TableText"/>
              <w:jc w:val="right"/>
              <w:rPr>
                <w:color w:val="000000"/>
              </w:rPr>
            </w:pPr>
            <w:r w:rsidRPr="00F71A22">
              <w:rPr>
                <w:color w:val="000000"/>
              </w:rPr>
              <w:t>7,103</w:t>
            </w:r>
          </w:p>
        </w:tc>
        <w:tc>
          <w:tcPr>
            <w:tcW w:w="1423" w:type="dxa"/>
            <w:noWrap/>
            <w:tcMar>
              <w:top w:w="0" w:type="dxa"/>
              <w:left w:w="108" w:type="dxa"/>
              <w:bottom w:w="0" w:type="dxa"/>
              <w:right w:w="108" w:type="dxa"/>
            </w:tcMar>
            <w:vAlign w:val="bottom"/>
            <w:hideMark/>
          </w:tcPr>
          <w:p w14:paraId="76169C88" w14:textId="77777777" w:rsidR="00345594" w:rsidRPr="00F71A22" w:rsidRDefault="00345594">
            <w:pPr>
              <w:pStyle w:val="TableText"/>
              <w:jc w:val="right"/>
              <w:rPr>
                <w:color w:val="000000"/>
              </w:rPr>
            </w:pPr>
            <w:r w:rsidRPr="00F71A22">
              <w:rPr>
                <w:color w:val="000000"/>
              </w:rPr>
              <w:t>18.5</w:t>
            </w:r>
          </w:p>
        </w:tc>
      </w:tr>
      <w:tr w:rsidR="00345594" w:rsidRPr="00F71A22" w14:paraId="7CC1C2BB" w14:textId="77777777" w:rsidTr="00A2041A">
        <w:trPr>
          <w:trHeight w:val="300"/>
        </w:trPr>
        <w:tc>
          <w:tcPr>
            <w:tcW w:w="3460" w:type="dxa"/>
            <w:noWrap/>
            <w:tcMar>
              <w:top w:w="0" w:type="dxa"/>
              <w:left w:w="108" w:type="dxa"/>
              <w:bottom w:w="0" w:type="dxa"/>
              <w:right w:w="108" w:type="dxa"/>
            </w:tcMar>
            <w:vAlign w:val="bottom"/>
            <w:hideMark/>
          </w:tcPr>
          <w:p w14:paraId="35804379" w14:textId="65292CC1" w:rsidR="00345594" w:rsidRPr="00F71A22" w:rsidRDefault="00345594">
            <w:pPr>
              <w:pStyle w:val="TableText"/>
              <w:rPr>
                <w:color w:val="000000"/>
              </w:rPr>
            </w:pPr>
            <w:r w:rsidRPr="00F71A22">
              <w:rPr>
                <w:color w:val="000000"/>
              </w:rPr>
              <w:t xml:space="preserve">Outer </w:t>
            </w:r>
            <w:r w:rsidR="00B41917">
              <w:rPr>
                <w:color w:val="000000"/>
              </w:rPr>
              <w:t>r</w:t>
            </w:r>
            <w:r w:rsidRPr="00F71A22">
              <w:rPr>
                <w:color w:val="000000"/>
              </w:rPr>
              <w:t>egional</w:t>
            </w:r>
          </w:p>
        </w:tc>
        <w:tc>
          <w:tcPr>
            <w:tcW w:w="1052" w:type="dxa"/>
            <w:noWrap/>
            <w:tcMar>
              <w:top w:w="0" w:type="dxa"/>
              <w:left w:w="108" w:type="dxa"/>
              <w:bottom w:w="0" w:type="dxa"/>
              <w:right w:w="108" w:type="dxa"/>
            </w:tcMar>
            <w:vAlign w:val="bottom"/>
            <w:hideMark/>
          </w:tcPr>
          <w:p w14:paraId="14A95892" w14:textId="77777777" w:rsidR="00345594" w:rsidRPr="00F71A22" w:rsidRDefault="00345594">
            <w:pPr>
              <w:pStyle w:val="TableText"/>
              <w:jc w:val="right"/>
              <w:rPr>
                <w:color w:val="000000"/>
              </w:rPr>
            </w:pPr>
            <w:r w:rsidRPr="00F71A22">
              <w:rPr>
                <w:color w:val="000000"/>
              </w:rPr>
              <w:t>949</w:t>
            </w:r>
          </w:p>
        </w:tc>
        <w:tc>
          <w:tcPr>
            <w:tcW w:w="1423" w:type="dxa"/>
            <w:tcBorders>
              <w:right w:val="single" w:sz="4" w:space="0" w:color="auto"/>
            </w:tcBorders>
            <w:noWrap/>
            <w:tcMar>
              <w:top w:w="0" w:type="dxa"/>
              <w:left w:w="108" w:type="dxa"/>
              <w:bottom w:w="0" w:type="dxa"/>
              <w:right w:w="108" w:type="dxa"/>
            </w:tcMar>
            <w:vAlign w:val="bottom"/>
            <w:hideMark/>
          </w:tcPr>
          <w:p w14:paraId="3FB783D3" w14:textId="77777777" w:rsidR="00345594" w:rsidRPr="00F71A22" w:rsidRDefault="00345594">
            <w:pPr>
              <w:pStyle w:val="TableText"/>
              <w:jc w:val="right"/>
              <w:rPr>
                <w:color w:val="000000"/>
              </w:rPr>
            </w:pPr>
            <w:r w:rsidRPr="00F71A22">
              <w:rPr>
                <w:color w:val="000000"/>
              </w:rPr>
              <w:t>6.6</w:t>
            </w:r>
          </w:p>
        </w:tc>
        <w:tc>
          <w:tcPr>
            <w:tcW w:w="1052" w:type="dxa"/>
            <w:tcBorders>
              <w:left w:val="single" w:sz="4" w:space="0" w:color="auto"/>
            </w:tcBorders>
            <w:noWrap/>
            <w:tcMar>
              <w:top w:w="0" w:type="dxa"/>
              <w:left w:w="108" w:type="dxa"/>
              <w:bottom w:w="0" w:type="dxa"/>
              <w:right w:w="108" w:type="dxa"/>
            </w:tcMar>
            <w:vAlign w:val="bottom"/>
            <w:hideMark/>
          </w:tcPr>
          <w:p w14:paraId="7E4904A0" w14:textId="77777777" w:rsidR="00345594" w:rsidRPr="00F71A22" w:rsidRDefault="00345594">
            <w:pPr>
              <w:pStyle w:val="TableText"/>
              <w:jc w:val="right"/>
              <w:rPr>
                <w:color w:val="000000"/>
              </w:rPr>
            </w:pPr>
            <w:r w:rsidRPr="00F71A22">
              <w:rPr>
                <w:color w:val="000000"/>
              </w:rPr>
              <w:t>2,897</w:t>
            </w:r>
          </w:p>
        </w:tc>
        <w:tc>
          <w:tcPr>
            <w:tcW w:w="1423" w:type="dxa"/>
            <w:noWrap/>
            <w:tcMar>
              <w:top w:w="0" w:type="dxa"/>
              <w:left w:w="108" w:type="dxa"/>
              <w:bottom w:w="0" w:type="dxa"/>
              <w:right w:w="108" w:type="dxa"/>
            </w:tcMar>
            <w:vAlign w:val="bottom"/>
            <w:hideMark/>
          </w:tcPr>
          <w:p w14:paraId="52435932" w14:textId="77777777" w:rsidR="00345594" w:rsidRPr="00F71A22" w:rsidRDefault="00345594">
            <w:pPr>
              <w:pStyle w:val="TableText"/>
              <w:jc w:val="right"/>
              <w:rPr>
                <w:color w:val="000000"/>
              </w:rPr>
            </w:pPr>
            <w:r w:rsidRPr="00F71A22">
              <w:rPr>
                <w:color w:val="000000"/>
              </w:rPr>
              <w:t>7.5</w:t>
            </w:r>
          </w:p>
        </w:tc>
      </w:tr>
      <w:tr w:rsidR="003F73C7" w:rsidRPr="00F71A22" w14:paraId="52574A01" w14:textId="77777777" w:rsidTr="00A2041A">
        <w:trPr>
          <w:trHeight w:val="300"/>
        </w:trPr>
        <w:tc>
          <w:tcPr>
            <w:tcW w:w="3460" w:type="dxa"/>
            <w:shd w:val="clear" w:color="auto" w:fill="D7D8D8"/>
            <w:noWrap/>
            <w:tcMar>
              <w:top w:w="0" w:type="dxa"/>
              <w:left w:w="108" w:type="dxa"/>
              <w:bottom w:w="0" w:type="dxa"/>
              <w:right w:w="108" w:type="dxa"/>
            </w:tcMar>
            <w:vAlign w:val="bottom"/>
            <w:hideMark/>
          </w:tcPr>
          <w:p w14:paraId="30586B88" w14:textId="77777777" w:rsidR="003F73C7" w:rsidRPr="00F71A22" w:rsidRDefault="003F73C7">
            <w:pPr>
              <w:pStyle w:val="TableText"/>
              <w:rPr>
                <w:color w:val="000000"/>
              </w:rPr>
            </w:pPr>
            <w:r w:rsidRPr="00F71A22">
              <w:rPr>
                <w:color w:val="000000"/>
              </w:rPr>
              <w:t>CALD</w:t>
            </w:r>
          </w:p>
        </w:tc>
        <w:tc>
          <w:tcPr>
            <w:tcW w:w="1052" w:type="dxa"/>
            <w:shd w:val="clear" w:color="auto" w:fill="D7D8D8"/>
            <w:noWrap/>
            <w:tcMar>
              <w:top w:w="0" w:type="dxa"/>
              <w:left w:w="108" w:type="dxa"/>
              <w:bottom w:w="0" w:type="dxa"/>
              <w:right w:w="108" w:type="dxa"/>
            </w:tcMar>
            <w:vAlign w:val="bottom"/>
            <w:hideMark/>
          </w:tcPr>
          <w:p w14:paraId="4B2213F3" w14:textId="78A2604A" w:rsidR="003F73C7" w:rsidRPr="00F71A22" w:rsidRDefault="003F73C7">
            <w:pPr>
              <w:pStyle w:val="TableText"/>
              <w:jc w:val="right"/>
              <w:rPr>
                <w:color w:val="000000"/>
              </w:rPr>
            </w:pPr>
            <w:r w:rsidRPr="0051366F">
              <w:rPr>
                <w:color w:val="D9D9D9" w:themeColor="background1" w:themeShade="D9"/>
              </w:rPr>
              <w:t>—</w:t>
            </w:r>
          </w:p>
        </w:tc>
        <w:tc>
          <w:tcPr>
            <w:tcW w:w="1423" w:type="dxa"/>
            <w:tcBorders>
              <w:right w:val="single" w:sz="4" w:space="0" w:color="auto"/>
            </w:tcBorders>
            <w:shd w:val="clear" w:color="auto" w:fill="D7D8D8"/>
            <w:noWrap/>
            <w:tcMar>
              <w:top w:w="0" w:type="dxa"/>
              <w:left w:w="108" w:type="dxa"/>
              <w:bottom w:w="0" w:type="dxa"/>
              <w:right w:w="108" w:type="dxa"/>
            </w:tcMar>
            <w:vAlign w:val="bottom"/>
            <w:hideMark/>
          </w:tcPr>
          <w:p w14:paraId="75643F6B" w14:textId="0854F6B7"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052" w:type="dxa"/>
            <w:tcBorders>
              <w:left w:val="single" w:sz="4" w:space="0" w:color="auto"/>
            </w:tcBorders>
            <w:shd w:val="clear" w:color="auto" w:fill="D7D8D8"/>
            <w:noWrap/>
            <w:tcMar>
              <w:top w:w="0" w:type="dxa"/>
              <w:left w:w="108" w:type="dxa"/>
              <w:bottom w:w="0" w:type="dxa"/>
              <w:right w:w="108" w:type="dxa"/>
            </w:tcMar>
            <w:vAlign w:val="bottom"/>
            <w:hideMark/>
          </w:tcPr>
          <w:p w14:paraId="21E1EC86" w14:textId="3E897976"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423" w:type="dxa"/>
            <w:shd w:val="clear" w:color="auto" w:fill="D7D8D8"/>
            <w:noWrap/>
            <w:tcMar>
              <w:top w:w="0" w:type="dxa"/>
              <w:left w:w="108" w:type="dxa"/>
              <w:bottom w:w="0" w:type="dxa"/>
              <w:right w:w="108" w:type="dxa"/>
            </w:tcMar>
            <w:vAlign w:val="bottom"/>
            <w:hideMark/>
          </w:tcPr>
          <w:p w14:paraId="733BA5DF" w14:textId="3B057970" w:rsidR="003F73C7" w:rsidRPr="00F71A22" w:rsidRDefault="003F73C7">
            <w:pPr>
              <w:pStyle w:val="TableText"/>
              <w:jc w:val="right"/>
              <w:rPr>
                <w:rFonts w:eastAsia="Times New Roman"/>
              </w:rPr>
            </w:pPr>
            <w:r w:rsidRPr="0051366F">
              <w:rPr>
                <w:rFonts w:eastAsia="Times New Roman"/>
                <w:color w:val="D9D9D9" w:themeColor="background1" w:themeShade="D9"/>
              </w:rPr>
              <w:t>—</w:t>
            </w:r>
          </w:p>
        </w:tc>
      </w:tr>
      <w:tr w:rsidR="00345594" w:rsidRPr="00F71A22" w14:paraId="1FC0F491" w14:textId="77777777" w:rsidTr="00A2041A">
        <w:trPr>
          <w:trHeight w:val="300"/>
        </w:trPr>
        <w:tc>
          <w:tcPr>
            <w:tcW w:w="3460" w:type="dxa"/>
            <w:noWrap/>
            <w:tcMar>
              <w:top w:w="0" w:type="dxa"/>
              <w:left w:w="108" w:type="dxa"/>
              <w:bottom w:w="0" w:type="dxa"/>
              <w:right w:w="108" w:type="dxa"/>
            </w:tcMar>
            <w:vAlign w:val="bottom"/>
            <w:hideMark/>
          </w:tcPr>
          <w:p w14:paraId="79BEFB13" w14:textId="77777777" w:rsidR="00345594" w:rsidRPr="00F71A22" w:rsidRDefault="00345594">
            <w:pPr>
              <w:pStyle w:val="TableText"/>
              <w:rPr>
                <w:color w:val="000000"/>
              </w:rPr>
            </w:pPr>
            <w:r w:rsidRPr="00F71A22">
              <w:rPr>
                <w:color w:val="000000"/>
              </w:rPr>
              <w:t>Yes</w:t>
            </w:r>
          </w:p>
        </w:tc>
        <w:tc>
          <w:tcPr>
            <w:tcW w:w="1052" w:type="dxa"/>
            <w:noWrap/>
            <w:tcMar>
              <w:top w:w="0" w:type="dxa"/>
              <w:left w:w="108" w:type="dxa"/>
              <w:bottom w:w="0" w:type="dxa"/>
              <w:right w:w="108" w:type="dxa"/>
            </w:tcMar>
            <w:vAlign w:val="bottom"/>
            <w:hideMark/>
          </w:tcPr>
          <w:p w14:paraId="2EB30BA1" w14:textId="77777777" w:rsidR="00345594" w:rsidRPr="00F71A22" w:rsidRDefault="00345594">
            <w:pPr>
              <w:pStyle w:val="TableText"/>
              <w:jc w:val="right"/>
              <w:rPr>
                <w:color w:val="000000"/>
              </w:rPr>
            </w:pPr>
            <w:r w:rsidRPr="00F71A22">
              <w:rPr>
                <w:color w:val="000000"/>
              </w:rPr>
              <w:t>2,298</w:t>
            </w:r>
          </w:p>
        </w:tc>
        <w:tc>
          <w:tcPr>
            <w:tcW w:w="1423" w:type="dxa"/>
            <w:tcBorders>
              <w:right w:val="single" w:sz="4" w:space="0" w:color="auto"/>
            </w:tcBorders>
            <w:noWrap/>
            <w:tcMar>
              <w:top w:w="0" w:type="dxa"/>
              <w:left w:w="108" w:type="dxa"/>
              <w:bottom w:w="0" w:type="dxa"/>
              <w:right w:w="108" w:type="dxa"/>
            </w:tcMar>
            <w:vAlign w:val="bottom"/>
            <w:hideMark/>
          </w:tcPr>
          <w:p w14:paraId="25D1DF8E" w14:textId="77777777" w:rsidR="00345594" w:rsidRPr="00F71A22" w:rsidRDefault="00345594">
            <w:pPr>
              <w:pStyle w:val="TableText"/>
              <w:jc w:val="right"/>
              <w:rPr>
                <w:color w:val="000000"/>
              </w:rPr>
            </w:pPr>
            <w:r w:rsidRPr="00F71A22">
              <w:rPr>
                <w:color w:val="000000"/>
              </w:rPr>
              <w:t>16.0</w:t>
            </w:r>
          </w:p>
        </w:tc>
        <w:tc>
          <w:tcPr>
            <w:tcW w:w="1052" w:type="dxa"/>
            <w:tcBorders>
              <w:left w:val="single" w:sz="4" w:space="0" w:color="auto"/>
            </w:tcBorders>
            <w:noWrap/>
            <w:tcMar>
              <w:top w:w="0" w:type="dxa"/>
              <w:left w:w="108" w:type="dxa"/>
              <w:bottom w:w="0" w:type="dxa"/>
              <w:right w:w="108" w:type="dxa"/>
            </w:tcMar>
            <w:vAlign w:val="bottom"/>
            <w:hideMark/>
          </w:tcPr>
          <w:p w14:paraId="7F7A09AC" w14:textId="77777777" w:rsidR="00345594" w:rsidRPr="00F71A22" w:rsidRDefault="00345594">
            <w:pPr>
              <w:pStyle w:val="TableText"/>
              <w:jc w:val="right"/>
              <w:rPr>
                <w:color w:val="000000"/>
              </w:rPr>
            </w:pPr>
            <w:r w:rsidRPr="00F71A22">
              <w:rPr>
                <w:color w:val="000000"/>
              </w:rPr>
              <w:t>6,637</w:t>
            </w:r>
          </w:p>
        </w:tc>
        <w:tc>
          <w:tcPr>
            <w:tcW w:w="1423" w:type="dxa"/>
            <w:noWrap/>
            <w:tcMar>
              <w:top w:w="0" w:type="dxa"/>
              <w:left w:w="108" w:type="dxa"/>
              <w:bottom w:w="0" w:type="dxa"/>
              <w:right w:w="108" w:type="dxa"/>
            </w:tcMar>
            <w:vAlign w:val="bottom"/>
            <w:hideMark/>
          </w:tcPr>
          <w:p w14:paraId="07D20971" w14:textId="77777777" w:rsidR="00345594" w:rsidRPr="00F71A22" w:rsidRDefault="00345594">
            <w:pPr>
              <w:pStyle w:val="TableText"/>
              <w:jc w:val="right"/>
              <w:rPr>
                <w:color w:val="000000"/>
              </w:rPr>
            </w:pPr>
            <w:r w:rsidRPr="00F71A22">
              <w:rPr>
                <w:color w:val="000000"/>
              </w:rPr>
              <w:t>17.3</w:t>
            </w:r>
          </w:p>
        </w:tc>
      </w:tr>
      <w:tr w:rsidR="00345594" w:rsidRPr="00F71A22" w14:paraId="0704EF4F" w14:textId="77777777" w:rsidTr="00A2041A">
        <w:trPr>
          <w:trHeight w:val="300"/>
        </w:trPr>
        <w:tc>
          <w:tcPr>
            <w:tcW w:w="3460" w:type="dxa"/>
            <w:noWrap/>
            <w:tcMar>
              <w:top w:w="0" w:type="dxa"/>
              <w:left w:w="108" w:type="dxa"/>
              <w:bottom w:w="0" w:type="dxa"/>
              <w:right w:w="108" w:type="dxa"/>
            </w:tcMar>
            <w:vAlign w:val="bottom"/>
            <w:hideMark/>
          </w:tcPr>
          <w:p w14:paraId="48732136" w14:textId="77777777" w:rsidR="00345594" w:rsidRPr="00F71A22" w:rsidRDefault="00345594">
            <w:pPr>
              <w:pStyle w:val="TableText"/>
              <w:rPr>
                <w:color w:val="000000"/>
              </w:rPr>
            </w:pPr>
            <w:r w:rsidRPr="00F71A22">
              <w:rPr>
                <w:color w:val="000000"/>
              </w:rPr>
              <w:t xml:space="preserve">No </w:t>
            </w:r>
          </w:p>
        </w:tc>
        <w:tc>
          <w:tcPr>
            <w:tcW w:w="1052" w:type="dxa"/>
            <w:noWrap/>
            <w:tcMar>
              <w:top w:w="0" w:type="dxa"/>
              <w:left w:w="108" w:type="dxa"/>
              <w:bottom w:w="0" w:type="dxa"/>
              <w:right w:w="108" w:type="dxa"/>
            </w:tcMar>
            <w:vAlign w:val="bottom"/>
            <w:hideMark/>
          </w:tcPr>
          <w:p w14:paraId="03CDF9D9" w14:textId="77777777" w:rsidR="00345594" w:rsidRPr="00F71A22" w:rsidRDefault="00345594">
            <w:pPr>
              <w:pStyle w:val="TableText"/>
              <w:jc w:val="right"/>
              <w:rPr>
                <w:color w:val="000000"/>
              </w:rPr>
            </w:pPr>
            <w:r w:rsidRPr="00F71A22">
              <w:rPr>
                <w:color w:val="000000"/>
              </w:rPr>
              <w:t>12,032</w:t>
            </w:r>
          </w:p>
        </w:tc>
        <w:tc>
          <w:tcPr>
            <w:tcW w:w="1423" w:type="dxa"/>
            <w:tcBorders>
              <w:right w:val="single" w:sz="4" w:space="0" w:color="auto"/>
            </w:tcBorders>
            <w:noWrap/>
            <w:tcMar>
              <w:top w:w="0" w:type="dxa"/>
              <w:left w:w="108" w:type="dxa"/>
              <w:bottom w:w="0" w:type="dxa"/>
              <w:right w:w="108" w:type="dxa"/>
            </w:tcMar>
            <w:vAlign w:val="bottom"/>
            <w:hideMark/>
          </w:tcPr>
          <w:p w14:paraId="0FF6BC85" w14:textId="77777777" w:rsidR="00345594" w:rsidRPr="00F71A22" w:rsidRDefault="00345594">
            <w:pPr>
              <w:pStyle w:val="TableText"/>
              <w:jc w:val="right"/>
              <w:rPr>
                <w:color w:val="000000"/>
              </w:rPr>
            </w:pPr>
            <w:r w:rsidRPr="00F71A22">
              <w:rPr>
                <w:color w:val="000000"/>
              </w:rPr>
              <w:t>84.0</w:t>
            </w:r>
          </w:p>
        </w:tc>
        <w:tc>
          <w:tcPr>
            <w:tcW w:w="1052" w:type="dxa"/>
            <w:tcBorders>
              <w:left w:val="single" w:sz="4" w:space="0" w:color="auto"/>
            </w:tcBorders>
            <w:noWrap/>
            <w:tcMar>
              <w:top w:w="0" w:type="dxa"/>
              <w:left w:w="108" w:type="dxa"/>
              <w:bottom w:w="0" w:type="dxa"/>
              <w:right w:w="108" w:type="dxa"/>
            </w:tcMar>
            <w:vAlign w:val="bottom"/>
            <w:hideMark/>
          </w:tcPr>
          <w:p w14:paraId="07AB071F" w14:textId="77777777" w:rsidR="00345594" w:rsidRPr="00F71A22" w:rsidRDefault="00345594">
            <w:pPr>
              <w:pStyle w:val="TableText"/>
              <w:jc w:val="right"/>
              <w:rPr>
                <w:color w:val="000000"/>
              </w:rPr>
            </w:pPr>
            <w:r w:rsidRPr="00F71A22">
              <w:rPr>
                <w:color w:val="000000"/>
              </w:rPr>
              <w:t>31,767</w:t>
            </w:r>
          </w:p>
        </w:tc>
        <w:tc>
          <w:tcPr>
            <w:tcW w:w="1423" w:type="dxa"/>
            <w:noWrap/>
            <w:tcMar>
              <w:top w:w="0" w:type="dxa"/>
              <w:left w:w="108" w:type="dxa"/>
              <w:bottom w:w="0" w:type="dxa"/>
              <w:right w:w="108" w:type="dxa"/>
            </w:tcMar>
            <w:vAlign w:val="bottom"/>
            <w:hideMark/>
          </w:tcPr>
          <w:p w14:paraId="473CEAB5" w14:textId="77777777" w:rsidR="00345594" w:rsidRPr="00F71A22" w:rsidRDefault="00345594">
            <w:pPr>
              <w:pStyle w:val="TableText"/>
              <w:jc w:val="right"/>
              <w:rPr>
                <w:color w:val="000000"/>
              </w:rPr>
            </w:pPr>
            <w:r w:rsidRPr="00F71A22">
              <w:rPr>
                <w:color w:val="000000"/>
              </w:rPr>
              <w:t>82.7</w:t>
            </w:r>
          </w:p>
        </w:tc>
      </w:tr>
      <w:tr w:rsidR="003F73C7" w:rsidRPr="00F71A22" w14:paraId="646800C2" w14:textId="77777777" w:rsidTr="00A2041A">
        <w:trPr>
          <w:trHeight w:val="300"/>
        </w:trPr>
        <w:tc>
          <w:tcPr>
            <w:tcW w:w="3460" w:type="dxa"/>
            <w:shd w:val="clear" w:color="auto" w:fill="D7D8D8"/>
            <w:noWrap/>
            <w:tcMar>
              <w:top w:w="0" w:type="dxa"/>
              <w:left w:w="108" w:type="dxa"/>
              <w:bottom w:w="0" w:type="dxa"/>
              <w:right w:w="108" w:type="dxa"/>
            </w:tcMar>
            <w:vAlign w:val="bottom"/>
            <w:hideMark/>
          </w:tcPr>
          <w:p w14:paraId="635D5D19" w14:textId="23991CBB" w:rsidR="003F73C7" w:rsidRPr="00F71A22" w:rsidRDefault="003F73C7">
            <w:pPr>
              <w:pStyle w:val="TableText"/>
              <w:rPr>
                <w:color w:val="000000"/>
              </w:rPr>
            </w:pPr>
            <w:r w:rsidRPr="00F71A22">
              <w:rPr>
                <w:color w:val="000000"/>
              </w:rPr>
              <w:t xml:space="preserve">Previous </w:t>
            </w:r>
            <w:r>
              <w:rPr>
                <w:color w:val="000000"/>
              </w:rPr>
              <w:t>i</w:t>
            </w:r>
            <w:r w:rsidRPr="00F71A22">
              <w:rPr>
                <w:color w:val="000000"/>
              </w:rPr>
              <w:t xml:space="preserve">ncome </w:t>
            </w:r>
            <w:r>
              <w:rPr>
                <w:color w:val="000000"/>
              </w:rPr>
              <w:t>s</w:t>
            </w:r>
            <w:r w:rsidRPr="00F71A22">
              <w:rPr>
                <w:color w:val="000000"/>
              </w:rPr>
              <w:t>upport</w:t>
            </w:r>
          </w:p>
        </w:tc>
        <w:tc>
          <w:tcPr>
            <w:tcW w:w="1052" w:type="dxa"/>
            <w:shd w:val="clear" w:color="auto" w:fill="D7D8D8"/>
            <w:noWrap/>
            <w:tcMar>
              <w:top w:w="0" w:type="dxa"/>
              <w:left w:w="108" w:type="dxa"/>
              <w:bottom w:w="0" w:type="dxa"/>
              <w:right w:w="108" w:type="dxa"/>
            </w:tcMar>
            <w:vAlign w:val="bottom"/>
            <w:hideMark/>
          </w:tcPr>
          <w:p w14:paraId="0FC97927" w14:textId="51036A4A" w:rsidR="003F73C7" w:rsidRPr="00F71A22" w:rsidRDefault="003F73C7">
            <w:pPr>
              <w:pStyle w:val="TableText"/>
              <w:jc w:val="right"/>
              <w:rPr>
                <w:color w:val="000000"/>
              </w:rPr>
            </w:pPr>
            <w:r w:rsidRPr="0051366F">
              <w:rPr>
                <w:color w:val="D9D9D9" w:themeColor="background1" w:themeShade="D9"/>
              </w:rPr>
              <w:t>—</w:t>
            </w:r>
          </w:p>
        </w:tc>
        <w:tc>
          <w:tcPr>
            <w:tcW w:w="1423" w:type="dxa"/>
            <w:tcBorders>
              <w:right w:val="single" w:sz="4" w:space="0" w:color="auto"/>
            </w:tcBorders>
            <w:shd w:val="clear" w:color="auto" w:fill="D7D8D8"/>
            <w:noWrap/>
            <w:tcMar>
              <w:top w:w="0" w:type="dxa"/>
              <w:left w:w="108" w:type="dxa"/>
              <w:bottom w:w="0" w:type="dxa"/>
              <w:right w:w="108" w:type="dxa"/>
            </w:tcMar>
            <w:vAlign w:val="bottom"/>
            <w:hideMark/>
          </w:tcPr>
          <w:p w14:paraId="3F398451" w14:textId="0B117D4A"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052" w:type="dxa"/>
            <w:tcBorders>
              <w:left w:val="single" w:sz="4" w:space="0" w:color="auto"/>
            </w:tcBorders>
            <w:shd w:val="clear" w:color="auto" w:fill="D7D8D8"/>
            <w:noWrap/>
            <w:tcMar>
              <w:top w:w="0" w:type="dxa"/>
              <w:left w:w="108" w:type="dxa"/>
              <w:bottom w:w="0" w:type="dxa"/>
              <w:right w:w="108" w:type="dxa"/>
            </w:tcMar>
            <w:vAlign w:val="bottom"/>
            <w:hideMark/>
          </w:tcPr>
          <w:p w14:paraId="1C95E547" w14:textId="390042A5" w:rsidR="003F73C7" w:rsidRPr="00F71A22" w:rsidRDefault="003F73C7">
            <w:pPr>
              <w:pStyle w:val="TableText"/>
              <w:jc w:val="right"/>
              <w:rPr>
                <w:rFonts w:eastAsia="Times New Roman"/>
              </w:rPr>
            </w:pPr>
            <w:r w:rsidRPr="0051366F">
              <w:rPr>
                <w:rFonts w:eastAsia="Times New Roman"/>
                <w:color w:val="D9D9D9" w:themeColor="background1" w:themeShade="D9"/>
              </w:rPr>
              <w:t>—</w:t>
            </w:r>
          </w:p>
        </w:tc>
        <w:tc>
          <w:tcPr>
            <w:tcW w:w="1423" w:type="dxa"/>
            <w:shd w:val="clear" w:color="auto" w:fill="D7D8D8"/>
            <w:noWrap/>
            <w:tcMar>
              <w:top w:w="0" w:type="dxa"/>
              <w:left w:w="108" w:type="dxa"/>
              <w:bottom w:w="0" w:type="dxa"/>
              <w:right w:w="108" w:type="dxa"/>
            </w:tcMar>
            <w:vAlign w:val="bottom"/>
            <w:hideMark/>
          </w:tcPr>
          <w:p w14:paraId="3D89A411" w14:textId="5A0987B6" w:rsidR="003F73C7" w:rsidRPr="00F71A22" w:rsidRDefault="003F73C7">
            <w:pPr>
              <w:pStyle w:val="TableText"/>
              <w:jc w:val="right"/>
              <w:rPr>
                <w:rFonts w:eastAsia="Times New Roman"/>
              </w:rPr>
            </w:pPr>
            <w:r w:rsidRPr="0051366F">
              <w:rPr>
                <w:rFonts w:eastAsia="Times New Roman"/>
                <w:color w:val="D9D9D9" w:themeColor="background1" w:themeShade="D9"/>
              </w:rPr>
              <w:t>—</w:t>
            </w:r>
          </w:p>
        </w:tc>
      </w:tr>
      <w:tr w:rsidR="00345594" w:rsidRPr="00F71A22" w14:paraId="4E802068" w14:textId="77777777" w:rsidTr="00A2041A">
        <w:trPr>
          <w:trHeight w:val="300"/>
        </w:trPr>
        <w:tc>
          <w:tcPr>
            <w:tcW w:w="3460" w:type="dxa"/>
            <w:noWrap/>
            <w:tcMar>
              <w:top w:w="0" w:type="dxa"/>
              <w:left w:w="108" w:type="dxa"/>
              <w:bottom w:w="0" w:type="dxa"/>
              <w:right w:w="108" w:type="dxa"/>
            </w:tcMar>
            <w:vAlign w:val="bottom"/>
            <w:hideMark/>
          </w:tcPr>
          <w:p w14:paraId="04F1F17D" w14:textId="77777777" w:rsidR="00345594" w:rsidRPr="00F71A22" w:rsidRDefault="00345594">
            <w:pPr>
              <w:pStyle w:val="TableText"/>
              <w:rPr>
                <w:color w:val="000000"/>
              </w:rPr>
            </w:pPr>
            <w:r w:rsidRPr="00F71A22">
              <w:rPr>
                <w:color w:val="000000"/>
              </w:rPr>
              <w:t>Yes</w:t>
            </w:r>
          </w:p>
        </w:tc>
        <w:tc>
          <w:tcPr>
            <w:tcW w:w="1052" w:type="dxa"/>
            <w:noWrap/>
            <w:tcMar>
              <w:top w:w="0" w:type="dxa"/>
              <w:left w:w="108" w:type="dxa"/>
              <w:bottom w:w="0" w:type="dxa"/>
              <w:right w:w="108" w:type="dxa"/>
            </w:tcMar>
            <w:vAlign w:val="bottom"/>
            <w:hideMark/>
          </w:tcPr>
          <w:p w14:paraId="50CA082C" w14:textId="77777777" w:rsidR="00345594" w:rsidRPr="00F71A22" w:rsidRDefault="00345594">
            <w:pPr>
              <w:pStyle w:val="TableText"/>
              <w:jc w:val="right"/>
              <w:rPr>
                <w:color w:val="000000"/>
              </w:rPr>
            </w:pPr>
            <w:r w:rsidRPr="00F71A22">
              <w:rPr>
                <w:color w:val="000000"/>
              </w:rPr>
              <w:t>666</w:t>
            </w:r>
          </w:p>
        </w:tc>
        <w:tc>
          <w:tcPr>
            <w:tcW w:w="1423" w:type="dxa"/>
            <w:tcBorders>
              <w:right w:val="single" w:sz="4" w:space="0" w:color="auto"/>
            </w:tcBorders>
            <w:noWrap/>
            <w:tcMar>
              <w:top w:w="0" w:type="dxa"/>
              <w:left w:w="108" w:type="dxa"/>
              <w:bottom w:w="0" w:type="dxa"/>
              <w:right w:w="108" w:type="dxa"/>
            </w:tcMar>
            <w:vAlign w:val="bottom"/>
            <w:hideMark/>
          </w:tcPr>
          <w:p w14:paraId="71A86FED" w14:textId="77777777" w:rsidR="00345594" w:rsidRPr="00F71A22" w:rsidRDefault="00345594">
            <w:pPr>
              <w:pStyle w:val="TableText"/>
              <w:jc w:val="right"/>
              <w:rPr>
                <w:color w:val="000000"/>
              </w:rPr>
            </w:pPr>
            <w:r w:rsidRPr="00F71A22">
              <w:rPr>
                <w:color w:val="000000"/>
              </w:rPr>
              <w:t>4.6</w:t>
            </w:r>
          </w:p>
        </w:tc>
        <w:tc>
          <w:tcPr>
            <w:tcW w:w="1052" w:type="dxa"/>
            <w:tcBorders>
              <w:left w:val="single" w:sz="4" w:space="0" w:color="auto"/>
            </w:tcBorders>
            <w:noWrap/>
            <w:tcMar>
              <w:top w:w="0" w:type="dxa"/>
              <w:left w:w="108" w:type="dxa"/>
              <w:bottom w:w="0" w:type="dxa"/>
              <w:right w:w="108" w:type="dxa"/>
            </w:tcMar>
            <w:vAlign w:val="bottom"/>
            <w:hideMark/>
          </w:tcPr>
          <w:p w14:paraId="65DABF2C" w14:textId="77777777" w:rsidR="00345594" w:rsidRPr="00F71A22" w:rsidRDefault="00345594">
            <w:pPr>
              <w:pStyle w:val="TableText"/>
              <w:jc w:val="right"/>
              <w:rPr>
                <w:color w:val="000000"/>
              </w:rPr>
            </w:pPr>
            <w:r w:rsidRPr="00F71A22">
              <w:rPr>
                <w:color w:val="000000"/>
              </w:rPr>
              <w:t>2,092</w:t>
            </w:r>
          </w:p>
        </w:tc>
        <w:tc>
          <w:tcPr>
            <w:tcW w:w="1423" w:type="dxa"/>
            <w:noWrap/>
            <w:tcMar>
              <w:top w:w="0" w:type="dxa"/>
              <w:left w:w="108" w:type="dxa"/>
              <w:bottom w:w="0" w:type="dxa"/>
              <w:right w:w="108" w:type="dxa"/>
            </w:tcMar>
            <w:vAlign w:val="bottom"/>
            <w:hideMark/>
          </w:tcPr>
          <w:p w14:paraId="13E4E05E" w14:textId="77777777" w:rsidR="00345594" w:rsidRPr="00F71A22" w:rsidRDefault="00345594">
            <w:pPr>
              <w:pStyle w:val="TableText"/>
              <w:jc w:val="right"/>
              <w:rPr>
                <w:color w:val="000000"/>
              </w:rPr>
            </w:pPr>
            <w:r w:rsidRPr="00F71A22">
              <w:rPr>
                <w:color w:val="000000"/>
              </w:rPr>
              <w:t>5.4</w:t>
            </w:r>
          </w:p>
        </w:tc>
      </w:tr>
      <w:tr w:rsidR="00345594" w:rsidRPr="00F71A22" w14:paraId="7550C5DF" w14:textId="77777777" w:rsidTr="00A2041A">
        <w:trPr>
          <w:trHeight w:val="300"/>
        </w:trPr>
        <w:tc>
          <w:tcPr>
            <w:tcW w:w="3460" w:type="dxa"/>
            <w:noWrap/>
            <w:tcMar>
              <w:top w:w="0" w:type="dxa"/>
              <w:left w:w="108" w:type="dxa"/>
              <w:bottom w:w="0" w:type="dxa"/>
              <w:right w:w="108" w:type="dxa"/>
            </w:tcMar>
            <w:vAlign w:val="bottom"/>
            <w:hideMark/>
          </w:tcPr>
          <w:p w14:paraId="246820B5" w14:textId="77777777" w:rsidR="00345594" w:rsidRPr="00F71A22" w:rsidRDefault="00345594">
            <w:pPr>
              <w:pStyle w:val="TableText"/>
              <w:rPr>
                <w:color w:val="000000"/>
              </w:rPr>
            </w:pPr>
            <w:r w:rsidRPr="00F71A22">
              <w:rPr>
                <w:color w:val="000000"/>
              </w:rPr>
              <w:t xml:space="preserve">No </w:t>
            </w:r>
          </w:p>
        </w:tc>
        <w:tc>
          <w:tcPr>
            <w:tcW w:w="1052" w:type="dxa"/>
            <w:noWrap/>
            <w:tcMar>
              <w:top w:w="0" w:type="dxa"/>
              <w:left w:w="108" w:type="dxa"/>
              <w:bottom w:w="0" w:type="dxa"/>
              <w:right w:w="108" w:type="dxa"/>
            </w:tcMar>
            <w:vAlign w:val="bottom"/>
            <w:hideMark/>
          </w:tcPr>
          <w:p w14:paraId="49BB7AF2" w14:textId="77777777" w:rsidR="00345594" w:rsidRPr="00F71A22" w:rsidRDefault="00345594">
            <w:pPr>
              <w:pStyle w:val="TableText"/>
              <w:jc w:val="right"/>
              <w:rPr>
                <w:color w:val="000000"/>
              </w:rPr>
            </w:pPr>
            <w:r w:rsidRPr="00F71A22">
              <w:rPr>
                <w:color w:val="000000"/>
              </w:rPr>
              <w:t>13,664</w:t>
            </w:r>
          </w:p>
        </w:tc>
        <w:tc>
          <w:tcPr>
            <w:tcW w:w="1423" w:type="dxa"/>
            <w:tcBorders>
              <w:right w:val="single" w:sz="4" w:space="0" w:color="auto"/>
            </w:tcBorders>
            <w:noWrap/>
            <w:tcMar>
              <w:top w:w="0" w:type="dxa"/>
              <w:left w:w="108" w:type="dxa"/>
              <w:bottom w:w="0" w:type="dxa"/>
              <w:right w:w="108" w:type="dxa"/>
            </w:tcMar>
            <w:vAlign w:val="bottom"/>
            <w:hideMark/>
          </w:tcPr>
          <w:p w14:paraId="386882C9" w14:textId="77777777" w:rsidR="00345594" w:rsidRPr="00F71A22" w:rsidRDefault="00345594">
            <w:pPr>
              <w:pStyle w:val="TableText"/>
              <w:jc w:val="right"/>
              <w:rPr>
                <w:color w:val="000000"/>
              </w:rPr>
            </w:pPr>
            <w:r w:rsidRPr="00F71A22">
              <w:rPr>
                <w:color w:val="000000"/>
              </w:rPr>
              <w:t>95.4</w:t>
            </w:r>
          </w:p>
        </w:tc>
        <w:tc>
          <w:tcPr>
            <w:tcW w:w="1052" w:type="dxa"/>
            <w:tcBorders>
              <w:left w:val="single" w:sz="4" w:space="0" w:color="auto"/>
            </w:tcBorders>
            <w:noWrap/>
            <w:tcMar>
              <w:top w:w="0" w:type="dxa"/>
              <w:left w:w="108" w:type="dxa"/>
              <w:bottom w:w="0" w:type="dxa"/>
              <w:right w:w="108" w:type="dxa"/>
            </w:tcMar>
            <w:vAlign w:val="bottom"/>
            <w:hideMark/>
          </w:tcPr>
          <w:p w14:paraId="1C6E2FF0" w14:textId="77777777" w:rsidR="00345594" w:rsidRPr="00F71A22" w:rsidRDefault="00345594">
            <w:pPr>
              <w:pStyle w:val="TableText"/>
              <w:jc w:val="right"/>
              <w:rPr>
                <w:color w:val="000000"/>
              </w:rPr>
            </w:pPr>
            <w:r w:rsidRPr="00F71A22">
              <w:rPr>
                <w:color w:val="000000"/>
              </w:rPr>
              <w:t>36,312</w:t>
            </w:r>
          </w:p>
        </w:tc>
        <w:tc>
          <w:tcPr>
            <w:tcW w:w="1423" w:type="dxa"/>
            <w:noWrap/>
            <w:tcMar>
              <w:top w:w="0" w:type="dxa"/>
              <w:left w:w="108" w:type="dxa"/>
              <w:bottom w:w="0" w:type="dxa"/>
              <w:right w:w="108" w:type="dxa"/>
            </w:tcMar>
            <w:vAlign w:val="bottom"/>
            <w:hideMark/>
          </w:tcPr>
          <w:p w14:paraId="4A31D8A3" w14:textId="77777777" w:rsidR="00345594" w:rsidRPr="00F71A22" w:rsidRDefault="00345594">
            <w:pPr>
              <w:pStyle w:val="TableText"/>
              <w:jc w:val="right"/>
              <w:rPr>
                <w:color w:val="000000"/>
              </w:rPr>
            </w:pPr>
            <w:r w:rsidRPr="00F71A22">
              <w:rPr>
                <w:color w:val="000000"/>
              </w:rPr>
              <w:t>94.6</w:t>
            </w:r>
          </w:p>
        </w:tc>
      </w:tr>
      <w:tr w:rsidR="003F73C7" w:rsidRPr="00F71A22" w14:paraId="28476296" w14:textId="77777777" w:rsidTr="00A85422">
        <w:trPr>
          <w:trHeight w:val="300"/>
        </w:trPr>
        <w:tc>
          <w:tcPr>
            <w:tcW w:w="3460" w:type="dxa"/>
            <w:shd w:val="clear" w:color="auto" w:fill="D7D8D8"/>
            <w:noWrap/>
            <w:tcMar>
              <w:top w:w="0" w:type="dxa"/>
              <w:left w:w="108" w:type="dxa"/>
              <w:bottom w:w="0" w:type="dxa"/>
              <w:right w:w="108" w:type="dxa"/>
            </w:tcMar>
            <w:vAlign w:val="bottom"/>
          </w:tcPr>
          <w:p w14:paraId="04D6E3C0" w14:textId="4F8BE163" w:rsidR="003F73C7" w:rsidRPr="00F71A22" w:rsidRDefault="003F73C7">
            <w:pPr>
              <w:pStyle w:val="TableText"/>
              <w:rPr>
                <w:color w:val="000000"/>
              </w:rPr>
            </w:pPr>
            <w:r w:rsidRPr="00F71A22">
              <w:rPr>
                <w:color w:val="000000"/>
              </w:rPr>
              <w:t>Previous jobactive experience</w:t>
            </w:r>
          </w:p>
        </w:tc>
        <w:tc>
          <w:tcPr>
            <w:tcW w:w="1052" w:type="dxa"/>
            <w:shd w:val="clear" w:color="auto" w:fill="D7D8D8"/>
            <w:noWrap/>
            <w:tcMar>
              <w:top w:w="0" w:type="dxa"/>
              <w:left w:w="108" w:type="dxa"/>
              <w:bottom w:w="0" w:type="dxa"/>
              <w:right w:w="108" w:type="dxa"/>
            </w:tcMar>
            <w:vAlign w:val="bottom"/>
          </w:tcPr>
          <w:p w14:paraId="42EBF15A" w14:textId="79E7EBBC" w:rsidR="003F73C7" w:rsidRPr="00F71A22" w:rsidRDefault="003F73C7">
            <w:pPr>
              <w:pStyle w:val="TableText"/>
              <w:jc w:val="right"/>
              <w:rPr>
                <w:color w:val="000000"/>
              </w:rPr>
            </w:pPr>
            <w:r w:rsidRPr="0051366F">
              <w:rPr>
                <w:color w:val="D9D9D9" w:themeColor="background1" w:themeShade="D9"/>
              </w:rPr>
              <w:t>—</w:t>
            </w:r>
          </w:p>
        </w:tc>
        <w:tc>
          <w:tcPr>
            <w:tcW w:w="1423" w:type="dxa"/>
            <w:tcBorders>
              <w:right w:val="single" w:sz="4" w:space="0" w:color="auto"/>
            </w:tcBorders>
            <w:shd w:val="clear" w:color="auto" w:fill="D7D8D8"/>
            <w:noWrap/>
            <w:tcMar>
              <w:top w:w="0" w:type="dxa"/>
              <w:left w:w="108" w:type="dxa"/>
              <w:bottom w:w="0" w:type="dxa"/>
              <w:right w:w="108" w:type="dxa"/>
            </w:tcMar>
            <w:vAlign w:val="bottom"/>
          </w:tcPr>
          <w:p w14:paraId="7096D0CD" w14:textId="514B9444" w:rsidR="003F73C7" w:rsidRPr="00F71A22" w:rsidRDefault="003F73C7">
            <w:pPr>
              <w:pStyle w:val="TableText"/>
              <w:jc w:val="right"/>
              <w:rPr>
                <w:color w:val="000000"/>
              </w:rPr>
            </w:pPr>
            <w:r w:rsidRPr="0051366F">
              <w:rPr>
                <w:rFonts w:eastAsia="Times New Roman"/>
                <w:color w:val="D9D9D9" w:themeColor="background1" w:themeShade="D9"/>
              </w:rPr>
              <w:t>—</w:t>
            </w:r>
          </w:p>
        </w:tc>
        <w:tc>
          <w:tcPr>
            <w:tcW w:w="1052" w:type="dxa"/>
            <w:tcBorders>
              <w:left w:val="single" w:sz="4" w:space="0" w:color="auto"/>
            </w:tcBorders>
            <w:shd w:val="clear" w:color="auto" w:fill="D7D8D8"/>
            <w:noWrap/>
            <w:tcMar>
              <w:top w:w="0" w:type="dxa"/>
              <w:left w:w="108" w:type="dxa"/>
              <w:bottom w:w="0" w:type="dxa"/>
              <w:right w:w="108" w:type="dxa"/>
            </w:tcMar>
            <w:vAlign w:val="bottom"/>
          </w:tcPr>
          <w:p w14:paraId="64D530C5" w14:textId="5B83D00A" w:rsidR="003F73C7" w:rsidRPr="00F71A22" w:rsidRDefault="003F73C7">
            <w:pPr>
              <w:pStyle w:val="TableText"/>
              <w:jc w:val="right"/>
              <w:rPr>
                <w:color w:val="000000"/>
              </w:rPr>
            </w:pPr>
            <w:r w:rsidRPr="0051366F">
              <w:rPr>
                <w:rFonts w:eastAsia="Times New Roman"/>
                <w:color w:val="D9D9D9" w:themeColor="background1" w:themeShade="D9"/>
              </w:rPr>
              <w:t>—</w:t>
            </w:r>
          </w:p>
        </w:tc>
        <w:tc>
          <w:tcPr>
            <w:tcW w:w="1423" w:type="dxa"/>
            <w:shd w:val="clear" w:color="auto" w:fill="D7D8D8"/>
            <w:noWrap/>
            <w:tcMar>
              <w:top w:w="0" w:type="dxa"/>
              <w:left w:w="108" w:type="dxa"/>
              <w:bottom w:w="0" w:type="dxa"/>
              <w:right w:w="108" w:type="dxa"/>
            </w:tcMar>
            <w:vAlign w:val="bottom"/>
          </w:tcPr>
          <w:p w14:paraId="61BCEFC6" w14:textId="6AD0F994" w:rsidR="003F73C7" w:rsidRPr="00F71A22" w:rsidRDefault="003F73C7">
            <w:pPr>
              <w:pStyle w:val="TableText"/>
              <w:jc w:val="right"/>
              <w:rPr>
                <w:color w:val="000000"/>
              </w:rPr>
            </w:pPr>
            <w:r w:rsidRPr="0051366F">
              <w:rPr>
                <w:rFonts w:eastAsia="Times New Roman"/>
                <w:color w:val="D9D9D9" w:themeColor="background1" w:themeShade="D9"/>
              </w:rPr>
              <w:t>—</w:t>
            </w:r>
          </w:p>
        </w:tc>
      </w:tr>
      <w:tr w:rsidR="00A85422" w:rsidRPr="00F71A22" w14:paraId="47FD1D09" w14:textId="77777777" w:rsidTr="00A2041A">
        <w:trPr>
          <w:trHeight w:val="300"/>
        </w:trPr>
        <w:tc>
          <w:tcPr>
            <w:tcW w:w="3460" w:type="dxa"/>
            <w:noWrap/>
            <w:tcMar>
              <w:top w:w="0" w:type="dxa"/>
              <w:left w:w="108" w:type="dxa"/>
              <w:bottom w:w="0" w:type="dxa"/>
              <w:right w:w="108" w:type="dxa"/>
            </w:tcMar>
            <w:vAlign w:val="bottom"/>
          </w:tcPr>
          <w:p w14:paraId="04B6BA47" w14:textId="0D888138" w:rsidR="00A85422" w:rsidRPr="00F71A22" w:rsidRDefault="00A85422">
            <w:pPr>
              <w:pStyle w:val="TableText"/>
              <w:rPr>
                <w:color w:val="000000"/>
              </w:rPr>
            </w:pPr>
            <w:r w:rsidRPr="00F71A22">
              <w:rPr>
                <w:color w:val="000000"/>
              </w:rPr>
              <w:t>Yes</w:t>
            </w:r>
          </w:p>
        </w:tc>
        <w:tc>
          <w:tcPr>
            <w:tcW w:w="1052" w:type="dxa"/>
            <w:noWrap/>
            <w:tcMar>
              <w:top w:w="0" w:type="dxa"/>
              <w:left w:w="108" w:type="dxa"/>
              <w:bottom w:w="0" w:type="dxa"/>
              <w:right w:w="108" w:type="dxa"/>
            </w:tcMar>
            <w:vAlign w:val="bottom"/>
          </w:tcPr>
          <w:p w14:paraId="7114DCE7" w14:textId="418540AC" w:rsidR="00A85422" w:rsidRPr="00F71A22" w:rsidRDefault="00A85422">
            <w:pPr>
              <w:pStyle w:val="TableText"/>
              <w:jc w:val="right"/>
              <w:rPr>
                <w:color w:val="000000"/>
              </w:rPr>
            </w:pPr>
            <w:r w:rsidRPr="00F71A22">
              <w:rPr>
                <w:color w:val="000000"/>
              </w:rPr>
              <w:t>544</w:t>
            </w:r>
          </w:p>
        </w:tc>
        <w:tc>
          <w:tcPr>
            <w:tcW w:w="1423" w:type="dxa"/>
            <w:tcBorders>
              <w:right w:val="single" w:sz="4" w:space="0" w:color="auto"/>
            </w:tcBorders>
            <w:noWrap/>
            <w:tcMar>
              <w:top w:w="0" w:type="dxa"/>
              <w:left w:w="108" w:type="dxa"/>
              <w:bottom w:w="0" w:type="dxa"/>
              <w:right w:w="108" w:type="dxa"/>
            </w:tcMar>
            <w:vAlign w:val="bottom"/>
          </w:tcPr>
          <w:p w14:paraId="486B8314" w14:textId="43269C9B" w:rsidR="00A85422" w:rsidRPr="00F71A22" w:rsidRDefault="00A85422">
            <w:pPr>
              <w:pStyle w:val="TableText"/>
              <w:jc w:val="right"/>
              <w:rPr>
                <w:color w:val="000000"/>
              </w:rPr>
            </w:pPr>
            <w:r w:rsidRPr="00F71A22">
              <w:rPr>
                <w:color w:val="000000"/>
              </w:rPr>
              <w:t>3.8</w:t>
            </w:r>
          </w:p>
        </w:tc>
        <w:tc>
          <w:tcPr>
            <w:tcW w:w="1052" w:type="dxa"/>
            <w:tcBorders>
              <w:left w:val="single" w:sz="4" w:space="0" w:color="auto"/>
            </w:tcBorders>
            <w:noWrap/>
            <w:tcMar>
              <w:top w:w="0" w:type="dxa"/>
              <w:left w:w="108" w:type="dxa"/>
              <w:bottom w:w="0" w:type="dxa"/>
              <w:right w:w="108" w:type="dxa"/>
            </w:tcMar>
            <w:vAlign w:val="bottom"/>
          </w:tcPr>
          <w:p w14:paraId="5F90652A" w14:textId="0326A4BA" w:rsidR="00A85422" w:rsidRPr="00F71A22" w:rsidRDefault="00A85422">
            <w:pPr>
              <w:pStyle w:val="TableText"/>
              <w:jc w:val="right"/>
              <w:rPr>
                <w:color w:val="000000"/>
              </w:rPr>
            </w:pPr>
            <w:r w:rsidRPr="00F71A22">
              <w:rPr>
                <w:color w:val="000000"/>
              </w:rPr>
              <w:t>1,727</w:t>
            </w:r>
          </w:p>
        </w:tc>
        <w:tc>
          <w:tcPr>
            <w:tcW w:w="1423" w:type="dxa"/>
            <w:noWrap/>
            <w:tcMar>
              <w:top w:w="0" w:type="dxa"/>
              <w:left w:w="108" w:type="dxa"/>
              <w:bottom w:w="0" w:type="dxa"/>
              <w:right w:w="108" w:type="dxa"/>
            </w:tcMar>
            <w:vAlign w:val="bottom"/>
          </w:tcPr>
          <w:p w14:paraId="4185E05D" w14:textId="2FD6A2B3" w:rsidR="00A85422" w:rsidRPr="00F71A22" w:rsidRDefault="00A85422">
            <w:pPr>
              <w:pStyle w:val="TableText"/>
              <w:jc w:val="right"/>
              <w:rPr>
                <w:color w:val="000000"/>
              </w:rPr>
            </w:pPr>
            <w:r w:rsidRPr="00F71A22">
              <w:rPr>
                <w:color w:val="000000"/>
              </w:rPr>
              <w:t>4.5</w:t>
            </w:r>
          </w:p>
        </w:tc>
      </w:tr>
      <w:tr w:rsidR="00A85422" w:rsidRPr="00F71A22" w14:paraId="2F33DFFD" w14:textId="77777777" w:rsidTr="00A2041A">
        <w:trPr>
          <w:trHeight w:val="300"/>
        </w:trPr>
        <w:tc>
          <w:tcPr>
            <w:tcW w:w="3460" w:type="dxa"/>
            <w:noWrap/>
            <w:tcMar>
              <w:top w:w="0" w:type="dxa"/>
              <w:left w:w="108" w:type="dxa"/>
              <w:bottom w:w="0" w:type="dxa"/>
              <w:right w:w="108" w:type="dxa"/>
            </w:tcMar>
            <w:vAlign w:val="bottom"/>
          </w:tcPr>
          <w:p w14:paraId="3FDFFF12" w14:textId="3EF127D0" w:rsidR="00A85422" w:rsidRPr="00F71A22" w:rsidRDefault="00A85422">
            <w:pPr>
              <w:pStyle w:val="TableText"/>
              <w:rPr>
                <w:color w:val="000000"/>
              </w:rPr>
            </w:pPr>
            <w:r w:rsidRPr="00F71A22">
              <w:rPr>
                <w:color w:val="000000"/>
              </w:rPr>
              <w:t>No</w:t>
            </w:r>
          </w:p>
        </w:tc>
        <w:tc>
          <w:tcPr>
            <w:tcW w:w="1052" w:type="dxa"/>
            <w:noWrap/>
            <w:tcMar>
              <w:top w:w="0" w:type="dxa"/>
              <w:left w:w="108" w:type="dxa"/>
              <w:bottom w:w="0" w:type="dxa"/>
              <w:right w:w="108" w:type="dxa"/>
            </w:tcMar>
            <w:vAlign w:val="bottom"/>
          </w:tcPr>
          <w:p w14:paraId="0F493C32" w14:textId="65916290" w:rsidR="00A85422" w:rsidRPr="00F71A22" w:rsidRDefault="00A85422">
            <w:pPr>
              <w:pStyle w:val="TableText"/>
              <w:jc w:val="right"/>
              <w:rPr>
                <w:color w:val="000000"/>
              </w:rPr>
            </w:pPr>
            <w:r w:rsidRPr="00F71A22">
              <w:rPr>
                <w:color w:val="000000"/>
              </w:rPr>
              <w:t>13,786</w:t>
            </w:r>
          </w:p>
        </w:tc>
        <w:tc>
          <w:tcPr>
            <w:tcW w:w="1423" w:type="dxa"/>
            <w:tcBorders>
              <w:right w:val="single" w:sz="4" w:space="0" w:color="auto"/>
            </w:tcBorders>
            <w:noWrap/>
            <w:tcMar>
              <w:top w:w="0" w:type="dxa"/>
              <w:left w:w="108" w:type="dxa"/>
              <w:bottom w:w="0" w:type="dxa"/>
              <w:right w:w="108" w:type="dxa"/>
            </w:tcMar>
            <w:vAlign w:val="bottom"/>
          </w:tcPr>
          <w:p w14:paraId="0796F7CD" w14:textId="017B7B30" w:rsidR="00A85422" w:rsidRPr="00F71A22" w:rsidRDefault="00A85422">
            <w:pPr>
              <w:pStyle w:val="TableText"/>
              <w:jc w:val="right"/>
              <w:rPr>
                <w:color w:val="000000"/>
              </w:rPr>
            </w:pPr>
            <w:r w:rsidRPr="00F71A22">
              <w:rPr>
                <w:color w:val="000000"/>
              </w:rPr>
              <w:t>96.2</w:t>
            </w:r>
          </w:p>
        </w:tc>
        <w:tc>
          <w:tcPr>
            <w:tcW w:w="1052" w:type="dxa"/>
            <w:tcBorders>
              <w:left w:val="single" w:sz="4" w:space="0" w:color="auto"/>
            </w:tcBorders>
            <w:noWrap/>
            <w:tcMar>
              <w:top w:w="0" w:type="dxa"/>
              <w:left w:w="108" w:type="dxa"/>
              <w:bottom w:w="0" w:type="dxa"/>
              <w:right w:w="108" w:type="dxa"/>
            </w:tcMar>
            <w:vAlign w:val="bottom"/>
          </w:tcPr>
          <w:p w14:paraId="45AD1856" w14:textId="74998918" w:rsidR="00A85422" w:rsidRPr="00F71A22" w:rsidRDefault="00A85422">
            <w:pPr>
              <w:pStyle w:val="TableText"/>
              <w:jc w:val="right"/>
              <w:rPr>
                <w:color w:val="000000"/>
              </w:rPr>
            </w:pPr>
            <w:r w:rsidRPr="00F71A22">
              <w:rPr>
                <w:color w:val="000000"/>
              </w:rPr>
              <w:t>36,677</w:t>
            </w:r>
          </w:p>
        </w:tc>
        <w:tc>
          <w:tcPr>
            <w:tcW w:w="1423" w:type="dxa"/>
            <w:noWrap/>
            <w:tcMar>
              <w:top w:w="0" w:type="dxa"/>
              <w:left w:w="108" w:type="dxa"/>
              <w:bottom w:w="0" w:type="dxa"/>
              <w:right w:w="108" w:type="dxa"/>
            </w:tcMar>
            <w:vAlign w:val="bottom"/>
          </w:tcPr>
          <w:p w14:paraId="1C8B832C" w14:textId="4AFB005F" w:rsidR="00A85422" w:rsidRPr="00F71A22" w:rsidRDefault="00A85422">
            <w:pPr>
              <w:pStyle w:val="TableText"/>
              <w:jc w:val="right"/>
              <w:rPr>
                <w:color w:val="000000"/>
              </w:rPr>
            </w:pPr>
            <w:r w:rsidRPr="00F71A22">
              <w:rPr>
                <w:color w:val="000000"/>
              </w:rPr>
              <w:t>95.5</w:t>
            </w:r>
          </w:p>
        </w:tc>
      </w:tr>
      <w:tr w:rsidR="00345594" w:rsidRPr="00F71A22" w14:paraId="6D384D0A" w14:textId="77777777" w:rsidTr="00A2041A">
        <w:trPr>
          <w:trHeight w:val="315"/>
        </w:trPr>
        <w:tc>
          <w:tcPr>
            <w:tcW w:w="3460"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14:paraId="36C3E1FD" w14:textId="77777777" w:rsidR="00345594" w:rsidRPr="00F71A22" w:rsidRDefault="00345594">
            <w:pPr>
              <w:pStyle w:val="TableText"/>
              <w:rPr>
                <w:color w:val="000000"/>
              </w:rPr>
            </w:pPr>
            <w:r w:rsidRPr="00F71A22">
              <w:rPr>
                <w:color w:val="000000"/>
              </w:rPr>
              <w:t>Total</w:t>
            </w:r>
          </w:p>
        </w:tc>
        <w:tc>
          <w:tcPr>
            <w:tcW w:w="1052"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14:paraId="13C188FF" w14:textId="77777777" w:rsidR="00345594" w:rsidRPr="00F71A22" w:rsidRDefault="00345594">
            <w:pPr>
              <w:pStyle w:val="TableText"/>
              <w:jc w:val="right"/>
              <w:rPr>
                <w:color w:val="000000"/>
              </w:rPr>
            </w:pPr>
            <w:r w:rsidRPr="00F71A22">
              <w:rPr>
                <w:color w:val="000000"/>
              </w:rPr>
              <w:t>14,330</w:t>
            </w:r>
          </w:p>
        </w:tc>
        <w:tc>
          <w:tcPr>
            <w:tcW w:w="1423" w:type="dxa"/>
            <w:tcBorders>
              <w:top w:val="single" w:sz="8" w:space="0" w:color="auto"/>
              <w:left w:val="nil"/>
              <w:bottom w:val="single" w:sz="8" w:space="0" w:color="auto"/>
              <w:right w:val="single" w:sz="4" w:space="0" w:color="auto"/>
            </w:tcBorders>
            <w:noWrap/>
            <w:tcMar>
              <w:top w:w="0" w:type="dxa"/>
              <w:left w:w="108" w:type="dxa"/>
              <w:bottom w:w="0" w:type="dxa"/>
              <w:right w:w="108" w:type="dxa"/>
            </w:tcMar>
            <w:vAlign w:val="bottom"/>
            <w:hideMark/>
          </w:tcPr>
          <w:p w14:paraId="02B14933" w14:textId="12260E68" w:rsidR="00345594" w:rsidRPr="00F71A22" w:rsidRDefault="00345594">
            <w:pPr>
              <w:pStyle w:val="TableText"/>
              <w:jc w:val="right"/>
              <w:rPr>
                <w:color w:val="000000"/>
              </w:rPr>
            </w:pPr>
            <w:r w:rsidRPr="00F71A22">
              <w:rPr>
                <w:color w:val="000000"/>
              </w:rPr>
              <w:t>100</w:t>
            </w:r>
            <w:r w:rsidR="00B41917">
              <w:rPr>
                <w:color w:val="000000"/>
              </w:rPr>
              <w:t>.0</w:t>
            </w:r>
          </w:p>
        </w:tc>
        <w:tc>
          <w:tcPr>
            <w:tcW w:w="1052" w:type="dxa"/>
            <w:tcBorders>
              <w:top w:val="single" w:sz="8" w:space="0" w:color="auto"/>
              <w:left w:val="single" w:sz="4" w:space="0" w:color="auto"/>
              <w:bottom w:val="single" w:sz="8" w:space="0" w:color="auto"/>
              <w:right w:val="nil"/>
            </w:tcBorders>
            <w:noWrap/>
            <w:tcMar>
              <w:top w:w="0" w:type="dxa"/>
              <w:left w:w="108" w:type="dxa"/>
              <w:bottom w:w="0" w:type="dxa"/>
              <w:right w:w="108" w:type="dxa"/>
            </w:tcMar>
            <w:vAlign w:val="bottom"/>
            <w:hideMark/>
          </w:tcPr>
          <w:p w14:paraId="6651E398" w14:textId="77777777" w:rsidR="00345594" w:rsidRPr="00F71A22" w:rsidRDefault="00345594">
            <w:pPr>
              <w:pStyle w:val="TableText"/>
              <w:jc w:val="right"/>
              <w:rPr>
                <w:color w:val="000000"/>
              </w:rPr>
            </w:pPr>
            <w:r w:rsidRPr="00F71A22">
              <w:rPr>
                <w:color w:val="000000"/>
              </w:rPr>
              <w:t>38,404</w:t>
            </w:r>
          </w:p>
        </w:tc>
        <w:tc>
          <w:tcPr>
            <w:tcW w:w="1423"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14:paraId="6E9535A7" w14:textId="708CE29B" w:rsidR="00345594" w:rsidRPr="00F71A22" w:rsidRDefault="00345594">
            <w:pPr>
              <w:pStyle w:val="TableText"/>
              <w:jc w:val="right"/>
              <w:rPr>
                <w:color w:val="000000"/>
              </w:rPr>
            </w:pPr>
            <w:r w:rsidRPr="00F71A22">
              <w:rPr>
                <w:color w:val="000000"/>
              </w:rPr>
              <w:t>100</w:t>
            </w:r>
            <w:r w:rsidR="00B41917">
              <w:rPr>
                <w:color w:val="000000"/>
              </w:rPr>
              <w:t>.0</w:t>
            </w:r>
          </w:p>
        </w:tc>
      </w:tr>
    </w:tbl>
    <w:p w14:paraId="5770287E" w14:textId="596BCC97" w:rsidR="00345594" w:rsidRPr="00F71A22" w:rsidRDefault="00345594" w:rsidP="00BD5333">
      <w:pPr>
        <w:pStyle w:val="Source"/>
        <w:contextualSpacing/>
      </w:pPr>
      <w:r w:rsidRPr="00F71A22">
        <w:rPr>
          <w:b/>
          <w:bCs/>
          <w:lang w:eastAsia="zh-CN"/>
        </w:rPr>
        <w:t>Source</w:t>
      </w:r>
      <w:r w:rsidRPr="00F71A22">
        <w:rPr>
          <w:lang w:eastAsia="zh-CN"/>
        </w:rPr>
        <w:t xml:space="preserve">: </w:t>
      </w:r>
      <w:r w:rsidR="00A2041A" w:rsidRPr="00F71A22">
        <w:rPr>
          <w:lang w:eastAsia="zh-CN"/>
        </w:rPr>
        <w:t>DESE</w:t>
      </w:r>
      <w:r w:rsidRPr="00F71A22">
        <w:rPr>
          <w:lang w:eastAsia="zh-CN"/>
        </w:rPr>
        <w:t xml:space="preserve"> </w:t>
      </w:r>
      <w:r w:rsidR="00B41917">
        <w:rPr>
          <w:lang w:eastAsia="zh-CN"/>
        </w:rPr>
        <w:t>a</w:t>
      </w:r>
      <w:r w:rsidRPr="00F71A22">
        <w:rPr>
          <w:lang w:eastAsia="zh-CN"/>
        </w:rPr>
        <w:t xml:space="preserve">dministrative </w:t>
      </w:r>
      <w:r w:rsidR="00B41917">
        <w:rPr>
          <w:lang w:eastAsia="zh-CN"/>
        </w:rPr>
        <w:t>d</w:t>
      </w:r>
      <w:r w:rsidRPr="00F71A22">
        <w:rPr>
          <w:lang w:eastAsia="zh-CN"/>
        </w:rPr>
        <w:t>ata</w:t>
      </w:r>
      <w:r w:rsidR="00A47407">
        <w:rPr>
          <w:lang w:eastAsia="zh-CN"/>
        </w:rPr>
        <w:br/>
      </w:r>
      <w:r w:rsidR="00A2041A" w:rsidRPr="00F71A22">
        <w:rPr>
          <w:b/>
          <w:bCs/>
          <w:lang w:eastAsia="zh-CN"/>
        </w:rPr>
        <w:t>Note</w:t>
      </w:r>
      <w:r w:rsidRPr="00F71A22">
        <w:rPr>
          <w:lang w:eastAsia="zh-CN"/>
        </w:rPr>
        <w:t xml:space="preserve">: OEST population data </w:t>
      </w:r>
      <w:r w:rsidR="00A85422" w:rsidRPr="00F71A22">
        <w:rPr>
          <w:lang w:eastAsia="zh-CN"/>
        </w:rPr>
        <w:t>wa</w:t>
      </w:r>
      <w:r w:rsidRPr="00F71A22">
        <w:rPr>
          <w:lang w:eastAsia="zh-CN"/>
        </w:rPr>
        <w:t xml:space="preserve">s represented in this table. Matched sample data </w:t>
      </w:r>
      <w:r w:rsidR="00A85422" w:rsidRPr="00F71A22">
        <w:rPr>
          <w:lang w:eastAsia="zh-CN"/>
        </w:rPr>
        <w:t>wa</w:t>
      </w:r>
      <w:r w:rsidRPr="00F71A22">
        <w:rPr>
          <w:lang w:eastAsia="zh-CN"/>
        </w:rPr>
        <w:t xml:space="preserve">s used for impact </w:t>
      </w:r>
      <w:r w:rsidR="00B41917">
        <w:rPr>
          <w:lang w:eastAsia="zh-CN"/>
        </w:rPr>
        <w:t>analysis.</w:t>
      </w:r>
    </w:p>
    <w:p w14:paraId="6AC52F4F" w14:textId="77777777" w:rsidR="00CB73FB" w:rsidRPr="00F71A22" w:rsidRDefault="00CB73FB" w:rsidP="00CB73FB">
      <w:pPr>
        <w:pStyle w:val="Heading3"/>
      </w:pPr>
      <w:bookmarkStart w:id="89" w:name="_Toc67042588"/>
      <w:bookmarkEnd w:id="29"/>
      <w:bookmarkEnd w:id="30"/>
      <w:bookmarkEnd w:id="31"/>
      <w:bookmarkEnd w:id="56"/>
      <w:bookmarkEnd w:id="57"/>
      <w:bookmarkEnd w:id="58"/>
      <w:r w:rsidRPr="00F71A22">
        <w:t>2.4.1 Study population characteristics</w:t>
      </w:r>
      <w:bookmarkEnd w:id="89"/>
    </w:p>
    <w:p w14:paraId="29B4D7B2" w14:textId="77777777" w:rsidR="00CB73FB" w:rsidRPr="00F71A22" w:rsidRDefault="00CB73FB" w:rsidP="00CB73FB">
      <w:r w:rsidRPr="00F71A22">
        <w:t xml:space="preserve">The demographic profiles of the OEST participant group and the comparison group were similar across a range of key characteristics, including gender, remote location, state, educational attainment and </w:t>
      </w:r>
      <w:r>
        <w:t>Culturally and Linguistically Diverse (</w:t>
      </w:r>
      <w:r w:rsidRPr="00F71A22">
        <w:t>CALD</w:t>
      </w:r>
      <w:r>
        <w:t>) background</w:t>
      </w:r>
      <w:r w:rsidRPr="00F71A22">
        <w:t xml:space="preserve">, although there were some </w:t>
      </w:r>
      <w:r w:rsidRPr="00F71A22">
        <w:lastRenderedPageBreak/>
        <w:t>differences in other characteristics such as age and education (</w:t>
      </w:r>
      <w:r w:rsidRPr="00F71A22">
        <w:rPr>
          <w:b/>
        </w:rPr>
        <w:t>Table 2.1</w:t>
      </w:r>
      <w:r w:rsidRPr="00F71A22">
        <w:t>). To address these differences, matched samples were used for comparisons where appropriate.</w:t>
      </w:r>
    </w:p>
    <w:p w14:paraId="35749AE1" w14:textId="77777777" w:rsidR="0055383E" w:rsidRPr="00F71A22" w:rsidRDefault="0055383E">
      <w:pPr>
        <w:spacing w:after="160" w:line="259" w:lineRule="auto"/>
      </w:pPr>
      <w:r w:rsidRPr="00F71A22">
        <w:br w:type="page"/>
      </w:r>
    </w:p>
    <w:p w14:paraId="33065073" w14:textId="428231FB" w:rsidR="00F70154" w:rsidRPr="00F71A22" w:rsidRDefault="000E1565" w:rsidP="00F70154">
      <w:pPr>
        <w:pStyle w:val="Heading1"/>
      </w:pPr>
      <w:bookmarkStart w:id="90" w:name="_Toc49256408"/>
      <w:bookmarkStart w:id="91" w:name="_Toc67042589"/>
      <w:r w:rsidRPr="00F71A22">
        <w:lastRenderedPageBreak/>
        <w:t>Chapter 3</w:t>
      </w:r>
      <w:r w:rsidRPr="002D6A3B">
        <w:t xml:space="preserve">. </w:t>
      </w:r>
      <w:bookmarkEnd w:id="90"/>
      <w:r w:rsidR="00F32F4E" w:rsidRPr="002D6A3B">
        <w:t>The efficiency of the OEST</w:t>
      </w:r>
      <w:bookmarkEnd w:id="91"/>
    </w:p>
    <w:p w14:paraId="513FF4FD" w14:textId="227A4358" w:rsidR="00DF3BA1" w:rsidRPr="00F71A22" w:rsidRDefault="00C9083C" w:rsidP="00DF3BA1">
      <w:r>
        <w:rPr>
          <w:noProof/>
          <w:lang w:eastAsia="en-AU"/>
        </w:rPr>
        <w:drawing>
          <wp:inline distT="0" distB="0" distL="0" distR="0" wp14:anchorId="2976576A" wp14:editId="5B3B2358">
            <wp:extent cx="5746750" cy="3391535"/>
            <wp:effectExtent l="0" t="0" r="6350" b="0"/>
            <wp:docPr id="10" name="Picture 10" descr="Chapter 3 summary:&#10;OEST participants commenced in online servicing faster than the comparison group where 62% of trial participants commenced on the day of referral, compared with 10% of the comparison group.&#10;9.3% of OEST participants opted out of the trial.&#10;Personal characteristics affected job seekers' capability to participate in the OEST, such as education, age, Indigeneity and geographic location.&#10;80% of OEST participants were satisfied with the jobactive website.&#10;Some OEST participants would like more communication on servicing arrangements and more online resources.&#10;OEST participants were less aware of their employment servicing arrangements compared with the comparison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apter3_Chapter 3_Chapter 3.png"/>
                    <pic:cNvPicPr/>
                  </pic:nvPicPr>
                  <pic:blipFill>
                    <a:blip r:embed="rId22"/>
                    <a:stretch>
                      <a:fillRect/>
                    </a:stretch>
                  </pic:blipFill>
                  <pic:spPr>
                    <a:xfrm>
                      <a:off x="0" y="0"/>
                      <a:ext cx="5746750" cy="3391535"/>
                    </a:xfrm>
                    <a:prstGeom prst="rect">
                      <a:avLst/>
                    </a:prstGeom>
                  </pic:spPr>
                </pic:pic>
              </a:graphicData>
            </a:graphic>
          </wp:inline>
        </w:drawing>
      </w:r>
    </w:p>
    <w:p w14:paraId="5631F4B3" w14:textId="4A667B0C" w:rsidR="000E1565" w:rsidRPr="00F71A22" w:rsidRDefault="000E1565" w:rsidP="000E1565">
      <w:pPr>
        <w:keepNext/>
      </w:pPr>
      <w:r w:rsidRPr="00F71A22">
        <w:t xml:space="preserve">One of the </w:t>
      </w:r>
      <w:r w:rsidR="008B2EEF" w:rsidRPr="00F71A22">
        <w:t>expected</w:t>
      </w:r>
      <w:r w:rsidR="009C5C2A" w:rsidRPr="00F71A22">
        <w:t xml:space="preserve"> </w:t>
      </w:r>
      <w:r w:rsidRPr="00F71A22">
        <w:t xml:space="preserve">key benefits of online government servicing is that it improves efficiency. </w:t>
      </w:r>
      <w:r w:rsidR="00486E25" w:rsidRPr="00F71A22">
        <w:t>This chapter examines</w:t>
      </w:r>
      <w:r w:rsidRPr="00F71A22">
        <w:t xml:space="preserve"> the extent to which OEST delivered </w:t>
      </w:r>
      <w:r w:rsidR="000C57EC" w:rsidRPr="00F71A22">
        <w:t xml:space="preserve">operational </w:t>
      </w:r>
      <w:r w:rsidR="003107A2" w:rsidRPr="00F71A22">
        <w:t>efficiencies</w:t>
      </w:r>
      <w:r w:rsidR="00486E25" w:rsidRPr="00F71A22">
        <w:t>,</w:t>
      </w:r>
      <w:r w:rsidRPr="00F71A22">
        <w:t xml:space="preserve"> </w:t>
      </w:r>
      <w:r w:rsidR="00F70154" w:rsidRPr="00F71A22">
        <w:t>in particular:</w:t>
      </w:r>
    </w:p>
    <w:p w14:paraId="6B219CAC" w14:textId="49B22EEE" w:rsidR="00981980" w:rsidRPr="00F71A22" w:rsidRDefault="00981980" w:rsidP="00BB666D">
      <w:pPr>
        <w:pStyle w:val="ListBullet"/>
      </w:pPr>
      <w:r w:rsidRPr="00F71A22">
        <w:t>the number of participants who opted</w:t>
      </w:r>
      <w:r w:rsidR="002D6A3B">
        <w:t xml:space="preserve"> </w:t>
      </w:r>
      <w:r w:rsidRPr="00F71A22">
        <w:t>out of the trial, whether opt-out rates varied by participant characteristics and reasons for opting out</w:t>
      </w:r>
    </w:p>
    <w:p w14:paraId="62B0A973" w14:textId="77777777" w:rsidR="00803324" w:rsidRDefault="000E1565" w:rsidP="00BB666D">
      <w:pPr>
        <w:pStyle w:val="ListBullet"/>
      </w:pPr>
      <w:r w:rsidRPr="00F71A22">
        <w:t>whether digital servicing affected the time taken for participants to commence in employment services</w:t>
      </w:r>
    </w:p>
    <w:p w14:paraId="0B034CFE" w14:textId="707F6773" w:rsidR="000E1565" w:rsidRPr="00F71A22" w:rsidRDefault="000E1565" w:rsidP="00BB666D">
      <w:pPr>
        <w:pStyle w:val="ListBullet"/>
      </w:pPr>
      <w:r w:rsidRPr="00F71A22">
        <w:t>participants’ compliance in a digital environment</w:t>
      </w:r>
    </w:p>
    <w:p w14:paraId="18AD5D6E" w14:textId="77777777" w:rsidR="000E1565" w:rsidRPr="00F71A22" w:rsidRDefault="000E1565" w:rsidP="00BB666D">
      <w:pPr>
        <w:pStyle w:val="ListBullet"/>
      </w:pPr>
      <w:r w:rsidRPr="00F71A22">
        <w:t>service elements most critical for easy access to the participant</w:t>
      </w:r>
    </w:p>
    <w:p w14:paraId="71279D56" w14:textId="77777777" w:rsidR="00803324" w:rsidRDefault="000E1565" w:rsidP="00BB666D">
      <w:pPr>
        <w:pStyle w:val="ListBullet"/>
      </w:pPr>
      <w:r w:rsidRPr="00F71A22">
        <w:t>OEST participants’ awareness of online employment servicing arrangements.</w:t>
      </w:r>
    </w:p>
    <w:p w14:paraId="5412CEEA" w14:textId="2E619897" w:rsidR="0048513A" w:rsidRPr="00F71A22" w:rsidRDefault="0048513A" w:rsidP="0048513A">
      <w:pPr>
        <w:pStyle w:val="Heading2"/>
      </w:pPr>
      <w:bookmarkStart w:id="92" w:name="_Toc67042590"/>
      <w:bookmarkStart w:id="93" w:name="_Toc49256412"/>
      <w:bookmarkStart w:id="94" w:name="_Hlk49843040"/>
      <w:r w:rsidRPr="00F71A22">
        <w:t>3.1 Time to commencement</w:t>
      </w:r>
      <w:bookmarkEnd w:id="92"/>
    </w:p>
    <w:p w14:paraId="055761DF" w14:textId="77777777" w:rsidR="00803324" w:rsidRDefault="00B41917" w:rsidP="00C51242">
      <w:pPr>
        <w:rPr>
          <w:rFonts w:ascii="Calibri" w:hAnsi="Calibri"/>
        </w:rPr>
      </w:pPr>
      <w:r>
        <w:t xml:space="preserve">The time taken to commence in a service is an important efficiency indicator </w:t>
      </w:r>
      <w:r w:rsidRPr="00EB23F7">
        <w:rPr>
          <w:rFonts w:ascii="Calibri" w:hAnsi="Calibri"/>
        </w:rPr>
        <w:t xml:space="preserve">because it determines how quickly </w:t>
      </w:r>
      <w:r>
        <w:rPr>
          <w:rFonts w:ascii="Calibri" w:hAnsi="Calibri"/>
        </w:rPr>
        <w:t xml:space="preserve">those who need </w:t>
      </w:r>
      <w:r w:rsidRPr="00EB23F7">
        <w:rPr>
          <w:rFonts w:ascii="Calibri" w:hAnsi="Calibri"/>
        </w:rPr>
        <w:t xml:space="preserve">assistance </w:t>
      </w:r>
      <w:r>
        <w:rPr>
          <w:rFonts w:ascii="Calibri" w:hAnsi="Calibri"/>
        </w:rPr>
        <w:t>start to receive it</w:t>
      </w:r>
      <w:r>
        <w:t>. Analysis of administrative data</w:t>
      </w:r>
      <w:r w:rsidRPr="006E644B">
        <w:t xml:space="preserve"> showed </w:t>
      </w:r>
      <w:r>
        <w:lastRenderedPageBreak/>
        <w:t>most OEST participants (</w:t>
      </w:r>
      <w:r w:rsidRPr="001261D9">
        <w:rPr>
          <w:b/>
        </w:rPr>
        <w:t>62%</w:t>
      </w:r>
      <w:r>
        <w:t>) commenced</w:t>
      </w:r>
      <w:r w:rsidRPr="00EA517E">
        <w:rPr>
          <w:vertAlign w:val="superscript"/>
        </w:rPr>
        <w:footnoteReference w:id="9"/>
      </w:r>
      <w:r>
        <w:t xml:space="preserve"> </w:t>
      </w:r>
      <w:r>
        <w:rPr>
          <w:rFonts w:ascii="Calibri" w:hAnsi="Calibri"/>
        </w:rPr>
        <w:t xml:space="preserve">on the same day they were referred to the trial, compared to only </w:t>
      </w:r>
      <w:r w:rsidRPr="001261D9">
        <w:rPr>
          <w:rFonts w:ascii="Calibri" w:hAnsi="Calibri"/>
          <w:b/>
        </w:rPr>
        <w:t>10%</w:t>
      </w:r>
      <w:r>
        <w:rPr>
          <w:rFonts w:ascii="Calibri" w:hAnsi="Calibri"/>
        </w:rPr>
        <w:t xml:space="preserve"> of the comparison group.</w:t>
      </w:r>
    </w:p>
    <w:p w14:paraId="305BC8CC" w14:textId="17CBED32" w:rsidR="0048513A" w:rsidRPr="00F71A22" w:rsidRDefault="00B41917" w:rsidP="00BD5333">
      <w:r>
        <w:t xml:space="preserve">By day 14, however, commencement rates for both groups were comparable, with </w:t>
      </w:r>
      <w:r w:rsidRPr="001261D9">
        <w:rPr>
          <w:b/>
        </w:rPr>
        <w:t>94%</w:t>
      </w:r>
      <w:r>
        <w:t xml:space="preserve"> of the OEST group and </w:t>
      </w:r>
      <w:r w:rsidRPr="001261D9">
        <w:rPr>
          <w:b/>
        </w:rPr>
        <w:t>93%</w:t>
      </w:r>
      <w:r>
        <w:t xml:space="preserve"> of the comparison group having commenced in online services and provider services respectively </w:t>
      </w:r>
      <w:r w:rsidR="0048513A" w:rsidRPr="00F71A22">
        <w:t>(</w:t>
      </w:r>
      <w:r w:rsidR="0048513A" w:rsidRPr="00B41917">
        <w:rPr>
          <w:b/>
          <w:bCs/>
        </w:rPr>
        <w:t>Figure 3.</w:t>
      </w:r>
      <w:r w:rsidR="00F4382D" w:rsidRPr="00B41917">
        <w:rPr>
          <w:b/>
          <w:bCs/>
        </w:rPr>
        <w:t>1</w:t>
      </w:r>
      <w:r w:rsidR="0048513A" w:rsidRPr="00F71A22">
        <w:t>).</w:t>
      </w:r>
    </w:p>
    <w:p w14:paraId="4C3304AA" w14:textId="6748FB10" w:rsidR="0048513A" w:rsidRDefault="0048513A" w:rsidP="0048513A">
      <w:pPr>
        <w:pStyle w:val="FigureCaption"/>
      </w:pPr>
      <w:bookmarkStart w:id="95" w:name="_Toc67042675"/>
      <w:r w:rsidRPr="00F71A22">
        <w:t>Figure 3.1 Time from referral to commencement of online services compared with provider-based services</w:t>
      </w:r>
      <w:bookmarkEnd w:id="95"/>
    </w:p>
    <w:p w14:paraId="75D47AC9" w14:textId="2E9C5B71" w:rsidR="00C145B8" w:rsidRPr="00C145B8" w:rsidRDefault="00C145B8" w:rsidP="00C145B8">
      <w:r>
        <w:rPr>
          <w:noProof/>
        </w:rPr>
        <w:drawing>
          <wp:inline distT="0" distB="0" distL="0" distR="0" wp14:anchorId="3F6CC17D" wp14:editId="6F2E4719">
            <wp:extent cx="5553850" cy="3629532"/>
            <wp:effectExtent l="0" t="0" r="0" b="9525"/>
            <wp:docPr id="6" name="Picture 6" descr="Line chart comparing time from referral to commencement of online services between OEST participants and comparison group. More OEST participants (62%) commenced on the day of referral compared to the comparison grou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chart comparing time from referral to commencement of online services between OEST participants and comparison group. More OEST participants (62%) commenced on the day of referral compared to the comparison group (10%)."/>
                    <pic:cNvPicPr/>
                  </pic:nvPicPr>
                  <pic:blipFill>
                    <a:blip r:embed="rId23"/>
                    <a:stretch>
                      <a:fillRect/>
                    </a:stretch>
                  </pic:blipFill>
                  <pic:spPr>
                    <a:xfrm>
                      <a:off x="0" y="0"/>
                      <a:ext cx="5553850" cy="3629532"/>
                    </a:xfrm>
                    <a:prstGeom prst="rect">
                      <a:avLst/>
                    </a:prstGeom>
                  </pic:spPr>
                </pic:pic>
              </a:graphicData>
            </a:graphic>
          </wp:inline>
        </w:drawing>
      </w:r>
    </w:p>
    <w:p w14:paraId="20DA3BF9" w14:textId="12C5520A" w:rsidR="0048513A" w:rsidRPr="00F71A22" w:rsidRDefault="0048513A" w:rsidP="0048513A">
      <w:pPr>
        <w:pStyle w:val="Source"/>
      </w:pPr>
      <w:r w:rsidRPr="00F71A22">
        <w:rPr>
          <w:b/>
          <w:bCs/>
        </w:rPr>
        <w:t>Source</w:t>
      </w:r>
      <w:r w:rsidRPr="00F71A22">
        <w:t xml:space="preserve">: DESE </w:t>
      </w:r>
      <w:r w:rsidR="00D259A0">
        <w:t>a</w:t>
      </w:r>
      <w:r w:rsidRPr="00F71A22">
        <w:t xml:space="preserve">dministrative </w:t>
      </w:r>
      <w:r w:rsidR="00D259A0">
        <w:t>d</w:t>
      </w:r>
      <w:r w:rsidRPr="00F71A22">
        <w:t>ata</w:t>
      </w:r>
    </w:p>
    <w:p w14:paraId="671975BE" w14:textId="77777777" w:rsidR="00803324" w:rsidRDefault="0048513A" w:rsidP="00C51242">
      <w:r w:rsidRPr="00F71A22">
        <w:t>The higher commencement rate for OEST participants (usually on the day of referral) was most likely due to the nature of the online process itself. Commencement for OEST participants was completed by clicking a button on the jobactive website. On the other hand, job seekers commencing in provider-based servicing were required to meet with their nominated provider before they could commence, which could take a few days to occur.</w:t>
      </w:r>
    </w:p>
    <w:p w14:paraId="5AC2BDCF" w14:textId="726A3626" w:rsidR="0048513A" w:rsidRPr="00F71A22" w:rsidRDefault="0048513A" w:rsidP="00DE2392">
      <w:r w:rsidRPr="00F71A22">
        <w:lastRenderedPageBreak/>
        <w:t xml:space="preserve">It should be noted that all trial participants and job seekers in the comparison group were referred by </w:t>
      </w:r>
      <w:r w:rsidR="00FD58AF" w:rsidRPr="00F71A22">
        <w:t>Services Australia</w:t>
      </w:r>
      <w:r w:rsidRPr="00F71A22">
        <w:t xml:space="preserve"> through ‘RapidConnect’</w:t>
      </w:r>
      <w:r w:rsidR="00D548D0">
        <w:t>,</w:t>
      </w:r>
      <w:r w:rsidRPr="00F71A22">
        <w:t xml:space="preserve"> which require</w:t>
      </w:r>
      <w:r w:rsidR="00A14BFB">
        <w:t>d</w:t>
      </w:r>
      <w:r w:rsidRPr="00F71A22">
        <w:t xml:space="preserve"> connection with employment services in a timely manner, usually within </w:t>
      </w:r>
      <w:r w:rsidR="00FB14E0">
        <w:t>two</w:t>
      </w:r>
      <w:r w:rsidR="00FB14E0" w:rsidRPr="00F71A22">
        <w:t xml:space="preserve"> </w:t>
      </w:r>
      <w:r w:rsidRPr="00F71A22">
        <w:t>business days.</w:t>
      </w:r>
    </w:p>
    <w:p w14:paraId="0B5EA804" w14:textId="4FF40A61" w:rsidR="000E1565" w:rsidRPr="00F71A22" w:rsidRDefault="000E1565" w:rsidP="000E1565">
      <w:pPr>
        <w:pStyle w:val="Heading2"/>
      </w:pPr>
      <w:bookmarkStart w:id="96" w:name="_Toc67042591"/>
      <w:r w:rsidRPr="00F71A22">
        <w:t>3.</w:t>
      </w:r>
      <w:r w:rsidR="0048513A" w:rsidRPr="00F71A22">
        <w:t>2</w:t>
      </w:r>
      <w:r w:rsidRPr="00F71A22">
        <w:t xml:space="preserve"> </w:t>
      </w:r>
      <w:bookmarkEnd w:id="93"/>
      <w:r w:rsidR="00981980" w:rsidRPr="00F71A22">
        <w:t>Opt-outs</w:t>
      </w:r>
      <w:bookmarkEnd w:id="96"/>
    </w:p>
    <w:bookmarkEnd w:id="94"/>
    <w:p w14:paraId="3CF462E9" w14:textId="77777777" w:rsidR="00803324" w:rsidRDefault="00B33188" w:rsidP="00B33188">
      <w:r w:rsidRPr="00F71A22">
        <w:t>As discussed in Chapter 2, participants could opt</w:t>
      </w:r>
      <w:r w:rsidR="00F70154" w:rsidRPr="00F71A22">
        <w:t xml:space="preserve"> </w:t>
      </w:r>
      <w:r w:rsidRPr="00F71A22">
        <w:t xml:space="preserve">out of the OEST either </w:t>
      </w:r>
      <w:r w:rsidRPr="00F71A22">
        <w:rPr>
          <w:b/>
        </w:rPr>
        <w:t>before</w:t>
      </w:r>
      <w:r w:rsidRPr="00F71A22">
        <w:t xml:space="preserve"> or </w:t>
      </w:r>
      <w:r w:rsidRPr="00F71A22">
        <w:rPr>
          <w:b/>
        </w:rPr>
        <w:t>after</w:t>
      </w:r>
      <w:r w:rsidRPr="00F71A22">
        <w:t xml:space="preserve"> commencement in favour of </w:t>
      </w:r>
      <w:r w:rsidR="00F70154" w:rsidRPr="00F71A22">
        <w:t xml:space="preserve">employment </w:t>
      </w:r>
      <w:r w:rsidRPr="00F71A22">
        <w:t>servicing with a jobactive provider by contacting the National Customer Service Line (NCSL).</w:t>
      </w:r>
    </w:p>
    <w:p w14:paraId="530B5579" w14:textId="3BF4E4A5" w:rsidR="00B41917" w:rsidRDefault="00B41917" w:rsidP="00B41917">
      <w:r>
        <w:t>A</w:t>
      </w:r>
      <w:r>
        <w:rPr>
          <w:bCs/>
          <w:iCs/>
        </w:rPr>
        <w:t xml:space="preserve"> total of 2,001 </w:t>
      </w:r>
      <w:r>
        <w:t xml:space="preserve">or </w:t>
      </w:r>
      <w:r w:rsidRPr="008D569F">
        <w:rPr>
          <w:b/>
          <w:bCs/>
          <w:iCs/>
        </w:rPr>
        <w:t>9.</w:t>
      </w:r>
      <w:r w:rsidRPr="0013616B">
        <w:rPr>
          <w:b/>
        </w:rPr>
        <w:t>3</w:t>
      </w:r>
      <w:r>
        <w:rPr>
          <w:b/>
        </w:rPr>
        <w:t>%</w:t>
      </w:r>
      <w:r>
        <w:t xml:space="preserve"> of selected job seekers opted out of the OEST. Of these, </w:t>
      </w:r>
      <w:r>
        <w:rPr>
          <w:bCs/>
          <w:iCs/>
        </w:rPr>
        <w:t>810</w:t>
      </w:r>
      <w:r>
        <w:t xml:space="preserve"> or </w:t>
      </w:r>
      <w:r w:rsidRPr="005A0BA4">
        <w:rPr>
          <w:b/>
        </w:rPr>
        <w:t>3.8</w:t>
      </w:r>
      <w:r>
        <w:rPr>
          <w:b/>
        </w:rPr>
        <w:t>%</w:t>
      </w:r>
      <w:r>
        <w:t xml:space="preserve"> opted out </w:t>
      </w:r>
      <w:r w:rsidRPr="00B44A3C">
        <w:rPr>
          <w:b/>
        </w:rPr>
        <w:t>before</w:t>
      </w:r>
      <w:r>
        <w:t xml:space="preserve"> commencing and </w:t>
      </w:r>
      <w:r>
        <w:rPr>
          <w:bCs/>
        </w:rPr>
        <w:t xml:space="preserve">1,191 or </w:t>
      </w:r>
      <w:r w:rsidRPr="008D569F">
        <w:rPr>
          <w:b/>
          <w:bCs/>
        </w:rPr>
        <w:t>5.5</w:t>
      </w:r>
      <w:r>
        <w:rPr>
          <w:b/>
          <w:bCs/>
        </w:rPr>
        <w:t>%</w:t>
      </w:r>
      <w:r w:rsidRPr="009F1345">
        <w:rPr>
          <w:bCs/>
        </w:rPr>
        <w:t xml:space="preserve"> opted</w:t>
      </w:r>
      <w:r>
        <w:rPr>
          <w:bCs/>
        </w:rPr>
        <w:t xml:space="preserve"> </w:t>
      </w:r>
      <w:r w:rsidRPr="009F1345">
        <w:rPr>
          <w:bCs/>
        </w:rPr>
        <w:t xml:space="preserve">out during the </w:t>
      </w:r>
      <w:r>
        <w:rPr>
          <w:bCs/>
        </w:rPr>
        <w:t>t</w:t>
      </w:r>
      <w:r w:rsidRPr="009F1345">
        <w:rPr>
          <w:bCs/>
        </w:rPr>
        <w:t>rial</w:t>
      </w:r>
      <w:r>
        <w:rPr>
          <w:bCs/>
        </w:rPr>
        <w:t>.</w:t>
      </w:r>
    </w:p>
    <w:p w14:paraId="3FD9E656" w14:textId="71B230B7" w:rsidR="00B33188" w:rsidRPr="00F71A22" w:rsidRDefault="00B33188" w:rsidP="004B70A7">
      <w:pPr>
        <w:pStyle w:val="Heading3"/>
      </w:pPr>
      <w:bookmarkStart w:id="97" w:name="_Toc67042592"/>
      <w:r w:rsidRPr="00F71A22">
        <w:t>3.</w:t>
      </w:r>
      <w:r w:rsidR="0048513A" w:rsidRPr="00F71A22">
        <w:t>2</w:t>
      </w:r>
      <w:r w:rsidRPr="00F71A22">
        <w:t xml:space="preserve">.1 </w:t>
      </w:r>
      <w:r w:rsidR="00344C01" w:rsidRPr="00F71A22">
        <w:t>C</w:t>
      </w:r>
      <w:r w:rsidRPr="00F71A22">
        <w:t>haracteristics</w:t>
      </w:r>
      <w:r w:rsidR="00344C01" w:rsidRPr="00F71A22">
        <w:t xml:space="preserve"> of participants who opt</w:t>
      </w:r>
      <w:r w:rsidR="00F70154" w:rsidRPr="00F71A22">
        <w:t xml:space="preserve">ed </w:t>
      </w:r>
      <w:r w:rsidR="00344C01" w:rsidRPr="00F71A22">
        <w:t>out</w:t>
      </w:r>
      <w:bookmarkEnd w:id="97"/>
    </w:p>
    <w:p w14:paraId="78AFCE02" w14:textId="77777777" w:rsidR="00803324" w:rsidRDefault="00344C01" w:rsidP="000E1565">
      <w:r w:rsidRPr="00F71A22">
        <w:rPr>
          <w:b/>
          <w:bCs/>
        </w:rPr>
        <w:t>Table 3.</w:t>
      </w:r>
      <w:r w:rsidR="007C3A96" w:rsidRPr="00F71A22">
        <w:rPr>
          <w:b/>
          <w:bCs/>
        </w:rPr>
        <w:t>1</w:t>
      </w:r>
      <w:r w:rsidRPr="00F71A22">
        <w:t xml:space="preserve"> shows </w:t>
      </w:r>
      <w:r w:rsidR="00B41917">
        <w:t xml:space="preserve">that </w:t>
      </w:r>
      <w:r w:rsidRPr="00F71A22">
        <w:t xml:space="preserve">participants with </w:t>
      </w:r>
      <w:r w:rsidR="00F70154" w:rsidRPr="00F71A22">
        <w:t>certain</w:t>
      </w:r>
      <w:r w:rsidRPr="00F71A22">
        <w:t xml:space="preserve"> characteristics had higher opt-out rates. </w:t>
      </w:r>
      <w:r w:rsidR="000E1565" w:rsidRPr="00F71A22">
        <w:t xml:space="preserve">Consistent with </w:t>
      </w:r>
      <w:r w:rsidR="00B41917">
        <w:t xml:space="preserve">the </w:t>
      </w:r>
      <w:r w:rsidR="000E1565" w:rsidRPr="00F71A22">
        <w:t>literature, key factors influencing participants’ capability to participate in online servicing were personal characteristics, such as their level of education, age, Indigeneity and geographic location.</w:t>
      </w:r>
    </w:p>
    <w:p w14:paraId="3BC55E0E" w14:textId="06835DBD" w:rsidR="00B41917" w:rsidRDefault="00B41917" w:rsidP="007F2F30">
      <w:pPr>
        <w:pStyle w:val="ListBullet"/>
      </w:pPr>
      <w:bookmarkStart w:id="98" w:name="_Toc50458821"/>
      <w:bookmarkStart w:id="99" w:name="_Toc50458914"/>
      <w:bookmarkStart w:id="100" w:name="_Toc50459007"/>
      <w:bookmarkStart w:id="101" w:name="_Toc50459284"/>
      <w:r>
        <w:t xml:space="preserve">OEST participants who had commenced in the trial with an educational attainment of </w:t>
      </w:r>
      <w:r w:rsidRPr="008D569F">
        <w:rPr>
          <w:b/>
        </w:rPr>
        <w:t xml:space="preserve">less than </w:t>
      </w:r>
      <w:r>
        <w:rPr>
          <w:b/>
        </w:rPr>
        <w:t>Y</w:t>
      </w:r>
      <w:r w:rsidRPr="008D569F">
        <w:rPr>
          <w:b/>
        </w:rPr>
        <w:t>ear 12</w:t>
      </w:r>
      <w:r>
        <w:t xml:space="preserve"> had an opt-out rate of </w:t>
      </w:r>
      <w:r w:rsidRPr="00514B20">
        <w:rPr>
          <w:b/>
        </w:rPr>
        <w:t>8.1</w:t>
      </w:r>
      <w:r>
        <w:rPr>
          <w:b/>
        </w:rPr>
        <w:t>%</w:t>
      </w:r>
      <w:r>
        <w:t xml:space="preserve"> compared with </w:t>
      </w:r>
      <w:r w:rsidRPr="00514B20">
        <w:rPr>
          <w:b/>
        </w:rPr>
        <w:t>5.2</w:t>
      </w:r>
      <w:r>
        <w:rPr>
          <w:b/>
        </w:rPr>
        <w:t>%</w:t>
      </w:r>
      <w:r w:rsidRPr="000801EB">
        <w:rPr>
          <w:b/>
        </w:rPr>
        <w:t xml:space="preserve"> </w:t>
      </w:r>
      <w:r>
        <w:t>for those who had an educational level of Year 12 and above</w:t>
      </w:r>
    </w:p>
    <w:p w14:paraId="27C7D212" w14:textId="77777777" w:rsidR="00803324" w:rsidRDefault="00B41917" w:rsidP="007F2F30">
      <w:pPr>
        <w:pStyle w:val="ListBullet"/>
      </w:pPr>
      <w:r>
        <w:t xml:space="preserve">OEST participants who had commenced in the trial </w:t>
      </w:r>
      <w:r w:rsidRPr="00F60750">
        <w:t xml:space="preserve">aged </w:t>
      </w:r>
      <w:r w:rsidRPr="008D569F">
        <w:rPr>
          <w:b/>
        </w:rPr>
        <w:t>50 years and over</w:t>
      </w:r>
      <w:r>
        <w:t xml:space="preserve"> </w:t>
      </w:r>
      <w:r w:rsidRPr="00F60750">
        <w:t xml:space="preserve">had an opt-out rate of </w:t>
      </w:r>
      <w:r w:rsidRPr="00514B20">
        <w:rPr>
          <w:b/>
        </w:rPr>
        <w:t>9.8</w:t>
      </w:r>
      <w:r>
        <w:rPr>
          <w:b/>
        </w:rPr>
        <w:t>%</w:t>
      </w:r>
      <w:r w:rsidRPr="00110FE4">
        <w:rPr>
          <w:color w:val="FF0000"/>
        </w:rPr>
        <w:t xml:space="preserve"> </w:t>
      </w:r>
      <w:r>
        <w:t xml:space="preserve">compared with </w:t>
      </w:r>
      <w:r>
        <w:rPr>
          <w:b/>
        </w:rPr>
        <w:t>4.8%</w:t>
      </w:r>
      <w:r w:rsidRPr="00110FE4">
        <w:rPr>
          <w:color w:val="FF0000"/>
        </w:rPr>
        <w:t xml:space="preserve"> </w:t>
      </w:r>
      <w:r>
        <w:t>for those aged</w:t>
      </w:r>
      <w:r w:rsidRPr="00F60750">
        <w:t xml:space="preserve"> </w:t>
      </w:r>
      <w:r>
        <w:t>less than 25 years</w:t>
      </w:r>
    </w:p>
    <w:p w14:paraId="2CED4AA1" w14:textId="77777777" w:rsidR="00803324" w:rsidRDefault="00B41917" w:rsidP="007F2F30">
      <w:pPr>
        <w:pStyle w:val="ListBullet"/>
      </w:pPr>
      <w:r>
        <w:t xml:space="preserve">OEST participants who had commenced in the trial living in </w:t>
      </w:r>
      <w:r w:rsidRPr="008D569F">
        <w:rPr>
          <w:b/>
        </w:rPr>
        <w:t>outer regional areas</w:t>
      </w:r>
      <w:r>
        <w:t xml:space="preserve"> had an opt-out rate of </w:t>
      </w:r>
      <w:r>
        <w:rPr>
          <w:b/>
        </w:rPr>
        <w:t>8.6%</w:t>
      </w:r>
      <w:r w:rsidRPr="00D9315E">
        <w:t xml:space="preserve"> </w:t>
      </w:r>
      <w:r w:rsidRPr="00F60750">
        <w:t xml:space="preserve">compared </w:t>
      </w:r>
      <w:r>
        <w:t>with</w:t>
      </w:r>
      <w:r w:rsidRPr="00F60750">
        <w:t xml:space="preserve"> </w:t>
      </w:r>
      <w:r>
        <w:rPr>
          <w:b/>
        </w:rPr>
        <w:t>4.7%</w:t>
      </w:r>
      <w:r w:rsidRPr="00110FE4">
        <w:rPr>
          <w:color w:val="FF0000"/>
        </w:rPr>
        <w:t xml:space="preserve"> </w:t>
      </w:r>
      <w:r w:rsidRPr="00F60750">
        <w:t xml:space="preserve">for those </w:t>
      </w:r>
      <w:r>
        <w:t xml:space="preserve">living </w:t>
      </w:r>
      <w:r w:rsidRPr="00F60750">
        <w:t>in major cities</w:t>
      </w:r>
    </w:p>
    <w:p w14:paraId="3056B186" w14:textId="439FF039" w:rsidR="00B41917" w:rsidRDefault="00B41917" w:rsidP="007F2F30">
      <w:pPr>
        <w:pStyle w:val="ListBullet"/>
      </w:pPr>
      <w:r w:rsidRPr="008D569F">
        <w:rPr>
          <w:b/>
        </w:rPr>
        <w:t>Indigenous</w:t>
      </w:r>
      <w:r>
        <w:t xml:space="preserve"> OEST participants who had commenced in the trial had an opt-out rate </w:t>
      </w:r>
      <w:r w:rsidRPr="00D9315E">
        <w:t>of</w:t>
      </w:r>
      <w:r w:rsidRPr="00110FE4">
        <w:rPr>
          <w:b/>
        </w:rPr>
        <w:t xml:space="preserve"> </w:t>
      </w:r>
      <w:r>
        <w:rPr>
          <w:b/>
        </w:rPr>
        <w:t>7.8%</w:t>
      </w:r>
      <w:r w:rsidRPr="00D9315E">
        <w:t xml:space="preserve"> c</w:t>
      </w:r>
      <w:r>
        <w:t xml:space="preserve">ompared with </w:t>
      </w:r>
      <w:r>
        <w:rPr>
          <w:b/>
        </w:rPr>
        <w:t>5.5%</w:t>
      </w:r>
      <w:r w:rsidRPr="00D9315E">
        <w:t xml:space="preserve"> </w:t>
      </w:r>
      <w:r>
        <w:t>for non-</w:t>
      </w:r>
      <w:r w:rsidR="00D548D0">
        <w:t>I</w:t>
      </w:r>
      <w:r>
        <w:t>ndigenous participants.</w:t>
      </w:r>
    </w:p>
    <w:p w14:paraId="1EE347B8" w14:textId="77777777" w:rsidR="00803324" w:rsidRDefault="00B41917" w:rsidP="00B41917">
      <w:pPr>
        <w:rPr>
          <w:b/>
        </w:rPr>
      </w:pPr>
      <w:r w:rsidRPr="00F75070">
        <w:t>Except</w:t>
      </w:r>
      <w:r>
        <w:t xml:space="preserve"> for participants</w:t>
      </w:r>
      <w:r w:rsidRPr="000136A2">
        <w:t xml:space="preserve"> aged 50 years and o</w:t>
      </w:r>
      <w:r>
        <w:t>v</w:t>
      </w:r>
      <w:r w:rsidRPr="000136A2">
        <w:t>er</w:t>
      </w:r>
      <w:r>
        <w:t>, more participants opted out during the trial than before commencement</w:t>
      </w:r>
      <w:r w:rsidRPr="00BD2AC7">
        <w:t xml:space="preserve">. Those aged 50 years and over had a slightly higher </w:t>
      </w:r>
      <w:r>
        <w:t>opt-out rate prior to commencement</w:t>
      </w:r>
      <w:r w:rsidRPr="00BD2AC7">
        <w:t xml:space="preserve"> (</w:t>
      </w:r>
      <w:r w:rsidRPr="00514B20">
        <w:rPr>
          <w:b/>
        </w:rPr>
        <w:t>12</w:t>
      </w:r>
      <w:r>
        <w:rPr>
          <w:b/>
        </w:rPr>
        <w:t>%</w:t>
      </w:r>
      <w:r w:rsidRPr="00BD2AC7">
        <w:t xml:space="preserve">) than </w:t>
      </w:r>
      <w:r>
        <w:t xml:space="preserve">after commencement </w:t>
      </w:r>
      <w:r w:rsidRPr="00BD2AC7">
        <w:t>(</w:t>
      </w:r>
      <w:r w:rsidRPr="00514B20">
        <w:rPr>
          <w:b/>
        </w:rPr>
        <w:t>9.8</w:t>
      </w:r>
      <w:r>
        <w:rPr>
          <w:b/>
        </w:rPr>
        <w:t>%</w:t>
      </w:r>
      <w:r w:rsidRPr="00BD2AC7">
        <w:t>).</w:t>
      </w:r>
    </w:p>
    <w:p w14:paraId="763CA4F4" w14:textId="10431957" w:rsidR="000E1565" w:rsidRPr="00F71A22" w:rsidRDefault="000E1565" w:rsidP="0006562C">
      <w:pPr>
        <w:pStyle w:val="TableCaption"/>
      </w:pPr>
      <w:bookmarkStart w:id="102" w:name="_Toc67042661"/>
      <w:r w:rsidRPr="00F71A22">
        <w:lastRenderedPageBreak/>
        <w:t>Table 3.</w:t>
      </w:r>
      <w:r w:rsidR="007C3A96" w:rsidRPr="00F71A22">
        <w:t>1</w:t>
      </w:r>
      <w:r w:rsidRPr="00F71A22">
        <w:t xml:space="preserve"> Characteristics of OEST job seekers who opted out of the trial before or after commencement</w:t>
      </w:r>
      <w:bookmarkEnd w:id="98"/>
      <w:bookmarkEnd w:id="99"/>
      <w:bookmarkEnd w:id="100"/>
      <w:bookmarkEnd w:id="101"/>
      <w:bookmarkEnd w:id="102"/>
    </w:p>
    <w:tbl>
      <w:tblPr>
        <w:tblW w:w="9626" w:type="dxa"/>
        <w:tblLook w:val="04A0" w:firstRow="1" w:lastRow="0" w:firstColumn="1" w:lastColumn="0" w:noHBand="0" w:noVBand="1"/>
      </w:tblPr>
      <w:tblGrid>
        <w:gridCol w:w="2127"/>
        <w:gridCol w:w="1559"/>
        <w:gridCol w:w="1566"/>
        <w:gridCol w:w="1404"/>
        <w:gridCol w:w="1566"/>
        <w:gridCol w:w="1404"/>
      </w:tblGrid>
      <w:tr w:rsidR="000E1565" w:rsidRPr="00F71A22" w14:paraId="6F5D79BD" w14:textId="77777777" w:rsidTr="003F73C7">
        <w:trPr>
          <w:cantSplit/>
          <w:trHeight w:val="828"/>
          <w:tblHeader/>
        </w:trPr>
        <w:tc>
          <w:tcPr>
            <w:tcW w:w="2127" w:type="dxa"/>
            <w:shd w:val="clear" w:color="auto" w:fill="002D3F"/>
            <w:vAlign w:val="center"/>
            <w:hideMark/>
          </w:tcPr>
          <w:p w14:paraId="0F911051" w14:textId="77777777" w:rsidR="000E1565" w:rsidRPr="00F71A22" w:rsidRDefault="000E1565" w:rsidP="00C67346">
            <w:pPr>
              <w:pStyle w:val="TableText"/>
              <w:rPr>
                <w:b/>
                <w:bCs w:val="0"/>
              </w:rPr>
            </w:pPr>
            <w:r w:rsidRPr="00F71A22">
              <w:rPr>
                <w:b/>
                <w:bCs w:val="0"/>
              </w:rPr>
              <w:t>Characteristics</w:t>
            </w:r>
          </w:p>
        </w:tc>
        <w:tc>
          <w:tcPr>
            <w:tcW w:w="1559" w:type="dxa"/>
            <w:tcBorders>
              <w:right w:val="nil"/>
            </w:tcBorders>
            <w:shd w:val="clear" w:color="auto" w:fill="002D3F"/>
            <w:vAlign w:val="center"/>
            <w:hideMark/>
          </w:tcPr>
          <w:p w14:paraId="4B2BA7A7" w14:textId="77777777" w:rsidR="000E1565" w:rsidRPr="00F71A22" w:rsidRDefault="000E1565" w:rsidP="00F5583A">
            <w:pPr>
              <w:pStyle w:val="TableText"/>
              <w:jc w:val="center"/>
              <w:rPr>
                <w:b/>
                <w:bCs w:val="0"/>
              </w:rPr>
            </w:pPr>
            <w:r w:rsidRPr="00F71A22">
              <w:rPr>
                <w:b/>
                <w:bCs w:val="0"/>
              </w:rPr>
              <w:t>Number of job seekers referred to OEST</w:t>
            </w:r>
          </w:p>
        </w:tc>
        <w:tc>
          <w:tcPr>
            <w:tcW w:w="1566" w:type="dxa"/>
            <w:tcBorders>
              <w:top w:val="single" w:sz="4" w:space="0" w:color="auto"/>
              <w:left w:val="nil"/>
              <w:bottom w:val="single" w:sz="8" w:space="0" w:color="auto"/>
              <w:right w:val="nil"/>
            </w:tcBorders>
            <w:shd w:val="clear" w:color="auto" w:fill="002D3F"/>
            <w:vAlign w:val="center"/>
            <w:hideMark/>
          </w:tcPr>
          <w:p w14:paraId="64CB7C4B" w14:textId="1FADF69D" w:rsidR="000E1565" w:rsidRPr="00F71A22" w:rsidRDefault="000E1565" w:rsidP="00F5583A">
            <w:pPr>
              <w:pStyle w:val="TableText"/>
              <w:jc w:val="center"/>
              <w:rPr>
                <w:b/>
                <w:bCs w:val="0"/>
              </w:rPr>
            </w:pPr>
            <w:r w:rsidRPr="00F71A22">
              <w:rPr>
                <w:b/>
                <w:bCs w:val="0"/>
              </w:rPr>
              <w:t>Number of opt-outs before</w:t>
            </w:r>
            <w:r w:rsidR="00803324">
              <w:rPr>
                <w:b/>
                <w:bCs w:val="0"/>
              </w:rPr>
              <w:t xml:space="preserve"> </w:t>
            </w:r>
            <w:r w:rsidRPr="00F71A22">
              <w:rPr>
                <w:b/>
                <w:bCs w:val="0"/>
              </w:rPr>
              <w:t>commencement</w:t>
            </w:r>
          </w:p>
        </w:tc>
        <w:tc>
          <w:tcPr>
            <w:tcW w:w="1404" w:type="dxa"/>
            <w:tcBorders>
              <w:top w:val="single" w:sz="4" w:space="0" w:color="auto"/>
              <w:left w:val="nil"/>
              <w:bottom w:val="single" w:sz="8" w:space="0" w:color="auto"/>
              <w:right w:val="nil"/>
            </w:tcBorders>
            <w:shd w:val="clear" w:color="auto" w:fill="002D3F"/>
            <w:vAlign w:val="center"/>
            <w:hideMark/>
          </w:tcPr>
          <w:p w14:paraId="6D6C4626" w14:textId="0BA04798" w:rsidR="000E1565" w:rsidRPr="00F71A22" w:rsidRDefault="000E1565" w:rsidP="00F5583A">
            <w:pPr>
              <w:pStyle w:val="TableText"/>
              <w:jc w:val="center"/>
              <w:rPr>
                <w:b/>
                <w:bCs w:val="0"/>
              </w:rPr>
            </w:pPr>
            <w:r w:rsidRPr="00F71A22">
              <w:rPr>
                <w:b/>
                <w:bCs w:val="0"/>
              </w:rPr>
              <w:t>Opt</w:t>
            </w:r>
            <w:r w:rsidR="00C67346" w:rsidRPr="00F71A22">
              <w:rPr>
                <w:b/>
                <w:bCs w:val="0"/>
              </w:rPr>
              <w:t>-</w:t>
            </w:r>
            <w:r w:rsidRPr="00F71A22">
              <w:rPr>
                <w:b/>
                <w:bCs w:val="0"/>
              </w:rPr>
              <w:t>out rate (%)</w:t>
            </w:r>
          </w:p>
        </w:tc>
        <w:tc>
          <w:tcPr>
            <w:tcW w:w="1566" w:type="dxa"/>
            <w:tcBorders>
              <w:top w:val="single" w:sz="4" w:space="0" w:color="auto"/>
              <w:left w:val="nil"/>
              <w:bottom w:val="single" w:sz="8" w:space="0" w:color="auto"/>
              <w:right w:val="nil"/>
            </w:tcBorders>
            <w:shd w:val="clear" w:color="auto" w:fill="002D3F"/>
            <w:vAlign w:val="center"/>
            <w:hideMark/>
          </w:tcPr>
          <w:p w14:paraId="6DCC1823" w14:textId="77777777" w:rsidR="000E1565" w:rsidRPr="00F71A22" w:rsidRDefault="000E1565" w:rsidP="00F5583A">
            <w:pPr>
              <w:pStyle w:val="TableText"/>
              <w:jc w:val="center"/>
              <w:rPr>
                <w:b/>
                <w:bCs w:val="0"/>
              </w:rPr>
            </w:pPr>
            <w:r w:rsidRPr="00F71A22">
              <w:rPr>
                <w:b/>
                <w:bCs w:val="0"/>
              </w:rPr>
              <w:t>Number of opt-outs after commencement</w:t>
            </w:r>
          </w:p>
        </w:tc>
        <w:tc>
          <w:tcPr>
            <w:tcW w:w="1404" w:type="dxa"/>
            <w:tcBorders>
              <w:top w:val="single" w:sz="4" w:space="0" w:color="auto"/>
              <w:left w:val="nil"/>
              <w:bottom w:val="single" w:sz="8" w:space="0" w:color="auto"/>
              <w:right w:val="nil"/>
            </w:tcBorders>
            <w:shd w:val="clear" w:color="auto" w:fill="002D3F"/>
            <w:vAlign w:val="center"/>
            <w:hideMark/>
          </w:tcPr>
          <w:p w14:paraId="49C6EC21" w14:textId="2A1047D6" w:rsidR="000E1565" w:rsidRPr="00F71A22" w:rsidRDefault="000E1565" w:rsidP="00F5583A">
            <w:pPr>
              <w:pStyle w:val="TableText"/>
              <w:jc w:val="center"/>
              <w:rPr>
                <w:b/>
                <w:bCs w:val="0"/>
              </w:rPr>
            </w:pPr>
            <w:r w:rsidRPr="00F71A22">
              <w:rPr>
                <w:b/>
                <w:bCs w:val="0"/>
              </w:rPr>
              <w:t>Opt</w:t>
            </w:r>
            <w:r w:rsidR="00C67346" w:rsidRPr="00F71A22">
              <w:rPr>
                <w:b/>
                <w:bCs w:val="0"/>
              </w:rPr>
              <w:t>-</w:t>
            </w:r>
            <w:r w:rsidRPr="00F71A22">
              <w:rPr>
                <w:b/>
                <w:bCs w:val="0"/>
              </w:rPr>
              <w:t>out rate (%)</w:t>
            </w:r>
          </w:p>
        </w:tc>
      </w:tr>
      <w:tr w:rsidR="003F73C7" w:rsidRPr="00F71A22" w14:paraId="2F73FD4F" w14:textId="77777777" w:rsidTr="00DE2392">
        <w:trPr>
          <w:trHeight w:val="283"/>
        </w:trPr>
        <w:tc>
          <w:tcPr>
            <w:tcW w:w="2127" w:type="dxa"/>
            <w:tcBorders>
              <w:left w:val="nil"/>
              <w:bottom w:val="nil"/>
              <w:right w:val="nil"/>
            </w:tcBorders>
            <w:shd w:val="clear" w:color="auto" w:fill="D7D8D8"/>
            <w:noWrap/>
            <w:vAlign w:val="center"/>
            <w:hideMark/>
          </w:tcPr>
          <w:p w14:paraId="70143A00" w14:textId="77777777" w:rsidR="003F73C7" w:rsidRPr="00F71A22" w:rsidRDefault="003F73C7">
            <w:pPr>
              <w:pStyle w:val="TableText"/>
            </w:pPr>
            <w:r w:rsidRPr="00F71A22">
              <w:t>Gender</w:t>
            </w:r>
          </w:p>
        </w:tc>
        <w:tc>
          <w:tcPr>
            <w:tcW w:w="1559" w:type="dxa"/>
            <w:tcBorders>
              <w:left w:val="nil"/>
              <w:bottom w:val="nil"/>
              <w:right w:val="nil"/>
            </w:tcBorders>
            <w:shd w:val="clear" w:color="auto" w:fill="D7D8D8"/>
            <w:noWrap/>
            <w:vAlign w:val="bottom"/>
            <w:hideMark/>
          </w:tcPr>
          <w:p w14:paraId="5301F308" w14:textId="54EBE101" w:rsidR="003F73C7" w:rsidRPr="00F71A22" w:rsidRDefault="003F73C7" w:rsidP="00DE2392">
            <w:pPr>
              <w:pStyle w:val="TableText"/>
              <w:jc w:val="right"/>
            </w:pPr>
            <w:r w:rsidRPr="0051366F">
              <w:rPr>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0CD55C71" w14:textId="7823C4D8"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7048090E" w14:textId="0F437860"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16904C29" w14:textId="2A6DAF8D"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38C66DED" w14:textId="4CF4824C" w:rsidR="003F73C7" w:rsidRPr="00F71A22" w:rsidRDefault="003F73C7" w:rsidP="00DE2392">
            <w:pPr>
              <w:pStyle w:val="TableText"/>
              <w:jc w:val="right"/>
              <w:rPr>
                <w:rFonts w:ascii="Times New Roman" w:hAnsi="Times New Roman"/>
              </w:rPr>
            </w:pPr>
            <w:r w:rsidRPr="0051366F">
              <w:rPr>
                <w:color w:val="D9D9D9" w:themeColor="background1" w:themeShade="D9"/>
              </w:rPr>
              <w:t>—</w:t>
            </w:r>
          </w:p>
        </w:tc>
      </w:tr>
      <w:tr w:rsidR="000E1565" w:rsidRPr="00F71A22" w14:paraId="5BDBE98E" w14:textId="77777777" w:rsidTr="003F73C7">
        <w:trPr>
          <w:trHeight w:val="283"/>
        </w:trPr>
        <w:tc>
          <w:tcPr>
            <w:tcW w:w="2127" w:type="dxa"/>
            <w:tcBorders>
              <w:top w:val="nil"/>
              <w:left w:val="nil"/>
              <w:bottom w:val="nil"/>
              <w:right w:val="nil"/>
            </w:tcBorders>
            <w:shd w:val="clear" w:color="auto" w:fill="auto"/>
            <w:noWrap/>
            <w:vAlign w:val="bottom"/>
            <w:hideMark/>
          </w:tcPr>
          <w:p w14:paraId="0FC97BDF" w14:textId="77777777" w:rsidR="000E1565" w:rsidRPr="00F71A22" w:rsidRDefault="000E1565">
            <w:pPr>
              <w:pStyle w:val="TableText"/>
            </w:pPr>
            <w:r w:rsidRPr="00F71A22">
              <w:t xml:space="preserve">  Female</w:t>
            </w:r>
          </w:p>
        </w:tc>
        <w:tc>
          <w:tcPr>
            <w:tcW w:w="1559" w:type="dxa"/>
            <w:tcBorders>
              <w:top w:val="nil"/>
              <w:left w:val="nil"/>
              <w:bottom w:val="nil"/>
              <w:right w:val="nil"/>
            </w:tcBorders>
            <w:shd w:val="clear" w:color="auto" w:fill="auto"/>
            <w:noWrap/>
            <w:vAlign w:val="bottom"/>
            <w:hideMark/>
          </w:tcPr>
          <w:p w14:paraId="3FA1C805" w14:textId="77777777" w:rsidR="000E1565" w:rsidRPr="00F71A22" w:rsidRDefault="000E1565">
            <w:pPr>
              <w:pStyle w:val="TableText"/>
              <w:jc w:val="right"/>
            </w:pPr>
            <w:r w:rsidRPr="00F71A22">
              <w:t>8,955</w:t>
            </w:r>
          </w:p>
        </w:tc>
        <w:tc>
          <w:tcPr>
            <w:tcW w:w="1566" w:type="dxa"/>
            <w:tcBorders>
              <w:top w:val="nil"/>
              <w:left w:val="nil"/>
              <w:bottom w:val="nil"/>
              <w:right w:val="nil"/>
            </w:tcBorders>
            <w:shd w:val="clear" w:color="auto" w:fill="auto"/>
            <w:noWrap/>
            <w:vAlign w:val="bottom"/>
            <w:hideMark/>
          </w:tcPr>
          <w:p w14:paraId="3C832F86" w14:textId="77777777" w:rsidR="000E1565" w:rsidRPr="00F71A22" w:rsidRDefault="000E1565">
            <w:pPr>
              <w:pStyle w:val="TableText"/>
              <w:jc w:val="right"/>
            </w:pPr>
            <w:r w:rsidRPr="00F71A22">
              <w:t>308</w:t>
            </w:r>
          </w:p>
        </w:tc>
        <w:tc>
          <w:tcPr>
            <w:tcW w:w="1404" w:type="dxa"/>
            <w:tcBorders>
              <w:top w:val="nil"/>
              <w:left w:val="nil"/>
              <w:bottom w:val="nil"/>
              <w:right w:val="nil"/>
            </w:tcBorders>
            <w:shd w:val="clear" w:color="auto" w:fill="auto"/>
            <w:noWrap/>
            <w:vAlign w:val="bottom"/>
            <w:hideMark/>
          </w:tcPr>
          <w:p w14:paraId="0FC2FB01" w14:textId="77777777" w:rsidR="000E1565" w:rsidRPr="00F71A22" w:rsidRDefault="000E1565">
            <w:pPr>
              <w:pStyle w:val="TableText"/>
              <w:jc w:val="right"/>
            </w:pPr>
            <w:r w:rsidRPr="00F71A22">
              <w:t>3.4</w:t>
            </w:r>
          </w:p>
        </w:tc>
        <w:tc>
          <w:tcPr>
            <w:tcW w:w="1566" w:type="dxa"/>
            <w:tcBorders>
              <w:top w:val="nil"/>
              <w:left w:val="nil"/>
              <w:bottom w:val="nil"/>
              <w:right w:val="nil"/>
            </w:tcBorders>
            <w:shd w:val="clear" w:color="auto" w:fill="auto"/>
            <w:noWrap/>
            <w:vAlign w:val="bottom"/>
            <w:hideMark/>
          </w:tcPr>
          <w:p w14:paraId="4624083D" w14:textId="77777777" w:rsidR="000E1565" w:rsidRPr="00F71A22" w:rsidRDefault="000E1565">
            <w:pPr>
              <w:pStyle w:val="TableText"/>
              <w:jc w:val="right"/>
            </w:pPr>
            <w:r w:rsidRPr="00F71A22">
              <w:t>453</w:t>
            </w:r>
          </w:p>
        </w:tc>
        <w:tc>
          <w:tcPr>
            <w:tcW w:w="1404" w:type="dxa"/>
            <w:tcBorders>
              <w:top w:val="nil"/>
              <w:left w:val="nil"/>
              <w:bottom w:val="nil"/>
              <w:right w:val="nil"/>
            </w:tcBorders>
            <w:shd w:val="clear" w:color="auto" w:fill="auto"/>
            <w:noWrap/>
            <w:vAlign w:val="bottom"/>
            <w:hideMark/>
          </w:tcPr>
          <w:p w14:paraId="6F5CF2CF" w14:textId="77777777" w:rsidR="000E1565" w:rsidRPr="00F71A22" w:rsidRDefault="000E1565">
            <w:pPr>
              <w:pStyle w:val="TableText"/>
              <w:jc w:val="right"/>
            </w:pPr>
            <w:r w:rsidRPr="00F71A22">
              <w:t>5.1</w:t>
            </w:r>
          </w:p>
        </w:tc>
      </w:tr>
      <w:tr w:rsidR="000E1565" w:rsidRPr="00F71A22" w14:paraId="10A9AA03" w14:textId="77777777" w:rsidTr="003F73C7">
        <w:trPr>
          <w:trHeight w:val="283"/>
        </w:trPr>
        <w:tc>
          <w:tcPr>
            <w:tcW w:w="2127" w:type="dxa"/>
            <w:tcBorders>
              <w:top w:val="nil"/>
              <w:left w:val="nil"/>
              <w:bottom w:val="nil"/>
              <w:right w:val="nil"/>
            </w:tcBorders>
            <w:shd w:val="clear" w:color="auto" w:fill="auto"/>
            <w:noWrap/>
            <w:vAlign w:val="bottom"/>
            <w:hideMark/>
          </w:tcPr>
          <w:p w14:paraId="1E9BDE41" w14:textId="77777777" w:rsidR="000E1565" w:rsidRPr="00F71A22" w:rsidRDefault="000E1565">
            <w:pPr>
              <w:pStyle w:val="TableText"/>
            </w:pPr>
            <w:r w:rsidRPr="00F71A22">
              <w:t xml:space="preserve">  Male </w:t>
            </w:r>
          </w:p>
        </w:tc>
        <w:tc>
          <w:tcPr>
            <w:tcW w:w="1559" w:type="dxa"/>
            <w:tcBorders>
              <w:top w:val="nil"/>
              <w:left w:val="nil"/>
              <w:bottom w:val="nil"/>
              <w:right w:val="nil"/>
            </w:tcBorders>
            <w:shd w:val="clear" w:color="auto" w:fill="auto"/>
            <w:noWrap/>
            <w:vAlign w:val="bottom"/>
            <w:hideMark/>
          </w:tcPr>
          <w:p w14:paraId="5CAA2C24" w14:textId="77777777" w:rsidR="000E1565" w:rsidRPr="00F71A22" w:rsidRDefault="000E1565">
            <w:pPr>
              <w:pStyle w:val="TableText"/>
              <w:jc w:val="right"/>
            </w:pPr>
            <w:r w:rsidRPr="00F71A22">
              <w:t>12,538</w:t>
            </w:r>
          </w:p>
        </w:tc>
        <w:tc>
          <w:tcPr>
            <w:tcW w:w="1566" w:type="dxa"/>
            <w:tcBorders>
              <w:top w:val="nil"/>
              <w:left w:val="nil"/>
              <w:bottom w:val="nil"/>
              <w:right w:val="nil"/>
            </w:tcBorders>
            <w:shd w:val="clear" w:color="auto" w:fill="auto"/>
            <w:noWrap/>
            <w:vAlign w:val="bottom"/>
            <w:hideMark/>
          </w:tcPr>
          <w:p w14:paraId="076C5AB1" w14:textId="77777777" w:rsidR="000E1565" w:rsidRPr="00F71A22" w:rsidRDefault="000E1565">
            <w:pPr>
              <w:pStyle w:val="TableText"/>
              <w:jc w:val="right"/>
            </w:pPr>
            <w:r w:rsidRPr="00F71A22">
              <w:t>502</w:t>
            </w:r>
          </w:p>
        </w:tc>
        <w:tc>
          <w:tcPr>
            <w:tcW w:w="1404" w:type="dxa"/>
            <w:tcBorders>
              <w:top w:val="nil"/>
              <w:left w:val="nil"/>
              <w:bottom w:val="nil"/>
              <w:right w:val="nil"/>
            </w:tcBorders>
            <w:shd w:val="clear" w:color="auto" w:fill="auto"/>
            <w:noWrap/>
            <w:vAlign w:val="bottom"/>
            <w:hideMark/>
          </w:tcPr>
          <w:p w14:paraId="62DFE435" w14:textId="77777777" w:rsidR="000E1565" w:rsidRPr="00F71A22" w:rsidRDefault="000E1565">
            <w:pPr>
              <w:pStyle w:val="TableText"/>
              <w:jc w:val="right"/>
            </w:pPr>
            <w:r w:rsidRPr="00F71A22">
              <w:t>4.0</w:t>
            </w:r>
          </w:p>
        </w:tc>
        <w:tc>
          <w:tcPr>
            <w:tcW w:w="1566" w:type="dxa"/>
            <w:tcBorders>
              <w:top w:val="nil"/>
              <w:left w:val="nil"/>
              <w:bottom w:val="nil"/>
              <w:right w:val="nil"/>
            </w:tcBorders>
            <w:shd w:val="clear" w:color="auto" w:fill="auto"/>
            <w:noWrap/>
            <w:vAlign w:val="bottom"/>
            <w:hideMark/>
          </w:tcPr>
          <w:p w14:paraId="4242B007" w14:textId="77777777" w:rsidR="000E1565" w:rsidRPr="00F71A22" w:rsidRDefault="000E1565">
            <w:pPr>
              <w:pStyle w:val="TableText"/>
              <w:jc w:val="right"/>
            </w:pPr>
            <w:r w:rsidRPr="00F71A22">
              <w:t>738</w:t>
            </w:r>
          </w:p>
        </w:tc>
        <w:tc>
          <w:tcPr>
            <w:tcW w:w="1404" w:type="dxa"/>
            <w:tcBorders>
              <w:top w:val="nil"/>
              <w:left w:val="nil"/>
              <w:bottom w:val="nil"/>
              <w:right w:val="nil"/>
            </w:tcBorders>
            <w:shd w:val="clear" w:color="auto" w:fill="auto"/>
            <w:noWrap/>
            <w:vAlign w:val="bottom"/>
            <w:hideMark/>
          </w:tcPr>
          <w:p w14:paraId="1367D02A" w14:textId="77777777" w:rsidR="000E1565" w:rsidRPr="00F71A22" w:rsidRDefault="000E1565">
            <w:pPr>
              <w:pStyle w:val="TableText"/>
              <w:jc w:val="right"/>
            </w:pPr>
            <w:r w:rsidRPr="00F71A22">
              <w:t>5.9</w:t>
            </w:r>
          </w:p>
        </w:tc>
      </w:tr>
      <w:tr w:rsidR="000E1565" w:rsidRPr="00F71A22" w14:paraId="3F2EC6D7" w14:textId="77777777" w:rsidTr="003F73C7">
        <w:trPr>
          <w:trHeight w:val="283"/>
        </w:trPr>
        <w:tc>
          <w:tcPr>
            <w:tcW w:w="2127" w:type="dxa"/>
            <w:tcBorders>
              <w:top w:val="nil"/>
              <w:left w:val="nil"/>
              <w:bottom w:val="nil"/>
              <w:right w:val="nil"/>
            </w:tcBorders>
            <w:shd w:val="clear" w:color="auto" w:fill="D7D8D8"/>
            <w:noWrap/>
            <w:vAlign w:val="bottom"/>
            <w:hideMark/>
          </w:tcPr>
          <w:p w14:paraId="57EBE4E5" w14:textId="77777777" w:rsidR="000E1565" w:rsidRPr="00F71A22" w:rsidRDefault="000E1565">
            <w:pPr>
              <w:pStyle w:val="TableText"/>
            </w:pPr>
            <w:r w:rsidRPr="00F71A22">
              <w:t>Education</w:t>
            </w:r>
          </w:p>
        </w:tc>
        <w:tc>
          <w:tcPr>
            <w:tcW w:w="1559" w:type="dxa"/>
            <w:tcBorders>
              <w:top w:val="nil"/>
              <w:left w:val="nil"/>
              <w:bottom w:val="nil"/>
              <w:right w:val="nil"/>
            </w:tcBorders>
            <w:shd w:val="clear" w:color="auto" w:fill="D7D8D8"/>
            <w:noWrap/>
            <w:vAlign w:val="bottom"/>
            <w:hideMark/>
          </w:tcPr>
          <w:p w14:paraId="0FB8FAB0" w14:textId="77777777" w:rsidR="000E1565" w:rsidRPr="00F71A22" w:rsidRDefault="000E1565" w:rsidP="00DE2392">
            <w:pPr>
              <w:pStyle w:val="TableText"/>
              <w:jc w:val="right"/>
            </w:pPr>
          </w:p>
        </w:tc>
        <w:tc>
          <w:tcPr>
            <w:tcW w:w="1566" w:type="dxa"/>
            <w:tcBorders>
              <w:top w:val="nil"/>
              <w:left w:val="nil"/>
              <w:bottom w:val="nil"/>
              <w:right w:val="nil"/>
            </w:tcBorders>
            <w:shd w:val="clear" w:color="auto" w:fill="D7D8D8"/>
            <w:noWrap/>
            <w:vAlign w:val="bottom"/>
            <w:hideMark/>
          </w:tcPr>
          <w:p w14:paraId="4675EF14" w14:textId="77777777" w:rsidR="000E1565" w:rsidRPr="00F71A22" w:rsidRDefault="000E1565" w:rsidP="00DE2392">
            <w:pPr>
              <w:pStyle w:val="TableText"/>
              <w:jc w:val="right"/>
              <w:rPr>
                <w:rFonts w:ascii="Times New Roman" w:hAnsi="Times New Roman"/>
              </w:rPr>
            </w:pPr>
          </w:p>
        </w:tc>
        <w:tc>
          <w:tcPr>
            <w:tcW w:w="1404" w:type="dxa"/>
            <w:tcBorders>
              <w:top w:val="nil"/>
              <w:left w:val="nil"/>
              <w:bottom w:val="nil"/>
              <w:right w:val="nil"/>
            </w:tcBorders>
            <w:shd w:val="clear" w:color="auto" w:fill="D7D8D8"/>
            <w:noWrap/>
            <w:vAlign w:val="bottom"/>
            <w:hideMark/>
          </w:tcPr>
          <w:p w14:paraId="3561B47F" w14:textId="77777777" w:rsidR="000E1565" w:rsidRPr="00F71A22" w:rsidRDefault="000E1565" w:rsidP="00DE2392">
            <w:pPr>
              <w:pStyle w:val="TableText"/>
              <w:jc w:val="right"/>
              <w:rPr>
                <w:rFonts w:ascii="Times New Roman" w:hAnsi="Times New Roman"/>
              </w:rPr>
            </w:pPr>
          </w:p>
        </w:tc>
        <w:tc>
          <w:tcPr>
            <w:tcW w:w="1566" w:type="dxa"/>
            <w:tcBorders>
              <w:top w:val="nil"/>
              <w:left w:val="nil"/>
              <w:bottom w:val="nil"/>
              <w:right w:val="nil"/>
            </w:tcBorders>
            <w:shd w:val="clear" w:color="auto" w:fill="D7D8D8"/>
            <w:noWrap/>
            <w:vAlign w:val="bottom"/>
            <w:hideMark/>
          </w:tcPr>
          <w:p w14:paraId="00564B00" w14:textId="77777777" w:rsidR="000E1565" w:rsidRPr="00F71A22" w:rsidRDefault="000E1565" w:rsidP="00DE2392">
            <w:pPr>
              <w:pStyle w:val="TableText"/>
              <w:jc w:val="right"/>
              <w:rPr>
                <w:rFonts w:ascii="Times New Roman" w:hAnsi="Times New Roman"/>
              </w:rPr>
            </w:pPr>
          </w:p>
        </w:tc>
        <w:tc>
          <w:tcPr>
            <w:tcW w:w="1404" w:type="dxa"/>
            <w:tcBorders>
              <w:top w:val="nil"/>
              <w:left w:val="nil"/>
              <w:bottom w:val="nil"/>
              <w:right w:val="nil"/>
            </w:tcBorders>
            <w:shd w:val="clear" w:color="auto" w:fill="D7D8D8"/>
            <w:noWrap/>
            <w:vAlign w:val="bottom"/>
            <w:hideMark/>
          </w:tcPr>
          <w:p w14:paraId="0987F0D5" w14:textId="77777777" w:rsidR="000E1565" w:rsidRPr="00F71A22" w:rsidRDefault="000E1565" w:rsidP="00DE2392">
            <w:pPr>
              <w:pStyle w:val="TableText"/>
              <w:jc w:val="right"/>
              <w:rPr>
                <w:rFonts w:ascii="Times New Roman" w:hAnsi="Times New Roman"/>
              </w:rPr>
            </w:pPr>
          </w:p>
        </w:tc>
      </w:tr>
      <w:tr w:rsidR="000E1565" w:rsidRPr="00F71A22" w14:paraId="5AD8B73B" w14:textId="77777777" w:rsidTr="003F73C7">
        <w:trPr>
          <w:trHeight w:val="283"/>
        </w:trPr>
        <w:tc>
          <w:tcPr>
            <w:tcW w:w="2127" w:type="dxa"/>
            <w:tcBorders>
              <w:top w:val="nil"/>
              <w:left w:val="nil"/>
              <w:bottom w:val="nil"/>
              <w:right w:val="nil"/>
            </w:tcBorders>
            <w:shd w:val="clear" w:color="auto" w:fill="auto"/>
            <w:noWrap/>
            <w:vAlign w:val="bottom"/>
            <w:hideMark/>
          </w:tcPr>
          <w:p w14:paraId="008EF573" w14:textId="77777777" w:rsidR="000E1565" w:rsidRPr="00F71A22" w:rsidRDefault="000E1565">
            <w:pPr>
              <w:pStyle w:val="TableText"/>
            </w:pPr>
            <w:r w:rsidRPr="00F71A22">
              <w:t xml:space="preserve">  Under Year 12</w:t>
            </w:r>
          </w:p>
        </w:tc>
        <w:tc>
          <w:tcPr>
            <w:tcW w:w="1559" w:type="dxa"/>
            <w:tcBorders>
              <w:top w:val="nil"/>
              <w:left w:val="nil"/>
              <w:bottom w:val="nil"/>
              <w:right w:val="nil"/>
            </w:tcBorders>
            <w:shd w:val="clear" w:color="auto" w:fill="auto"/>
            <w:noWrap/>
            <w:vAlign w:val="bottom"/>
            <w:hideMark/>
          </w:tcPr>
          <w:p w14:paraId="076AEEAF" w14:textId="77777777" w:rsidR="000E1565" w:rsidRPr="00F71A22" w:rsidRDefault="000E1565">
            <w:pPr>
              <w:pStyle w:val="TableText"/>
              <w:jc w:val="right"/>
            </w:pPr>
            <w:r w:rsidRPr="00F71A22">
              <w:t>2,621</w:t>
            </w:r>
          </w:p>
        </w:tc>
        <w:tc>
          <w:tcPr>
            <w:tcW w:w="1566" w:type="dxa"/>
            <w:tcBorders>
              <w:top w:val="nil"/>
              <w:left w:val="nil"/>
              <w:bottom w:val="nil"/>
              <w:right w:val="nil"/>
            </w:tcBorders>
            <w:shd w:val="clear" w:color="auto" w:fill="auto"/>
            <w:noWrap/>
            <w:vAlign w:val="bottom"/>
            <w:hideMark/>
          </w:tcPr>
          <w:p w14:paraId="2C536201" w14:textId="77777777" w:rsidR="000E1565" w:rsidRPr="00F71A22" w:rsidRDefault="000E1565">
            <w:pPr>
              <w:pStyle w:val="TableText"/>
              <w:jc w:val="right"/>
            </w:pPr>
            <w:r w:rsidRPr="00F71A22">
              <w:t>200</w:t>
            </w:r>
          </w:p>
        </w:tc>
        <w:tc>
          <w:tcPr>
            <w:tcW w:w="1404" w:type="dxa"/>
            <w:tcBorders>
              <w:top w:val="nil"/>
              <w:left w:val="nil"/>
              <w:bottom w:val="nil"/>
              <w:right w:val="nil"/>
            </w:tcBorders>
            <w:shd w:val="clear" w:color="auto" w:fill="auto"/>
            <w:noWrap/>
            <w:vAlign w:val="bottom"/>
            <w:hideMark/>
          </w:tcPr>
          <w:p w14:paraId="15E388B6" w14:textId="77777777" w:rsidR="000E1565" w:rsidRPr="00F71A22" w:rsidRDefault="000E1565">
            <w:pPr>
              <w:pStyle w:val="TableText"/>
              <w:jc w:val="right"/>
            </w:pPr>
            <w:r w:rsidRPr="00F71A22">
              <w:t>7.6</w:t>
            </w:r>
          </w:p>
        </w:tc>
        <w:tc>
          <w:tcPr>
            <w:tcW w:w="1566" w:type="dxa"/>
            <w:tcBorders>
              <w:top w:val="nil"/>
              <w:left w:val="nil"/>
              <w:bottom w:val="nil"/>
              <w:right w:val="nil"/>
            </w:tcBorders>
            <w:shd w:val="clear" w:color="auto" w:fill="auto"/>
            <w:noWrap/>
            <w:vAlign w:val="bottom"/>
            <w:hideMark/>
          </w:tcPr>
          <w:p w14:paraId="55005CC2" w14:textId="77777777" w:rsidR="000E1565" w:rsidRPr="00F71A22" w:rsidRDefault="000E1565">
            <w:pPr>
              <w:pStyle w:val="TableText"/>
              <w:jc w:val="right"/>
            </w:pPr>
            <w:r w:rsidRPr="00F71A22">
              <w:t>212</w:t>
            </w:r>
          </w:p>
        </w:tc>
        <w:tc>
          <w:tcPr>
            <w:tcW w:w="1404" w:type="dxa"/>
            <w:tcBorders>
              <w:top w:val="nil"/>
              <w:left w:val="nil"/>
              <w:bottom w:val="nil"/>
              <w:right w:val="nil"/>
            </w:tcBorders>
            <w:shd w:val="clear" w:color="auto" w:fill="auto"/>
            <w:noWrap/>
            <w:vAlign w:val="bottom"/>
            <w:hideMark/>
          </w:tcPr>
          <w:p w14:paraId="09F36E3C" w14:textId="77777777" w:rsidR="000E1565" w:rsidRPr="00F71A22" w:rsidRDefault="000E1565">
            <w:pPr>
              <w:pStyle w:val="TableText"/>
              <w:jc w:val="right"/>
            </w:pPr>
            <w:r w:rsidRPr="00F71A22">
              <w:t>8.1</w:t>
            </w:r>
          </w:p>
        </w:tc>
      </w:tr>
      <w:tr w:rsidR="000E1565" w:rsidRPr="00F71A22" w14:paraId="765F60C4" w14:textId="77777777" w:rsidTr="003F73C7">
        <w:trPr>
          <w:trHeight w:val="283"/>
        </w:trPr>
        <w:tc>
          <w:tcPr>
            <w:tcW w:w="2127" w:type="dxa"/>
            <w:tcBorders>
              <w:top w:val="nil"/>
              <w:left w:val="nil"/>
              <w:bottom w:val="nil"/>
              <w:right w:val="nil"/>
            </w:tcBorders>
            <w:shd w:val="clear" w:color="auto" w:fill="auto"/>
            <w:noWrap/>
            <w:vAlign w:val="bottom"/>
            <w:hideMark/>
          </w:tcPr>
          <w:p w14:paraId="46FA3E8E" w14:textId="77777777" w:rsidR="000E1565" w:rsidRPr="00F71A22" w:rsidRDefault="000E1565">
            <w:pPr>
              <w:pStyle w:val="TableText"/>
            </w:pPr>
            <w:r w:rsidRPr="00F71A22">
              <w:t xml:space="preserve">  Year 12 and above</w:t>
            </w:r>
          </w:p>
        </w:tc>
        <w:tc>
          <w:tcPr>
            <w:tcW w:w="1559" w:type="dxa"/>
            <w:tcBorders>
              <w:top w:val="nil"/>
              <w:left w:val="nil"/>
              <w:bottom w:val="nil"/>
              <w:right w:val="nil"/>
            </w:tcBorders>
            <w:shd w:val="clear" w:color="auto" w:fill="auto"/>
            <w:noWrap/>
            <w:vAlign w:val="bottom"/>
            <w:hideMark/>
          </w:tcPr>
          <w:p w14:paraId="093EAB8D" w14:textId="77777777" w:rsidR="000E1565" w:rsidRPr="00F71A22" w:rsidRDefault="000E1565">
            <w:pPr>
              <w:pStyle w:val="TableText"/>
              <w:jc w:val="right"/>
            </w:pPr>
            <w:r w:rsidRPr="00F71A22">
              <w:t>18,872</w:t>
            </w:r>
          </w:p>
        </w:tc>
        <w:tc>
          <w:tcPr>
            <w:tcW w:w="1566" w:type="dxa"/>
            <w:tcBorders>
              <w:top w:val="nil"/>
              <w:left w:val="nil"/>
              <w:bottom w:val="nil"/>
              <w:right w:val="nil"/>
            </w:tcBorders>
            <w:shd w:val="clear" w:color="auto" w:fill="auto"/>
            <w:noWrap/>
            <w:vAlign w:val="bottom"/>
            <w:hideMark/>
          </w:tcPr>
          <w:p w14:paraId="4447EB28" w14:textId="77777777" w:rsidR="000E1565" w:rsidRPr="00F71A22" w:rsidRDefault="000E1565">
            <w:pPr>
              <w:pStyle w:val="TableText"/>
              <w:jc w:val="right"/>
            </w:pPr>
            <w:r w:rsidRPr="00F71A22">
              <w:t>610</w:t>
            </w:r>
          </w:p>
        </w:tc>
        <w:tc>
          <w:tcPr>
            <w:tcW w:w="1404" w:type="dxa"/>
            <w:tcBorders>
              <w:top w:val="nil"/>
              <w:left w:val="nil"/>
              <w:bottom w:val="nil"/>
              <w:right w:val="nil"/>
            </w:tcBorders>
            <w:shd w:val="clear" w:color="auto" w:fill="auto"/>
            <w:noWrap/>
            <w:vAlign w:val="bottom"/>
            <w:hideMark/>
          </w:tcPr>
          <w:p w14:paraId="16153A72" w14:textId="77777777" w:rsidR="000E1565" w:rsidRPr="00F71A22" w:rsidRDefault="000E1565">
            <w:pPr>
              <w:pStyle w:val="TableText"/>
              <w:jc w:val="right"/>
            </w:pPr>
            <w:r w:rsidRPr="00F71A22">
              <w:t>3.2</w:t>
            </w:r>
          </w:p>
        </w:tc>
        <w:tc>
          <w:tcPr>
            <w:tcW w:w="1566" w:type="dxa"/>
            <w:tcBorders>
              <w:top w:val="nil"/>
              <w:left w:val="nil"/>
              <w:bottom w:val="nil"/>
              <w:right w:val="nil"/>
            </w:tcBorders>
            <w:shd w:val="clear" w:color="auto" w:fill="auto"/>
            <w:noWrap/>
            <w:vAlign w:val="bottom"/>
            <w:hideMark/>
          </w:tcPr>
          <w:p w14:paraId="476FE3E2" w14:textId="77777777" w:rsidR="000E1565" w:rsidRPr="00F71A22" w:rsidRDefault="000E1565">
            <w:pPr>
              <w:pStyle w:val="TableText"/>
              <w:jc w:val="right"/>
            </w:pPr>
            <w:r w:rsidRPr="00F71A22">
              <w:t>979</w:t>
            </w:r>
          </w:p>
        </w:tc>
        <w:tc>
          <w:tcPr>
            <w:tcW w:w="1404" w:type="dxa"/>
            <w:tcBorders>
              <w:top w:val="nil"/>
              <w:left w:val="nil"/>
              <w:bottom w:val="nil"/>
              <w:right w:val="nil"/>
            </w:tcBorders>
            <w:shd w:val="clear" w:color="auto" w:fill="auto"/>
            <w:noWrap/>
            <w:vAlign w:val="bottom"/>
            <w:hideMark/>
          </w:tcPr>
          <w:p w14:paraId="2A861EFC" w14:textId="77777777" w:rsidR="000E1565" w:rsidRPr="00F71A22" w:rsidRDefault="000E1565">
            <w:pPr>
              <w:pStyle w:val="TableText"/>
              <w:jc w:val="right"/>
            </w:pPr>
            <w:r w:rsidRPr="00F71A22">
              <w:t>5.2</w:t>
            </w:r>
          </w:p>
        </w:tc>
      </w:tr>
      <w:tr w:rsidR="000E1565" w:rsidRPr="00F71A22" w14:paraId="1F876F0E" w14:textId="77777777" w:rsidTr="003F73C7">
        <w:trPr>
          <w:trHeight w:val="283"/>
        </w:trPr>
        <w:tc>
          <w:tcPr>
            <w:tcW w:w="2127" w:type="dxa"/>
            <w:tcBorders>
              <w:top w:val="nil"/>
              <w:left w:val="nil"/>
              <w:bottom w:val="nil"/>
              <w:right w:val="nil"/>
            </w:tcBorders>
            <w:shd w:val="clear" w:color="auto" w:fill="D7D8D8"/>
            <w:noWrap/>
            <w:vAlign w:val="bottom"/>
            <w:hideMark/>
          </w:tcPr>
          <w:p w14:paraId="44103A63" w14:textId="77777777" w:rsidR="000E1565" w:rsidRPr="00F71A22" w:rsidRDefault="000E1565">
            <w:pPr>
              <w:pStyle w:val="TableText"/>
            </w:pPr>
            <w:r w:rsidRPr="00F71A22">
              <w:t>Age group</w:t>
            </w:r>
          </w:p>
        </w:tc>
        <w:tc>
          <w:tcPr>
            <w:tcW w:w="1559" w:type="dxa"/>
            <w:tcBorders>
              <w:top w:val="nil"/>
              <w:left w:val="nil"/>
              <w:bottom w:val="nil"/>
              <w:right w:val="nil"/>
            </w:tcBorders>
            <w:shd w:val="clear" w:color="auto" w:fill="D7D8D8"/>
            <w:noWrap/>
            <w:vAlign w:val="bottom"/>
            <w:hideMark/>
          </w:tcPr>
          <w:p w14:paraId="3D9CB31E" w14:textId="77777777" w:rsidR="000E1565" w:rsidRPr="00F71A22" w:rsidRDefault="000E1565" w:rsidP="00DE2392">
            <w:pPr>
              <w:pStyle w:val="TableText"/>
              <w:jc w:val="right"/>
            </w:pPr>
          </w:p>
        </w:tc>
        <w:tc>
          <w:tcPr>
            <w:tcW w:w="1566" w:type="dxa"/>
            <w:tcBorders>
              <w:top w:val="nil"/>
              <w:left w:val="nil"/>
              <w:bottom w:val="nil"/>
              <w:right w:val="nil"/>
            </w:tcBorders>
            <w:shd w:val="clear" w:color="auto" w:fill="D7D8D8"/>
            <w:noWrap/>
            <w:vAlign w:val="bottom"/>
            <w:hideMark/>
          </w:tcPr>
          <w:p w14:paraId="3F9066DB" w14:textId="77777777" w:rsidR="000E1565" w:rsidRPr="00F71A22" w:rsidRDefault="000E1565" w:rsidP="00DE2392">
            <w:pPr>
              <w:pStyle w:val="TableText"/>
              <w:jc w:val="right"/>
              <w:rPr>
                <w:rFonts w:ascii="Times New Roman" w:hAnsi="Times New Roman"/>
              </w:rPr>
            </w:pPr>
          </w:p>
        </w:tc>
        <w:tc>
          <w:tcPr>
            <w:tcW w:w="1404" w:type="dxa"/>
            <w:tcBorders>
              <w:top w:val="nil"/>
              <w:left w:val="nil"/>
              <w:bottom w:val="nil"/>
              <w:right w:val="nil"/>
            </w:tcBorders>
            <w:shd w:val="clear" w:color="auto" w:fill="D7D8D8"/>
            <w:noWrap/>
            <w:vAlign w:val="bottom"/>
            <w:hideMark/>
          </w:tcPr>
          <w:p w14:paraId="21C6BB0C" w14:textId="77777777" w:rsidR="000E1565" w:rsidRPr="00F71A22" w:rsidRDefault="000E1565" w:rsidP="00DE2392">
            <w:pPr>
              <w:pStyle w:val="TableText"/>
              <w:jc w:val="right"/>
              <w:rPr>
                <w:rFonts w:ascii="Times New Roman" w:hAnsi="Times New Roman"/>
              </w:rPr>
            </w:pPr>
          </w:p>
        </w:tc>
        <w:tc>
          <w:tcPr>
            <w:tcW w:w="1566" w:type="dxa"/>
            <w:tcBorders>
              <w:top w:val="nil"/>
              <w:left w:val="nil"/>
              <w:bottom w:val="nil"/>
              <w:right w:val="nil"/>
            </w:tcBorders>
            <w:shd w:val="clear" w:color="auto" w:fill="D7D8D8"/>
            <w:noWrap/>
            <w:vAlign w:val="bottom"/>
            <w:hideMark/>
          </w:tcPr>
          <w:p w14:paraId="60028CE1" w14:textId="77777777" w:rsidR="000E1565" w:rsidRPr="00F71A22" w:rsidRDefault="000E1565" w:rsidP="00DE2392">
            <w:pPr>
              <w:pStyle w:val="TableText"/>
              <w:jc w:val="right"/>
              <w:rPr>
                <w:rFonts w:ascii="Times New Roman" w:hAnsi="Times New Roman"/>
              </w:rPr>
            </w:pPr>
          </w:p>
        </w:tc>
        <w:tc>
          <w:tcPr>
            <w:tcW w:w="1404" w:type="dxa"/>
            <w:tcBorders>
              <w:top w:val="nil"/>
              <w:left w:val="nil"/>
              <w:bottom w:val="nil"/>
              <w:right w:val="nil"/>
            </w:tcBorders>
            <w:shd w:val="clear" w:color="auto" w:fill="D7D8D8"/>
            <w:noWrap/>
            <w:vAlign w:val="bottom"/>
            <w:hideMark/>
          </w:tcPr>
          <w:p w14:paraId="5CE3858E" w14:textId="77777777" w:rsidR="000E1565" w:rsidRPr="00F71A22" w:rsidRDefault="000E1565" w:rsidP="00DE2392">
            <w:pPr>
              <w:pStyle w:val="TableText"/>
              <w:jc w:val="right"/>
              <w:rPr>
                <w:rFonts w:ascii="Times New Roman" w:hAnsi="Times New Roman"/>
              </w:rPr>
            </w:pPr>
          </w:p>
        </w:tc>
      </w:tr>
      <w:tr w:rsidR="000E1565" w:rsidRPr="00F71A22" w14:paraId="361DADAE" w14:textId="77777777" w:rsidTr="003F73C7">
        <w:trPr>
          <w:trHeight w:val="291"/>
        </w:trPr>
        <w:tc>
          <w:tcPr>
            <w:tcW w:w="2127" w:type="dxa"/>
            <w:tcBorders>
              <w:top w:val="nil"/>
              <w:left w:val="nil"/>
              <w:bottom w:val="nil"/>
              <w:right w:val="nil"/>
            </w:tcBorders>
            <w:shd w:val="clear" w:color="auto" w:fill="auto"/>
            <w:noWrap/>
            <w:vAlign w:val="bottom"/>
            <w:hideMark/>
          </w:tcPr>
          <w:p w14:paraId="29BC3717" w14:textId="77777777" w:rsidR="000E1565" w:rsidRPr="00F71A22" w:rsidRDefault="000E1565">
            <w:pPr>
              <w:pStyle w:val="TableText"/>
            </w:pPr>
            <w:r w:rsidRPr="00F71A22">
              <w:t xml:space="preserve">  Less than 25 years</w:t>
            </w:r>
          </w:p>
        </w:tc>
        <w:tc>
          <w:tcPr>
            <w:tcW w:w="1559" w:type="dxa"/>
            <w:tcBorders>
              <w:top w:val="nil"/>
              <w:left w:val="nil"/>
              <w:bottom w:val="nil"/>
              <w:right w:val="nil"/>
            </w:tcBorders>
            <w:shd w:val="clear" w:color="auto" w:fill="auto"/>
            <w:noWrap/>
            <w:vAlign w:val="bottom"/>
            <w:hideMark/>
          </w:tcPr>
          <w:p w14:paraId="349A4061" w14:textId="77777777" w:rsidR="000E1565" w:rsidRPr="00F71A22" w:rsidRDefault="000E1565">
            <w:pPr>
              <w:pStyle w:val="TableText"/>
              <w:jc w:val="right"/>
            </w:pPr>
            <w:r w:rsidRPr="00F71A22">
              <w:t>11,112</w:t>
            </w:r>
          </w:p>
        </w:tc>
        <w:tc>
          <w:tcPr>
            <w:tcW w:w="1566" w:type="dxa"/>
            <w:tcBorders>
              <w:top w:val="nil"/>
              <w:left w:val="nil"/>
              <w:bottom w:val="nil"/>
              <w:right w:val="nil"/>
            </w:tcBorders>
            <w:shd w:val="clear" w:color="auto" w:fill="auto"/>
            <w:noWrap/>
            <w:vAlign w:val="bottom"/>
            <w:hideMark/>
          </w:tcPr>
          <w:p w14:paraId="1CA4869B" w14:textId="77777777" w:rsidR="000E1565" w:rsidRPr="00F71A22" w:rsidRDefault="000E1565">
            <w:pPr>
              <w:pStyle w:val="TableText"/>
              <w:jc w:val="right"/>
            </w:pPr>
            <w:r w:rsidRPr="00F71A22">
              <w:t>188</w:t>
            </w:r>
          </w:p>
        </w:tc>
        <w:tc>
          <w:tcPr>
            <w:tcW w:w="1404" w:type="dxa"/>
            <w:tcBorders>
              <w:top w:val="nil"/>
              <w:left w:val="nil"/>
              <w:bottom w:val="nil"/>
              <w:right w:val="nil"/>
            </w:tcBorders>
            <w:shd w:val="clear" w:color="auto" w:fill="auto"/>
            <w:noWrap/>
            <w:vAlign w:val="bottom"/>
            <w:hideMark/>
          </w:tcPr>
          <w:p w14:paraId="6ECCB914" w14:textId="77777777" w:rsidR="000E1565" w:rsidRPr="00F71A22" w:rsidRDefault="000E1565">
            <w:pPr>
              <w:pStyle w:val="TableText"/>
              <w:jc w:val="right"/>
            </w:pPr>
            <w:r w:rsidRPr="00F71A22">
              <w:t>1.7</w:t>
            </w:r>
          </w:p>
        </w:tc>
        <w:tc>
          <w:tcPr>
            <w:tcW w:w="1566" w:type="dxa"/>
            <w:tcBorders>
              <w:top w:val="nil"/>
              <w:left w:val="nil"/>
              <w:bottom w:val="nil"/>
              <w:right w:val="nil"/>
            </w:tcBorders>
            <w:shd w:val="clear" w:color="auto" w:fill="auto"/>
            <w:noWrap/>
            <w:vAlign w:val="bottom"/>
            <w:hideMark/>
          </w:tcPr>
          <w:p w14:paraId="3EE52D20" w14:textId="77777777" w:rsidR="000E1565" w:rsidRPr="00F71A22" w:rsidRDefault="000E1565">
            <w:pPr>
              <w:pStyle w:val="TableText"/>
              <w:jc w:val="right"/>
            </w:pPr>
            <w:r w:rsidRPr="00F71A22">
              <w:t>533</w:t>
            </w:r>
          </w:p>
        </w:tc>
        <w:tc>
          <w:tcPr>
            <w:tcW w:w="1404" w:type="dxa"/>
            <w:tcBorders>
              <w:top w:val="nil"/>
              <w:left w:val="nil"/>
              <w:bottom w:val="nil"/>
              <w:right w:val="nil"/>
            </w:tcBorders>
            <w:shd w:val="clear" w:color="auto" w:fill="auto"/>
            <w:noWrap/>
            <w:vAlign w:val="bottom"/>
            <w:hideMark/>
          </w:tcPr>
          <w:p w14:paraId="7900FE03" w14:textId="77777777" w:rsidR="000E1565" w:rsidRPr="00F71A22" w:rsidRDefault="000E1565">
            <w:pPr>
              <w:pStyle w:val="TableText"/>
              <w:jc w:val="right"/>
            </w:pPr>
            <w:r w:rsidRPr="00F71A22">
              <w:t>4.8</w:t>
            </w:r>
          </w:p>
        </w:tc>
      </w:tr>
      <w:tr w:rsidR="000E1565" w:rsidRPr="00F71A22" w14:paraId="2C90D2A1" w14:textId="77777777" w:rsidTr="003F73C7">
        <w:trPr>
          <w:trHeight w:val="283"/>
        </w:trPr>
        <w:tc>
          <w:tcPr>
            <w:tcW w:w="2127" w:type="dxa"/>
            <w:tcBorders>
              <w:top w:val="nil"/>
              <w:left w:val="nil"/>
              <w:bottom w:val="nil"/>
              <w:right w:val="nil"/>
            </w:tcBorders>
            <w:shd w:val="clear" w:color="auto" w:fill="auto"/>
            <w:noWrap/>
            <w:vAlign w:val="bottom"/>
            <w:hideMark/>
          </w:tcPr>
          <w:p w14:paraId="2B9CB7F7" w14:textId="77777777" w:rsidR="000E1565" w:rsidRPr="00F71A22" w:rsidRDefault="000E1565">
            <w:pPr>
              <w:pStyle w:val="TableText"/>
            </w:pPr>
            <w:r w:rsidRPr="00F71A22">
              <w:t xml:space="preserve">  25 to 29 years</w:t>
            </w:r>
          </w:p>
        </w:tc>
        <w:tc>
          <w:tcPr>
            <w:tcW w:w="1559" w:type="dxa"/>
            <w:tcBorders>
              <w:top w:val="nil"/>
              <w:left w:val="nil"/>
              <w:bottom w:val="nil"/>
              <w:right w:val="nil"/>
            </w:tcBorders>
            <w:shd w:val="clear" w:color="auto" w:fill="auto"/>
            <w:noWrap/>
            <w:vAlign w:val="bottom"/>
            <w:hideMark/>
          </w:tcPr>
          <w:p w14:paraId="364A4AB5" w14:textId="77777777" w:rsidR="000E1565" w:rsidRPr="00F71A22" w:rsidRDefault="000E1565">
            <w:pPr>
              <w:pStyle w:val="TableText"/>
              <w:jc w:val="right"/>
            </w:pPr>
            <w:r w:rsidRPr="00F71A22">
              <w:t>2,342</w:t>
            </w:r>
          </w:p>
        </w:tc>
        <w:tc>
          <w:tcPr>
            <w:tcW w:w="1566" w:type="dxa"/>
            <w:tcBorders>
              <w:top w:val="nil"/>
              <w:left w:val="nil"/>
              <w:bottom w:val="nil"/>
              <w:right w:val="nil"/>
            </w:tcBorders>
            <w:shd w:val="clear" w:color="auto" w:fill="auto"/>
            <w:noWrap/>
            <w:vAlign w:val="bottom"/>
            <w:hideMark/>
          </w:tcPr>
          <w:p w14:paraId="5B20E2A3" w14:textId="77777777" w:rsidR="000E1565" w:rsidRPr="00F71A22" w:rsidRDefault="000E1565">
            <w:pPr>
              <w:pStyle w:val="TableText"/>
              <w:jc w:val="right"/>
            </w:pPr>
            <w:r w:rsidRPr="00F71A22">
              <w:t>47</w:t>
            </w:r>
          </w:p>
        </w:tc>
        <w:tc>
          <w:tcPr>
            <w:tcW w:w="1404" w:type="dxa"/>
            <w:tcBorders>
              <w:top w:val="nil"/>
              <w:left w:val="nil"/>
              <w:bottom w:val="nil"/>
              <w:right w:val="nil"/>
            </w:tcBorders>
            <w:shd w:val="clear" w:color="auto" w:fill="auto"/>
            <w:noWrap/>
            <w:vAlign w:val="bottom"/>
            <w:hideMark/>
          </w:tcPr>
          <w:p w14:paraId="17A35BBD" w14:textId="77777777" w:rsidR="000E1565" w:rsidRPr="00F71A22" w:rsidRDefault="000E1565">
            <w:pPr>
              <w:pStyle w:val="TableText"/>
              <w:jc w:val="right"/>
            </w:pPr>
            <w:r w:rsidRPr="00F71A22">
              <w:t>2.0</w:t>
            </w:r>
          </w:p>
        </w:tc>
        <w:tc>
          <w:tcPr>
            <w:tcW w:w="1566" w:type="dxa"/>
            <w:tcBorders>
              <w:top w:val="nil"/>
              <w:left w:val="nil"/>
              <w:bottom w:val="nil"/>
              <w:right w:val="nil"/>
            </w:tcBorders>
            <w:shd w:val="clear" w:color="auto" w:fill="auto"/>
            <w:noWrap/>
            <w:vAlign w:val="bottom"/>
            <w:hideMark/>
          </w:tcPr>
          <w:p w14:paraId="710310F0" w14:textId="77777777" w:rsidR="000E1565" w:rsidRPr="00F71A22" w:rsidRDefault="000E1565">
            <w:pPr>
              <w:pStyle w:val="TableText"/>
              <w:jc w:val="right"/>
            </w:pPr>
            <w:r w:rsidRPr="00F71A22">
              <w:t>82</w:t>
            </w:r>
          </w:p>
        </w:tc>
        <w:tc>
          <w:tcPr>
            <w:tcW w:w="1404" w:type="dxa"/>
            <w:tcBorders>
              <w:top w:val="nil"/>
              <w:left w:val="nil"/>
              <w:bottom w:val="nil"/>
              <w:right w:val="nil"/>
            </w:tcBorders>
            <w:shd w:val="clear" w:color="auto" w:fill="auto"/>
            <w:noWrap/>
            <w:vAlign w:val="bottom"/>
            <w:hideMark/>
          </w:tcPr>
          <w:p w14:paraId="1DADB8A2" w14:textId="77777777" w:rsidR="000E1565" w:rsidRPr="00F71A22" w:rsidRDefault="000E1565">
            <w:pPr>
              <w:pStyle w:val="TableText"/>
              <w:jc w:val="right"/>
            </w:pPr>
            <w:r w:rsidRPr="00F71A22">
              <w:t>3.5</w:t>
            </w:r>
          </w:p>
        </w:tc>
      </w:tr>
      <w:tr w:rsidR="000E1565" w:rsidRPr="00F71A22" w14:paraId="7CF80DFC" w14:textId="77777777" w:rsidTr="003F73C7">
        <w:trPr>
          <w:trHeight w:val="283"/>
        </w:trPr>
        <w:tc>
          <w:tcPr>
            <w:tcW w:w="2127" w:type="dxa"/>
            <w:tcBorders>
              <w:top w:val="nil"/>
              <w:left w:val="nil"/>
              <w:bottom w:val="nil"/>
              <w:right w:val="nil"/>
            </w:tcBorders>
            <w:shd w:val="clear" w:color="auto" w:fill="auto"/>
            <w:noWrap/>
            <w:vAlign w:val="bottom"/>
            <w:hideMark/>
          </w:tcPr>
          <w:p w14:paraId="4AED31AB" w14:textId="77777777" w:rsidR="000E1565" w:rsidRPr="00F71A22" w:rsidRDefault="000E1565">
            <w:pPr>
              <w:pStyle w:val="TableText"/>
            </w:pPr>
            <w:r w:rsidRPr="00F71A22">
              <w:t xml:space="preserve">  30 to 49 years</w:t>
            </w:r>
          </w:p>
        </w:tc>
        <w:tc>
          <w:tcPr>
            <w:tcW w:w="1559" w:type="dxa"/>
            <w:tcBorders>
              <w:top w:val="nil"/>
              <w:left w:val="nil"/>
              <w:bottom w:val="nil"/>
              <w:right w:val="nil"/>
            </w:tcBorders>
            <w:shd w:val="clear" w:color="auto" w:fill="auto"/>
            <w:noWrap/>
            <w:vAlign w:val="bottom"/>
            <w:hideMark/>
          </w:tcPr>
          <w:p w14:paraId="08975C65" w14:textId="77777777" w:rsidR="000E1565" w:rsidRPr="00F71A22" w:rsidRDefault="000E1565">
            <w:pPr>
              <w:pStyle w:val="TableText"/>
              <w:jc w:val="right"/>
            </w:pPr>
            <w:r w:rsidRPr="00F71A22">
              <w:t>5,030</w:t>
            </w:r>
          </w:p>
        </w:tc>
        <w:tc>
          <w:tcPr>
            <w:tcW w:w="1566" w:type="dxa"/>
            <w:tcBorders>
              <w:top w:val="nil"/>
              <w:left w:val="nil"/>
              <w:bottom w:val="nil"/>
              <w:right w:val="nil"/>
            </w:tcBorders>
            <w:shd w:val="clear" w:color="auto" w:fill="auto"/>
            <w:noWrap/>
            <w:vAlign w:val="bottom"/>
            <w:hideMark/>
          </w:tcPr>
          <w:p w14:paraId="31C0380E" w14:textId="77777777" w:rsidR="000E1565" w:rsidRPr="00F71A22" w:rsidRDefault="000E1565">
            <w:pPr>
              <w:pStyle w:val="TableText"/>
              <w:jc w:val="right"/>
            </w:pPr>
            <w:r w:rsidRPr="00F71A22">
              <w:t>213</w:t>
            </w:r>
          </w:p>
        </w:tc>
        <w:tc>
          <w:tcPr>
            <w:tcW w:w="1404" w:type="dxa"/>
            <w:tcBorders>
              <w:top w:val="nil"/>
              <w:left w:val="nil"/>
              <w:bottom w:val="nil"/>
              <w:right w:val="nil"/>
            </w:tcBorders>
            <w:shd w:val="clear" w:color="auto" w:fill="auto"/>
            <w:noWrap/>
            <w:vAlign w:val="bottom"/>
            <w:hideMark/>
          </w:tcPr>
          <w:p w14:paraId="36332EC1" w14:textId="77777777" w:rsidR="000E1565" w:rsidRPr="00F71A22" w:rsidRDefault="000E1565">
            <w:pPr>
              <w:pStyle w:val="TableText"/>
              <w:jc w:val="right"/>
            </w:pPr>
            <w:r w:rsidRPr="00F71A22">
              <w:t>4.2</w:t>
            </w:r>
          </w:p>
        </w:tc>
        <w:tc>
          <w:tcPr>
            <w:tcW w:w="1566" w:type="dxa"/>
            <w:tcBorders>
              <w:top w:val="nil"/>
              <w:left w:val="nil"/>
              <w:bottom w:val="nil"/>
              <w:right w:val="nil"/>
            </w:tcBorders>
            <w:shd w:val="clear" w:color="auto" w:fill="auto"/>
            <w:noWrap/>
            <w:vAlign w:val="bottom"/>
            <w:hideMark/>
          </w:tcPr>
          <w:p w14:paraId="64956865" w14:textId="77777777" w:rsidR="000E1565" w:rsidRPr="00F71A22" w:rsidRDefault="000E1565">
            <w:pPr>
              <w:pStyle w:val="TableText"/>
              <w:jc w:val="right"/>
            </w:pPr>
            <w:r w:rsidRPr="00F71A22">
              <w:t>280</w:t>
            </w:r>
          </w:p>
        </w:tc>
        <w:tc>
          <w:tcPr>
            <w:tcW w:w="1404" w:type="dxa"/>
            <w:tcBorders>
              <w:top w:val="nil"/>
              <w:left w:val="nil"/>
              <w:bottom w:val="nil"/>
              <w:right w:val="nil"/>
            </w:tcBorders>
            <w:shd w:val="clear" w:color="auto" w:fill="auto"/>
            <w:noWrap/>
            <w:vAlign w:val="bottom"/>
            <w:hideMark/>
          </w:tcPr>
          <w:p w14:paraId="52D2D311" w14:textId="77777777" w:rsidR="000E1565" w:rsidRPr="00F71A22" w:rsidRDefault="000E1565">
            <w:pPr>
              <w:pStyle w:val="TableText"/>
              <w:jc w:val="right"/>
            </w:pPr>
            <w:r w:rsidRPr="00F71A22">
              <w:t>5.6</w:t>
            </w:r>
          </w:p>
        </w:tc>
      </w:tr>
      <w:tr w:rsidR="000E1565" w:rsidRPr="00F71A22" w14:paraId="6B18260B" w14:textId="77777777" w:rsidTr="003F73C7">
        <w:trPr>
          <w:trHeight w:val="283"/>
        </w:trPr>
        <w:tc>
          <w:tcPr>
            <w:tcW w:w="2127" w:type="dxa"/>
            <w:tcBorders>
              <w:top w:val="nil"/>
              <w:left w:val="nil"/>
              <w:bottom w:val="nil"/>
              <w:right w:val="nil"/>
            </w:tcBorders>
            <w:shd w:val="clear" w:color="auto" w:fill="auto"/>
            <w:noWrap/>
            <w:vAlign w:val="bottom"/>
            <w:hideMark/>
          </w:tcPr>
          <w:p w14:paraId="533D8271" w14:textId="77777777" w:rsidR="000E1565" w:rsidRPr="00F71A22" w:rsidRDefault="000E1565">
            <w:pPr>
              <w:pStyle w:val="TableText"/>
            </w:pPr>
            <w:r w:rsidRPr="00F71A22">
              <w:t xml:space="preserve">  50 years and over</w:t>
            </w:r>
          </w:p>
        </w:tc>
        <w:tc>
          <w:tcPr>
            <w:tcW w:w="1559" w:type="dxa"/>
            <w:tcBorders>
              <w:top w:val="nil"/>
              <w:left w:val="nil"/>
              <w:bottom w:val="nil"/>
              <w:right w:val="nil"/>
            </w:tcBorders>
            <w:shd w:val="clear" w:color="auto" w:fill="auto"/>
            <w:noWrap/>
            <w:vAlign w:val="bottom"/>
            <w:hideMark/>
          </w:tcPr>
          <w:p w14:paraId="79C219AA" w14:textId="77777777" w:rsidR="000E1565" w:rsidRPr="00F71A22" w:rsidRDefault="000E1565">
            <w:pPr>
              <w:pStyle w:val="TableText"/>
              <w:jc w:val="right"/>
            </w:pPr>
            <w:r w:rsidRPr="00F71A22">
              <w:t>3,009</w:t>
            </w:r>
          </w:p>
        </w:tc>
        <w:tc>
          <w:tcPr>
            <w:tcW w:w="1566" w:type="dxa"/>
            <w:tcBorders>
              <w:top w:val="nil"/>
              <w:left w:val="nil"/>
              <w:bottom w:val="nil"/>
              <w:right w:val="nil"/>
            </w:tcBorders>
            <w:shd w:val="clear" w:color="auto" w:fill="auto"/>
            <w:noWrap/>
            <w:vAlign w:val="bottom"/>
            <w:hideMark/>
          </w:tcPr>
          <w:p w14:paraId="265F8F30" w14:textId="77777777" w:rsidR="000E1565" w:rsidRPr="00F71A22" w:rsidRDefault="000E1565">
            <w:pPr>
              <w:pStyle w:val="TableText"/>
              <w:jc w:val="right"/>
            </w:pPr>
            <w:r w:rsidRPr="00F71A22">
              <w:t>362</w:t>
            </w:r>
          </w:p>
        </w:tc>
        <w:tc>
          <w:tcPr>
            <w:tcW w:w="1404" w:type="dxa"/>
            <w:tcBorders>
              <w:top w:val="nil"/>
              <w:left w:val="nil"/>
              <w:bottom w:val="nil"/>
              <w:right w:val="nil"/>
            </w:tcBorders>
            <w:shd w:val="clear" w:color="auto" w:fill="auto"/>
            <w:noWrap/>
            <w:vAlign w:val="bottom"/>
            <w:hideMark/>
          </w:tcPr>
          <w:p w14:paraId="3B04E4CD" w14:textId="77777777" w:rsidR="000E1565" w:rsidRPr="00F71A22" w:rsidRDefault="000E1565">
            <w:pPr>
              <w:pStyle w:val="TableText"/>
              <w:jc w:val="right"/>
            </w:pPr>
            <w:r w:rsidRPr="00F71A22">
              <w:t>12.0</w:t>
            </w:r>
          </w:p>
        </w:tc>
        <w:tc>
          <w:tcPr>
            <w:tcW w:w="1566" w:type="dxa"/>
            <w:tcBorders>
              <w:top w:val="nil"/>
              <w:left w:val="nil"/>
              <w:bottom w:val="nil"/>
              <w:right w:val="nil"/>
            </w:tcBorders>
            <w:shd w:val="clear" w:color="auto" w:fill="auto"/>
            <w:noWrap/>
            <w:vAlign w:val="bottom"/>
            <w:hideMark/>
          </w:tcPr>
          <w:p w14:paraId="45CA6770" w14:textId="77777777" w:rsidR="000E1565" w:rsidRPr="00F71A22" w:rsidRDefault="000E1565">
            <w:pPr>
              <w:pStyle w:val="TableText"/>
              <w:jc w:val="right"/>
            </w:pPr>
            <w:r w:rsidRPr="00F71A22">
              <w:t>296</w:t>
            </w:r>
          </w:p>
        </w:tc>
        <w:tc>
          <w:tcPr>
            <w:tcW w:w="1404" w:type="dxa"/>
            <w:tcBorders>
              <w:top w:val="nil"/>
              <w:left w:val="nil"/>
              <w:bottom w:val="nil"/>
              <w:right w:val="nil"/>
            </w:tcBorders>
            <w:shd w:val="clear" w:color="auto" w:fill="auto"/>
            <w:noWrap/>
            <w:vAlign w:val="bottom"/>
            <w:hideMark/>
          </w:tcPr>
          <w:p w14:paraId="00EEFACC" w14:textId="77777777" w:rsidR="000E1565" w:rsidRPr="00F71A22" w:rsidRDefault="000E1565">
            <w:pPr>
              <w:pStyle w:val="TableText"/>
              <w:jc w:val="right"/>
            </w:pPr>
            <w:r w:rsidRPr="00F71A22">
              <w:t>9.8</w:t>
            </w:r>
          </w:p>
        </w:tc>
      </w:tr>
      <w:tr w:rsidR="003F73C7" w:rsidRPr="00F71A22" w14:paraId="4FED475E" w14:textId="77777777" w:rsidTr="003F73C7">
        <w:trPr>
          <w:trHeight w:val="283"/>
        </w:trPr>
        <w:tc>
          <w:tcPr>
            <w:tcW w:w="2127" w:type="dxa"/>
            <w:tcBorders>
              <w:top w:val="nil"/>
              <w:left w:val="nil"/>
              <w:bottom w:val="nil"/>
              <w:right w:val="nil"/>
            </w:tcBorders>
            <w:shd w:val="clear" w:color="auto" w:fill="D7D8D8"/>
            <w:noWrap/>
            <w:vAlign w:val="bottom"/>
            <w:hideMark/>
          </w:tcPr>
          <w:p w14:paraId="18786E35" w14:textId="77777777" w:rsidR="003F73C7" w:rsidRPr="00F71A22" w:rsidRDefault="003F73C7">
            <w:pPr>
              <w:pStyle w:val="TableText"/>
            </w:pPr>
            <w:r w:rsidRPr="00F71A22">
              <w:t>Indigeneity</w:t>
            </w:r>
          </w:p>
        </w:tc>
        <w:tc>
          <w:tcPr>
            <w:tcW w:w="1559" w:type="dxa"/>
            <w:tcBorders>
              <w:top w:val="nil"/>
              <w:left w:val="nil"/>
              <w:bottom w:val="nil"/>
              <w:right w:val="nil"/>
            </w:tcBorders>
            <w:shd w:val="clear" w:color="auto" w:fill="D7D8D8"/>
            <w:noWrap/>
            <w:vAlign w:val="bottom"/>
            <w:hideMark/>
          </w:tcPr>
          <w:p w14:paraId="5F28B028" w14:textId="6C431160" w:rsidR="003F73C7" w:rsidRPr="00F71A22" w:rsidRDefault="003F73C7" w:rsidP="00DE2392">
            <w:pPr>
              <w:pStyle w:val="TableText"/>
              <w:jc w:val="right"/>
            </w:pPr>
            <w:r w:rsidRPr="0051366F">
              <w:rPr>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36FAE49E" w14:textId="63FE7972"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5221656D" w14:textId="34860812"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663CF33E" w14:textId="14F06578"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4B4C79E6" w14:textId="657178A5" w:rsidR="003F73C7" w:rsidRPr="00F71A22" w:rsidRDefault="003F73C7" w:rsidP="00DE2392">
            <w:pPr>
              <w:pStyle w:val="TableText"/>
              <w:jc w:val="right"/>
              <w:rPr>
                <w:rFonts w:ascii="Times New Roman" w:hAnsi="Times New Roman"/>
              </w:rPr>
            </w:pPr>
            <w:r w:rsidRPr="0051366F">
              <w:rPr>
                <w:color w:val="D9D9D9" w:themeColor="background1" w:themeShade="D9"/>
              </w:rPr>
              <w:t>—</w:t>
            </w:r>
          </w:p>
        </w:tc>
      </w:tr>
      <w:tr w:rsidR="000E1565" w:rsidRPr="00F71A22" w14:paraId="506BE6B1" w14:textId="77777777" w:rsidTr="003F73C7">
        <w:trPr>
          <w:trHeight w:val="283"/>
        </w:trPr>
        <w:tc>
          <w:tcPr>
            <w:tcW w:w="2127" w:type="dxa"/>
            <w:tcBorders>
              <w:top w:val="nil"/>
              <w:left w:val="nil"/>
              <w:bottom w:val="nil"/>
              <w:right w:val="nil"/>
            </w:tcBorders>
            <w:shd w:val="clear" w:color="auto" w:fill="auto"/>
            <w:noWrap/>
            <w:vAlign w:val="bottom"/>
            <w:hideMark/>
          </w:tcPr>
          <w:p w14:paraId="5CD7C0AE" w14:textId="77777777" w:rsidR="000E1565" w:rsidRPr="00F71A22" w:rsidRDefault="000E1565">
            <w:pPr>
              <w:pStyle w:val="TableText"/>
            </w:pPr>
            <w:r w:rsidRPr="00F71A22">
              <w:t xml:space="preserve">  Indigenous</w:t>
            </w:r>
          </w:p>
        </w:tc>
        <w:tc>
          <w:tcPr>
            <w:tcW w:w="1559" w:type="dxa"/>
            <w:tcBorders>
              <w:top w:val="nil"/>
              <w:left w:val="nil"/>
              <w:bottom w:val="nil"/>
              <w:right w:val="nil"/>
            </w:tcBorders>
            <w:shd w:val="clear" w:color="auto" w:fill="auto"/>
            <w:noWrap/>
            <w:vAlign w:val="bottom"/>
            <w:hideMark/>
          </w:tcPr>
          <w:p w14:paraId="5C07C3C0" w14:textId="77777777" w:rsidR="000E1565" w:rsidRPr="00F71A22" w:rsidRDefault="000E1565">
            <w:pPr>
              <w:pStyle w:val="TableText"/>
              <w:jc w:val="right"/>
            </w:pPr>
            <w:r w:rsidRPr="00F71A22">
              <w:t>514</w:t>
            </w:r>
          </w:p>
        </w:tc>
        <w:tc>
          <w:tcPr>
            <w:tcW w:w="1566" w:type="dxa"/>
            <w:tcBorders>
              <w:top w:val="nil"/>
              <w:left w:val="nil"/>
              <w:bottom w:val="nil"/>
              <w:right w:val="nil"/>
            </w:tcBorders>
            <w:shd w:val="clear" w:color="auto" w:fill="auto"/>
            <w:noWrap/>
            <w:vAlign w:val="bottom"/>
            <w:hideMark/>
          </w:tcPr>
          <w:p w14:paraId="30ED9636" w14:textId="77777777" w:rsidR="000E1565" w:rsidRPr="00F71A22" w:rsidRDefault="000E1565">
            <w:pPr>
              <w:pStyle w:val="TableText"/>
              <w:jc w:val="right"/>
            </w:pPr>
            <w:r w:rsidRPr="00F71A22">
              <w:t>16</w:t>
            </w:r>
          </w:p>
        </w:tc>
        <w:tc>
          <w:tcPr>
            <w:tcW w:w="1404" w:type="dxa"/>
            <w:tcBorders>
              <w:top w:val="nil"/>
              <w:left w:val="nil"/>
              <w:bottom w:val="nil"/>
              <w:right w:val="nil"/>
            </w:tcBorders>
            <w:shd w:val="clear" w:color="auto" w:fill="auto"/>
            <w:noWrap/>
            <w:vAlign w:val="bottom"/>
            <w:hideMark/>
          </w:tcPr>
          <w:p w14:paraId="25A859F4" w14:textId="77777777" w:rsidR="000E1565" w:rsidRPr="00F71A22" w:rsidRDefault="000E1565">
            <w:pPr>
              <w:pStyle w:val="TableText"/>
              <w:jc w:val="right"/>
            </w:pPr>
            <w:r w:rsidRPr="00F71A22">
              <w:t>3.1</w:t>
            </w:r>
          </w:p>
        </w:tc>
        <w:tc>
          <w:tcPr>
            <w:tcW w:w="1566" w:type="dxa"/>
            <w:tcBorders>
              <w:top w:val="nil"/>
              <w:left w:val="nil"/>
              <w:bottom w:val="nil"/>
              <w:right w:val="nil"/>
            </w:tcBorders>
            <w:shd w:val="clear" w:color="auto" w:fill="auto"/>
            <w:noWrap/>
            <w:vAlign w:val="bottom"/>
            <w:hideMark/>
          </w:tcPr>
          <w:p w14:paraId="468FB24B" w14:textId="77777777" w:rsidR="000E1565" w:rsidRPr="00F71A22" w:rsidRDefault="000E1565">
            <w:pPr>
              <w:pStyle w:val="TableText"/>
              <w:jc w:val="right"/>
            </w:pPr>
            <w:r w:rsidRPr="00F71A22">
              <w:t>40</w:t>
            </w:r>
          </w:p>
        </w:tc>
        <w:tc>
          <w:tcPr>
            <w:tcW w:w="1404" w:type="dxa"/>
            <w:tcBorders>
              <w:top w:val="nil"/>
              <w:left w:val="nil"/>
              <w:bottom w:val="nil"/>
              <w:right w:val="nil"/>
            </w:tcBorders>
            <w:shd w:val="clear" w:color="auto" w:fill="auto"/>
            <w:noWrap/>
            <w:vAlign w:val="bottom"/>
            <w:hideMark/>
          </w:tcPr>
          <w:p w14:paraId="11B7BA1F" w14:textId="77777777" w:rsidR="000E1565" w:rsidRPr="00F71A22" w:rsidRDefault="000E1565">
            <w:pPr>
              <w:pStyle w:val="TableText"/>
              <w:jc w:val="right"/>
            </w:pPr>
            <w:r w:rsidRPr="00F71A22">
              <w:t>7.8</w:t>
            </w:r>
          </w:p>
        </w:tc>
      </w:tr>
      <w:tr w:rsidR="000E1565" w:rsidRPr="00F71A22" w14:paraId="0E6C4811" w14:textId="77777777" w:rsidTr="003F73C7">
        <w:trPr>
          <w:trHeight w:val="283"/>
        </w:trPr>
        <w:tc>
          <w:tcPr>
            <w:tcW w:w="2127" w:type="dxa"/>
            <w:tcBorders>
              <w:top w:val="nil"/>
              <w:left w:val="nil"/>
              <w:bottom w:val="nil"/>
              <w:right w:val="nil"/>
            </w:tcBorders>
            <w:shd w:val="clear" w:color="auto" w:fill="auto"/>
            <w:noWrap/>
            <w:vAlign w:val="bottom"/>
            <w:hideMark/>
          </w:tcPr>
          <w:p w14:paraId="567DED51" w14:textId="55EEDEFF" w:rsidR="000E1565" w:rsidRPr="00F71A22" w:rsidRDefault="000E1565">
            <w:pPr>
              <w:pStyle w:val="TableText"/>
            </w:pPr>
            <w:r w:rsidRPr="00F71A22">
              <w:t xml:space="preserve">  Non</w:t>
            </w:r>
            <w:r w:rsidR="00B41917">
              <w:t>-</w:t>
            </w:r>
            <w:r w:rsidRPr="00F71A22">
              <w:t>Indigenous</w:t>
            </w:r>
          </w:p>
        </w:tc>
        <w:tc>
          <w:tcPr>
            <w:tcW w:w="1559" w:type="dxa"/>
            <w:tcBorders>
              <w:top w:val="nil"/>
              <w:left w:val="nil"/>
              <w:bottom w:val="nil"/>
              <w:right w:val="nil"/>
            </w:tcBorders>
            <w:shd w:val="clear" w:color="auto" w:fill="auto"/>
            <w:noWrap/>
            <w:vAlign w:val="bottom"/>
            <w:hideMark/>
          </w:tcPr>
          <w:p w14:paraId="38060E2C" w14:textId="77777777" w:rsidR="000E1565" w:rsidRPr="00F71A22" w:rsidRDefault="000E1565">
            <w:pPr>
              <w:pStyle w:val="TableText"/>
              <w:jc w:val="right"/>
            </w:pPr>
            <w:r w:rsidRPr="00F71A22">
              <w:t>20,979</w:t>
            </w:r>
          </w:p>
        </w:tc>
        <w:tc>
          <w:tcPr>
            <w:tcW w:w="1566" w:type="dxa"/>
            <w:tcBorders>
              <w:top w:val="nil"/>
              <w:left w:val="nil"/>
              <w:bottom w:val="nil"/>
              <w:right w:val="nil"/>
            </w:tcBorders>
            <w:shd w:val="clear" w:color="auto" w:fill="auto"/>
            <w:noWrap/>
            <w:vAlign w:val="bottom"/>
            <w:hideMark/>
          </w:tcPr>
          <w:p w14:paraId="5B5A8E57" w14:textId="77777777" w:rsidR="000E1565" w:rsidRPr="00F71A22" w:rsidRDefault="000E1565">
            <w:pPr>
              <w:pStyle w:val="TableText"/>
              <w:jc w:val="right"/>
            </w:pPr>
            <w:r w:rsidRPr="00F71A22">
              <w:t>794</w:t>
            </w:r>
          </w:p>
        </w:tc>
        <w:tc>
          <w:tcPr>
            <w:tcW w:w="1404" w:type="dxa"/>
            <w:tcBorders>
              <w:top w:val="nil"/>
              <w:left w:val="nil"/>
              <w:bottom w:val="nil"/>
              <w:right w:val="nil"/>
            </w:tcBorders>
            <w:shd w:val="clear" w:color="auto" w:fill="auto"/>
            <w:noWrap/>
            <w:vAlign w:val="bottom"/>
            <w:hideMark/>
          </w:tcPr>
          <w:p w14:paraId="3C139013" w14:textId="77777777" w:rsidR="000E1565" w:rsidRPr="00F71A22" w:rsidRDefault="000E1565">
            <w:pPr>
              <w:pStyle w:val="TableText"/>
              <w:jc w:val="right"/>
            </w:pPr>
            <w:r w:rsidRPr="00F71A22">
              <w:t>3.8</w:t>
            </w:r>
          </w:p>
        </w:tc>
        <w:tc>
          <w:tcPr>
            <w:tcW w:w="1566" w:type="dxa"/>
            <w:tcBorders>
              <w:top w:val="nil"/>
              <w:left w:val="nil"/>
              <w:bottom w:val="nil"/>
              <w:right w:val="nil"/>
            </w:tcBorders>
            <w:shd w:val="clear" w:color="auto" w:fill="auto"/>
            <w:noWrap/>
            <w:vAlign w:val="bottom"/>
            <w:hideMark/>
          </w:tcPr>
          <w:p w14:paraId="558AF507" w14:textId="77777777" w:rsidR="000E1565" w:rsidRPr="00F71A22" w:rsidRDefault="000E1565">
            <w:pPr>
              <w:pStyle w:val="TableText"/>
              <w:jc w:val="right"/>
            </w:pPr>
            <w:r w:rsidRPr="00F71A22">
              <w:t>1,151</w:t>
            </w:r>
          </w:p>
        </w:tc>
        <w:tc>
          <w:tcPr>
            <w:tcW w:w="1404" w:type="dxa"/>
            <w:tcBorders>
              <w:top w:val="nil"/>
              <w:left w:val="nil"/>
              <w:bottom w:val="nil"/>
              <w:right w:val="nil"/>
            </w:tcBorders>
            <w:shd w:val="clear" w:color="auto" w:fill="auto"/>
            <w:noWrap/>
            <w:vAlign w:val="bottom"/>
            <w:hideMark/>
          </w:tcPr>
          <w:p w14:paraId="4EE6FC5C" w14:textId="77777777" w:rsidR="000E1565" w:rsidRPr="00F71A22" w:rsidRDefault="000E1565">
            <w:pPr>
              <w:pStyle w:val="TableText"/>
              <w:jc w:val="right"/>
            </w:pPr>
            <w:r w:rsidRPr="00F71A22">
              <w:t>5.5</w:t>
            </w:r>
          </w:p>
        </w:tc>
      </w:tr>
      <w:tr w:rsidR="003F73C7" w:rsidRPr="00F71A22" w14:paraId="31B7243B" w14:textId="77777777" w:rsidTr="003F73C7">
        <w:trPr>
          <w:trHeight w:val="283"/>
        </w:trPr>
        <w:tc>
          <w:tcPr>
            <w:tcW w:w="2127" w:type="dxa"/>
            <w:tcBorders>
              <w:top w:val="nil"/>
              <w:left w:val="nil"/>
              <w:bottom w:val="nil"/>
              <w:right w:val="nil"/>
            </w:tcBorders>
            <w:shd w:val="clear" w:color="auto" w:fill="D7D8D8"/>
            <w:noWrap/>
            <w:vAlign w:val="bottom"/>
            <w:hideMark/>
          </w:tcPr>
          <w:p w14:paraId="6B156434" w14:textId="77777777" w:rsidR="003F73C7" w:rsidRPr="00F71A22" w:rsidRDefault="003F73C7">
            <w:pPr>
              <w:pStyle w:val="TableText"/>
            </w:pPr>
            <w:r w:rsidRPr="00F71A22">
              <w:t>Remoteness</w:t>
            </w:r>
          </w:p>
        </w:tc>
        <w:tc>
          <w:tcPr>
            <w:tcW w:w="1559" w:type="dxa"/>
            <w:tcBorders>
              <w:top w:val="nil"/>
              <w:left w:val="nil"/>
              <w:bottom w:val="nil"/>
              <w:right w:val="nil"/>
            </w:tcBorders>
            <w:shd w:val="clear" w:color="auto" w:fill="D7D8D8"/>
            <w:noWrap/>
            <w:vAlign w:val="bottom"/>
            <w:hideMark/>
          </w:tcPr>
          <w:p w14:paraId="2EB2094A" w14:textId="2B20E27C" w:rsidR="003F73C7" w:rsidRPr="00F71A22" w:rsidRDefault="003F73C7" w:rsidP="00DE2392">
            <w:pPr>
              <w:pStyle w:val="TableText"/>
              <w:jc w:val="right"/>
            </w:pPr>
            <w:r w:rsidRPr="0051366F">
              <w:rPr>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7F1B3305" w14:textId="279D78C7"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51815089" w14:textId="5F2F39F1"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68FB6C36" w14:textId="31CEAF9D"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107348A9" w14:textId="6133E470" w:rsidR="003F73C7" w:rsidRPr="00F71A22" w:rsidRDefault="003F73C7" w:rsidP="00DE2392">
            <w:pPr>
              <w:pStyle w:val="TableText"/>
              <w:jc w:val="right"/>
              <w:rPr>
                <w:rFonts w:ascii="Times New Roman" w:hAnsi="Times New Roman"/>
              </w:rPr>
            </w:pPr>
            <w:r w:rsidRPr="0051366F">
              <w:rPr>
                <w:color w:val="D9D9D9" w:themeColor="background1" w:themeShade="D9"/>
              </w:rPr>
              <w:t>—</w:t>
            </w:r>
          </w:p>
        </w:tc>
      </w:tr>
      <w:tr w:rsidR="000E1565" w:rsidRPr="00F71A22" w14:paraId="793BEB9D" w14:textId="77777777" w:rsidTr="003F73C7">
        <w:trPr>
          <w:trHeight w:val="324"/>
        </w:trPr>
        <w:tc>
          <w:tcPr>
            <w:tcW w:w="2127" w:type="dxa"/>
            <w:tcBorders>
              <w:top w:val="nil"/>
              <w:left w:val="nil"/>
              <w:bottom w:val="nil"/>
              <w:right w:val="nil"/>
            </w:tcBorders>
            <w:shd w:val="clear" w:color="auto" w:fill="auto"/>
            <w:noWrap/>
            <w:vAlign w:val="bottom"/>
            <w:hideMark/>
          </w:tcPr>
          <w:p w14:paraId="59F5C50C" w14:textId="6A4F5DB2" w:rsidR="000E1565" w:rsidRPr="00F71A22" w:rsidRDefault="000E1565">
            <w:pPr>
              <w:pStyle w:val="TableText"/>
            </w:pPr>
            <w:r w:rsidRPr="00F71A22">
              <w:t xml:space="preserve">  Major </w:t>
            </w:r>
            <w:r w:rsidR="00B41917">
              <w:t>c</w:t>
            </w:r>
            <w:r w:rsidRPr="00F71A22">
              <w:t>ities</w:t>
            </w:r>
          </w:p>
        </w:tc>
        <w:tc>
          <w:tcPr>
            <w:tcW w:w="1559" w:type="dxa"/>
            <w:tcBorders>
              <w:top w:val="nil"/>
              <w:left w:val="nil"/>
              <w:bottom w:val="nil"/>
              <w:right w:val="nil"/>
            </w:tcBorders>
            <w:shd w:val="clear" w:color="auto" w:fill="auto"/>
            <w:noWrap/>
            <w:vAlign w:val="bottom"/>
            <w:hideMark/>
          </w:tcPr>
          <w:p w14:paraId="4495407D" w14:textId="77777777" w:rsidR="000E1565" w:rsidRPr="00F71A22" w:rsidRDefault="000E1565">
            <w:pPr>
              <w:pStyle w:val="TableText"/>
              <w:jc w:val="right"/>
            </w:pPr>
            <w:r w:rsidRPr="00F71A22">
              <w:t>15,708</w:t>
            </w:r>
          </w:p>
        </w:tc>
        <w:tc>
          <w:tcPr>
            <w:tcW w:w="1566" w:type="dxa"/>
            <w:tcBorders>
              <w:top w:val="nil"/>
              <w:left w:val="nil"/>
              <w:bottom w:val="nil"/>
              <w:right w:val="nil"/>
            </w:tcBorders>
            <w:shd w:val="clear" w:color="auto" w:fill="auto"/>
            <w:noWrap/>
            <w:vAlign w:val="bottom"/>
            <w:hideMark/>
          </w:tcPr>
          <w:p w14:paraId="2CD7E12A" w14:textId="77777777" w:rsidR="000E1565" w:rsidRPr="00F71A22" w:rsidRDefault="000E1565">
            <w:pPr>
              <w:pStyle w:val="TableText"/>
              <w:jc w:val="right"/>
            </w:pPr>
            <w:r w:rsidRPr="00F71A22">
              <w:t>528</w:t>
            </w:r>
          </w:p>
        </w:tc>
        <w:tc>
          <w:tcPr>
            <w:tcW w:w="1404" w:type="dxa"/>
            <w:tcBorders>
              <w:top w:val="nil"/>
              <w:left w:val="nil"/>
              <w:bottom w:val="nil"/>
              <w:right w:val="nil"/>
            </w:tcBorders>
            <w:shd w:val="clear" w:color="auto" w:fill="auto"/>
            <w:noWrap/>
            <w:vAlign w:val="bottom"/>
            <w:hideMark/>
          </w:tcPr>
          <w:p w14:paraId="70E5D55B" w14:textId="77777777" w:rsidR="000E1565" w:rsidRPr="00F71A22" w:rsidRDefault="000E1565">
            <w:pPr>
              <w:pStyle w:val="TableText"/>
              <w:jc w:val="right"/>
            </w:pPr>
            <w:r w:rsidRPr="00F71A22">
              <w:t>3.4</w:t>
            </w:r>
          </w:p>
        </w:tc>
        <w:tc>
          <w:tcPr>
            <w:tcW w:w="1566" w:type="dxa"/>
            <w:tcBorders>
              <w:top w:val="nil"/>
              <w:left w:val="nil"/>
              <w:bottom w:val="nil"/>
              <w:right w:val="nil"/>
            </w:tcBorders>
            <w:shd w:val="clear" w:color="auto" w:fill="auto"/>
            <w:noWrap/>
            <w:vAlign w:val="bottom"/>
            <w:hideMark/>
          </w:tcPr>
          <w:p w14:paraId="3C3700BD" w14:textId="77777777" w:rsidR="000E1565" w:rsidRPr="00F71A22" w:rsidRDefault="000E1565">
            <w:pPr>
              <w:pStyle w:val="TableText"/>
              <w:jc w:val="right"/>
            </w:pPr>
            <w:r w:rsidRPr="00F71A22">
              <w:t>736</w:t>
            </w:r>
          </w:p>
        </w:tc>
        <w:tc>
          <w:tcPr>
            <w:tcW w:w="1404" w:type="dxa"/>
            <w:tcBorders>
              <w:top w:val="nil"/>
              <w:left w:val="nil"/>
              <w:bottom w:val="nil"/>
              <w:right w:val="nil"/>
            </w:tcBorders>
            <w:shd w:val="clear" w:color="auto" w:fill="auto"/>
            <w:noWrap/>
            <w:vAlign w:val="bottom"/>
            <w:hideMark/>
          </w:tcPr>
          <w:p w14:paraId="25243618" w14:textId="77777777" w:rsidR="000E1565" w:rsidRPr="00F71A22" w:rsidRDefault="000E1565">
            <w:pPr>
              <w:pStyle w:val="TableText"/>
              <w:jc w:val="right"/>
            </w:pPr>
            <w:r w:rsidRPr="00F71A22">
              <w:t>4.7</w:t>
            </w:r>
          </w:p>
        </w:tc>
      </w:tr>
      <w:tr w:rsidR="000E1565" w:rsidRPr="00F71A22" w14:paraId="3EAFE9F4" w14:textId="77777777" w:rsidTr="003F73C7">
        <w:trPr>
          <w:trHeight w:val="283"/>
        </w:trPr>
        <w:tc>
          <w:tcPr>
            <w:tcW w:w="2127" w:type="dxa"/>
            <w:tcBorders>
              <w:top w:val="nil"/>
              <w:left w:val="nil"/>
              <w:bottom w:val="nil"/>
              <w:right w:val="nil"/>
            </w:tcBorders>
            <w:shd w:val="clear" w:color="auto" w:fill="auto"/>
            <w:noWrap/>
            <w:vAlign w:val="bottom"/>
            <w:hideMark/>
          </w:tcPr>
          <w:p w14:paraId="0ACAEF62" w14:textId="49EE52CF" w:rsidR="000E1565" w:rsidRPr="00F71A22" w:rsidRDefault="000E1565">
            <w:pPr>
              <w:pStyle w:val="TableText"/>
            </w:pPr>
            <w:r w:rsidRPr="00F71A22">
              <w:t xml:space="preserve">  Inner </w:t>
            </w:r>
            <w:r w:rsidR="00B41917">
              <w:t>r</w:t>
            </w:r>
            <w:r w:rsidRPr="00F71A22">
              <w:t>egional</w:t>
            </w:r>
          </w:p>
        </w:tc>
        <w:tc>
          <w:tcPr>
            <w:tcW w:w="1559" w:type="dxa"/>
            <w:tcBorders>
              <w:top w:val="nil"/>
              <w:left w:val="nil"/>
              <w:bottom w:val="nil"/>
              <w:right w:val="nil"/>
            </w:tcBorders>
            <w:shd w:val="clear" w:color="auto" w:fill="auto"/>
            <w:noWrap/>
            <w:vAlign w:val="bottom"/>
            <w:hideMark/>
          </w:tcPr>
          <w:p w14:paraId="264E3422" w14:textId="77777777" w:rsidR="000E1565" w:rsidRPr="00F71A22" w:rsidRDefault="000E1565">
            <w:pPr>
              <w:pStyle w:val="TableText"/>
              <w:jc w:val="right"/>
            </w:pPr>
            <w:r w:rsidRPr="00F71A22">
              <w:t>4,175</w:t>
            </w:r>
          </w:p>
        </w:tc>
        <w:tc>
          <w:tcPr>
            <w:tcW w:w="1566" w:type="dxa"/>
            <w:tcBorders>
              <w:top w:val="nil"/>
              <w:left w:val="nil"/>
              <w:bottom w:val="nil"/>
              <w:right w:val="nil"/>
            </w:tcBorders>
            <w:shd w:val="clear" w:color="auto" w:fill="auto"/>
            <w:noWrap/>
            <w:vAlign w:val="bottom"/>
            <w:hideMark/>
          </w:tcPr>
          <w:p w14:paraId="2132B24D" w14:textId="77777777" w:rsidR="000E1565" w:rsidRPr="00F71A22" w:rsidRDefault="000E1565">
            <w:pPr>
              <w:pStyle w:val="TableText"/>
              <w:jc w:val="right"/>
            </w:pPr>
            <w:r w:rsidRPr="00F71A22">
              <w:t>182</w:t>
            </w:r>
          </w:p>
        </w:tc>
        <w:tc>
          <w:tcPr>
            <w:tcW w:w="1404" w:type="dxa"/>
            <w:tcBorders>
              <w:top w:val="nil"/>
              <w:left w:val="nil"/>
              <w:bottom w:val="nil"/>
              <w:right w:val="nil"/>
            </w:tcBorders>
            <w:shd w:val="clear" w:color="auto" w:fill="auto"/>
            <w:noWrap/>
            <w:vAlign w:val="bottom"/>
            <w:hideMark/>
          </w:tcPr>
          <w:p w14:paraId="30EF056C" w14:textId="77777777" w:rsidR="000E1565" w:rsidRPr="00F71A22" w:rsidRDefault="000E1565">
            <w:pPr>
              <w:pStyle w:val="TableText"/>
              <w:jc w:val="right"/>
            </w:pPr>
            <w:r w:rsidRPr="00F71A22">
              <w:t>4.4</w:t>
            </w:r>
          </w:p>
        </w:tc>
        <w:tc>
          <w:tcPr>
            <w:tcW w:w="1566" w:type="dxa"/>
            <w:tcBorders>
              <w:top w:val="nil"/>
              <w:left w:val="nil"/>
              <w:bottom w:val="nil"/>
              <w:right w:val="nil"/>
            </w:tcBorders>
            <w:shd w:val="clear" w:color="auto" w:fill="auto"/>
            <w:noWrap/>
            <w:vAlign w:val="bottom"/>
            <w:hideMark/>
          </w:tcPr>
          <w:p w14:paraId="5CAFC4B8" w14:textId="77777777" w:rsidR="000E1565" w:rsidRPr="00F71A22" w:rsidRDefault="000E1565">
            <w:pPr>
              <w:pStyle w:val="TableText"/>
              <w:jc w:val="right"/>
            </w:pPr>
            <w:r w:rsidRPr="00F71A22">
              <w:t>317</w:t>
            </w:r>
          </w:p>
        </w:tc>
        <w:tc>
          <w:tcPr>
            <w:tcW w:w="1404" w:type="dxa"/>
            <w:tcBorders>
              <w:top w:val="nil"/>
              <w:left w:val="nil"/>
              <w:bottom w:val="nil"/>
              <w:right w:val="nil"/>
            </w:tcBorders>
            <w:shd w:val="clear" w:color="auto" w:fill="auto"/>
            <w:noWrap/>
            <w:vAlign w:val="bottom"/>
            <w:hideMark/>
          </w:tcPr>
          <w:p w14:paraId="5E1AA16E" w14:textId="77777777" w:rsidR="000E1565" w:rsidRPr="00F71A22" w:rsidRDefault="000E1565">
            <w:pPr>
              <w:pStyle w:val="TableText"/>
              <w:jc w:val="right"/>
            </w:pPr>
            <w:r w:rsidRPr="00F71A22">
              <w:t>7.6</w:t>
            </w:r>
          </w:p>
        </w:tc>
      </w:tr>
      <w:tr w:rsidR="000E1565" w:rsidRPr="00F71A22" w14:paraId="23172334" w14:textId="77777777" w:rsidTr="003F73C7">
        <w:trPr>
          <w:trHeight w:val="283"/>
        </w:trPr>
        <w:tc>
          <w:tcPr>
            <w:tcW w:w="2127" w:type="dxa"/>
            <w:tcBorders>
              <w:top w:val="nil"/>
              <w:left w:val="nil"/>
              <w:bottom w:val="nil"/>
              <w:right w:val="nil"/>
            </w:tcBorders>
            <w:shd w:val="clear" w:color="auto" w:fill="auto"/>
            <w:noWrap/>
            <w:vAlign w:val="bottom"/>
            <w:hideMark/>
          </w:tcPr>
          <w:p w14:paraId="7DAF0C2E" w14:textId="2C10F2AB" w:rsidR="000E1565" w:rsidRPr="00F71A22" w:rsidRDefault="000E1565">
            <w:pPr>
              <w:pStyle w:val="TableText"/>
            </w:pPr>
            <w:r w:rsidRPr="00F71A22">
              <w:t xml:space="preserve">  Outer </w:t>
            </w:r>
            <w:r w:rsidR="00B41917">
              <w:t>r</w:t>
            </w:r>
            <w:r w:rsidRPr="00F71A22">
              <w:t>egional</w:t>
            </w:r>
          </w:p>
        </w:tc>
        <w:tc>
          <w:tcPr>
            <w:tcW w:w="1559" w:type="dxa"/>
            <w:tcBorders>
              <w:top w:val="nil"/>
              <w:left w:val="nil"/>
              <w:bottom w:val="nil"/>
              <w:right w:val="nil"/>
            </w:tcBorders>
            <w:shd w:val="clear" w:color="auto" w:fill="auto"/>
            <w:noWrap/>
            <w:vAlign w:val="bottom"/>
            <w:hideMark/>
          </w:tcPr>
          <w:p w14:paraId="3F73390C" w14:textId="77777777" w:rsidR="000E1565" w:rsidRPr="00F71A22" w:rsidRDefault="000E1565">
            <w:pPr>
              <w:pStyle w:val="TableText"/>
              <w:jc w:val="right"/>
            </w:pPr>
            <w:r w:rsidRPr="00F71A22">
              <w:t>1,610</w:t>
            </w:r>
          </w:p>
        </w:tc>
        <w:tc>
          <w:tcPr>
            <w:tcW w:w="1566" w:type="dxa"/>
            <w:tcBorders>
              <w:top w:val="nil"/>
              <w:left w:val="nil"/>
              <w:bottom w:val="nil"/>
              <w:right w:val="nil"/>
            </w:tcBorders>
            <w:shd w:val="clear" w:color="auto" w:fill="auto"/>
            <w:noWrap/>
            <w:vAlign w:val="bottom"/>
            <w:hideMark/>
          </w:tcPr>
          <w:p w14:paraId="42605069" w14:textId="77777777" w:rsidR="000E1565" w:rsidRPr="00F71A22" w:rsidRDefault="000E1565">
            <w:pPr>
              <w:pStyle w:val="TableText"/>
              <w:jc w:val="right"/>
            </w:pPr>
            <w:r w:rsidRPr="00F71A22">
              <w:t>100</w:t>
            </w:r>
          </w:p>
        </w:tc>
        <w:tc>
          <w:tcPr>
            <w:tcW w:w="1404" w:type="dxa"/>
            <w:tcBorders>
              <w:top w:val="nil"/>
              <w:left w:val="nil"/>
              <w:bottom w:val="nil"/>
              <w:right w:val="nil"/>
            </w:tcBorders>
            <w:shd w:val="clear" w:color="auto" w:fill="auto"/>
            <w:noWrap/>
            <w:vAlign w:val="bottom"/>
            <w:hideMark/>
          </w:tcPr>
          <w:p w14:paraId="03F997D3" w14:textId="77777777" w:rsidR="000E1565" w:rsidRPr="00F71A22" w:rsidRDefault="000E1565">
            <w:pPr>
              <w:pStyle w:val="TableText"/>
              <w:jc w:val="right"/>
            </w:pPr>
            <w:r w:rsidRPr="00F71A22">
              <w:t>6.2</w:t>
            </w:r>
          </w:p>
        </w:tc>
        <w:tc>
          <w:tcPr>
            <w:tcW w:w="1566" w:type="dxa"/>
            <w:tcBorders>
              <w:top w:val="nil"/>
              <w:left w:val="nil"/>
              <w:bottom w:val="nil"/>
              <w:right w:val="nil"/>
            </w:tcBorders>
            <w:shd w:val="clear" w:color="auto" w:fill="auto"/>
            <w:noWrap/>
            <w:vAlign w:val="bottom"/>
            <w:hideMark/>
          </w:tcPr>
          <w:p w14:paraId="19423EAA" w14:textId="77777777" w:rsidR="000E1565" w:rsidRPr="00F71A22" w:rsidRDefault="000E1565">
            <w:pPr>
              <w:pStyle w:val="TableText"/>
              <w:jc w:val="right"/>
            </w:pPr>
            <w:r w:rsidRPr="00F71A22">
              <w:t>138</w:t>
            </w:r>
          </w:p>
        </w:tc>
        <w:tc>
          <w:tcPr>
            <w:tcW w:w="1404" w:type="dxa"/>
            <w:tcBorders>
              <w:top w:val="nil"/>
              <w:left w:val="nil"/>
              <w:bottom w:val="nil"/>
              <w:right w:val="nil"/>
            </w:tcBorders>
            <w:shd w:val="clear" w:color="auto" w:fill="auto"/>
            <w:noWrap/>
            <w:vAlign w:val="bottom"/>
            <w:hideMark/>
          </w:tcPr>
          <w:p w14:paraId="1D6ABE66" w14:textId="77777777" w:rsidR="000E1565" w:rsidRPr="00F71A22" w:rsidRDefault="000E1565">
            <w:pPr>
              <w:pStyle w:val="TableText"/>
              <w:jc w:val="right"/>
            </w:pPr>
            <w:r w:rsidRPr="00F71A22">
              <w:t>8.6</w:t>
            </w:r>
          </w:p>
        </w:tc>
      </w:tr>
      <w:tr w:rsidR="003F73C7" w:rsidRPr="00F71A22" w14:paraId="374DDD09" w14:textId="77777777" w:rsidTr="003F73C7">
        <w:trPr>
          <w:trHeight w:val="283"/>
        </w:trPr>
        <w:tc>
          <w:tcPr>
            <w:tcW w:w="2127" w:type="dxa"/>
            <w:tcBorders>
              <w:top w:val="nil"/>
              <w:left w:val="nil"/>
              <w:bottom w:val="nil"/>
              <w:right w:val="nil"/>
            </w:tcBorders>
            <w:shd w:val="clear" w:color="auto" w:fill="D7D8D8"/>
            <w:noWrap/>
            <w:vAlign w:val="bottom"/>
            <w:hideMark/>
          </w:tcPr>
          <w:p w14:paraId="49AE34B1" w14:textId="77777777" w:rsidR="003F73C7" w:rsidRPr="00F71A22" w:rsidRDefault="003F73C7">
            <w:pPr>
              <w:pStyle w:val="TableText"/>
            </w:pPr>
            <w:r w:rsidRPr="00F71A22">
              <w:t>CALD</w:t>
            </w:r>
          </w:p>
        </w:tc>
        <w:tc>
          <w:tcPr>
            <w:tcW w:w="1559" w:type="dxa"/>
            <w:tcBorders>
              <w:top w:val="nil"/>
              <w:left w:val="nil"/>
              <w:bottom w:val="nil"/>
              <w:right w:val="nil"/>
            </w:tcBorders>
            <w:shd w:val="clear" w:color="auto" w:fill="D7D8D8"/>
            <w:noWrap/>
            <w:vAlign w:val="bottom"/>
            <w:hideMark/>
          </w:tcPr>
          <w:p w14:paraId="3B2849FC" w14:textId="618364A7" w:rsidR="003F73C7" w:rsidRPr="00F71A22" w:rsidRDefault="003F73C7" w:rsidP="00DE2392">
            <w:pPr>
              <w:pStyle w:val="TableText"/>
              <w:jc w:val="right"/>
            </w:pPr>
            <w:r w:rsidRPr="0051366F">
              <w:rPr>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13AB20AA" w14:textId="08B9394E"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2710E49D" w14:textId="44D8289F"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4E1F201E" w14:textId="339B39F3"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1B200ADF" w14:textId="650ADF1D" w:rsidR="003F73C7" w:rsidRPr="00F71A22" w:rsidRDefault="003F73C7" w:rsidP="00DE2392">
            <w:pPr>
              <w:pStyle w:val="TableText"/>
              <w:jc w:val="right"/>
              <w:rPr>
                <w:rFonts w:ascii="Times New Roman" w:hAnsi="Times New Roman"/>
              </w:rPr>
            </w:pPr>
            <w:r w:rsidRPr="0051366F">
              <w:rPr>
                <w:color w:val="D9D9D9" w:themeColor="background1" w:themeShade="D9"/>
              </w:rPr>
              <w:t>—</w:t>
            </w:r>
          </w:p>
        </w:tc>
      </w:tr>
      <w:tr w:rsidR="000E1565" w:rsidRPr="00F71A22" w14:paraId="5B8EC64E" w14:textId="77777777" w:rsidTr="003F73C7">
        <w:trPr>
          <w:trHeight w:val="283"/>
        </w:trPr>
        <w:tc>
          <w:tcPr>
            <w:tcW w:w="2127" w:type="dxa"/>
            <w:tcBorders>
              <w:top w:val="nil"/>
              <w:left w:val="nil"/>
              <w:bottom w:val="nil"/>
              <w:right w:val="nil"/>
            </w:tcBorders>
            <w:shd w:val="clear" w:color="auto" w:fill="auto"/>
            <w:noWrap/>
            <w:vAlign w:val="bottom"/>
            <w:hideMark/>
          </w:tcPr>
          <w:p w14:paraId="41257BCF" w14:textId="77777777" w:rsidR="000E1565" w:rsidRPr="00F71A22" w:rsidRDefault="000E1565">
            <w:pPr>
              <w:pStyle w:val="TableText"/>
            </w:pPr>
            <w:r w:rsidRPr="00F71A22">
              <w:t xml:space="preserve">  Yes</w:t>
            </w:r>
          </w:p>
        </w:tc>
        <w:tc>
          <w:tcPr>
            <w:tcW w:w="1559" w:type="dxa"/>
            <w:tcBorders>
              <w:top w:val="nil"/>
              <w:left w:val="nil"/>
              <w:bottom w:val="nil"/>
              <w:right w:val="nil"/>
            </w:tcBorders>
            <w:shd w:val="clear" w:color="auto" w:fill="auto"/>
            <w:noWrap/>
            <w:vAlign w:val="bottom"/>
            <w:hideMark/>
          </w:tcPr>
          <w:p w14:paraId="560B905C" w14:textId="77777777" w:rsidR="000E1565" w:rsidRPr="00F71A22" w:rsidRDefault="000E1565">
            <w:pPr>
              <w:pStyle w:val="TableText"/>
              <w:jc w:val="right"/>
            </w:pPr>
            <w:r w:rsidRPr="00F71A22">
              <w:t>3,510</w:t>
            </w:r>
          </w:p>
        </w:tc>
        <w:tc>
          <w:tcPr>
            <w:tcW w:w="1566" w:type="dxa"/>
            <w:tcBorders>
              <w:top w:val="nil"/>
              <w:left w:val="nil"/>
              <w:bottom w:val="nil"/>
              <w:right w:val="nil"/>
            </w:tcBorders>
            <w:shd w:val="clear" w:color="auto" w:fill="auto"/>
            <w:noWrap/>
            <w:vAlign w:val="bottom"/>
            <w:hideMark/>
          </w:tcPr>
          <w:p w14:paraId="14AE034C" w14:textId="77777777" w:rsidR="000E1565" w:rsidRPr="00F71A22" w:rsidRDefault="000E1565">
            <w:pPr>
              <w:pStyle w:val="TableText"/>
              <w:jc w:val="right"/>
            </w:pPr>
            <w:r w:rsidRPr="00F71A22">
              <w:t>187</w:t>
            </w:r>
          </w:p>
        </w:tc>
        <w:tc>
          <w:tcPr>
            <w:tcW w:w="1404" w:type="dxa"/>
            <w:tcBorders>
              <w:top w:val="nil"/>
              <w:left w:val="nil"/>
              <w:bottom w:val="nil"/>
              <w:right w:val="nil"/>
            </w:tcBorders>
            <w:shd w:val="clear" w:color="auto" w:fill="auto"/>
            <w:noWrap/>
            <w:vAlign w:val="bottom"/>
            <w:hideMark/>
          </w:tcPr>
          <w:p w14:paraId="72C14755" w14:textId="77777777" w:rsidR="000E1565" w:rsidRPr="00F71A22" w:rsidRDefault="000E1565">
            <w:pPr>
              <w:pStyle w:val="TableText"/>
              <w:jc w:val="right"/>
            </w:pPr>
            <w:r w:rsidRPr="00F71A22">
              <w:t>5.3</w:t>
            </w:r>
          </w:p>
        </w:tc>
        <w:tc>
          <w:tcPr>
            <w:tcW w:w="1566" w:type="dxa"/>
            <w:tcBorders>
              <w:top w:val="nil"/>
              <w:left w:val="nil"/>
              <w:bottom w:val="nil"/>
              <w:right w:val="nil"/>
            </w:tcBorders>
            <w:shd w:val="clear" w:color="auto" w:fill="auto"/>
            <w:noWrap/>
            <w:vAlign w:val="bottom"/>
            <w:hideMark/>
          </w:tcPr>
          <w:p w14:paraId="7BDA8814" w14:textId="77777777" w:rsidR="000E1565" w:rsidRPr="00F71A22" w:rsidRDefault="000E1565">
            <w:pPr>
              <w:pStyle w:val="TableText"/>
              <w:jc w:val="right"/>
            </w:pPr>
            <w:r w:rsidRPr="00F71A22">
              <w:t>190</w:t>
            </w:r>
          </w:p>
        </w:tc>
        <w:tc>
          <w:tcPr>
            <w:tcW w:w="1404" w:type="dxa"/>
            <w:tcBorders>
              <w:top w:val="nil"/>
              <w:left w:val="nil"/>
              <w:bottom w:val="nil"/>
              <w:right w:val="nil"/>
            </w:tcBorders>
            <w:shd w:val="clear" w:color="auto" w:fill="auto"/>
            <w:noWrap/>
            <w:vAlign w:val="bottom"/>
            <w:hideMark/>
          </w:tcPr>
          <w:p w14:paraId="09A35F61" w14:textId="77777777" w:rsidR="000E1565" w:rsidRPr="00F71A22" w:rsidRDefault="000E1565">
            <w:pPr>
              <w:pStyle w:val="TableText"/>
              <w:jc w:val="right"/>
            </w:pPr>
            <w:r w:rsidRPr="00F71A22">
              <w:t>5.4</w:t>
            </w:r>
          </w:p>
        </w:tc>
      </w:tr>
      <w:tr w:rsidR="000E1565" w:rsidRPr="00F71A22" w14:paraId="61B2D1A6" w14:textId="77777777" w:rsidTr="003F73C7">
        <w:trPr>
          <w:trHeight w:val="283"/>
        </w:trPr>
        <w:tc>
          <w:tcPr>
            <w:tcW w:w="2127" w:type="dxa"/>
            <w:tcBorders>
              <w:top w:val="nil"/>
              <w:left w:val="nil"/>
              <w:bottom w:val="nil"/>
              <w:right w:val="nil"/>
            </w:tcBorders>
            <w:shd w:val="clear" w:color="auto" w:fill="auto"/>
            <w:noWrap/>
            <w:vAlign w:val="bottom"/>
            <w:hideMark/>
          </w:tcPr>
          <w:p w14:paraId="0F5A95C6" w14:textId="77777777" w:rsidR="000E1565" w:rsidRPr="00F71A22" w:rsidRDefault="000E1565">
            <w:pPr>
              <w:pStyle w:val="TableText"/>
            </w:pPr>
            <w:r w:rsidRPr="00F71A22">
              <w:t xml:space="preserve">  No </w:t>
            </w:r>
          </w:p>
        </w:tc>
        <w:tc>
          <w:tcPr>
            <w:tcW w:w="1559" w:type="dxa"/>
            <w:tcBorders>
              <w:top w:val="nil"/>
              <w:left w:val="nil"/>
              <w:bottom w:val="nil"/>
              <w:right w:val="nil"/>
            </w:tcBorders>
            <w:shd w:val="clear" w:color="auto" w:fill="auto"/>
            <w:noWrap/>
            <w:vAlign w:val="bottom"/>
            <w:hideMark/>
          </w:tcPr>
          <w:p w14:paraId="213094F0" w14:textId="77777777" w:rsidR="000E1565" w:rsidRPr="00F71A22" w:rsidRDefault="000E1565">
            <w:pPr>
              <w:pStyle w:val="TableText"/>
              <w:jc w:val="right"/>
            </w:pPr>
            <w:r w:rsidRPr="00F71A22">
              <w:t>17,983</w:t>
            </w:r>
          </w:p>
        </w:tc>
        <w:tc>
          <w:tcPr>
            <w:tcW w:w="1566" w:type="dxa"/>
            <w:tcBorders>
              <w:top w:val="nil"/>
              <w:left w:val="nil"/>
              <w:bottom w:val="nil"/>
              <w:right w:val="nil"/>
            </w:tcBorders>
            <w:shd w:val="clear" w:color="auto" w:fill="auto"/>
            <w:noWrap/>
            <w:vAlign w:val="bottom"/>
            <w:hideMark/>
          </w:tcPr>
          <w:p w14:paraId="5FCE8404" w14:textId="77777777" w:rsidR="000E1565" w:rsidRPr="00F71A22" w:rsidRDefault="000E1565">
            <w:pPr>
              <w:pStyle w:val="TableText"/>
              <w:jc w:val="right"/>
            </w:pPr>
            <w:r w:rsidRPr="00F71A22">
              <w:t>623</w:t>
            </w:r>
          </w:p>
        </w:tc>
        <w:tc>
          <w:tcPr>
            <w:tcW w:w="1404" w:type="dxa"/>
            <w:tcBorders>
              <w:top w:val="nil"/>
              <w:left w:val="nil"/>
              <w:bottom w:val="nil"/>
              <w:right w:val="nil"/>
            </w:tcBorders>
            <w:shd w:val="clear" w:color="auto" w:fill="auto"/>
            <w:noWrap/>
            <w:vAlign w:val="bottom"/>
            <w:hideMark/>
          </w:tcPr>
          <w:p w14:paraId="10AB7C93" w14:textId="77777777" w:rsidR="000E1565" w:rsidRPr="00F71A22" w:rsidRDefault="000E1565">
            <w:pPr>
              <w:pStyle w:val="TableText"/>
              <w:jc w:val="right"/>
            </w:pPr>
            <w:r w:rsidRPr="00F71A22">
              <w:t>3.5</w:t>
            </w:r>
          </w:p>
        </w:tc>
        <w:tc>
          <w:tcPr>
            <w:tcW w:w="1566" w:type="dxa"/>
            <w:tcBorders>
              <w:top w:val="nil"/>
              <w:left w:val="nil"/>
              <w:bottom w:val="nil"/>
              <w:right w:val="nil"/>
            </w:tcBorders>
            <w:shd w:val="clear" w:color="auto" w:fill="auto"/>
            <w:noWrap/>
            <w:vAlign w:val="bottom"/>
            <w:hideMark/>
          </w:tcPr>
          <w:p w14:paraId="1DD6D531" w14:textId="77777777" w:rsidR="000E1565" w:rsidRPr="00F71A22" w:rsidRDefault="000E1565">
            <w:pPr>
              <w:pStyle w:val="TableText"/>
              <w:jc w:val="right"/>
            </w:pPr>
            <w:r w:rsidRPr="00F71A22">
              <w:t>1,001</w:t>
            </w:r>
          </w:p>
        </w:tc>
        <w:tc>
          <w:tcPr>
            <w:tcW w:w="1404" w:type="dxa"/>
            <w:tcBorders>
              <w:top w:val="nil"/>
              <w:left w:val="nil"/>
              <w:bottom w:val="nil"/>
              <w:right w:val="nil"/>
            </w:tcBorders>
            <w:shd w:val="clear" w:color="auto" w:fill="auto"/>
            <w:noWrap/>
            <w:vAlign w:val="bottom"/>
            <w:hideMark/>
          </w:tcPr>
          <w:p w14:paraId="55BD7EB5" w14:textId="77777777" w:rsidR="000E1565" w:rsidRPr="00F71A22" w:rsidRDefault="000E1565">
            <w:pPr>
              <w:pStyle w:val="TableText"/>
              <w:jc w:val="right"/>
            </w:pPr>
            <w:r w:rsidRPr="00F71A22">
              <w:t>5.6</w:t>
            </w:r>
          </w:p>
        </w:tc>
      </w:tr>
      <w:tr w:rsidR="003F73C7" w:rsidRPr="00F71A22" w14:paraId="547B9757" w14:textId="77777777" w:rsidTr="003F73C7">
        <w:trPr>
          <w:trHeight w:val="283"/>
        </w:trPr>
        <w:tc>
          <w:tcPr>
            <w:tcW w:w="2127" w:type="dxa"/>
            <w:tcBorders>
              <w:top w:val="nil"/>
              <w:left w:val="nil"/>
              <w:bottom w:val="nil"/>
              <w:right w:val="nil"/>
            </w:tcBorders>
            <w:shd w:val="clear" w:color="auto" w:fill="D7D8D8"/>
            <w:noWrap/>
            <w:vAlign w:val="bottom"/>
            <w:hideMark/>
          </w:tcPr>
          <w:p w14:paraId="2421BCBA" w14:textId="1261ADDE" w:rsidR="003F73C7" w:rsidRPr="00F71A22" w:rsidRDefault="003F73C7">
            <w:pPr>
              <w:pStyle w:val="TableText"/>
            </w:pPr>
            <w:r w:rsidRPr="00F71A22">
              <w:t xml:space="preserve">Previous </w:t>
            </w:r>
            <w:r>
              <w:t>i</w:t>
            </w:r>
            <w:r w:rsidRPr="00F71A22">
              <w:t xml:space="preserve">ncome </w:t>
            </w:r>
            <w:r>
              <w:t>s</w:t>
            </w:r>
            <w:r w:rsidRPr="00F71A22">
              <w:t>upport</w:t>
            </w:r>
          </w:p>
        </w:tc>
        <w:tc>
          <w:tcPr>
            <w:tcW w:w="1559" w:type="dxa"/>
            <w:tcBorders>
              <w:top w:val="nil"/>
              <w:left w:val="nil"/>
              <w:bottom w:val="nil"/>
              <w:right w:val="nil"/>
            </w:tcBorders>
            <w:shd w:val="clear" w:color="auto" w:fill="D7D8D8"/>
            <w:noWrap/>
            <w:vAlign w:val="bottom"/>
            <w:hideMark/>
          </w:tcPr>
          <w:p w14:paraId="3D51E2DE" w14:textId="21CAC107" w:rsidR="003F73C7" w:rsidRPr="00F71A22" w:rsidRDefault="003F73C7" w:rsidP="00DE2392">
            <w:pPr>
              <w:pStyle w:val="TableText"/>
              <w:jc w:val="right"/>
            </w:pPr>
            <w:r w:rsidRPr="0051366F">
              <w:rPr>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09793A70" w14:textId="7A5BE6FB"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0AC3A1B9" w14:textId="32B9294A"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566" w:type="dxa"/>
            <w:tcBorders>
              <w:top w:val="nil"/>
              <w:left w:val="nil"/>
              <w:bottom w:val="nil"/>
              <w:right w:val="nil"/>
            </w:tcBorders>
            <w:shd w:val="clear" w:color="auto" w:fill="D7D8D8"/>
            <w:noWrap/>
            <w:vAlign w:val="bottom"/>
            <w:hideMark/>
          </w:tcPr>
          <w:p w14:paraId="0E1FF12E" w14:textId="0471CA56" w:rsidR="003F73C7" w:rsidRPr="00F71A22" w:rsidRDefault="003F73C7" w:rsidP="00DE2392">
            <w:pPr>
              <w:pStyle w:val="TableText"/>
              <w:jc w:val="right"/>
              <w:rPr>
                <w:rFonts w:ascii="Times New Roman" w:hAnsi="Times New Roman"/>
              </w:rPr>
            </w:pPr>
            <w:r w:rsidRPr="0051366F">
              <w:rPr>
                <w:rFonts w:eastAsia="Times New Roman"/>
                <w:color w:val="D9D9D9" w:themeColor="background1" w:themeShade="D9"/>
              </w:rPr>
              <w:t>—</w:t>
            </w:r>
          </w:p>
        </w:tc>
        <w:tc>
          <w:tcPr>
            <w:tcW w:w="1404" w:type="dxa"/>
            <w:tcBorders>
              <w:top w:val="nil"/>
              <w:left w:val="nil"/>
              <w:bottom w:val="nil"/>
              <w:right w:val="nil"/>
            </w:tcBorders>
            <w:shd w:val="clear" w:color="auto" w:fill="D7D8D8"/>
            <w:noWrap/>
            <w:vAlign w:val="bottom"/>
            <w:hideMark/>
          </w:tcPr>
          <w:p w14:paraId="7A74234F" w14:textId="1C6BFF8A" w:rsidR="003F73C7" w:rsidRPr="00F71A22" w:rsidRDefault="003F73C7" w:rsidP="00DE2392">
            <w:pPr>
              <w:pStyle w:val="TableText"/>
              <w:jc w:val="right"/>
              <w:rPr>
                <w:rFonts w:ascii="Times New Roman" w:hAnsi="Times New Roman"/>
              </w:rPr>
            </w:pPr>
            <w:r w:rsidRPr="0051366F">
              <w:rPr>
                <w:color w:val="D9D9D9" w:themeColor="background1" w:themeShade="D9"/>
              </w:rPr>
              <w:t>—</w:t>
            </w:r>
          </w:p>
        </w:tc>
      </w:tr>
      <w:tr w:rsidR="000E1565" w:rsidRPr="00F71A22" w14:paraId="482BD6B1" w14:textId="77777777" w:rsidTr="003F73C7">
        <w:trPr>
          <w:trHeight w:val="283"/>
        </w:trPr>
        <w:tc>
          <w:tcPr>
            <w:tcW w:w="2127" w:type="dxa"/>
            <w:tcBorders>
              <w:top w:val="nil"/>
              <w:left w:val="nil"/>
              <w:right w:val="nil"/>
            </w:tcBorders>
            <w:shd w:val="clear" w:color="auto" w:fill="auto"/>
            <w:noWrap/>
            <w:vAlign w:val="bottom"/>
            <w:hideMark/>
          </w:tcPr>
          <w:p w14:paraId="2469D85F" w14:textId="77777777" w:rsidR="000E1565" w:rsidRPr="00F71A22" w:rsidRDefault="000E1565">
            <w:pPr>
              <w:pStyle w:val="TableText"/>
            </w:pPr>
            <w:r w:rsidRPr="00F71A22">
              <w:t xml:space="preserve">  Yes</w:t>
            </w:r>
          </w:p>
        </w:tc>
        <w:tc>
          <w:tcPr>
            <w:tcW w:w="1559" w:type="dxa"/>
            <w:tcBorders>
              <w:top w:val="nil"/>
              <w:left w:val="nil"/>
              <w:right w:val="nil"/>
            </w:tcBorders>
            <w:shd w:val="clear" w:color="auto" w:fill="auto"/>
            <w:noWrap/>
            <w:vAlign w:val="bottom"/>
            <w:hideMark/>
          </w:tcPr>
          <w:p w14:paraId="0B9E8058" w14:textId="77777777" w:rsidR="000E1565" w:rsidRPr="00F71A22" w:rsidRDefault="000E1565">
            <w:pPr>
              <w:pStyle w:val="TableText"/>
              <w:jc w:val="right"/>
            </w:pPr>
            <w:r w:rsidRPr="00F71A22">
              <w:t>1,421</w:t>
            </w:r>
          </w:p>
        </w:tc>
        <w:tc>
          <w:tcPr>
            <w:tcW w:w="1566" w:type="dxa"/>
            <w:tcBorders>
              <w:top w:val="nil"/>
              <w:left w:val="nil"/>
              <w:right w:val="nil"/>
            </w:tcBorders>
            <w:shd w:val="clear" w:color="auto" w:fill="auto"/>
            <w:noWrap/>
            <w:vAlign w:val="bottom"/>
            <w:hideMark/>
          </w:tcPr>
          <w:p w14:paraId="5AAE5C8D" w14:textId="77777777" w:rsidR="000E1565" w:rsidRPr="00F71A22" w:rsidRDefault="000E1565">
            <w:pPr>
              <w:pStyle w:val="TableText"/>
              <w:jc w:val="right"/>
            </w:pPr>
            <w:r w:rsidRPr="00F71A22">
              <w:t>86</w:t>
            </w:r>
          </w:p>
        </w:tc>
        <w:tc>
          <w:tcPr>
            <w:tcW w:w="1404" w:type="dxa"/>
            <w:tcBorders>
              <w:top w:val="nil"/>
              <w:left w:val="nil"/>
              <w:right w:val="nil"/>
            </w:tcBorders>
            <w:shd w:val="clear" w:color="auto" w:fill="auto"/>
            <w:noWrap/>
            <w:vAlign w:val="bottom"/>
            <w:hideMark/>
          </w:tcPr>
          <w:p w14:paraId="6E2169FB" w14:textId="77777777" w:rsidR="000E1565" w:rsidRPr="00F71A22" w:rsidRDefault="000E1565">
            <w:pPr>
              <w:pStyle w:val="TableText"/>
              <w:jc w:val="right"/>
            </w:pPr>
            <w:r w:rsidRPr="00F71A22">
              <w:t>6.1</w:t>
            </w:r>
          </w:p>
        </w:tc>
        <w:tc>
          <w:tcPr>
            <w:tcW w:w="1566" w:type="dxa"/>
            <w:tcBorders>
              <w:top w:val="nil"/>
              <w:left w:val="nil"/>
              <w:right w:val="nil"/>
            </w:tcBorders>
            <w:shd w:val="clear" w:color="auto" w:fill="auto"/>
            <w:noWrap/>
            <w:vAlign w:val="bottom"/>
            <w:hideMark/>
          </w:tcPr>
          <w:p w14:paraId="12EBBD72" w14:textId="77777777" w:rsidR="000E1565" w:rsidRPr="00F71A22" w:rsidRDefault="000E1565">
            <w:pPr>
              <w:pStyle w:val="TableText"/>
              <w:jc w:val="right"/>
            </w:pPr>
            <w:r w:rsidRPr="00F71A22">
              <w:t>93</w:t>
            </w:r>
          </w:p>
        </w:tc>
        <w:tc>
          <w:tcPr>
            <w:tcW w:w="1404" w:type="dxa"/>
            <w:tcBorders>
              <w:top w:val="nil"/>
              <w:left w:val="nil"/>
              <w:right w:val="nil"/>
            </w:tcBorders>
            <w:shd w:val="clear" w:color="auto" w:fill="auto"/>
            <w:noWrap/>
            <w:vAlign w:val="bottom"/>
            <w:hideMark/>
          </w:tcPr>
          <w:p w14:paraId="78CF6A3E" w14:textId="77777777" w:rsidR="000E1565" w:rsidRPr="00F71A22" w:rsidRDefault="000E1565">
            <w:pPr>
              <w:pStyle w:val="TableText"/>
              <w:jc w:val="right"/>
            </w:pPr>
            <w:r w:rsidRPr="00F71A22">
              <w:t>6.5</w:t>
            </w:r>
          </w:p>
        </w:tc>
      </w:tr>
      <w:tr w:rsidR="000E1565" w:rsidRPr="00F71A22" w14:paraId="2E4B3D56" w14:textId="77777777" w:rsidTr="003F73C7">
        <w:trPr>
          <w:trHeight w:val="283"/>
        </w:trPr>
        <w:tc>
          <w:tcPr>
            <w:tcW w:w="2127" w:type="dxa"/>
            <w:tcBorders>
              <w:top w:val="nil"/>
              <w:left w:val="nil"/>
              <w:right w:val="nil"/>
            </w:tcBorders>
            <w:shd w:val="clear" w:color="auto" w:fill="auto"/>
            <w:noWrap/>
            <w:vAlign w:val="bottom"/>
            <w:hideMark/>
          </w:tcPr>
          <w:p w14:paraId="54D81C0A" w14:textId="77777777" w:rsidR="000E1565" w:rsidRPr="00F71A22" w:rsidRDefault="000E1565">
            <w:pPr>
              <w:pStyle w:val="TableText"/>
            </w:pPr>
            <w:r w:rsidRPr="00F71A22">
              <w:t xml:space="preserve">  No </w:t>
            </w:r>
          </w:p>
        </w:tc>
        <w:tc>
          <w:tcPr>
            <w:tcW w:w="1559" w:type="dxa"/>
            <w:tcBorders>
              <w:top w:val="nil"/>
              <w:left w:val="nil"/>
              <w:right w:val="nil"/>
            </w:tcBorders>
            <w:shd w:val="clear" w:color="auto" w:fill="auto"/>
            <w:noWrap/>
            <w:vAlign w:val="bottom"/>
            <w:hideMark/>
          </w:tcPr>
          <w:p w14:paraId="01B8A060" w14:textId="77777777" w:rsidR="000E1565" w:rsidRPr="00F71A22" w:rsidRDefault="000E1565">
            <w:pPr>
              <w:pStyle w:val="TableText"/>
              <w:jc w:val="right"/>
            </w:pPr>
            <w:r w:rsidRPr="00F71A22">
              <w:t>20,072</w:t>
            </w:r>
          </w:p>
        </w:tc>
        <w:tc>
          <w:tcPr>
            <w:tcW w:w="1566" w:type="dxa"/>
            <w:tcBorders>
              <w:top w:val="nil"/>
              <w:left w:val="nil"/>
              <w:right w:val="nil"/>
            </w:tcBorders>
            <w:shd w:val="clear" w:color="auto" w:fill="auto"/>
            <w:noWrap/>
            <w:vAlign w:val="bottom"/>
            <w:hideMark/>
          </w:tcPr>
          <w:p w14:paraId="22ED3634" w14:textId="77777777" w:rsidR="000E1565" w:rsidRPr="00F71A22" w:rsidRDefault="000E1565">
            <w:pPr>
              <w:pStyle w:val="TableText"/>
              <w:jc w:val="right"/>
            </w:pPr>
            <w:r w:rsidRPr="00F71A22">
              <w:t>724</w:t>
            </w:r>
          </w:p>
        </w:tc>
        <w:tc>
          <w:tcPr>
            <w:tcW w:w="1404" w:type="dxa"/>
            <w:tcBorders>
              <w:top w:val="nil"/>
              <w:left w:val="nil"/>
              <w:right w:val="nil"/>
            </w:tcBorders>
            <w:shd w:val="clear" w:color="auto" w:fill="auto"/>
            <w:noWrap/>
            <w:vAlign w:val="bottom"/>
            <w:hideMark/>
          </w:tcPr>
          <w:p w14:paraId="01452CA2" w14:textId="77777777" w:rsidR="000E1565" w:rsidRPr="00F71A22" w:rsidRDefault="000E1565">
            <w:pPr>
              <w:pStyle w:val="TableText"/>
              <w:jc w:val="right"/>
            </w:pPr>
            <w:r w:rsidRPr="00F71A22">
              <w:t>3.6</w:t>
            </w:r>
          </w:p>
        </w:tc>
        <w:tc>
          <w:tcPr>
            <w:tcW w:w="1566" w:type="dxa"/>
            <w:tcBorders>
              <w:top w:val="nil"/>
              <w:left w:val="nil"/>
              <w:right w:val="nil"/>
            </w:tcBorders>
            <w:shd w:val="clear" w:color="auto" w:fill="auto"/>
            <w:noWrap/>
            <w:vAlign w:val="bottom"/>
            <w:hideMark/>
          </w:tcPr>
          <w:p w14:paraId="55CDEEC2" w14:textId="77777777" w:rsidR="000E1565" w:rsidRPr="00F71A22" w:rsidRDefault="000E1565">
            <w:pPr>
              <w:pStyle w:val="TableText"/>
              <w:jc w:val="right"/>
            </w:pPr>
            <w:r w:rsidRPr="00F71A22">
              <w:t>1,098</w:t>
            </w:r>
          </w:p>
        </w:tc>
        <w:tc>
          <w:tcPr>
            <w:tcW w:w="1404" w:type="dxa"/>
            <w:tcBorders>
              <w:top w:val="nil"/>
              <w:left w:val="nil"/>
              <w:right w:val="nil"/>
            </w:tcBorders>
            <w:shd w:val="clear" w:color="auto" w:fill="auto"/>
            <w:noWrap/>
            <w:vAlign w:val="bottom"/>
            <w:hideMark/>
          </w:tcPr>
          <w:p w14:paraId="584D7340" w14:textId="77777777" w:rsidR="000E1565" w:rsidRPr="00F71A22" w:rsidRDefault="000E1565">
            <w:pPr>
              <w:pStyle w:val="TableText"/>
              <w:jc w:val="right"/>
            </w:pPr>
            <w:r w:rsidRPr="00F71A22">
              <w:t>5.5</w:t>
            </w:r>
          </w:p>
        </w:tc>
      </w:tr>
      <w:tr w:rsidR="003F73C7" w:rsidRPr="00F71A22" w14:paraId="21BFE183" w14:textId="77777777" w:rsidTr="003F73C7">
        <w:trPr>
          <w:trHeight w:val="283"/>
        </w:trPr>
        <w:tc>
          <w:tcPr>
            <w:tcW w:w="2127" w:type="dxa"/>
            <w:tcBorders>
              <w:top w:val="nil"/>
              <w:left w:val="nil"/>
              <w:right w:val="nil"/>
            </w:tcBorders>
            <w:shd w:val="clear" w:color="auto" w:fill="D7D8D8"/>
            <w:noWrap/>
            <w:vAlign w:val="bottom"/>
          </w:tcPr>
          <w:p w14:paraId="6D8C0438" w14:textId="3BFDBF85" w:rsidR="003F73C7" w:rsidRPr="00F71A22" w:rsidRDefault="003F73C7" w:rsidP="00DE2392">
            <w:pPr>
              <w:pStyle w:val="TableText"/>
              <w:keepNext/>
              <w:rPr>
                <w:color w:val="000000"/>
              </w:rPr>
            </w:pPr>
            <w:r w:rsidRPr="00F71A22">
              <w:rPr>
                <w:color w:val="000000"/>
              </w:rPr>
              <w:t>Previous jobactive experience</w:t>
            </w:r>
          </w:p>
        </w:tc>
        <w:tc>
          <w:tcPr>
            <w:tcW w:w="1559" w:type="dxa"/>
            <w:tcBorders>
              <w:top w:val="nil"/>
              <w:left w:val="nil"/>
              <w:right w:val="nil"/>
            </w:tcBorders>
            <w:shd w:val="clear" w:color="auto" w:fill="D7D8D8"/>
            <w:noWrap/>
            <w:vAlign w:val="bottom"/>
          </w:tcPr>
          <w:p w14:paraId="2F8AC870" w14:textId="79621FD5" w:rsidR="003F73C7" w:rsidRPr="00F71A22" w:rsidRDefault="003F73C7">
            <w:pPr>
              <w:pStyle w:val="TableText"/>
              <w:jc w:val="right"/>
              <w:rPr>
                <w:color w:val="000000"/>
              </w:rPr>
            </w:pPr>
            <w:r w:rsidRPr="0051366F">
              <w:rPr>
                <w:color w:val="D9D9D9" w:themeColor="background1" w:themeShade="D9"/>
              </w:rPr>
              <w:t>—</w:t>
            </w:r>
          </w:p>
        </w:tc>
        <w:tc>
          <w:tcPr>
            <w:tcW w:w="1566" w:type="dxa"/>
            <w:tcBorders>
              <w:top w:val="nil"/>
              <w:left w:val="nil"/>
              <w:right w:val="nil"/>
            </w:tcBorders>
            <w:shd w:val="clear" w:color="auto" w:fill="D7D8D8"/>
            <w:noWrap/>
            <w:vAlign w:val="bottom"/>
          </w:tcPr>
          <w:p w14:paraId="7A384055" w14:textId="446C2045" w:rsidR="003F73C7" w:rsidRPr="00F71A22" w:rsidRDefault="003F73C7">
            <w:pPr>
              <w:pStyle w:val="TableText"/>
              <w:jc w:val="right"/>
              <w:rPr>
                <w:color w:val="000000"/>
              </w:rPr>
            </w:pPr>
            <w:r w:rsidRPr="0051366F">
              <w:rPr>
                <w:rFonts w:eastAsia="Times New Roman"/>
                <w:color w:val="D9D9D9" w:themeColor="background1" w:themeShade="D9"/>
              </w:rPr>
              <w:t>—</w:t>
            </w:r>
          </w:p>
        </w:tc>
        <w:tc>
          <w:tcPr>
            <w:tcW w:w="1404" w:type="dxa"/>
            <w:tcBorders>
              <w:top w:val="nil"/>
              <w:left w:val="nil"/>
              <w:right w:val="nil"/>
            </w:tcBorders>
            <w:shd w:val="clear" w:color="auto" w:fill="D7D8D8"/>
            <w:noWrap/>
            <w:vAlign w:val="bottom"/>
          </w:tcPr>
          <w:p w14:paraId="5B09004D" w14:textId="031ED482" w:rsidR="003F73C7" w:rsidRPr="00F71A22" w:rsidRDefault="003F73C7">
            <w:pPr>
              <w:pStyle w:val="TableText"/>
              <w:jc w:val="right"/>
              <w:rPr>
                <w:color w:val="000000"/>
              </w:rPr>
            </w:pPr>
            <w:r w:rsidRPr="0051366F">
              <w:rPr>
                <w:rFonts w:eastAsia="Times New Roman"/>
                <w:color w:val="D9D9D9" w:themeColor="background1" w:themeShade="D9"/>
              </w:rPr>
              <w:t>—</w:t>
            </w:r>
          </w:p>
        </w:tc>
        <w:tc>
          <w:tcPr>
            <w:tcW w:w="1566" w:type="dxa"/>
            <w:tcBorders>
              <w:top w:val="nil"/>
              <w:left w:val="nil"/>
              <w:right w:val="nil"/>
            </w:tcBorders>
            <w:shd w:val="clear" w:color="auto" w:fill="D7D8D8"/>
            <w:noWrap/>
            <w:vAlign w:val="bottom"/>
          </w:tcPr>
          <w:p w14:paraId="035D7AE5" w14:textId="50CB1FBF" w:rsidR="003F73C7" w:rsidRPr="00F71A22" w:rsidRDefault="003F73C7">
            <w:pPr>
              <w:pStyle w:val="TableText"/>
              <w:jc w:val="right"/>
              <w:rPr>
                <w:color w:val="000000"/>
              </w:rPr>
            </w:pPr>
            <w:r w:rsidRPr="0051366F">
              <w:rPr>
                <w:rFonts w:eastAsia="Times New Roman"/>
                <w:color w:val="D9D9D9" w:themeColor="background1" w:themeShade="D9"/>
              </w:rPr>
              <w:t>—</w:t>
            </w:r>
          </w:p>
        </w:tc>
        <w:tc>
          <w:tcPr>
            <w:tcW w:w="1404" w:type="dxa"/>
            <w:tcBorders>
              <w:top w:val="nil"/>
              <w:left w:val="nil"/>
              <w:right w:val="nil"/>
            </w:tcBorders>
            <w:shd w:val="clear" w:color="auto" w:fill="D7D8D8"/>
            <w:noWrap/>
            <w:vAlign w:val="bottom"/>
          </w:tcPr>
          <w:p w14:paraId="34404C67" w14:textId="1B8DB5C9" w:rsidR="003F73C7" w:rsidRPr="00F71A22" w:rsidRDefault="003F73C7">
            <w:pPr>
              <w:pStyle w:val="TableText"/>
              <w:jc w:val="right"/>
              <w:rPr>
                <w:color w:val="000000"/>
              </w:rPr>
            </w:pPr>
            <w:r w:rsidRPr="0051366F">
              <w:rPr>
                <w:color w:val="D9D9D9" w:themeColor="background1" w:themeShade="D9"/>
              </w:rPr>
              <w:t>—</w:t>
            </w:r>
          </w:p>
        </w:tc>
      </w:tr>
      <w:tr w:rsidR="0061183F" w:rsidRPr="00F71A22" w14:paraId="2766829C" w14:textId="77777777" w:rsidTr="003F73C7">
        <w:trPr>
          <w:trHeight w:val="283"/>
        </w:trPr>
        <w:tc>
          <w:tcPr>
            <w:tcW w:w="2127" w:type="dxa"/>
            <w:tcBorders>
              <w:top w:val="nil"/>
              <w:left w:val="nil"/>
              <w:right w:val="nil"/>
            </w:tcBorders>
            <w:shd w:val="clear" w:color="auto" w:fill="auto"/>
            <w:noWrap/>
            <w:vAlign w:val="bottom"/>
          </w:tcPr>
          <w:p w14:paraId="241C2D4D" w14:textId="33C06224" w:rsidR="0061183F" w:rsidRPr="00DE2392" w:rsidRDefault="0061183F">
            <w:pPr>
              <w:pStyle w:val="TableText"/>
            </w:pPr>
            <w:r w:rsidRPr="00DE2392">
              <w:t xml:space="preserve">  Yes</w:t>
            </w:r>
          </w:p>
        </w:tc>
        <w:tc>
          <w:tcPr>
            <w:tcW w:w="1559" w:type="dxa"/>
            <w:tcBorders>
              <w:top w:val="nil"/>
              <w:left w:val="nil"/>
              <w:right w:val="nil"/>
            </w:tcBorders>
            <w:shd w:val="clear" w:color="auto" w:fill="auto"/>
            <w:noWrap/>
            <w:vAlign w:val="bottom"/>
          </w:tcPr>
          <w:p w14:paraId="68029A31" w14:textId="4630D7D5" w:rsidR="0061183F" w:rsidRPr="00DE2392" w:rsidRDefault="0061183F">
            <w:pPr>
              <w:pStyle w:val="TableText"/>
              <w:jc w:val="right"/>
            </w:pPr>
            <w:r w:rsidRPr="00DE2392">
              <w:t>908</w:t>
            </w:r>
          </w:p>
        </w:tc>
        <w:tc>
          <w:tcPr>
            <w:tcW w:w="1566" w:type="dxa"/>
            <w:tcBorders>
              <w:top w:val="nil"/>
              <w:left w:val="nil"/>
              <w:right w:val="nil"/>
            </w:tcBorders>
            <w:shd w:val="clear" w:color="auto" w:fill="auto"/>
            <w:noWrap/>
            <w:vAlign w:val="bottom"/>
          </w:tcPr>
          <w:p w14:paraId="46E244FC" w14:textId="33151CBE" w:rsidR="0061183F" w:rsidRPr="00DE2392" w:rsidRDefault="0061183F">
            <w:pPr>
              <w:pStyle w:val="TableText"/>
              <w:jc w:val="right"/>
            </w:pPr>
            <w:r w:rsidRPr="00DE2392">
              <w:t>52</w:t>
            </w:r>
          </w:p>
        </w:tc>
        <w:tc>
          <w:tcPr>
            <w:tcW w:w="1404" w:type="dxa"/>
            <w:tcBorders>
              <w:top w:val="nil"/>
              <w:left w:val="nil"/>
              <w:right w:val="nil"/>
            </w:tcBorders>
            <w:shd w:val="clear" w:color="auto" w:fill="auto"/>
            <w:noWrap/>
            <w:vAlign w:val="bottom"/>
          </w:tcPr>
          <w:p w14:paraId="717D42B2" w14:textId="78AA253A" w:rsidR="0061183F" w:rsidRPr="00DE2392" w:rsidRDefault="0061183F">
            <w:pPr>
              <w:pStyle w:val="TableText"/>
              <w:jc w:val="right"/>
            </w:pPr>
            <w:r w:rsidRPr="00DE2392">
              <w:t>5.7</w:t>
            </w:r>
          </w:p>
        </w:tc>
        <w:tc>
          <w:tcPr>
            <w:tcW w:w="1566" w:type="dxa"/>
            <w:tcBorders>
              <w:top w:val="nil"/>
              <w:left w:val="nil"/>
              <w:right w:val="nil"/>
            </w:tcBorders>
            <w:shd w:val="clear" w:color="auto" w:fill="auto"/>
            <w:noWrap/>
            <w:vAlign w:val="bottom"/>
          </w:tcPr>
          <w:p w14:paraId="6D74ADFB" w14:textId="1DAB65D6" w:rsidR="0061183F" w:rsidRPr="00DE2392" w:rsidRDefault="0061183F">
            <w:pPr>
              <w:pStyle w:val="TableText"/>
              <w:jc w:val="right"/>
            </w:pPr>
            <w:r w:rsidRPr="00DE2392">
              <w:t>79</w:t>
            </w:r>
          </w:p>
        </w:tc>
        <w:tc>
          <w:tcPr>
            <w:tcW w:w="1404" w:type="dxa"/>
            <w:tcBorders>
              <w:top w:val="nil"/>
              <w:left w:val="nil"/>
              <w:right w:val="nil"/>
            </w:tcBorders>
            <w:shd w:val="clear" w:color="auto" w:fill="auto"/>
            <w:noWrap/>
            <w:vAlign w:val="bottom"/>
          </w:tcPr>
          <w:p w14:paraId="3043782F" w14:textId="6F8C27B3" w:rsidR="0061183F" w:rsidRPr="00DE2392" w:rsidRDefault="0061183F">
            <w:pPr>
              <w:pStyle w:val="TableText"/>
              <w:jc w:val="right"/>
            </w:pPr>
            <w:r w:rsidRPr="00DE2392">
              <w:t>8.7</w:t>
            </w:r>
          </w:p>
        </w:tc>
      </w:tr>
      <w:tr w:rsidR="0061183F" w:rsidRPr="00F71A22" w14:paraId="128A23C4" w14:textId="77777777" w:rsidTr="003F73C7">
        <w:trPr>
          <w:trHeight w:val="283"/>
        </w:trPr>
        <w:tc>
          <w:tcPr>
            <w:tcW w:w="2127" w:type="dxa"/>
            <w:tcBorders>
              <w:top w:val="nil"/>
              <w:left w:val="nil"/>
              <w:bottom w:val="single" w:sz="4" w:space="0" w:color="auto"/>
              <w:right w:val="nil"/>
            </w:tcBorders>
            <w:shd w:val="clear" w:color="auto" w:fill="auto"/>
            <w:noWrap/>
            <w:vAlign w:val="bottom"/>
          </w:tcPr>
          <w:p w14:paraId="047C122C" w14:textId="5EA917D2" w:rsidR="0061183F" w:rsidRPr="00DE2392" w:rsidRDefault="0061183F">
            <w:pPr>
              <w:pStyle w:val="TableText"/>
            </w:pPr>
            <w:r w:rsidRPr="00DE2392">
              <w:t xml:space="preserve">  No</w:t>
            </w:r>
          </w:p>
        </w:tc>
        <w:tc>
          <w:tcPr>
            <w:tcW w:w="1559" w:type="dxa"/>
            <w:tcBorders>
              <w:top w:val="nil"/>
              <w:left w:val="nil"/>
              <w:bottom w:val="single" w:sz="4" w:space="0" w:color="auto"/>
              <w:right w:val="nil"/>
            </w:tcBorders>
            <w:shd w:val="clear" w:color="auto" w:fill="auto"/>
            <w:noWrap/>
            <w:vAlign w:val="bottom"/>
          </w:tcPr>
          <w:p w14:paraId="26D1DB75" w14:textId="019A7503" w:rsidR="0061183F" w:rsidRPr="00DE2392" w:rsidRDefault="0061183F">
            <w:pPr>
              <w:pStyle w:val="TableText"/>
              <w:jc w:val="right"/>
            </w:pPr>
            <w:r w:rsidRPr="00DE2392">
              <w:t>20,585</w:t>
            </w:r>
          </w:p>
        </w:tc>
        <w:tc>
          <w:tcPr>
            <w:tcW w:w="1566" w:type="dxa"/>
            <w:tcBorders>
              <w:top w:val="nil"/>
              <w:left w:val="nil"/>
              <w:bottom w:val="single" w:sz="4" w:space="0" w:color="auto"/>
              <w:right w:val="nil"/>
            </w:tcBorders>
            <w:shd w:val="clear" w:color="auto" w:fill="auto"/>
            <w:noWrap/>
            <w:vAlign w:val="bottom"/>
          </w:tcPr>
          <w:p w14:paraId="5BDCD731" w14:textId="415BDEF5" w:rsidR="0061183F" w:rsidRPr="00DE2392" w:rsidRDefault="0061183F">
            <w:pPr>
              <w:pStyle w:val="TableText"/>
              <w:jc w:val="right"/>
            </w:pPr>
            <w:r w:rsidRPr="00DE2392">
              <w:t>758</w:t>
            </w:r>
          </w:p>
        </w:tc>
        <w:tc>
          <w:tcPr>
            <w:tcW w:w="1404" w:type="dxa"/>
            <w:tcBorders>
              <w:top w:val="nil"/>
              <w:left w:val="nil"/>
              <w:bottom w:val="single" w:sz="4" w:space="0" w:color="auto"/>
              <w:right w:val="nil"/>
            </w:tcBorders>
            <w:shd w:val="clear" w:color="auto" w:fill="auto"/>
            <w:noWrap/>
            <w:vAlign w:val="bottom"/>
          </w:tcPr>
          <w:p w14:paraId="42385BC7" w14:textId="67F755CD" w:rsidR="0061183F" w:rsidRPr="00DE2392" w:rsidRDefault="0061183F">
            <w:pPr>
              <w:pStyle w:val="TableText"/>
              <w:jc w:val="right"/>
            </w:pPr>
            <w:r w:rsidRPr="00DE2392">
              <w:t>3.7</w:t>
            </w:r>
          </w:p>
        </w:tc>
        <w:tc>
          <w:tcPr>
            <w:tcW w:w="1566" w:type="dxa"/>
            <w:tcBorders>
              <w:top w:val="nil"/>
              <w:left w:val="nil"/>
              <w:bottom w:val="single" w:sz="4" w:space="0" w:color="auto"/>
              <w:right w:val="nil"/>
            </w:tcBorders>
            <w:shd w:val="clear" w:color="auto" w:fill="auto"/>
            <w:noWrap/>
            <w:vAlign w:val="bottom"/>
          </w:tcPr>
          <w:p w14:paraId="0725A721" w14:textId="20721D66" w:rsidR="0061183F" w:rsidRPr="00DE2392" w:rsidRDefault="0061183F">
            <w:pPr>
              <w:pStyle w:val="TableText"/>
              <w:jc w:val="right"/>
            </w:pPr>
            <w:r w:rsidRPr="00DE2392">
              <w:t>1,112</w:t>
            </w:r>
          </w:p>
        </w:tc>
        <w:tc>
          <w:tcPr>
            <w:tcW w:w="1404" w:type="dxa"/>
            <w:tcBorders>
              <w:top w:val="nil"/>
              <w:left w:val="nil"/>
              <w:bottom w:val="single" w:sz="4" w:space="0" w:color="auto"/>
              <w:right w:val="nil"/>
            </w:tcBorders>
            <w:shd w:val="clear" w:color="auto" w:fill="auto"/>
            <w:noWrap/>
            <w:vAlign w:val="bottom"/>
          </w:tcPr>
          <w:p w14:paraId="4A895B8E" w14:textId="2E766883" w:rsidR="0061183F" w:rsidRPr="00DE2392" w:rsidRDefault="0061183F">
            <w:pPr>
              <w:pStyle w:val="TableText"/>
              <w:jc w:val="right"/>
            </w:pPr>
            <w:r w:rsidRPr="00DE2392">
              <w:t>5.4</w:t>
            </w:r>
          </w:p>
        </w:tc>
      </w:tr>
      <w:tr w:rsidR="000E1565" w:rsidRPr="00F71A22" w14:paraId="1D3428EA" w14:textId="77777777" w:rsidTr="003F73C7">
        <w:trPr>
          <w:trHeight w:val="283"/>
        </w:trPr>
        <w:tc>
          <w:tcPr>
            <w:tcW w:w="2127" w:type="dxa"/>
            <w:tcBorders>
              <w:top w:val="single" w:sz="4" w:space="0" w:color="auto"/>
              <w:left w:val="nil"/>
              <w:bottom w:val="single" w:sz="8" w:space="0" w:color="auto"/>
              <w:right w:val="nil"/>
            </w:tcBorders>
            <w:shd w:val="clear" w:color="auto" w:fill="auto"/>
            <w:noWrap/>
            <w:vAlign w:val="bottom"/>
          </w:tcPr>
          <w:p w14:paraId="177CD2FA" w14:textId="77777777" w:rsidR="000E1565" w:rsidRPr="00DE2392" w:rsidRDefault="000E1565">
            <w:pPr>
              <w:pStyle w:val="TableText"/>
            </w:pPr>
            <w:r w:rsidRPr="00DE2392">
              <w:t>Total</w:t>
            </w:r>
          </w:p>
        </w:tc>
        <w:tc>
          <w:tcPr>
            <w:tcW w:w="1559" w:type="dxa"/>
            <w:tcBorders>
              <w:top w:val="single" w:sz="4" w:space="0" w:color="auto"/>
              <w:left w:val="nil"/>
              <w:bottom w:val="single" w:sz="8" w:space="0" w:color="auto"/>
              <w:right w:val="nil"/>
            </w:tcBorders>
            <w:shd w:val="clear" w:color="auto" w:fill="auto"/>
            <w:noWrap/>
            <w:vAlign w:val="bottom"/>
          </w:tcPr>
          <w:p w14:paraId="2AB68648" w14:textId="77777777" w:rsidR="000E1565" w:rsidRPr="00DE2392" w:rsidRDefault="000E1565">
            <w:pPr>
              <w:pStyle w:val="TableText"/>
              <w:jc w:val="right"/>
            </w:pPr>
            <w:r w:rsidRPr="00DE2392">
              <w:t>21,493</w:t>
            </w:r>
          </w:p>
        </w:tc>
        <w:tc>
          <w:tcPr>
            <w:tcW w:w="1566" w:type="dxa"/>
            <w:tcBorders>
              <w:top w:val="single" w:sz="4" w:space="0" w:color="auto"/>
              <w:left w:val="nil"/>
              <w:bottom w:val="single" w:sz="8" w:space="0" w:color="auto"/>
              <w:right w:val="nil"/>
            </w:tcBorders>
            <w:shd w:val="clear" w:color="auto" w:fill="auto"/>
            <w:noWrap/>
            <w:vAlign w:val="bottom"/>
          </w:tcPr>
          <w:p w14:paraId="374A3A3E" w14:textId="77777777" w:rsidR="000E1565" w:rsidRPr="00DE2392" w:rsidRDefault="000E1565">
            <w:pPr>
              <w:pStyle w:val="TableText"/>
              <w:jc w:val="right"/>
            </w:pPr>
            <w:r w:rsidRPr="00DE2392">
              <w:t>810</w:t>
            </w:r>
          </w:p>
        </w:tc>
        <w:tc>
          <w:tcPr>
            <w:tcW w:w="1404" w:type="dxa"/>
            <w:tcBorders>
              <w:top w:val="single" w:sz="4" w:space="0" w:color="auto"/>
              <w:left w:val="nil"/>
              <w:bottom w:val="single" w:sz="8" w:space="0" w:color="auto"/>
              <w:right w:val="nil"/>
            </w:tcBorders>
            <w:shd w:val="clear" w:color="auto" w:fill="auto"/>
            <w:noWrap/>
            <w:vAlign w:val="bottom"/>
          </w:tcPr>
          <w:p w14:paraId="35A93E4E" w14:textId="77777777" w:rsidR="000E1565" w:rsidRPr="00DE2392" w:rsidRDefault="000E1565">
            <w:pPr>
              <w:pStyle w:val="TableText"/>
              <w:jc w:val="right"/>
            </w:pPr>
            <w:r w:rsidRPr="00DE2392">
              <w:t>3.8</w:t>
            </w:r>
          </w:p>
        </w:tc>
        <w:tc>
          <w:tcPr>
            <w:tcW w:w="1566" w:type="dxa"/>
            <w:tcBorders>
              <w:top w:val="single" w:sz="4" w:space="0" w:color="auto"/>
              <w:left w:val="nil"/>
              <w:bottom w:val="single" w:sz="8" w:space="0" w:color="auto"/>
              <w:right w:val="nil"/>
            </w:tcBorders>
            <w:shd w:val="clear" w:color="auto" w:fill="auto"/>
            <w:noWrap/>
            <w:vAlign w:val="bottom"/>
          </w:tcPr>
          <w:p w14:paraId="38C811C0" w14:textId="77777777" w:rsidR="000E1565" w:rsidRPr="00DE2392" w:rsidRDefault="000E1565">
            <w:pPr>
              <w:pStyle w:val="TableText"/>
              <w:jc w:val="right"/>
            </w:pPr>
            <w:r w:rsidRPr="00DE2392">
              <w:t>1,191</w:t>
            </w:r>
          </w:p>
        </w:tc>
        <w:tc>
          <w:tcPr>
            <w:tcW w:w="1404" w:type="dxa"/>
            <w:tcBorders>
              <w:top w:val="single" w:sz="4" w:space="0" w:color="auto"/>
              <w:left w:val="nil"/>
              <w:bottom w:val="single" w:sz="8" w:space="0" w:color="auto"/>
              <w:right w:val="nil"/>
            </w:tcBorders>
            <w:shd w:val="clear" w:color="auto" w:fill="auto"/>
            <w:noWrap/>
            <w:vAlign w:val="bottom"/>
          </w:tcPr>
          <w:p w14:paraId="6E5DBD4D" w14:textId="77777777" w:rsidR="000E1565" w:rsidRPr="00DE2392" w:rsidRDefault="000E1565">
            <w:pPr>
              <w:pStyle w:val="TableText"/>
              <w:jc w:val="right"/>
            </w:pPr>
            <w:r w:rsidRPr="00DE2392">
              <w:t>5.5</w:t>
            </w:r>
          </w:p>
        </w:tc>
      </w:tr>
    </w:tbl>
    <w:p w14:paraId="598308ED" w14:textId="69CF94C5" w:rsidR="000E1565" w:rsidRPr="00F71A22" w:rsidRDefault="000E1565" w:rsidP="00C67346">
      <w:pPr>
        <w:pStyle w:val="Source"/>
      </w:pPr>
      <w:r w:rsidRPr="00F71A22">
        <w:rPr>
          <w:b/>
          <w:bCs/>
        </w:rPr>
        <w:t>Source</w:t>
      </w:r>
      <w:r w:rsidRPr="00F71A22">
        <w:t xml:space="preserve">: DESE </w:t>
      </w:r>
      <w:r w:rsidR="00B41917">
        <w:t>a</w:t>
      </w:r>
      <w:r w:rsidRPr="00F71A22">
        <w:t xml:space="preserve">dministrative </w:t>
      </w:r>
      <w:r w:rsidR="00B41917">
        <w:t>d</w:t>
      </w:r>
      <w:r w:rsidRPr="00F71A22">
        <w:t>ata</w:t>
      </w:r>
    </w:p>
    <w:p w14:paraId="063292E1" w14:textId="77777777" w:rsidR="00364873" w:rsidRPr="00F71A22" w:rsidRDefault="00364873" w:rsidP="00364873">
      <w:pPr>
        <w:pStyle w:val="Heading3"/>
      </w:pPr>
      <w:bookmarkStart w:id="103" w:name="_Toc67042593"/>
      <w:bookmarkStart w:id="104" w:name="_Toc50458822"/>
      <w:bookmarkStart w:id="105" w:name="_Toc50458915"/>
      <w:bookmarkStart w:id="106" w:name="_Toc50459008"/>
      <w:bookmarkStart w:id="107" w:name="_Toc50459285"/>
      <w:r w:rsidRPr="00F71A22">
        <w:t>3.2.2 Opt-out reasons</w:t>
      </w:r>
      <w:bookmarkEnd w:id="103"/>
    </w:p>
    <w:p w14:paraId="5D397A3C" w14:textId="77777777" w:rsidR="00364873" w:rsidRDefault="00364873" w:rsidP="00364873">
      <w:r w:rsidRPr="00F71A22">
        <w:t>The main reason given by participants for opting out of the OEST, either before or after commencement, was a preference for face-to-face servicing (</w:t>
      </w:r>
      <w:r w:rsidRPr="00B41917">
        <w:rPr>
          <w:b/>
          <w:bCs/>
        </w:rPr>
        <w:t>Table 3.2</w:t>
      </w:r>
      <w:r w:rsidRPr="00F71A22">
        <w:t xml:space="preserve">). Online servicing not </w:t>
      </w:r>
      <w:r w:rsidRPr="00F71A22">
        <w:lastRenderedPageBreak/>
        <w:t>meeting participants’ needs was the second most common reason for opting out after commencement but was not a major reason for opting out before commencement. Other common reasons for both cohorts were online servicing being too difficult to use and a lack of confidence in using computers or the internet.</w:t>
      </w:r>
    </w:p>
    <w:p w14:paraId="27345008" w14:textId="4C4D8288" w:rsidR="000E1565" w:rsidRPr="00F71A22" w:rsidRDefault="000E1565" w:rsidP="00364873">
      <w:pPr>
        <w:pStyle w:val="TableCaption"/>
      </w:pPr>
      <w:bookmarkStart w:id="108" w:name="_Toc67042662"/>
      <w:r w:rsidRPr="00F71A22">
        <w:t>Table 3.</w:t>
      </w:r>
      <w:r w:rsidR="007C3A96" w:rsidRPr="00F71A22">
        <w:t>2</w:t>
      </w:r>
      <w:r w:rsidRPr="00F71A22">
        <w:t xml:space="preserve"> Reasons for opting out of the OEST before and after commencement</w:t>
      </w:r>
      <w:bookmarkEnd w:id="104"/>
      <w:bookmarkEnd w:id="105"/>
      <w:bookmarkEnd w:id="106"/>
      <w:bookmarkEnd w:id="107"/>
      <w:bookmarkEnd w:id="108"/>
    </w:p>
    <w:tbl>
      <w:tblPr>
        <w:tblW w:w="8898" w:type="dxa"/>
        <w:tblLook w:val="0420" w:firstRow="1" w:lastRow="0" w:firstColumn="0" w:lastColumn="0" w:noHBand="0" w:noVBand="1"/>
      </w:tblPr>
      <w:tblGrid>
        <w:gridCol w:w="3721"/>
        <w:gridCol w:w="1566"/>
        <w:gridCol w:w="1085"/>
        <w:gridCol w:w="1566"/>
        <w:gridCol w:w="960"/>
      </w:tblGrid>
      <w:tr w:rsidR="000E1565" w:rsidRPr="00F71A22" w14:paraId="54BA0FFD" w14:textId="77777777" w:rsidTr="00DE2392">
        <w:trPr>
          <w:cantSplit/>
          <w:trHeight w:val="868"/>
          <w:tblHeader/>
        </w:trPr>
        <w:tc>
          <w:tcPr>
            <w:tcW w:w="3721" w:type="dxa"/>
            <w:tcBorders>
              <w:top w:val="single" w:sz="4" w:space="0" w:color="auto"/>
              <w:left w:val="nil"/>
              <w:bottom w:val="single" w:sz="8" w:space="0" w:color="auto"/>
              <w:right w:val="nil"/>
            </w:tcBorders>
            <w:shd w:val="clear" w:color="auto" w:fill="002D3F"/>
            <w:vAlign w:val="center"/>
            <w:hideMark/>
          </w:tcPr>
          <w:p w14:paraId="1CEF1601" w14:textId="77777777" w:rsidR="000E1565" w:rsidRPr="00F71A22" w:rsidRDefault="000E1565" w:rsidP="00D052A1">
            <w:pPr>
              <w:pStyle w:val="TableText"/>
              <w:rPr>
                <w:b/>
                <w:bCs w:val="0"/>
              </w:rPr>
            </w:pPr>
            <w:r w:rsidRPr="00F71A22">
              <w:rPr>
                <w:b/>
                <w:bCs w:val="0"/>
              </w:rPr>
              <w:t>Opt-out reason</w:t>
            </w:r>
          </w:p>
        </w:tc>
        <w:tc>
          <w:tcPr>
            <w:tcW w:w="1566" w:type="dxa"/>
            <w:tcBorders>
              <w:top w:val="single" w:sz="4" w:space="0" w:color="auto"/>
              <w:left w:val="nil"/>
              <w:bottom w:val="single" w:sz="8" w:space="0" w:color="auto"/>
              <w:right w:val="nil"/>
            </w:tcBorders>
            <w:shd w:val="clear" w:color="auto" w:fill="002D3F"/>
            <w:vAlign w:val="center"/>
            <w:hideMark/>
          </w:tcPr>
          <w:p w14:paraId="1B2BE8B3" w14:textId="5B8B3024" w:rsidR="000E1565" w:rsidRPr="00F71A22" w:rsidRDefault="000E1565" w:rsidP="00861F20">
            <w:pPr>
              <w:pStyle w:val="TableText"/>
              <w:jc w:val="center"/>
              <w:rPr>
                <w:b/>
                <w:bCs w:val="0"/>
              </w:rPr>
            </w:pPr>
            <w:r w:rsidRPr="00F71A22">
              <w:rPr>
                <w:b/>
                <w:bCs w:val="0"/>
              </w:rPr>
              <w:t>Number of opt-outs before commencement</w:t>
            </w:r>
          </w:p>
        </w:tc>
        <w:tc>
          <w:tcPr>
            <w:tcW w:w="1085" w:type="dxa"/>
            <w:tcBorders>
              <w:top w:val="single" w:sz="4" w:space="0" w:color="auto"/>
              <w:left w:val="nil"/>
              <w:bottom w:val="single" w:sz="8" w:space="0" w:color="auto"/>
              <w:right w:val="nil"/>
            </w:tcBorders>
            <w:shd w:val="clear" w:color="auto" w:fill="002D3F"/>
            <w:vAlign w:val="center"/>
            <w:hideMark/>
          </w:tcPr>
          <w:p w14:paraId="7E8AE7AD" w14:textId="55CB07ED" w:rsidR="000E1565" w:rsidRPr="00F71A22" w:rsidRDefault="00D51E90" w:rsidP="00861F20">
            <w:pPr>
              <w:pStyle w:val="TableText"/>
              <w:jc w:val="center"/>
              <w:rPr>
                <w:b/>
                <w:bCs w:val="0"/>
              </w:rPr>
            </w:pPr>
            <w:r w:rsidRPr="00F71A22">
              <w:rPr>
                <w:b/>
                <w:bCs w:val="0"/>
              </w:rPr>
              <w:t>(%)</w:t>
            </w:r>
          </w:p>
        </w:tc>
        <w:tc>
          <w:tcPr>
            <w:tcW w:w="1566" w:type="dxa"/>
            <w:tcBorders>
              <w:top w:val="single" w:sz="4" w:space="0" w:color="auto"/>
              <w:left w:val="nil"/>
              <w:bottom w:val="single" w:sz="8" w:space="0" w:color="auto"/>
              <w:right w:val="nil"/>
            </w:tcBorders>
            <w:shd w:val="clear" w:color="auto" w:fill="002D3F"/>
            <w:vAlign w:val="center"/>
            <w:hideMark/>
          </w:tcPr>
          <w:p w14:paraId="31E6D115" w14:textId="77777777" w:rsidR="000E1565" w:rsidRPr="00F71A22" w:rsidRDefault="000E1565" w:rsidP="00861F20">
            <w:pPr>
              <w:pStyle w:val="TableText"/>
              <w:jc w:val="center"/>
              <w:rPr>
                <w:b/>
                <w:bCs w:val="0"/>
              </w:rPr>
            </w:pPr>
            <w:r w:rsidRPr="00F71A22">
              <w:rPr>
                <w:b/>
                <w:bCs w:val="0"/>
              </w:rPr>
              <w:t>Number of opt-outs after commencement</w:t>
            </w:r>
          </w:p>
        </w:tc>
        <w:tc>
          <w:tcPr>
            <w:tcW w:w="960" w:type="dxa"/>
            <w:tcBorders>
              <w:top w:val="single" w:sz="4" w:space="0" w:color="auto"/>
              <w:left w:val="nil"/>
              <w:bottom w:val="single" w:sz="8" w:space="0" w:color="auto"/>
              <w:right w:val="nil"/>
            </w:tcBorders>
            <w:shd w:val="clear" w:color="auto" w:fill="002D3F"/>
            <w:vAlign w:val="center"/>
            <w:hideMark/>
          </w:tcPr>
          <w:p w14:paraId="7EEFE891" w14:textId="62C83EA1" w:rsidR="000E1565" w:rsidRPr="00F71A22" w:rsidRDefault="00D51E90" w:rsidP="00861F20">
            <w:pPr>
              <w:pStyle w:val="TableText"/>
              <w:jc w:val="center"/>
              <w:rPr>
                <w:b/>
                <w:bCs w:val="0"/>
              </w:rPr>
            </w:pPr>
            <w:r w:rsidRPr="00F71A22">
              <w:rPr>
                <w:b/>
                <w:bCs w:val="0"/>
              </w:rPr>
              <w:t>(%)</w:t>
            </w:r>
          </w:p>
        </w:tc>
      </w:tr>
      <w:tr w:rsidR="00805CF1" w:rsidRPr="00F71A22" w14:paraId="3982FC76" w14:textId="77777777" w:rsidTr="00805CF1">
        <w:trPr>
          <w:trHeight w:val="300"/>
        </w:trPr>
        <w:tc>
          <w:tcPr>
            <w:tcW w:w="3721" w:type="dxa"/>
            <w:tcBorders>
              <w:top w:val="nil"/>
              <w:left w:val="nil"/>
              <w:bottom w:val="nil"/>
              <w:right w:val="nil"/>
            </w:tcBorders>
            <w:shd w:val="clear" w:color="auto" w:fill="D7D8D8"/>
            <w:noWrap/>
            <w:vAlign w:val="center"/>
          </w:tcPr>
          <w:p w14:paraId="3A57794A" w14:textId="387A6247" w:rsidR="00805CF1" w:rsidRPr="00C51242" w:rsidRDefault="00805CF1" w:rsidP="00805CF1">
            <w:pPr>
              <w:pStyle w:val="TableText"/>
            </w:pPr>
            <w:r w:rsidRPr="009C6280">
              <w:t>Prefer face-to-face service</w:t>
            </w:r>
          </w:p>
        </w:tc>
        <w:tc>
          <w:tcPr>
            <w:tcW w:w="1566" w:type="dxa"/>
            <w:tcBorders>
              <w:top w:val="nil"/>
              <w:left w:val="nil"/>
              <w:bottom w:val="nil"/>
              <w:right w:val="nil"/>
            </w:tcBorders>
            <w:shd w:val="clear" w:color="auto" w:fill="D7D8D8"/>
            <w:noWrap/>
            <w:vAlign w:val="center"/>
          </w:tcPr>
          <w:p w14:paraId="48D4E473" w14:textId="4A191097" w:rsidR="00805CF1" w:rsidRPr="00C51242" w:rsidRDefault="00805CF1" w:rsidP="00805CF1">
            <w:pPr>
              <w:pStyle w:val="TableText"/>
              <w:jc w:val="right"/>
            </w:pPr>
            <w:r w:rsidRPr="009C6280">
              <w:t>477</w:t>
            </w:r>
          </w:p>
        </w:tc>
        <w:tc>
          <w:tcPr>
            <w:tcW w:w="1085" w:type="dxa"/>
            <w:tcBorders>
              <w:top w:val="nil"/>
              <w:left w:val="nil"/>
              <w:bottom w:val="nil"/>
              <w:right w:val="nil"/>
            </w:tcBorders>
            <w:shd w:val="clear" w:color="auto" w:fill="D7D8D8"/>
            <w:noWrap/>
            <w:vAlign w:val="center"/>
          </w:tcPr>
          <w:p w14:paraId="2A4CDE14" w14:textId="3E9E56AF" w:rsidR="00805CF1" w:rsidRPr="00C51242" w:rsidRDefault="00805CF1" w:rsidP="00805CF1">
            <w:pPr>
              <w:pStyle w:val="TableText"/>
              <w:jc w:val="right"/>
            </w:pPr>
            <w:r w:rsidRPr="009C6280">
              <w:t>52.7</w:t>
            </w:r>
          </w:p>
        </w:tc>
        <w:tc>
          <w:tcPr>
            <w:tcW w:w="1566" w:type="dxa"/>
            <w:tcBorders>
              <w:top w:val="nil"/>
              <w:left w:val="nil"/>
              <w:bottom w:val="nil"/>
              <w:right w:val="nil"/>
            </w:tcBorders>
            <w:shd w:val="clear" w:color="auto" w:fill="D7D8D8"/>
            <w:noWrap/>
            <w:vAlign w:val="center"/>
          </w:tcPr>
          <w:p w14:paraId="61F077FC" w14:textId="5B704BA4" w:rsidR="00805CF1" w:rsidRPr="00C51242" w:rsidRDefault="00805CF1" w:rsidP="00805CF1">
            <w:pPr>
              <w:pStyle w:val="TableText"/>
              <w:jc w:val="right"/>
            </w:pPr>
            <w:r w:rsidRPr="009C6280">
              <w:t>618</w:t>
            </w:r>
          </w:p>
        </w:tc>
        <w:tc>
          <w:tcPr>
            <w:tcW w:w="960" w:type="dxa"/>
            <w:tcBorders>
              <w:top w:val="nil"/>
              <w:left w:val="nil"/>
              <w:bottom w:val="nil"/>
              <w:right w:val="nil"/>
            </w:tcBorders>
            <w:shd w:val="clear" w:color="auto" w:fill="D7D8D8"/>
            <w:noWrap/>
            <w:vAlign w:val="center"/>
          </w:tcPr>
          <w:p w14:paraId="6137ECC4" w14:textId="7E12CB22" w:rsidR="00805CF1" w:rsidRPr="00C51242" w:rsidRDefault="00805CF1" w:rsidP="00805CF1">
            <w:pPr>
              <w:pStyle w:val="TableText"/>
              <w:jc w:val="right"/>
            </w:pPr>
            <w:r w:rsidRPr="009C6280">
              <w:t>49</w:t>
            </w:r>
          </w:p>
        </w:tc>
      </w:tr>
      <w:tr w:rsidR="00805CF1" w:rsidRPr="00F71A22" w14:paraId="198BE61E" w14:textId="77777777" w:rsidTr="00DE2392">
        <w:trPr>
          <w:trHeight w:val="300"/>
        </w:trPr>
        <w:tc>
          <w:tcPr>
            <w:tcW w:w="3721" w:type="dxa"/>
            <w:tcBorders>
              <w:top w:val="nil"/>
              <w:left w:val="nil"/>
              <w:bottom w:val="nil"/>
              <w:right w:val="nil"/>
            </w:tcBorders>
            <w:shd w:val="clear" w:color="auto" w:fill="FFFFFF" w:themeFill="background1"/>
            <w:noWrap/>
            <w:vAlign w:val="center"/>
          </w:tcPr>
          <w:p w14:paraId="48B1F6EC" w14:textId="4B3EEF50" w:rsidR="00805CF1" w:rsidRPr="00C51242" w:rsidRDefault="00805CF1" w:rsidP="00805CF1">
            <w:pPr>
              <w:pStyle w:val="TableText"/>
            </w:pPr>
            <w:r w:rsidRPr="009C6280">
              <w:t>Not confident in using computers/internet</w:t>
            </w:r>
          </w:p>
        </w:tc>
        <w:tc>
          <w:tcPr>
            <w:tcW w:w="1566" w:type="dxa"/>
            <w:tcBorders>
              <w:top w:val="nil"/>
              <w:left w:val="nil"/>
              <w:bottom w:val="nil"/>
              <w:right w:val="nil"/>
            </w:tcBorders>
            <w:shd w:val="clear" w:color="auto" w:fill="FFFFFF" w:themeFill="background1"/>
            <w:noWrap/>
            <w:vAlign w:val="center"/>
          </w:tcPr>
          <w:p w14:paraId="6E5A8DC7" w14:textId="486FBB23" w:rsidR="00805CF1" w:rsidRPr="00C51242" w:rsidRDefault="00805CF1" w:rsidP="00805CF1">
            <w:pPr>
              <w:pStyle w:val="TableText"/>
              <w:jc w:val="right"/>
            </w:pPr>
            <w:r w:rsidRPr="009C6280">
              <w:t>159</w:t>
            </w:r>
          </w:p>
        </w:tc>
        <w:tc>
          <w:tcPr>
            <w:tcW w:w="1085" w:type="dxa"/>
            <w:tcBorders>
              <w:top w:val="nil"/>
              <w:left w:val="nil"/>
              <w:bottom w:val="nil"/>
              <w:right w:val="nil"/>
            </w:tcBorders>
            <w:shd w:val="clear" w:color="auto" w:fill="FFFFFF" w:themeFill="background1"/>
            <w:noWrap/>
            <w:vAlign w:val="center"/>
          </w:tcPr>
          <w:p w14:paraId="22FE0787" w14:textId="016AF6D9" w:rsidR="00805CF1" w:rsidRPr="00C51242" w:rsidRDefault="00805CF1" w:rsidP="00805CF1">
            <w:pPr>
              <w:pStyle w:val="TableText"/>
              <w:jc w:val="right"/>
            </w:pPr>
            <w:r w:rsidRPr="009C6280">
              <w:t>17.6</w:t>
            </w:r>
          </w:p>
        </w:tc>
        <w:tc>
          <w:tcPr>
            <w:tcW w:w="1566" w:type="dxa"/>
            <w:tcBorders>
              <w:top w:val="nil"/>
              <w:left w:val="nil"/>
              <w:bottom w:val="nil"/>
              <w:right w:val="nil"/>
            </w:tcBorders>
            <w:shd w:val="clear" w:color="auto" w:fill="FFFFFF" w:themeFill="background1"/>
            <w:noWrap/>
            <w:vAlign w:val="center"/>
          </w:tcPr>
          <w:p w14:paraId="06737FD1" w14:textId="7F8CA118" w:rsidR="00805CF1" w:rsidRPr="00C51242" w:rsidRDefault="00805CF1" w:rsidP="00805CF1">
            <w:pPr>
              <w:pStyle w:val="TableText"/>
              <w:jc w:val="right"/>
            </w:pPr>
            <w:r w:rsidRPr="009C6280">
              <w:t>146</w:t>
            </w:r>
          </w:p>
        </w:tc>
        <w:tc>
          <w:tcPr>
            <w:tcW w:w="960" w:type="dxa"/>
            <w:tcBorders>
              <w:top w:val="nil"/>
              <w:left w:val="nil"/>
              <w:bottom w:val="nil"/>
              <w:right w:val="nil"/>
            </w:tcBorders>
            <w:shd w:val="clear" w:color="auto" w:fill="FFFFFF" w:themeFill="background1"/>
            <w:noWrap/>
            <w:vAlign w:val="center"/>
          </w:tcPr>
          <w:p w14:paraId="17FB2A21" w14:textId="510D13C0" w:rsidR="00805CF1" w:rsidRPr="00C51242" w:rsidRDefault="00805CF1" w:rsidP="00805CF1">
            <w:pPr>
              <w:pStyle w:val="TableText"/>
              <w:jc w:val="right"/>
            </w:pPr>
            <w:r w:rsidRPr="009C6280">
              <w:t>11.5</w:t>
            </w:r>
          </w:p>
        </w:tc>
      </w:tr>
      <w:tr w:rsidR="00805CF1" w:rsidRPr="00F71A22" w14:paraId="3039567F" w14:textId="77777777" w:rsidTr="00DE2392">
        <w:trPr>
          <w:trHeight w:val="300"/>
        </w:trPr>
        <w:tc>
          <w:tcPr>
            <w:tcW w:w="3721" w:type="dxa"/>
            <w:tcBorders>
              <w:top w:val="nil"/>
              <w:left w:val="nil"/>
              <w:bottom w:val="nil"/>
              <w:right w:val="nil"/>
            </w:tcBorders>
            <w:shd w:val="clear" w:color="auto" w:fill="D7D8D8"/>
            <w:noWrap/>
            <w:vAlign w:val="center"/>
            <w:hideMark/>
          </w:tcPr>
          <w:p w14:paraId="72AC9AEC" w14:textId="77777777" w:rsidR="00805CF1" w:rsidRPr="00DE2392" w:rsidRDefault="00805CF1" w:rsidP="00805CF1">
            <w:pPr>
              <w:pStyle w:val="TableText"/>
            </w:pPr>
            <w:r w:rsidRPr="00DE2392">
              <w:t>Online service is too difficult to use</w:t>
            </w:r>
          </w:p>
        </w:tc>
        <w:tc>
          <w:tcPr>
            <w:tcW w:w="1566" w:type="dxa"/>
            <w:tcBorders>
              <w:top w:val="nil"/>
              <w:left w:val="nil"/>
              <w:bottom w:val="nil"/>
              <w:right w:val="nil"/>
            </w:tcBorders>
            <w:shd w:val="clear" w:color="auto" w:fill="D7D8D8"/>
            <w:noWrap/>
            <w:vAlign w:val="center"/>
            <w:hideMark/>
          </w:tcPr>
          <w:p w14:paraId="62C031D0" w14:textId="77777777" w:rsidR="00805CF1" w:rsidRPr="00DE2392" w:rsidRDefault="00805CF1" w:rsidP="00805CF1">
            <w:pPr>
              <w:pStyle w:val="TableText"/>
              <w:jc w:val="right"/>
            </w:pPr>
            <w:r w:rsidRPr="00DE2392">
              <w:t>100</w:t>
            </w:r>
          </w:p>
        </w:tc>
        <w:tc>
          <w:tcPr>
            <w:tcW w:w="1085" w:type="dxa"/>
            <w:tcBorders>
              <w:top w:val="nil"/>
              <w:left w:val="nil"/>
              <w:bottom w:val="nil"/>
              <w:right w:val="nil"/>
            </w:tcBorders>
            <w:shd w:val="clear" w:color="auto" w:fill="D7D8D8"/>
            <w:noWrap/>
            <w:vAlign w:val="center"/>
            <w:hideMark/>
          </w:tcPr>
          <w:p w14:paraId="0243EFED" w14:textId="77777777" w:rsidR="00805CF1" w:rsidRPr="00DE2392" w:rsidRDefault="00805CF1" w:rsidP="00805CF1">
            <w:pPr>
              <w:pStyle w:val="TableText"/>
              <w:jc w:val="right"/>
            </w:pPr>
            <w:r w:rsidRPr="00DE2392">
              <w:t>11</w:t>
            </w:r>
          </w:p>
        </w:tc>
        <w:tc>
          <w:tcPr>
            <w:tcW w:w="1566" w:type="dxa"/>
            <w:tcBorders>
              <w:top w:val="nil"/>
              <w:left w:val="nil"/>
              <w:bottom w:val="nil"/>
              <w:right w:val="nil"/>
            </w:tcBorders>
            <w:shd w:val="clear" w:color="auto" w:fill="D7D8D8"/>
            <w:noWrap/>
            <w:vAlign w:val="center"/>
            <w:hideMark/>
          </w:tcPr>
          <w:p w14:paraId="03581824" w14:textId="77777777" w:rsidR="00805CF1" w:rsidRPr="00DE2392" w:rsidRDefault="00805CF1" w:rsidP="00805CF1">
            <w:pPr>
              <w:pStyle w:val="TableText"/>
              <w:jc w:val="right"/>
            </w:pPr>
            <w:r w:rsidRPr="00DE2392">
              <w:t>158</w:t>
            </w:r>
          </w:p>
        </w:tc>
        <w:tc>
          <w:tcPr>
            <w:tcW w:w="960" w:type="dxa"/>
            <w:tcBorders>
              <w:top w:val="nil"/>
              <w:left w:val="nil"/>
              <w:bottom w:val="nil"/>
              <w:right w:val="nil"/>
            </w:tcBorders>
            <w:shd w:val="clear" w:color="auto" w:fill="D7D8D8"/>
            <w:noWrap/>
            <w:vAlign w:val="center"/>
            <w:hideMark/>
          </w:tcPr>
          <w:p w14:paraId="65A2C3AB" w14:textId="77777777" w:rsidR="00805CF1" w:rsidRPr="00DE2392" w:rsidRDefault="00805CF1" w:rsidP="00805CF1">
            <w:pPr>
              <w:pStyle w:val="TableText"/>
              <w:jc w:val="right"/>
            </w:pPr>
            <w:r w:rsidRPr="00DE2392">
              <w:t>12.5</w:t>
            </w:r>
          </w:p>
        </w:tc>
      </w:tr>
      <w:tr w:rsidR="00805CF1" w:rsidRPr="00F71A22" w14:paraId="54786A97" w14:textId="77777777" w:rsidTr="00DE2392">
        <w:trPr>
          <w:trHeight w:val="300"/>
        </w:trPr>
        <w:tc>
          <w:tcPr>
            <w:tcW w:w="3721" w:type="dxa"/>
            <w:tcBorders>
              <w:top w:val="nil"/>
              <w:left w:val="nil"/>
              <w:bottom w:val="nil"/>
              <w:right w:val="nil"/>
            </w:tcBorders>
            <w:shd w:val="clear" w:color="auto" w:fill="auto"/>
            <w:noWrap/>
            <w:vAlign w:val="center"/>
            <w:hideMark/>
          </w:tcPr>
          <w:p w14:paraId="22B81976" w14:textId="77777777" w:rsidR="00805CF1" w:rsidRPr="00DE2392" w:rsidRDefault="00805CF1" w:rsidP="00805CF1">
            <w:pPr>
              <w:pStyle w:val="TableText"/>
            </w:pPr>
            <w:r w:rsidRPr="00DE2392">
              <w:t>Online service is not meeting my needs</w:t>
            </w:r>
          </w:p>
        </w:tc>
        <w:tc>
          <w:tcPr>
            <w:tcW w:w="1566" w:type="dxa"/>
            <w:tcBorders>
              <w:top w:val="nil"/>
              <w:left w:val="nil"/>
              <w:bottom w:val="nil"/>
              <w:right w:val="nil"/>
            </w:tcBorders>
            <w:shd w:val="clear" w:color="auto" w:fill="auto"/>
            <w:noWrap/>
            <w:vAlign w:val="center"/>
            <w:hideMark/>
          </w:tcPr>
          <w:p w14:paraId="0BB576BF" w14:textId="77777777" w:rsidR="00805CF1" w:rsidRPr="00DE2392" w:rsidRDefault="00805CF1" w:rsidP="00805CF1">
            <w:pPr>
              <w:pStyle w:val="TableText"/>
              <w:jc w:val="right"/>
            </w:pPr>
            <w:r w:rsidRPr="00DE2392">
              <w:t>41</w:t>
            </w:r>
          </w:p>
        </w:tc>
        <w:tc>
          <w:tcPr>
            <w:tcW w:w="1085" w:type="dxa"/>
            <w:tcBorders>
              <w:top w:val="nil"/>
              <w:left w:val="nil"/>
              <w:bottom w:val="nil"/>
              <w:right w:val="nil"/>
            </w:tcBorders>
            <w:shd w:val="clear" w:color="auto" w:fill="auto"/>
            <w:noWrap/>
            <w:vAlign w:val="center"/>
            <w:hideMark/>
          </w:tcPr>
          <w:p w14:paraId="4B993DAD" w14:textId="77777777" w:rsidR="00805CF1" w:rsidRPr="00DE2392" w:rsidRDefault="00805CF1" w:rsidP="00805CF1">
            <w:pPr>
              <w:pStyle w:val="TableText"/>
              <w:jc w:val="right"/>
            </w:pPr>
            <w:r w:rsidRPr="00DE2392">
              <w:t>4.5</w:t>
            </w:r>
          </w:p>
        </w:tc>
        <w:tc>
          <w:tcPr>
            <w:tcW w:w="1566" w:type="dxa"/>
            <w:tcBorders>
              <w:top w:val="nil"/>
              <w:left w:val="nil"/>
              <w:bottom w:val="nil"/>
              <w:right w:val="nil"/>
            </w:tcBorders>
            <w:shd w:val="clear" w:color="auto" w:fill="auto"/>
            <w:noWrap/>
            <w:vAlign w:val="center"/>
            <w:hideMark/>
          </w:tcPr>
          <w:p w14:paraId="50DFE9D7" w14:textId="77777777" w:rsidR="00805CF1" w:rsidRPr="00DE2392" w:rsidRDefault="00805CF1" w:rsidP="00805CF1">
            <w:pPr>
              <w:pStyle w:val="TableText"/>
              <w:jc w:val="right"/>
            </w:pPr>
            <w:r w:rsidRPr="00DE2392">
              <w:t>178</w:t>
            </w:r>
          </w:p>
        </w:tc>
        <w:tc>
          <w:tcPr>
            <w:tcW w:w="960" w:type="dxa"/>
            <w:tcBorders>
              <w:top w:val="nil"/>
              <w:left w:val="nil"/>
              <w:bottom w:val="nil"/>
              <w:right w:val="nil"/>
            </w:tcBorders>
            <w:shd w:val="clear" w:color="auto" w:fill="auto"/>
            <w:noWrap/>
            <w:vAlign w:val="center"/>
            <w:hideMark/>
          </w:tcPr>
          <w:p w14:paraId="391ACEB3" w14:textId="77777777" w:rsidR="00805CF1" w:rsidRPr="00DE2392" w:rsidRDefault="00805CF1" w:rsidP="00805CF1">
            <w:pPr>
              <w:pStyle w:val="TableText"/>
              <w:jc w:val="right"/>
            </w:pPr>
            <w:r w:rsidRPr="00DE2392">
              <w:t>14.1</w:t>
            </w:r>
          </w:p>
        </w:tc>
      </w:tr>
      <w:tr w:rsidR="00805CF1" w:rsidRPr="00F71A22" w14:paraId="74FEFDE1" w14:textId="77777777" w:rsidTr="00DE2392">
        <w:trPr>
          <w:trHeight w:val="300"/>
        </w:trPr>
        <w:tc>
          <w:tcPr>
            <w:tcW w:w="3721" w:type="dxa"/>
            <w:tcBorders>
              <w:top w:val="nil"/>
              <w:left w:val="nil"/>
              <w:bottom w:val="nil"/>
              <w:right w:val="nil"/>
            </w:tcBorders>
            <w:shd w:val="clear" w:color="auto" w:fill="D7D8D8"/>
            <w:noWrap/>
            <w:vAlign w:val="center"/>
            <w:hideMark/>
          </w:tcPr>
          <w:p w14:paraId="2A9DFA39" w14:textId="77777777" w:rsidR="00805CF1" w:rsidRPr="00DE2392" w:rsidRDefault="00805CF1" w:rsidP="00805CF1">
            <w:pPr>
              <w:pStyle w:val="TableText"/>
            </w:pPr>
            <w:r w:rsidRPr="00DE2392">
              <w:t>Concerned about providing personal details online</w:t>
            </w:r>
          </w:p>
        </w:tc>
        <w:tc>
          <w:tcPr>
            <w:tcW w:w="1566" w:type="dxa"/>
            <w:tcBorders>
              <w:top w:val="nil"/>
              <w:left w:val="nil"/>
              <w:bottom w:val="nil"/>
              <w:right w:val="nil"/>
            </w:tcBorders>
            <w:shd w:val="clear" w:color="auto" w:fill="D7D8D8"/>
            <w:noWrap/>
            <w:vAlign w:val="center"/>
            <w:hideMark/>
          </w:tcPr>
          <w:p w14:paraId="09952E9B" w14:textId="77777777" w:rsidR="00805CF1" w:rsidRPr="00DE2392" w:rsidRDefault="00805CF1" w:rsidP="00805CF1">
            <w:pPr>
              <w:pStyle w:val="TableText"/>
              <w:jc w:val="right"/>
            </w:pPr>
            <w:r w:rsidRPr="00DE2392">
              <w:t>2</w:t>
            </w:r>
          </w:p>
        </w:tc>
        <w:tc>
          <w:tcPr>
            <w:tcW w:w="1085" w:type="dxa"/>
            <w:tcBorders>
              <w:top w:val="nil"/>
              <w:left w:val="nil"/>
              <w:bottom w:val="nil"/>
              <w:right w:val="nil"/>
            </w:tcBorders>
            <w:shd w:val="clear" w:color="auto" w:fill="D7D8D8"/>
            <w:noWrap/>
            <w:vAlign w:val="center"/>
            <w:hideMark/>
          </w:tcPr>
          <w:p w14:paraId="3B29B83E" w14:textId="77777777" w:rsidR="00805CF1" w:rsidRPr="00DE2392" w:rsidRDefault="00805CF1" w:rsidP="00805CF1">
            <w:pPr>
              <w:pStyle w:val="TableText"/>
              <w:jc w:val="right"/>
            </w:pPr>
            <w:r w:rsidRPr="00DE2392">
              <w:t>0.2</w:t>
            </w:r>
          </w:p>
        </w:tc>
        <w:tc>
          <w:tcPr>
            <w:tcW w:w="1566" w:type="dxa"/>
            <w:tcBorders>
              <w:top w:val="nil"/>
              <w:left w:val="nil"/>
              <w:bottom w:val="nil"/>
              <w:right w:val="nil"/>
            </w:tcBorders>
            <w:shd w:val="clear" w:color="auto" w:fill="D7D8D8"/>
            <w:noWrap/>
            <w:vAlign w:val="center"/>
            <w:hideMark/>
          </w:tcPr>
          <w:p w14:paraId="4A8DE463" w14:textId="77777777" w:rsidR="00805CF1" w:rsidRPr="00DE2392" w:rsidRDefault="00805CF1" w:rsidP="00805CF1">
            <w:pPr>
              <w:pStyle w:val="TableText"/>
              <w:jc w:val="right"/>
            </w:pPr>
            <w:r w:rsidRPr="00DE2392">
              <w:t>0</w:t>
            </w:r>
          </w:p>
        </w:tc>
        <w:tc>
          <w:tcPr>
            <w:tcW w:w="960" w:type="dxa"/>
            <w:tcBorders>
              <w:top w:val="nil"/>
              <w:left w:val="nil"/>
              <w:bottom w:val="nil"/>
              <w:right w:val="nil"/>
            </w:tcBorders>
            <w:shd w:val="clear" w:color="auto" w:fill="D7D8D8"/>
            <w:noWrap/>
            <w:vAlign w:val="center"/>
            <w:hideMark/>
          </w:tcPr>
          <w:p w14:paraId="407F76D7" w14:textId="77777777" w:rsidR="00805CF1" w:rsidRPr="00DE2392" w:rsidRDefault="00805CF1" w:rsidP="00805CF1">
            <w:pPr>
              <w:pStyle w:val="TableText"/>
              <w:jc w:val="right"/>
            </w:pPr>
            <w:r w:rsidRPr="00DE2392">
              <w:t>0.0</w:t>
            </w:r>
          </w:p>
        </w:tc>
      </w:tr>
      <w:tr w:rsidR="00805CF1" w:rsidRPr="00F71A22" w14:paraId="2CC703D0" w14:textId="77777777" w:rsidTr="00DE2392">
        <w:trPr>
          <w:trHeight w:val="300"/>
        </w:trPr>
        <w:tc>
          <w:tcPr>
            <w:tcW w:w="3721" w:type="dxa"/>
            <w:tcBorders>
              <w:top w:val="nil"/>
              <w:left w:val="nil"/>
              <w:bottom w:val="nil"/>
              <w:right w:val="nil"/>
            </w:tcBorders>
            <w:shd w:val="clear" w:color="auto" w:fill="auto"/>
            <w:noWrap/>
            <w:vAlign w:val="center"/>
            <w:hideMark/>
          </w:tcPr>
          <w:p w14:paraId="755E9087" w14:textId="77777777" w:rsidR="00805CF1" w:rsidRPr="00DE2392" w:rsidRDefault="00805CF1" w:rsidP="00805CF1">
            <w:pPr>
              <w:pStyle w:val="TableText"/>
            </w:pPr>
            <w:r w:rsidRPr="00DE2392">
              <w:t>Online service is confusing</w:t>
            </w:r>
          </w:p>
        </w:tc>
        <w:tc>
          <w:tcPr>
            <w:tcW w:w="1566" w:type="dxa"/>
            <w:tcBorders>
              <w:top w:val="nil"/>
              <w:left w:val="nil"/>
              <w:bottom w:val="nil"/>
              <w:right w:val="nil"/>
            </w:tcBorders>
            <w:shd w:val="clear" w:color="auto" w:fill="auto"/>
            <w:noWrap/>
            <w:vAlign w:val="center"/>
            <w:hideMark/>
          </w:tcPr>
          <w:p w14:paraId="47DB8B8B" w14:textId="77777777" w:rsidR="00805CF1" w:rsidRPr="00DE2392" w:rsidRDefault="00805CF1" w:rsidP="00805CF1">
            <w:pPr>
              <w:pStyle w:val="TableText"/>
              <w:jc w:val="right"/>
            </w:pPr>
            <w:r w:rsidRPr="00DE2392">
              <w:t>56</w:t>
            </w:r>
          </w:p>
        </w:tc>
        <w:tc>
          <w:tcPr>
            <w:tcW w:w="1085" w:type="dxa"/>
            <w:tcBorders>
              <w:top w:val="nil"/>
              <w:left w:val="nil"/>
              <w:bottom w:val="nil"/>
              <w:right w:val="nil"/>
            </w:tcBorders>
            <w:shd w:val="clear" w:color="auto" w:fill="auto"/>
            <w:noWrap/>
            <w:vAlign w:val="center"/>
            <w:hideMark/>
          </w:tcPr>
          <w:p w14:paraId="4C85411E" w14:textId="77777777" w:rsidR="00805CF1" w:rsidRPr="00DE2392" w:rsidRDefault="00805CF1" w:rsidP="00805CF1">
            <w:pPr>
              <w:pStyle w:val="TableText"/>
              <w:jc w:val="right"/>
            </w:pPr>
            <w:r w:rsidRPr="00DE2392">
              <w:t>6.2</w:t>
            </w:r>
          </w:p>
        </w:tc>
        <w:tc>
          <w:tcPr>
            <w:tcW w:w="1566" w:type="dxa"/>
            <w:tcBorders>
              <w:top w:val="nil"/>
              <w:left w:val="nil"/>
              <w:bottom w:val="nil"/>
              <w:right w:val="nil"/>
            </w:tcBorders>
            <w:shd w:val="clear" w:color="auto" w:fill="auto"/>
            <w:noWrap/>
            <w:vAlign w:val="center"/>
            <w:hideMark/>
          </w:tcPr>
          <w:p w14:paraId="2F1FEBC6" w14:textId="77777777" w:rsidR="00805CF1" w:rsidRPr="00DE2392" w:rsidRDefault="00805CF1" w:rsidP="00805CF1">
            <w:pPr>
              <w:pStyle w:val="TableText"/>
              <w:jc w:val="right"/>
            </w:pPr>
            <w:r w:rsidRPr="00DE2392">
              <w:t>110</w:t>
            </w:r>
          </w:p>
        </w:tc>
        <w:tc>
          <w:tcPr>
            <w:tcW w:w="960" w:type="dxa"/>
            <w:tcBorders>
              <w:top w:val="nil"/>
              <w:left w:val="nil"/>
              <w:bottom w:val="nil"/>
              <w:right w:val="nil"/>
            </w:tcBorders>
            <w:shd w:val="clear" w:color="auto" w:fill="auto"/>
            <w:noWrap/>
            <w:vAlign w:val="center"/>
            <w:hideMark/>
          </w:tcPr>
          <w:p w14:paraId="76A4D688" w14:textId="77777777" w:rsidR="00805CF1" w:rsidRPr="00DE2392" w:rsidRDefault="00805CF1" w:rsidP="00805CF1">
            <w:pPr>
              <w:pStyle w:val="TableText"/>
              <w:jc w:val="right"/>
            </w:pPr>
            <w:r w:rsidRPr="00DE2392">
              <w:t>8.7</w:t>
            </w:r>
          </w:p>
        </w:tc>
      </w:tr>
      <w:tr w:rsidR="00805CF1" w:rsidRPr="00F71A22" w14:paraId="31ED652D" w14:textId="77777777" w:rsidTr="00DE2392">
        <w:trPr>
          <w:trHeight w:val="300"/>
        </w:trPr>
        <w:tc>
          <w:tcPr>
            <w:tcW w:w="3721" w:type="dxa"/>
            <w:tcBorders>
              <w:top w:val="nil"/>
              <w:left w:val="nil"/>
              <w:bottom w:val="nil"/>
              <w:right w:val="nil"/>
            </w:tcBorders>
            <w:shd w:val="clear" w:color="auto" w:fill="D7D8D8"/>
            <w:noWrap/>
            <w:vAlign w:val="center"/>
            <w:hideMark/>
          </w:tcPr>
          <w:p w14:paraId="69EA0552" w14:textId="77777777" w:rsidR="00805CF1" w:rsidRPr="00DE2392" w:rsidRDefault="00805CF1" w:rsidP="00805CF1">
            <w:pPr>
              <w:pStyle w:val="TableText"/>
            </w:pPr>
            <w:r w:rsidRPr="00DE2392">
              <w:t>Unable to access internet from elsewhere</w:t>
            </w:r>
          </w:p>
        </w:tc>
        <w:tc>
          <w:tcPr>
            <w:tcW w:w="1566" w:type="dxa"/>
            <w:tcBorders>
              <w:top w:val="nil"/>
              <w:left w:val="nil"/>
              <w:bottom w:val="nil"/>
              <w:right w:val="nil"/>
            </w:tcBorders>
            <w:shd w:val="clear" w:color="auto" w:fill="D7D8D8"/>
            <w:noWrap/>
            <w:vAlign w:val="center"/>
            <w:hideMark/>
          </w:tcPr>
          <w:p w14:paraId="51DB14EC" w14:textId="77777777" w:rsidR="00805CF1" w:rsidRPr="00DE2392" w:rsidRDefault="00805CF1" w:rsidP="00805CF1">
            <w:pPr>
              <w:pStyle w:val="TableText"/>
              <w:jc w:val="right"/>
            </w:pPr>
            <w:r w:rsidRPr="00DE2392">
              <w:t>5</w:t>
            </w:r>
          </w:p>
        </w:tc>
        <w:tc>
          <w:tcPr>
            <w:tcW w:w="1085" w:type="dxa"/>
            <w:tcBorders>
              <w:top w:val="nil"/>
              <w:left w:val="nil"/>
              <w:bottom w:val="nil"/>
              <w:right w:val="nil"/>
            </w:tcBorders>
            <w:shd w:val="clear" w:color="auto" w:fill="D7D8D8"/>
            <w:noWrap/>
            <w:vAlign w:val="center"/>
            <w:hideMark/>
          </w:tcPr>
          <w:p w14:paraId="5CBE7E6B" w14:textId="77777777" w:rsidR="00805CF1" w:rsidRPr="00DE2392" w:rsidRDefault="00805CF1" w:rsidP="00805CF1">
            <w:pPr>
              <w:pStyle w:val="TableText"/>
              <w:jc w:val="right"/>
            </w:pPr>
            <w:r w:rsidRPr="00DE2392">
              <w:t>0.6</w:t>
            </w:r>
          </w:p>
        </w:tc>
        <w:tc>
          <w:tcPr>
            <w:tcW w:w="1566" w:type="dxa"/>
            <w:tcBorders>
              <w:top w:val="nil"/>
              <w:left w:val="nil"/>
              <w:bottom w:val="nil"/>
              <w:right w:val="nil"/>
            </w:tcBorders>
            <w:shd w:val="clear" w:color="auto" w:fill="D7D8D8"/>
            <w:noWrap/>
            <w:vAlign w:val="center"/>
            <w:hideMark/>
          </w:tcPr>
          <w:p w14:paraId="1304C32A" w14:textId="77777777" w:rsidR="00805CF1" w:rsidRPr="00DE2392" w:rsidRDefault="00805CF1" w:rsidP="00805CF1">
            <w:pPr>
              <w:pStyle w:val="TableText"/>
              <w:jc w:val="right"/>
            </w:pPr>
            <w:r w:rsidRPr="00DE2392">
              <w:t>2</w:t>
            </w:r>
          </w:p>
        </w:tc>
        <w:tc>
          <w:tcPr>
            <w:tcW w:w="960" w:type="dxa"/>
            <w:tcBorders>
              <w:top w:val="nil"/>
              <w:left w:val="nil"/>
              <w:bottom w:val="nil"/>
              <w:right w:val="nil"/>
            </w:tcBorders>
            <w:shd w:val="clear" w:color="auto" w:fill="D7D8D8"/>
            <w:noWrap/>
            <w:vAlign w:val="center"/>
            <w:hideMark/>
          </w:tcPr>
          <w:p w14:paraId="38BFD223" w14:textId="77777777" w:rsidR="00805CF1" w:rsidRPr="00DE2392" w:rsidRDefault="00805CF1" w:rsidP="00805CF1">
            <w:pPr>
              <w:pStyle w:val="TableText"/>
              <w:jc w:val="right"/>
            </w:pPr>
            <w:r w:rsidRPr="00DE2392">
              <w:t>0.2</w:t>
            </w:r>
          </w:p>
        </w:tc>
      </w:tr>
      <w:tr w:rsidR="00805CF1" w:rsidRPr="00F71A22" w14:paraId="1BB14D85" w14:textId="77777777" w:rsidTr="00DE2392">
        <w:trPr>
          <w:trHeight w:val="300"/>
        </w:trPr>
        <w:tc>
          <w:tcPr>
            <w:tcW w:w="3721" w:type="dxa"/>
            <w:tcBorders>
              <w:top w:val="nil"/>
              <w:left w:val="nil"/>
              <w:bottom w:val="single" w:sz="4" w:space="0" w:color="auto"/>
              <w:right w:val="nil"/>
            </w:tcBorders>
            <w:shd w:val="clear" w:color="auto" w:fill="auto"/>
            <w:noWrap/>
            <w:vAlign w:val="center"/>
            <w:hideMark/>
          </w:tcPr>
          <w:p w14:paraId="7B4F4EBA" w14:textId="355A1A25" w:rsidR="00805CF1" w:rsidRPr="00DE2392" w:rsidRDefault="00805CF1" w:rsidP="00805CF1">
            <w:pPr>
              <w:pStyle w:val="TableText"/>
            </w:pPr>
            <w:r w:rsidRPr="00DE2392">
              <w:t>Unable to access internet from home</w:t>
            </w:r>
          </w:p>
        </w:tc>
        <w:tc>
          <w:tcPr>
            <w:tcW w:w="1566" w:type="dxa"/>
            <w:tcBorders>
              <w:top w:val="nil"/>
              <w:left w:val="nil"/>
              <w:bottom w:val="single" w:sz="4" w:space="0" w:color="auto"/>
              <w:right w:val="nil"/>
            </w:tcBorders>
            <w:shd w:val="clear" w:color="auto" w:fill="auto"/>
            <w:noWrap/>
            <w:vAlign w:val="center"/>
            <w:hideMark/>
          </w:tcPr>
          <w:p w14:paraId="2C8C3E8A" w14:textId="77777777" w:rsidR="00805CF1" w:rsidRPr="00DE2392" w:rsidRDefault="00805CF1" w:rsidP="00805CF1">
            <w:pPr>
              <w:pStyle w:val="TableText"/>
              <w:jc w:val="right"/>
            </w:pPr>
            <w:r w:rsidRPr="00DE2392">
              <w:t>65</w:t>
            </w:r>
          </w:p>
        </w:tc>
        <w:tc>
          <w:tcPr>
            <w:tcW w:w="1085" w:type="dxa"/>
            <w:tcBorders>
              <w:top w:val="nil"/>
              <w:left w:val="nil"/>
              <w:bottom w:val="single" w:sz="4" w:space="0" w:color="auto"/>
              <w:right w:val="nil"/>
            </w:tcBorders>
            <w:shd w:val="clear" w:color="auto" w:fill="auto"/>
            <w:noWrap/>
            <w:vAlign w:val="center"/>
            <w:hideMark/>
          </w:tcPr>
          <w:p w14:paraId="1B480F79" w14:textId="77777777" w:rsidR="00805CF1" w:rsidRPr="00DE2392" w:rsidRDefault="00805CF1" w:rsidP="00805CF1">
            <w:pPr>
              <w:pStyle w:val="TableText"/>
              <w:jc w:val="right"/>
            </w:pPr>
            <w:r w:rsidRPr="00DE2392">
              <w:t>7.2</w:t>
            </w:r>
          </w:p>
        </w:tc>
        <w:tc>
          <w:tcPr>
            <w:tcW w:w="1566" w:type="dxa"/>
            <w:tcBorders>
              <w:top w:val="nil"/>
              <w:left w:val="nil"/>
              <w:bottom w:val="single" w:sz="4" w:space="0" w:color="auto"/>
              <w:right w:val="nil"/>
            </w:tcBorders>
            <w:shd w:val="clear" w:color="auto" w:fill="auto"/>
            <w:noWrap/>
            <w:vAlign w:val="center"/>
            <w:hideMark/>
          </w:tcPr>
          <w:p w14:paraId="3686588B" w14:textId="77777777" w:rsidR="00805CF1" w:rsidRPr="00DE2392" w:rsidRDefault="00805CF1" w:rsidP="00805CF1">
            <w:pPr>
              <w:pStyle w:val="TableText"/>
              <w:jc w:val="right"/>
            </w:pPr>
            <w:r w:rsidRPr="00DE2392">
              <w:t>50</w:t>
            </w:r>
          </w:p>
        </w:tc>
        <w:tc>
          <w:tcPr>
            <w:tcW w:w="960" w:type="dxa"/>
            <w:tcBorders>
              <w:top w:val="nil"/>
              <w:left w:val="nil"/>
              <w:bottom w:val="single" w:sz="4" w:space="0" w:color="auto"/>
              <w:right w:val="nil"/>
            </w:tcBorders>
            <w:shd w:val="clear" w:color="auto" w:fill="auto"/>
            <w:noWrap/>
            <w:vAlign w:val="center"/>
            <w:hideMark/>
          </w:tcPr>
          <w:p w14:paraId="5AFFA031" w14:textId="77777777" w:rsidR="00805CF1" w:rsidRPr="00DE2392" w:rsidRDefault="00805CF1" w:rsidP="00805CF1">
            <w:pPr>
              <w:pStyle w:val="TableText"/>
              <w:jc w:val="right"/>
            </w:pPr>
            <w:r w:rsidRPr="00DE2392">
              <w:t>4</w:t>
            </w:r>
          </w:p>
        </w:tc>
      </w:tr>
      <w:tr w:rsidR="00805CF1" w:rsidRPr="00F71A22" w14:paraId="21D0992C" w14:textId="77777777" w:rsidTr="00DE2392">
        <w:trPr>
          <w:trHeight w:val="315"/>
        </w:trPr>
        <w:tc>
          <w:tcPr>
            <w:tcW w:w="3721" w:type="dxa"/>
            <w:tcBorders>
              <w:top w:val="nil"/>
              <w:left w:val="nil"/>
              <w:bottom w:val="single" w:sz="8" w:space="0" w:color="auto"/>
              <w:right w:val="nil"/>
            </w:tcBorders>
            <w:shd w:val="clear" w:color="auto" w:fill="auto"/>
            <w:noWrap/>
            <w:vAlign w:val="bottom"/>
            <w:hideMark/>
          </w:tcPr>
          <w:p w14:paraId="7BF7B95C" w14:textId="77777777" w:rsidR="00805CF1" w:rsidRPr="00DE2392" w:rsidRDefault="00805CF1" w:rsidP="00805CF1">
            <w:pPr>
              <w:pStyle w:val="TableText"/>
            </w:pPr>
            <w:r w:rsidRPr="00DE2392">
              <w:t>Total</w:t>
            </w:r>
          </w:p>
        </w:tc>
        <w:tc>
          <w:tcPr>
            <w:tcW w:w="1566" w:type="dxa"/>
            <w:tcBorders>
              <w:top w:val="nil"/>
              <w:left w:val="nil"/>
              <w:bottom w:val="single" w:sz="8" w:space="0" w:color="auto"/>
              <w:right w:val="nil"/>
            </w:tcBorders>
            <w:shd w:val="clear" w:color="auto" w:fill="auto"/>
            <w:noWrap/>
            <w:vAlign w:val="center"/>
            <w:hideMark/>
          </w:tcPr>
          <w:p w14:paraId="698EFAA7" w14:textId="77777777" w:rsidR="00805CF1" w:rsidRPr="00DE2392" w:rsidRDefault="00805CF1" w:rsidP="00805CF1">
            <w:pPr>
              <w:pStyle w:val="TableText"/>
              <w:jc w:val="right"/>
            </w:pPr>
            <w:r w:rsidRPr="00DE2392">
              <w:t>905</w:t>
            </w:r>
          </w:p>
        </w:tc>
        <w:tc>
          <w:tcPr>
            <w:tcW w:w="1085" w:type="dxa"/>
            <w:tcBorders>
              <w:top w:val="nil"/>
              <w:left w:val="nil"/>
              <w:bottom w:val="single" w:sz="8" w:space="0" w:color="auto"/>
              <w:right w:val="nil"/>
            </w:tcBorders>
            <w:shd w:val="clear" w:color="auto" w:fill="auto"/>
            <w:noWrap/>
            <w:vAlign w:val="center"/>
            <w:hideMark/>
          </w:tcPr>
          <w:p w14:paraId="2D32B8CD" w14:textId="09A2E846" w:rsidR="00805CF1" w:rsidRPr="00DE2392" w:rsidRDefault="00805CF1" w:rsidP="00805CF1">
            <w:pPr>
              <w:pStyle w:val="TableText"/>
              <w:jc w:val="right"/>
            </w:pPr>
            <w:r w:rsidRPr="00DE2392">
              <w:t>100.0</w:t>
            </w:r>
          </w:p>
        </w:tc>
        <w:tc>
          <w:tcPr>
            <w:tcW w:w="1566" w:type="dxa"/>
            <w:tcBorders>
              <w:top w:val="nil"/>
              <w:left w:val="nil"/>
              <w:bottom w:val="single" w:sz="8" w:space="0" w:color="auto"/>
              <w:right w:val="nil"/>
            </w:tcBorders>
            <w:shd w:val="clear" w:color="auto" w:fill="auto"/>
            <w:noWrap/>
            <w:vAlign w:val="center"/>
            <w:hideMark/>
          </w:tcPr>
          <w:p w14:paraId="0DE86C0A" w14:textId="77777777" w:rsidR="00805CF1" w:rsidRPr="00DE2392" w:rsidRDefault="00805CF1" w:rsidP="00805CF1">
            <w:pPr>
              <w:pStyle w:val="TableText"/>
              <w:jc w:val="right"/>
            </w:pPr>
            <w:r w:rsidRPr="00DE2392">
              <w:t>1,262</w:t>
            </w:r>
          </w:p>
        </w:tc>
        <w:tc>
          <w:tcPr>
            <w:tcW w:w="960" w:type="dxa"/>
            <w:tcBorders>
              <w:top w:val="nil"/>
              <w:left w:val="nil"/>
              <w:bottom w:val="single" w:sz="8" w:space="0" w:color="auto"/>
              <w:right w:val="nil"/>
            </w:tcBorders>
            <w:shd w:val="clear" w:color="auto" w:fill="auto"/>
            <w:noWrap/>
            <w:vAlign w:val="center"/>
            <w:hideMark/>
          </w:tcPr>
          <w:p w14:paraId="28856DC3" w14:textId="53EEB6CE" w:rsidR="00805CF1" w:rsidRPr="00DE2392" w:rsidRDefault="00805CF1" w:rsidP="00805CF1">
            <w:pPr>
              <w:pStyle w:val="TableText"/>
              <w:jc w:val="right"/>
            </w:pPr>
            <w:r w:rsidRPr="00DE2392">
              <w:t>100.0</w:t>
            </w:r>
          </w:p>
        </w:tc>
      </w:tr>
    </w:tbl>
    <w:p w14:paraId="36729B48" w14:textId="14580C0B" w:rsidR="00861F20" w:rsidRPr="00F71A22" w:rsidRDefault="00861F20" w:rsidP="00861F20">
      <w:pPr>
        <w:pStyle w:val="Source"/>
      </w:pPr>
      <w:r w:rsidRPr="00F71A22">
        <w:rPr>
          <w:b/>
          <w:bCs/>
        </w:rPr>
        <w:t>Source</w:t>
      </w:r>
      <w:r w:rsidRPr="00F71A22">
        <w:t xml:space="preserve">: DESE </w:t>
      </w:r>
      <w:r w:rsidR="00B41917">
        <w:t>a</w:t>
      </w:r>
      <w:r w:rsidRPr="00F71A22">
        <w:t xml:space="preserve">dministrative </w:t>
      </w:r>
      <w:r w:rsidR="00B41917">
        <w:t>d</w:t>
      </w:r>
      <w:r w:rsidRPr="00F71A22">
        <w:t>ata</w:t>
      </w:r>
    </w:p>
    <w:p w14:paraId="1784F582" w14:textId="651DEF6A" w:rsidR="00B41917" w:rsidRDefault="00B41917" w:rsidP="00B41917">
      <w:r>
        <w:t xml:space="preserve">While participants continued to cite a preference for face-to-face servicing as the main opt-out reason, proportionally fewer participants cited this over time, declining from close to </w:t>
      </w:r>
      <w:r w:rsidRPr="001261D9">
        <w:rPr>
          <w:b/>
        </w:rPr>
        <w:t>70%</w:t>
      </w:r>
      <w:r>
        <w:t xml:space="preserve"> in July</w:t>
      </w:r>
      <w:r w:rsidR="00442A34">
        <w:t> </w:t>
      </w:r>
      <w:r>
        <w:t xml:space="preserve">2018 to around </w:t>
      </w:r>
      <w:r w:rsidRPr="001261D9">
        <w:rPr>
          <w:b/>
        </w:rPr>
        <w:t>52%</w:t>
      </w:r>
      <w:r>
        <w:t xml:space="preserve"> of reasons in September 2019 (</w:t>
      </w:r>
      <w:r w:rsidRPr="001261D9">
        <w:rPr>
          <w:b/>
        </w:rPr>
        <w:t>Figure 3.</w:t>
      </w:r>
      <w:r w:rsidR="00D259A0">
        <w:rPr>
          <w:b/>
        </w:rPr>
        <w:t>2</w:t>
      </w:r>
      <w:r>
        <w:t xml:space="preserve">). Other reasons rose proportionally over time, including online servicing being difficult to use (from </w:t>
      </w:r>
      <w:r w:rsidRPr="001261D9">
        <w:rPr>
          <w:b/>
        </w:rPr>
        <w:t>6%</w:t>
      </w:r>
      <w:r>
        <w:t xml:space="preserve"> to </w:t>
      </w:r>
      <w:r w:rsidRPr="001261D9">
        <w:rPr>
          <w:b/>
        </w:rPr>
        <w:t>11%</w:t>
      </w:r>
      <w:r>
        <w:t xml:space="preserve">) and online servicing being confusing (from </w:t>
      </w:r>
      <w:r w:rsidRPr="001261D9">
        <w:rPr>
          <w:b/>
        </w:rPr>
        <w:t>2%</w:t>
      </w:r>
      <w:r>
        <w:t xml:space="preserve"> to </w:t>
      </w:r>
      <w:r w:rsidRPr="001261D9">
        <w:rPr>
          <w:b/>
        </w:rPr>
        <w:t>8%</w:t>
      </w:r>
      <w:r w:rsidRPr="008C0447">
        <w:t>).</w:t>
      </w:r>
    </w:p>
    <w:p w14:paraId="76498F5C" w14:textId="34149EC8" w:rsidR="00D61CB3" w:rsidRPr="00F71A22" w:rsidRDefault="00D61CB3" w:rsidP="00D61CB3">
      <w:pPr>
        <w:pStyle w:val="Heading3"/>
      </w:pPr>
      <w:bookmarkStart w:id="109" w:name="_Toc67042594"/>
      <w:r w:rsidRPr="00F71A22">
        <w:t>3.</w:t>
      </w:r>
      <w:r w:rsidR="0048513A" w:rsidRPr="00F71A22">
        <w:t>2</w:t>
      </w:r>
      <w:r w:rsidRPr="00F71A22">
        <w:t>.3 Awareness of opt-out arrangements</w:t>
      </w:r>
      <w:bookmarkEnd w:id="109"/>
    </w:p>
    <w:p w14:paraId="5B3AFAEF" w14:textId="0EC5E093" w:rsidR="00803324" w:rsidRDefault="00D61CB3" w:rsidP="00C51242">
      <w:r w:rsidRPr="00F71A22">
        <w:t>Trial participants emphasised the extent to which their decision to opt out was influenced by their awareness of the provider servicing option and their understanding of the process by which they could opt out. Many, but not all</w:t>
      </w:r>
      <w:r w:rsidR="003F2B5E">
        <w:t>,</w:t>
      </w:r>
      <w:r w:rsidRPr="00F71A22">
        <w:t xml:space="preserve"> participants were aware that they could choose to leave the trial at any time and transfer to a jobactive provider (72</w:t>
      </w:r>
      <w:r w:rsidR="00B41917">
        <w:t>%</w:t>
      </w:r>
      <w:r w:rsidRPr="00F71A22">
        <w:t>). OEST p</w:t>
      </w:r>
      <w:r w:rsidRPr="00F71A22" w:rsidDel="00C77DBF">
        <w:t xml:space="preserve">articipants in general had limited knowledge about provider-based </w:t>
      </w:r>
      <w:r w:rsidR="003107A2" w:rsidRPr="00F71A22" w:rsidDel="00C77DBF">
        <w:t>services</w:t>
      </w:r>
      <w:r w:rsidRPr="00F71A22" w:rsidDel="00C77DBF">
        <w:t>.</w:t>
      </w:r>
    </w:p>
    <w:p w14:paraId="679CCFAB" w14:textId="77777777" w:rsidR="00803324" w:rsidRDefault="00D61CB3" w:rsidP="00D61CB3">
      <w:r w:rsidRPr="00F71A22">
        <w:t xml:space="preserve">OEST participants who were unaware that online employment servicing was being provided on a trial basis assumed that </w:t>
      </w:r>
      <w:r w:rsidRPr="00F71A22" w:rsidDel="007A4FAE">
        <w:t>online servicing was the norm and had limited awareness of the opt-out/transfer process to provider services.</w:t>
      </w:r>
    </w:p>
    <w:p w14:paraId="3ED1ABF9" w14:textId="1FFA1356" w:rsidR="00D61CB3" w:rsidRPr="001F36EA" w:rsidRDefault="00D61CB3" w:rsidP="001F36EA">
      <w:pPr>
        <w:pStyle w:val="Quote"/>
      </w:pPr>
      <w:r w:rsidRPr="001F36EA">
        <w:lastRenderedPageBreak/>
        <w:t>… because it was my first time [using government-funded employment services], I thought I had to do it online, I thought everyone had to. (OEST</w:t>
      </w:r>
      <w:r w:rsidR="006F7860" w:rsidRPr="001F36EA">
        <w:t> </w:t>
      </w:r>
      <w:r w:rsidRPr="001F36EA">
        <w:t>participant,</w:t>
      </w:r>
      <w:r w:rsidR="006F7860" w:rsidRPr="001F36EA">
        <w:t> </w:t>
      </w:r>
      <w:r w:rsidRPr="001F36EA">
        <w:t>35</w:t>
      </w:r>
      <w:r w:rsidR="006F7860" w:rsidRPr="001F36EA">
        <w:t> </w:t>
      </w:r>
      <w:r w:rsidRPr="001F36EA">
        <w:t>years or below)</w:t>
      </w:r>
    </w:p>
    <w:p w14:paraId="477BDFE8" w14:textId="220DB1B2" w:rsidR="00D61CB3" w:rsidRPr="00F71A22" w:rsidRDefault="00D61CB3" w:rsidP="000E1565">
      <w:r w:rsidRPr="00F71A22">
        <w:t>A few participants reported that they would have opted out if they had known they could or felt more supported had they known this option was available to them if they experienced any difficulties.</w:t>
      </w:r>
    </w:p>
    <w:p w14:paraId="2DF5AD4B" w14:textId="7DF9866B" w:rsidR="00E2002C" w:rsidRDefault="000E1565" w:rsidP="00535658">
      <w:pPr>
        <w:pStyle w:val="FigureCaption"/>
      </w:pPr>
      <w:bookmarkStart w:id="110" w:name="_Toc50458823"/>
      <w:bookmarkStart w:id="111" w:name="_Toc50458916"/>
      <w:bookmarkStart w:id="112" w:name="_Toc50459009"/>
      <w:bookmarkStart w:id="113" w:name="_Toc50459286"/>
      <w:bookmarkStart w:id="114" w:name="_Toc67042676"/>
      <w:r w:rsidRPr="00F71A22">
        <w:t>Figure 3.</w:t>
      </w:r>
      <w:r w:rsidR="0048513A" w:rsidRPr="00F71A22">
        <w:t>2</w:t>
      </w:r>
      <w:r w:rsidRPr="00F71A22">
        <w:t xml:space="preserve"> OEST commenced participants – opt-out reasons by month (cumulative)</w:t>
      </w:r>
      <w:bookmarkEnd w:id="110"/>
      <w:bookmarkEnd w:id="111"/>
      <w:bookmarkEnd w:id="112"/>
      <w:bookmarkEnd w:id="113"/>
      <w:bookmarkEnd w:id="114"/>
    </w:p>
    <w:p w14:paraId="68A6A384" w14:textId="1E4C1C13" w:rsidR="005B1A8B" w:rsidRPr="00F71A22" w:rsidRDefault="005B1A8B" w:rsidP="00580170">
      <w:r>
        <w:rPr>
          <w:noProof/>
        </w:rPr>
        <w:drawing>
          <wp:inline distT="0" distB="0" distL="0" distR="0" wp14:anchorId="68DDB5D4" wp14:editId="6A3E6119">
            <wp:extent cx="5939942" cy="4734232"/>
            <wp:effectExtent l="0" t="0" r="3810" b="9525"/>
            <wp:docPr id="24" name="Picture 24" descr="Line chart comparing reasons why participants opted out of the trial from July 2018 to December 2019 with the most common reason being a preference for face to fac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ine chart comparing reasons why participants opted out of the trial from July 2018 to December 2019 with the most common reason being a preference for face to face service."/>
                    <pic:cNvPicPr/>
                  </pic:nvPicPr>
                  <pic:blipFill>
                    <a:blip r:embed="rId24"/>
                    <a:stretch>
                      <a:fillRect/>
                    </a:stretch>
                  </pic:blipFill>
                  <pic:spPr>
                    <a:xfrm>
                      <a:off x="0" y="0"/>
                      <a:ext cx="5945428" cy="4738604"/>
                    </a:xfrm>
                    <a:prstGeom prst="rect">
                      <a:avLst/>
                    </a:prstGeom>
                  </pic:spPr>
                </pic:pic>
              </a:graphicData>
            </a:graphic>
          </wp:inline>
        </w:drawing>
      </w:r>
    </w:p>
    <w:p w14:paraId="2BDB9244" w14:textId="3EDDCF6F" w:rsidR="000E1565" w:rsidRPr="00F71A22" w:rsidRDefault="000E1565" w:rsidP="00535658">
      <w:pPr>
        <w:pStyle w:val="Source"/>
        <w:contextualSpacing/>
      </w:pPr>
      <w:r w:rsidRPr="00F71A22">
        <w:rPr>
          <w:b/>
          <w:bCs/>
        </w:rPr>
        <w:t>Source</w:t>
      </w:r>
      <w:r w:rsidRPr="00F71A22">
        <w:t xml:space="preserve">: DESE administrative </w:t>
      </w:r>
      <w:r w:rsidR="00DA1E0C">
        <w:t>d</w:t>
      </w:r>
      <w:r w:rsidRPr="00F71A22">
        <w:t>ata</w:t>
      </w:r>
      <w:r w:rsidR="00C036BB">
        <w:br/>
      </w:r>
      <w:r w:rsidR="00C85983" w:rsidRPr="00F71A22">
        <w:rPr>
          <w:b/>
          <w:bCs/>
        </w:rPr>
        <w:t>Note</w:t>
      </w:r>
      <w:r w:rsidRPr="00F71A22">
        <w:t xml:space="preserve">: OEST commenced participants who opted out by </w:t>
      </w:r>
      <w:r w:rsidR="00C85983" w:rsidRPr="00F71A22">
        <w:t xml:space="preserve">31 </w:t>
      </w:r>
      <w:r w:rsidRPr="00F71A22">
        <w:t>December 20</w:t>
      </w:r>
      <w:r w:rsidR="00ED2F71" w:rsidRPr="00F71A22">
        <w:t>19</w:t>
      </w:r>
      <w:r w:rsidRPr="00F71A22">
        <w:t xml:space="preserve"> (n=1</w:t>
      </w:r>
      <w:r w:rsidR="003911C6">
        <w:t>,</w:t>
      </w:r>
      <w:r w:rsidRPr="00F71A22">
        <w:t>488)</w:t>
      </w:r>
    </w:p>
    <w:p w14:paraId="0062D548" w14:textId="69E707ED" w:rsidR="000E1565" w:rsidRPr="00F71A22" w:rsidRDefault="000E1565" w:rsidP="0096486A">
      <w:pPr>
        <w:pStyle w:val="Heading2"/>
        <w:rPr>
          <w:lang w:val="en"/>
        </w:rPr>
      </w:pPr>
      <w:bookmarkStart w:id="115" w:name="_Toc49256417"/>
      <w:bookmarkStart w:id="116" w:name="_Toc67042595"/>
      <w:r w:rsidRPr="00F71A22">
        <w:rPr>
          <w:lang w:val="en"/>
        </w:rPr>
        <w:lastRenderedPageBreak/>
        <w:t>3.3 The jobactive website</w:t>
      </w:r>
      <w:bookmarkEnd w:id="115"/>
      <w:bookmarkEnd w:id="116"/>
    </w:p>
    <w:p w14:paraId="4132528D" w14:textId="77777777" w:rsidR="00803324" w:rsidRDefault="000E1565" w:rsidP="000E1565">
      <w:r w:rsidRPr="00F71A22">
        <w:t>International and Australian research on the use of digital services ha</w:t>
      </w:r>
      <w:r w:rsidR="00D259A0">
        <w:t>s</w:t>
      </w:r>
      <w:r w:rsidRPr="00F71A22">
        <w:t xml:space="preserve"> stressed the importance of accommodating a range of technological knowledge and attitudes among users, </w:t>
      </w:r>
      <w:r w:rsidR="00D259A0">
        <w:t>and of</w:t>
      </w:r>
      <w:r w:rsidRPr="00F71A22">
        <w:t xml:space="preserve"> keeping the design and flow simple to encourage participation from new or novice internet users. Central to the success of online government services is reliable and consistent technology that helps avoid user dissatisfaction and disappointment through technical issues, such as webpage errors and host connectivity issues.</w:t>
      </w:r>
    </w:p>
    <w:p w14:paraId="255A5901" w14:textId="05D7C1CC" w:rsidR="004002CD" w:rsidRPr="00F71A22" w:rsidRDefault="004002CD" w:rsidP="004002CD">
      <w:pPr>
        <w:rPr>
          <w:lang w:val="en"/>
        </w:rPr>
      </w:pPr>
      <w:bookmarkStart w:id="117" w:name="_Toc49256418"/>
      <w:r w:rsidRPr="00F71A22">
        <w:rPr>
          <w:lang w:val="en"/>
        </w:rPr>
        <w:t xml:space="preserve">In the case of OEST, success was dependent on the </w:t>
      </w:r>
      <w:r w:rsidRPr="00F71A22">
        <w:t xml:space="preserve">jobactive website’s reliability and ease of use. The website was the key source of information for participants, and was where participants </w:t>
      </w:r>
      <w:r w:rsidRPr="00F71A22">
        <w:rPr>
          <w:lang w:val="en"/>
        </w:rPr>
        <w:t>registered their job searches</w:t>
      </w:r>
      <w:r w:rsidRPr="00F71A22">
        <w:t>, set up their job seeker profiles, accessed resources to assist with their job searches</w:t>
      </w:r>
      <w:r w:rsidRPr="00F71A22">
        <w:rPr>
          <w:lang w:val="en"/>
        </w:rPr>
        <w:t xml:space="preserve"> and </w:t>
      </w:r>
      <w:r w:rsidR="004C1FC9" w:rsidRPr="00F71A22">
        <w:rPr>
          <w:lang w:val="en"/>
        </w:rPr>
        <w:t>self-managed MORs compliance.</w:t>
      </w:r>
    </w:p>
    <w:p w14:paraId="789F9863" w14:textId="5B9D43D7" w:rsidR="00F71FC4" w:rsidRPr="00F71A22" w:rsidRDefault="00F71FC4" w:rsidP="00F71FC4">
      <w:pPr>
        <w:pStyle w:val="Heading3"/>
      </w:pPr>
      <w:bookmarkStart w:id="118" w:name="_Toc67042596"/>
      <w:r w:rsidRPr="00F71A22">
        <w:t>3.3.1 Website usage</w:t>
      </w:r>
      <w:bookmarkEnd w:id="118"/>
    </w:p>
    <w:p w14:paraId="063A2E0D" w14:textId="77777777" w:rsidR="00803324" w:rsidRDefault="00D259A0" w:rsidP="00D259A0">
      <w:r>
        <w:t xml:space="preserve">Survey results showed that </w:t>
      </w:r>
      <w:r w:rsidRPr="00093F2E">
        <w:rPr>
          <w:b/>
        </w:rPr>
        <w:t>83</w:t>
      </w:r>
      <w:r>
        <w:rPr>
          <w:b/>
        </w:rPr>
        <w:t>%</w:t>
      </w:r>
      <w:r>
        <w:t xml:space="preserve"> of OEST participants recalled having accessed the jobactive website since commencing the trial, compared with </w:t>
      </w:r>
      <w:r w:rsidRPr="00D62732">
        <w:rPr>
          <w:b/>
        </w:rPr>
        <w:t>69</w:t>
      </w:r>
      <w:r>
        <w:rPr>
          <w:b/>
        </w:rPr>
        <w:t>%</w:t>
      </w:r>
      <w:r>
        <w:t xml:space="preserve"> in the comparison group.</w:t>
      </w:r>
      <w:r>
        <w:rPr>
          <w:rStyle w:val="FootnoteReference"/>
        </w:rPr>
        <w:footnoteReference w:id="10"/>
      </w:r>
    </w:p>
    <w:p w14:paraId="506FDF2C" w14:textId="4295C1D7" w:rsidR="00D259A0" w:rsidRDefault="00D259A0" w:rsidP="00D259A0">
      <w:r>
        <w:t xml:space="preserve">Website </w:t>
      </w:r>
      <w:r w:rsidRPr="00271F5D">
        <w:t xml:space="preserve">usage </w:t>
      </w:r>
      <w:r w:rsidRPr="00093F2E">
        <w:t>was</w:t>
      </w:r>
      <w:r w:rsidRPr="006E14B3">
        <w:t xml:space="preserve"> </w:t>
      </w:r>
      <w:r w:rsidRPr="001261D9">
        <w:rPr>
          <w:b/>
        </w:rPr>
        <w:t>89%</w:t>
      </w:r>
      <w:r w:rsidRPr="00271F5D">
        <w:t xml:space="preserve"> </w:t>
      </w:r>
      <w:r>
        <w:t>among OEST participants still in the trial</w:t>
      </w:r>
      <w:r w:rsidRPr="00271F5D">
        <w:t xml:space="preserve"> and </w:t>
      </w:r>
      <w:r w:rsidRPr="001261D9">
        <w:rPr>
          <w:b/>
        </w:rPr>
        <w:t>88%</w:t>
      </w:r>
      <w:r w:rsidRPr="00271F5D">
        <w:t xml:space="preserve"> for those who transferred to </w:t>
      </w:r>
      <w:r>
        <w:t>provider</w:t>
      </w:r>
      <w:r w:rsidRPr="00271F5D">
        <w:t xml:space="preserve"> services after </w:t>
      </w:r>
      <w:r w:rsidR="003911C6">
        <w:t>six</w:t>
      </w:r>
      <w:r>
        <w:t> </w:t>
      </w:r>
      <w:r w:rsidRPr="00271F5D">
        <w:t xml:space="preserve">months in the </w:t>
      </w:r>
      <w:r>
        <w:t>t</w:t>
      </w:r>
      <w:r w:rsidRPr="00271F5D">
        <w:t>rial</w:t>
      </w:r>
      <w:r>
        <w:t>. About</w:t>
      </w:r>
      <w:r w:rsidRPr="0025739C">
        <w:t xml:space="preserve"> </w:t>
      </w:r>
      <w:r w:rsidRPr="001261D9">
        <w:rPr>
          <w:b/>
        </w:rPr>
        <w:t>3% to 5%</w:t>
      </w:r>
      <w:r w:rsidRPr="0025739C">
        <w:t xml:space="preserve"> of OEST participants were not sure if they had visited and used the jobactive website since </w:t>
      </w:r>
      <w:r>
        <w:t>commencement</w:t>
      </w:r>
      <w:r w:rsidRPr="0025739C">
        <w:t xml:space="preserve">. </w:t>
      </w:r>
      <w:r w:rsidRPr="00B44A3C">
        <w:t xml:space="preserve">This could explain why some survey respondents </w:t>
      </w:r>
      <w:r>
        <w:t xml:space="preserve">indicated that they </w:t>
      </w:r>
      <w:r w:rsidRPr="00B44A3C">
        <w:t>had not yet visited the website.</w:t>
      </w:r>
    </w:p>
    <w:p w14:paraId="6ED171D3" w14:textId="77777777" w:rsidR="00D259A0" w:rsidRPr="009E477D" w:rsidRDefault="00D259A0" w:rsidP="00D259A0">
      <w:r>
        <w:t>Survey results also showed that the majority of OEST participants who accessed the jobactive website had used the following functions:</w:t>
      </w:r>
    </w:p>
    <w:p w14:paraId="7408997F" w14:textId="77777777" w:rsidR="00D259A0" w:rsidRPr="009E477D" w:rsidRDefault="00D259A0" w:rsidP="00665BB4">
      <w:pPr>
        <w:pStyle w:val="ListBullet"/>
      </w:pPr>
      <w:r>
        <w:t>j</w:t>
      </w:r>
      <w:r w:rsidRPr="009E477D">
        <w:t>ob search function (</w:t>
      </w:r>
      <w:r w:rsidRPr="001261D9">
        <w:rPr>
          <w:b/>
        </w:rPr>
        <w:t>87%</w:t>
      </w:r>
      <w:r w:rsidRPr="009E477D">
        <w:t>)</w:t>
      </w:r>
    </w:p>
    <w:p w14:paraId="08F58212" w14:textId="77777777" w:rsidR="00D259A0" w:rsidRPr="009E477D" w:rsidRDefault="00D259A0" w:rsidP="00665BB4">
      <w:pPr>
        <w:pStyle w:val="ListBullet"/>
      </w:pPr>
      <w:r>
        <w:t>‘</w:t>
      </w:r>
      <w:r w:rsidRPr="009E477D">
        <w:t>my job search effort’ function to record the jobs they applied for (</w:t>
      </w:r>
      <w:r w:rsidRPr="001261D9">
        <w:rPr>
          <w:b/>
        </w:rPr>
        <w:t>87%</w:t>
      </w:r>
      <w:r w:rsidRPr="009E477D">
        <w:t>)</w:t>
      </w:r>
    </w:p>
    <w:p w14:paraId="4D8B936D" w14:textId="77777777" w:rsidR="00D259A0" w:rsidRPr="009E477D" w:rsidRDefault="00D259A0" w:rsidP="00665BB4">
      <w:pPr>
        <w:pStyle w:val="ListBullet"/>
      </w:pPr>
      <w:r>
        <w:t>u</w:t>
      </w:r>
      <w:r w:rsidRPr="009E477D">
        <w:t>pdat</w:t>
      </w:r>
      <w:r>
        <w:t>ing</w:t>
      </w:r>
      <w:r w:rsidRPr="009E477D">
        <w:t xml:space="preserve"> their profile or </w:t>
      </w:r>
      <w:r w:rsidRPr="00EA517E">
        <w:rPr>
          <w:rFonts w:cstheme="minorHAnsi"/>
        </w:rPr>
        <w:t>résumé</w:t>
      </w:r>
      <w:r w:rsidRPr="009E477D">
        <w:t xml:space="preserve"> (</w:t>
      </w:r>
      <w:r w:rsidRPr="001261D9">
        <w:rPr>
          <w:b/>
        </w:rPr>
        <w:t>69%</w:t>
      </w:r>
      <w:r w:rsidRPr="009E477D">
        <w:t>).</w:t>
      </w:r>
    </w:p>
    <w:p w14:paraId="436D1C32" w14:textId="77777777" w:rsidR="00803324" w:rsidRDefault="00D259A0" w:rsidP="00D259A0">
      <w:r w:rsidRPr="009E477D">
        <w:t xml:space="preserve">Other functions, including guides, FAQs and the calendar </w:t>
      </w:r>
      <w:r w:rsidRPr="009E477D">
        <w:rPr>
          <w:bCs/>
        </w:rPr>
        <w:t>were</w:t>
      </w:r>
      <w:r>
        <w:rPr>
          <w:bCs/>
        </w:rPr>
        <w:t xml:space="preserve"> used</w:t>
      </w:r>
      <w:r w:rsidRPr="009E477D">
        <w:rPr>
          <w:bCs/>
        </w:rPr>
        <w:t xml:space="preserve"> less </w:t>
      </w:r>
      <w:r>
        <w:rPr>
          <w:bCs/>
        </w:rPr>
        <w:t xml:space="preserve">frequently. </w:t>
      </w:r>
      <w:r>
        <w:t>Some</w:t>
      </w:r>
      <w:r w:rsidRPr="00285AA2">
        <w:t xml:space="preserve"> participants reported that they did not use the</w:t>
      </w:r>
      <w:r>
        <w:t xml:space="preserve"> job search feature regularly</w:t>
      </w:r>
      <w:r w:rsidRPr="00285AA2">
        <w:t xml:space="preserve"> as they </w:t>
      </w:r>
      <w:r>
        <w:t>thought</w:t>
      </w:r>
      <w:r w:rsidRPr="00285AA2">
        <w:t xml:space="preserve"> there were higher quality alternatives </w:t>
      </w:r>
      <w:r>
        <w:t>(such as Seek)</w:t>
      </w:r>
      <w:r w:rsidRPr="00285AA2">
        <w:t>.</w:t>
      </w:r>
    </w:p>
    <w:p w14:paraId="4E170FED" w14:textId="01054D24" w:rsidR="00CC7B48" w:rsidRPr="00F71A22" w:rsidRDefault="00CC7B48" w:rsidP="004B70A7">
      <w:pPr>
        <w:pStyle w:val="Heading3"/>
      </w:pPr>
      <w:bookmarkStart w:id="119" w:name="_Toc67042597"/>
      <w:r w:rsidRPr="00F71A22">
        <w:lastRenderedPageBreak/>
        <w:t>3.3.2 Usability</w:t>
      </w:r>
      <w:bookmarkEnd w:id="119"/>
    </w:p>
    <w:p w14:paraId="5946886D" w14:textId="0EF9151A" w:rsidR="00D259A0" w:rsidRDefault="00D259A0" w:rsidP="00D259A0">
      <w:r>
        <w:t xml:space="preserve">From quantitative survey responses, over three-quarters of OEST participants </w:t>
      </w:r>
      <w:r>
        <w:rPr>
          <w:bCs/>
        </w:rPr>
        <w:t>(</w:t>
      </w:r>
      <w:r>
        <w:rPr>
          <w:b/>
        </w:rPr>
        <w:t>83%</w:t>
      </w:r>
      <w:r>
        <w:rPr>
          <w:bCs/>
        </w:rPr>
        <w:t>)</w:t>
      </w:r>
      <w:r w:rsidRPr="00D62732">
        <w:rPr>
          <w:b/>
        </w:rPr>
        <w:t xml:space="preserve"> </w:t>
      </w:r>
      <w:r>
        <w:t>found the website functions easy to use (</w:t>
      </w:r>
      <w:r w:rsidRPr="002A1B5A">
        <w:rPr>
          <w:b/>
        </w:rPr>
        <w:t>Figure 3.</w:t>
      </w:r>
      <w:r>
        <w:rPr>
          <w:b/>
        </w:rPr>
        <w:t>3</w:t>
      </w:r>
      <w:r>
        <w:rPr>
          <w:bCs/>
        </w:rPr>
        <w:t>).</w:t>
      </w:r>
      <w:r>
        <w:t xml:space="preserve"> About </w:t>
      </w:r>
      <w:r w:rsidRPr="001261D9">
        <w:rPr>
          <w:b/>
        </w:rPr>
        <w:t>79%</w:t>
      </w:r>
      <w:r>
        <w:t xml:space="preserve"> thought the website was easy to navigate and </w:t>
      </w:r>
      <w:r w:rsidRPr="001261D9">
        <w:rPr>
          <w:b/>
        </w:rPr>
        <w:t>78%</w:t>
      </w:r>
      <w:r>
        <w:t xml:space="preserve"> agreed that the website had the functionality and features they needed.</w:t>
      </w:r>
    </w:p>
    <w:p w14:paraId="29492820" w14:textId="77777777" w:rsidR="00364873" w:rsidRDefault="00364873" w:rsidP="00364873">
      <w:pPr>
        <w:pStyle w:val="FigureCaption"/>
      </w:pPr>
      <w:bookmarkStart w:id="120" w:name="_Toc67042677"/>
      <w:r w:rsidRPr="00F71A22">
        <w:t>Figure 3.3 Ease of using the jobactive website</w:t>
      </w:r>
      <w:bookmarkEnd w:id="120"/>
    </w:p>
    <w:p w14:paraId="76950DFE" w14:textId="77777777" w:rsidR="00364873" w:rsidRDefault="00364873" w:rsidP="00580170">
      <w:r w:rsidRPr="00F555D6">
        <w:rPr>
          <w:noProof/>
        </w:rPr>
        <w:drawing>
          <wp:inline distT="0" distB="0" distL="0" distR="0" wp14:anchorId="66C96060" wp14:editId="56834181">
            <wp:extent cx="5746750" cy="2245360"/>
            <wp:effectExtent l="0" t="0" r="6350" b="2540"/>
            <wp:docPr id="32" name="Picture 32" descr="Bar chart showing ease of using the jobactive website.&#10;83% agreed it was easy to use.&#10;79% agreed it was easy to navigate and find what they were looking for.&#10;78% agreed the website had the functionality and features they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e 3-3.png"/>
                    <pic:cNvPicPr/>
                  </pic:nvPicPr>
                  <pic:blipFill>
                    <a:blip r:embed="rId25"/>
                    <a:stretch>
                      <a:fillRect/>
                    </a:stretch>
                  </pic:blipFill>
                  <pic:spPr>
                    <a:xfrm>
                      <a:off x="0" y="0"/>
                      <a:ext cx="5746750" cy="2245360"/>
                    </a:xfrm>
                    <a:prstGeom prst="rect">
                      <a:avLst/>
                    </a:prstGeom>
                  </pic:spPr>
                </pic:pic>
              </a:graphicData>
            </a:graphic>
          </wp:inline>
        </w:drawing>
      </w:r>
    </w:p>
    <w:p w14:paraId="4F46B638" w14:textId="5E6BBCA6" w:rsidR="00364873" w:rsidRPr="005E353E" w:rsidRDefault="00364873" w:rsidP="00364873">
      <w:pPr>
        <w:pStyle w:val="Source"/>
        <w:contextualSpacing/>
      </w:pPr>
      <w:r w:rsidRPr="00F71A22">
        <w:rPr>
          <w:b/>
          <w:bCs/>
        </w:rPr>
        <w:t>Source</w:t>
      </w:r>
      <w:r w:rsidRPr="00F71A22">
        <w:t xml:space="preserve">: 2019 </w:t>
      </w:r>
      <w:r>
        <w:t>q</w:t>
      </w:r>
      <w:r w:rsidRPr="00F71A22">
        <w:t>uantitative survey</w:t>
      </w:r>
      <w:r>
        <w:br/>
      </w:r>
      <w:r w:rsidRPr="00F71A22">
        <w:rPr>
          <w:b/>
          <w:bCs/>
        </w:rPr>
        <w:t>Note</w:t>
      </w:r>
      <w:r w:rsidRPr="00F71A22">
        <w:t xml:space="preserve">: </w:t>
      </w:r>
      <w:r>
        <w:t>OEST participants</w:t>
      </w:r>
    </w:p>
    <w:p w14:paraId="566DF34E" w14:textId="77777777" w:rsidR="00803324" w:rsidRDefault="00F71FC4" w:rsidP="00261BC5">
      <w:r w:rsidRPr="00F71A22">
        <w:rPr>
          <w:lang w:val="en"/>
        </w:rPr>
        <w:t xml:space="preserve">Some trial participants </w:t>
      </w:r>
      <w:r w:rsidRPr="00F71A22">
        <w:t>identified problems with</w:t>
      </w:r>
      <w:r w:rsidR="00A938BD" w:rsidRPr="00F71A22">
        <w:t xml:space="preserve"> site</w:t>
      </w:r>
      <w:r w:rsidRPr="00F71A22">
        <w:t xml:space="preserve"> navigation, the job search reporting function and a lack of clarity about what was considered ‘evidence’ when reporting job search efforts.</w:t>
      </w:r>
    </w:p>
    <w:p w14:paraId="6C7C854B" w14:textId="5ED8B817" w:rsidR="00803324" w:rsidRPr="001F36EA" w:rsidRDefault="00F71FC4" w:rsidP="001F36EA">
      <w:pPr>
        <w:pStyle w:val="Quote"/>
      </w:pPr>
      <w:r w:rsidRPr="001F36EA">
        <w:t>I thought I could log the jobs on the due date, but it turns out I couldn’t</w:t>
      </w:r>
      <w:r w:rsidR="003E72C9" w:rsidRPr="001F36EA">
        <w:t>.</w:t>
      </w:r>
      <w:r w:rsidR="00F74844" w:rsidRPr="001F36EA">
        <w:t xml:space="preserve"> </w:t>
      </w:r>
      <w:r w:rsidRPr="001F36EA">
        <w:t>(OEST</w:t>
      </w:r>
      <w:r w:rsidR="00F74844" w:rsidRPr="001F36EA">
        <w:t> </w:t>
      </w:r>
      <w:r w:rsidRPr="001F36EA">
        <w:t>participant, 18 years+)</w:t>
      </w:r>
    </w:p>
    <w:p w14:paraId="171C8FE1" w14:textId="66DFD822" w:rsidR="00F71FC4" w:rsidRPr="001F36EA" w:rsidRDefault="00F71FC4" w:rsidP="001F36EA">
      <w:pPr>
        <w:pStyle w:val="Quote"/>
      </w:pPr>
      <w:r w:rsidRPr="001F36EA">
        <w:t>I have gone to the portal and logged a lot of jobs but it still says I have 16 to go. It’s slow, it’s buggy, and it never refreshes the counter</w:t>
      </w:r>
      <w:r w:rsidR="003E72C9" w:rsidRPr="001F36EA">
        <w:t>.</w:t>
      </w:r>
      <w:r w:rsidR="00F74844" w:rsidRPr="001F36EA">
        <w:t xml:space="preserve"> </w:t>
      </w:r>
      <w:r w:rsidRPr="001F36EA">
        <w:t>(OEST</w:t>
      </w:r>
      <w:r w:rsidR="00F74844" w:rsidRPr="001F36EA">
        <w:t> </w:t>
      </w:r>
      <w:r w:rsidRPr="001F36EA">
        <w:t>participant,</w:t>
      </w:r>
      <w:r w:rsidR="00F74844" w:rsidRPr="001F36EA">
        <w:t> </w:t>
      </w:r>
      <w:r w:rsidRPr="001F36EA">
        <w:t>36</w:t>
      </w:r>
      <w:r w:rsidR="00F74844" w:rsidRPr="001F36EA">
        <w:t> </w:t>
      </w:r>
      <w:r w:rsidRPr="001F36EA">
        <w:t>years+)</w:t>
      </w:r>
    </w:p>
    <w:p w14:paraId="41C82CDF" w14:textId="16294699" w:rsidR="00D259A0" w:rsidRDefault="00D259A0" w:rsidP="00D259A0">
      <w:r>
        <w:t>Just under one-quarter of OEST</w:t>
      </w:r>
      <w:r w:rsidRPr="005E353E">
        <w:t xml:space="preserve"> participants reported experiencing issues with the jobactive website</w:t>
      </w:r>
      <w:r>
        <w:t xml:space="preserve"> </w:t>
      </w:r>
      <w:r w:rsidRPr="00597219">
        <w:t>(</w:t>
      </w:r>
      <w:r w:rsidRPr="0078049B">
        <w:rPr>
          <w:b/>
        </w:rPr>
        <w:t>23</w:t>
      </w:r>
      <w:r>
        <w:rPr>
          <w:b/>
        </w:rPr>
        <w:t>%</w:t>
      </w:r>
      <w:r w:rsidRPr="00597219">
        <w:t>)</w:t>
      </w:r>
      <w:r>
        <w:t>.</w:t>
      </w:r>
      <w:r w:rsidRPr="00C1375A">
        <w:t xml:space="preserve"> </w:t>
      </w:r>
      <w:r>
        <w:t>J</w:t>
      </w:r>
      <w:r w:rsidRPr="00597219">
        <w:t>ust</w:t>
      </w:r>
      <w:r w:rsidRPr="005E353E">
        <w:t xml:space="preserve"> over one-third </w:t>
      </w:r>
      <w:r>
        <w:t xml:space="preserve">of these </w:t>
      </w:r>
      <w:r w:rsidRPr="005E353E">
        <w:t>indicated that their issues had been fully (</w:t>
      </w:r>
      <w:r w:rsidRPr="001261D9">
        <w:rPr>
          <w:b/>
        </w:rPr>
        <w:t>18%</w:t>
      </w:r>
      <w:r w:rsidRPr="005E353E">
        <w:t>) or partially (</w:t>
      </w:r>
      <w:r w:rsidRPr="001261D9">
        <w:rPr>
          <w:b/>
        </w:rPr>
        <w:t>17%</w:t>
      </w:r>
      <w:r w:rsidRPr="005E353E">
        <w:t>) resolved, with a similar proportion of participants indicating that these issues had not been resolved at all (</w:t>
      </w:r>
      <w:r w:rsidRPr="001261D9">
        <w:rPr>
          <w:b/>
        </w:rPr>
        <w:t>38%</w:t>
      </w:r>
      <w:r w:rsidRPr="005E353E">
        <w:t>).</w:t>
      </w:r>
    </w:p>
    <w:p w14:paraId="1C6D3A55" w14:textId="1852C9D7" w:rsidR="000E1565" w:rsidRPr="00F71A22" w:rsidRDefault="000E1565" w:rsidP="000E1565">
      <w:pPr>
        <w:pStyle w:val="Heading3"/>
      </w:pPr>
      <w:bookmarkStart w:id="121" w:name="_Toc67042598"/>
      <w:r w:rsidRPr="00F71A22">
        <w:lastRenderedPageBreak/>
        <w:t>3.3.</w:t>
      </w:r>
      <w:r w:rsidR="00CC7B48" w:rsidRPr="00F71A22">
        <w:t>3</w:t>
      </w:r>
      <w:r w:rsidR="00F71FC4" w:rsidRPr="00F71A22">
        <w:t xml:space="preserve"> </w:t>
      </w:r>
      <w:r w:rsidRPr="00F71A22">
        <w:t>Participant</w:t>
      </w:r>
      <w:bookmarkEnd w:id="117"/>
      <w:r w:rsidRPr="00F71A22">
        <w:t xml:space="preserve"> satisfaction</w:t>
      </w:r>
      <w:bookmarkEnd w:id="121"/>
    </w:p>
    <w:p w14:paraId="417AD253" w14:textId="77777777" w:rsidR="00803324" w:rsidRDefault="00F65AB6" w:rsidP="000E1565">
      <w:r w:rsidRPr="00F71A22">
        <w:t>P</w:t>
      </w:r>
      <w:r w:rsidR="000E1565" w:rsidRPr="00F71A22">
        <w:t xml:space="preserve">articipant views about the jobactive website provide insights into the design and support features </w:t>
      </w:r>
      <w:r w:rsidR="00CC7B48" w:rsidRPr="00F71A22">
        <w:t>an</w:t>
      </w:r>
      <w:r w:rsidR="007C2031" w:rsidRPr="00F71A22">
        <w:t>d</w:t>
      </w:r>
      <w:r w:rsidR="00CC7B48" w:rsidRPr="00F71A22">
        <w:t xml:space="preserve"> </w:t>
      </w:r>
      <w:r w:rsidR="007C2031" w:rsidRPr="00F71A22">
        <w:t>can</w:t>
      </w:r>
      <w:r w:rsidR="000E1565" w:rsidRPr="00F71A22">
        <w:t xml:space="preserve"> inform future iterations of the service model.</w:t>
      </w:r>
    </w:p>
    <w:p w14:paraId="7801F0D5" w14:textId="77777777" w:rsidR="00803324" w:rsidRDefault="00D259A0" w:rsidP="00D259A0">
      <w:r w:rsidRPr="00244727">
        <w:rPr>
          <w:bCs/>
          <w:iCs/>
        </w:rPr>
        <w:t xml:space="preserve">Results </w:t>
      </w:r>
      <w:r>
        <w:rPr>
          <w:bCs/>
          <w:iCs/>
        </w:rPr>
        <w:t xml:space="preserve">from the Job Seeker Survey </w:t>
      </w:r>
      <w:r w:rsidRPr="00244727">
        <w:rPr>
          <w:bCs/>
          <w:iCs/>
        </w:rPr>
        <w:t xml:space="preserve">showed that </w:t>
      </w:r>
      <w:r>
        <w:rPr>
          <w:bCs/>
          <w:iCs/>
        </w:rPr>
        <w:t>over three-quarters of OEST participants</w:t>
      </w:r>
      <w:r w:rsidRPr="00244727">
        <w:rPr>
          <w:bCs/>
          <w:iCs/>
        </w:rPr>
        <w:t xml:space="preserve"> </w:t>
      </w:r>
      <w:r w:rsidRPr="00244727">
        <w:rPr>
          <w:bCs/>
        </w:rPr>
        <w:t>(</w:t>
      </w:r>
      <w:r w:rsidRPr="008D569F">
        <w:rPr>
          <w:b/>
          <w:bCs/>
        </w:rPr>
        <w:t>80</w:t>
      </w:r>
      <w:r>
        <w:rPr>
          <w:b/>
          <w:bCs/>
        </w:rPr>
        <w:t>%</w:t>
      </w:r>
      <w:r w:rsidRPr="00244727">
        <w:rPr>
          <w:bCs/>
        </w:rPr>
        <w:t>)</w:t>
      </w:r>
      <w:r w:rsidRPr="00244727">
        <w:rPr>
          <w:bCs/>
          <w:iCs/>
        </w:rPr>
        <w:t xml:space="preserve"> </w:t>
      </w:r>
      <w:r w:rsidRPr="007E7384">
        <w:rPr>
          <w:bCs/>
          <w:iCs/>
        </w:rPr>
        <w:t>were satisfied with the jobactive website</w:t>
      </w:r>
      <w:r>
        <w:rPr>
          <w:bCs/>
        </w:rPr>
        <w:t xml:space="preserve"> </w:t>
      </w:r>
      <w:r w:rsidRPr="007E7384">
        <w:rPr>
          <w:bCs/>
        </w:rPr>
        <w:t xml:space="preserve">and only </w:t>
      </w:r>
      <w:r w:rsidRPr="008D569F">
        <w:rPr>
          <w:b/>
          <w:bCs/>
        </w:rPr>
        <w:t>4</w:t>
      </w:r>
      <w:r>
        <w:rPr>
          <w:b/>
          <w:bCs/>
        </w:rPr>
        <w:t>%</w:t>
      </w:r>
      <w:r>
        <w:rPr>
          <w:bCs/>
        </w:rPr>
        <w:t xml:space="preserve"> were dissatisfied. This compared favourably to the </w:t>
      </w:r>
      <w:r>
        <w:t>comparison group’s satisfaction with the jobactive website (</w:t>
      </w:r>
      <w:r w:rsidRPr="001261D9">
        <w:rPr>
          <w:b/>
        </w:rPr>
        <w:t>76%</w:t>
      </w:r>
      <w:r>
        <w:rPr>
          <w:b/>
        </w:rPr>
        <w:t xml:space="preserve"> </w:t>
      </w:r>
      <w:r>
        <w:rPr>
          <w:bCs/>
        </w:rPr>
        <w:t xml:space="preserve">satisfied and </w:t>
      </w:r>
      <w:r w:rsidRPr="001261D9">
        <w:rPr>
          <w:b/>
        </w:rPr>
        <w:t>5%</w:t>
      </w:r>
      <w:r>
        <w:rPr>
          <w:bCs/>
        </w:rPr>
        <w:t xml:space="preserve"> dissatisfied, </w:t>
      </w:r>
      <w:r>
        <w:t xml:space="preserve">see </w:t>
      </w:r>
      <w:r w:rsidRPr="001261D9">
        <w:rPr>
          <w:b/>
        </w:rPr>
        <w:t>Figure 3.4</w:t>
      </w:r>
      <w:r>
        <w:t>). All job seekers in the comparison group had access to the jobactive website.</w:t>
      </w:r>
    </w:p>
    <w:p w14:paraId="2CD9C84D" w14:textId="09924A1F" w:rsidR="000E1565" w:rsidRDefault="000E1565" w:rsidP="003E72C9">
      <w:pPr>
        <w:pStyle w:val="FigureCaption"/>
      </w:pPr>
      <w:bookmarkStart w:id="122" w:name="_Toc50458824"/>
      <w:bookmarkStart w:id="123" w:name="_Toc50458917"/>
      <w:bookmarkStart w:id="124" w:name="_Toc50459010"/>
      <w:bookmarkStart w:id="125" w:name="_Toc50459287"/>
      <w:bookmarkStart w:id="126" w:name="_Toc67042678"/>
      <w:r w:rsidRPr="00F71A22">
        <w:t>Figure 3.</w:t>
      </w:r>
      <w:r w:rsidR="00CC7B48" w:rsidRPr="00F71A22">
        <w:t>4</w:t>
      </w:r>
      <w:r w:rsidRPr="00F71A22">
        <w:t xml:space="preserve"> Satisfaction with the jobactive website –</w:t>
      </w:r>
      <w:r w:rsidR="00A6233A">
        <w:t xml:space="preserve"> </w:t>
      </w:r>
      <w:r w:rsidRPr="00F71A22">
        <w:t>OEST participants and comparison group</w:t>
      </w:r>
      <w:bookmarkEnd w:id="122"/>
      <w:bookmarkEnd w:id="123"/>
      <w:bookmarkEnd w:id="124"/>
      <w:bookmarkEnd w:id="125"/>
      <w:bookmarkEnd w:id="126"/>
    </w:p>
    <w:p w14:paraId="4C3246FC" w14:textId="29B99CC9" w:rsidR="00990387" w:rsidRDefault="00990387" w:rsidP="00580170">
      <w:r>
        <w:rPr>
          <w:noProof/>
        </w:rPr>
        <w:drawing>
          <wp:inline distT="0" distB="0" distL="0" distR="0" wp14:anchorId="50C09C04" wp14:editId="2E0113EF">
            <wp:extent cx="5950441" cy="1397203"/>
            <wp:effectExtent l="0" t="0" r="0" b="0"/>
            <wp:docPr id="22" name="Picture 22" descr="Bar chart showing OEST participants (80%) were more satisfied with the jobactive website compared to the comparison group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r chart showing OEST participants (80%) were more satisfied with the jobactive website compared to the comparison group (76%)."/>
                    <pic:cNvPicPr/>
                  </pic:nvPicPr>
                  <pic:blipFill>
                    <a:blip r:embed="rId26"/>
                    <a:stretch>
                      <a:fillRect/>
                    </a:stretch>
                  </pic:blipFill>
                  <pic:spPr>
                    <a:xfrm>
                      <a:off x="0" y="0"/>
                      <a:ext cx="5977535" cy="1403565"/>
                    </a:xfrm>
                    <a:prstGeom prst="rect">
                      <a:avLst/>
                    </a:prstGeom>
                  </pic:spPr>
                </pic:pic>
              </a:graphicData>
            </a:graphic>
          </wp:inline>
        </w:drawing>
      </w:r>
    </w:p>
    <w:p w14:paraId="48FE40A2" w14:textId="67F0B9AD" w:rsidR="000E1565" w:rsidRPr="00F71A22" w:rsidRDefault="000E1565" w:rsidP="000112F3">
      <w:pPr>
        <w:pStyle w:val="Source"/>
      </w:pPr>
      <w:r w:rsidRPr="00F71A22">
        <w:rPr>
          <w:b/>
          <w:bCs/>
        </w:rPr>
        <w:t>Source</w:t>
      </w:r>
      <w:r w:rsidRPr="00F71A22">
        <w:t xml:space="preserve">: 2019 </w:t>
      </w:r>
      <w:r w:rsidR="00D259A0">
        <w:t>q</w:t>
      </w:r>
      <w:r w:rsidRPr="00F71A22">
        <w:t>uantitative research survey</w:t>
      </w:r>
    </w:p>
    <w:p w14:paraId="22564C36" w14:textId="77777777" w:rsidR="00803324" w:rsidRDefault="00DA1E0C" w:rsidP="00DA1E0C">
      <w:r>
        <w:rPr>
          <w:bCs/>
        </w:rPr>
        <w:t>T</w:t>
      </w:r>
      <w:r w:rsidRPr="00EE5369">
        <w:rPr>
          <w:bCs/>
        </w:rPr>
        <w:t>ho</w:t>
      </w:r>
      <w:r>
        <w:rPr>
          <w:bCs/>
        </w:rPr>
        <w:t>se who</w:t>
      </w:r>
      <w:r w:rsidRPr="00EE5369">
        <w:rPr>
          <w:bCs/>
        </w:rPr>
        <w:t xml:space="preserve"> opted out of the trial</w:t>
      </w:r>
      <w:r w:rsidRPr="00EE5369">
        <w:t xml:space="preserve"> </w:t>
      </w:r>
      <w:r w:rsidRPr="00EE5369">
        <w:rPr>
          <w:bCs/>
        </w:rPr>
        <w:t>were less satisfied with website functionality than those who completed the OES</w:t>
      </w:r>
      <w:r>
        <w:rPr>
          <w:bCs/>
        </w:rPr>
        <w:t xml:space="preserve">T, although </w:t>
      </w:r>
      <w:r w:rsidRPr="00EE5369">
        <w:t>almost two</w:t>
      </w:r>
      <w:r>
        <w:t>-</w:t>
      </w:r>
      <w:r w:rsidRPr="00EE5369">
        <w:t>thirds of them rated aspects of it positively (</w:t>
      </w:r>
      <w:r w:rsidRPr="00D259A0">
        <w:rPr>
          <w:b/>
        </w:rPr>
        <w:t>64%</w:t>
      </w:r>
      <w:r w:rsidRPr="00D259A0">
        <w:rPr>
          <w:bCs/>
        </w:rPr>
        <w:t>).</w:t>
      </w:r>
    </w:p>
    <w:p w14:paraId="6A49F69C" w14:textId="77777777" w:rsidR="00803324" w:rsidRDefault="000E1565" w:rsidP="000E1565">
      <w:pPr>
        <w:rPr>
          <w:bCs/>
        </w:rPr>
      </w:pPr>
      <w:r w:rsidRPr="00F71A22">
        <w:rPr>
          <w:bCs/>
        </w:rPr>
        <w:t>Qualitative research findings also confirmed that most participants were satisfied with the jobactive website.</w:t>
      </w:r>
    </w:p>
    <w:p w14:paraId="006926E6" w14:textId="77777777" w:rsidR="001F36EA" w:rsidRPr="001F36EA" w:rsidRDefault="000E1565" w:rsidP="001F36EA">
      <w:pPr>
        <w:pStyle w:val="Quote"/>
        <w:contextualSpacing/>
      </w:pPr>
      <w:r w:rsidRPr="001F36EA">
        <w:t>I just went online and worked it out for myself. They told me exactly how it was going to work, there was no confusion or anything. It was quite effective. I felt like it was explained really well</w:t>
      </w:r>
      <w:r w:rsidR="003E72C9" w:rsidRPr="001F36EA">
        <w:t>.</w:t>
      </w:r>
    </w:p>
    <w:p w14:paraId="21CCC1C0" w14:textId="35EA3EDC" w:rsidR="000E1565" w:rsidRPr="001F36EA" w:rsidRDefault="000E1565" w:rsidP="001F36EA">
      <w:pPr>
        <w:pStyle w:val="Quote"/>
      </w:pPr>
      <w:r w:rsidRPr="001F36EA">
        <w:t>(OEST participant, 18 years+)</w:t>
      </w:r>
    </w:p>
    <w:p w14:paraId="3DA149F4" w14:textId="767A433A" w:rsidR="001F36EA" w:rsidRPr="001F36EA" w:rsidRDefault="000E1565" w:rsidP="001F36EA">
      <w:pPr>
        <w:pStyle w:val="Quote"/>
        <w:contextualSpacing/>
      </w:pPr>
      <w:r w:rsidRPr="001F36EA">
        <w:t>The dashboard part is the only part I use to report jobs, and I find it useful and efficient… it’s accessible and very straightforward to see that you’re meeting your requirements</w:t>
      </w:r>
      <w:r w:rsidR="003E72C9" w:rsidRPr="001F36EA">
        <w:t>.</w:t>
      </w:r>
    </w:p>
    <w:p w14:paraId="73028F53" w14:textId="18458238" w:rsidR="00803324" w:rsidRPr="001F36EA" w:rsidRDefault="000E1565" w:rsidP="001F36EA">
      <w:pPr>
        <w:pStyle w:val="Quote"/>
      </w:pPr>
      <w:r w:rsidRPr="001F36EA">
        <w:t>(OEST participant, 36 years+)</w:t>
      </w:r>
    </w:p>
    <w:p w14:paraId="2403C7D5" w14:textId="3286A8B2" w:rsidR="00D259A0" w:rsidRPr="00EE5369" w:rsidRDefault="00D259A0" w:rsidP="00D259A0">
      <w:bookmarkStart w:id="127" w:name="_Toc49256421"/>
      <w:r>
        <w:t xml:space="preserve">Having a better understanding of the online process beforehand was helpful. </w:t>
      </w:r>
      <w:r w:rsidRPr="00EE5369">
        <w:t xml:space="preserve">Participants who </w:t>
      </w:r>
      <w:r>
        <w:t xml:space="preserve">recalled </w:t>
      </w:r>
      <w:r w:rsidRPr="00EE5369">
        <w:t>receiv</w:t>
      </w:r>
      <w:r>
        <w:t>ing</w:t>
      </w:r>
      <w:r w:rsidRPr="00EE5369">
        <w:t xml:space="preserve"> detailed information from </w:t>
      </w:r>
      <w:r>
        <w:t>Centrelink</w:t>
      </w:r>
      <w:r w:rsidRPr="00EE5369">
        <w:t xml:space="preserve"> before they commenced </w:t>
      </w:r>
      <w:r>
        <w:t xml:space="preserve">in </w:t>
      </w:r>
      <w:r w:rsidRPr="00EE5369">
        <w:t>the trial (such as</w:t>
      </w:r>
      <w:r>
        <w:t xml:space="preserve"> on</w:t>
      </w:r>
      <w:r w:rsidRPr="00EE5369">
        <w:t xml:space="preserve"> </w:t>
      </w:r>
      <w:r>
        <w:t>the</w:t>
      </w:r>
      <w:r w:rsidRPr="00EE5369">
        <w:t xml:space="preserve"> availability of the NCSL </w:t>
      </w:r>
      <w:r>
        <w:t xml:space="preserve">and on the </w:t>
      </w:r>
      <w:r w:rsidRPr="00EE5369">
        <w:t>process</w:t>
      </w:r>
      <w:r>
        <w:t>es</w:t>
      </w:r>
      <w:r w:rsidRPr="00EE5369">
        <w:t xml:space="preserve"> for </w:t>
      </w:r>
      <w:r>
        <w:t xml:space="preserve">opting out, </w:t>
      </w:r>
      <w:r w:rsidRPr="00EE5369">
        <w:t xml:space="preserve">linking their </w:t>
      </w:r>
      <w:r>
        <w:t>m</w:t>
      </w:r>
      <w:r w:rsidRPr="00EE5369">
        <w:t xml:space="preserve">yGov account and </w:t>
      </w:r>
      <w:r w:rsidRPr="00EE5369">
        <w:lastRenderedPageBreak/>
        <w:t xml:space="preserve">accepting their </w:t>
      </w:r>
      <w:r>
        <w:t>J</w:t>
      </w:r>
      <w:r w:rsidRPr="00EE5369">
        <w:t xml:space="preserve">ob </w:t>
      </w:r>
      <w:r>
        <w:t>P</w:t>
      </w:r>
      <w:r w:rsidRPr="00EE5369">
        <w:t>lan</w:t>
      </w:r>
      <w:r>
        <w:t>s</w:t>
      </w:r>
      <w:r w:rsidRPr="00EE5369">
        <w:t>) felt</w:t>
      </w:r>
      <w:r>
        <w:t xml:space="preserve"> that</w:t>
      </w:r>
      <w:r w:rsidRPr="00EE5369">
        <w:t xml:space="preserve"> it contributed to a positive experience of online employment servicing</w:t>
      </w:r>
      <w:r>
        <w:t>.</w:t>
      </w:r>
    </w:p>
    <w:p w14:paraId="4015ECC7" w14:textId="77777777" w:rsidR="00D259A0" w:rsidRDefault="00D259A0" w:rsidP="00D259A0">
      <w:r>
        <w:t xml:space="preserve">Satisfaction with the jobactive website varied with participant characteristics. </w:t>
      </w:r>
      <w:r w:rsidRPr="00EE5369">
        <w:t xml:space="preserve">Younger </w:t>
      </w:r>
      <w:r>
        <w:t>participants</w:t>
      </w:r>
      <w:r w:rsidRPr="00EE5369">
        <w:t xml:space="preserve"> (aged 24 or below) were more likely to be satisfied with the jobactive website (</w:t>
      </w:r>
      <w:r w:rsidRPr="001261D9">
        <w:rPr>
          <w:b/>
        </w:rPr>
        <w:t>84%</w:t>
      </w:r>
      <w:r w:rsidRPr="00EE5369">
        <w:t xml:space="preserve">) than older </w:t>
      </w:r>
      <w:r>
        <w:t>participants</w:t>
      </w:r>
      <w:r w:rsidRPr="00EE5369">
        <w:t xml:space="preserve">, whose satisfaction ranged from </w:t>
      </w:r>
      <w:r w:rsidRPr="001261D9">
        <w:rPr>
          <w:b/>
        </w:rPr>
        <w:t>72%</w:t>
      </w:r>
      <w:r w:rsidRPr="00EE5369">
        <w:t xml:space="preserve"> for those aged 55 or over to </w:t>
      </w:r>
      <w:r w:rsidRPr="001261D9">
        <w:rPr>
          <w:b/>
        </w:rPr>
        <w:t>77%</w:t>
      </w:r>
      <w:r w:rsidRPr="00EE5369">
        <w:t xml:space="preserve"> for those aged 25</w:t>
      </w:r>
      <w:r>
        <w:t xml:space="preserve"> to </w:t>
      </w:r>
      <w:r w:rsidRPr="00EE5369">
        <w:t xml:space="preserve">44. </w:t>
      </w:r>
      <w:r>
        <w:t>OEST</w:t>
      </w:r>
      <w:r w:rsidRPr="00EE5369">
        <w:t xml:space="preserve"> </w:t>
      </w:r>
      <w:r>
        <w:t>participants</w:t>
      </w:r>
      <w:r w:rsidRPr="00EE5369">
        <w:t xml:space="preserve"> who had had previous experience with jobactive </w:t>
      </w:r>
      <w:r w:rsidRPr="005E353E">
        <w:t>employment services were also more likely to be satisfied with the jobactive website (</w:t>
      </w:r>
      <w:r w:rsidRPr="001261D9">
        <w:rPr>
          <w:b/>
        </w:rPr>
        <w:t>86%</w:t>
      </w:r>
      <w:r w:rsidRPr="005E353E">
        <w:t>) than those who had not (</w:t>
      </w:r>
      <w:r w:rsidRPr="001261D9">
        <w:rPr>
          <w:b/>
        </w:rPr>
        <w:t>78%</w:t>
      </w:r>
      <w:r w:rsidRPr="005E353E">
        <w:t>).</w:t>
      </w:r>
    </w:p>
    <w:p w14:paraId="7F24F277" w14:textId="2B99CDF0" w:rsidR="000E1565" w:rsidRPr="00F71A22" w:rsidRDefault="000E1565" w:rsidP="000E1565">
      <w:pPr>
        <w:pStyle w:val="Heading2"/>
      </w:pPr>
      <w:bookmarkStart w:id="128" w:name="_Toc67042599"/>
      <w:r w:rsidRPr="00F71A22">
        <w:rPr>
          <w:iCs/>
        </w:rPr>
        <w:t>3.</w:t>
      </w:r>
      <w:r w:rsidR="00131842" w:rsidRPr="00F71A22">
        <w:rPr>
          <w:iCs/>
        </w:rPr>
        <w:t>4</w:t>
      </w:r>
      <w:r w:rsidRPr="00F71A22">
        <w:rPr>
          <w:iCs/>
        </w:rPr>
        <w:t xml:space="preserve"> </w:t>
      </w:r>
      <w:r w:rsidRPr="00F71A22">
        <w:t>Monitoring of OEST participant compliance</w:t>
      </w:r>
      <w:bookmarkEnd w:id="127"/>
      <w:bookmarkEnd w:id="128"/>
    </w:p>
    <w:p w14:paraId="267B860F" w14:textId="007D7ADB" w:rsidR="006E624E" w:rsidRPr="00F71A22" w:rsidRDefault="000E1565" w:rsidP="000E1565">
      <w:r w:rsidRPr="00F71A22">
        <w:t>OEST participants were required to comply with MORs in order to receive their income support payments. The MOR</w:t>
      </w:r>
      <w:r w:rsidR="007F2F81" w:rsidRPr="00F71A22">
        <w:t>s</w:t>
      </w:r>
      <w:r w:rsidRPr="00F71A22">
        <w:t xml:space="preserve"> </w:t>
      </w:r>
      <w:r w:rsidR="006E624E" w:rsidRPr="00F71A22">
        <w:t>for</w:t>
      </w:r>
      <w:r w:rsidRPr="00F71A22">
        <w:t xml:space="preserve"> OEST participants </w:t>
      </w:r>
      <w:r w:rsidR="007F2F81" w:rsidRPr="00F71A22">
        <w:t>were</w:t>
      </w:r>
      <w:r w:rsidRPr="00F71A22">
        <w:t xml:space="preserve"> that they search</w:t>
      </w:r>
      <w:r w:rsidR="007F2F81" w:rsidRPr="00F71A22">
        <w:t>ed</w:t>
      </w:r>
      <w:r w:rsidRPr="00F71A22">
        <w:t xml:space="preserve"> for work and report</w:t>
      </w:r>
      <w:r w:rsidR="007F2F81" w:rsidRPr="00F71A22">
        <w:t>ed</w:t>
      </w:r>
      <w:r w:rsidRPr="00F71A22">
        <w:t xml:space="preserve"> their job search efforts on a monthly basis. </w:t>
      </w:r>
      <w:r w:rsidR="006E624E" w:rsidRPr="00F71A22">
        <w:t xml:space="preserve">For job seekers in </w:t>
      </w:r>
      <w:r w:rsidR="007F2F81" w:rsidRPr="00F71A22">
        <w:t>provider</w:t>
      </w:r>
      <w:r w:rsidR="006E624E" w:rsidRPr="00F71A22">
        <w:t xml:space="preserve"> servicing, MOR</w:t>
      </w:r>
      <w:r w:rsidR="007F2F81" w:rsidRPr="00F71A22">
        <w:t>s</w:t>
      </w:r>
      <w:r w:rsidR="006E624E" w:rsidRPr="00F71A22">
        <w:t xml:space="preserve"> also include</w:t>
      </w:r>
      <w:r w:rsidR="007F2F81" w:rsidRPr="00F71A22">
        <w:t>d</w:t>
      </w:r>
      <w:r w:rsidR="006E624E" w:rsidRPr="00F71A22">
        <w:t xml:space="preserve"> requirements to attend appointment</w:t>
      </w:r>
      <w:r w:rsidR="00A6233A">
        <w:t>s</w:t>
      </w:r>
      <w:r w:rsidR="006E624E" w:rsidRPr="00F71A22">
        <w:t xml:space="preserve"> and activities, alongside job search requirements.</w:t>
      </w:r>
    </w:p>
    <w:p w14:paraId="1635C97F" w14:textId="4B7208F2" w:rsidR="00803324" w:rsidRDefault="000E1565" w:rsidP="000E1565">
      <w:r w:rsidRPr="00F71A22">
        <w:t xml:space="preserve">Failure to </w:t>
      </w:r>
      <w:r w:rsidR="006E624E" w:rsidRPr="00F71A22">
        <w:t>meet MOR</w:t>
      </w:r>
      <w:r w:rsidR="007F2F81" w:rsidRPr="00F71A22">
        <w:t>s</w:t>
      </w:r>
      <w:r w:rsidR="006E624E" w:rsidRPr="00F71A22">
        <w:t xml:space="preserve"> </w:t>
      </w:r>
      <w:r w:rsidRPr="00F71A22">
        <w:t>incur</w:t>
      </w:r>
      <w:r w:rsidR="007F2F81" w:rsidRPr="00F71A22">
        <w:t>red</w:t>
      </w:r>
      <w:r w:rsidRPr="00F71A22">
        <w:t xml:space="preserve"> a demerit point. The </w:t>
      </w:r>
      <w:r w:rsidR="004B68DF" w:rsidRPr="00F71A22">
        <w:t>accrual of demerit points</w:t>
      </w:r>
      <w:r w:rsidR="003107A2" w:rsidRPr="00F71A22">
        <w:t xml:space="preserve"> </w:t>
      </w:r>
      <w:r w:rsidR="007F2F81" w:rsidRPr="00F71A22">
        <w:t>could</w:t>
      </w:r>
      <w:r w:rsidRPr="00F71A22">
        <w:t xml:space="preserve"> lead to the reduction or cancellation of income support payments</w:t>
      </w:r>
      <w:r w:rsidR="00B953C4">
        <w:t>.</w:t>
      </w:r>
      <w:r w:rsidR="00E93631" w:rsidRPr="00F71A22">
        <w:rPr>
          <w:rStyle w:val="FootnoteReference"/>
        </w:rPr>
        <w:footnoteReference w:id="11"/>
      </w:r>
      <w:r w:rsidRPr="00F71A22">
        <w:t xml:space="preserve"> </w:t>
      </w:r>
      <w:r w:rsidR="00131842" w:rsidRPr="00F71A22">
        <w:t xml:space="preserve">Job seekers who incurred </w:t>
      </w:r>
      <w:r w:rsidR="00295B2D">
        <w:t>three</w:t>
      </w:r>
      <w:r w:rsidR="00131842" w:rsidRPr="00F71A22">
        <w:t xml:space="preserve"> demerits were automatically transferred out of the trial to an employment service provider for the Compliance Interview.</w:t>
      </w:r>
    </w:p>
    <w:p w14:paraId="06D16CC5" w14:textId="72E985A8" w:rsidR="000E1565" w:rsidRPr="00F71A22" w:rsidRDefault="00D169D2" w:rsidP="00CA2C89">
      <w:pPr>
        <w:pStyle w:val="Heading3"/>
      </w:pPr>
      <w:bookmarkStart w:id="129" w:name="_Toc67042600"/>
      <w:r>
        <w:t xml:space="preserve">3.4.1 </w:t>
      </w:r>
      <w:r w:rsidR="000E1565" w:rsidRPr="00F71A22">
        <w:t>Awareness of requirements</w:t>
      </w:r>
      <w:bookmarkEnd w:id="129"/>
    </w:p>
    <w:p w14:paraId="4ECD293E" w14:textId="53E39C5F" w:rsidR="00D259A0" w:rsidRDefault="00D259A0" w:rsidP="00D259A0">
      <w:r>
        <w:t>The quantitative survey revealed that OEST participants and the comparison group reported a high level of awareness of their MORs (</w:t>
      </w:r>
      <w:r w:rsidRPr="001261D9">
        <w:rPr>
          <w:b/>
        </w:rPr>
        <w:t>Figure 3.5</w:t>
      </w:r>
      <w:r>
        <w:t>).</w:t>
      </w:r>
      <w:r w:rsidRPr="002348DA">
        <w:t xml:space="preserve"> </w:t>
      </w:r>
      <w:r>
        <w:t>Almost all OEST participants were aware that they could provide evidence of job search online through the jobactive website (</w:t>
      </w:r>
      <w:r w:rsidRPr="001261D9">
        <w:rPr>
          <w:b/>
        </w:rPr>
        <w:t>95%</w:t>
      </w:r>
      <w:r>
        <w:t>).</w:t>
      </w:r>
    </w:p>
    <w:p w14:paraId="45840374" w14:textId="41BA33C0" w:rsidR="00DA1E0C" w:rsidRDefault="00DA1E0C" w:rsidP="00DA1E0C">
      <w:pPr>
        <w:pStyle w:val="FigureCaption"/>
      </w:pPr>
      <w:bookmarkStart w:id="130" w:name="_Toc67042679"/>
      <w:r w:rsidRPr="00F71A22">
        <w:lastRenderedPageBreak/>
        <w:t>Figure 3.5 Awareness of Mutual Obligation Requirements</w:t>
      </w:r>
      <w:bookmarkEnd w:id="130"/>
    </w:p>
    <w:p w14:paraId="1F6018E1" w14:textId="5E23A271" w:rsidR="003E112E" w:rsidRPr="00F71A22" w:rsidRDefault="003E112E" w:rsidP="00F555D6">
      <w:r>
        <w:rPr>
          <w:noProof/>
        </w:rPr>
        <w:drawing>
          <wp:inline distT="0" distB="0" distL="0" distR="0" wp14:anchorId="181B9F72" wp14:editId="2FD92EB0">
            <wp:extent cx="5998464" cy="3626917"/>
            <wp:effectExtent l="0" t="0" r="2540" b="0"/>
            <wp:docPr id="31" name="Picture 31" descr="Bar chart comparing levels of awareness of mutual obligation requirements between participants and comparison group, where comparison group had a slightly higher awar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 3-5.png"/>
                    <pic:cNvPicPr/>
                  </pic:nvPicPr>
                  <pic:blipFill>
                    <a:blip r:embed="rId27"/>
                    <a:stretch>
                      <a:fillRect/>
                    </a:stretch>
                  </pic:blipFill>
                  <pic:spPr>
                    <a:xfrm>
                      <a:off x="0" y="0"/>
                      <a:ext cx="6011637" cy="3634882"/>
                    </a:xfrm>
                    <a:prstGeom prst="rect">
                      <a:avLst/>
                    </a:prstGeom>
                  </pic:spPr>
                </pic:pic>
              </a:graphicData>
            </a:graphic>
          </wp:inline>
        </w:drawing>
      </w:r>
    </w:p>
    <w:p w14:paraId="39433F10" w14:textId="77777777" w:rsidR="00DA1E0C" w:rsidRPr="00F71A22" w:rsidRDefault="00DA1E0C" w:rsidP="00DA1E0C">
      <w:pPr>
        <w:pStyle w:val="Source"/>
      </w:pPr>
      <w:r w:rsidRPr="00F71A22">
        <w:rPr>
          <w:b/>
          <w:bCs/>
        </w:rPr>
        <w:t>Source</w:t>
      </w:r>
      <w:r w:rsidRPr="00F71A22">
        <w:t xml:space="preserve">: 2019 </w:t>
      </w:r>
      <w:r>
        <w:t>q</w:t>
      </w:r>
      <w:r w:rsidRPr="00F71A22">
        <w:t>uantitative research survey</w:t>
      </w:r>
    </w:p>
    <w:p w14:paraId="49016DB7" w14:textId="50855FD3" w:rsidR="00803324" w:rsidRDefault="00D61CB3" w:rsidP="00D61CB3">
      <w:pPr>
        <w:pStyle w:val="Heading3"/>
      </w:pPr>
      <w:bookmarkStart w:id="131" w:name="_Toc67042601"/>
      <w:r w:rsidRPr="00F71A22">
        <w:t>3.4.</w:t>
      </w:r>
      <w:r w:rsidR="00D169D2">
        <w:t>2</w:t>
      </w:r>
      <w:r w:rsidRPr="00F71A22">
        <w:t xml:space="preserve"> Accumulation of demerit points</w:t>
      </w:r>
      <w:bookmarkEnd w:id="131"/>
    </w:p>
    <w:p w14:paraId="24E447E7" w14:textId="77777777" w:rsidR="00803324" w:rsidRDefault="009C504F" w:rsidP="009C504F">
      <w:r w:rsidRPr="00F71A22">
        <w:t xml:space="preserve">A key area of interest for this evaluation was to compare whether OEST participants were as likely to meet their MORs as job seekers in the comparison group. This was measured through </w:t>
      </w:r>
      <w:r w:rsidRPr="00F71A22">
        <w:rPr>
          <w:b/>
          <w:bCs/>
        </w:rPr>
        <w:t>job search related demerits</w:t>
      </w:r>
      <w:r w:rsidRPr="00F71A22">
        <w:t xml:space="preserve"> as this was the only type of demerit OEST participants could receive.</w:t>
      </w:r>
    </w:p>
    <w:p w14:paraId="2EC0C914" w14:textId="56DAD9D9" w:rsidR="00D259A0" w:rsidRPr="006B716B" w:rsidRDefault="00D61CB3" w:rsidP="00D259A0">
      <w:pPr>
        <w:rPr>
          <w:szCs w:val="18"/>
        </w:rPr>
      </w:pPr>
      <w:r w:rsidRPr="00F71A22">
        <w:t>Departmental administrative data was studied to examine job search demerit points accumulated over time by OEST participants compared with the comparison group in provider-based services. Results</w:t>
      </w:r>
      <w:r w:rsidRPr="00F71A22">
        <w:rPr>
          <w:rFonts w:ascii="Calibri" w:hAnsi="Calibri"/>
        </w:rPr>
        <w:t xml:space="preserve"> showed</w:t>
      </w:r>
      <w:r w:rsidRPr="00F71A22">
        <w:t xml:space="preserve"> similar performance between participants and comparison job </w:t>
      </w:r>
      <w:r w:rsidR="00D259A0" w:rsidRPr="007F2F81">
        <w:t>seekers (</w:t>
      </w:r>
      <w:r w:rsidR="00D259A0" w:rsidRPr="006B716B">
        <w:rPr>
          <w:b/>
        </w:rPr>
        <w:t>71</w:t>
      </w:r>
      <w:r w:rsidR="00D259A0">
        <w:rPr>
          <w:b/>
        </w:rPr>
        <w:t>%</w:t>
      </w:r>
      <w:r w:rsidR="00D259A0" w:rsidRPr="007F2F81">
        <w:t xml:space="preserve"> </w:t>
      </w:r>
      <w:r w:rsidR="00D259A0" w:rsidRPr="0094094B">
        <w:t>versus</w:t>
      </w:r>
      <w:r w:rsidR="00D259A0" w:rsidRPr="007F2F81">
        <w:t xml:space="preserve"> </w:t>
      </w:r>
      <w:r w:rsidR="00D259A0" w:rsidRPr="006B716B">
        <w:rPr>
          <w:b/>
        </w:rPr>
        <w:t>69</w:t>
      </w:r>
      <w:r w:rsidR="00D259A0">
        <w:rPr>
          <w:b/>
        </w:rPr>
        <w:t>%</w:t>
      </w:r>
      <w:r w:rsidR="00D259A0" w:rsidRPr="007F2F81">
        <w:t>)</w:t>
      </w:r>
      <w:r w:rsidR="00D259A0" w:rsidRPr="006B716B">
        <w:rPr>
          <w:szCs w:val="18"/>
        </w:rPr>
        <w:t>.</w:t>
      </w:r>
      <w:r w:rsidR="00D259A0" w:rsidRPr="007F2F81">
        <w:rPr>
          <w:rStyle w:val="FootnoteReference"/>
          <w:szCs w:val="18"/>
        </w:rPr>
        <w:footnoteReference w:id="12"/>
      </w:r>
      <w:r w:rsidR="00D259A0" w:rsidRPr="006B716B">
        <w:rPr>
          <w:szCs w:val="18"/>
        </w:rPr>
        <w:t xml:space="preserve"> However</w:t>
      </w:r>
      <w:r w:rsidR="00D259A0">
        <w:rPr>
          <w:szCs w:val="18"/>
        </w:rPr>
        <w:t>,</w:t>
      </w:r>
      <w:r w:rsidR="00D259A0" w:rsidRPr="006B716B">
        <w:rPr>
          <w:szCs w:val="18"/>
        </w:rPr>
        <w:t xml:space="preserve"> this result varied over time:</w:t>
      </w:r>
    </w:p>
    <w:p w14:paraId="6D0E98DC" w14:textId="62E59539" w:rsidR="00255265" w:rsidRPr="00831CDD" w:rsidRDefault="00A14BFB" w:rsidP="008D2B23">
      <w:pPr>
        <w:pStyle w:val="ListBullet"/>
        <w:rPr>
          <w:szCs w:val="18"/>
        </w:rPr>
      </w:pPr>
      <w:r>
        <w:t>t</w:t>
      </w:r>
      <w:r w:rsidR="00255265" w:rsidRPr="00831CDD">
        <w:t xml:space="preserve">wo-thirds of </w:t>
      </w:r>
      <w:r w:rsidR="00255265">
        <w:t>OEST participants</w:t>
      </w:r>
      <w:r w:rsidR="00255265" w:rsidRPr="00831CDD">
        <w:t xml:space="preserve"> </w:t>
      </w:r>
      <w:r w:rsidR="00255265">
        <w:t>and</w:t>
      </w:r>
      <w:r w:rsidR="00255265" w:rsidRPr="00831CDD">
        <w:t xml:space="preserve"> </w:t>
      </w:r>
      <w:r w:rsidR="00255265">
        <w:t>job seekers in provider</w:t>
      </w:r>
      <w:r w:rsidR="00255265" w:rsidRPr="00831CDD">
        <w:t xml:space="preserve"> servicing</w:t>
      </w:r>
      <w:r w:rsidR="00255265" w:rsidRPr="00831CDD">
        <w:rPr>
          <w:rFonts w:cstheme="minorHAnsi"/>
          <w:lang w:val="en-US"/>
        </w:rPr>
        <w:t xml:space="preserve"> </w:t>
      </w:r>
      <w:r w:rsidR="00255265">
        <w:rPr>
          <w:rFonts w:cstheme="minorHAnsi"/>
          <w:lang w:val="en-US"/>
        </w:rPr>
        <w:t xml:space="preserve">who commenced </w:t>
      </w:r>
      <w:r w:rsidR="00255265" w:rsidRPr="00831CDD">
        <w:rPr>
          <w:rFonts w:cstheme="minorHAnsi"/>
          <w:lang w:val="en-US"/>
        </w:rPr>
        <w:t>between 1 July 2018 and 31 March 2019</w:t>
      </w:r>
      <w:r w:rsidR="00255265" w:rsidRPr="00831CDD">
        <w:t xml:space="preserve"> </w:t>
      </w:r>
      <w:r w:rsidR="00255265">
        <w:t xml:space="preserve">incurred no job search related demerits </w:t>
      </w:r>
      <w:r w:rsidR="00255265" w:rsidRPr="00831CDD">
        <w:t xml:space="preserve">within </w:t>
      </w:r>
      <w:r w:rsidR="00295B2D">
        <w:t>six</w:t>
      </w:r>
      <w:r w:rsidR="00255265">
        <w:t> </w:t>
      </w:r>
      <w:r w:rsidR="00255265" w:rsidRPr="00831CDD">
        <w:t xml:space="preserve">months from </w:t>
      </w:r>
      <w:r w:rsidR="00255265" w:rsidRPr="00831CDD">
        <w:lastRenderedPageBreak/>
        <w:t>service commencement</w:t>
      </w:r>
      <w:r w:rsidR="00255265">
        <w:t xml:space="preserve"> </w:t>
      </w:r>
      <w:r w:rsidR="00255265" w:rsidRPr="00831CDD">
        <w:t>(</w:t>
      </w:r>
      <w:r w:rsidR="00255265" w:rsidRPr="008D569F">
        <w:rPr>
          <w:b/>
        </w:rPr>
        <w:t>66</w:t>
      </w:r>
      <w:r w:rsidR="00255265">
        <w:rPr>
          <w:b/>
        </w:rPr>
        <w:t>%</w:t>
      </w:r>
      <w:r w:rsidR="00255265" w:rsidRPr="00831CDD">
        <w:t xml:space="preserve"> of OEST participants </w:t>
      </w:r>
      <w:r w:rsidR="00255265">
        <w:t>compared to</w:t>
      </w:r>
      <w:r w:rsidR="00255265" w:rsidRPr="00831CDD">
        <w:t xml:space="preserve"> </w:t>
      </w:r>
      <w:r w:rsidR="00255265" w:rsidRPr="008D569F">
        <w:rPr>
          <w:b/>
        </w:rPr>
        <w:t>6</w:t>
      </w:r>
      <w:r w:rsidR="00255265">
        <w:rPr>
          <w:b/>
        </w:rPr>
        <w:t>8%</w:t>
      </w:r>
      <w:r w:rsidR="00255265" w:rsidRPr="00831CDD">
        <w:t xml:space="preserve"> of the comparison group</w:t>
      </w:r>
      <w:r w:rsidR="00255265">
        <w:t xml:space="preserve">, </w:t>
      </w:r>
      <w:r w:rsidR="00255265" w:rsidRPr="001261D9">
        <w:rPr>
          <w:b/>
        </w:rPr>
        <w:t>Table 3.3</w:t>
      </w:r>
      <w:r w:rsidR="00255265" w:rsidRPr="00AE26B5">
        <w:t>)</w:t>
      </w:r>
    </w:p>
    <w:p w14:paraId="038CC4C7" w14:textId="27BA12B9" w:rsidR="00255265" w:rsidRDefault="00A14BFB" w:rsidP="008D2B23">
      <w:pPr>
        <w:pStyle w:val="ListBullet"/>
      </w:pPr>
      <w:bookmarkStart w:id="132" w:name="_Toc50458825"/>
      <w:bookmarkStart w:id="133" w:name="_Toc50458918"/>
      <w:bookmarkStart w:id="134" w:name="_Toc50459011"/>
      <w:bookmarkStart w:id="135" w:name="_Toc50459288"/>
      <w:r>
        <w:t>r</w:t>
      </w:r>
      <w:r w:rsidR="00255265">
        <w:t>esults changed in favour of OEST participants who commenced between 1 April 2019 and 30</w:t>
      </w:r>
      <w:r w:rsidR="00347683">
        <w:t> </w:t>
      </w:r>
      <w:r w:rsidR="00255265">
        <w:t xml:space="preserve">June 2019, of whom </w:t>
      </w:r>
      <w:r w:rsidR="00255265" w:rsidRPr="00966D46">
        <w:rPr>
          <w:b/>
        </w:rPr>
        <w:t>80</w:t>
      </w:r>
      <w:r w:rsidR="00255265">
        <w:rPr>
          <w:b/>
        </w:rPr>
        <w:t>%</w:t>
      </w:r>
      <w:r w:rsidR="00255265" w:rsidRPr="00E20178">
        <w:t xml:space="preserve"> </w:t>
      </w:r>
      <w:r w:rsidR="00255265">
        <w:t xml:space="preserve">incurred no job search demerit points within </w:t>
      </w:r>
      <w:r w:rsidR="00295B2D">
        <w:t>six</w:t>
      </w:r>
      <w:r w:rsidR="00255265">
        <w:t xml:space="preserve"> months of service commencement (compared to </w:t>
      </w:r>
      <w:r w:rsidR="00255265" w:rsidRPr="00966D46">
        <w:rPr>
          <w:b/>
        </w:rPr>
        <w:t>7</w:t>
      </w:r>
      <w:r w:rsidR="00255265">
        <w:rPr>
          <w:b/>
        </w:rPr>
        <w:t>2%</w:t>
      </w:r>
      <w:r w:rsidR="00255265">
        <w:t xml:space="preserve"> of those who commenced in provider servicing, </w:t>
      </w:r>
      <w:r w:rsidR="00255265" w:rsidRPr="001261D9">
        <w:rPr>
          <w:b/>
        </w:rPr>
        <w:t>Table 3.3</w:t>
      </w:r>
      <w:r w:rsidR="00255265">
        <w:t>)</w:t>
      </w:r>
      <w:r w:rsidR="00255265" w:rsidRPr="00E20178">
        <w:t>.</w:t>
      </w:r>
    </w:p>
    <w:p w14:paraId="2E111624" w14:textId="68DF1F1A" w:rsidR="001023FE" w:rsidRPr="00F71A22" w:rsidRDefault="001023FE" w:rsidP="00DA1E0C">
      <w:pPr>
        <w:pStyle w:val="TableCaption"/>
      </w:pPr>
      <w:bookmarkStart w:id="136" w:name="_Toc67042663"/>
      <w:r w:rsidRPr="00F71A22">
        <w:t>Table 3.3 Accumulation of demerit points for insufficient job search for job seekers who commenced from July 2018 to June 2019</w:t>
      </w:r>
      <w:bookmarkEnd w:id="132"/>
      <w:bookmarkEnd w:id="133"/>
      <w:bookmarkEnd w:id="134"/>
      <w:bookmarkEnd w:id="135"/>
      <w:bookmarkEnd w:id="136"/>
    </w:p>
    <w:tbl>
      <w:tblPr>
        <w:tblW w:w="8660" w:type="dxa"/>
        <w:tblInd w:w="-3" w:type="dxa"/>
        <w:tblLayout w:type="fixed"/>
        <w:tblCellMar>
          <w:left w:w="0" w:type="dxa"/>
          <w:right w:w="0" w:type="dxa"/>
        </w:tblCellMar>
        <w:tblLook w:val="04A0" w:firstRow="1" w:lastRow="0" w:firstColumn="1" w:lastColumn="0" w:noHBand="0" w:noVBand="1"/>
      </w:tblPr>
      <w:tblGrid>
        <w:gridCol w:w="1480"/>
        <w:gridCol w:w="1436"/>
        <w:gridCol w:w="1436"/>
        <w:gridCol w:w="1436"/>
        <w:gridCol w:w="1436"/>
        <w:gridCol w:w="1436"/>
      </w:tblGrid>
      <w:tr w:rsidR="001023FE" w:rsidRPr="00F71A22" w14:paraId="00BF6803" w14:textId="77777777" w:rsidTr="005B0683">
        <w:trPr>
          <w:cantSplit/>
          <w:trHeight w:val="495"/>
          <w:tblHeader/>
        </w:trPr>
        <w:tc>
          <w:tcPr>
            <w:tcW w:w="1480" w:type="dxa"/>
            <w:tcBorders>
              <w:top w:val="single" w:sz="8" w:space="0" w:color="auto"/>
              <w:left w:val="single" w:sz="8" w:space="0" w:color="auto"/>
              <w:bottom w:val="single" w:sz="8" w:space="0" w:color="auto"/>
              <w:right w:val="single" w:sz="8" w:space="0" w:color="auto"/>
            </w:tcBorders>
            <w:shd w:val="clear" w:color="auto" w:fill="002D3F"/>
            <w:tcMar>
              <w:top w:w="0" w:type="dxa"/>
              <w:left w:w="108" w:type="dxa"/>
              <w:bottom w:w="0" w:type="dxa"/>
              <w:right w:w="108" w:type="dxa"/>
            </w:tcMar>
            <w:vAlign w:val="center"/>
            <w:hideMark/>
          </w:tcPr>
          <w:p w14:paraId="608B1C52" w14:textId="1EA17466" w:rsidR="001023FE" w:rsidRPr="00F71A22" w:rsidRDefault="001023FE" w:rsidP="00D17231">
            <w:pPr>
              <w:pStyle w:val="TableText"/>
              <w:rPr>
                <w:b/>
                <w:bCs w:val="0"/>
                <w:color w:val="FFFFFF" w:themeColor="background1"/>
              </w:rPr>
            </w:pPr>
            <w:r w:rsidRPr="00F71A22">
              <w:rPr>
                <w:b/>
                <w:bCs w:val="0"/>
                <w:color w:val="FFFFFF" w:themeColor="background1"/>
              </w:rPr>
              <w:t xml:space="preserve">Number of </w:t>
            </w:r>
            <w:r w:rsidR="00501AA5">
              <w:rPr>
                <w:b/>
                <w:bCs w:val="0"/>
                <w:color w:val="FFFFFF" w:themeColor="background1"/>
              </w:rPr>
              <w:t>d</w:t>
            </w:r>
            <w:r w:rsidRPr="00F71A22">
              <w:rPr>
                <w:b/>
                <w:bCs w:val="0"/>
                <w:color w:val="FFFFFF" w:themeColor="background1"/>
              </w:rPr>
              <w:t>emerits</w:t>
            </w:r>
          </w:p>
        </w:tc>
        <w:tc>
          <w:tcPr>
            <w:tcW w:w="1436" w:type="dxa"/>
            <w:tcBorders>
              <w:top w:val="single" w:sz="8" w:space="0" w:color="auto"/>
              <w:left w:val="nil"/>
              <w:bottom w:val="single" w:sz="8" w:space="0" w:color="auto"/>
              <w:right w:val="single" w:sz="8" w:space="0" w:color="auto"/>
            </w:tcBorders>
            <w:shd w:val="clear" w:color="auto" w:fill="002D3F"/>
            <w:tcMar>
              <w:top w:w="0" w:type="dxa"/>
              <w:left w:w="108" w:type="dxa"/>
              <w:bottom w:w="0" w:type="dxa"/>
              <w:right w:w="108" w:type="dxa"/>
            </w:tcMar>
            <w:vAlign w:val="center"/>
            <w:hideMark/>
          </w:tcPr>
          <w:p w14:paraId="53CA6D4C" w14:textId="77777777" w:rsidR="001023FE" w:rsidRPr="00F71A22" w:rsidRDefault="001023FE" w:rsidP="00D17231">
            <w:pPr>
              <w:pStyle w:val="TableText"/>
              <w:jc w:val="center"/>
              <w:rPr>
                <w:b/>
                <w:bCs w:val="0"/>
                <w:color w:val="FFFFFF" w:themeColor="background1"/>
              </w:rPr>
            </w:pPr>
            <w:r w:rsidRPr="00F71A22">
              <w:rPr>
                <w:b/>
                <w:bCs w:val="0"/>
                <w:color w:val="FFFFFF" w:themeColor="background1"/>
              </w:rPr>
              <w:t>OEST</w:t>
            </w:r>
          </w:p>
        </w:tc>
        <w:tc>
          <w:tcPr>
            <w:tcW w:w="1436" w:type="dxa"/>
            <w:tcBorders>
              <w:top w:val="single" w:sz="8" w:space="0" w:color="auto"/>
              <w:left w:val="nil"/>
              <w:bottom w:val="single" w:sz="8" w:space="0" w:color="auto"/>
              <w:right w:val="single" w:sz="8" w:space="0" w:color="auto"/>
            </w:tcBorders>
            <w:shd w:val="clear" w:color="auto" w:fill="002D3F"/>
            <w:tcMar>
              <w:top w:w="0" w:type="dxa"/>
              <w:left w:w="108" w:type="dxa"/>
              <w:bottom w:w="0" w:type="dxa"/>
              <w:right w:w="108" w:type="dxa"/>
            </w:tcMar>
            <w:vAlign w:val="center"/>
            <w:hideMark/>
          </w:tcPr>
          <w:p w14:paraId="17CFF1F3" w14:textId="77777777" w:rsidR="001023FE" w:rsidRPr="00F71A22" w:rsidRDefault="001023FE" w:rsidP="00D17231">
            <w:pPr>
              <w:pStyle w:val="TableText"/>
              <w:jc w:val="center"/>
              <w:rPr>
                <w:b/>
                <w:bCs w:val="0"/>
                <w:color w:val="FFFFFF" w:themeColor="background1"/>
              </w:rPr>
            </w:pPr>
            <w:r w:rsidRPr="00F71A22">
              <w:rPr>
                <w:b/>
                <w:bCs w:val="0"/>
                <w:color w:val="FFFFFF" w:themeColor="background1"/>
              </w:rPr>
              <w:t>(%)</w:t>
            </w:r>
          </w:p>
        </w:tc>
        <w:tc>
          <w:tcPr>
            <w:tcW w:w="1436" w:type="dxa"/>
            <w:tcBorders>
              <w:top w:val="single" w:sz="8" w:space="0" w:color="auto"/>
              <w:left w:val="nil"/>
              <w:bottom w:val="single" w:sz="8" w:space="0" w:color="auto"/>
              <w:right w:val="single" w:sz="8" w:space="0" w:color="auto"/>
            </w:tcBorders>
            <w:shd w:val="clear" w:color="auto" w:fill="002D3F"/>
            <w:tcMar>
              <w:top w:w="0" w:type="dxa"/>
              <w:left w:w="108" w:type="dxa"/>
              <w:bottom w:w="0" w:type="dxa"/>
              <w:right w:w="108" w:type="dxa"/>
            </w:tcMar>
            <w:vAlign w:val="center"/>
            <w:hideMark/>
          </w:tcPr>
          <w:p w14:paraId="1F81BBFD" w14:textId="77777777" w:rsidR="001023FE" w:rsidRPr="00F71A22" w:rsidRDefault="001023FE" w:rsidP="00D17231">
            <w:pPr>
              <w:pStyle w:val="TableText"/>
              <w:jc w:val="center"/>
              <w:rPr>
                <w:b/>
                <w:bCs w:val="0"/>
                <w:color w:val="FFFFFF" w:themeColor="background1"/>
              </w:rPr>
            </w:pPr>
            <w:r w:rsidRPr="00F71A22">
              <w:rPr>
                <w:b/>
                <w:bCs w:val="0"/>
                <w:color w:val="FFFFFF" w:themeColor="background1"/>
              </w:rPr>
              <w:t>Comparison</w:t>
            </w:r>
          </w:p>
        </w:tc>
        <w:tc>
          <w:tcPr>
            <w:tcW w:w="1436" w:type="dxa"/>
            <w:tcBorders>
              <w:top w:val="single" w:sz="8" w:space="0" w:color="auto"/>
              <w:left w:val="nil"/>
              <w:bottom w:val="single" w:sz="8" w:space="0" w:color="auto"/>
              <w:right w:val="single" w:sz="8" w:space="0" w:color="auto"/>
            </w:tcBorders>
            <w:shd w:val="clear" w:color="auto" w:fill="002D3F"/>
            <w:tcMar>
              <w:top w:w="0" w:type="dxa"/>
              <w:left w:w="108" w:type="dxa"/>
              <w:bottom w:w="0" w:type="dxa"/>
              <w:right w:w="108" w:type="dxa"/>
            </w:tcMar>
            <w:vAlign w:val="center"/>
            <w:hideMark/>
          </w:tcPr>
          <w:p w14:paraId="4F15A20A" w14:textId="77777777" w:rsidR="001023FE" w:rsidRPr="00F71A22" w:rsidRDefault="001023FE" w:rsidP="00D17231">
            <w:pPr>
              <w:pStyle w:val="TableText"/>
              <w:jc w:val="center"/>
              <w:rPr>
                <w:b/>
                <w:bCs w:val="0"/>
                <w:color w:val="FFFFFF" w:themeColor="background1"/>
              </w:rPr>
            </w:pPr>
            <w:r w:rsidRPr="00F71A22">
              <w:rPr>
                <w:b/>
                <w:bCs w:val="0"/>
                <w:color w:val="FFFFFF" w:themeColor="background1"/>
              </w:rPr>
              <w:t>(%)</w:t>
            </w:r>
          </w:p>
        </w:tc>
        <w:tc>
          <w:tcPr>
            <w:tcW w:w="1436" w:type="dxa"/>
            <w:tcBorders>
              <w:top w:val="single" w:sz="8" w:space="0" w:color="auto"/>
              <w:left w:val="nil"/>
              <w:bottom w:val="single" w:sz="8" w:space="0" w:color="auto"/>
              <w:right w:val="single" w:sz="8" w:space="0" w:color="auto"/>
            </w:tcBorders>
            <w:shd w:val="clear" w:color="auto" w:fill="002D3F"/>
            <w:tcMar>
              <w:top w:w="0" w:type="dxa"/>
              <w:left w:w="108" w:type="dxa"/>
              <w:bottom w:w="0" w:type="dxa"/>
              <w:right w:w="108" w:type="dxa"/>
            </w:tcMar>
            <w:vAlign w:val="center"/>
            <w:hideMark/>
          </w:tcPr>
          <w:p w14:paraId="0BF63E44" w14:textId="77777777" w:rsidR="001023FE" w:rsidRPr="00F71A22" w:rsidRDefault="001023FE" w:rsidP="00D17231">
            <w:pPr>
              <w:pStyle w:val="TableText"/>
              <w:jc w:val="center"/>
              <w:rPr>
                <w:b/>
                <w:bCs w:val="0"/>
                <w:color w:val="FFFFFF" w:themeColor="background1"/>
              </w:rPr>
            </w:pPr>
            <w:r w:rsidRPr="00F71A22">
              <w:rPr>
                <w:b/>
                <w:bCs w:val="0"/>
                <w:color w:val="FFFFFF" w:themeColor="background1"/>
              </w:rPr>
              <w:t>Per cent difference</w:t>
            </w:r>
          </w:p>
        </w:tc>
      </w:tr>
      <w:tr w:rsidR="00F9330E" w:rsidRPr="00F71A22" w14:paraId="2216EBF6" w14:textId="77777777" w:rsidTr="003E112E">
        <w:trPr>
          <w:trHeight w:val="216"/>
        </w:trPr>
        <w:tc>
          <w:tcPr>
            <w:tcW w:w="1480" w:type="dxa"/>
            <w:noWrap/>
            <w:tcMar>
              <w:top w:w="0" w:type="dxa"/>
              <w:left w:w="108" w:type="dxa"/>
              <w:bottom w:w="0" w:type="dxa"/>
              <w:right w:w="108" w:type="dxa"/>
            </w:tcMar>
            <w:vAlign w:val="bottom"/>
          </w:tcPr>
          <w:p w14:paraId="2347BC11" w14:textId="1782D1B2" w:rsidR="00F9330E" w:rsidRPr="00F71A22" w:rsidRDefault="00F9330E" w:rsidP="00F9330E">
            <w:pPr>
              <w:pStyle w:val="TableText"/>
              <w:rPr>
                <w:color w:val="000000"/>
              </w:rPr>
            </w:pPr>
            <w:r w:rsidRPr="00F71A22">
              <w:rPr>
                <w:i/>
                <w:iCs/>
                <w:color w:val="000000"/>
              </w:rPr>
              <w:t>Commenced from July 2018 to June 2019</w:t>
            </w:r>
          </w:p>
        </w:tc>
        <w:tc>
          <w:tcPr>
            <w:tcW w:w="1436" w:type="dxa"/>
            <w:noWrap/>
            <w:tcMar>
              <w:top w:w="0" w:type="dxa"/>
              <w:left w:w="108" w:type="dxa"/>
              <w:bottom w:w="0" w:type="dxa"/>
              <w:right w:w="108" w:type="dxa"/>
            </w:tcMar>
            <w:vAlign w:val="bottom"/>
          </w:tcPr>
          <w:p w14:paraId="1206AB93" w14:textId="52D32BA0" w:rsidR="00F9330E" w:rsidRPr="003E112E" w:rsidRDefault="00F9330E" w:rsidP="00F9330E">
            <w:pPr>
              <w:pStyle w:val="TableText"/>
              <w:jc w:val="right"/>
              <w:rPr>
                <w:color w:val="FFFFFF" w:themeColor="background1"/>
              </w:rPr>
            </w:pPr>
            <w:r w:rsidRPr="003E112E">
              <w:rPr>
                <w:color w:val="FFFFFF" w:themeColor="background1"/>
              </w:rPr>
              <w:t>—</w:t>
            </w:r>
          </w:p>
        </w:tc>
        <w:tc>
          <w:tcPr>
            <w:tcW w:w="1436" w:type="dxa"/>
            <w:noWrap/>
            <w:tcMar>
              <w:top w:w="0" w:type="dxa"/>
              <w:left w:w="108" w:type="dxa"/>
              <w:bottom w:w="0" w:type="dxa"/>
              <w:right w:w="108" w:type="dxa"/>
            </w:tcMar>
            <w:vAlign w:val="bottom"/>
          </w:tcPr>
          <w:p w14:paraId="24F0EBC0" w14:textId="7DE2C12A" w:rsidR="00F9330E" w:rsidRPr="003E112E" w:rsidRDefault="00F9330E">
            <w:pPr>
              <w:pStyle w:val="TableText"/>
              <w:jc w:val="right"/>
              <w:rPr>
                <w:color w:val="FFFFFF" w:themeColor="background1"/>
              </w:rPr>
            </w:pPr>
            <w:r w:rsidRPr="003E112E">
              <w:rPr>
                <w:color w:val="FFFFFF" w:themeColor="background1"/>
              </w:rPr>
              <w:t>—</w:t>
            </w:r>
          </w:p>
        </w:tc>
        <w:tc>
          <w:tcPr>
            <w:tcW w:w="1436" w:type="dxa"/>
            <w:noWrap/>
            <w:tcMar>
              <w:top w:w="0" w:type="dxa"/>
              <w:left w:w="108" w:type="dxa"/>
              <w:bottom w:w="0" w:type="dxa"/>
              <w:right w:w="108" w:type="dxa"/>
            </w:tcMar>
            <w:vAlign w:val="bottom"/>
          </w:tcPr>
          <w:p w14:paraId="4990EF91" w14:textId="7F196EC0" w:rsidR="00F9330E" w:rsidRPr="003E112E" w:rsidRDefault="00F9330E">
            <w:pPr>
              <w:pStyle w:val="TableText"/>
              <w:jc w:val="right"/>
              <w:rPr>
                <w:color w:val="FFFFFF" w:themeColor="background1"/>
              </w:rPr>
            </w:pPr>
            <w:r w:rsidRPr="003E112E">
              <w:rPr>
                <w:color w:val="FFFFFF" w:themeColor="background1"/>
              </w:rPr>
              <w:t>—</w:t>
            </w:r>
          </w:p>
        </w:tc>
        <w:tc>
          <w:tcPr>
            <w:tcW w:w="1436" w:type="dxa"/>
            <w:noWrap/>
            <w:tcMar>
              <w:top w:w="0" w:type="dxa"/>
              <w:left w:w="108" w:type="dxa"/>
              <w:bottom w:w="0" w:type="dxa"/>
              <w:right w:w="108" w:type="dxa"/>
            </w:tcMar>
            <w:vAlign w:val="bottom"/>
          </w:tcPr>
          <w:p w14:paraId="58436275" w14:textId="0DBABDC1" w:rsidR="00F9330E" w:rsidRPr="003E112E" w:rsidRDefault="00F9330E">
            <w:pPr>
              <w:pStyle w:val="TableText"/>
              <w:jc w:val="right"/>
              <w:rPr>
                <w:color w:val="FFFFFF" w:themeColor="background1"/>
              </w:rPr>
            </w:pPr>
            <w:r w:rsidRPr="003E112E">
              <w:rPr>
                <w:color w:val="FFFFFF" w:themeColor="background1"/>
              </w:rPr>
              <w:t>—</w:t>
            </w:r>
          </w:p>
        </w:tc>
        <w:tc>
          <w:tcPr>
            <w:tcW w:w="1436" w:type="dxa"/>
            <w:noWrap/>
            <w:tcMar>
              <w:top w:w="0" w:type="dxa"/>
              <w:left w:w="108" w:type="dxa"/>
              <w:bottom w:w="0" w:type="dxa"/>
              <w:right w:w="108" w:type="dxa"/>
            </w:tcMar>
            <w:vAlign w:val="bottom"/>
          </w:tcPr>
          <w:p w14:paraId="2C24FD52" w14:textId="500E4E48" w:rsidR="00F9330E" w:rsidRPr="003E112E" w:rsidRDefault="00F9330E">
            <w:pPr>
              <w:pStyle w:val="TableText"/>
              <w:jc w:val="right"/>
              <w:rPr>
                <w:color w:val="FFFFFF" w:themeColor="background1"/>
              </w:rPr>
            </w:pPr>
            <w:r w:rsidRPr="003E112E">
              <w:rPr>
                <w:color w:val="FFFFFF" w:themeColor="background1"/>
              </w:rPr>
              <w:t>—</w:t>
            </w:r>
          </w:p>
        </w:tc>
      </w:tr>
      <w:tr w:rsidR="001023FE" w:rsidRPr="00F71A22" w14:paraId="229B2AFC" w14:textId="77777777" w:rsidTr="00D17231">
        <w:trPr>
          <w:trHeight w:val="216"/>
        </w:trPr>
        <w:tc>
          <w:tcPr>
            <w:tcW w:w="1480" w:type="dxa"/>
            <w:noWrap/>
            <w:tcMar>
              <w:top w:w="0" w:type="dxa"/>
              <w:left w:w="108" w:type="dxa"/>
              <w:bottom w:w="0" w:type="dxa"/>
              <w:right w:w="108" w:type="dxa"/>
            </w:tcMar>
            <w:vAlign w:val="bottom"/>
            <w:hideMark/>
          </w:tcPr>
          <w:p w14:paraId="31233415" w14:textId="77777777" w:rsidR="001023FE" w:rsidRPr="00F71A22" w:rsidRDefault="001023FE" w:rsidP="00D17231">
            <w:pPr>
              <w:pStyle w:val="TableText"/>
              <w:rPr>
                <w:rFonts w:ascii="Calibri" w:hAnsi="Calibri" w:cs="Calibri"/>
                <w:color w:val="000000"/>
              </w:rPr>
            </w:pPr>
            <w:r w:rsidRPr="00F71A22">
              <w:rPr>
                <w:color w:val="000000"/>
              </w:rPr>
              <w:t>0</w:t>
            </w:r>
          </w:p>
        </w:tc>
        <w:tc>
          <w:tcPr>
            <w:tcW w:w="1436" w:type="dxa"/>
            <w:noWrap/>
            <w:tcMar>
              <w:top w:w="0" w:type="dxa"/>
              <w:left w:w="108" w:type="dxa"/>
              <w:bottom w:w="0" w:type="dxa"/>
              <w:right w:w="108" w:type="dxa"/>
            </w:tcMar>
            <w:vAlign w:val="bottom"/>
            <w:hideMark/>
          </w:tcPr>
          <w:p w14:paraId="2E91E6C4" w14:textId="77777777" w:rsidR="001023FE" w:rsidRPr="00F71A22" w:rsidRDefault="001023FE" w:rsidP="00D17231">
            <w:pPr>
              <w:pStyle w:val="TableText"/>
              <w:jc w:val="right"/>
              <w:rPr>
                <w:color w:val="000000"/>
              </w:rPr>
            </w:pPr>
            <w:r w:rsidRPr="00F71A22">
              <w:rPr>
                <w:color w:val="000000"/>
              </w:rPr>
              <w:t>6,715</w:t>
            </w:r>
          </w:p>
        </w:tc>
        <w:tc>
          <w:tcPr>
            <w:tcW w:w="1436" w:type="dxa"/>
            <w:noWrap/>
            <w:tcMar>
              <w:top w:w="0" w:type="dxa"/>
              <w:left w:w="108" w:type="dxa"/>
              <w:bottom w:w="0" w:type="dxa"/>
              <w:right w:w="108" w:type="dxa"/>
            </w:tcMar>
            <w:vAlign w:val="bottom"/>
            <w:hideMark/>
          </w:tcPr>
          <w:p w14:paraId="2E4EBE94" w14:textId="77777777" w:rsidR="001023FE" w:rsidRPr="00F71A22" w:rsidRDefault="001023FE" w:rsidP="00D17231">
            <w:pPr>
              <w:pStyle w:val="TableText"/>
              <w:jc w:val="right"/>
              <w:rPr>
                <w:color w:val="000000"/>
              </w:rPr>
            </w:pPr>
            <w:r w:rsidRPr="00F71A22">
              <w:rPr>
                <w:color w:val="000000"/>
              </w:rPr>
              <w:t>71.0</w:t>
            </w:r>
          </w:p>
        </w:tc>
        <w:tc>
          <w:tcPr>
            <w:tcW w:w="1436" w:type="dxa"/>
            <w:noWrap/>
            <w:tcMar>
              <w:top w:w="0" w:type="dxa"/>
              <w:left w:w="108" w:type="dxa"/>
              <w:bottom w:w="0" w:type="dxa"/>
              <w:right w:w="108" w:type="dxa"/>
            </w:tcMar>
            <w:vAlign w:val="bottom"/>
            <w:hideMark/>
          </w:tcPr>
          <w:p w14:paraId="1DF1F149" w14:textId="77777777" w:rsidR="001023FE" w:rsidRPr="00F71A22" w:rsidRDefault="001023FE" w:rsidP="00D17231">
            <w:pPr>
              <w:pStyle w:val="TableText"/>
              <w:jc w:val="right"/>
              <w:rPr>
                <w:color w:val="000000"/>
              </w:rPr>
            </w:pPr>
            <w:r w:rsidRPr="00F71A22">
              <w:rPr>
                <w:color w:val="000000"/>
              </w:rPr>
              <w:t>6,547</w:t>
            </w:r>
          </w:p>
        </w:tc>
        <w:tc>
          <w:tcPr>
            <w:tcW w:w="1436" w:type="dxa"/>
            <w:noWrap/>
            <w:tcMar>
              <w:top w:w="0" w:type="dxa"/>
              <w:left w:w="108" w:type="dxa"/>
              <w:bottom w:w="0" w:type="dxa"/>
              <w:right w:w="108" w:type="dxa"/>
            </w:tcMar>
            <w:vAlign w:val="bottom"/>
            <w:hideMark/>
          </w:tcPr>
          <w:p w14:paraId="65C235DD" w14:textId="77777777" w:rsidR="001023FE" w:rsidRPr="00F71A22" w:rsidRDefault="001023FE" w:rsidP="00D17231">
            <w:pPr>
              <w:pStyle w:val="TableText"/>
              <w:jc w:val="right"/>
              <w:rPr>
                <w:color w:val="000000"/>
              </w:rPr>
            </w:pPr>
            <w:r w:rsidRPr="00F71A22">
              <w:rPr>
                <w:color w:val="000000"/>
              </w:rPr>
              <w:t>69.2</w:t>
            </w:r>
          </w:p>
        </w:tc>
        <w:tc>
          <w:tcPr>
            <w:tcW w:w="1436" w:type="dxa"/>
            <w:noWrap/>
            <w:tcMar>
              <w:top w:w="0" w:type="dxa"/>
              <w:left w:w="108" w:type="dxa"/>
              <w:bottom w:w="0" w:type="dxa"/>
              <w:right w:w="108" w:type="dxa"/>
            </w:tcMar>
            <w:vAlign w:val="bottom"/>
            <w:hideMark/>
          </w:tcPr>
          <w:p w14:paraId="66994FE6" w14:textId="77777777" w:rsidR="001023FE" w:rsidRPr="00F71A22" w:rsidRDefault="001023FE" w:rsidP="00D17231">
            <w:pPr>
              <w:pStyle w:val="TableText"/>
              <w:jc w:val="right"/>
              <w:rPr>
                <w:color w:val="000000"/>
              </w:rPr>
            </w:pPr>
            <w:r w:rsidRPr="00F71A22">
              <w:rPr>
                <w:color w:val="000000"/>
              </w:rPr>
              <w:t>1.8*</w:t>
            </w:r>
          </w:p>
        </w:tc>
      </w:tr>
      <w:tr w:rsidR="001023FE" w:rsidRPr="00F71A22" w14:paraId="670B9416" w14:textId="77777777" w:rsidTr="00D17231">
        <w:trPr>
          <w:trHeight w:val="300"/>
        </w:trPr>
        <w:tc>
          <w:tcPr>
            <w:tcW w:w="1480" w:type="dxa"/>
            <w:noWrap/>
            <w:tcMar>
              <w:top w:w="0" w:type="dxa"/>
              <w:left w:w="108" w:type="dxa"/>
              <w:bottom w:w="0" w:type="dxa"/>
              <w:right w:w="108" w:type="dxa"/>
            </w:tcMar>
            <w:vAlign w:val="bottom"/>
            <w:hideMark/>
          </w:tcPr>
          <w:p w14:paraId="35CCC5C3" w14:textId="77777777" w:rsidR="001023FE" w:rsidRPr="00F71A22" w:rsidRDefault="001023FE" w:rsidP="00D17231">
            <w:pPr>
              <w:pStyle w:val="TableText"/>
              <w:rPr>
                <w:color w:val="000000"/>
              </w:rPr>
            </w:pPr>
            <w:r w:rsidRPr="00F71A22">
              <w:rPr>
                <w:color w:val="000000"/>
              </w:rPr>
              <w:t>1</w:t>
            </w:r>
          </w:p>
        </w:tc>
        <w:tc>
          <w:tcPr>
            <w:tcW w:w="1436" w:type="dxa"/>
            <w:noWrap/>
            <w:tcMar>
              <w:top w:w="0" w:type="dxa"/>
              <w:left w:w="108" w:type="dxa"/>
              <w:bottom w:w="0" w:type="dxa"/>
              <w:right w:w="108" w:type="dxa"/>
            </w:tcMar>
            <w:vAlign w:val="bottom"/>
            <w:hideMark/>
          </w:tcPr>
          <w:p w14:paraId="0BCB96DF" w14:textId="77777777" w:rsidR="001023FE" w:rsidRPr="00F71A22" w:rsidRDefault="001023FE" w:rsidP="00D17231">
            <w:pPr>
              <w:pStyle w:val="TableText"/>
              <w:jc w:val="right"/>
              <w:rPr>
                <w:color w:val="000000"/>
              </w:rPr>
            </w:pPr>
            <w:r w:rsidRPr="00F71A22">
              <w:rPr>
                <w:color w:val="000000"/>
              </w:rPr>
              <w:t>2,202</w:t>
            </w:r>
          </w:p>
        </w:tc>
        <w:tc>
          <w:tcPr>
            <w:tcW w:w="1436" w:type="dxa"/>
            <w:noWrap/>
            <w:tcMar>
              <w:top w:w="0" w:type="dxa"/>
              <w:left w:w="108" w:type="dxa"/>
              <w:bottom w:w="0" w:type="dxa"/>
              <w:right w:w="108" w:type="dxa"/>
            </w:tcMar>
            <w:vAlign w:val="bottom"/>
            <w:hideMark/>
          </w:tcPr>
          <w:p w14:paraId="1C679200" w14:textId="77777777" w:rsidR="001023FE" w:rsidRPr="00F71A22" w:rsidRDefault="001023FE" w:rsidP="00D17231">
            <w:pPr>
              <w:pStyle w:val="TableText"/>
              <w:jc w:val="right"/>
              <w:rPr>
                <w:color w:val="000000"/>
              </w:rPr>
            </w:pPr>
            <w:r w:rsidRPr="00F71A22">
              <w:rPr>
                <w:color w:val="000000"/>
              </w:rPr>
              <w:t>23.3</w:t>
            </w:r>
          </w:p>
        </w:tc>
        <w:tc>
          <w:tcPr>
            <w:tcW w:w="1436" w:type="dxa"/>
            <w:noWrap/>
            <w:tcMar>
              <w:top w:w="0" w:type="dxa"/>
              <w:left w:w="108" w:type="dxa"/>
              <w:bottom w:w="0" w:type="dxa"/>
              <w:right w:w="108" w:type="dxa"/>
            </w:tcMar>
            <w:vAlign w:val="bottom"/>
            <w:hideMark/>
          </w:tcPr>
          <w:p w14:paraId="4C58CB30" w14:textId="77777777" w:rsidR="001023FE" w:rsidRPr="00F71A22" w:rsidRDefault="001023FE" w:rsidP="00D17231">
            <w:pPr>
              <w:pStyle w:val="TableText"/>
              <w:jc w:val="right"/>
              <w:rPr>
                <w:color w:val="000000"/>
              </w:rPr>
            </w:pPr>
            <w:r w:rsidRPr="00F71A22">
              <w:rPr>
                <w:color w:val="000000"/>
              </w:rPr>
              <w:t>2,267</w:t>
            </w:r>
          </w:p>
        </w:tc>
        <w:tc>
          <w:tcPr>
            <w:tcW w:w="1436" w:type="dxa"/>
            <w:noWrap/>
            <w:tcMar>
              <w:top w:w="0" w:type="dxa"/>
              <w:left w:w="108" w:type="dxa"/>
              <w:bottom w:w="0" w:type="dxa"/>
              <w:right w:w="108" w:type="dxa"/>
            </w:tcMar>
            <w:vAlign w:val="bottom"/>
            <w:hideMark/>
          </w:tcPr>
          <w:p w14:paraId="0577CB54" w14:textId="77777777" w:rsidR="001023FE" w:rsidRPr="00F71A22" w:rsidRDefault="001023FE" w:rsidP="00D17231">
            <w:pPr>
              <w:pStyle w:val="TableText"/>
              <w:jc w:val="right"/>
              <w:rPr>
                <w:color w:val="000000"/>
              </w:rPr>
            </w:pPr>
            <w:r w:rsidRPr="00F71A22">
              <w:rPr>
                <w:color w:val="000000"/>
              </w:rPr>
              <w:t>24.0</w:t>
            </w:r>
          </w:p>
        </w:tc>
        <w:tc>
          <w:tcPr>
            <w:tcW w:w="1436" w:type="dxa"/>
            <w:noWrap/>
            <w:tcMar>
              <w:top w:w="0" w:type="dxa"/>
              <w:left w:w="108" w:type="dxa"/>
              <w:bottom w:w="0" w:type="dxa"/>
              <w:right w:w="108" w:type="dxa"/>
            </w:tcMar>
            <w:vAlign w:val="bottom"/>
            <w:hideMark/>
          </w:tcPr>
          <w:p w14:paraId="5FC015A7" w14:textId="77777777" w:rsidR="001023FE" w:rsidRPr="00F71A22" w:rsidRDefault="001023FE" w:rsidP="00D17231">
            <w:pPr>
              <w:pStyle w:val="TableText"/>
              <w:jc w:val="right"/>
              <w:rPr>
                <w:color w:val="000000"/>
              </w:rPr>
            </w:pPr>
            <w:r w:rsidRPr="00F71A22">
              <w:rPr>
                <w:color w:val="000000"/>
              </w:rPr>
              <w:t>-0.7</w:t>
            </w:r>
          </w:p>
        </w:tc>
      </w:tr>
      <w:tr w:rsidR="001023FE" w:rsidRPr="00F71A22" w14:paraId="250E2FBE" w14:textId="77777777" w:rsidTr="00D17231">
        <w:trPr>
          <w:trHeight w:val="300"/>
        </w:trPr>
        <w:tc>
          <w:tcPr>
            <w:tcW w:w="1480" w:type="dxa"/>
            <w:noWrap/>
            <w:tcMar>
              <w:top w:w="0" w:type="dxa"/>
              <w:left w:w="108" w:type="dxa"/>
              <w:bottom w:w="0" w:type="dxa"/>
              <w:right w:w="108" w:type="dxa"/>
            </w:tcMar>
            <w:vAlign w:val="bottom"/>
            <w:hideMark/>
          </w:tcPr>
          <w:p w14:paraId="423D09D3" w14:textId="77777777" w:rsidR="001023FE" w:rsidRPr="00F71A22" w:rsidRDefault="001023FE" w:rsidP="00D17231">
            <w:pPr>
              <w:pStyle w:val="TableText"/>
              <w:rPr>
                <w:color w:val="000000"/>
              </w:rPr>
            </w:pPr>
            <w:r w:rsidRPr="00F71A22">
              <w:rPr>
                <w:color w:val="000000"/>
              </w:rPr>
              <w:t>2</w:t>
            </w:r>
          </w:p>
        </w:tc>
        <w:tc>
          <w:tcPr>
            <w:tcW w:w="1436" w:type="dxa"/>
            <w:noWrap/>
            <w:tcMar>
              <w:top w:w="0" w:type="dxa"/>
              <w:left w:w="108" w:type="dxa"/>
              <w:bottom w:w="0" w:type="dxa"/>
              <w:right w:w="108" w:type="dxa"/>
            </w:tcMar>
            <w:vAlign w:val="bottom"/>
            <w:hideMark/>
          </w:tcPr>
          <w:p w14:paraId="3AAECAD4" w14:textId="77777777" w:rsidR="001023FE" w:rsidRPr="00F71A22" w:rsidRDefault="001023FE" w:rsidP="00D17231">
            <w:pPr>
              <w:pStyle w:val="TableText"/>
              <w:jc w:val="right"/>
              <w:rPr>
                <w:color w:val="000000"/>
              </w:rPr>
            </w:pPr>
            <w:r w:rsidRPr="00F71A22">
              <w:rPr>
                <w:color w:val="000000"/>
              </w:rPr>
              <w:t>542</w:t>
            </w:r>
          </w:p>
        </w:tc>
        <w:tc>
          <w:tcPr>
            <w:tcW w:w="1436" w:type="dxa"/>
            <w:noWrap/>
            <w:tcMar>
              <w:top w:w="0" w:type="dxa"/>
              <w:left w:w="108" w:type="dxa"/>
              <w:bottom w:w="0" w:type="dxa"/>
              <w:right w:w="108" w:type="dxa"/>
            </w:tcMar>
            <w:vAlign w:val="bottom"/>
            <w:hideMark/>
          </w:tcPr>
          <w:p w14:paraId="5EA8056C" w14:textId="77777777" w:rsidR="001023FE" w:rsidRPr="00F71A22" w:rsidRDefault="001023FE" w:rsidP="00D17231">
            <w:pPr>
              <w:pStyle w:val="TableText"/>
              <w:jc w:val="right"/>
              <w:rPr>
                <w:color w:val="000000"/>
              </w:rPr>
            </w:pPr>
            <w:r w:rsidRPr="00F71A22">
              <w:rPr>
                <w:color w:val="000000"/>
              </w:rPr>
              <w:t>5.7</w:t>
            </w:r>
          </w:p>
        </w:tc>
        <w:tc>
          <w:tcPr>
            <w:tcW w:w="1436" w:type="dxa"/>
            <w:noWrap/>
            <w:tcMar>
              <w:top w:w="0" w:type="dxa"/>
              <w:left w:w="108" w:type="dxa"/>
              <w:bottom w:w="0" w:type="dxa"/>
              <w:right w:w="108" w:type="dxa"/>
            </w:tcMar>
            <w:vAlign w:val="bottom"/>
            <w:hideMark/>
          </w:tcPr>
          <w:p w14:paraId="6EE4FB57" w14:textId="77777777" w:rsidR="001023FE" w:rsidRPr="00F71A22" w:rsidRDefault="001023FE" w:rsidP="00D17231">
            <w:pPr>
              <w:pStyle w:val="TableText"/>
              <w:jc w:val="right"/>
              <w:rPr>
                <w:color w:val="000000"/>
              </w:rPr>
            </w:pPr>
            <w:r w:rsidRPr="00F71A22">
              <w:rPr>
                <w:color w:val="000000"/>
              </w:rPr>
              <w:t>645</w:t>
            </w:r>
          </w:p>
        </w:tc>
        <w:tc>
          <w:tcPr>
            <w:tcW w:w="1436" w:type="dxa"/>
            <w:noWrap/>
            <w:tcMar>
              <w:top w:w="0" w:type="dxa"/>
              <w:left w:w="108" w:type="dxa"/>
              <w:bottom w:w="0" w:type="dxa"/>
              <w:right w:w="108" w:type="dxa"/>
            </w:tcMar>
            <w:vAlign w:val="bottom"/>
            <w:hideMark/>
          </w:tcPr>
          <w:p w14:paraId="618B2327" w14:textId="77777777" w:rsidR="001023FE" w:rsidRPr="00F71A22" w:rsidRDefault="001023FE" w:rsidP="00D17231">
            <w:pPr>
              <w:pStyle w:val="TableText"/>
              <w:jc w:val="right"/>
              <w:rPr>
                <w:color w:val="000000"/>
              </w:rPr>
            </w:pPr>
            <w:r w:rsidRPr="00F71A22">
              <w:rPr>
                <w:color w:val="000000"/>
              </w:rPr>
              <w:t>6.8</w:t>
            </w:r>
          </w:p>
        </w:tc>
        <w:tc>
          <w:tcPr>
            <w:tcW w:w="1436" w:type="dxa"/>
            <w:noWrap/>
            <w:tcMar>
              <w:top w:w="0" w:type="dxa"/>
              <w:left w:w="108" w:type="dxa"/>
              <w:bottom w:w="0" w:type="dxa"/>
              <w:right w:w="108" w:type="dxa"/>
            </w:tcMar>
            <w:vAlign w:val="bottom"/>
            <w:hideMark/>
          </w:tcPr>
          <w:p w14:paraId="31D07466" w14:textId="77777777" w:rsidR="001023FE" w:rsidRPr="00F71A22" w:rsidRDefault="001023FE" w:rsidP="00D17231">
            <w:pPr>
              <w:pStyle w:val="TableText"/>
              <w:jc w:val="right"/>
              <w:rPr>
                <w:color w:val="000000"/>
              </w:rPr>
            </w:pPr>
            <w:r w:rsidRPr="00F71A22">
              <w:rPr>
                <w:color w:val="000000"/>
              </w:rPr>
              <w:t>-1.1</w:t>
            </w:r>
          </w:p>
        </w:tc>
      </w:tr>
      <w:tr w:rsidR="007C4B79" w:rsidRPr="007C4B79" w14:paraId="61DB12C5" w14:textId="77777777" w:rsidTr="007C4B79">
        <w:trPr>
          <w:trHeight w:val="300"/>
        </w:trPr>
        <w:tc>
          <w:tcPr>
            <w:tcW w:w="1480" w:type="dxa"/>
            <w:shd w:val="clear" w:color="auto" w:fill="D0CECE" w:themeFill="background2" w:themeFillShade="E6"/>
            <w:noWrap/>
            <w:tcMar>
              <w:top w:w="0" w:type="dxa"/>
              <w:left w:w="108" w:type="dxa"/>
              <w:bottom w:w="0" w:type="dxa"/>
              <w:right w:w="108" w:type="dxa"/>
            </w:tcMar>
            <w:vAlign w:val="bottom"/>
          </w:tcPr>
          <w:p w14:paraId="058D22E3" w14:textId="5D78E01A" w:rsidR="00F9330E" w:rsidRPr="00F71A22" w:rsidRDefault="00F9330E" w:rsidP="00F9330E">
            <w:pPr>
              <w:pStyle w:val="TableText"/>
              <w:rPr>
                <w:color w:val="000000"/>
              </w:rPr>
            </w:pPr>
            <w:r w:rsidRPr="00F71A22">
              <w:rPr>
                <w:i/>
                <w:iCs/>
                <w:color w:val="000000"/>
              </w:rPr>
              <w:t>Commenced from July 2018 to June 2019</w:t>
            </w:r>
          </w:p>
        </w:tc>
        <w:tc>
          <w:tcPr>
            <w:tcW w:w="1436" w:type="dxa"/>
            <w:shd w:val="clear" w:color="auto" w:fill="D0CECE" w:themeFill="background2" w:themeFillShade="E6"/>
            <w:noWrap/>
            <w:tcMar>
              <w:top w:w="0" w:type="dxa"/>
              <w:left w:w="108" w:type="dxa"/>
              <w:bottom w:w="0" w:type="dxa"/>
              <w:right w:w="108" w:type="dxa"/>
            </w:tcMar>
            <w:vAlign w:val="bottom"/>
          </w:tcPr>
          <w:p w14:paraId="128018B0" w14:textId="633648AE" w:rsidR="00F9330E" w:rsidRPr="007C4B79" w:rsidRDefault="00F9330E" w:rsidP="00F9330E">
            <w:pPr>
              <w:pStyle w:val="TableText"/>
              <w:jc w:val="right"/>
              <w:rPr>
                <w:color w:val="D0CECE" w:themeColor="background2" w:themeShade="E6"/>
              </w:rPr>
            </w:pPr>
            <w:r w:rsidRPr="007C4B79">
              <w:rPr>
                <w:color w:val="D0CECE" w:themeColor="background2" w:themeShade="E6"/>
              </w:rPr>
              <w:t>—</w:t>
            </w:r>
          </w:p>
        </w:tc>
        <w:tc>
          <w:tcPr>
            <w:tcW w:w="1436" w:type="dxa"/>
            <w:shd w:val="clear" w:color="auto" w:fill="D0CECE" w:themeFill="background2" w:themeFillShade="E6"/>
            <w:noWrap/>
            <w:tcMar>
              <w:top w:w="0" w:type="dxa"/>
              <w:left w:w="108" w:type="dxa"/>
              <w:bottom w:w="0" w:type="dxa"/>
              <w:right w:w="108" w:type="dxa"/>
            </w:tcMar>
            <w:vAlign w:val="bottom"/>
          </w:tcPr>
          <w:p w14:paraId="573FD095" w14:textId="348F1AF8" w:rsidR="00F9330E" w:rsidRPr="007C4B79" w:rsidRDefault="00F9330E" w:rsidP="00F9330E">
            <w:pPr>
              <w:pStyle w:val="TableText"/>
              <w:jc w:val="right"/>
              <w:rPr>
                <w:color w:val="D0CECE" w:themeColor="background2" w:themeShade="E6"/>
              </w:rPr>
            </w:pPr>
            <w:r w:rsidRPr="007C4B79">
              <w:rPr>
                <w:color w:val="D0CECE" w:themeColor="background2" w:themeShade="E6"/>
              </w:rPr>
              <w:t>—</w:t>
            </w:r>
          </w:p>
        </w:tc>
        <w:tc>
          <w:tcPr>
            <w:tcW w:w="1436" w:type="dxa"/>
            <w:shd w:val="clear" w:color="auto" w:fill="D0CECE" w:themeFill="background2" w:themeFillShade="E6"/>
            <w:noWrap/>
            <w:tcMar>
              <w:top w:w="0" w:type="dxa"/>
              <w:left w:w="108" w:type="dxa"/>
              <w:bottom w:w="0" w:type="dxa"/>
              <w:right w:w="108" w:type="dxa"/>
            </w:tcMar>
            <w:vAlign w:val="bottom"/>
          </w:tcPr>
          <w:p w14:paraId="4631CA42" w14:textId="710A7B2D" w:rsidR="00F9330E" w:rsidRPr="007C4B79" w:rsidRDefault="00F9330E" w:rsidP="00F9330E">
            <w:pPr>
              <w:pStyle w:val="TableText"/>
              <w:jc w:val="right"/>
              <w:rPr>
                <w:color w:val="D0CECE" w:themeColor="background2" w:themeShade="E6"/>
              </w:rPr>
            </w:pPr>
            <w:r w:rsidRPr="007C4B79">
              <w:rPr>
                <w:color w:val="D0CECE" w:themeColor="background2" w:themeShade="E6"/>
              </w:rPr>
              <w:t>—</w:t>
            </w:r>
          </w:p>
        </w:tc>
        <w:tc>
          <w:tcPr>
            <w:tcW w:w="1436" w:type="dxa"/>
            <w:shd w:val="clear" w:color="auto" w:fill="D0CECE" w:themeFill="background2" w:themeFillShade="E6"/>
            <w:noWrap/>
            <w:tcMar>
              <w:top w:w="0" w:type="dxa"/>
              <w:left w:w="108" w:type="dxa"/>
              <w:bottom w:w="0" w:type="dxa"/>
              <w:right w:w="108" w:type="dxa"/>
            </w:tcMar>
            <w:vAlign w:val="bottom"/>
          </w:tcPr>
          <w:p w14:paraId="7F290F8D" w14:textId="3A245A72" w:rsidR="00F9330E" w:rsidRPr="007C4B79" w:rsidRDefault="00F9330E" w:rsidP="00F9330E">
            <w:pPr>
              <w:pStyle w:val="TableText"/>
              <w:jc w:val="right"/>
              <w:rPr>
                <w:color w:val="D0CECE" w:themeColor="background2" w:themeShade="E6"/>
              </w:rPr>
            </w:pPr>
            <w:r w:rsidRPr="007C4B79">
              <w:rPr>
                <w:color w:val="D0CECE" w:themeColor="background2" w:themeShade="E6"/>
              </w:rPr>
              <w:t>—</w:t>
            </w:r>
          </w:p>
        </w:tc>
        <w:tc>
          <w:tcPr>
            <w:tcW w:w="1436" w:type="dxa"/>
            <w:shd w:val="clear" w:color="auto" w:fill="D0CECE" w:themeFill="background2" w:themeFillShade="E6"/>
            <w:noWrap/>
            <w:tcMar>
              <w:top w:w="0" w:type="dxa"/>
              <w:left w:w="108" w:type="dxa"/>
              <w:bottom w:w="0" w:type="dxa"/>
              <w:right w:w="108" w:type="dxa"/>
            </w:tcMar>
            <w:vAlign w:val="bottom"/>
          </w:tcPr>
          <w:p w14:paraId="6546A2A9" w14:textId="1FAE8CE0" w:rsidR="00F9330E" w:rsidRPr="007C4B79" w:rsidRDefault="00F9330E" w:rsidP="00F9330E">
            <w:pPr>
              <w:pStyle w:val="TableText"/>
              <w:jc w:val="right"/>
              <w:rPr>
                <w:color w:val="D0CECE" w:themeColor="background2" w:themeShade="E6"/>
              </w:rPr>
            </w:pPr>
            <w:r w:rsidRPr="007C4B79">
              <w:rPr>
                <w:color w:val="D0CECE" w:themeColor="background2" w:themeShade="E6"/>
              </w:rPr>
              <w:t>—</w:t>
            </w:r>
          </w:p>
        </w:tc>
      </w:tr>
      <w:tr w:rsidR="001023FE" w:rsidRPr="007C4B79" w14:paraId="2C781B98" w14:textId="77777777" w:rsidTr="007C4B79">
        <w:trPr>
          <w:trHeight w:val="300"/>
        </w:trPr>
        <w:tc>
          <w:tcPr>
            <w:tcW w:w="1480" w:type="dxa"/>
            <w:shd w:val="clear" w:color="auto" w:fill="D0CECE" w:themeFill="background2" w:themeFillShade="E6"/>
            <w:noWrap/>
            <w:tcMar>
              <w:top w:w="0" w:type="dxa"/>
              <w:left w:w="108" w:type="dxa"/>
              <w:bottom w:w="0" w:type="dxa"/>
              <w:right w:w="108" w:type="dxa"/>
            </w:tcMar>
            <w:vAlign w:val="bottom"/>
            <w:hideMark/>
          </w:tcPr>
          <w:p w14:paraId="6679B76A" w14:textId="77777777" w:rsidR="001023FE" w:rsidRPr="007C4B79" w:rsidRDefault="001023FE" w:rsidP="00D17231">
            <w:pPr>
              <w:pStyle w:val="TableText"/>
              <w:rPr>
                <w:color w:val="000000"/>
              </w:rPr>
            </w:pPr>
            <w:r w:rsidRPr="007C4B79">
              <w:rPr>
                <w:color w:val="000000"/>
              </w:rPr>
              <w:t>0</w:t>
            </w:r>
          </w:p>
        </w:tc>
        <w:tc>
          <w:tcPr>
            <w:tcW w:w="1436" w:type="dxa"/>
            <w:shd w:val="clear" w:color="auto" w:fill="D0CECE" w:themeFill="background2" w:themeFillShade="E6"/>
            <w:noWrap/>
            <w:tcMar>
              <w:top w:w="0" w:type="dxa"/>
              <w:left w:w="108" w:type="dxa"/>
              <w:bottom w:w="0" w:type="dxa"/>
              <w:right w:w="108" w:type="dxa"/>
            </w:tcMar>
            <w:vAlign w:val="bottom"/>
            <w:hideMark/>
          </w:tcPr>
          <w:p w14:paraId="667E5DA2" w14:textId="011758CD" w:rsidR="001023FE" w:rsidRPr="007C4B79" w:rsidRDefault="001023FE" w:rsidP="007C4B79">
            <w:pPr>
              <w:pStyle w:val="TableText"/>
              <w:jc w:val="right"/>
              <w:rPr>
                <w:color w:val="000000"/>
              </w:rPr>
            </w:pPr>
            <w:r w:rsidRPr="007C4B79">
              <w:rPr>
                <w:color w:val="000000"/>
              </w:rPr>
              <w:t>4</w:t>
            </w:r>
            <w:r w:rsidR="00A6233A" w:rsidRPr="007C4B79">
              <w:rPr>
                <w:color w:val="000000"/>
              </w:rPr>
              <w:t>,</w:t>
            </w:r>
            <w:r w:rsidRPr="007C4B79">
              <w:rPr>
                <w:color w:val="000000"/>
              </w:rPr>
              <w:t>067</w:t>
            </w:r>
          </w:p>
        </w:tc>
        <w:tc>
          <w:tcPr>
            <w:tcW w:w="1436" w:type="dxa"/>
            <w:shd w:val="clear" w:color="auto" w:fill="D0CECE" w:themeFill="background2" w:themeFillShade="E6"/>
            <w:noWrap/>
            <w:tcMar>
              <w:top w:w="0" w:type="dxa"/>
              <w:left w:w="108" w:type="dxa"/>
              <w:bottom w:w="0" w:type="dxa"/>
              <w:right w:w="108" w:type="dxa"/>
            </w:tcMar>
            <w:vAlign w:val="bottom"/>
            <w:hideMark/>
          </w:tcPr>
          <w:p w14:paraId="18DB00EC" w14:textId="77777777" w:rsidR="001023FE" w:rsidRPr="007C4B79" w:rsidRDefault="001023FE" w:rsidP="007C4B79">
            <w:pPr>
              <w:pStyle w:val="TableText"/>
              <w:jc w:val="right"/>
              <w:rPr>
                <w:color w:val="000000"/>
              </w:rPr>
            </w:pPr>
            <w:r w:rsidRPr="007C4B79">
              <w:rPr>
                <w:color w:val="000000"/>
              </w:rPr>
              <w:t>66.2</w:t>
            </w:r>
          </w:p>
        </w:tc>
        <w:tc>
          <w:tcPr>
            <w:tcW w:w="1436" w:type="dxa"/>
            <w:shd w:val="clear" w:color="auto" w:fill="D0CECE" w:themeFill="background2" w:themeFillShade="E6"/>
            <w:noWrap/>
            <w:tcMar>
              <w:top w:w="0" w:type="dxa"/>
              <w:left w:w="108" w:type="dxa"/>
              <w:bottom w:w="0" w:type="dxa"/>
              <w:right w:w="108" w:type="dxa"/>
            </w:tcMar>
            <w:vAlign w:val="bottom"/>
            <w:hideMark/>
          </w:tcPr>
          <w:p w14:paraId="24BF14E2" w14:textId="2B2532F4" w:rsidR="001023FE" w:rsidRPr="007C4B79" w:rsidRDefault="001023FE" w:rsidP="007C4B79">
            <w:pPr>
              <w:pStyle w:val="TableText"/>
              <w:jc w:val="right"/>
              <w:rPr>
                <w:color w:val="000000"/>
              </w:rPr>
            </w:pPr>
            <w:r w:rsidRPr="007C4B79">
              <w:rPr>
                <w:color w:val="000000"/>
              </w:rPr>
              <w:t>4</w:t>
            </w:r>
            <w:r w:rsidR="00A6233A" w:rsidRPr="007C4B79">
              <w:rPr>
                <w:color w:val="000000"/>
              </w:rPr>
              <w:t>,</w:t>
            </w:r>
            <w:r w:rsidRPr="007C4B79">
              <w:rPr>
                <w:color w:val="000000"/>
              </w:rPr>
              <w:t>169</w:t>
            </w:r>
          </w:p>
        </w:tc>
        <w:tc>
          <w:tcPr>
            <w:tcW w:w="1436" w:type="dxa"/>
            <w:shd w:val="clear" w:color="auto" w:fill="D0CECE" w:themeFill="background2" w:themeFillShade="E6"/>
            <w:noWrap/>
            <w:tcMar>
              <w:top w:w="0" w:type="dxa"/>
              <w:left w:w="108" w:type="dxa"/>
              <w:bottom w:w="0" w:type="dxa"/>
              <w:right w:w="108" w:type="dxa"/>
            </w:tcMar>
            <w:vAlign w:val="bottom"/>
            <w:hideMark/>
          </w:tcPr>
          <w:p w14:paraId="5190EFF4" w14:textId="77777777" w:rsidR="001023FE" w:rsidRPr="007C4B79" w:rsidRDefault="001023FE" w:rsidP="007C4B79">
            <w:pPr>
              <w:pStyle w:val="TableText"/>
              <w:jc w:val="right"/>
              <w:rPr>
                <w:color w:val="000000"/>
              </w:rPr>
            </w:pPr>
            <w:r w:rsidRPr="007C4B79">
              <w:rPr>
                <w:color w:val="000000"/>
              </w:rPr>
              <w:t>67.8</w:t>
            </w:r>
          </w:p>
        </w:tc>
        <w:tc>
          <w:tcPr>
            <w:tcW w:w="1436" w:type="dxa"/>
            <w:shd w:val="clear" w:color="auto" w:fill="D0CECE" w:themeFill="background2" w:themeFillShade="E6"/>
            <w:noWrap/>
            <w:tcMar>
              <w:top w:w="0" w:type="dxa"/>
              <w:left w:w="108" w:type="dxa"/>
              <w:bottom w:w="0" w:type="dxa"/>
              <w:right w:w="108" w:type="dxa"/>
            </w:tcMar>
            <w:vAlign w:val="bottom"/>
            <w:hideMark/>
          </w:tcPr>
          <w:p w14:paraId="405232EA" w14:textId="77777777" w:rsidR="001023FE" w:rsidRPr="007C4B79" w:rsidRDefault="001023FE" w:rsidP="007C4B79">
            <w:pPr>
              <w:pStyle w:val="TableText"/>
              <w:jc w:val="right"/>
              <w:rPr>
                <w:color w:val="000000"/>
              </w:rPr>
            </w:pPr>
            <w:r w:rsidRPr="007C4B79">
              <w:rPr>
                <w:color w:val="000000"/>
              </w:rPr>
              <w:t>-1.6</w:t>
            </w:r>
          </w:p>
        </w:tc>
      </w:tr>
      <w:tr w:rsidR="001023FE" w:rsidRPr="00F71A22" w14:paraId="25DA0582" w14:textId="77777777" w:rsidTr="007C4B79">
        <w:trPr>
          <w:trHeight w:val="300"/>
        </w:trPr>
        <w:tc>
          <w:tcPr>
            <w:tcW w:w="1480" w:type="dxa"/>
            <w:shd w:val="clear" w:color="auto" w:fill="D0CECE" w:themeFill="background2" w:themeFillShade="E6"/>
            <w:noWrap/>
            <w:tcMar>
              <w:top w:w="0" w:type="dxa"/>
              <w:left w:w="108" w:type="dxa"/>
              <w:bottom w:w="0" w:type="dxa"/>
              <w:right w:w="108" w:type="dxa"/>
            </w:tcMar>
            <w:vAlign w:val="bottom"/>
            <w:hideMark/>
          </w:tcPr>
          <w:p w14:paraId="16C74EDE" w14:textId="77777777" w:rsidR="001023FE" w:rsidRPr="00F71A22" w:rsidRDefault="001023FE" w:rsidP="00D17231">
            <w:pPr>
              <w:pStyle w:val="TableText"/>
              <w:rPr>
                <w:color w:val="000000"/>
              </w:rPr>
            </w:pPr>
            <w:r w:rsidRPr="00F71A22">
              <w:rPr>
                <w:color w:val="000000"/>
              </w:rPr>
              <w:t>1</w:t>
            </w:r>
          </w:p>
        </w:tc>
        <w:tc>
          <w:tcPr>
            <w:tcW w:w="1436" w:type="dxa"/>
            <w:shd w:val="clear" w:color="auto" w:fill="D0CECE" w:themeFill="background2" w:themeFillShade="E6"/>
            <w:noWrap/>
            <w:tcMar>
              <w:top w:w="0" w:type="dxa"/>
              <w:left w:w="108" w:type="dxa"/>
              <w:bottom w:w="0" w:type="dxa"/>
              <w:right w:w="108" w:type="dxa"/>
            </w:tcMar>
            <w:vAlign w:val="bottom"/>
            <w:hideMark/>
          </w:tcPr>
          <w:p w14:paraId="77295A69" w14:textId="77B663F2" w:rsidR="001023FE" w:rsidRPr="00F71A22" w:rsidRDefault="001023FE" w:rsidP="00D17231">
            <w:pPr>
              <w:pStyle w:val="TableText"/>
              <w:jc w:val="right"/>
              <w:rPr>
                <w:color w:val="000000"/>
              </w:rPr>
            </w:pPr>
            <w:r w:rsidRPr="00F71A22">
              <w:rPr>
                <w:color w:val="000000"/>
              </w:rPr>
              <w:t>1</w:t>
            </w:r>
            <w:r w:rsidR="00A6233A">
              <w:rPr>
                <w:color w:val="000000"/>
              </w:rPr>
              <w:t>,</w:t>
            </w:r>
            <w:r w:rsidRPr="00F71A22">
              <w:rPr>
                <w:color w:val="000000"/>
              </w:rPr>
              <w:t>651</w:t>
            </w:r>
          </w:p>
        </w:tc>
        <w:tc>
          <w:tcPr>
            <w:tcW w:w="1436" w:type="dxa"/>
            <w:shd w:val="clear" w:color="auto" w:fill="D0CECE" w:themeFill="background2" w:themeFillShade="E6"/>
            <w:noWrap/>
            <w:tcMar>
              <w:top w:w="0" w:type="dxa"/>
              <w:left w:w="108" w:type="dxa"/>
              <w:bottom w:w="0" w:type="dxa"/>
              <w:right w:w="108" w:type="dxa"/>
            </w:tcMar>
            <w:vAlign w:val="bottom"/>
            <w:hideMark/>
          </w:tcPr>
          <w:p w14:paraId="087E5E17" w14:textId="77777777" w:rsidR="001023FE" w:rsidRPr="00F71A22" w:rsidRDefault="001023FE" w:rsidP="00D17231">
            <w:pPr>
              <w:pStyle w:val="TableText"/>
              <w:jc w:val="right"/>
              <w:rPr>
                <w:color w:val="000000"/>
              </w:rPr>
            </w:pPr>
            <w:r w:rsidRPr="00F71A22">
              <w:rPr>
                <w:color w:val="000000"/>
              </w:rPr>
              <w:t>26.9</w:t>
            </w:r>
          </w:p>
        </w:tc>
        <w:tc>
          <w:tcPr>
            <w:tcW w:w="1436" w:type="dxa"/>
            <w:shd w:val="clear" w:color="auto" w:fill="D0CECE" w:themeFill="background2" w:themeFillShade="E6"/>
            <w:noWrap/>
            <w:tcMar>
              <w:top w:w="0" w:type="dxa"/>
              <w:left w:w="108" w:type="dxa"/>
              <w:bottom w:w="0" w:type="dxa"/>
              <w:right w:w="108" w:type="dxa"/>
            </w:tcMar>
            <w:vAlign w:val="bottom"/>
            <w:hideMark/>
          </w:tcPr>
          <w:p w14:paraId="72EC5A37" w14:textId="4D207935" w:rsidR="001023FE" w:rsidRPr="00F71A22" w:rsidRDefault="001023FE" w:rsidP="00D17231">
            <w:pPr>
              <w:pStyle w:val="TableText"/>
              <w:jc w:val="right"/>
              <w:rPr>
                <w:color w:val="000000"/>
              </w:rPr>
            </w:pPr>
            <w:r w:rsidRPr="00F71A22">
              <w:rPr>
                <w:color w:val="000000"/>
              </w:rPr>
              <w:t>1</w:t>
            </w:r>
            <w:r w:rsidR="00A6233A">
              <w:rPr>
                <w:color w:val="000000"/>
              </w:rPr>
              <w:t>,</w:t>
            </w:r>
            <w:r w:rsidRPr="00F71A22">
              <w:rPr>
                <w:color w:val="000000"/>
              </w:rPr>
              <w:t>552</w:t>
            </w:r>
          </w:p>
        </w:tc>
        <w:tc>
          <w:tcPr>
            <w:tcW w:w="1436" w:type="dxa"/>
            <w:shd w:val="clear" w:color="auto" w:fill="D0CECE" w:themeFill="background2" w:themeFillShade="E6"/>
            <w:noWrap/>
            <w:tcMar>
              <w:top w:w="0" w:type="dxa"/>
              <w:left w:w="108" w:type="dxa"/>
              <w:bottom w:w="0" w:type="dxa"/>
              <w:right w:w="108" w:type="dxa"/>
            </w:tcMar>
            <w:vAlign w:val="bottom"/>
            <w:hideMark/>
          </w:tcPr>
          <w:p w14:paraId="704DE338" w14:textId="77777777" w:rsidR="001023FE" w:rsidRPr="00F71A22" w:rsidRDefault="001023FE" w:rsidP="00D17231">
            <w:pPr>
              <w:pStyle w:val="TableText"/>
              <w:jc w:val="right"/>
              <w:rPr>
                <w:color w:val="000000"/>
              </w:rPr>
            </w:pPr>
            <w:r w:rsidRPr="00F71A22">
              <w:rPr>
                <w:color w:val="000000"/>
              </w:rPr>
              <w:t>25.3</w:t>
            </w:r>
          </w:p>
        </w:tc>
        <w:tc>
          <w:tcPr>
            <w:tcW w:w="1436" w:type="dxa"/>
            <w:shd w:val="clear" w:color="auto" w:fill="D0CECE" w:themeFill="background2" w:themeFillShade="E6"/>
            <w:noWrap/>
            <w:tcMar>
              <w:top w:w="0" w:type="dxa"/>
              <w:left w:w="108" w:type="dxa"/>
              <w:bottom w:w="0" w:type="dxa"/>
              <w:right w:w="108" w:type="dxa"/>
            </w:tcMar>
            <w:vAlign w:val="bottom"/>
            <w:hideMark/>
          </w:tcPr>
          <w:p w14:paraId="7712C344" w14:textId="77777777" w:rsidR="001023FE" w:rsidRPr="00F71A22" w:rsidRDefault="001023FE" w:rsidP="00D17231">
            <w:pPr>
              <w:pStyle w:val="TableText"/>
              <w:jc w:val="right"/>
              <w:rPr>
                <w:color w:val="000000"/>
              </w:rPr>
            </w:pPr>
            <w:r w:rsidRPr="00F71A22">
              <w:rPr>
                <w:color w:val="000000"/>
              </w:rPr>
              <w:t>1.6</w:t>
            </w:r>
          </w:p>
        </w:tc>
      </w:tr>
      <w:tr w:rsidR="001023FE" w:rsidRPr="00F71A22" w14:paraId="72628E0D" w14:textId="77777777" w:rsidTr="007C4B79">
        <w:trPr>
          <w:trHeight w:val="300"/>
        </w:trPr>
        <w:tc>
          <w:tcPr>
            <w:tcW w:w="1480" w:type="dxa"/>
            <w:shd w:val="clear" w:color="auto" w:fill="D0CECE" w:themeFill="background2" w:themeFillShade="E6"/>
            <w:noWrap/>
            <w:tcMar>
              <w:top w:w="0" w:type="dxa"/>
              <w:left w:w="108" w:type="dxa"/>
              <w:bottom w:w="0" w:type="dxa"/>
              <w:right w:w="108" w:type="dxa"/>
            </w:tcMar>
            <w:vAlign w:val="bottom"/>
            <w:hideMark/>
          </w:tcPr>
          <w:p w14:paraId="3812252B" w14:textId="77777777" w:rsidR="001023FE" w:rsidRPr="00F71A22" w:rsidRDefault="001023FE" w:rsidP="00D17231">
            <w:pPr>
              <w:pStyle w:val="TableText"/>
              <w:rPr>
                <w:color w:val="000000"/>
              </w:rPr>
            </w:pPr>
            <w:r w:rsidRPr="00F71A22">
              <w:rPr>
                <w:color w:val="000000"/>
              </w:rPr>
              <w:t>2</w:t>
            </w:r>
          </w:p>
        </w:tc>
        <w:tc>
          <w:tcPr>
            <w:tcW w:w="1436" w:type="dxa"/>
            <w:shd w:val="clear" w:color="auto" w:fill="D0CECE" w:themeFill="background2" w:themeFillShade="E6"/>
            <w:noWrap/>
            <w:tcMar>
              <w:top w:w="0" w:type="dxa"/>
              <w:left w:w="108" w:type="dxa"/>
              <w:bottom w:w="0" w:type="dxa"/>
              <w:right w:w="108" w:type="dxa"/>
            </w:tcMar>
            <w:vAlign w:val="bottom"/>
            <w:hideMark/>
          </w:tcPr>
          <w:p w14:paraId="2B28AD67" w14:textId="77777777" w:rsidR="001023FE" w:rsidRPr="00F71A22" w:rsidRDefault="001023FE" w:rsidP="00D17231">
            <w:pPr>
              <w:pStyle w:val="TableText"/>
              <w:jc w:val="right"/>
              <w:rPr>
                <w:color w:val="000000"/>
              </w:rPr>
            </w:pPr>
            <w:r w:rsidRPr="00F71A22">
              <w:rPr>
                <w:color w:val="000000"/>
              </w:rPr>
              <w:t>429</w:t>
            </w:r>
          </w:p>
        </w:tc>
        <w:tc>
          <w:tcPr>
            <w:tcW w:w="1436" w:type="dxa"/>
            <w:shd w:val="clear" w:color="auto" w:fill="D0CECE" w:themeFill="background2" w:themeFillShade="E6"/>
            <w:noWrap/>
            <w:tcMar>
              <w:top w:w="0" w:type="dxa"/>
              <w:left w:w="108" w:type="dxa"/>
              <w:bottom w:w="0" w:type="dxa"/>
              <w:right w:w="108" w:type="dxa"/>
            </w:tcMar>
            <w:vAlign w:val="bottom"/>
            <w:hideMark/>
          </w:tcPr>
          <w:p w14:paraId="52910688" w14:textId="77777777" w:rsidR="001023FE" w:rsidRPr="00F71A22" w:rsidRDefault="001023FE" w:rsidP="00D17231">
            <w:pPr>
              <w:pStyle w:val="TableText"/>
              <w:jc w:val="right"/>
              <w:rPr>
                <w:color w:val="000000"/>
              </w:rPr>
            </w:pPr>
            <w:r w:rsidRPr="00F71A22">
              <w:rPr>
                <w:color w:val="000000"/>
              </w:rPr>
              <w:t>7.0</w:t>
            </w:r>
          </w:p>
        </w:tc>
        <w:tc>
          <w:tcPr>
            <w:tcW w:w="1436" w:type="dxa"/>
            <w:shd w:val="clear" w:color="auto" w:fill="D0CECE" w:themeFill="background2" w:themeFillShade="E6"/>
            <w:noWrap/>
            <w:tcMar>
              <w:top w:w="0" w:type="dxa"/>
              <w:left w:w="108" w:type="dxa"/>
              <w:bottom w:w="0" w:type="dxa"/>
              <w:right w:w="108" w:type="dxa"/>
            </w:tcMar>
            <w:vAlign w:val="bottom"/>
            <w:hideMark/>
          </w:tcPr>
          <w:p w14:paraId="20B47F80" w14:textId="77777777" w:rsidR="001023FE" w:rsidRPr="00F71A22" w:rsidRDefault="001023FE" w:rsidP="00D17231">
            <w:pPr>
              <w:pStyle w:val="TableText"/>
              <w:jc w:val="right"/>
              <w:rPr>
                <w:color w:val="000000"/>
              </w:rPr>
            </w:pPr>
            <w:r w:rsidRPr="00F71A22">
              <w:rPr>
                <w:color w:val="000000"/>
              </w:rPr>
              <w:t>426</w:t>
            </w:r>
          </w:p>
        </w:tc>
        <w:tc>
          <w:tcPr>
            <w:tcW w:w="1436" w:type="dxa"/>
            <w:shd w:val="clear" w:color="auto" w:fill="D0CECE" w:themeFill="background2" w:themeFillShade="E6"/>
            <w:noWrap/>
            <w:tcMar>
              <w:top w:w="0" w:type="dxa"/>
              <w:left w:w="108" w:type="dxa"/>
              <w:bottom w:w="0" w:type="dxa"/>
              <w:right w:w="108" w:type="dxa"/>
            </w:tcMar>
            <w:vAlign w:val="bottom"/>
            <w:hideMark/>
          </w:tcPr>
          <w:p w14:paraId="478C2126" w14:textId="77777777" w:rsidR="001023FE" w:rsidRPr="00F71A22" w:rsidRDefault="001023FE" w:rsidP="00D17231">
            <w:pPr>
              <w:pStyle w:val="TableText"/>
              <w:jc w:val="right"/>
              <w:rPr>
                <w:color w:val="000000"/>
              </w:rPr>
            </w:pPr>
            <w:r w:rsidRPr="00F71A22">
              <w:rPr>
                <w:color w:val="000000"/>
              </w:rPr>
              <w:t>6.9</w:t>
            </w:r>
          </w:p>
        </w:tc>
        <w:tc>
          <w:tcPr>
            <w:tcW w:w="1436" w:type="dxa"/>
            <w:shd w:val="clear" w:color="auto" w:fill="D0CECE" w:themeFill="background2" w:themeFillShade="E6"/>
            <w:noWrap/>
            <w:tcMar>
              <w:top w:w="0" w:type="dxa"/>
              <w:left w:w="108" w:type="dxa"/>
              <w:bottom w:w="0" w:type="dxa"/>
              <w:right w:w="108" w:type="dxa"/>
            </w:tcMar>
            <w:vAlign w:val="bottom"/>
            <w:hideMark/>
          </w:tcPr>
          <w:p w14:paraId="65E08BDD" w14:textId="77777777" w:rsidR="001023FE" w:rsidRPr="00F71A22" w:rsidRDefault="001023FE" w:rsidP="00D17231">
            <w:pPr>
              <w:pStyle w:val="TableText"/>
              <w:jc w:val="right"/>
              <w:rPr>
                <w:color w:val="000000"/>
              </w:rPr>
            </w:pPr>
            <w:r w:rsidRPr="00F71A22">
              <w:rPr>
                <w:color w:val="000000"/>
              </w:rPr>
              <w:t>0.1</w:t>
            </w:r>
          </w:p>
        </w:tc>
      </w:tr>
      <w:tr w:rsidR="00F9330E" w:rsidRPr="00F71A22" w14:paraId="32E3F87A" w14:textId="77777777" w:rsidTr="00D17231">
        <w:trPr>
          <w:trHeight w:val="300"/>
        </w:trPr>
        <w:tc>
          <w:tcPr>
            <w:tcW w:w="1480" w:type="dxa"/>
            <w:noWrap/>
            <w:tcMar>
              <w:top w:w="0" w:type="dxa"/>
              <w:left w:w="108" w:type="dxa"/>
              <w:bottom w:w="0" w:type="dxa"/>
              <w:right w:w="108" w:type="dxa"/>
            </w:tcMar>
            <w:vAlign w:val="bottom"/>
          </w:tcPr>
          <w:p w14:paraId="5A347110" w14:textId="3A39B99E" w:rsidR="00F9330E" w:rsidRPr="00F71A22" w:rsidRDefault="00F9330E" w:rsidP="00F9330E">
            <w:pPr>
              <w:pStyle w:val="TableText"/>
              <w:rPr>
                <w:color w:val="000000"/>
              </w:rPr>
            </w:pPr>
            <w:r w:rsidRPr="00F71A22">
              <w:rPr>
                <w:i/>
                <w:iCs/>
                <w:color w:val="000000"/>
              </w:rPr>
              <w:t>Commenced from April 2019 to June 2019</w:t>
            </w:r>
          </w:p>
        </w:tc>
        <w:tc>
          <w:tcPr>
            <w:tcW w:w="1436" w:type="dxa"/>
            <w:noWrap/>
            <w:tcMar>
              <w:top w:w="0" w:type="dxa"/>
              <w:left w:w="108" w:type="dxa"/>
              <w:bottom w:w="0" w:type="dxa"/>
              <w:right w:w="108" w:type="dxa"/>
            </w:tcMar>
            <w:vAlign w:val="bottom"/>
          </w:tcPr>
          <w:p w14:paraId="28E248C2" w14:textId="1EF9E3A2" w:rsidR="00F9330E" w:rsidRPr="00F71A22" w:rsidRDefault="00F9330E" w:rsidP="00F9330E">
            <w:pPr>
              <w:pStyle w:val="TableText"/>
              <w:jc w:val="right"/>
              <w:rPr>
                <w:color w:val="000000"/>
              </w:rPr>
            </w:pPr>
            <w:r w:rsidRPr="0051366F">
              <w:rPr>
                <w:color w:val="FFFFFF" w:themeColor="background1"/>
              </w:rPr>
              <w:t>—</w:t>
            </w:r>
          </w:p>
        </w:tc>
        <w:tc>
          <w:tcPr>
            <w:tcW w:w="1436" w:type="dxa"/>
            <w:noWrap/>
            <w:tcMar>
              <w:top w:w="0" w:type="dxa"/>
              <w:left w:w="108" w:type="dxa"/>
              <w:bottom w:w="0" w:type="dxa"/>
              <w:right w:w="108" w:type="dxa"/>
            </w:tcMar>
            <w:vAlign w:val="bottom"/>
          </w:tcPr>
          <w:p w14:paraId="0C0DFB11" w14:textId="739E6D94" w:rsidR="00F9330E" w:rsidRPr="00F71A22" w:rsidRDefault="00F9330E" w:rsidP="00F9330E">
            <w:pPr>
              <w:pStyle w:val="TableText"/>
              <w:jc w:val="right"/>
              <w:rPr>
                <w:color w:val="000000"/>
              </w:rPr>
            </w:pPr>
            <w:r w:rsidRPr="0051366F">
              <w:rPr>
                <w:color w:val="FFFFFF" w:themeColor="background1"/>
              </w:rPr>
              <w:t>—</w:t>
            </w:r>
          </w:p>
        </w:tc>
        <w:tc>
          <w:tcPr>
            <w:tcW w:w="1436" w:type="dxa"/>
            <w:noWrap/>
            <w:tcMar>
              <w:top w:w="0" w:type="dxa"/>
              <w:left w:w="108" w:type="dxa"/>
              <w:bottom w:w="0" w:type="dxa"/>
              <w:right w:w="108" w:type="dxa"/>
            </w:tcMar>
            <w:vAlign w:val="bottom"/>
          </w:tcPr>
          <w:p w14:paraId="0F6584AF" w14:textId="1FDEBBA8" w:rsidR="00F9330E" w:rsidRPr="00F71A22" w:rsidRDefault="00F9330E" w:rsidP="00F9330E">
            <w:pPr>
              <w:pStyle w:val="TableText"/>
              <w:jc w:val="right"/>
              <w:rPr>
                <w:color w:val="000000"/>
              </w:rPr>
            </w:pPr>
            <w:r w:rsidRPr="0051366F">
              <w:rPr>
                <w:color w:val="FFFFFF" w:themeColor="background1"/>
              </w:rPr>
              <w:t>—</w:t>
            </w:r>
          </w:p>
        </w:tc>
        <w:tc>
          <w:tcPr>
            <w:tcW w:w="1436" w:type="dxa"/>
            <w:noWrap/>
            <w:tcMar>
              <w:top w:w="0" w:type="dxa"/>
              <w:left w:w="108" w:type="dxa"/>
              <w:bottom w:w="0" w:type="dxa"/>
              <w:right w:w="108" w:type="dxa"/>
            </w:tcMar>
            <w:vAlign w:val="bottom"/>
          </w:tcPr>
          <w:p w14:paraId="449FE851" w14:textId="3ED1DD4B" w:rsidR="00F9330E" w:rsidRPr="00F71A22" w:rsidRDefault="00F9330E" w:rsidP="00F9330E">
            <w:pPr>
              <w:pStyle w:val="TableText"/>
              <w:jc w:val="right"/>
              <w:rPr>
                <w:color w:val="000000"/>
              </w:rPr>
            </w:pPr>
            <w:r w:rsidRPr="0051366F">
              <w:rPr>
                <w:color w:val="FFFFFF" w:themeColor="background1"/>
              </w:rPr>
              <w:t>—</w:t>
            </w:r>
          </w:p>
        </w:tc>
        <w:tc>
          <w:tcPr>
            <w:tcW w:w="1436" w:type="dxa"/>
            <w:noWrap/>
            <w:tcMar>
              <w:top w:w="0" w:type="dxa"/>
              <w:left w:w="108" w:type="dxa"/>
              <w:bottom w:w="0" w:type="dxa"/>
              <w:right w:w="108" w:type="dxa"/>
            </w:tcMar>
            <w:vAlign w:val="bottom"/>
          </w:tcPr>
          <w:p w14:paraId="45A054DA" w14:textId="1423681B" w:rsidR="00F9330E" w:rsidRPr="00F71A22" w:rsidRDefault="00F9330E" w:rsidP="00F9330E">
            <w:pPr>
              <w:pStyle w:val="TableText"/>
              <w:jc w:val="right"/>
              <w:rPr>
                <w:color w:val="000000"/>
              </w:rPr>
            </w:pPr>
            <w:r w:rsidRPr="0051366F">
              <w:rPr>
                <w:color w:val="FFFFFF" w:themeColor="background1"/>
              </w:rPr>
              <w:t>—</w:t>
            </w:r>
          </w:p>
        </w:tc>
      </w:tr>
      <w:tr w:rsidR="001023FE" w:rsidRPr="00F71A22" w14:paraId="113EF710" w14:textId="77777777" w:rsidTr="00D17231">
        <w:trPr>
          <w:trHeight w:val="300"/>
        </w:trPr>
        <w:tc>
          <w:tcPr>
            <w:tcW w:w="1480" w:type="dxa"/>
            <w:noWrap/>
            <w:tcMar>
              <w:top w:w="0" w:type="dxa"/>
              <w:left w:w="108" w:type="dxa"/>
              <w:bottom w:w="0" w:type="dxa"/>
              <w:right w:w="108" w:type="dxa"/>
            </w:tcMar>
            <w:vAlign w:val="bottom"/>
            <w:hideMark/>
          </w:tcPr>
          <w:p w14:paraId="1FC26D46" w14:textId="77777777" w:rsidR="001023FE" w:rsidRPr="00F71A22" w:rsidRDefault="001023FE" w:rsidP="00D17231">
            <w:pPr>
              <w:pStyle w:val="TableText"/>
              <w:rPr>
                <w:rFonts w:ascii="Calibri" w:hAnsi="Calibri" w:cs="Calibri"/>
                <w:color w:val="000000"/>
              </w:rPr>
            </w:pPr>
            <w:r w:rsidRPr="00F71A22">
              <w:rPr>
                <w:color w:val="000000"/>
              </w:rPr>
              <w:t>0</w:t>
            </w:r>
          </w:p>
        </w:tc>
        <w:tc>
          <w:tcPr>
            <w:tcW w:w="1436" w:type="dxa"/>
            <w:noWrap/>
            <w:tcMar>
              <w:top w:w="0" w:type="dxa"/>
              <w:left w:w="108" w:type="dxa"/>
              <w:bottom w:w="0" w:type="dxa"/>
              <w:right w:w="108" w:type="dxa"/>
            </w:tcMar>
            <w:vAlign w:val="bottom"/>
            <w:hideMark/>
          </w:tcPr>
          <w:p w14:paraId="00E6DEBD" w14:textId="71D6B36D" w:rsidR="001023FE" w:rsidRPr="00F71A22" w:rsidRDefault="001023FE" w:rsidP="00D17231">
            <w:pPr>
              <w:pStyle w:val="TableText"/>
              <w:jc w:val="right"/>
              <w:rPr>
                <w:color w:val="000000"/>
              </w:rPr>
            </w:pPr>
            <w:r w:rsidRPr="00F71A22">
              <w:rPr>
                <w:color w:val="000000"/>
              </w:rPr>
              <w:t>2</w:t>
            </w:r>
            <w:r w:rsidR="00A6233A">
              <w:rPr>
                <w:color w:val="000000"/>
              </w:rPr>
              <w:t>,</w:t>
            </w:r>
            <w:r w:rsidRPr="00F71A22">
              <w:rPr>
                <w:color w:val="000000"/>
              </w:rPr>
              <w:t>648</w:t>
            </w:r>
          </w:p>
        </w:tc>
        <w:tc>
          <w:tcPr>
            <w:tcW w:w="1436" w:type="dxa"/>
            <w:noWrap/>
            <w:tcMar>
              <w:top w:w="0" w:type="dxa"/>
              <w:left w:w="108" w:type="dxa"/>
              <w:bottom w:w="0" w:type="dxa"/>
              <w:right w:w="108" w:type="dxa"/>
            </w:tcMar>
            <w:vAlign w:val="bottom"/>
            <w:hideMark/>
          </w:tcPr>
          <w:p w14:paraId="33FBB700" w14:textId="77777777" w:rsidR="001023FE" w:rsidRPr="00F71A22" w:rsidRDefault="001023FE" w:rsidP="00D17231">
            <w:pPr>
              <w:pStyle w:val="TableText"/>
              <w:jc w:val="right"/>
              <w:rPr>
                <w:color w:val="000000"/>
              </w:rPr>
            </w:pPr>
            <w:r w:rsidRPr="00F71A22">
              <w:rPr>
                <w:color w:val="000000"/>
              </w:rPr>
              <w:t>80.0</w:t>
            </w:r>
          </w:p>
        </w:tc>
        <w:tc>
          <w:tcPr>
            <w:tcW w:w="1436" w:type="dxa"/>
            <w:noWrap/>
            <w:tcMar>
              <w:top w:w="0" w:type="dxa"/>
              <w:left w:w="108" w:type="dxa"/>
              <w:bottom w:w="0" w:type="dxa"/>
              <w:right w:w="108" w:type="dxa"/>
            </w:tcMar>
            <w:vAlign w:val="bottom"/>
            <w:hideMark/>
          </w:tcPr>
          <w:p w14:paraId="5AA859A2" w14:textId="77777777" w:rsidR="001023FE" w:rsidRPr="00F71A22" w:rsidRDefault="001023FE" w:rsidP="00D17231">
            <w:pPr>
              <w:pStyle w:val="TableText"/>
              <w:jc w:val="right"/>
              <w:rPr>
                <w:color w:val="000000"/>
              </w:rPr>
            </w:pPr>
            <w:r w:rsidRPr="00F71A22">
              <w:rPr>
                <w:color w:val="000000"/>
              </w:rPr>
              <w:t>2378</w:t>
            </w:r>
          </w:p>
        </w:tc>
        <w:tc>
          <w:tcPr>
            <w:tcW w:w="1436" w:type="dxa"/>
            <w:noWrap/>
            <w:tcMar>
              <w:top w:w="0" w:type="dxa"/>
              <w:left w:w="108" w:type="dxa"/>
              <w:bottom w:w="0" w:type="dxa"/>
              <w:right w:w="108" w:type="dxa"/>
            </w:tcMar>
            <w:vAlign w:val="bottom"/>
            <w:hideMark/>
          </w:tcPr>
          <w:p w14:paraId="07839101" w14:textId="77777777" w:rsidR="001023FE" w:rsidRPr="00F71A22" w:rsidRDefault="001023FE" w:rsidP="00D17231">
            <w:pPr>
              <w:pStyle w:val="TableText"/>
              <w:jc w:val="right"/>
              <w:rPr>
                <w:color w:val="000000"/>
              </w:rPr>
            </w:pPr>
            <w:r w:rsidRPr="00F71A22">
              <w:rPr>
                <w:color w:val="000000"/>
              </w:rPr>
              <w:t>71.8</w:t>
            </w:r>
          </w:p>
        </w:tc>
        <w:tc>
          <w:tcPr>
            <w:tcW w:w="1436" w:type="dxa"/>
            <w:noWrap/>
            <w:tcMar>
              <w:top w:w="0" w:type="dxa"/>
              <w:left w:w="108" w:type="dxa"/>
              <w:bottom w:w="0" w:type="dxa"/>
              <w:right w:w="108" w:type="dxa"/>
            </w:tcMar>
            <w:vAlign w:val="bottom"/>
            <w:hideMark/>
          </w:tcPr>
          <w:p w14:paraId="5D5E99CB" w14:textId="77777777" w:rsidR="001023FE" w:rsidRPr="00F71A22" w:rsidRDefault="001023FE" w:rsidP="00D17231">
            <w:pPr>
              <w:pStyle w:val="TableText"/>
              <w:jc w:val="right"/>
              <w:rPr>
                <w:color w:val="000000"/>
              </w:rPr>
            </w:pPr>
            <w:r w:rsidRPr="00F71A22">
              <w:rPr>
                <w:color w:val="000000"/>
              </w:rPr>
              <w:t>8.2*</w:t>
            </w:r>
          </w:p>
        </w:tc>
      </w:tr>
      <w:tr w:rsidR="001023FE" w:rsidRPr="00F71A22" w14:paraId="65D12B7E" w14:textId="77777777" w:rsidTr="00D17231">
        <w:trPr>
          <w:trHeight w:val="300"/>
        </w:trPr>
        <w:tc>
          <w:tcPr>
            <w:tcW w:w="1480" w:type="dxa"/>
            <w:noWrap/>
            <w:tcMar>
              <w:top w:w="0" w:type="dxa"/>
              <w:left w:w="108" w:type="dxa"/>
              <w:bottom w:w="0" w:type="dxa"/>
              <w:right w:w="108" w:type="dxa"/>
            </w:tcMar>
            <w:vAlign w:val="bottom"/>
            <w:hideMark/>
          </w:tcPr>
          <w:p w14:paraId="3798CD05" w14:textId="77777777" w:rsidR="001023FE" w:rsidRPr="00F71A22" w:rsidRDefault="001023FE" w:rsidP="00D17231">
            <w:pPr>
              <w:pStyle w:val="TableText"/>
              <w:rPr>
                <w:color w:val="000000"/>
              </w:rPr>
            </w:pPr>
            <w:r w:rsidRPr="00F71A22">
              <w:rPr>
                <w:color w:val="000000"/>
              </w:rPr>
              <w:t>1</w:t>
            </w:r>
          </w:p>
        </w:tc>
        <w:tc>
          <w:tcPr>
            <w:tcW w:w="1436" w:type="dxa"/>
            <w:noWrap/>
            <w:tcMar>
              <w:top w:w="0" w:type="dxa"/>
              <w:left w:w="108" w:type="dxa"/>
              <w:bottom w:w="0" w:type="dxa"/>
              <w:right w:w="108" w:type="dxa"/>
            </w:tcMar>
            <w:vAlign w:val="bottom"/>
            <w:hideMark/>
          </w:tcPr>
          <w:p w14:paraId="7BFE1919" w14:textId="77777777" w:rsidR="001023FE" w:rsidRPr="00F71A22" w:rsidRDefault="001023FE" w:rsidP="00D17231">
            <w:pPr>
              <w:pStyle w:val="TableText"/>
              <w:jc w:val="right"/>
              <w:rPr>
                <w:color w:val="000000"/>
              </w:rPr>
            </w:pPr>
            <w:r w:rsidRPr="00F71A22">
              <w:rPr>
                <w:color w:val="000000"/>
              </w:rPr>
              <w:t>551</w:t>
            </w:r>
          </w:p>
        </w:tc>
        <w:tc>
          <w:tcPr>
            <w:tcW w:w="1436" w:type="dxa"/>
            <w:noWrap/>
            <w:tcMar>
              <w:top w:w="0" w:type="dxa"/>
              <w:left w:w="108" w:type="dxa"/>
              <w:bottom w:w="0" w:type="dxa"/>
              <w:right w:w="108" w:type="dxa"/>
            </w:tcMar>
            <w:vAlign w:val="bottom"/>
            <w:hideMark/>
          </w:tcPr>
          <w:p w14:paraId="5E15BD94" w14:textId="77777777" w:rsidR="001023FE" w:rsidRPr="00F71A22" w:rsidRDefault="001023FE" w:rsidP="00D17231">
            <w:pPr>
              <w:pStyle w:val="TableText"/>
              <w:jc w:val="right"/>
              <w:rPr>
                <w:color w:val="000000"/>
              </w:rPr>
            </w:pPr>
            <w:r w:rsidRPr="00F71A22">
              <w:rPr>
                <w:color w:val="000000"/>
              </w:rPr>
              <w:t>16.6</w:t>
            </w:r>
          </w:p>
        </w:tc>
        <w:tc>
          <w:tcPr>
            <w:tcW w:w="1436" w:type="dxa"/>
            <w:noWrap/>
            <w:tcMar>
              <w:top w:w="0" w:type="dxa"/>
              <w:left w:w="108" w:type="dxa"/>
              <w:bottom w:w="0" w:type="dxa"/>
              <w:right w:w="108" w:type="dxa"/>
            </w:tcMar>
            <w:vAlign w:val="bottom"/>
            <w:hideMark/>
          </w:tcPr>
          <w:p w14:paraId="0316CD62" w14:textId="77777777" w:rsidR="001023FE" w:rsidRPr="00F71A22" w:rsidRDefault="001023FE" w:rsidP="00D17231">
            <w:pPr>
              <w:pStyle w:val="TableText"/>
              <w:jc w:val="right"/>
              <w:rPr>
                <w:color w:val="000000"/>
              </w:rPr>
            </w:pPr>
            <w:r w:rsidRPr="00F71A22">
              <w:rPr>
                <w:color w:val="000000"/>
              </w:rPr>
              <w:t>715</w:t>
            </w:r>
          </w:p>
        </w:tc>
        <w:tc>
          <w:tcPr>
            <w:tcW w:w="1436" w:type="dxa"/>
            <w:noWrap/>
            <w:tcMar>
              <w:top w:w="0" w:type="dxa"/>
              <w:left w:w="108" w:type="dxa"/>
              <w:bottom w:w="0" w:type="dxa"/>
              <w:right w:w="108" w:type="dxa"/>
            </w:tcMar>
            <w:vAlign w:val="bottom"/>
            <w:hideMark/>
          </w:tcPr>
          <w:p w14:paraId="1CD1CA52" w14:textId="77777777" w:rsidR="001023FE" w:rsidRPr="00F71A22" w:rsidRDefault="001023FE" w:rsidP="00D17231">
            <w:pPr>
              <w:pStyle w:val="TableText"/>
              <w:jc w:val="right"/>
              <w:rPr>
                <w:color w:val="000000"/>
              </w:rPr>
            </w:pPr>
            <w:r w:rsidRPr="00F71A22">
              <w:rPr>
                <w:color w:val="000000"/>
              </w:rPr>
              <w:t>21.6</w:t>
            </w:r>
          </w:p>
        </w:tc>
        <w:tc>
          <w:tcPr>
            <w:tcW w:w="1436" w:type="dxa"/>
            <w:noWrap/>
            <w:tcMar>
              <w:top w:w="0" w:type="dxa"/>
              <w:left w:w="108" w:type="dxa"/>
              <w:bottom w:w="0" w:type="dxa"/>
              <w:right w:w="108" w:type="dxa"/>
            </w:tcMar>
            <w:vAlign w:val="bottom"/>
            <w:hideMark/>
          </w:tcPr>
          <w:p w14:paraId="374B7B97" w14:textId="77777777" w:rsidR="001023FE" w:rsidRPr="00F71A22" w:rsidRDefault="001023FE" w:rsidP="00D17231">
            <w:pPr>
              <w:pStyle w:val="TableText"/>
              <w:jc w:val="right"/>
              <w:rPr>
                <w:color w:val="000000"/>
              </w:rPr>
            </w:pPr>
            <w:r w:rsidRPr="00F71A22">
              <w:rPr>
                <w:color w:val="000000"/>
              </w:rPr>
              <w:t>-5.0</w:t>
            </w:r>
          </w:p>
        </w:tc>
      </w:tr>
      <w:tr w:rsidR="001023FE" w:rsidRPr="00F71A22" w14:paraId="246EBD2A" w14:textId="77777777" w:rsidTr="00D17231">
        <w:trPr>
          <w:trHeight w:val="315"/>
        </w:trPr>
        <w:tc>
          <w:tcPr>
            <w:tcW w:w="1480" w:type="dxa"/>
            <w:tcBorders>
              <w:top w:val="nil"/>
              <w:left w:val="nil"/>
              <w:bottom w:val="single" w:sz="8" w:space="0" w:color="auto"/>
              <w:right w:val="nil"/>
            </w:tcBorders>
            <w:noWrap/>
            <w:tcMar>
              <w:top w:w="0" w:type="dxa"/>
              <w:left w:w="108" w:type="dxa"/>
              <w:bottom w:w="0" w:type="dxa"/>
              <w:right w:w="108" w:type="dxa"/>
            </w:tcMar>
            <w:vAlign w:val="bottom"/>
            <w:hideMark/>
          </w:tcPr>
          <w:p w14:paraId="247E603C" w14:textId="77777777" w:rsidR="001023FE" w:rsidRPr="00F71A22" w:rsidRDefault="001023FE" w:rsidP="00D17231">
            <w:pPr>
              <w:pStyle w:val="TableText"/>
              <w:rPr>
                <w:color w:val="000000"/>
              </w:rPr>
            </w:pPr>
            <w:r w:rsidRPr="00F71A22">
              <w:rPr>
                <w:color w:val="000000"/>
              </w:rPr>
              <w:t>2</w:t>
            </w:r>
          </w:p>
        </w:tc>
        <w:tc>
          <w:tcPr>
            <w:tcW w:w="1436" w:type="dxa"/>
            <w:tcBorders>
              <w:top w:val="nil"/>
              <w:left w:val="nil"/>
              <w:bottom w:val="single" w:sz="8" w:space="0" w:color="auto"/>
              <w:right w:val="nil"/>
            </w:tcBorders>
            <w:noWrap/>
            <w:tcMar>
              <w:top w:w="0" w:type="dxa"/>
              <w:left w:w="108" w:type="dxa"/>
              <w:bottom w:w="0" w:type="dxa"/>
              <w:right w:w="108" w:type="dxa"/>
            </w:tcMar>
            <w:vAlign w:val="bottom"/>
            <w:hideMark/>
          </w:tcPr>
          <w:p w14:paraId="1F3EA103" w14:textId="77777777" w:rsidR="001023FE" w:rsidRPr="00F71A22" w:rsidRDefault="001023FE" w:rsidP="00D17231">
            <w:pPr>
              <w:pStyle w:val="TableText"/>
              <w:jc w:val="right"/>
              <w:rPr>
                <w:color w:val="000000"/>
              </w:rPr>
            </w:pPr>
            <w:r w:rsidRPr="00F71A22">
              <w:rPr>
                <w:color w:val="000000"/>
              </w:rPr>
              <w:t>113</w:t>
            </w:r>
          </w:p>
        </w:tc>
        <w:tc>
          <w:tcPr>
            <w:tcW w:w="1436" w:type="dxa"/>
            <w:tcBorders>
              <w:top w:val="nil"/>
              <w:left w:val="nil"/>
              <w:bottom w:val="single" w:sz="8" w:space="0" w:color="auto"/>
              <w:right w:val="nil"/>
            </w:tcBorders>
            <w:noWrap/>
            <w:tcMar>
              <w:top w:w="0" w:type="dxa"/>
              <w:left w:w="108" w:type="dxa"/>
              <w:bottom w:w="0" w:type="dxa"/>
              <w:right w:w="108" w:type="dxa"/>
            </w:tcMar>
            <w:vAlign w:val="bottom"/>
            <w:hideMark/>
          </w:tcPr>
          <w:p w14:paraId="40B3A0F2" w14:textId="77777777" w:rsidR="001023FE" w:rsidRPr="00F71A22" w:rsidRDefault="001023FE" w:rsidP="00D17231">
            <w:pPr>
              <w:pStyle w:val="TableText"/>
              <w:jc w:val="right"/>
              <w:rPr>
                <w:color w:val="000000"/>
              </w:rPr>
            </w:pPr>
            <w:r w:rsidRPr="00F71A22">
              <w:rPr>
                <w:color w:val="000000"/>
              </w:rPr>
              <w:t>3.4</w:t>
            </w:r>
          </w:p>
        </w:tc>
        <w:tc>
          <w:tcPr>
            <w:tcW w:w="1436" w:type="dxa"/>
            <w:tcBorders>
              <w:top w:val="nil"/>
              <w:left w:val="nil"/>
              <w:bottom w:val="single" w:sz="8" w:space="0" w:color="auto"/>
              <w:right w:val="nil"/>
            </w:tcBorders>
            <w:noWrap/>
            <w:tcMar>
              <w:top w:w="0" w:type="dxa"/>
              <w:left w:w="108" w:type="dxa"/>
              <w:bottom w:w="0" w:type="dxa"/>
              <w:right w:w="108" w:type="dxa"/>
            </w:tcMar>
            <w:vAlign w:val="bottom"/>
            <w:hideMark/>
          </w:tcPr>
          <w:p w14:paraId="463227E0" w14:textId="77777777" w:rsidR="001023FE" w:rsidRPr="00F71A22" w:rsidRDefault="001023FE" w:rsidP="00D17231">
            <w:pPr>
              <w:pStyle w:val="TableText"/>
              <w:jc w:val="right"/>
              <w:rPr>
                <w:color w:val="000000"/>
              </w:rPr>
            </w:pPr>
            <w:r w:rsidRPr="00F71A22">
              <w:rPr>
                <w:color w:val="000000"/>
              </w:rPr>
              <w:t>219</w:t>
            </w:r>
          </w:p>
        </w:tc>
        <w:tc>
          <w:tcPr>
            <w:tcW w:w="1436" w:type="dxa"/>
            <w:tcBorders>
              <w:top w:val="nil"/>
              <w:left w:val="nil"/>
              <w:bottom w:val="single" w:sz="8" w:space="0" w:color="auto"/>
              <w:right w:val="nil"/>
            </w:tcBorders>
            <w:noWrap/>
            <w:tcMar>
              <w:top w:w="0" w:type="dxa"/>
              <w:left w:w="108" w:type="dxa"/>
              <w:bottom w:w="0" w:type="dxa"/>
              <w:right w:w="108" w:type="dxa"/>
            </w:tcMar>
            <w:vAlign w:val="bottom"/>
            <w:hideMark/>
          </w:tcPr>
          <w:p w14:paraId="0D308C8D" w14:textId="77777777" w:rsidR="001023FE" w:rsidRPr="00F71A22" w:rsidRDefault="001023FE" w:rsidP="00D17231">
            <w:pPr>
              <w:pStyle w:val="TableText"/>
              <w:jc w:val="right"/>
              <w:rPr>
                <w:color w:val="000000"/>
              </w:rPr>
            </w:pPr>
            <w:r w:rsidRPr="00F71A22">
              <w:rPr>
                <w:color w:val="000000"/>
              </w:rPr>
              <w:t>6.6</w:t>
            </w:r>
          </w:p>
        </w:tc>
        <w:tc>
          <w:tcPr>
            <w:tcW w:w="1436" w:type="dxa"/>
            <w:tcBorders>
              <w:top w:val="nil"/>
              <w:left w:val="nil"/>
              <w:bottom w:val="single" w:sz="8" w:space="0" w:color="auto"/>
              <w:right w:val="nil"/>
            </w:tcBorders>
            <w:noWrap/>
            <w:tcMar>
              <w:top w:w="0" w:type="dxa"/>
              <w:left w:w="108" w:type="dxa"/>
              <w:bottom w:w="0" w:type="dxa"/>
              <w:right w:w="108" w:type="dxa"/>
            </w:tcMar>
            <w:vAlign w:val="bottom"/>
            <w:hideMark/>
          </w:tcPr>
          <w:p w14:paraId="1A8CBE57" w14:textId="77777777" w:rsidR="001023FE" w:rsidRPr="00F71A22" w:rsidRDefault="001023FE" w:rsidP="00D17231">
            <w:pPr>
              <w:pStyle w:val="TableText"/>
              <w:jc w:val="right"/>
              <w:rPr>
                <w:color w:val="000000"/>
              </w:rPr>
            </w:pPr>
            <w:r w:rsidRPr="00F71A22">
              <w:rPr>
                <w:color w:val="000000"/>
              </w:rPr>
              <w:t>-3.2</w:t>
            </w:r>
          </w:p>
        </w:tc>
      </w:tr>
    </w:tbl>
    <w:p w14:paraId="72EE45B4" w14:textId="77777777" w:rsidR="00C036BB" w:rsidRDefault="00C036BB" w:rsidP="003E112E">
      <w:pPr>
        <w:pStyle w:val="Source"/>
        <w:contextualSpacing/>
        <w:rPr>
          <w:b/>
          <w:bCs/>
        </w:rPr>
      </w:pPr>
    </w:p>
    <w:p w14:paraId="475BB884" w14:textId="588B4BF8" w:rsidR="001023FE" w:rsidRPr="00F71A22" w:rsidRDefault="001023FE" w:rsidP="003E112E">
      <w:pPr>
        <w:pStyle w:val="Source"/>
        <w:contextualSpacing/>
      </w:pPr>
      <w:r w:rsidRPr="00F71A22">
        <w:rPr>
          <w:b/>
          <w:bCs/>
        </w:rPr>
        <w:t>Source</w:t>
      </w:r>
      <w:r w:rsidRPr="00F71A22">
        <w:t xml:space="preserve">: DESE </w:t>
      </w:r>
      <w:r w:rsidR="00501AA5">
        <w:t>a</w:t>
      </w:r>
      <w:r w:rsidRPr="00F71A22">
        <w:t xml:space="preserve">dministrative </w:t>
      </w:r>
      <w:r w:rsidR="00501AA5">
        <w:t>d</w:t>
      </w:r>
      <w:r w:rsidRPr="00F71A22">
        <w:t>ata</w:t>
      </w:r>
      <w:r w:rsidR="00C036BB">
        <w:br/>
      </w:r>
      <w:r w:rsidRPr="00F71A22">
        <w:rPr>
          <w:b/>
          <w:bCs/>
        </w:rPr>
        <w:t>Note</w:t>
      </w:r>
      <w:r w:rsidRPr="00F71A22">
        <w:t>: *</w:t>
      </w:r>
      <w:r w:rsidR="00501AA5">
        <w:t>indicates si</w:t>
      </w:r>
      <w:r w:rsidRPr="00F71A22">
        <w:t>gnificant at p</w:t>
      </w:r>
      <w:r w:rsidR="00DA1E0C">
        <w:t xml:space="preserve"> </w:t>
      </w:r>
      <w:r w:rsidRPr="00F71A22">
        <w:t>=</w:t>
      </w:r>
      <w:r w:rsidR="00DA1E0C">
        <w:t xml:space="preserve"> </w:t>
      </w:r>
      <w:r w:rsidRPr="00F71A22">
        <w:t>0.05</w:t>
      </w:r>
    </w:p>
    <w:p w14:paraId="319DBD9E" w14:textId="04CF05B8" w:rsidR="001023FE" w:rsidRPr="00F71A22" w:rsidRDefault="001023FE" w:rsidP="001023FE">
      <w:r w:rsidRPr="00F71A22">
        <w:t>As the only type of demerit OEST participants could receive was job search related demerits, the analysis only involved job search related demerits. If the analysis was extended to include all other types of demerits such as failing to attend appointments and activities, then the results would have shown the comparison group accruing more demerits</w:t>
      </w:r>
      <w:r w:rsidR="00B953C4">
        <w:t>.</w:t>
      </w:r>
      <w:r w:rsidR="00A14BFB">
        <w:rPr>
          <w:rStyle w:val="FootnoteReference"/>
        </w:rPr>
        <w:footnoteReference w:id="13"/>
      </w:r>
    </w:p>
    <w:p w14:paraId="2D7894EA" w14:textId="37D1133F" w:rsidR="00501AA5" w:rsidRDefault="00501AA5">
      <w:r w:rsidRPr="005C3CCE">
        <w:rPr>
          <w:b/>
          <w:bCs/>
        </w:rPr>
        <w:lastRenderedPageBreak/>
        <w:t>Figure 3.6</w:t>
      </w:r>
      <w:r>
        <w:t xml:space="preserve"> </w:t>
      </w:r>
      <w:r w:rsidRPr="002B7152">
        <w:t>presents</w:t>
      </w:r>
      <w:r>
        <w:t xml:space="preserve"> a visual timeline of</w:t>
      </w:r>
      <w:r w:rsidRPr="002B7152">
        <w:t xml:space="preserve"> </w:t>
      </w:r>
      <w:r>
        <w:t xml:space="preserve">the percentage of </w:t>
      </w:r>
      <w:r>
        <w:rPr>
          <w:rFonts w:ascii="Calibri" w:hAnsi="Calibri"/>
        </w:rPr>
        <w:t xml:space="preserve">OEST participants and job seekers in the comparison group who </w:t>
      </w:r>
      <w:r w:rsidRPr="00CC5DF2">
        <w:t>c</w:t>
      </w:r>
      <w:r w:rsidRPr="00336E15">
        <w:t xml:space="preserve">ommenced in the trial or </w:t>
      </w:r>
      <w:r>
        <w:t>provider</w:t>
      </w:r>
      <w:r w:rsidRPr="00336E15">
        <w:t xml:space="preserve"> services</w:t>
      </w:r>
      <w:r>
        <w:t xml:space="preserve"> </w:t>
      </w:r>
      <w:r w:rsidRPr="00336E15">
        <w:t xml:space="preserve">between </w:t>
      </w:r>
      <w:r>
        <w:t>1</w:t>
      </w:r>
      <w:r w:rsidRPr="00336E15">
        <w:t xml:space="preserve"> July 2018 and</w:t>
      </w:r>
      <w:r>
        <w:t xml:space="preserve"> </w:t>
      </w:r>
      <w:r w:rsidRPr="003E13D3">
        <w:t>30</w:t>
      </w:r>
      <w:r w:rsidR="00295B2D" w:rsidRPr="003E13D3">
        <w:t> </w:t>
      </w:r>
      <w:r w:rsidRPr="003E13D3">
        <w:t>June</w:t>
      </w:r>
      <w:r w:rsidR="00295B2D" w:rsidRPr="003E13D3">
        <w:t> </w:t>
      </w:r>
      <w:r w:rsidRPr="003E13D3">
        <w:t xml:space="preserve">2019 and did not </w:t>
      </w:r>
      <w:r w:rsidRPr="003E112E">
        <w:t xml:space="preserve">accrue any job search demerit points within </w:t>
      </w:r>
      <w:r w:rsidR="00295B2D" w:rsidRPr="003E112E">
        <w:t>six</w:t>
      </w:r>
      <w:r w:rsidRPr="003E112E">
        <w:t xml:space="preserve"> months of their service commencement date, up to and including 31 December 2019</w:t>
      </w:r>
      <w:r w:rsidRPr="003E13D3">
        <w:t>.</w:t>
      </w:r>
    </w:p>
    <w:p w14:paraId="19D19C40" w14:textId="77777777" w:rsidR="0096486A" w:rsidRDefault="0096486A" w:rsidP="0096486A">
      <w:pPr>
        <w:pStyle w:val="FigureCaption"/>
      </w:pPr>
      <w:bookmarkStart w:id="137" w:name="_Toc67042680"/>
      <w:r w:rsidRPr="00F71A22">
        <w:t>Figure 3.6 Percentage of job seekers without job search demerits by commencement month (matched samples)</w:t>
      </w:r>
      <w:bookmarkEnd w:id="137"/>
    </w:p>
    <w:p w14:paraId="1963F36E" w14:textId="77777777" w:rsidR="0096486A" w:rsidRPr="00F71A22" w:rsidRDefault="0096486A" w:rsidP="0096486A">
      <w:r>
        <w:rPr>
          <w:noProof/>
        </w:rPr>
        <w:drawing>
          <wp:inline distT="0" distB="0" distL="0" distR="0" wp14:anchorId="7012944F" wp14:editId="2D28ACC6">
            <wp:extent cx="5724525" cy="3658004"/>
            <wp:effectExtent l="0" t="0" r="0" b="0"/>
            <wp:docPr id="23" name="Picture 23" descr="Line chart showing number of participants and comparison group who did not incur job search demerits over the period July 2018 to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3-6.png"/>
                    <pic:cNvPicPr/>
                  </pic:nvPicPr>
                  <pic:blipFill>
                    <a:blip r:embed="rId28"/>
                    <a:stretch>
                      <a:fillRect/>
                    </a:stretch>
                  </pic:blipFill>
                  <pic:spPr>
                    <a:xfrm>
                      <a:off x="0" y="0"/>
                      <a:ext cx="5791806" cy="3700997"/>
                    </a:xfrm>
                    <a:prstGeom prst="rect">
                      <a:avLst/>
                    </a:prstGeom>
                  </pic:spPr>
                </pic:pic>
              </a:graphicData>
            </a:graphic>
          </wp:inline>
        </w:drawing>
      </w:r>
    </w:p>
    <w:p w14:paraId="552463B9" w14:textId="0803FA43" w:rsidR="0096486A" w:rsidRPr="00F71A22" w:rsidRDefault="0096486A" w:rsidP="0096486A">
      <w:pPr>
        <w:pStyle w:val="Source"/>
        <w:contextualSpacing/>
      </w:pPr>
      <w:r w:rsidRPr="00F71A22">
        <w:rPr>
          <w:b/>
          <w:bCs/>
        </w:rPr>
        <w:t>Source</w:t>
      </w:r>
      <w:r w:rsidRPr="00F71A22">
        <w:t xml:space="preserve">: DESE </w:t>
      </w:r>
      <w:r>
        <w:t>a</w:t>
      </w:r>
      <w:r w:rsidRPr="00F71A22">
        <w:t xml:space="preserve">dministrative </w:t>
      </w:r>
      <w:r>
        <w:t>d</w:t>
      </w:r>
      <w:r w:rsidRPr="00F71A22">
        <w:t>ata</w:t>
      </w:r>
      <w:r w:rsidR="00C036BB">
        <w:br/>
      </w:r>
      <w:r w:rsidRPr="00F71A22">
        <w:rPr>
          <w:b/>
          <w:bCs/>
        </w:rPr>
        <w:t>Note</w:t>
      </w:r>
      <w:r w:rsidRPr="00F71A22">
        <w:t>: Samples include</w:t>
      </w:r>
      <w:r>
        <w:t>d</w:t>
      </w:r>
      <w:r w:rsidRPr="00F71A22">
        <w:t xml:space="preserve"> both </w:t>
      </w:r>
      <w:r>
        <w:t xml:space="preserve">OEST </w:t>
      </w:r>
      <w:r w:rsidRPr="00F71A22">
        <w:t>participants in receipt and not in receipt of income support who commenced in OEST or provider services between 1 July 2018 and 30 June 2019, and demerit points observed from July 2018 to December 2019</w:t>
      </w:r>
      <w:r>
        <w:t>.</w:t>
      </w:r>
    </w:p>
    <w:p w14:paraId="48578441" w14:textId="07059FC1" w:rsidR="00501AA5" w:rsidRDefault="00501AA5" w:rsidP="003E112E">
      <w:r w:rsidRPr="001740DD">
        <w:t>Th</w:t>
      </w:r>
      <w:r w:rsidRPr="00015C28">
        <w:t xml:space="preserve">e </w:t>
      </w:r>
      <w:r>
        <w:t>gap between the percentages of OEST participants and comparison group job seekers who did not accrue job search demerit points closed and crossed over at the beginning of March 2019 and widened approaching the end of the timeline</w:t>
      </w:r>
      <w:r w:rsidRPr="004641CE">
        <w:t>. The</w:t>
      </w:r>
      <w:r>
        <w:t xml:space="preserve"> chart indicates better performance for OEST participants compared to the comparison group as the trial progressed.</w:t>
      </w:r>
      <w:r w:rsidR="005117EC">
        <w:t xml:space="preserve"> </w:t>
      </w:r>
      <w:r w:rsidRPr="00966D46">
        <w:t>The improved performance</w:t>
      </w:r>
      <w:r>
        <w:t xml:space="preserve"> of OEST participants</w:t>
      </w:r>
      <w:r w:rsidRPr="00966D46">
        <w:t xml:space="preserve"> over time could be attributed to a number of factors</w:t>
      </w:r>
      <w:r>
        <w:t>.</w:t>
      </w:r>
    </w:p>
    <w:p w14:paraId="1F42BAE1" w14:textId="77777777" w:rsidR="00501AA5" w:rsidRPr="00C35AA7" w:rsidRDefault="00501AA5" w:rsidP="00501AA5">
      <w:bookmarkStart w:id="138" w:name="_Hlk52977411"/>
      <w:r w:rsidRPr="00653B9E">
        <w:rPr>
          <w:rFonts w:cstheme="minorHAnsi"/>
          <w:lang w:eastAsia="en-AU"/>
        </w:rPr>
        <w:t>Qualitative research conducted at the early stage of the trial</w:t>
      </w:r>
      <w:r>
        <w:rPr>
          <w:rFonts w:cstheme="minorHAnsi"/>
          <w:lang w:eastAsia="en-AU"/>
        </w:rPr>
        <w:t xml:space="preserve"> found</w:t>
      </w:r>
      <w:r w:rsidRPr="00613EBE">
        <w:rPr>
          <w:rFonts w:cstheme="minorHAnsi"/>
          <w:lang w:eastAsia="en-AU"/>
        </w:rPr>
        <w:t xml:space="preserve"> that </w:t>
      </w:r>
      <w:r>
        <w:rPr>
          <w:rFonts w:cstheme="minorHAnsi"/>
          <w:lang w:eastAsia="en-AU"/>
        </w:rPr>
        <w:t xml:space="preserve">fewer </w:t>
      </w:r>
      <w:r w:rsidRPr="00613EBE">
        <w:rPr>
          <w:rFonts w:cstheme="minorHAnsi"/>
          <w:lang w:eastAsia="en-AU"/>
        </w:rPr>
        <w:t xml:space="preserve">OEST participants than </w:t>
      </w:r>
      <w:r>
        <w:rPr>
          <w:rFonts w:cstheme="minorHAnsi"/>
          <w:lang w:eastAsia="en-AU"/>
        </w:rPr>
        <w:t xml:space="preserve">those in </w:t>
      </w:r>
      <w:r w:rsidRPr="00613EBE">
        <w:rPr>
          <w:rFonts w:cstheme="minorHAnsi"/>
          <w:lang w:eastAsia="en-AU"/>
        </w:rPr>
        <w:t>the comparison group (</w:t>
      </w:r>
      <w:r w:rsidRPr="001261D9">
        <w:rPr>
          <w:rFonts w:cstheme="minorHAnsi"/>
          <w:b/>
          <w:lang w:eastAsia="en-AU"/>
        </w:rPr>
        <w:t>85%</w:t>
      </w:r>
      <w:r w:rsidRPr="00613EBE">
        <w:rPr>
          <w:rFonts w:cstheme="minorHAnsi"/>
          <w:lang w:eastAsia="en-AU"/>
        </w:rPr>
        <w:t xml:space="preserve"> compared with </w:t>
      </w:r>
      <w:r w:rsidRPr="001261D9">
        <w:rPr>
          <w:rFonts w:cstheme="minorHAnsi"/>
          <w:b/>
          <w:lang w:eastAsia="en-AU"/>
        </w:rPr>
        <w:t>91%</w:t>
      </w:r>
      <w:r w:rsidRPr="00613EBE">
        <w:rPr>
          <w:rFonts w:cstheme="minorHAnsi"/>
          <w:lang w:eastAsia="en-AU"/>
        </w:rPr>
        <w:t>) agree</w:t>
      </w:r>
      <w:r>
        <w:rPr>
          <w:rFonts w:cstheme="minorHAnsi"/>
          <w:lang w:eastAsia="en-AU"/>
        </w:rPr>
        <w:t>d</w:t>
      </w:r>
      <w:r w:rsidRPr="00613EBE">
        <w:rPr>
          <w:rFonts w:cstheme="minorHAnsi"/>
          <w:lang w:eastAsia="en-AU"/>
        </w:rPr>
        <w:t xml:space="preserve"> they understood how to provide evidence of the jobs they </w:t>
      </w:r>
      <w:r>
        <w:rPr>
          <w:rFonts w:cstheme="minorHAnsi"/>
          <w:lang w:eastAsia="en-AU"/>
        </w:rPr>
        <w:t xml:space="preserve">had </w:t>
      </w:r>
      <w:r w:rsidRPr="00613EBE">
        <w:rPr>
          <w:rFonts w:cstheme="minorHAnsi"/>
          <w:lang w:eastAsia="en-AU"/>
        </w:rPr>
        <w:t xml:space="preserve">applied for on the jobactive website. </w:t>
      </w:r>
      <w:r>
        <w:rPr>
          <w:rFonts w:cstheme="minorHAnsi"/>
          <w:lang w:eastAsia="en-AU"/>
        </w:rPr>
        <w:t xml:space="preserve">However, </w:t>
      </w:r>
      <w:r w:rsidRPr="00607AB7">
        <w:t xml:space="preserve">as OEST became more </w:t>
      </w:r>
      <w:r w:rsidRPr="00607AB7">
        <w:lastRenderedPageBreak/>
        <w:t>established</w:t>
      </w:r>
      <w:r>
        <w:t xml:space="preserve">, </w:t>
      </w:r>
      <w:r w:rsidRPr="00607AB7">
        <w:t>communications</w:t>
      </w:r>
      <w:r>
        <w:t xml:space="preserve"> improved and this</w:t>
      </w:r>
      <w:r w:rsidRPr="00607AB7">
        <w:t xml:space="preserve"> </w:t>
      </w:r>
      <w:r>
        <w:t xml:space="preserve">could have increased participants’ </w:t>
      </w:r>
      <w:r w:rsidRPr="00607AB7">
        <w:t>understanding of MORs</w:t>
      </w:r>
      <w:r>
        <w:t>. C</w:t>
      </w:r>
      <w:r w:rsidRPr="00C35AA7">
        <w:t>hanges in the wording and timing of job search related reminders</w:t>
      </w:r>
      <w:r>
        <w:t xml:space="preserve"> are likely to have contributed to improved participant performance. Reminders prompting trial participants to report their job search efforts were sent out from 29 June 2019 onwards.</w:t>
      </w:r>
    </w:p>
    <w:p w14:paraId="54DEA43D" w14:textId="3F851623" w:rsidR="00084C9E" w:rsidRPr="00F71A22" w:rsidRDefault="00197296" w:rsidP="00E9350C">
      <w:r w:rsidRPr="00F71A22">
        <w:t xml:space="preserve">Another </w:t>
      </w:r>
      <w:r w:rsidR="00501AA5">
        <w:t>factor</w:t>
      </w:r>
      <w:r w:rsidRPr="00F71A22">
        <w:t xml:space="preserve"> that could explain why trial participants accrued </w:t>
      </w:r>
      <w:r w:rsidR="00501AA5">
        <w:t>fewer job search</w:t>
      </w:r>
      <w:r w:rsidRPr="00F71A22">
        <w:t xml:space="preserve"> demerit points over time was the introduction of an online ‘paid work declaration’ mid-way through 2019, which in some cases reduced job search requirements. This feature allowed job seekers using online employment services to manage their mutual obligation (Job Search) online and declare if they were working by clicking a button on the screen. Job search was then halved or reduced to zero depending on personal circumstances. Separate to this feature, NCSL operators were also given the ability to vary a job seeker’s job search requirements at the same time, which could also translate to </w:t>
      </w:r>
      <w:r w:rsidR="00501AA5">
        <w:t>fewer</w:t>
      </w:r>
      <w:r w:rsidRPr="00F71A22">
        <w:t xml:space="preserve"> demerit points being applied to job seekers.</w:t>
      </w:r>
    </w:p>
    <w:p w14:paraId="51566992" w14:textId="77777777" w:rsidR="00803324" w:rsidRDefault="000E1565" w:rsidP="000E1565">
      <w:pPr>
        <w:pStyle w:val="Heading2"/>
        <w:rPr>
          <w:lang w:val="en"/>
        </w:rPr>
      </w:pPr>
      <w:bookmarkStart w:id="139" w:name="_Toc67042602"/>
      <w:bookmarkEnd w:id="138"/>
      <w:r w:rsidRPr="00F71A22">
        <w:rPr>
          <w:lang w:val="en"/>
        </w:rPr>
        <w:t>3.</w:t>
      </w:r>
      <w:r w:rsidR="00135C93" w:rsidRPr="00F71A22">
        <w:rPr>
          <w:lang w:val="en"/>
        </w:rPr>
        <w:t>5</w:t>
      </w:r>
      <w:r w:rsidRPr="00F71A22">
        <w:rPr>
          <w:lang w:val="en"/>
        </w:rPr>
        <w:t xml:space="preserve"> Awareness of service elements</w:t>
      </w:r>
      <w:bookmarkEnd w:id="139"/>
    </w:p>
    <w:p w14:paraId="1E5545F2" w14:textId="77777777" w:rsidR="00803324" w:rsidRDefault="000E1565" w:rsidP="003E13D3">
      <w:r w:rsidRPr="00F71A22">
        <w:t xml:space="preserve">Survey results showed that OEST participants were less aware of their servicing arrangements than were their counterparts in </w:t>
      </w:r>
      <w:r w:rsidR="001B74E1" w:rsidRPr="00F71A22">
        <w:t>provider-based</w:t>
      </w:r>
      <w:r w:rsidRPr="00F71A22">
        <w:t xml:space="preserve"> servicing.</w:t>
      </w:r>
    </w:p>
    <w:p w14:paraId="60A70615" w14:textId="7B1CE39F" w:rsidR="00501AA5" w:rsidRDefault="00501AA5" w:rsidP="00E9350C">
      <w:r w:rsidRPr="00613EBE">
        <w:t>Approximately three-quarters of trial participants were aware that they did not need to attend an appointment with a</w:t>
      </w:r>
      <w:r>
        <w:t xml:space="preserve"> jobactive</w:t>
      </w:r>
      <w:r w:rsidRPr="00613EBE">
        <w:t xml:space="preserve"> provider (</w:t>
      </w:r>
      <w:r w:rsidRPr="001261D9">
        <w:rPr>
          <w:b/>
        </w:rPr>
        <w:t>77%</w:t>
      </w:r>
      <w:r w:rsidRPr="00613EBE">
        <w:t xml:space="preserve">) and </w:t>
      </w:r>
      <w:r>
        <w:t xml:space="preserve">that </w:t>
      </w:r>
      <w:r w:rsidRPr="00613EBE">
        <w:t xml:space="preserve">they were not connected to a </w:t>
      </w:r>
      <w:r>
        <w:t>jobactive</w:t>
      </w:r>
      <w:r w:rsidRPr="00613EBE">
        <w:t xml:space="preserve"> provider for assistance (</w:t>
      </w:r>
      <w:r w:rsidRPr="001261D9">
        <w:rPr>
          <w:b/>
        </w:rPr>
        <w:t>75%</w:t>
      </w:r>
      <w:r w:rsidRPr="00613EBE">
        <w:t>)</w:t>
      </w:r>
      <w:r w:rsidRPr="00C35AA7">
        <w:t>. This compare</w:t>
      </w:r>
      <w:r>
        <w:t>d</w:t>
      </w:r>
      <w:r w:rsidRPr="00C35AA7">
        <w:t xml:space="preserve"> to</w:t>
      </w:r>
      <w:r w:rsidRPr="00613EBE">
        <w:t xml:space="preserve"> </w:t>
      </w:r>
      <w:r w:rsidRPr="001261D9">
        <w:rPr>
          <w:b/>
        </w:rPr>
        <w:t>96%</w:t>
      </w:r>
      <w:r w:rsidRPr="00613EBE">
        <w:t xml:space="preserve"> of the comparison group job seekers</w:t>
      </w:r>
      <w:r>
        <w:t xml:space="preserve">, who </w:t>
      </w:r>
      <w:r w:rsidRPr="00C35AA7">
        <w:t xml:space="preserve">were </w:t>
      </w:r>
      <w:r w:rsidRPr="00613EBE">
        <w:t>aware of their connection</w:t>
      </w:r>
      <w:r>
        <w:t>s</w:t>
      </w:r>
      <w:r w:rsidRPr="00613EBE">
        <w:t xml:space="preserve"> to a provider</w:t>
      </w:r>
      <w:r>
        <w:t xml:space="preserve"> </w:t>
      </w:r>
      <w:r w:rsidRPr="00613EBE">
        <w:t>and the need to attend appointments (</w:t>
      </w:r>
      <w:r w:rsidRPr="001261D9">
        <w:rPr>
          <w:b/>
        </w:rPr>
        <w:t>98%</w:t>
      </w:r>
      <w:r w:rsidRPr="00501AA5">
        <w:t>).</w:t>
      </w:r>
    </w:p>
    <w:p w14:paraId="698C4E9C" w14:textId="77777777" w:rsidR="00501AA5" w:rsidRDefault="00501AA5">
      <w:r>
        <w:t>Some OEST participants were unaware of the NCSL, with many assuming that they needed to either call or visit Centrelink for assistance while on the trial or that there was no assistance available. When informed that the helpline was available, most reported that they would have felt reassured if they had known it was available and that they might have used it.</w:t>
      </w:r>
    </w:p>
    <w:p w14:paraId="74C6553A" w14:textId="5D50A0F3" w:rsidR="000E1565" w:rsidRPr="00F71A22" w:rsidRDefault="000E1565" w:rsidP="00E9350C">
      <w:r w:rsidRPr="00F71A22">
        <w:t xml:space="preserve">The qualitative research reflected some OEST participants’ preference for more effective communication on servicing arrangements and additional online resources. Participants who were best informed about the OEST tended to </w:t>
      </w:r>
      <w:r w:rsidR="0032256D" w:rsidRPr="00F71A22">
        <w:t xml:space="preserve">recall </w:t>
      </w:r>
      <w:r w:rsidRPr="00F71A22">
        <w:t xml:space="preserve">detailed information during initial application interviews with </w:t>
      </w:r>
      <w:r w:rsidR="00FD58AF" w:rsidRPr="00F71A22">
        <w:t xml:space="preserve">Services Australia </w:t>
      </w:r>
      <w:r w:rsidRPr="00F71A22">
        <w:t>or</w:t>
      </w:r>
      <w:r w:rsidR="003D37AE">
        <w:t>,</w:t>
      </w:r>
      <w:r w:rsidRPr="00F71A22">
        <w:t xml:space="preserve"> for a few participants, via a text or email.</w:t>
      </w:r>
    </w:p>
    <w:p w14:paraId="04000D23" w14:textId="5E28D051" w:rsidR="00803324" w:rsidRPr="001F36EA" w:rsidRDefault="000E1565" w:rsidP="005117EC">
      <w:pPr>
        <w:pStyle w:val="Quote"/>
        <w:keepNext/>
      </w:pPr>
      <w:r w:rsidRPr="001F36EA">
        <w:t>I had a phone interview with [</w:t>
      </w:r>
      <w:r w:rsidR="00FD58AF" w:rsidRPr="001F36EA">
        <w:t>Services Australia</w:t>
      </w:r>
      <w:r w:rsidRPr="001F36EA">
        <w:t>] and they told me they were putting me on this trial</w:t>
      </w:r>
      <w:r w:rsidR="00A96B2E" w:rsidRPr="001F36EA">
        <w:t>.</w:t>
      </w:r>
      <w:r w:rsidR="007C4B79">
        <w:br/>
      </w:r>
      <w:r w:rsidRPr="001F36EA">
        <w:t>(OEST participant, 18 years+)</w:t>
      </w:r>
    </w:p>
    <w:p w14:paraId="65B2CE19" w14:textId="77777777" w:rsidR="00A80290" w:rsidRPr="00F71A22" w:rsidRDefault="00A80290" w:rsidP="00E9350C">
      <w:pPr>
        <w:rPr>
          <w:rFonts w:ascii="Calibri" w:eastAsiaTheme="majorEastAsia" w:hAnsi="Calibri" w:cstheme="majorBidi"/>
          <w:color w:val="343741"/>
          <w:sz w:val="32"/>
          <w:szCs w:val="32"/>
        </w:rPr>
      </w:pPr>
      <w:bookmarkStart w:id="140" w:name="_Toc47520136"/>
      <w:r w:rsidRPr="00F71A22">
        <w:br w:type="page"/>
      </w:r>
    </w:p>
    <w:p w14:paraId="7B6785A0" w14:textId="77777777" w:rsidR="00803324" w:rsidRDefault="00C6580C" w:rsidP="001023FE">
      <w:pPr>
        <w:pStyle w:val="Heading1"/>
      </w:pPr>
      <w:bookmarkStart w:id="141" w:name="_Toc67042603"/>
      <w:r w:rsidRPr="00F71A22">
        <w:lastRenderedPageBreak/>
        <w:t xml:space="preserve">Chapter 4. </w:t>
      </w:r>
      <w:r w:rsidR="00C7186E" w:rsidRPr="00F71A22">
        <w:t>The effectiveness of the OEST</w:t>
      </w:r>
      <w:bookmarkEnd w:id="141"/>
    </w:p>
    <w:p w14:paraId="3B16A141" w14:textId="1104ACD8" w:rsidR="00DF3BA1" w:rsidRPr="00F71A22" w:rsidRDefault="003133F3" w:rsidP="00DF3BA1">
      <w:r>
        <w:rPr>
          <w:noProof/>
          <w:lang w:eastAsia="en-AU"/>
        </w:rPr>
        <w:drawing>
          <wp:inline distT="0" distB="0" distL="0" distR="0" wp14:anchorId="0A86B713" wp14:editId="4342A82E">
            <wp:extent cx="5746750" cy="3401060"/>
            <wp:effectExtent l="0" t="0" r="6350" b="0"/>
            <wp:docPr id="8" name="Picture 8" descr="Chapter 4 summary.&#10;OEST participants were as likely as the comparison group to exit from income support or employment services within 6 months of service commencement. &#10;50% of OEST participants and 52% of comparison group exited income support. &#10;47% of participants and 47% of comparison group exited employment services. &#10;Over the 6 month period most trial participants (91%) did not return to income support, compared with 89% of the comparison group.&#10;Trial participants also reported improved confidence in undertaking job searches and improved quality of their job ap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pter4_Chapter 4.png"/>
                    <pic:cNvPicPr/>
                  </pic:nvPicPr>
                  <pic:blipFill>
                    <a:blip r:embed="rId29"/>
                    <a:stretch>
                      <a:fillRect/>
                    </a:stretch>
                  </pic:blipFill>
                  <pic:spPr>
                    <a:xfrm>
                      <a:off x="0" y="0"/>
                      <a:ext cx="5746750" cy="3401060"/>
                    </a:xfrm>
                    <a:prstGeom prst="rect">
                      <a:avLst/>
                    </a:prstGeom>
                  </pic:spPr>
                </pic:pic>
              </a:graphicData>
            </a:graphic>
          </wp:inline>
        </w:drawing>
      </w:r>
    </w:p>
    <w:p w14:paraId="7EF4C017" w14:textId="77777777" w:rsidR="00803324" w:rsidRDefault="00C37861" w:rsidP="003E13D3">
      <w:pPr>
        <w:rPr>
          <w:i/>
          <w:iCs/>
        </w:rPr>
      </w:pPr>
      <w:r w:rsidRPr="00F71A22">
        <w:t>The key objective of employment services is to help job seekers find and maintain employment. If online servicing achieve</w:t>
      </w:r>
      <w:r w:rsidR="009D1F8D" w:rsidRPr="00F71A22">
        <w:t>d</w:t>
      </w:r>
      <w:r w:rsidRPr="00F71A22">
        <w:t xml:space="preserve"> similar or better labour market outcomes for job seekers compared to provider servicing, this would be a successful outcome. Therefore, the key question considered in evaluating the </w:t>
      </w:r>
      <w:r w:rsidRPr="00F71A22">
        <w:rPr>
          <w:b/>
          <w:bCs/>
        </w:rPr>
        <w:t>effectiveness</w:t>
      </w:r>
      <w:r w:rsidRPr="00F71A22">
        <w:t xml:space="preserve"> of the OEST </w:t>
      </w:r>
      <w:r w:rsidR="009D1F8D" w:rsidRPr="00F71A22">
        <w:t>was</w:t>
      </w:r>
      <w:r w:rsidRPr="00F71A22">
        <w:t xml:space="preserve"> </w:t>
      </w:r>
      <w:r w:rsidRPr="00F71A22">
        <w:rPr>
          <w:i/>
          <w:iCs/>
        </w:rPr>
        <w:t>‘Do digital services affect the probability of job seekers finding employment?’</w:t>
      </w:r>
    </w:p>
    <w:p w14:paraId="5416808B" w14:textId="4D7E3CF1" w:rsidR="00C37861" w:rsidRPr="00F71A22" w:rsidRDefault="00C37861" w:rsidP="00F41F10">
      <w:pPr>
        <w:keepNext/>
      </w:pPr>
      <w:r w:rsidRPr="00F71A22">
        <w:t xml:space="preserve">To answer this question, </w:t>
      </w:r>
      <w:r w:rsidR="00756D2F">
        <w:t>two</w:t>
      </w:r>
      <w:r w:rsidRPr="00F71A22">
        <w:t xml:space="preserve"> measures of employment are considered</w:t>
      </w:r>
      <w:r w:rsidR="003E13D3">
        <w:t>:</w:t>
      </w:r>
    </w:p>
    <w:p w14:paraId="7E4E4496" w14:textId="4A22E015" w:rsidR="00C37861" w:rsidRPr="00F71A22" w:rsidRDefault="00C37861" w:rsidP="001F0A0D">
      <w:pPr>
        <w:pStyle w:val="ListBullet"/>
      </w:pPr>
      <w:r w:rsidRPr="00F71A22">
        <w:t xml:space="preserve">exit rates from income </w:t>
      </w:r>
      <w:r w:rsidR="00197296" w:rsidRPr="00F71A22">
        <w:t xml:space="preserve">support </w:t>
      </w:r>
      <w:r w:rsidRPr="00F71A22">
        <w:t>and employment services</w:t>
      </w:r>
      <w:r w:rsidRPr="00F71A22">
        <w:rPr>
          <w:rStyle w:val="FootnoteReference"/>
        </w:rPr>
        <w:footnoteReference w:id="14"/>
      </w:r>
    </w:p>
    <w:p w14:paraId="1BAA2482" w14:textId="56A3CB0E" w:rsidR="00C37861" w:rsidRPr="00F71A22" w:rsidRDefault="00C37861" w:rsidP="001F0A0D">
      <w:pPr>
        <w:pStyle w:val="ListBullet"/>
      </w:pPr>
      <w:r w:rsidRPr="00F71A22">
        <w:t>employment rates based on survey data</w:t>
      </w:r>
      <w:r w:rsidR="0013567D" w:rsidRPr="00F71A22">
        <w:t>.</w:t>
      </w:r>
    </w:p>
    <w:p w14:paraId="7FC49759" w14:textId="77777777" w:rsidR="00803324" w:rsidRDefault="00C37861" w:rsidP="00C37861">
      <w:r w:rsidRPr="00F71A22">
        <w:t>Th</w:t>
      </w:r>
      <w:r w:rsidR="00501AA5">
        <w:t>is</w:t>
      </w:r>
      <w:r w:rsidRPr="00F71A22">
        <w:t xml:space="preserve"> chapter </w:t>
      </w:r>
      <w:r w:rsidR="00B427FD" w:rsidRPr="00F71A22">
        <w:t>also</w:t>
      </w:r>
      <w:r w:rsidRPr="00F71A22">
        <w:t xml:space="preserve"> consider</w:t>
      </w:r>
      <w:r w:rsidR="00B427FD" w:rsidRPr="00F71A22">
        <w:t>s</w:t>
      </w:r>
      <w:r w:rsidRPr="00F71A22">
        <w:t xml:space="preserve"> other measures of </w:t>
      </w:r>
      <w:r w:rsidR="0001666F">
        <w:t>job readiness</w:t>
      </w:r>
      <w:r w:rsidRPr="00F71A22">
        <w:t xml:space="preserve"> including job search skills, confidence and resources.</w:t>
      </w:r>
    </w:p>
    <w:p w14:paraId="6D9EE33A" w14:textId="0E7A2AB2" w:rsidR="00C6580C" w:rsidRPr="00F71A22" w:rsidRDefault="00C6580C" w:rsidP="00C6580C">
      <w:pPr>
        <w:pStyle w:val="Heading2"/>
      </w:pPr>
      <w:bookmarkStart w:id="142" w:name="_Toc67042604"/>
      <w:r w:rsidRPr="00F71A22">
        <w:lastRenderedPageBreak/>
        <w:t>4.1 Exiting income support and employment services</w:t>
      </w:r>
      <w:bookmarkEnd w:id="142"/>
    </w:p>
    <w:p w14:paraId="782CDF08" w14:textId="0569EE3E" w:rsidR="00803324" w:rsidRDefault="00C37861" w:rsidP="00C37861">
      <w:pPr>
        <w:rPr>
          <w:bCs/>
        </w:rPr>
      </w:pPr>
      <w:r w:rsidRPr="00F71A22">
        <w:rPr>
          <w:bCs/>
          <w:iCs/>
        </w:rPr>
        <w:t>Income support and employment services exits are strong proxies for employment. Analysis of administrative data (</w:t>
      </w:r>
      <w:r w:rsidRPr="00501AA5">
        <w:rPr>
          <w:b/>
          <w:iCs/>
        </w:rPr>
        <w:t>Figure 4.1</w:t>
      </w:r>
      <w:r w:rsidRPr="00F71A22">
        <w:rPr>
          <w:bCs/>
          <w:iCs/>
        </w:rPr>
        <w:t xml:space="preserve">) showed that </w:t>
      </w:r>
      <w:r w:rsidRPr="00F71A22">
        <w:rPr>
          <w:bCs/>
        </w:rPr>
        <w:t>OEST participants were as likely as job seekers in the comparison group to exit from income support or employment services</w:t>
      </w:r>
      <w:r w:rsidR="00001EBB" w:rsidRPr="00F71A22">
        <w:rPr>
          <w:rStyle w:val="FootnoteReference"/>
        </w:rPr>
        <w:footnoteReference w:id="15"/>
      </w:r>
      <w:r w:rsidRPr="00F71A22">
        <w:rPr>
          <w:bCs/>
        </w:rPr>
        <w:t xml:space="preserve"> within </w:t>
      </w:r>
      <w:r w:rsidR="003133F3">
        <w:rPr>
          <w:bCs/>
        </w:rPr>
        <w:t>six</w:t>
      </w:r>
      <w:r w:rsidRPr="00F71A22">
        <w:rPr>
          <w:bCs/>
        </w:rPr>
        <w:t xml:space="preserve"> months</w:t>
      </w:r>
      <w:r w:rsidR="00BB265C" w:rsidRPr="00F71A22">
        <w:rPr>
          <w:bCs/>
        </w:rPr>
        <w:t xml:space="preserve"> of service commencement</w:t>
      </w:r>
      <w:r w:rsidRPr="00F71A22">
        <w:rPr>
          <w:bCs/>
        </w:rPr>
        <w:t>.</w:t>
      </w:r>
    </w:p>
    <w:p w14:paraId="3ED35C53" w14:textId="77777777" w:rsidR="0096486A" w:rsidRDefault="0096486A" w:rsidP="0096486A">
      <w:pPr>
        <w:pStyle w:val="FigureCaption"/>
      </w:pPr>
      <w:bookmarkStart w:id="143" w:name="_Toc67042681"/>
      <w:r w:rsidRPr="00F71A22">
        <w:t>Figure 4.1 Comparison of exits from employment services and income support</w:t>
      </w:r>
      <w:bookmarkEnd w:id="143"/>
    </w:p>
    <w:p w14:paraId="4D89B371" w14:textId="77777777" w:rsidR="0096486A" w:rsidRDefault="0096486A" w:rsidP="0096486A">
      <w:r>
        <w:rPr>
          <w:noProof/>
        </w:rPr>
        <w:drawing>
          <wp:inline distT="0" distB="0" distL="0" distR="0" wp14:anchorId="7B78E705" wp14:editId="684392AA">
            <wp:extent cx="5746750" cy="3157855"/>
            <wp:effectExtent l="0" t="0" r="6350" b="4445"/>
            <wp:docPr id="25" name="Picture 25" descr="Bar chart comparing rates of exits from employment services and income support between participants and comparison group.&#10;More comparison group job seekers (51.6%) exited income support within 24 weeks compared with OEST participants (49.7%); however, the rates of exits from employment services were similar between the OEST participants (47%) and comparison group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4-1.png"/>
                    <pic:cNvPicPr/>
                  </pic:nvPicPr>
                  <pic:blipFill>
                    <a:blip r:embed="rId30"/>
                    <a:stretch>
                      <a:fillRect/>
                    </a:stretch>
                  </pic:blipFill>
                  <pic:spPr>
                    <a:xfrm>
                      <a:off x="0" y="0"/>
                      <a:ext cx="5746750" cy="3157855"/>
                    </a:xfrm>
                    <a:prstGeom prst="rect">
                      <a:avLst/>
                    </a:prstGeom>
                  </pic:spPr>
                </pic:pic>
              </a:graphicData>
            </a:graphic>
          </wp:inline>
        </w:drawing>
      </w:r>
    </w:p>
    <w:p w14:paraId="36B5E758" w14:textId="77777777" w:rsidR="0096486A" w:rsidRPr="00F71A22" w:rsidRDefault="0096486A" w:rsidP="0096486A">
      <w:pPr>
        <w:pStyle w:val="Source"/>
        <w:contextualSpacing/>
        <w:rPr>
          <w:lang w:eastAsia="en-AU"/>
        </w:rPr>
      </w:pPr>
      <w:r w:rsidRPr="00F71A22">
        <w:rPr>
          <w:b/>
          <w:bCs/>
          <w:lang w:eastAsia="en-AU"/>
        </w:rPr>
        <w:t>Source</w:t>
      </w:r>
      <w:r w:rsidRPr="00F71A22">
        <w:rPr>
          <w:lang w:eastAsia="en-AU"/>
        </w:rPr>
        <w:t xml:space="preserve">: DESE </w:t>
      </w:r>
      <w:r>
        <w:rPr>
          <w:lang w:eastAsia="en-AU"/>
        </w:rPr>
        <w:t>a</w:t>
      </w:r>
      <w:r w:rsidRPr="00F71A22">
        <w:rPr>
          <w:lang w:eastAsia="en-AU"/>
        </w:rPr>
        <w:t xml:space="preserve">dministrative </w:t>
      </w:r>
      <w:r>
        <w:rPr>
          <w:lang w:eastAsia="en-AU"/>
        </w:rPr>
        <w:t>d</w:t>
      </w:r>
      <w:r w:rsidRPr="00F71A22">
        <w:rPr>
          <w:lang w:eastAsia="en-AU"/>
        </w:rPr>
        <w:t>ata</w:t>
      </w:r>
      <w:r>
        <w:rPr>
          <w:lang w:eastAsia="en-AU"/>
        </w:rPr>
        <w:br/>
      </w:r>
      <w:r w:rsidRPr="00F71A22">
        <w:rPr>
          <w:b/>
          <w:bCs/>
          <w:lang w:eastAsia="en-AU"/>
        </w:rPr>
        <w:t>Note</w:t>
      </w:r>
      <w:r w:rsidRPr="00F71A22">
        <w:rPr>
          <w:lang w:eastAsia="en-AU"/>
        </w:rPr>
        <w:t>: *indicates a statistically significant difference between groups at p</w:t>
      </w:r>
      <w:r>
        <w:rPr>
          <w:lang w:eastAsia="en-AU"/>
        </w:rPr>
        <w:t xml:space="preserve"> </w:t>
      </w:r>
      <w:r w:rsidRPr="00F71A22">
        <w:rPr>
          <w:lang w:eastAsia="en-AU"/>
        </w:rPr>
        <w:t>&lt; 0.05</w:t>
      </w:r>
    </w:p>
    <w:p w14:paraId="3E3D64DE" w14:textId="33EF2360" w:rsidR="00501AA5" w:rsidRDefault="00501AA5" w:rsidP="00501AA5">
      <w:pPr>
        <w:rPr>
          <w:bCs/>
        </w:rPr>
      </w:pPr>
      <w:r w:rsidRPr="003F1963">
        <w:rPr>
          <w:bCs/>
        </w:rPr>
        <w:t xml:space="preserve">Within </w:t>
      </w:r>
      <w:r w:rsidR="003133F3">
        <w:rPr>
          <w:bCs/>
        </w:rPr>
        <w:t>six</w:t>
      </w:r>
      <w:r>
        <w:rPr>
          <w:bCs/>
        </w:rPr>
        <w:t> </w:t>
      </w:r>
      <w:r w:rsidRPr="003F1963">
        <w:rPr>
          <w:bCs/>
        </w:rPr>
        <w:t xml:space="preserve">months </w:t>
      </w:r>
      <w:r>
        <w:rPr>
          <w:bCs/>
        </w:rPr>
        <w:t xml:space="preserve">(24 weeks) </w:t>
      </w:r>
      <w:r w:rsidRPr="003F1963">
        <w:rPr>
          <w:bCs/>
        </w:rPr>
        <w:t xml:space="preserve">of </w:t>
      </w:r>
      <w:r w:rsidRPr="000E4680">
        <w:rPr>
          <w:bCs/>
        </w:rPr>
        <w:t xml:space="preserve">commencement in the OEST, </w:t>
      </w:r>
      <w:r>
        <w:rPr>
          <w:b/>
          <w:bCs/>
        </w:rPr>
        <w:t>49.7%</w:t>
      </w:r>
      <w:r w:rsidRPr="000E4680">
        <w:rPr>
          <w:bCs/>
        </w:rPr>
        <w:t xml:space="preserve"> of </w:t>
      </w:r>
      <w:r>
        <w:rPr>
          <w:bCs/>
        </w:rPr>
        <w:t>participants</w:t>
      </w:r>
      <w:r w:rsidRPr="000E4680">
        <w:rPr>
          <w:bCs/>
        </w:rPr>
        <w:t xml:space="preserve"> exited from income support compared with </w:t>
      </w:r>
      <w:r>
        <w:rPr>
          <w:b/>
          <w:bCs/>
        </w:rPr>
        <w:t>51.6%</w:t>
      </w:r>
      <w:r w:rsidRPr="000E4680">
        <w:rPr>
          <w:bCs/>
        </w:rPr>
        <w:t xml:space="preserve"> of the</w:t>
      </w:r>
      <w:r w:rsidRPr="00EA5B05">
        <w:rPr>
          <w:bCs/>
        </w:rPr>
        <w:t xml:space="preserve"> comparison group, </w:t>
      </w:r>
      <w:r w:rsidRPr="000E4680">
        <w:rPr>
          <w:bCs/>
        </w:rPr>
        <w:t xml:space="preserve">and </w:t>
      </w:r>
      <w:r>
        <w:rPr>
          <w:bCs/>
        </w:rPr>
        <w:t xml:space="preserve">approximately </w:t>
      </w:r>
      <w:r w:rsidRPr="00D5774E">
        <w:rPr>
          <w:b/>
          <w:bCs/>
        </w:rPr>
        <w:t>47</w:t>
      </w:r>
      <w:r>
        <w:rPr>
          <w:b/>
          <w:bCs/>
        </w:rPr>
        <w:t>%</w:t>
      </w:r>
      <w:r w:rsidRPr="003F1963">
        <w:rPr>
          <w:bCs/>
        </w:rPr>
        <w:t xml:space="preserve"> </w:t>
      </w:r>
      <w:r w:rsidRPr="00EA5B05">
        <w:rPr>
          <w:bCs/>
        </w:rPr>
        <w:t xml:space="preserve">of </w:t>
      </w:r>
      <w:r>
        <w:rPr>
          <w:bCs/>
        </w:rPr>
        <w:t xml:space="preserve">both the </w:t>
      </w:r>
      <w:r w:rsidRPr="00EA5B05">
        <w:rPr>
          <w:bCs/>
        </w:rPr>
        <w:t xml:space="preserve">OEST </w:t>
      </w:r>
      <w:r>
        <w:rPr>
          <w:bCs/>
        </w:rPr>
        <w:t xml:space="preserve">and comparison groups </w:t>
      </w:r>
      <w:r w:rsidRPr="003F1963">
        <w:rPr>
          <w:bCs/>
        </w:rPr>
        <w:t>exit</w:t>
      </w:r>
      <w:r>
        <w:rPr>
          <w:bCs/>
        </w:rPr>
        <w:t xml:space="preserve">ed from employment services within </w:t>
      </w:r>
      <w:r w:rsidR="003133F3">
        <w:rPr>
          <w:bCs/>
        </w:rPr>
        <w:t>six</w:t>
      </w:r>
      <w:r>
        <w:rPr>
          <w:bCs/>
        </w:rPr>
        <w:t> </w:t>
      </w:r>
      <w:r w:rsidRPr="00EA5B05">
        <w:rPr>
          <w:bCs/>
        </w:rPr>
        <w:t>months</w:t>
      </w:r>
      <w:r>
        <w:rPr>
          <w:bCs/>
        </w:rPr>
        <w:t>.</w:t>
      </w:r>
      <w:r w:rsidRPr="00EA5B05">
        <w:rPr>
          <w:bCs/>
        </w:rPr>
        <w:t xml:space="preserve"> </w:t>
      </w:r>
      <w:r>
        <w:rPr>
          <w:bCs/>
        </w:rPr>
        <w:t>Although OEST exits from income support are lower, the difference is not statistically significant.</w:t>
      </w:r>
    </w:p>
    <w:p w14:paraId="55F18248" w14:textId="7F7DC475" w:rsidR="00C6580C" w:rsidRPr="00F71A22" w:rsidRDefault="001D1F69" w:rsidP="00C6580C">
      <w:r w:rsidRPr="00F71A22">
        <w:lastRenderedPageBreak/>
        <w:t>Proportionally m</w:t>
      </w:r>
      <w:r w:rsidR="00C6580C" w:rsidRPr="00F71A22">
        <w:t>ore OEST participants than job seekers in the comparison group exited income support and employment services within one month (</w:t>
      </w:r>
      <w:r w:rsidR="003133F3">
        <w:t>four</w:t>
      </w:r>
      <w:r w:rsidR="00C6580C" w:rsidRPr="00F71A22">
        <w:t xml:space="preserve"> weeks) and </w:t>
      </w:r>
      <w:r w:rsidR="003133F3">
        <w:t>three</w:t>
      </w:r>
      <w:r w:rsidR="00C6580C" w:rsidRPr="00F71A22">
        <w:t xml:space="preserve"> months (12 weeks) of commencement</w:t>
      </w:r>
      <w:r w:rsidR="00F176DF" w:rsidRPr="00F71A22">
        <w:t xml:space="preserve"> in the OEST and provider-based services respectively</w:t>
      </w:r>
      <w:r w:rsidR="00C6580C" w:rsidRPr="00F71A22">
        <w:t>.</w:t>
      </w:r>
    </w:p>
    <w:p w14:paraId="49B5E412" w14:textId="77777777" w:rsidR="00C6580C" w:rsidRPr="00F71A22" w:rsidRDefault="00C6580C" w:rsidP="00B2121F">
      <w:pPr>
        <w:pStyle w:val="Heading3"/>
      </w:pPr>
      <w:bookmarkStart w:id="144" w:name="_Toc67042605"/>
      <w:r w:rsidRPr="00F71A22">
        <w:t>4.1.1 Exit rates after transferring to provider servicing</w:t>
      </w:r>
      <w:bookmarkEnd w:id="144"/>
    </w:p>
    <w:p w14:paraId="41472567" w14:textId="7DD54CD8" w:rsidR="009B1F95" w:rsidRDefault="009B1F95" w:rsidP="009B1F95">
      <w:r>
        <w:t xml:space="preserve">The above analysis relates to exit rates for OEST participants during </w:t>
      </w:r>
      <w:r w:rsidR="008573ED">
        <w:t xml:space="preserve">six </w:t>
      </w:r>
      <w:r>
        <w:t>months of OEST servicing.</w:t>
      </w:r>
      <w:r>
        <w:rPr>
          <w:rStyle w:val="FootnoteReference"/>
        </w:rPr>
        <w:footnoteReference w:id="16"/>
      </w:r>
      <w:r>
        <w:t xml:space="preserve"> However, OEST participation could affect exit rates after the participant had completed their </w:t>
      </w:r>
      <w:r w:rsidR="003133F3">
        <w:t>six</w:t>
      </w:r>
      <w:r>
        <w:t> months in OEST and transferred to a jobactive provider.</w:t>
      </w:r>
    </w:p>
    <w:p w14:paraId="6172B456" w14:textId="7E7E1F98" w:rsidR="009B1F95" w:rsidRDefault="009B1F95" w:rsidP="009B1F95">
      <w:r>
        <w:t>Further analysis (</w:t>
      </w:r>
      <w:r w:rsidRPr="001261D9">
        <w:rPr>
          <w:b/>
        </w:rPr>
        <w:t>Table 4.1</w:t>
      </w:r>
      <w:r>
        <w:t xml:space="preserve">) of departmental administrative data after a </w:t>
      </w:r>
      <w:r w:rsidR="003133F3">
        <w:t>nine</w:t>
      </w:r>
      <w:r>
        <w:t>-month period</w:t>
      </w:r>
      <w:r>
        <w:rPr>
          <w:rStyle w:val="FootnoteReference"/>
        </w:rPr>
        <w:footnoteReference w:id="17"/>
      </w:r>
      <w:r>
        <w:t xml:space="preserve"> (</w:t>
      </w:r>
      <w:r w:rsidR="003133F3">
        <w:t>six</w:t>
      </w:r>
      <w:r>
        <w:t xml:space="preserve"> months in OEST and </w:t>
      </w:r>
      <w:r w:rsidR="003133F3">
        <w:t>three</w:t>
      </w:r>
      <w:r>
        <w:t xml:space="preserve"> months in provider servicing) showed that OEST participants were less likely to exit from income support and employment services (</w:t>
      </w:r>
      <w:r w:rsidR="00315B14" w:rsidRPr="008573ED">
        <w:rPr>
          <w:b/>
          <w:bCs/>
        </w:rPr>
        <w:t>3</w:t>
      </w:r>
      <w:r w:rsidRPr="0078049B">
        <w:rPr>
          <w:b/>
        </w:rPr>
        <w:t>5.</w:t>
      </w:r>
      <w:r w:rsidR="00315B14">
        <w:rPr>
          <w:b/>
        </w:rPr>
        <w:t>7</w:t>
      </w:r>
      <w:r>
        <w:rPr>
          <w:b/>
        </w:rPr>
        <w:t>%</w:t>
      </w:r>
      <w:r>
        <w:t xml:space="preserve"> and </w:t>
      </w:r>
      <w:r w:rsidR="00315B14">
        <w:rPr>
          <w:b/>
        </w:rPr>
        <w:t>31</w:t>
      </w:r>
      <w:r w:rsidRPr="0078049B">
        <w:rPr>
          <w:b/>
        </w:rPr>
        <w:t>.</w:t>
      </w:r>
      <w:r w:rsidR="00315B14">
        <w:rPr>
          <w:b/>
        </w:rPr>
        <w:t>5</w:t>
      </w:r>
      <w:r>
        <w:rPr>
          <w:b/>
        </w:rPr>
        <w:t>%</w:t>
      </w:r>
      <w:r>
        <w:t xml:space="preserve"> respectively) than the comparison group </w:t>
      </w:r>
      <w:r w:rsidR="00315B14">
        <w:t>(</w:t>
      </w:r>
      <w:r w:rsidR="00315B14" w:rsidRPr="008573ED">
        <w:rPr>
          <w:b/>
          <w:bCs/>
        </w:rPr>
        <w:t>41.0%</w:t>
      </w:r>
      <w:r w:rsidR="00315B14">
        <w:t xml:space="preserve"> and </w:t>
      </w:r>
      <w:r w:rsidR="00315B14" w:rsidRPr="008573ED">
        <w:rPr>
          <w:b/>
          <w:bCs/>
        </w:rPr>
        <w:t>34.2%</w:t>
      </w:r>
      <w:r w:rsidR="00315B14">
        <w:t xml:space="preserve"> respectively) </w:t>
      </w:r>
      <w:r>
        <w:t xml:space="preserve">between </w:t>
      </w:r>
      <w:r w:rsidR="003133F3">
        <w:t>six</w:t>
      </w:r>
      <w:r>
        <w:t xml:space="preserve"> and </w:t>
      </w:r>
      <w:r w:rsidR="003133F3">
        <w:t>nine</w:t>
      </w:r>
      <w:r>
        <w:t> months of service. The difference for exits from income support was small but statistically significant.</w:t>
      </w:r>
    </w:p>
    <w:p w14:paraId="78BE3452" w14:textId="1E128011" w:rsidR="00C6580C" w:rsidRPr="00F71A22" w:rsidRDefault="00C6580C" w:rsidP="00EA7A5C">
      <w:r w:rsidRPr="00F71A22">
        <w:t xml:space="preserve">The lower exit rates after transferring to a provider could be for </w:t>
      </w:r>
      <w:r w:rsidR="00F176DF" w:rsidRPr="00F71A22">
        <w:t>several</w:t>
      </w:r>
      <w:r w:rsidRPr="00F71A22">
        <w:t xml:space="preserve"> reasons:</w:t>
      </w:r>
    </w:p>
    <w:p w14:paraId="05D45ECB" w14:textId="67D787B2" w:rsidR="009B1F95" w:rsidRDefault="009B1F95" w:rsidP="00212488">
      <w:pPr>
        <w:pStyle w:val="ListBullet"/>
      </w:pPr>
      <w:r>
        <w:t>jobactive providers might focus less on recently transferred OEST participants. When a participant transferred from the OEST to a jobactive provider, they were treated as a new participant for the purpose of provider outcome payments.</w:t>
      </w:r>
      <w:r>
        <w:rPr>
          <w:rStyle w:val="FootnoteReference"/>
        </w:rPr>
        <w:footnoteReference w:id="18"/>
      </w:r>
      <w:r>
        <w:t xml:space="preserve"> This meant that providers had less </w:t>
      </w:r>
      <w:r w:rsidR="00EF2054">
        <w:t xml:space="preserve">financial </w:t>
      </w:r>
      <w:r>
        <w:t xml:space="preserve">incentive to place the participant in a job relative to a job seeker who had been with the provider for more than </w:t>
      </w:r>
      <w:r w:rsidR="00611273">
        <w:t>six</w:t>
      </w:r>
      <w:r>
        <w:t> months.</w:t>
      </w:r>
    </w:p>
    <w:p w14:paraId="3F453CAE" w14:textId="74B6C492" w:rsidR="009B1F95" w:rsidRDefault="009B1F95" w:rsidP="00212488">
      <w:pPr>
        <w:pStyle w:val="ListBullet"/>
      </w:pPr>
      <w:r>
        <w:t>The transition from OEST to a jobactive provider disrupted a participant’s servicing</w:t>
      </w:r>
      <w:r w:rsidR="00EF2054">
        <w:t>,</w:t>
      </w:r>
      <w:r>
        <w:t xml:space="preserve"> with qualitative feedback indicating that the transition could have been smoother (see </w:t>
      </w:r>
      <w:r w:rsidRPr="001261D9">
        <w:rPr>
          <w:b/>
        </w:rPr>
        <w:t>Section 5.2</w:t>
      </w:r>
      <w:r>
        <w:t>).</w:t>
      </w:r>
    </w:p>
    <w:p w14:paraId="5E35BC1F" w14:textId="77777777" w:rsidR="009B1F95" w:rsidRDefault="009B1F95" w:rsidP="00212488">
      <w:pPr>
        <w:pStyle w:val="ListBullet"/>
      </w:pPr>
      <w:r>
        <w:t xml:space="preserve">There may be disadvantages to extended periods in online servicing, including job seekers losing motivation (see </w:t>
      </w:r>
      <w:r w:rsidRPr="001261D9">
        <w:rPr>
          <w:b/>
        </w:rPr>
        <w:t>Section 5.1.4</w:t>
      </w:r>
      <w:r>
        <w:t>).</w:t>
      </w:r>
    </w:p>
    <w:p w14:paraId="75706722" w14:textId="34CEC86F" w:rsidR="00C6580C" w:rsidRDefault="00C6580C" w:rsidP="00C6580C">
      <w:pPr>
        <w:rPr>
          <w:bCs/>
        </w:rPr>
      </w:pPr>
      <w:r w:rsidRPr="00F71A22">
        <w:rPr>
          <w:bCs/>
        </w:rPr>
        <w:lastRenderedPageBreak/>
        <w:t xml:space="preserve">This analysis should be treated with caution as it is based on a small sample and pertains to participants who </w:t>
      </w:r>
      <w:r w:rsidR="00EE3B60" w:rsidRPr="00F71A22">
        <w:rPr>
          <w:bCs/>
        </w:rPr>
        <w:t xml:space="preserve">had </w:t>
      </w:r>
      <w:r w:rsidR="00BB265C" w:rsidRPr="00F71A22">
        <w:rPr>
          <w:bCs/>
        </w:rPr>
        <w:t xml:space="preserve">been through </w:t>
      </w:r>
      <w:r w:rsidRPr="00F71A22">
        <w:rPr>
          <w:bCs/>
        </w:rPr>
        <w:t xml:space="preserve">the first </w:t>
      </w:r>
      <w:r w:rsidR="00611273">
        <w:rPr>
          <w:bCs/>
        </w:rPr>
        <w:t>six</w:t>
      </w:r>
      <w:r w:rsidRPr="00F71A22">
        <w:rPr>
          <w:bCs/>
        </w:rPr>
        <w:t xml:space="preserve"> months of the trial</w:t>
      </w:r>
      <w:r w:rsidR="005519F5" w:rsidRPr="00F71A22">
        <w:rPr>
          <w:bCs/>
        </w:rPr>
        <w:t xml:space="preserve"> while the service delivery was still being refined</w:t>
      </w:r>
      <w:r w:rsidRPr="00F71A22">
        <w:rPr>
          <w:bCs/>
        </w:rPr>
        <w:t>. However</w:t>
      </w:r>
      <w:r w:rsidR="00EE3B60" w:rsidRPr="00F71A22">
        <w:rPr>
          <w:bCs/>
        </w:rPr>
        <w:t>,</w:t>
      </w:r>
      <w:r w:rsidRPr="00F71A22">
        <w:rPr>
          <w:bCs/>
        </w:rPr>
        <w:t xml:space="preserve"> it is reinforced by the employment rates analysis (</w:t>
      </w:r>
      <w:r w:rsidR="005519F5" w:rsidRPr="00F71A22">
        <w:rPr>
          <w:bCs/>
        </w:rPr>
        <w:t xml:space="preserve">see </w:t>
      </w:r>
      <w:r w:rsidRPr="009B1F95">
        <w:rPr>
          <w:b/>
        </w:rPr>
        <w:t>Section 4.2.1</w:t>
      </w:r>
      <w:r w:rsidRPr="00F71A22">
        <w:rPr>
          <w:bCs/>
        </w:rPr>
        <w:t>).</w:t>
      </w:r>
    </w:p>
    <w:p w14:paraId="0055611A" w14:textId="002CA5EE" w:rsidR="00197296" w:rsidRPr="00F71A22" w:rsidRDefault="00197296" w:rsidP="00197296">
      <w:pPr>
        <w:pStyle w:val="TableCaption"/>
      </w:pPr>
      <w:bookmarkStart w:id="145" w:name="_Toc51340540"/>
      <w:bookmarkStart w:id="146" w:name="_Toc67042664"/>
      <w:bookmarkStart w:id="147" w:name="_Hlk52977464"/>
      <w:bookmarkStart w:id="148" w:name="_Hlk51250249"/>
      <w:r w:rsidRPr="00F71A22">
        <w:t xml:space="preserve">Table 4.1 Exits from income support and employment services for OEST participants compared with job seekers in provider-based services who have completed </w:t>
      </w:r>
      <w:r w:rsidR="00611273">
        <w:t>six</w:t>
      </w:r>
      <w:r w:rsidRPr="00F71A22">
        <w:t xml:space="preserve"> months</w:t>
      </w:r>
      <w:bookmarkEnd w:id="145"/>
      <w:bookmarkEnd w:id="146"/>
    </w:p>
    <w:tbl>
      <w:tblPr>
        <w:tblW w:w="9359" w:type="dxa"/>
        <w:tblLook w:val="04A0" w:firstRow="1" w:lastRow="0" w:firstColumn="1" w:lastColumn="0" w:noHBand="0" w:noVBand="1"/>
      </w:tblPr>
      <w:tblGrid>
        <w:gridCol w:w="4180"/>
        <w:gridCol w:w="640"/>
        <w:gridCol w:w="850"/>
        <w:gridCol w:w="709"/>
        <w:gridCol w:w="1265"/>
        <w:gridCol w:w="651"/>
        <w:gridCol w:w="1064"/>
      </w:tblGrid>
      <w:tr w:rsidR="00EE3B60" w:rsidRPr="00F71A22" w14:paraId="22EF5A5B" w14:textId="77777777" w:rsidTr="005B0683">
        <w:trPr>
          <w:cantSplit/>
          <w:trHeight w:val="975"/>
          <w:tblHeader/>
        </w:trPr>
        <w:tc>
          <w:tcPr>
            <w:tcW w:w="4180" w:type="dxa"/>
            <w:tcBorders>
              <w:top w:val="single" w:sz="4" w:space="0" w:color="auto"/>
              <w:left w:val="nil"/>
              <w:bottom w:val="single" w:sz="8" w:space="0" w:color="auto"/>
              <w:right w:val="nil"/>
            </w:tcBorders>
            <w:shd w:val="clear" w:color="auto" w:fill="002D3F"/>
            <w:vAlign w:val="center"/>
            <w:hideMark/>
          </w:tcPr>
          <w:bookmarkEnd w:id="147"/>
          <w:p w14:paraId="71BCB9DE" w14:textId="77777777" w:rsidR="00F96257" w:rsidRPr="00F71A22" w:rsidRDefault="00F96257" w:rsidP="00EE3B60">
            <w:pPr>
              <w:pStyle w:val="TableText"/>
              <w:rPr>
                <w:b/>
                <w:bCs w:val="0"/>
                <w:color w:val="FFFFFF" w:themeColor="background1"/>
              </w:rPr>
            </w:pPr>
            <w:r w:rsidRPr="00F71A22">
              <w:rPr>
                <w:b/>
                <w:bCs w:val="0"/>
                <w:color w:val="FFFFFF" w:themeColor="background1"/>
              </w:rPr>
              <w:t>Exits</w:t>
            </w:r>
          </w:p>
        </w:tc>
        <w:tc>
          <w:tcPr>
            <w:tcW w:w="1490" w:type="dxa"/>
            <w:gridSpan w:val="2"/>
            <w:tcBorders>
              <w:top w:val="single" w:sz="4" w:space="0" w:color="auto"/>
              <w:left w:val="nil"/>
              <w:bottom w:val="single" w:sz="8" w:space="0" w:color="auto"/>
              <w:right w:val="nil"/>
            </w:tcBorders>
            <w:shd w:val="clear" w:color="auto" w:fill="002D3F"/>
            <w:vAlign w:val="center"/>
            <w:hideMark/>
          </w:tcPr>
          <w:p w14:paraId="70336DA3" w14:textId="16B8BEC4" w:rsidR="00F96257" w:rsidRPr="00F71A22" w:rsidRDefault="00F96257" w:rsidP="005A631F">
            <w:pPr>
              <w:pStyle w:val="TableText"/>
              <w:jc w:val="center"/>
              <w:rPr>
                <w:b/>
                <w:bCs w:val="0"/>
                <w:color w:val="FFFFFF" w:themeColor="background1"/>
              </w:rPr>
            </w:pPr>
            <w:r w:rsidRPr="00F71A22">
              <w:rPr>
                <w:b/>
                <w:bCs w:val="0"/>
                <w:color w:val="FFFFFF" w:themeColor="background1"/>
              </w:rPr>
              <w:t>Number of OEST participants</w:t>
            </w:r>
            <w:r w:rsidRPr="009B1F95">
              <w:rPr>
                <w:b/>
                <w:bCs w:val="0"/>
                <w:color w:val="FFFFFF" w:themeColor="background1"/>
                <w:vertAlign w:val="superscript"/>
              </w:rPr>
              <w:t>(1)</w:t>
            </w:r>
          </w:p>
        </w:tc>
        <w:tc>
          <w:tcPr>
            <w:tcW w:w="709" w:type="dxa"/>
            <w:tcBorders>
              <w:top w:val="single" w:sz="4" w:space="0" w:color="auto"/>
              <w:left w:val="nil"/>
              <w:bottom w:val="single" w:sz="8" w:space="0" w:color="auto"/>
              <w:right w:val="nil"/>
            </w:tcBorders>
            <w:shd w:val="clear" w:color="auto" w:fill="002D3F"/>
            <w:vAlign w:val="center"/>
            <w:hideMark/>
          </w:tcPr>
          <w:p w14:paraId="0001E6F4" w14:textId="4C9AC6D7" w:rsidR="00F96257" w:rsidRPr="00F71A22" w:rsidRDefault="00D51E90" w:rsidP="005A631F">
            <w:pPr>
              <w:pStyle w:val="TableText"/>
              <w:jc w:val="center"/>
              <w:rPr>
                <w:b/>
                <w:bCs w:val="0"/>
                <w:color w:val="FFFFFF" w:themeColor="background1"/>
              </w:rPr>
            </w:pPr>
            <w:r w:rsidRPr="00F71A22">
              <w:rPr>
                <w:b/>
                <w:bCs w:val="0"/>
                <w:color w:val="FFFFFF" w:themeColor="background1"/>
              </w:rPr>
              <w:t>(%)</w:t>
            </w:r>
          </w:p>
        </w:tc>
        <w:tc>
          <w:tcPr>
            <w:tcW w:w="1265" w:type="dxa"/>
            <w:tcBorders>
              <w:top w:val="single" w:sz="4" w:space="0" w:color="auto"/>
              <w:left w:val="nil"/>
              <w:bottom w:val="single" w:sz="8" w:space="0" w:color="auto"/>
              <w:right w:val="nil"/>
            </w:tcBorders>
            <w:shd w:val="clear" w:color="auto" w:fill="002D3F"/>
            <w:vAlign w:val="center"/>
            <w:hideMark/>
          </w:tcPr>
          <w:p w14:paraId="6405BEEF" w14:textId="487B1648" w:rsidR="00F96257" w:rsidRPr="00F71A22" w:rsidRDefault="00F96257" w:rsidP="005A631F">
            <w:pPr>
              <w:pStyle w:val="TableText"/>
              <w:jc w:val="center"/>
              <w:rPr>
                <w:b/>
                <w:bCs w:val="0"/>
                <w:color w:val="FFFFFF" w:themeColor="background1"/>
              </w:rPr>
            </w:pPr>
            <w:r w:rsidRPr="00F71A22">
              <w:rPr>
                <w:b/>
                <w:bCs w:val="0"/>
                <w:color w:val="FFFFFF" w:themeColor="background1"/>
              </w:rPr>
              <w:t>Number of comparison group</w:t>
            </w:r>
            <w:r w:rsidRPr="009B1F95">
              <w:rPr>
                <w:b/>
                <w:bCs w:val="0"/>
                <w:color w:val="FFFFFF" w:themeColor="background1"/>
                <w:vertAlign w:val="superscript"/>
              </w:rPr>
              <w:t>(2)</w:t>
            </w:r>
          </w:p>
        </w:tc>
        <w:tc>
          <w:tcPr>
            <w:tcW w:w="651" w:type="dxa"/>
            <w:tcBorders>
              <w:top w:val="single" w:sz="4" w:space="0" w:color="auto"/>
              <w:left w:val="nil"/>
              <w:bottom w:val="single" w:sz="8" w:space="0" w:color="auto"/>
              <w:right w:val="nil"/>
            </w:tcBorders>
            <w:shd w:val="clear" w:color="auto" w:fill="002D3F"/>
            <w:vAlign w:val="center"/>
            <w:hideMark/>
          </w:tcPr>
          <w:p w14:paraId="4B7ABBAE" w14:textId="4DF35C4E" w:rsidR="00F96257" w:rsidRPr="00F71A22" w:rsidRDefault="00D51E90" w:rsidP="005A631F">
            <w:pPr>
              <w:pStyle w:val="TableText"/>
              <w:jc w:val="center"/>
              <w:rPr>
                <w:b/>
                <w:bCs w:val="0"/>
                <w:color w:val="FFFFFF" w:themeColor="background1"/>
              </w:rPr>
            </w:pPr>
            <w:r w:rsidRPr="00F71A22">
              <w:rPr>
                <w:b/>
                <w:bCs w:val="0"/>
                <w:color w:val="FFFFFF" w:themeColor="background1"/>
              </w:rPr>
              <w:t>(%)</w:t>
            </w:r>
          </w:p>
        </w:tc>
        <w:tc>
          <w:tcPr>
            <w:tcW w:w="1064" w:type="dxa"/>
            <w:tcBorders>
              <w:top w:val="single" w:sz="4" w:space="0" w:color="auto"/>
              <w:left w:val="nil"/>
              <w:bottom w:val="single" w:sz="8" w:space="0" w:color="auto"/>
              <w:right w:val="nil"/>
            </w:tcBorders>
            <w:shd w:val="clear" w:color="auto" w:fill="002D3F"/>
            <w:vAlign w:val="center"/>
            <w:hideMark/>
          </w:tcPr>
          <w:p w14:paraId="3E7ED648" w14:textId="63F8B874" w:rsidR="00F96257" w:rsidRPr="00F71A22" w:rsidRDefault="00F96257" w:rsidP="005A631F">
            <w:pPr>
              <w:pStyle w:val="TableText"/>
              <w:jc w:val="center"/>
              <w:rPr>
                <w:b/>
                <w:bCs w:val="0"/>
                <w:color w:val="FFFFFF" w:themeColor="background1"/>
              </w:rPr>
            </w:pPr>
            <w:r w:rsidRPr="00F71A22">
              <w:rPr>
                <w:b/>
                <w:bCs w:val="0"/>
                <w:color w:val="FFFFFF" w:themeColor="background1"/>
              </w:rPr>
              <w:t>Per</w:t>
            </w:r>
            <w:r w:rsidR="00EE3B60" w:rsidRPr="00F71A22">
              <w:rPr>
                <w:b/>
                <w:bCs w:val="0"/>
                <w:color w:val="FFFFFF" w:themeColor="background1"/>
              </w:rPr>
              <w:t xml:space="preserve"> </w:t>
            </w:r>
            <w:r w:rsidRPr="00F71A22">
              <w:rPr>
                <w:b/>
                <w:bCs w:val="0"/>
                <w:color w:val="FFFFFF" w:themeColor="background1"/>
              </w:rPr>
              <w:t>cent difference</w:t>
            </w:r>
          </w:p>
        </w:tc>
      </w:tr>
      <w:tr w:rsidR="00F9330E" w:rsidRPr="00F71A22" w14:paraId="52DCF613" w14:textId="77777777" w:rsidTr="00BB0B2B">
        <w:trPr>
          <w:trHeight w:val="300"/>
        </w:trPr>
        <w:tc>
          <w:tcPr>
            <w:tcW w:w="4820" w:type="dxa"/>
            <w:gridSpan w:val="2"/>
            <w:tcBorders>
              <w:top w:val="nil"/>
              <w:left w:val="nil"/>
              <w:bottom w:val="nil"/>
              <w:right w:val="nil"/>
            </w:tcBorders>
            <w:shd w:val="clear" w:color="auto" w:fill="auto"/>
            <w:noWrap/>
            <w:vAlign w:val="bottom"/>
          </w:tcPr>
          <w:p w14:paraId="67C8E08F" w14:textId="636C5770" w:rsidR="00F9330E" w:rsidRPr="00F71A22" w:rsidRDefault="00F9330E" w:rsidP="00F9330E">
            <w:pPr>
              <w:pStyle w:val="TableText"/>
              <w:keepNext/>
              <w:rPr>
                <w:color w:val="000000"/>
                <w:szCs w:val="20"/>
              </w:rPr>
            </w:pPr>
            <w:r w:rsidRPr="00F71A22">
              <w:rPr>
                <w:i/>
                <w:iCs/>
                <w:color w:val="000000"/>
                <w:szCs w:val="20"/>
              </w:rPr>
              <w:t>Exits from income support since commencement</w:t>
            </w:r>
          </w:p>
        </w:tc>
        <w:tc>
          <w:tcPr>
            <w:tcW w:w="850" w:type="dxa"/>
            <w:tcBorders>
              <w:top w:val="nil"/>
              <w:left w:val="nil"/>
              <w:bottom w:val="nil"/>
              <w:right w:val="nil"/>
            </w:tcBorders>
            <w:shd w:val="clear" w:color="auto" w:fill="auto"/>
            <w:noWrap/>
            <w:vAlign w:val="bottom"/>
          </w:tcPr>
          <w:p w14:paraId="205BCC95" w14:textId="11211F65" w:rsidR="00F9330E" w:rsidRPr="00F71A22" w:rsidRDefault="00F9330E" w:rsidP="00F9330E">
            <w:pPr>
              <w:pStyle w:val="TableText"/>
              <w:keepNext/>
              <w:jc w:val="right"/>
              <w:rPr>
                <w:color w:val="000000"/>
                <w:szCs w:val="20"/>
              </w:rPr>
            </w:pPr>
            <w:r w:rsidRPr="00FD1C43">
              <w:rPr>
                <w:color w:val="FFFFFF" w:themeColor="background1"/>
                <w:szCs w:val="20"/>
              </w:rPr>
              <w:t>—</w:t>
            </w:r>
          </w:p>
        </w:tc>
        <w:tc>
          <w:tcPr>
            <w:tcW w:w="709" w:type="dxa"/>
            <w:tcBorders>
              <w:top w:val="nil"/>
              <w:left w:val="nil"/>
              <w:bottom w:val="nil"/>
              <w:right w:val="nil"/>
            </w:tcBorders>
            <w:shd w:val="clear" w:color="auto" w:fill="auto"/>
            <w:noWrap/>
          </w:tcPr>
          <w:p w14:paraId="7CC4228D" w14:textId="3D56481F" w:rsidR="00F9330E" w:rsidRPr="00F71A22" w:rsidRDefault="00F9330E" w:rsidP="00F9330E">
            <w:pPr>
              <w:pStyle w:val="TableText"/>
              <w:keepNext/>
              <w:jc w:val="right"/>
              <w:rPr>
                <w:color w:val="000000"/>
                <w:szCs w:val="20"/>
              </w:rPr>
            </w:pPr>
            <w:r w:rsidRPr="00FD1C43">
              <w:rPr>
                <w:color w:val="FFFFFF" w:themeColor="background1"/>
                <w:szCs w:val="20"/>
              </w:rPr>
              <w:t>—</w:t>
            </w:r>
          </w:p>
        </w:tc>
        <w:tc>
          <w:tcPr>
            <w:tcW w:w="1265" w:type="dxa"/>
            <w:tcBorders>
              <w:top w:val="nil"/>
              <w:left w:val="nil"/>
              <w:bottom w:val="nil"/>
              <w:right w:val="nil"/>
            </w:tcBorders>
            <w:shd w:val="clear" w:color="auto" w:fill="auto"/>
            <w:noWrap/>
          </w:tcPr>
          <w:p w14:paraId="0B6E84CB" w14:textId="3219A887" w:rsidR="00F9330E" w:rsidRPr="00F71A22" w:rsidRDefault="00F9330E" w:rsidP="00F9330E">
            <w:pPr>
              <w:pStyle w:val="TableText"/>
              <w:keepNext/>
              <w:jc w:val="right"/>
              <w:rPr>
                <w:color w:val="000000"/>
                <w:szCs w:val="20"/>
              </w:rPr>
            </w:pPr>
            <w:r w:rsidRPr="00FD1C43">
              <w:rPr>
                <w:color w:val="FFFFFF" w:themeColor="background1"/>
                <w:szCs w:val="20"/>
              </w:rPr>
              <w:t>—</w:t>
            </w:r>
          </w:p>
        </w:tc>
        <w:tc>
          <w:tcPr>
            <w:tcW w:w="651" w:type="dxa"/>
            <w:tcBorders>
              <w:top w:val="nil"/>
              <w:left w:val="nil"/>
              <w:bottom w:val="nil"/>
              <w:right w:val="nil"/>
            </w:tcBorders>
            <w:shd w:val="clear" w:color="auto" w:fill="auto"/>
            <w:noWrap/>
          </w:tcPr>
          <w:p w14:paraId="29E9261B" w14:textId="1D62FFAA" w:rsidR="00F9330E" w:rsidRPr="00F71A22" w:rsidRDefault="00F9330E" w:rsidP="00F9330E">
            <w:pPr>
              <w:pStyle w:val="TableText"/>
              <w:keepNext/>
              <w:jc w:val="right"/>
              <w:rPr>
                <w:color w:val="000000"/>
                <w:szCs w:val="20"/>
              </w:rPr>
            </w:pPr>
            <w:r w:rsidRPr="00FD1C43">
              <w:rPr>
                <w:color w:val="FFFFFF" w:themeColor="background1"/>
                <w:szCs w:val="20"/>
              </w:rPr>
              <w:t>—</w:t>
            </w:r>
          </w:p>
        </w:tc>
        <w:tc>
          <w:tcPr>
            <w:tcW w:w="1064" w:type="dxa"/>
            <w:tcBorders>
              <w:top w:val="nil"/>
              <w:left w:val="nil"/>
              <w:bottom w:val="nil"/>
              <w:right w:val="nil"/>
            </w:tcBorders>
            <w:shd w:val="clear" w:color="auto" w:fill="auto"/>
            <w:noWrap/>
          </w:tcPr>
          <w:p w14:paraId="7067A2C9" w14:textId="79F6CE35" w:rsidR="00F9330E" w:rsidRPr="00F71A22" w:rsidRDefault="00F9330E" w:rsidP="00F9330E">
            <w:pPr>
              <w:pStyle w:val="TableText"/>
              <w:keepNext/>
              <w:jc w:val="right"/>
              <w:rPr>
                <w:color w:val="000000"/>
                <w:szCs w:val="20"/>
              </w:rPr>
            </w:pPr>
            <w:r w:rsidRPr="00FD1C43">
              <w:rPr>
                <w:color w:val="FFFFFF" w:themeColor="background1"/>
                <w:szCs w:val="20"/>
              </w:rPr>
              <w:t>—</w:t>
            </w:r>
          </w:p>
        </w:tc>
      </w:tr>
      <w:tr w:rsidR="005518D2" w:rsidRPr="00F71A22" w14:paraId="4FE57D1D" w14:textId="77777777" w:rsidTr="005A631F">
        <w:trPr>
          <w:trHeight w:val="300"/>
        </w:trPr>
        <w:tc>
          <w:tcPr>
            <w:tcW w:w="4820" w:type="dxa"/>
            <w:gridSpan w:val="2"/>
            <w:tcBorders>
              <w:top w:val="nil"/>
              <w:left w:val="nil"/>
              <w:bottom w:val="nil"/>
              <w:right w:val="nil"/>
            </w:tcBorders>
            <w:shd w:val="clear" w:color="auto" w:fill="auto"/>
            <w:noWrap/>
            <w:vAlign w:val="bottom"/>
            <w:hideMark/>
          </w:tcPr>
          <w:p w14:paraId="280C1A57" w14:textId="3512A106" w:rsidR="00F96257" w:rsidRPr="00F71A22" w:rsidRDefault="00F96257" w:rsidP="00BB0B2B">
            <w:pPr>
              <w:pStyle w:val="TableText"/>
              <w:keepNext/>
              <w:rPr>
                <w:color w:val="000000"/>
                <w:szCs w:val="20"/>
              </w:rPr>
            </w:pPr>
            <w:r w:rsidRPr="00F71A22">
              <w:rPr>
                <w:color w:val="000000"/>
                <w:szCs w:val="20"/>
              </w:rPr>
              <w:t xml:space="preserve">  </w:t>
            </w:r>
            <w:r w:rsidR="003E13D3">
              <w:rPr>
                <w:color w:val="000000"/>
                <w:szCs w:val="20"/>
              </w:rPr>
              <w:t>–</w:t>
            </w:r>
            <w:r w:rsidR="003E13D3" w:rsidRPr="00F71A22">
              <w:rPr>
                <w:color w:val="000000"/>
                <w:szCs w:val="20"/>
              </w:rPr>
              <w:t xml:space="preserve"> </w:t>
            </w:r>
            <w:r w:rsidRPr="00F71A22">
              <w:rPr>
                <w:color w:val="000000"/>
                <w:szCs w:val="20"/>
              </w:rPr>
              <w:t>within 39 weeks</w:t>
            </w:r>
          </w:p>
        </w:tc>
        <w:tc>
          <w:tcPr>
            <w:tcW w:w="850" w:type="dxa"/>
            <w:tcBorders>
              <w:top w:val="nil"/>
              <w:left w:val="nil"/>
              <w:bottom w:val="nil"/>
              <w:right w:val="nil"/>
            </w:tcBorders>
            <w:shd w:val="clear" w:color="auto" w:fill="auto"/>
            <w:noWrap/>
            <w:vAlign w:val="bottom"/>
            <w:hideMark/>
          </w:tcPr>
          <w:p w14:paraId="735B4BEE" w14:textId="77777777" w:rsidR="00F96257" w:rsidRPr="00F71A22" w:rsidRDefault="00F96257" w:rsidP="00BB0B2B">
            <w:pPr>
              <w:pStyle w:val="TableText"/>
              <w:keepNext/>
              <w:jc w:val="right"/>
              <w:rPr>
                <w:color w:val="000000"/>
                <w:szCs w:val="20"/>
              </w:rPr>
            </w:pPr>
            <w:r w:rsidRPr="00F71A22">
              <w:rPr>
                <w:color w:val="000000"/>
                <w:szCs w:val="20"/>
              </w:rPr>
              <w:t>196</w:t>
            </w:r>
          </w:p>
        </w:tc>
        <w:tc>
          <w:tcPr>
            <w:tcW w:w="709" w:type="dxa"/>
            <w:tcBorders>
              <w:top w:val="nil"/>
              <w:left w:val="nil"/>
              <w:bottom w:val="nil"/>
              <w:right w:val="nil"/>
            </w:tcBorders>
            <w:shd w:val="clear" w:color="auto" w:fill="auto"/>
            <w:noWrap/>
            <w:vAlign w:val="bottom"/>
            <w:hideMark/>
          </w:tcPr>
          <w:p w14:paraId="107CCF84" w14:textId="77777777" w:rsidR="00F96257" w:rsidRPr="00F71A22" w:rsidRDefault="00F96257" w:rsidP="00BB0B2B">
            <w:pPr>
              <w:pStyle w:val="TableText"/>
              <w:keepNext/>
              <w:jc w:val="right"/>
              <w:rPr>
                <w:color w:val="000000"/>
                <w:szCs w:val="20"/>
              </w:rPr>
            </w:pPr>
            <w:r w:rsidRPr="00F71A22">
              <w:rPr>
                <w:color w:val="000000"/>
                <w:szCs w:val="20"/>
              </w:rPr>
              <w:t>35.7</w:t>
            </w:r>
          </w:p>
        </w:tc>
        <w:tc>
          <w:tcPr>
            <w:tcW w:w="1265" w:type="dxa"/>
            <w:tcBorders>
              <w:top w:val="nil"/>
              <w:left w:val="nil"/>
              <w:bottom w:val="nil"/>
              <w:right w:val="nil"/>
            </w:tcBorders>
            <w:shd w:val="clear" w:color="auto" w:fill="auto"/>
            <w:noWrap/>
            <w:vAlign w:val="bottom"/>
            <w:hideMark/>
          </w:tcPr>
          <w:p w14:paraId="1F31BDB7" w14:textId="77777777" w:rsidR="00F96257" w:rsidRPr="00F71A22" w:rsidRDefault="00F96257" w:rsidP="00BB0B2B">
            <w:pPr>
              <w:pStyle w:val="TableText"/>
              <w:keepNext/>
              <w:jc w:val="right"/>
              <w:rPr>
                <w:color w:val="000000"/>
                <w:szCs w:val="20"/>
              </w:rPr>
            </w:pPr>
            <w:r w:rsidRPr="00F71A22">
              <w:rPr>
                <w:color w:val="000000"/>
                <w:szCs w:val="20"/>
              </w:rPr>
              <w:t>225</w:t>
            </w:r>
          </w:p>
        </w:tc>
        <w:tc>
          <w:tcPr>
            <w:tcW w:w="651" w:type="dxa"/>
            <w:tcBorders>
              <w:top w:val="nil"/>
              <w:left w:val="nil"/>
              <w:bottom w:val="nil"/>
              <w:right w:val="nil"/>
            </w:tcBorders>
            <w:shd w:val="clear" w:color="auto" w:fill="auto"/>
            <w:noWrap/>
            <w:vAlign w:val="bottom"/>
            <w:hideMark/>
          </w:tcPr>
          <w:p w14:paraId="5247E940" w14:textId="77777777" w:rsidR="00F96257" w:rsidRPr="00F71A22" w:rsidRDefault="00F96257" w:rsidP="00BB0B2B">
            <w:pPr>
              <w:pStyle w:val="TableText"/>
              <w:keepNext/>
              <w:jc w:val="right"/>
              <w:rPr>
                <w:color w:val="000000"/>
                <w:szCs w:val="20"/>
              </w:rPr>
            </w:pPr>
            <w:r w:rsidRPr="00F71A22">
              <w:rPr>
                <w:color w:val="000000"/>
                <w:szCs w:val="20"/>
              </w:rPr>
              <w:t>41.0</w:t>
            </w:r>
          </w:p>
        </w:tc>
        <w:tc>
          <w:tcPr>
            <w:tcW w:w="1064" w:type="dxa"/>
            <w:tcBorders>
              <w:top w:val="nil"/>
              <w:left w:val="nil"/>
              <w:bottom w:val="nil"/>
              <w:right w:val="nil"/>
            </w:tcBorders>
            <w:shd w:val="clear" w:color="auto" w:fill="auto"/>
            <w:noWrap/>
            <w:vAlign w:val="bottom"/>
            <w:hideMark/>
          </w:tcPr>
          <w:p w14:paraId="2BCC18F0" w14:textId="77777777" w:rsidR="00F96257" w:rsidRPr="00F71A22" w:rsidRDefault="00F96257" w:rsidP="00BB0B2B">
            <w:pPr>
              <w:pStyle w:val="TableText"/>
              <w:keepNext/>
              <w:jc w:val="right"/>
              <w:rPr>
                <w:color w:val="000000"/>
                <w:szCs w:val="20"/>
              </w:rPr>
            </w:pPr>
            <w:r w:rsidRPr="00F71A22">
              <w:rPr>
                <w:color w:val="000000"/>
                <w:szCs w:val="20"/>
              </w:rPr>
              <w:t>-5.3*</w:t>
            </w:r>
          </w:p>
        </w:tc>
      </w:tr>
      <w:tr w:rsidR="00F9330E" w:rsidRPr="00F71A22" w14:paraId="2EB12787" w14:textId="77777777" w:rsidTr="00BB0B2B">
        <w:trPr>
          <w:trHeight w:val="315"/>
        </w:trPr>
        <w:tc>
          <w:tcPr>
            <w:tcW w:w="4820" w:type="dxa"/>
            <w:gridSpan w:val="2"/>
            <w:tcBorders>
              <w:top w:val="nil"/>
              <w:left w:val="nil"/>
              <w:right w:val="nil"/>
            </w:tcBorders>
            <w:shd w:val="clear" w:color="auto" w:fill="auto"/>
            <w:noWrap/>
            <w:vAlign w:val="bottom"/>
          </w:tcPr>
          <w:p w14:paraId="2CFC3B6C" w14:textId="0EBFC50B" w:rsidR="00F9330E" w:rsidRPr="00F71A22" w:rsidRDefault="00F9330E" w:rsidP="00BB0B2B">
            <w:pPr>
              <w:pStyle w:val="TableText"/>
              <w:keepNext/>
              <w:rPr>
                <w:color w:val="000000"/>
                <w:szCs w:val="20"/>
              </w:rPr>
            </w:pPr>
            <w:r w:rsidRPr="00F71A22">
              <w:rPr>
                <w:i/>
                <w:iCs/>
                <w:color w:val="000000"/>
                <w:szCs w:val="20"/>
              </w:rPr>
              <w:t>Exits from employment services since commencement</w:t>
            </w:r>
          </w:p>
        </w:tc>
        <w:tc>
          <w:tcPr>
            <w:tcW w:w="850" w:type="dxa"/>
            <w:tcBorders>
              <w:top w:val="nil"/>
              <w:left w:val="nil"/>
              <w:right w:val="nil"/>
            </w:tcBorders>
            <w:shd w:val="clear" w:color="auto" w:fill="auto"/>
            <w:noWrap/>
          </w:tcPr>
          <w:p w14:paraId="63807527" w14:textId="1A1011A6" w:rsidR="00F9330E" w:rsidRPr="00F71A22" w:rsidRDefault="00F9330E" w:rsidP="00F9330E">
            <w:pPr>
              <w:pStyle w:val="TableText"/>
              <w:jc w:val="right"/>
              <w:rPr>
                <w:color w:val="000000"/>
                <w:szCs w:val="20"/>
              </w:rPr>
            </w:pPr>
            <w:r w:rsidRPr="0018016C">
              <w:rPr>
                <w:color w:val="FFFFFF" w:themeColor="background1"/>
                <w:szCs w:val="20"/>
              </w:rPr>
              <w:t>—</w:t>
            </w:r>
          </w:p>
        </w:tc>
        <w:tc>
          <w:tcPr>
            <w:tcW w:w="709" w:type="dxa"/>
            <w:tcBorders>
              <w:top w:val="nil"/>
              <w:left w:val="nil"/>
              <w:right w:val="nil"/>
            </w:tcBorders>
            <w:shd w:val="clear" w:color="auto" w:fill="auto"/>
            <w:noWrap/>
          </w:tcPr>
          <w:p w14:paraId="521B3E9F" w14:textId="7581C32D" w:rsidR="00F9330E" w:rsidRPr="00F71A22" w:rsidRDefault="00F9330E" w:rsidP="00F9330E">
            <w:pPr>
              <w:pStyle w:val="TableText"/>
              <w:jc w:val="right"/>
              <w:rPr>
                <w:color w:val="000000"/>
                <w:szCs w:val="20"/>
              </w:rPr>
            </w:pPr>
            <w:r w:rsidRPr="0018016C">
              <w:rPr>
                <w:color w:val="FFFFFF" w:themeColor="background1"/>
                <w:szCs w:val="20"/>
              </w:rPr>
              <w:t>—</w:t>
            </w:r>
          </w:p>
        </w:tc>
        <w:tc>
          <w:tcPr>
            <w:tcW w:w="1265" w:type="dxa"/>
            <w:tcBorders>
              <w:top w:val="nil"/>
              <w:left w:val="nil"/>
              <w:right w:val="nil"/>
            </w:tcBorders>
            <w:shd w:val="clear" w:color="auto" w:fill="auto"/>
            <w:noWrap/>
          </w:tcPr>
          <w:p w14:paraId="7A3E315A" w14:textId="0E298631" w:rsidR="00F9330E" w:rsidRPr="00F71A22" w:rsidRDefault="00F9330E" w:rsidP="00F9330E">
            <w:pPr>
              <w:pStyle w:val="TableText"/>
              <w:jc w:val="right"/>
              <w:rPr>
                <w:color w:val="000000"/>
                <w:szCs w:val="20"/>
              </w:rPr>
            </w:pPr>
            <w:r w:rsidRPr="0018016C">
              <w:rPr>
                <w:color w:val="FFFFFF" w:themeColor="background1"/>
                <w:szCs w:val="20"/>
              </w:rPr>
              <w:t>—</w:t>
            </w:r>
          </w:p>
        </w:tc>
        <w:tc>
          <w:tcPr>
            <w:tcW w:w="651" w:type="dxa"/>
            <w:tcBorders>
              <w:top w:val="nil"/>
              <w:left w:val="nil"/>
              <w:right w:val="nil"/>
            </w:tcBorders>
            <w:shd w:val="clear" w:color="auto" w:fill="auto"/>
            <w:noWrap/>
          </w:tcPr>
          <w:p w14:paraId="3EF8307F" w14:textId="6A0DCE8E" w:rsidR="00F9330E" w:rsidRPr="00F71A22" w:rsidRDefault="00F9330E" w:rsidP="00F9330E">
            <w:pPr>
              <w:pStyle w:val="TableText"/>
              <w:jc w:val="right"/>
              <w:rPr>
                <w:color w:val="000000"/>
                <w:szCs w:val="20"/>
              </w:rPr>
            </w:pPr>
            <w:r w:rsidRPr="0018016C">
              <w:rPr>
                <w:color w:val="FFFFFF" w:themeColor="background1"/>
                <w:szCs w:val="20"/>
              </w:rPr>
              <w:t>—</w:t>
            </w:r>
          </w:p>
        </w:tc>
        <w:tc>
          <w:tcPr>
            <w:tcW w:w="1064" w:type="dxa"/>
            <w:tcBorders>
              <w:top w:val="nil"/>
              <w:left w:val="nil"/>
              <w:right w:val="nil"/>
            </w:tcBorders>
            <w:shd w:val="clear" w:color="auto" w:fill="auto"/>
            <w:noWrap/>
          </w:tcPr>
          <w:p w14:paraId="52695A11" w14:textId="2EBA05BD" w:rsidR="00F9330E" w:rsidRPr="00F71A22" w:rsidRDefault="00F9330E" w:rsidP="00F9330E">
            <w:pPr>
              <w:pStyle w:val="TableText"/>
              <w:jc w:val="right"/>
              <w:rPr>
                <w:color w:val="000000"/>
                <w:szCs w:val="20"/>
              </w:rPr>
            </w:pPr>
            <w:r w:rsidRPr="0018016C">
              <w:rPr>
                <w:color w:val="FFFFFF" w:themeColor="background1"/>
                <w:szCs w:val="20"/>
              </w:rPr>
              <w:t>—</w:t>
            </w:r>
          </w:p>
        </w:tc>
      </w:tr>
      <w:tr w:rsidR="005518D2" w:rsidRPr="00F71A22" w14:paraId="112EE8BE" w14:textId="77777777" w:rsidTr="00BB0B2B">
        <w:trPr>
          <w:trHeight w:val="315"/>
        </w:trPr>
        <w:tc>
          <w:tcPr>
            <w:tcW w:w="4820" w:type="dxa"/>
            <w:gridSpan w:val="2"/>
            <w:tcBorders>
              <w:left w:val="nil"/>
              <w:bottom w:val="single" w:sz="8" w:space="0" w:color="auto"/>
              <w:right w:val="nil"/>
            </w:tcBorders>
            <w:shd w:val="clear" w:color="auto" w:fill="auto"/>
            <w:noWrap/>
            <w:vAlign w:val="bottom"/>
            <w:hideMark/>
          </w:tcPr>
          <w:p w14:paraId="4B52C15F" w14:textId="26B826FE" w:rsidR="00F96257" w:rsidRPr="00F71A22" w:rsidRDefault="00F96257" w:rsidP="00EE3B60">
            <w:pPr>
              <w:pStyle w:val="TableText"/>
              <w:rPr>
                <w:color w:val="000000"/>
                <w:szCs w:val="20"/>
              </w:rPr>
            </w:pPr>
            <w:r w:rsidRPr="00F71A22">
              <w:rPr>
                <w:color w:val="000000"/>
                <w:szCs w:val="20"/>
              </w:rPr>
              <w:t xml:space="preserve">  </w:t>
            </w:r>
            <w:r w:rsidR="003E13D3">
              <w:rPr>
                <w:color w:val="000000"/>
                <w:szCs w:val="20"/>
              </w:rPr>
              <w:t>–</w:t>
            </w:r>
            <w:r w:rsidR="003E13D3" w:rsidRPr="00F71A22">
              <w:rPr>
                <w:color w:val="000000"/>
                <w:szCs w:val="20"/>
              </w:rPr>
              <w:t xml:space="preserve"> </w:t>
            </w:r>
            <w:r w:rsidRPr="00F71A22">
              <w:rPr>
                <w:color w:val="000000"/>
                <w:szCs w:val="20"/>
              </w:rPr>
              <w:t>within 39 weeks</w:t>
            </w:r>
          </w:p>
        </w:tc>
        <w:tc>
          <w:tcPr>
            <w:tcW w:w="850" w:type="dxa"/>
            <w:tcBorders>
              <w:left w:val="nil"/>
              <w:bottom w:val="single" w:sz="8" w:space="0" w:color="auto"/>
              <w:right w:val="nil"/>
            </w:tcBorders>
            <w:shd w:val="clear" w:color="auto" w:fill="auto"/>
            <w:noWrap/>
            <w:vAlign w:val="bottom"/>
            <w:hideMark/>
          </w:tcPr>
          <w:p w14:paraId="40D12D35" w14:textId="77777777" w:rsidR="00F96257" w:rsidRPr="00F71A22" w:rsidRDefault="00F96257" w:rsidP="005A631F">
            <w:pPr>
              <w:pStyle w:val="TableText"/>
              <w:jc w:val="right"/>
              <w:rPr>
                <w:color w:val="000000"/>
                <w:szCs w:val="20"/>
              </w:rPr>
            </w:pPr>
            <w:r w:rsidRPr="00F71A22">
              <w:rPr>
                <w:color w:val="000000"/>
                <w:szCs w:val="20"/>
              </w:rPr>
              <w:t>173</w:t>
            </w:r>
          </w:p>
        </w:tc>
        <w:tc>
          <w:tcPr>
            <w:tcW w:w="709" w:type="dxa"/>
            <w:tcBorders>
              <w:left w:val="nil"/>
              <w:bottom w:val="single" w:sz="8" w:space="0" w:color="auto"/>
              <w:right w:val="nil"/>
            </w:tcBorders>
            <w:shd w:val="clear" w:color="auto" w:fill="auto"/>
            <w:noWrap/>
            <w:vAlign w:val="bottom"/>
            <w:hideMark/>
          </w:tcPr>
          <w:p w14:paraId="33C01FF9" w14:textId="77777777" w:rsidR="00F96257" w:rsidRPr="00F71A22" w:rsidRDefault="00F96257" w:rsidP="005A631F">
            <w:pPr>
              <w:pStyle w:val="TableText"/>
              <w:jc w:val="right"/>
              <w:rPr>
                <w:color w:val="000000"/>
                <w:szCs w:val="20"/>
              </w:rPr>
            </w:pPr>
            <w:r w:rsidRPr="00F71A22">
              <w:rPr>
                <w:color w:val="000000"/>
                <w:szCs w:val="20"/>
              </w:rPr>
              <w:t>31.5</w:t>
            </w:r>
          </w:p>
        </w:tc>
        <w:tc>
          <w:tcPr>
            <w:tcW w:w="1265" w:type="dxa"/>
            <w:tcBorders>
              <w:left w:val="nil"/>
              <w:bottom w:val="single" w:sz="8" w:space="0" w:color="auto"/>
              <w:right w:val="nil"/>
            </w:tcBorders>
            <w:shd w:val="clear" w:color="auto" w:fill="auto"/>
            <w:noWrap/>
            <w:vAlign w:val="bottom"/>
            <w:hideMark/>
          </w:tcPr>
          <w:p w14:paraId="6C976580" w14:textId="77777777" w:rsidR="00F96257" w:rsidRPr="00F71A22" w:rsidRDefault="00F96257" w:rsidP="005A631F">
            <w:pPr>
              <w:pStyle w:val="TableText"/>
              <w:jc w:val="right"/>
              <w:rPr>
                <w:color w:val="000000"/>
                <w:szCs w:val="20"/>
              </w:rPr>
            </w:pPr>
            <w:r w:rsidRPr="00F71A22">
              <w:rPr>
                <w:color w:val="000000"/>
                <w:szCs w:val="20"/>
              </w:rPr>
              <w:t>188</w:t>
            </w:r>
          </w:p>
        </w:tc>
        <w:tc>
          <w:tcPr>
            <w:tcW w:w="651" w:type="dxa"/>
            <w:tcBorders>
              <w:left w:val="nil"/>
              <w:bottom w:val="single" w:sz="8" w:space="0" w:color="auto"/>
              <w:right w:val="nil"/>
            </w:tcBorders>
            <w:shd w:val="clear" w:color="auto" w:fill="auto"/>
            <w:noWrap/>
            <w:vAlign w:val="bottom"/>
            <w:hideMark/>
          </w:tcPr>
          <w:p w14:paraId="071DDBBC" w14:textId="77777777" w:rsidR="00F96257" w:rsidRPr="00F71A22" w:rsidRDefault="00F96257" w:rsidP="005A631F">
            <w:pPr>
              <w:pStyle w:val="TableText"/>
              <w:jc w:val="right"/>
              <w:rPr>
                <w:color w:val="000000"/>
                <w:szCs w:val="20"/>
              </w:rPr>
            </w:pPr>
            <w:r w:rsidRPr="00F71A22">
              <w:rPr>
                <w:color w:val="000000"/>
                <w:szCs w:val="20"/>
              </w:rPr>
              <w:t>34.2</w:t>
            </w:r>
          </w:p>
        </w:tc>
        <w:tc>
          <w:tcPr>
            <w:tcW w:w="1064" w:type="dxa"/>
            <w:tcBorders>
              <w:left w:val="nil"/>
              <w:bottom w:val="single" w:sz="8" w:space="0" w:color="auto"/>
              <w:right w:val="nil"/>
            </w:tcBorders>
            <w:shd w:val="clear" w:color="auto" w:fill="auto"/>
            <w:noWrap/>
            <w:vAlign w:val="bottom"/>
            <w:hideMark/>
          </w:tcPr>
          <w:p w14:paraId="1F837512" w14:textId="77777777" w:rsidR="00F96257" w:rsidRPr="00F71A22" w:rsidRDefault="00F96257" w:rsidP="005A631F">
            <w:pPr>
              <w:pStyle w:val="TableText"/>
              <w:jc w:val="right"/>
              <w:rPr>
                <w:color w:val="000000"/>
                <w:szCs w:val="20"/>
              </w:rPr>
            </w:pPr>
            <w:r w:rsidRPr="00F71A22">
              <w:rPr>
                <w:color w:val="000000"/>
                <w:szCs w:val="20"/>
              </w:rPr>
              <w:t>-2.7</w:t>
            </w:r>
          </w:p>
        </w:tc>
      </w:tr>
    </w:tbl>
    <w:p w14:paraId="088E9196" w14:textId="3ED5070F" w:rsidR="00BE605C" w:rsidRPr="00F71A22" w:rsidRDefault="00BE605C" w:rsidP="00BB0B2B">
      <w:pPr>
        <w:pStyle w:val="Source"/>
        <w:contextualSpacing/>
      </w:pPr>
      <w:r w:rsidRPr="00F71A22">
        <w:rPr>
          <w:b/>
          <w:bCs/>
        </w:rPr>
        <w:t>Source</w:t>
      </w:r>
      <w:r w:rsidRPr="00F71A22">
        <w:t xml:space="preserve">: DESE </w:t>
      </w:r>
      <w:r w:rsidR="009B1F95">
        <w:t>a</w:t>
      </w:r>
      <w:r w:rsidRPr="00F71A22">
        <w:t xml:space="preserve">dministrative </w:t>
      </w:r>
      <w:r w:rsidR="003E13D3">
        <w:t>d</w:t>
      </w:r>
      <w:r w:rsidRPr="00F71A22">
        <w:t>ata</w:t>
      </w:r>
      <w:r w:rsidR="00C036BB">
        <w:br/>
      </w:r>
      <w:r w:rsidR="00EE3B60" w:rsidRPr="00F71A22">
        <w:rPr>
          <w:b/>
          <w:bCs/>
        </w:rPr>
        <w:t>Note</w:t>
      </w:r>
      <w:r w:rsidR="00AC4A7A" w:rsidRPr="00F71A22">
        <w:rPr>
          <w:b/>
          <w:bCs/>
        </w:rPr>
        <w:t>s</w:t>
      </w:r>
      <w:r w:rsidR="00EE3B60" w:rsidRPr="00F71A22">
        <w:t xml:space="preserve">: </w:t>
      </w:r>
      <w:r w:rsidR="00AC4A7A" w:rsidRPr="00F71A22">
        <w:t>Job seekers who commenced between 1 July 2018 and 15 November 2018</w:t>
      </w:r>
      <w:r w:rsidR="007C4B79">
        <w:t>.</w:t>
      </w:r>
      <w:r w:rsidR="00C036BB">
        <w:br/>
      </w:r>
      <w:r w:rsidRPr="00F71A22">
        <w:t>*</w:t>
      </w:r>
      <w:r w:rsidR="00AC4A7A" w:rsidRPr="00F71A22">
        <w:t xml:space="preserve"> </w:t>
      </w:r>
      <w:r w:rsidRPr="00F71A22">
        <w:t>indicates statistically significant difference between groups at p</w:t>
      </w:r>
      <w:r w:rsidR="00DA1E0C">
        <w:t xml:space="preserve"> </w:t>
      </w:r>
      <w:r w:rsidRPr="00F71A22">
        <w:t>&lt;</w:t>
      </w:r>
      <w:r w:rsidR="00DA1E0C">
        <w:t xml:space="preserve"> </w:t>
      </w:r>
      <w:r w:rsidRPr="00F71A22">
        <w:t>0.1</w:t>
      </w:r>
      <w:r w:rsidR="007C4B79">
        <w:t>.</w:t>
      </w:r>
      <w:r w:rsidR="00281087">
        <w:br/>
      </w:r>
      <w:r w:rsidRPr="00F71A22">
        <w:t xml:space="preserve">(1) OEST participants who have completed a full-term OEST and have been in employment services for at least 182 days. As such, the exit rates cannot be compared to those in </w:t>
      </w:r>
      <w:r w:rsidR="000A268F" w:rsidRPr="00F71A22">
        <w:t xml:space="preserve">Figure </w:t>
      </w:r>
      <w:r w:rsidRPr="00F71A22">
        <w:t>4.1</w:t>
      </w:r>
      <w:r w:rsidR="007C4B79">
        <w:t>.</w:t>
      </w:r>
      <w:r w:rsidR="00281087">
        <w:br/>
      </w:r>
      <w:r w:rsidRPr="00F71A22">
        <w:t xml:space="preserve">(2) job seekers who have been in </w:t>
      </w:r>
      <w:r w:rsidR="00E95AD9" w:rsidRPr="00F71A22">
        <w:t xml:space="preserve">provider-based </w:t>
      </w:r>
      <w:r w:rsidRPr="00F71A22">
        <w:t>employment services for at least 182 days</w:t>
      </w:r>
      <w:r w:rsidR="007C4B79">
        <w:t>.</w:t>
      </w:r>
    </w:p>
    <w:p w14:paraId="5E9EFA3A" w14:textId="54DF86D9" w:rsidR="00C6580C" w:rsidRPr="00F71A22" w:rsidRDefault="00C6580C" w:rsidP="00C6580C">
      <w:pPr>
        <w:pStyle w:val="Heading3"/>
      </w:pPr>
      <w:bookmarkStart w:id="149" w:name="_Toc67042606"/>
      <w:bookmarkEnd w:id="148"/>
      <w:r w:rsidRPr="00F71A22">
        <w:t>4.1.2 Impact of job seeker characteristics on exits from income support and employment services</w:t>
      </w:r>
      <w:bookmarkEnd w:id="149"/>
    </w:p>
    <w:p w14:paraId="65ACD8E2" w14:textId="77777777" w:rsidR="00803324" w:rsidRDefault="009B1F95" w:rsidP="009B1F95">
      <w:r>
        <w:t xml:space="preserve">Variations in OEST participant exit rates </w:t>
      </w:r>
      <w:r w:rsidRPr="00205BC7">
        <w:t>by</w:t>
      </w:r>
      <w:r>
        <w:t xml:space="preserve"> age,</w:t>
      </w:r>
      <w:r w:rsidRPr="00205BC7">
        <w:t xml:space="preserve"> </w:t>
      </w:r>
      <w:r>
        <w:t xml:space="preserve">location, </w:t>
      </w:r>
      <w:r w:rsidRPr="00205BC7">
        <w:t xml:space="preserve">gender, </w:t>
      </w:r>
      <w:r>
        <w:t>education</w:t>
      </w:r>
      <w:r w:rsidRPr="00205BC7">
        <w:t>, CALD</w:t>
      </w:r>
      <w:r>
        <w:t xml:space="preserve"> and</w:t>
      </w:r>
      <w:r w:rsidRPr="00205BC7">
        <w:t xml:space="preserve"> previous history of income support and </w:t>
      </w:r>
      <w:r>
        <w:t xml:space="preserve">the </w:t>
      </w:r>
      <w:r w:rsidRPr="00205BC7">
        <w:t>sustainability of income support exits</w:t>
      </w:r>
      <w:r>
        <w:t xml:space="preserve"> within </w:t>
      </w:r>
      <w:r w:rsidR="00611273">
        <w:t>six</w:t>
      </w:r>
      <w:r>
        <w:t> months (24</w:t>
      </w:r>
      <w:r w:rsidR="00583320">
        <w:t> </w:t>
      </w:r>
      <w:r>
        <w:t>weeks) of commencement were examined</w:t>
      </w:r>
      <w:r w:rsidRPr="00E143FD">
        <w:t xml:space="preserve"> </w:t>
      </w:r>
      <w:r w:rsidRPr="00F57E38">
        <w:t xml:space="preserve">to </w:t>
      </w:r>
      <w:r>
        <w:t>determine</w:t>
      </w:r>
      <w:r w:rsidRPr="00F57E38">
        <w:t xml:space="preserve"> </w:t>
      </w:r>
      <w:r>
        <w:t>whether</w:t>
      </w:r>
      <w:r w:rsidRPr="00F57E38">
        <w:t xml:space="preserve"> online servicing affect</w:t>
      </w:r>
      <w:r>
        <w:t>ed</w:t>
      </w:r>
      <w:r w:rsidRPr="00F57E38">
        <w:t xml:space="preserve"> labour market outcomes differently for these subgroup</w:t>
      </w:r>
      <w:r>
        <w:t xml:space="preserve">s </w:t>
      </w:r>
      <w:r w:rsidRPr="00B80B41">
        <w:t xml:space="preserve">of </w:t>
      </w:r>
      <w:r>
        <w:t>job seeker</w:t>
      </w:r>
      <w:r w:rsidRPr="00B80B41">
        <w:t>s</w:t>
      </w:r>
      <w:r>
        <w:t xml:space="preserve"> (</w:t>
      </w:r>
      <w:r w:rsidRPr="00CA05E9">
        <w:rPr>
          <w:b/>
        </w:rPr>
        <w:t xml:space="preserve">Figure </w:t>
      </w:r>
      <w:r>
        <w:rPr>
          <w:b/>
        </w:rPr>
        <w:t>4.2</w:t>
      </w:r>
      <w:r>
        <w:t>).</w:t>
      </w:r>
    </w:p>
    <w:p w14:paraId="049D69EA" w14:textId="33DDEF83" w:rsidR="00803324" w:rsidRDefault="009B1F95" w:rsidP="009B1F95">
      <w:r>
        <w:t>Exit rates were very similar between OEST participants and the comparison group when comparing across most individual characteristics measured. The exception was among males, where OEST participants had slightly (albeit statistically significantly) lower exit rates from income support within</w:t>
      </w:r>
      <w:r w:rsidR="00611273">
        <w:t> </w:t>
      </w:r>
      <w:r>
        <w:t>24 weeks of commencement compared to males in the comparison group.</w:t>
      </w:r>
    </w:p>
    <w:p w14:paraId="28534C80" w14:textId="0FB2BFE7" w:rsidR="00EB7DE6" w:rsidRDefault="00EB7DE6" w:rsidP="00EB7DE6">
      <w:r w:rsidRPr="00F71A22">
        <w:t>OEST participants with a previous history of income support also had notably lower exit rates from both income support and employment services than comparison job seekers (although the differences were not statistically significant, noting a small sample size).</w:t>
      </w:r>
      <w:r>
        <w:t xml:space="preserve"> </w:t>
      </w:r>
    </w:p>
    <w:p w14:paraId="643A36C0" w14:textId="77777777" w:rsidR="00EB7DE6" w:rsidRDefault="00EB7DE6" w:rsidP="009B1F95"/>
    <w:p w14:paraId="4DF97587" w14:textId="6B7E2F99" w:rsidR="00803324" w:rsidRDefault="00C6580C" w:rsidP="003709CB">
      <w:pPr>
        <w:pStyle w:val="FigureCaption"/>
      </w:pPr>
      <w:bookmarkStart w:id="150" w:name="_Toc67042682"/>
      <w:r w:rsidRPr="00F71A22">
        <w:lastRenderedPageBreak/>
        <w:t>Figure 4.</w:t>
      </w:r>
      <w:r w:rsidR="003479E4" w:rsidRPr="00F71A22">
        <w:t>2</w:t>
      </w:r>
      <w:r w:rsidRPr="00F71A22">
        <w:t xml:space="preserve"> </w:t>
      </w:r>
      <w:r w:rsidR="003709CB" w:rsidRPr="00F71A22">
        <w:t>Comparison of e</w:t>
      </w:r>
      <w:r w:rsidRPr="00F71A22">
        <w:t xml:space="preserve">xits from income support and employment </w:t>
      </w:r>
      <w:r w:rsidR="003948DF" w:rsidRPr="00F71A22">
        <w:t xml:space="preserve">services </w:t>
      </w:r>
      <w:r w:rsidRPr="00F71A22">
        <w:t>by individual characteristics</w:t>
      </w:r>
      <w:bookmarkEnd w:id="150"/>
    </w:p>
    <w:p w14:paraId="62F4F4DE" w14:textId="6F01CB12" w:rsidR="008F7E94" w:rsidRDefault="008F7E94" w:rsidP="00551055">
      <w:r>
        <w:rPr>
          <w:noProof/>
        </w:rPr>
        <w:drawing>
          <wp:inline distT="0" distB="0" distL="0" distR="0" wp14:anchorId="32D8774A" wp14:editId="15E873FC">
            <wp:extent cx="5962650" cy="6455474"/>
            <wp:effectExtent l="0" t="0" r="0" b="2540"/>
            <wp:docPr id="27" name="Picture 27" descr="This chart compares exit rates of OEST participants and comparison group by individual characteristics. Overall, exits in both groups were similar. Age is the defining factor with the highest exits among individuals in the 25 to 29 years age group, followed closely by the 30 to 49 years age group. Those in the 50 and above age group had the lowest exit rates. Comparing across all characteristics, people who had previously been in jobactive and had received income support were the least likely to exit income support and employ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 4-2.png"/>
                    <pic:cNvPicPr/>
                  </pic:nvPicPr>
                  <pic:blipFill>
                    <a:blip r:embed="rId31"/>
                    <a:stretch>
                      <a:fillRect/>
                    </a:stretch>
                  </pic:blipFill>
                  <pic:spPr>
                    <a:xfrm>
                      <a:off x="0" y="0"/>
                      <a:ext cx="5977622" cy="6471683"/>
                    </a:xfrm>
                    <a:prstGeom prst="rect">
                      <a:avLst/>
                    </a:prstGeom>
                  </pic:spPr>
                </pic:pic>
              </a:graphicData>
            </a:graphic>
          </wp:inline>
        </w:drawing>
      </w:r>
    </w:p>
    <w:p w14:paraId="169DB551" w14:textId="1188D506" w:rsidR="00C6580C" w:rsidRDefault="00C6580C" w:rsidP="00BB0B2B">
      <w:pPr>
        <w:pStyle w:val="Source"/>
        <w:contextualSpacing/>
      </w:pPr>
      <w:r w:rsidRPr="00F71A22">
        <w:rPr>
          <w:b/>
          <w:bCs/>
        </w:rPr>
        <w:t>Source</w:t>
      </w:r>
      <w:r w:rsidRPr="00F71A22">
        <w:t xml:space="preserve">: DESE </w:t>
      </w:r>
      <w:r w:rsidR="009B1F95">
        <w:t>a</w:t>
      </w:r>
      <w:r w:rsidRPr="00F71A22">
        <w:t xml:space="preserve">dministrative </w:t>
      </w:r>
      <w:r w:rsidR="009B1F95">
        <w:t>d</w:t>
      </w:r>
      <w:r w:rsidRPr="00F71A22">
        <w:t>ata</w:t>
      </w:r>
      <w:r w:rsidR="00281087">
        <w:br/>
      </w:r>
      <w:r w:rsidR="003709CB" w:rsidRPr="00F71A22">
        <w:rPr>
          <w:b/>
          <w:bCs/>
        </w:rPr>
        <w:t>Note</w:t>
      </w:r>
      <w:r w:rsidR="003709CB" w:rsidRPr="00F71A22">
        <w:t>: *indicates a statistically significant difference between groups at p</w:t>
      </w:r>
      <w:r w:rsidR="00DA1E0C">
        <w:t xml:space="preserve"> </w:t>
      </w:r>
      <w:r w:rsidR="003709CB" w:rsidRPr="00F71A22">
        <w:t>&lt; 0.05</w:t>
      </w:r>
    </w:p>
    <w:p w14:paraId="2A685A97" w14:textId="77777777" w:rsidR="00EB7DE6" w:rsidRPr="00F71A22" w:rsidRDefault="00EB7DE6" w:rsidP="00EB7DE6">
      <w:r w:rsidRPr="00F71A22">
        <w:rPr>
          <w:b/>
        </w:rPr>
        <w:lastRenderedPageBreak/>
        <w:t>Appendix E</w:t>
      </w:r>
      <w:r w:rsidRPr="00F71A22">
        <w:t xml:space="preserve"> contains more detailed exit rate tables for each characteristic with exact exit rate percentages, measured for within </w:t>
      </w:r>
      <w:r>
        <w:t>four</w:t>
      </w:r>
      <w:r w:rsidRPr="00F71A22">
        <w:t>, 12 and 24 weeks of commencement in services</w:t>
      </w:r>
      <w:r>
        <w:t>.</w:t>
      </w:r>
      <w:r w:rsidRPr="00F71A22">
        <w:rPr>
          <w:rStyle w:val="FootnoteReference"/>
        </w:rPr>
        <w:footnoteReference w:id="19"/>
      </w:r>
    </w:p>
    <w:p w14:paraId="4193249A" w14:textId="463E5775" w:rsidR="00C6580C" w:rsidRPr="00F71A22" w:rsidRDefault="00C6580C" w:rsidP="00C6580C">
      <w:pPr>
        <w:pStyle w:val="Heading3"/>
      </w:pPr>
      <w:bookmarkStart w:id="151" w:name="_Toc67042607"/>
      <w:r w:rsidRPr="00F71A22">
        <w:t>4.1.</w:t>
      </w:r>
      <w:r w:rsidR="00F06E14" w:rsidRPr="00F71A22">
        <w:t>3</w:t>
      </w:r>
      <w:r w:rsidRPr="00F71A22">
        <w:t xml:space="preserve"> Sustainability of exits from income support</w:t>
      </w:r>
      <w:bookmarkEnd w:id="151"/>
    </w:p>
    <w:p w14:paraId="1C4DE237" w14:textId="09BC9869" w:rsidR="003709CB" w:rsidRDefault="003709CB" w:rsidP="003709CB">
      <w:r w:rsidRPr="00F71A22">
        <w:t>The effect of the OEST compared to provider servicing can be further studied by examining the sustainability of exits from income support over time (</w:t>
      </w:r>
      <w:r w:rsidRPr="009B1F95">
        <w:rPr>
          <w:b/>
          <w:bCs/>
        </w:rPr>
        <w:t>Table 4.2</w:t>
      </w:r>
      <w:r w:rsidRPr="00F71A22">
        <w:t xml:space="preserve">). Job seekers were observed for an additional </w:t>
      </w:r>
      <w:r w:rsidR="00611273">
        <w:t>six</w:t>
      </w:r>
      <w:r w:rsidRPr="00F71A22">
        <w:t xml:space="preserve"> months following their exit from either the OEST or provider-based services. Overall, </w:t>
      </w:r>
      <w:r w:rsidR="009B1F95">
        <w:t xml:space="preserve">there is evidence that online servicing was slightly more </w:t>
      </w:r>
      <w:r w:rsidR="00EF2054">
        <w:t xml:space="preserve">effective </w:t>
      </w:r>
      <w:r w:rsidR="009B1F95">
        <w:t xml:space="preserve">at </w:t>
      </w:r>
      <w:r w:rsidR="009B1F95" w:rsidRPr="005242DE">
        <w:t>maintaining exits from income support</w:t>
      </w:r>
      <w:r w:rsidR="009B1F95">
        <w:t>. Over the six-month period, most</w:t>
      </w:r>
      <w:r w:rsidR="009B1F95" w:rsidRPr="005242DE">
        <w:t xml:space="preserve"> OEST </w:t>
      </w:r>
      <w:r w:rsidR="009B1F95">
        <w:t>participants (</w:t>
      </w:r>
      <w:r w:rsidR="009B1F95" w:rsidRPr="001261D9">
        <w:rPr>
          <w:b/>
        </w:rPr>
        <w:t>91%</w:t>
      </w:r>
      <w:r w:rsidR="009B1F95">
        <w:t>)</w:t>
      </w:r>
      <w:r w:rsidR="009B1F95" w:rsidRPr="005242DE">
        <w:t xml:space="preserve"> </w:t>
      </w:r>
      <w:r w:rsidR="009B1F95">
        <w:t xml:space="preserve">did </w:t>
      </w:r>
      <w:r w:rsidR="009B1F95" w:rsidRPr="005242DE">
        <w:t>not retur</w:t>
      </w:r>
      <w:r w:rsidR="009B1F95">
        <w:t>n</w:t>
      </w:r>
      <w:r w:rsidR="009B1F95" w:rsidRPr="005242DE">
        <w:t xml:space="preserve"> to income support, compared with the comparison group</w:t>
      </w:r>
      <w:r w:rsidR="009B1F95">
        <w:t xml:space="preserve"> (</w:t>
      </w:r>
      <w:r w:rsidR="009B1F95" w:rsidRPr="001261D9">
        <w:rPr>
          <w:b/>
        </w:rPr>
        <w:t>89%</w:t>
      </w:r>
      <w:r w:rsidR="009B1F95">
        <w:t>)</w:t>
      </w:r>
      <w:r w:rsidR="009B1F95" w:rsidRPr="005242DE">
        <w:t>.</w:t>
      </w:r>
    </w:p>
    <w:p w14:paraId="6CD5F3B8" w14:textId="66F3D373" w:rsidR="005B0683" w:rsidRPr="00F71A22" w:rsidRDefault="005B0683" w:rsidP="005B0683">
      <w:pPr>
        <w:pStyle w:val="TableCaption"/>
      </w:pPr>
      <w:bookmarkStart w:id="152" w:name="_Toc67042665"/>
      <w:r w:rsidRPr="00F71A22">
        <w:rPr>
          <w:rFonts w:eastAsia="Times New Roman"/>
          <w:lang w:eastAsia="en-AU"/>
        </w:rPr>
        <w:t xml:space="preserve">Table 4.2 Sustainability of income support exits over the period of </w:t>
      </w:r>
      <w:r>
        <w:rPr>
          <w:rFonts w:eastAsia="Times New Roman"/>
          <w:lang w:eastAsia="en-AU"/>
        </w:rPr>
        <w:t>6</w:t>
      </w:r>
      <w:r w:rsidRPr="00F71A22">
        <w:rPr>
          <w:rFonts w:eastAsia="Times New Roman"/>
          <w:lang w:eastAsia="en-AU"/>
        </w:rPr>
        <w:t xml:space="preserve"> months from exit date (*)</w:t>
      </w:r>
      <w:bookmarkEnd w:id="152"/>
    </w:p>
    <w:tbl>
      <w:tblPr>
        <w:tblW w:w="9519" w:type="dxa"/>
        <w:tblLook w:val="04A0" w:firstRow="1" w:lastRow="0" w:firstColumn="1" w:lastColumn="0" w:noHBand="0" w:noVBand="1"/>
      </w:tblPr>
      <w:tblGrid>
        <w:gridCol w:w="4011"/>
        <w:gridCol w:w="1207"/>
        <w:gridCol w:w="1023"/>
        <w:gridCol w:w="1257"/>
        <w:gridCol w:w="1023"/>
        <w:gridCol w:w="1023"/>
      </w:tblGrid>
      <w:tr w:rsidR="004C6F63" w:rsidRPr="00F71A22" w14:paraId="360D5A79" w14:textId="77777777" w:rsidTr="005B0683">
        <w:trPr>
          <w:cantSplit/>
          <w:trHeight w:val="552"/>
          <w:tblHeader/>
        </w:trPr>
        <w:tc>
          <w:tcPr>
            <w:tcW w:w="4011" w:type="dxa"/>
            <w:tcBorders>
              <w:top w:val="single" w:sz="8" w:space="0" w:color="auto"/>
              <w:left w:val="nil"/>
              <w:bottom w:val="nil"/>
              <w:right w:val="nil"/>
            </w:tcBorders>
            <w:shd w:val="clear" w:color="auto" w:fill="002D3F"/>
            <w:vAlign w:val="center"/>
            <w:hideMark/>
          </w:tcPr>
          <w:p w14:paraId="5DE164F6" w14:textId="726EF00E" w:rsidR="004C6F63" w:rsidRPr="00BB0B2B" w:rsidRDefault="004C6F63" w:rsidP="00871314">
            <w:pPr>
              <w:pStyle w:val="TableText"/>
              <w:rPr>
                <w:b/>
                <w:bCs w:val="0"/>
              </w:rPr>
            </w:pPr>
            <w:r w:rsidRPr="00BB0B2B">
              <w:rPr>
                <w:b/>
                <w:bCs w:val="0"/>
              </w:rPr>
              <w:t xml:space="preserve">Return to </w:t>
            </w:r>
            <w:r w:rsidR="009B1F95" w:rsidRPr="00BB0B2B">
              <w:rPr>
                <w:b/>
                <w:bCs w:val="0"/>
              </w:rPr>
              <w:t>i</w:t>
            </w:r>
            <w:r w:rsidRPr="00BB0B2B">
              <w:rPr>
                <w:b/>
                <w:bCs w:val="0"/>
              </w:rPr>
              <w:t xml:space="preserve">ncome </w:t>
            </w:r>
            <w:r w:rsidR="009B1F95" w:rsidRPr="00BB0B2B">
              <w:rPr>
                <w:b/>
                <w:bCs w:val="0"/>
              </w:rPr>
              <w:t>s</w:t>
            </w:r>
            <w:r w:rsidRPr="00BB0B2B">
              <w:rPr>
                <w:b/>
                <w:bCs w:val="0"/>
              </w:rPr>
              <w:t>upport</w:t>
            </w:r>
          </w:p>
        </w:tc>
        <w:tc>
          <w:tcPr>
            <w:tcW w:w="1182" w:type="dxa"/>
            <w:tcBorders>
              <w:top w:val="single" w:sz="8" w:space="0" w:color="auto"/>
              <w:left w:val="nil"/>
              <w:bottom w:val="nil"/>
              <w:right w:val="nil"/>
            </w:tcBorders>
            <w:shd w:val="clear" w:color="auto" w:fill="002D3F"/>
            <w:vAlign w:val="center"/>
            <w:hideMark/>
          </w:tcPr>
          <w:p w14:paraId="2AEB2150" w14:textId="79A37AF2" w:rsidR="004C6F63" w:rsidRPr="00BB0B2B" w:rsidRDefault="004C6F63" w:rsidP="003709CB">
            <w:pPr>
              <w:pStyle w:val="TableText"/>
              <w:jc w:val="center"/>
              <w:rPr>
                <w:b/>
                <w:bCs w:val="0"/>
              </w:rPr>
            </w:pPr>
            <w:r w:rsidRPr="00BB0B2B">
              <w:rPr>
                <w:b/>
                <w:bCs w:val="0"/>
              </w:rPr>
              <w:t xml:space="preserve">OEST </w:t>
            </w:r>
            <w:r w:rsidR="009B1F95" w:rsidRPr="00BB0B2B">
              <w:rPr>
                <w:b/>
                <w:bCs w:val="0"/>
              </w:rPr>
              <w:t>p</w:t>
            </w:r>
            <w:r w:rsidRPr="00BB0B2B">
              <w:rPr>
                <w:b/>
                <w:bCs w:val="0"/>
              </w:rPr>
              <w:t>articipants</w:t>
            </w:r>
          </w:p>
        </w:tc>
        <w:tc>
          <w:tcPr>
            <w:tcW w:w="1023" w:type="dxa"/>
            <w:tcBorders>
              <w:top w:val="single" w:sz="8" w:space="0" w:color="auto"/>
              <w:left w:val="nil"/>
              <w:bottom w:val="nil"/>
              <w:right w:val="nil"/>
            </w:tcBorders>
            <w:shd w:val="clear" w:color="auto" w:fill="002D3F"/>
            <w:vAlign w:val="center"/>
            <w:hideMark/>
          </w:tcPr>
          <w:p w14:paraId="1969BBC7" w14:textId="76348105" w:rsidR="004C6F63" w:rsidRPr="00BB0B2B" w:rsidRDefault="00D51E90" w:rsidP="003709CB">
            <w:pPr>
              <w:pStyle w:val="TableText"/>
              <w:jc w:val="center"/>
              <w:rPr>
                <w:b/>
                <w:bCs w:val="0"/>
              </w:rPr>
            </w:pPr>
            <w:r w:rsidRPr="00BB0B2B">
              <w:rPr>
                <w:b/>
                <w:bCs w:val="0"/>
              </w:rPr>
              <w:t>(%)</w:t>
            </w:r>
          </w:p>
        </w:tc>
        <w:tc>
          <w:tcPr>
            <w:tcW w:w="1257" w:type="dxa"/>
            <w:tcBorders>
              <w:top w:val="single" w:sz="8" w:space="0" w:color="auto"/>
              <w:left w:val="nil"/>
              <w:bottom w:val="nil"/>
              <w:right w:val="nil"/>
            </w:tcBorders>
            <w:shd w:val="clear" w:color="auto" w:fill="002D3F"/>
            <w:vAlign w:val="center"/>
            <w:hideMark/>
          </w:tcPr>
          <w:p w14:paraId="0855803D" w14:textId="02B88307" w:rsidR="004C6F63" w:rsidRPr="00BB0B2B" w:rsidRDefault="004C6F63" w:rsidP="003709CB">
            <w:pPr>
              <w:pStyle w:val="TableText"/>
              <w:jc w:val="center"/>
              <w:rPr>
                <w:b/>
                <w:bCs w:val="0"/>
              </w:rPr>
            </w:pPr>
            <w:r w:rsidRPr="00BB0B2B">
              <w:rPr>
                <w:b/>
                <w:bCs w:val="0"/>
              </w:rPr>
              <w:t xml:space="preserve">Comparison </w:t>
            </w:r>
            <w:r w:rsidR="009B1F95" w:rsidRPr="00BB0B2B">
              <w:rPr>
                <w:b/>
                <w:bCs w:val="0"/>
              </w:rPr>
              <w:t>g</w:t>
            </w:r>
            <w:r w:rsidRPr="00BB0B2B">
              <w:rPr>
                <w:b/>
                <w:bCs w:val="0"/>
              </w:rPr>
              <w:t>roup</w:t>
            </w:r>
          </w:p>
        </w:tc>
        <w:tc>
          <w:tcPr>
            <w:tcW w:w="1023" w:type="dxa"/>
            <w:tcBorders>
              <w:top w:val="single" w:sz="8" w:space="0" w:color="auto"/>
              <w:left w:val="nil"/>
              <w:bottom w:val="nil"/>
              <w:right w:val="nil"/>
            </w:tcBorders>
            <w:shd w:val="clear" w:color="auto" w:fill="002D3F"/>
            <w:vAlign w:val="center"/>
            <w:hideMark/>
          </w:tcPr>
          <w:p w14:paraId="53254773" w14:textId="4436A191" w:rsidR="004C6F63" w:rsidRPr="00BB0B2B" w:rsidRDefault="00D51E90" w:rsidP="003709CB">
            <w:pPr>
              <w:pStyle w:val="TableText"/>
              <w:jc w:val="center"/>
              <w:rPr>
                <w:b/>
                <w:bCs w:val="0"/>
              </w:rPr>
            </w:pPr>
            <w:r w:rsidRPr="00BB0B2B">
              <w:rPr>
                <w:b/>
                <w:bCs w:val="0"/>
              </w:rPr>
              <w:t>(%)</w:t>
            </w:r>
          </w:p>
        </w:tc>
        <w:tc>
          <w:tcPr>
            <w:tcW w:w="1023" w:type="dxa"/>
            <w:tcBorders>
              <w:top w:val="single" w:sz="8" w:space="0" w:color="auto"/>
              <w:left w:val="nil"/>
              <w:bottom w:val="nil"/>
              <w:right w:val="nil"/>
            </w:tcBorders>
            <w:shd w:val="clear" w:color="auto" w:fill="002D3F"/>
            <w:vAlign w:val="center"/>
            <w:hideMark/>
          </w:tcPr>
          <w:p w14:paraId="5832F5D2" w14:textId="77777777" w:rsidR="004C6F63" w:rsidRPr="00BB0B2B" w:rsidRDefault="004C6F63" w:rsidP="003709CB">
            <w:pPr>
              <w:pStyle w:val="TableText"/>
              <w:jc w:val="center"/>
              <w:rPr>
                <w:b/>
                <w:bCs w:val="0"/>
              </w:rPr>
            </w:pPr>
            <w:r w:rsidRPr="00BB0B2B">
              <w:rPr>
                <w:b/>
                <w:bCs w:val="0"/>
              </w:rPr>
              <w:t>Total</w:t>
            </w:r>
          </w:p>
        </w:tc>
      </w:tr>
      <w:tr w:rsidR="004C6F63" w:rsidRPr="00F71A22" w14:paraId="01C800FD" w14:textId="77777777" w:rsidTr="005B0683">
        <w:trPr>
          <w:trHeight w:val="300"/>
        </w:trPr>
        <w:tc>
          <w:tcPr>
            <w:tcW w:w="4011" w:type="dxa"/>
            <w:tcBorders>
              <w:top w:val="nil"/>
              <w:left w:val="nil"/>
              <w:bottom w:val="nil"/>
              <w:right w:val="nil"/>
            </w:tcBorders>
            <w:shd w:val="clear" w:color="auto" w:fill="auto"/>
            <w:noWrap/>
            <w:vAlign w:val="center"/>
            <w:hideMark/>
          </w:tcPr>
          <w:p w14:paraId="39549DFD" w14:textId="77777777" w:rsidR="004C6F63" w:rsidRPr="00F71A22" w:rsidRDefault="004C6F63" w:rsidP="00871314">
            <w:pPr>
              <w:pStyle w:val="TableText"/>
              <w:rPr>
                <w:color w:val="000000"/>
                <w:szCs w:val="20"/>
              </w:rPr>
            </w:pPr>
            <w:r w:rsidRPr="00F71A22">
              <w:rPr>
                <w:color w:val="000000"/>
                <w:szCs w:val="20"/>
              </w:rPr>
              <w:t>Did not return to income support</w:t>
            </w:r>
          </w:p>
        </w:tc>
        <w:tc>
          <w:tcPr>
            <w:tcW w:w="1182" w:type="dxa"/>
            <w:tcBorders>
              <w:top w:val="nil"/>
              <w:left w:val="nil"/>
              <w:bottom w:val="nil"/>
              <w:right w:val="nil"/>
            </w:tcBorders>
            <w:shd w:val="clear" w:color="auto" w:fill="auto"/>
            <w:noWrap/>
            <w:vAlign w:val="center"/>
            <w:hideMark/>
          </w:tcPr>
          <w:p w14:paraId="7E3DB811" w14:textId="77777777" w:rsidR="004C6F63" w:rsidRPr="00F71A22" w:rsidRDefault="004C6F63" w:rsidP="003709CB">
            <w:pPr>
              <w:pStyle w:val="TableText"/>
              <w:jc w:val="right"/>
              <w:rPr>
                <w:color w:val="000000"/>
                <w:szCs w:val="20"/>
              </w:rPr>
            </w:pPr>
            <w:r w:rsidRPr="00F71A22">
              <w:rPr>
                <w:color w:val="000000"/>
                <w:szCs w:val="20"/>
              </w:rPr>
              <w:t>2,347</w:t>
            </w:r>
          </w:p>
        </w:tc>
        <w:tc>
          <w:tcPr>
            <w:tcW w:w="1023" w:type="dxa"/>
            <w:tcBorders>
              <w:top w:val="nil"/>
              <w:left w:val="nil"/>
              <w:bottom w:val="nil"/>
              <w:right w:val="nil"/>
            </w:tcBorders>
            <w:shd w:val="clear" w:color="auto" w:fill="auto"/>
            <w:noWrap/>
            <w:vAlign w:val="center"/>
            <w:hideMark/>
          </w:tcPr>
          <w:p w14:paraId="20CB571E" w14:textId="77777777" w:rsidR="004C6F63" w:rsidRPr="00F71A22" w:rsidRDefault="004C6F63" w:rsidP="003709CB">
            <w:pPr>
              <w:pStyle w:val="TableText"/>
              <w:jc w:val="right"/>
              <w:rPr>
                <w:color w:val="000000"/>
                <w:szCs w:val="20"/>
              </w:rPr>
            </w:pPr>
            <w:r w:rsidRPr="00F71A22">
              <w:rPr>
                <w:color w:val="000000"/>
                <w:szCs w:val="20"/>
              </w:rPr>
              <w:t>90.6</w:t>
            </w:r>
          </w:p>
        </w:tc>
        <w:tc>
          <w:tcPr>
            <w:tcW w:w="1257" w:type="dxa"/>
            <w:tcBorders>
              <w:top w:val="nil"/>
              <w:left w:val="nil"/>
              <w:bottom w:val="nil"/>
              <w:right w:val="nil"/>
            </w:tcBorders>
            <w:shd w:val="clear" w:color="auto" w:fill="auto"/>
            <w:noWrap/>
            <w:vAlign w:val="center"/>
            <w:hideMark/>
          </w:tcPr>
          <w:p w14:paraId="33D9E5F4" w14:textId="77777777" w:rsidR="004C6F63" w:rsidRPr="00F71A22" w:rsidRDefault="004C6F63" w:rsidP="003709CB">
            <w:pPr>
              <w:pStyle w:val="TableText"/>
              <w:jc w:val="right"/>
              <w:rPr>
                <w:color w:val="000000"/>
                <w:szCs w:val="20"/>
              </w:rPr>
            </w:pPr>
            <w:r w:rsidRPr="00F71A22">
              <w:rPr>
                <w:color w:val="000000"/>
                <w:szCs w:val="20"/>
              </w:rPr>
              <w:t>10,316</w:t>
            </w:r>
          </w:p>
        </w:tc>
        <w:tc>
          <w:tcPr>
            <w:tcW w:w="1023" w:type="dxa"/>
            <w:tcBorders>
              <w:top w:val="nil"/>
              <w:left w:val="nil"/>
              <w:bottom w:val="nil"/>
              <w:right w:val="nil"/>
            </w:tcBorders>
            <w:shd w:val="clear" w:color="auto" w:fill="auto"/>
            <w:noWrap/>
            <w:vAlign w:val="center"/>
            <w:hideMark/>
          </w:tcPr>
          <w:p w14:paraId="49578321" w14:textId="77777777" w:rsidR="004C6F63" w:rsidRPr="00F71A22" w:rsidRDefault="004C6F63" w:rsidP="003709CB">
            <w:pPr>
              <w:pStyle w:val="TableText"/>
              <w:jc w:val="right"/>
              <w:rPr>
                <w:color w:val="000000"/>
                <w:szCs w:val="20"/>
              </w:rPr>
            </w:pPr>
            <w:r w:rsidRPr="00F71A22">
              <w:rPr>
                <w:color w:val="000000"/>
                <w:szCs w:val="20"/>
              </w:rPr>
              <w:t>89.4</w:t>
            </w:r>
          </w:p>
        </w:tc>
        <w:tc>
          <w:tcPr>
            <w:tcW w:w="1023" w:type="dxa"/>
            <w:tcBorders>
              <w:top w:val="nil"/>
              <w:left w:val="nil"/>
              <w:bottom w:val="nil"/>
              <w:right w:val="nil"/>
            </w:tcBorders>
            <w:shd w:val="clear" w:color="auto" w:fill="auto"/>
            <w:noWrap/>
            <w:vAlign w:val="center"/>
            <w:hideMark/>
          </w:tcPr>
          <w:p w14:paraId="3D4E5963" w14:textId="77777777" w:rsidR="004C6F63" w:rsidRPr="00F71A22" w:rsidRDefault="004C6F63" w:rsidP="003709CB">
            <w:pPr>
              <w:pStyle w:val="TableText"/>
              <w:jc w:val="right"/>
              <w:rPr>
                <w:color w:val="000000"/>
                <w:szCs w:val="20"/>
              </w:rPr>
            </w:pPr>
            <w:r w:rsidRPr="00F71A22">
              <w:rPr>
                <w:color w:val="000000"/>
                <w:szCs w:val="20"/>
              </w:rPr>
              <w:t>12,633</w:t>
            </w:r>
          </w:p>
        </w:tc>
      </w:tr>
      <w:tr w:rsidR="004C6F63" w:rsidRPr="00F71A22" w14:paraId="2337CEE1" w14:textId="77777777" w:rsidTr="005B0683">
        <w:trPr>
          <w:trHeight w:val="315"/>
        </w:trPr>
        <w:tc>
          <w:tcPr>
            <w:tcW w:w="4011" w:type="dxa"/>
            <w:tcBorders>
              <w:top w:val="nil"/>
              <w:left w:val="nil"/>
              <w:bottom w:val="nil"/>
              <w:right w:val="nil"/>
            </w:tcBorders>
            <w:shd w:val="clear" w:color="auto" w:fill="auto"/>
            <w:noWrap/>
            <w:vAlign w:val="center"/>
            <w:hideMark/>
          </w:tcPr>
          <w:p w14:paraId="70DA8B1A" w14:textId="60D0617F" w:rsidR="004C6F63" w:rsidRPr="00F71A22" w:rsidRDefault="004C6F63" w:rsidP="00871314">
            <w:pPr>
              <w:pStyle w:val="TableText"/>
              <w:rPr>
                <w:color w:val="000000"/>
                <w:szCs w:val="20"/>
              </w:rPr>
            </w:pPr>
            <w:r w:rsidRPr="00F71A22">
              <w:rPr>
                <w:color w:val="000000"/>
                <w:szCs w:val="20"/>
              </w:rPr>
              <w:t xml:space="preserve">Returned between 6 </w:t>
            </w:r>
            <w:r w:rsidR="009B1F95">
              <w:rPr>
                <w:color w:val="000000"/>
                <w:szCs w:val="20"/>
              </w:rPr>
              <w:t>and</w:t>
            </w:r>
            <w:r w:rsidRPr="00F71A22">
              <w:rPr>
                <w:color w:val="000000"/>
                <w:szCs w:val="20"/>
              </w:rPr>
              <w:t xml:space="preserve"> less than 12 weeks</w:t>
            </w:r>
          </w:p>
        </w:tc>
        <w:tc>
          <w:tcPr>
            <w:tcW w:w="1182" w:type="dxa"/>
            <w:tcBorders>
              <w:top w:val="nil"/>
              <w:left w:val="nil"/>
              <w:bottom w:val="nil"/>
              <w:right w:val="nil"/>
            </w:tcBorders>
            <w:shd w:val="clear" w:color="auto" w:fill="auto"/>
            <w:noWrap/>
            <w:vAlign w:val="center"/>
            <w:hideMark/>
          </w:tcPr>
          <w:p w14:paraId="0B175033" w14:textId="77777777" w:rsidR="004C6F63" w:rsidRPr="00F71A22" w:rsidRDefault="004C6F63" w:rsidP="003709CB">
            <w:pPr>
              <w:pStyle w:val="TableText"/>
              <w:jc w:val="right"/>
              <w:rPr>
                <w:color w:val="000000"/>
                <w:szCs w:val="20"/>
              </w:rPr>
            </w:pPr>
            <w:r w:rsidRPr="00F71A22">
              <w:rPr>
                <w:color w:val="000000"/>
                <w:szCs w:val="20"/>
              </w:rPr>
              <w:t>89</w:t>
            </w:r>
          </w:p>
        </w:tc>
        <w:tc>
          <w:tcPr>
            <w:tcW w:w="1023" w:type="dxa"/>
            <w:tcBorders>
              <w:top w:val="nil"/>
              <w:left w:val="nil"/>
              <w:bottom w:val="nil"/>
              <w:right w:val="nil"/>
            </w:tcBorders>
            <w:shd w:val="clear" w:color="auto" w:fill="auto"/>
            <w:noWrap/>
            <w:vAlign w:val="center"/>
            <w:hideMark/>
          </w:tcPr>
          <w:p w14:paraId="186C605D" w14:textId="77777777" w:rsidR="004C6F63" w:rsidRPr="00F71A22" w:rsidRDefault="004C6F63" w:rsidP="003709CB">
            <w:pPr>
              <w:pStyle w:val="TableText"/>
              <w:jc w:val="right"/>
              <w:rPr>
                <w:color w:val="000000"/>
                <w:szCs w:val="20"/>
              </w:rPr>
            </w:pPr>
            <w:r w:rsidRPr="00F71A22">
              <w:rPr>
                <w:color w:val="000000"/>
                <w:szCs w:val="20"/>
              </w:rPr>
              <w:t>3.4</w:t>
            </w:r>
          </w:p>
        </w:tc>
        <w:tc>
          <w:tcPr>
            <w:tcW w:w="1257" w:type="dxa"/>
            <w:tcBorders>
              <w:top w:val="nil"/>
              <w:left w:val="nil"/>
              <w:bottom w:val="nil"/>
              <w:right w:val="nil"/>
            </w:tcBorders>
            <w:shd w:val="clear" w:color="auto" w:fill="auto"/>
            <w:noWrap/>
            <w:vAlign w:val="center"/>
            <w:hideMark/>
          </w:tcPr>
          <w:p w14:paraId="10B98D3B" w14:textId="77777777" w:rsidR="004C6F63" w:rsidRPr="00F71A22" w:rsidRDefault="004C6F63" w:rsidP="003709CB">
            <w:pPr>
              <w:pStyle w:val="TableText"/>
              <w:jc w:val="right"/>
              <w:rPr>
                <w:color w:val="000000"/>
                <w:szCs w:val="20"/>
              </w:rPr>
            </w:pPr>
            <w:r w:rsidRPr="00F71A22">
              <w:rPr>
                <w:color w:val="000000"/>
                <w:szCs w:val="20"/>
              </w:rPr>
              <w:t>447</w:t>
            </w:r>
          </w:p>
        </w:tc>
        <w:tc>
          <w:tcPr>
            <w:tcW w:w="1023" w:type="dxa"/>
            <w:tcBorders>
              <w:top w:val="nil"/>
              <w:left w:val="nil"/>
              <w:bottom w:val="nil"/>
              <w:right w:val="nil"/>
            </w:tcBorders>
            <w:shd w:val="clear" w:color="auto" w:fill="auto"/>
            <w:noWrap/>
            <w:vAlign w:val="center"/>
            <w:hideMark/>
          </w:tcPr>
          <w:p w14:paraId="396BC1D0" w14:textId="77777777" w:rsidR="004C6F63" w:rsidRPr="00F71A22" w:rsidRDefault="004C6F63" w:rsidP="003709CB">
            <w:pPr>
              <w:pStyle w:val="TableText"/>
              <w:jc w:val="right"/>
              <w:rPr>
                <w:color w:val="000000"/>
                <w:szCs w:val="20"/>
              </w:rPr>
            </w:pPr>
            <w:r w:rsidRPr="00F71A22">
              <w:rPr>
                <w:color w:val="000000"/>
                <w:szCs w:val="20"/>
              </w:rPr>
              <w:t>3.9</w:t>
            </w:r>
          </w:p>
        </w:tc>
        <w:tc>
          <w:tcPr>
            <w:tcW w:w="1023" w:type="dxa"/>
            <w:tcBorders>
              <w:top w:val="nil"/>
              <w:left w:val="nil"/>
              <w:bottom w:val="nil"/>
              <w:right w:val="nil"/>
            </w:tcBorders>
            <w:shd w:val="clear" w:color="auto" w:fill="auto"/>
            <w:noWrap/>
            <w:vAlign w:val="center"/>
            <w:hideMark/>
          </w:tcPr>
          <w:p w14:paraId="75F716EF" w14:textId="77777777" w:rsidR="004C6F63" w:rsidRPr="00F71A22" w:rsidRDefault="004C6F63" w:rsidP="003709CB">
            <w:pPr>
              <w:pStyle w:val="TableText"/>
              <w:jc w:val="right"/>
              <w:rPr>
                <w:color w:val="000000"/>
                <w:szCs w:val="20"/>
              </w:rPr>
            </w:pPr>
            <w:r w:rsidRPr="00F71A22">
              <w:rPr>
                <w:color w:val="000000"/>
                <w:szCs w:val="20"/>
              </w:rPr>
              <w:t>536</w:t>
            </w:r>
          </w:p>
        </w:tc>
      </w:tr>
      <w:tr w:rsidR="004C6F63" w:rsidRPr="00F71A22" w14:paraId="6F6F7261" w14:textId="77777777" w:rsidTr="005B0683">
        <w:trPr>
          <w:trHeight w:val="315"/>
        </w:trPr>
        <w:tc>
          <w:tcPr>
            <w:tcW w:w="4011" w:type="dxa"/>
            <w:tcBorders>
              <w:top w:val="nil"/>
              <w:left w:val="nil"/>
              <w:bottom w:val="nil"/>
              <w:right w:val="nil"/>
            </w:tcBorders>
            <w:shd w:val="clear" w:color="auto" w:fill="auto"/>
            <w:noWrap/>
            <w:vAlign w:val="center"/>
            <w:hideMark/>
          </w:tcPr>
          <w:p w14:paraId="2F08518D" w14:textId="08EFD25C" w:rsidR="004C6F63" w:rsidRPr="00F71A22" w:rsidRDefault="004C6F63" w:rsidP="00871314">
            <w:pPr>
              <w:pStyle w:val="TableText"/>
              <w:rPr>
                <w:color w:val="000000"/>
                <w:szCs w:val="20"/>
              </w:rPr>
            </w:pPr>
            <w:r w:rsidRPr="00F71A22">
              <w:rPr>
                <w:color w:val="000000"/>
                <w:szCs w:val="20"/>
              </w:rPr>
              <w:t xml:space="preserve">Returned between 12 </w:t>
            </w:r>
            <w:r w:rsidR="009B1F95">
              <w:rPr>
                <w:color w:val="000000"/>
                <w:szCs w:val="20"/>
              </w:rPr>
              <w:t>and</w:t>
            </w:r>
            <w:r w:rsidRPr="00F71A22">
              <w:rPr>
                <w:color w:val="000000"/>
                <w:szCs w:val="20"/>
              </w:rPr>
              <w:t xml:space="preserve"> less than 18 weeks</w:t>
            </w:r>
          </w:p>
        </w:tc>
        <w:tc>
          <w:tcPr>
            <w:tcW w:w="1182" w:type="dxa"/>
            <w:tcBorders>
              <w:top w:val="nil"/>
              <w:left w:val="nil"/>
              <w:bottom w:val="nil"/>
              <w:right w:val="nil"/>
            </w:tcBorders>
            <w:shd w:val="clear" w:color="auto" w:fill="auto"/>
            <w:noWrap/>
            <w:vAlign w:val="center"/>
            <w:hideMark/>
          </w:tcPr>
          <w:p w14:paraId="6D2D5075" w14:textId="77777777" w:rsidR="004C6F63" w:rsidRPr="00F71A22" w:rsidRDefault="004C6F63" w:rsidP="003709CB">
            <w:pPr>
              <w:pStyle w:val="TableText"/>
              <w:jc w:val="right"/>
              <w:rPr>
                <w:color w:val="000000"/>
                <w:szCs w:val="20"/>
              </w:rPr>
            </w:pPr>
            <w:r w:rsidRPr="00F71A22">
              <w:rPr>
                <w:color w:val="000000"/>
                <w:szCs w:val="20"/>
              </w:rPr>
              <w:t>60</w:t>
            </w:r>
          </w:p>
        </w:tc>
        <w:tc>
          <w:tcPr>
            <w:tcW w:w="1023" w:type="dxa"/>
            <w:tcBorders>
              <w:top w:val="nil"/>
              <w:left w:val="nil"/>
              <w:bottom w:val="nil"/>
              <w:right w:val="nil"/>
            </w:tcBorders>
            <w:shd w:val="clear" w:color="auto" w:fill="auto"/>
            <w:noWrap/>
            <w:vAlign w:val="center"/>
            <w:hideMark/>
          </w:tcPr>
          <w:p w14:paraId="7E748838" w14:textId="77777777" w:rsidR="004C6F63" w:rsidRPr="00F71A22" w:rsidRDefault="004C6F63" w:rsidP="003709CB">
            <w:pPr>
              <w:pStyle w:val="TableText"/>
              <w:jc w:val="right"/>
              <w:rPr>
                <w:color w:val="000000"/>
                <w:szCs w:val="20"/>
              </w:rPr>
            </w:pPr>
            <w:r w:rsidRPr="00F71A22">
              <w:rPr>
                <w:color w:val="000000"/>
                <w:szCs w:val="20"/>
              </w:rPr>
              <w:t>2.3</w:t>
            </w:r>
          </w:p>
        </w:tc>
        <w:tc>
          <w:tcPr>
            <w:tcW w:w="1257" w:type="dxa"/>
            <w:tcBorders>
              <w:top w:val="nil"/>
              <w:left w:val="nil"/>
              <w:bottom w:val="nil"/>
              <w:right w:val="nil"/>
            </w:tcBorders>
            <w:shd w:val="clear" w:color="auto" w:fill="auto"/>
            <w:noWrap/>
            <w:vAlign w:val="center"/>
            <w:hideMark/>
          </w:tcPr>
          <w:p w14:paraId="579AC5F4" w14:textId="77777777" w:rsidR="004C6F63" w:rsidRPr="00F71A22" w:rsidRDefault="004C6F63" w:rsidP="003709CB">
            <w:pPr>
              <w:pStyle w:val="TableText"/>
              <w:jc w:val="right"/>
              <w:rPr>
                <w:color w:val="000000"/>
                <w:szCs w:val="20"/>
              </w:rPr>
            </w:pPr>
            <w:r w:rsidRPr="00F71A22">
              <w:rPr>
                <w:color w:val="000000"/>
                <w:szCs w:val="20"/>
              </w:rPr>
              <w:t>323</w:t>
            </w:r>
          </w:p>
        </w:tc>
        <w:tc>
          <w:tcPr>
            <w:tcW w:w="1023" w:type="dxa"/>
            <w:tcBorders>
              <w:top w:val="nil"/>
              <w:left w:val="nil"/>
              <w:bottom w:val="nil"/>
              <w:right w:val="nil"/>
            </w:tcBorders>
            <w:shd w:val="clear" w:color="auto" w:fill="auto"/>
            <w:noWrap/>
            <w:vAlign w:val="center"/>
            <w:hideMark/>
          </w:tcPr>
          <w:p w14:paraId="67A8F3FC" w14:textId="77777777" w:rsidR="004C6F63" w:rsidRPr="00F71A22" w:rsidRDefault="004C6F63" w:rsidP="003709CB">
            <w:pPr>
              <w:pStyle w:val="TableText"/>
              <w:jc w:val="right"/>
              <w:rPr>
                <w:color w:val="000000"/>
                <w:szCs w:val="20"/>
              </w:rPr>
            </w:pPr>
            <w:r w:rsidRPr="00F71A22">
              <w:rPr>
                <w:color w:val="000000"/>
                <w:szCs w:val="20"/>
              </w:rPr>
              <w:t>2.8</w:t>
            </w:r>
          </w:p>
        </w:tc>
        <w:tc>
          <w:tcPr>
            <w:tcW w:w="1023" w:type="dxa"/>
            <w:tcBorders>
              <w:top w:val="nil"/>
              <w:left w:val="nil"/>
              <w:bottom w:val="nil"/>
              <w:right w:val="nil"/>
            </w:tcBorders>
            <w:shd w:val="clear" w:color="auto" w:fill="auto"/>
            <w:noWrap/>
            <w:vAlign w:val="center"/>
            <w:hideMark/>
          </w:tcPr>
          <w:p w14:paraId="57A4FC49" w14:textId="77777777" w:rsidR="004C6F63" w:rsidRPr="00F71A22" w:rsidRDefault="004C6F63" w:rsidP="003709CB">
            <w:pPr>
              <w:pStyle w:val="TableText"/>
              <w:jc w:val="right"/>
              <w:rPr>
                <w:color w:val="000000"/>
                <w:szCs w:val="20"/>
              </w:rPr>
            </w:pPr>
            <w:r w:rsidRPr="00F71A22">
              <w:rPr>
                <w:color w:val="000000"/>
                <w:szCs w:val="20"/>
              </w:rPr>
              <w:t>383</w:t>
            </w:r>
          </w:p>
        </w:tc>
      </w:tr>
      <w:tr w:rsidR="004C6F63" w:rsidRPr="00F71A22" w14:paraId="6C9F4831" w14:textId="77777777" w:rsidTr="005B0683">
        <w:trPr>
          <w:trHeight w:val="300"/>
        </w:trPr>
        <w:tc>
          <w:tcPr>
            <w:tcW w:w="4011" w:type="dxa"/>
            <w:tcBorders>
              <w:top w:val="nil"/>
              <w:left w:val="nil"/>
              <w:bottom w:val="nil"/>
              <w:right w:val="nil"/>
            </w:tcBorders>
            <w:shd w:val="clear" w:color="auto" w:fill="auto"/>
            <w:noWrap/>
            <w:vAlign w:val="center"/>
            <w:hideMark/>
          </w:tcPr>
          <w:p w14:paraId="2183E8BA" w14:textId="3B0C7C8B" w:rsidR="004C6F63" w:rsidRPr="00F71A22" w:rsidRDefault="004C6F63" w:rsidP="00871314">
            <w:pPr>
              <w:pStyle w:val="TableText"/>
              <w:rPr>
                <w:color w:val="000000"/>
                <w:szCs w:val="20"/>
              </w:rPr>
            </w:pPr>
            <w:r w:rsidRPr="00F71A22">
              <w:rPr>
                <w:color w:val="000000"/>
                <w:szCs w:val="20"/>
              </w:rPr>
              <w:t xml:space="preserve">Returned between 18 </w:t>
            </w:r>
            <w:r w:rsidR="009B1F95">
              <w:rPr>
                <w:color w:val="000000"/>
                <w:szCs w:val="20"/>
              </w:rPr>
              <w:t>and</w:t>
            </w:r>
            <w:r w:rsidRPr="00F71A22">
              <w:rPr>
                <w:color w:val="000000"/>
                <w:szCs w:val="20"/>
              </w:rPr>
              <w:t xml:space="preserve"> less than 24 weeks</w:t>
            </w:r>
          </w:p>
        </w:tc>
        <w:tc>
          <w:tcPr>
            <w:tcW w:w="1182" w:type="dxa"/>
            <w:tcBorders>
              <w:top w:val="nil"/>
              <w:left w:val="nil"/>
              <w:bottom w:val="nil"/>
              <w:right w:val="nil"/>
            </w:tcBorders>
            <w:shd w:val="clear" w:color="auto" w:fill="auto"/>
            <w:noWrap/>
            <w:vAlign w:val="center"/>
            <w:hideMark/>
          </w:tcPr>
          <w:p w14:paraId="5C83FA37" w14:textId="77777777" w:rsidR="004C6F63" w:rsidRPr="00F71A22" w:rsidRDefault="004C6F63" w:rsidP="003709CB">
            <w:pPr>
              <w:pStyle w:val="TableText"/>
              <w:jc w:val="right"/>
              <w:rPr>
                <w:color w:val="000000"/>
                <w:szCs w:val="20"/>
              </w:rPr>
            </w:pPr>
            <w:r w:rsidRPr="00F71A22">
              <w:rPr>
                <w:color w:val="000000"/>
                <w:szCs w:val="20"/>
              </w:rPr>
              <w:t>64</w:t>
            </w:r>
          </w:p>
        </w:tc>
        <w:tc>
          <w:tcPr>
            <w:tcW w:w="1023" w:type="dxa"/>
            <w:tcBorders>
              <w:top w:val="nil"/>
              <w:left w:val="nil"/>
              <w:bottom w:val="nil"/>
              <w:right w:val="nil"/>
            </w:tcBorders>
            <w:shd w:val="clear" w:color="auto" w:fill="auto"/>
            <w:noWrap/>
            <w:vAlign w:val="center"/>
            <w:hideMark/>
          </w:tcPr>
          <w:p w14:paraId="4E22F73B" w14:textId="77777777" w:rsidR="004C6F63" w:rsidRPr="00F71A22" w:rsidRDefault="004C6F63" w:rsidP="003709CB">
            <w:pPr>
              <w:pStyle w:val="TableText"/>
              <w:jc w:val="right"/>
              <w:rPr>
                <w:color w:val="000000"/>
                <w:szCs w:val="20"/>
              </w:rPr>
            </w:pPr>
            <w:r w:rsidRPr="00F71A22">
              <w:rPr>
                <w:color w:val="000000"/>
                <w:szCs w:val="20"/>
              </w:rPr>
              <w:t>2.5</w:t>
            </w:r>
          </w:p>
        </w:tc>
        <w:tc>
          <w:tcPr>
            <w:tcW w:w="1257" w:type="dxa"/>
            <w:tcBorders>
              <w:top w:val="nil"/>
              <w:left w:val="nil"/>
              <w:bottom w:val="nil"/>
              <w:right w:val="nil"/>
            </w:tcBorders>
            <w:shd w:val="clear" w:color="auto" w:fill="auto"/>
            <w:noWrap/>
            <w:vAlign w:val="center"/>
            <w:hideMark/>
          </w:tcPr>
          <w:p w14:paraId="2E7377D0" w14:textId="77777777" w:rsidR="004C6F63" w:rsidRPr="00F71A22" w:rsidRDefault="004C6F63" w:rsidP="003709CB">
            <w:pPr>
              <w:pStyle w:val="TableText"/>
              <w:jc w:val="right"/>
              <w:rPr>
                <w:color w:val="000000"/>
                <w:szCs w:val="20"/>
              </w:rPr>
            </w:pPr>
            <w:r w:rsidRPr="00F71A22">
              <w:rPr>
                <w:color w:val="000000"/>
                <w:szCs w:val="20"/>
              </w:rPr>
              <w:t>301</w:t>
            </w:r>
          </w:p>
        </w:tc>
        <w:tc>
          <w:tcPr>
            <w:tcW w:w="1023" w:type="dxa"/>
            <w:tcBorders>
              <w:top w:val="nil"/>
              <w:left w:val="nil"/>
              <w:bottom w:val="nil"/>
              <w:right w:val="nil"/>
            </w:tcBorders>
            <w:shd w:val="clear" w:color="auto" w:fill="auto"/>
            <w:noWrap/>
            <w:vAlign w:val="center"/>
            <w:hideMark/>
          </w:tcPr>
          <w:p w14:paraId="1EC83730" w14:textId="77777777" w:rsidR="004C6F63" w:rsidRPr="00F71A22" w:rsidRDefault="004C6F63" w:rsidP="003709CB">
            <w:pPr>
              <w:pStyle w:val="TableText"/>
              <w:jc w:val="right"/>
              <w:rPr>
                <w:color w:val="000000"/>
                <w:szCs w:val="20"/>
              </w:rPr>
            </w:pPr>
            <w:r w:rsidRPr="00F71A22">
              <w:rPr>
                <w:color w:val="000000"/>
                <w:szCs w:val="20"/>
              </w:rPr>
              <w:t>2.6</w:t>
            </w:r>
          </w:p>
        </w:tc>
        <w:tc>
          <w:tcPr>
            <w:tcW w:w="1023" w:type="dxa"/>
            <w:tcBorders>
              <w:top w:val="nil"/>
              <w:left w:val="nil"/>
              <w:bottom w:val="nil"/>
              <w:right w:val="nil"/>
            </w:tcBorders>
            <w:shd w:val="clear" w:color="auto" w:fill="auto"/>
            <w:noWrap/>
            <w:vAlign w:val="center"/>
            <w:hideMark/>
          </w:tcPr>
          <w:p w14:paraId="01F9F100" w14:textId="77777777" w:rsidR="004C6F63" w:rsidRPr="00F71A22" w:rsidRDefault="004C6F63" w:rsidP="003709CB">
            <w:pPr>
              <w:pStyle w:val="TableText"/>
              <w:jc w:val="right"/>
              <w:rPr>
                <w:color w:val="000000"/>
                <w:szCs w:val="20"/>
              </w:rPr>
            </w:pPr>
            <w:r w:rsidRPr="00F71A22">
              <w:rPr>
                <w:color w:val="000000"/>
                <w:szCs w:val="20"/>
              </w:rPr>
              <w:t>365</w:t>
            </w:r>
          </w:p>
        </w:tc>
      </w:tr>
      <w:tr w:rsidR="004C6F63" w:rsidRPr="00F71A22" w14:paraId="34D6ECC6" w14:textId="77777777" w:rsidTr="005B0683">
        <w:trPr>
          <w:trHeight w:val="315"/>
        </w:trPr>
        <w:tc>
          <w:tcPr>
            <w:tcW w:w="4011" w:type="dxa"/>
            <w:tcBorders>
              <w:top w:val="nil"/>
              <w:left w:val="nil"/>
              <w:bottom w:val="nil"/>
              <w:right w:val="nil"/>
            </w:tcBorders>
            <w:shd w:val="clear" w:color="auto" w:fill="auto"/>
            <w:noWrap/>
            <w:vAlign w:val="center"/>
            <w:hideMark/>
          </w:tcPr>
          <w:p w14:paraId="35A16CAD" w14:textId="77777777" w:rsidR="004C6F63" w:rsidRPr="00F71A22" w:rsidRDefault="004C6F63" w:rsidP="00871314">
            <w:pPr>
              <w:pStyle w:val="TableText"/>
              <w:rPr>
                <w:color w:val="000000"/>
                <w:szCs w:val="20"/>
              </w:rPr>
            </w:pPr>
            <w:r w:rsidRPr="00F71A22">
              <w:rPr>
                <w:color w:val="000000"/>
                <w:szCs w:val="20"/>
              </w:rPr>
              <w:t>Returned after 24 weeks or more</w:t>
            </w:r>
          </w:p>
        </w:tc>
        <w:tc>
          <w:tcPr>
            <w:tcW w:w="1182" w:type="dxa"/>
            <w:tcBorders>
              <w:top w:val="nil"/>
              <w:left w:val="nil"/>
              <w:bottom w:val="nil"/>
              <w:right w:val="nil"/>
            </w:tcBorders>
            <w:shd w:val="clear" w:color="auto" w:fill="auto"/>
            <w:noWrap/>
            <w:vAlign w:val="center"/>
            <w:hideMark/>
          </w:tcPr>
          <w:p w14:paraId="0CD2F068" w14:textId="77777777" w:rsidR="004C6F63" w:rsidRPr="00F71A22" w:rsidRDefault="004C6F63" w:rsidP="003709CB">
            <w:pPr>
              <w:pStyle w:val="TableText"/>
              <w:jc w:val="right"/>
              <w:rPr>
                <w:color w:val="000000"/>
                <w:szCs w:val="20"/>
              </w:rPr>
            </w:pPr>
            <w:r w:rsidRPr="00F71A22">
              <w:rPr>
                <w:color w:val="000000"/>
                <w:szCs w:val="20"/>
              </w:rPr>
              <w:t>30</w:t>
            </w:r>
          </w:p>
        </w:tc>
        <w:tc>
          <w:tcPr>
            <w:tcW w:w="1023" w:type="dxa"/>
            <w:tcBorders>
              <w:top w:val="nil"/>
              <w:left w:val="nil"/>
              <w:bottom w:val="nil"/>
              <w:right w:val="nil"/>
            </w:tcBorders>
            <w:shd w:val="clear" w:color="auto" w:fill="auto"/>
            <w:noWrap/>
            <w:vAlign w:val="center"/>
            <w:hideMark/>
          </w:tcPr>
          <w:p w14:paraId="135D8B2B" w14:textId="77777777" w:rsidR="004C6F63" w:rsidRPr="00F71A22" w:rsidRDefault="004C6F63" w:rsidP="003709CB">
            <w:pPr>
              <w:pStyle w:val="TableText"/>
              <w:jc w:val="right"/>
              <w:rPr>
                <w:color w:val="000000"/>
                <w:szCs w:val="20"/>
              </w:rPr>
            </w:pPr>
            <w:r w:rsidRPr="00F71A22">
              <w:rPr>
                <w:color w:val="000000"/>
                <w:szCs w:val="20"/>
              </w:rPr>
              <w:t>1.2</w:t>
            </w:r>
          </w:p>
        </w:tc>
        <w:tc>
          <w:tcPr>
            <w:tcW w:w="1257" w:type="dxa"/>
            <w:tcBorders>
              <w:top w:val="nil"/>
              <w:left w:val="nil"/>
              <w:bottom w:val="nil"/>
              <w:right w:val="nil"/>
            </w:tcBorders>
            <w:shd w:val="clear" w:color="auto" w:fill="auto"/>
            <w:noWrap/>
            <w:vAlign w:val="center"/>
            <w:hideMark/>
          </w:tcPr>
          <w:p w14:paraId="06B0ABBE" w14:textId="77777777" w:rsidR="004C6F63" w:rsidRPr="00F71A22" w:rsidRDefault="004C6F63" w:rsidP="003709CB">
            <w:pPr>
              <w:pStyle w:val="TableText"/>
              <w:jc w:val="right"/>
              <w:rPr>
                <w:color w:val="000000"/>
                <w:szCs w:val="20"/>
              </w:rPr>
            </w:pPr>
            <w:r w:rsidRPr="00F71A22">
              <w:rPr>
                <w:color w:val="000000"/>
                <w:szCs w:val="20"/>
              </w:rPr>
              <w:t>149</w:t>
            </w:r>
          </w:p>
        </w:tc>
        <w:tc>
          <w:tcPr>
            <w:tcW w:w="1023" w:type="dxa"/>
            <w:tcBorders>
              <w:top w:val="nil"/>
              <w:left w:val="nil"/>
              <w:bottom w:val="nil"/>
              <w:right w:val="nil"/>
            </w:tcBorders>
            <w:shd w:val="clear" w:color="auto" w:fill="auto"/>
            <w:noWrap/>
            <w:vAlign w:val="center"/>
            <w:hideMark/>
          </w:tcPr>
          <w:p w14:paraId="42B95790" w14:textId="77777777" w:rsidR="004C6F63" w:rsidRPr="00F71A22" w:rsidRDefault="004C6F63" w:rsidP="003709CB">
            <w:pPr>
              <w:pStyle w:val="TableText"/>
              <w:jc w:val="right"/>
              <w:rPr>
                <w:color w:val="000000"/>
                <w:szCs w:val="20"/>
              </w:rPr>
            </w:pPr>
            <w:r w:rsidRPr="00F71A22">
              <w:rPr>
                <w:color w:val="000000"/>
                <w:szCs w:val="20"/>
              </w:rPr>
              <w:t>1.3</w:t>
            </w:r>
          </w:p>
        </w:tc>
        <w:tc>
          <w:tcPr>
            <w:tcW w:w="1023" w:type="dxa"/>
            <w:tcBorders>
              <w:top w:val="nil"/>
              <w:left w:val="nil"/>
              <w:bottom w:val="nil"/>
              <w:right w:val="nil"/>
            </w:tcBorders>
            <w:shd w:val="clear" w:color="auto" w:fill="auto"/>
            <w:noWrap/>
            <w:vAlign w:val="center"/>
            <w:hideMark/>
          </w:tcPr>
          <w:p w14:paraId="5B610A59" w14:textId="77777777" w:rsidR="004C6F63" w:rsidRPr="00F71A22" w:rsidRDefault="004C6F63" w:rsidP="003709CB">
            <w:pPr>
              <w:pStyle w:val="TableText"/>
              <w:jc w:val="right"/>
              <w:rPr>
                <w:color w:val="000000"/>
                <w:szCs w:val="20"/>
              </w:rPr>
            </w:pPr>
            <w:r w:rsidRPr="00F71A22">
              <w:rPr>
                <w:color w:val="000000"/>
                <w:szCs w:val="20"/>
              </w:rPr>
              <w:t>179</w:t>
            </w:r>
          </w:p>
        </w:tc>
      </w:tr>
      <w:tr w:rsidR="004C6F63" w:rsidRPr="00F71A22" w14:paraId="7198C739" w14:textId="77777777" w:rsidTr="005B0683">
        <w:trPr>
          <w:trHeight w:val="349"/>
        </w:trPr>
        <w:tc>
          <w:tcPr>
            <w:tcW w:w="4011" w:type="dxa"/>
            <w:tcBorders>
              <w:top w:val="single" w:sz="8" w:space="0" w:color="auto"/>
              <w:left w:val="nil"/>
              <w:bottom w:val="single" w:sz="8" w:space="0" w:color="auto"/>
              <w:right w:val="nil"/>
            </w:tcBorders>
            <w:shd w:val="clear" w:color="auto" w:fill="auto"/>
            <w:noWrap/>
            <w:vAlign w:val="center"/>
            <w:hideMark/>
          </w:tcPr>
          <w:p w14:paraId="344625BF" w14:textId="77777777" w:rsidR="004C6F63" w:rsidRPr="00F71A22" w:rsidRDefault="004C6F63" w:rsidP="00871314">
            <w:pPr>
              <w:pStyle w:val="TableText"/>
              <w:rPr>
                <w:color w:val="000000"/>
                <w:szCs w:val="20"/>
              </w:rPr>
            </w:pPr>
            <w:r w:rsidRPr="00F71A22">
              <w:rPr>
                <w:color w:val="000000"/>
                <w:szCs w:val="20"/>
              </w:rPr>
              <w:t>Total</w:t>
            </w:r>
          </w:p>
        </w:tc>
        <w:tc>
          <w:tcPr>
            <w:tcW w:w="1182" w:type="dxa"/>
            <w:tcBorders>
              <w:top w:val="single" w:sz="8" w:space="0" w:color="auto"/>
              <w:left w:val="nil"/>
              <w:bottom w:val="single" w:sz="8" w:space="0" w:color="auto"/>
              <w:right w:val="nil"/>
            </w:tcBorders>
            <w:shd w:val="clear" w:color="auto" w:fill="auto"/>
            <w:noWrap/>
            <w:vAlign w:val="center"/>
            <w:hideMark/>
          </w:tcPr>
          <w:p w14:paraId="0222E49C" w14:textId="77777777" w:rsidR="004C6F63" w:rsidRPr="00F71A22" w:rsidRDefault="004C6F63" w:rsidP="003709CB">
            <w:pPr>
              <w:pStyle w:val="TableText"/>
              <w:jc w:val="right"/>
              <w:rPr>
                <w:color w:val="000000"/>
                <w:szCs w:val="20"/>
              </w:rPr>
            </w:pPr>
            <w:r w:rsidRPr="00F71A22">
              <w:rPr>
                <w:color w:val="000000"/>
                <w:szCs w:val="20"/>
              </w:rPr>
              <w:t>2,590</w:t>
            </w:r>
          </w:p>
        </w:tc>
        <w:tc>
          <w:tcPr>
            <w:tcW w:w="1023" w:type="dxa"/>
            <w:tcBorders>
              <w:top w:val="single" w:sz="8" w:space="0" w:color="auto"/>
              <w:left w:val="nil"/>
              <w:bottom w:val="single" w:sz="8" w:space="0" w:color="auto"/>
              <w:right w:val="nil"/>
            </w:tcBorders>
            <w:shd w:val="clear" w:color="auto" w:fill="auto"/>
            <w:noWrap/>
            <w:vAlign w:val="center"/>
            <w:hideMark/>
          </w:tcPr>
          <w:p w14:paraId="0FA8EE72" w14:textId="0F803B89" w:rsidR="004C6F63" w:rsidRPr="00F71A22" w:rsidRDefault="004C6F63" w:rsidP="003709CB">
            <w:pPr>
              <w:pStyle w:val="TableText"/>
              <w:jc w:val="right"/>
              <w:rPr>
                <w:color w:val="000000"/>
                <w:szCs w:val="20"/>
              </w:rPr>
            </w:pPr>
            <w:r w:rsidRPr="00F71A22">
              <w:rPr>
                <w:color w:val="000000"/>
                <w:szCs w:val="20"/>
              </w:rPr>
              <w:t>100</w:t>
            </w:r>
            <w:r w:rsidR="009B1F95">
              <w:rPr>
                <w:color w:val="000000"/>
                <w:szCs w:val="20"/>
              </w:rPr>
              <w:t>.0</w:t>
            </w:r>
          </w:p>
        </w:tc>
        <w:tc>
          <w:tcPr>
            <w:tcW w:w="1257" w:type="dxa"/>
            <w:tcBorders>
              <w:top w:val="single" w:sz="8" w:space="0" w:color="auto"/>
              <w:left w:val="nil"/>
              <w:bottom w:val="single" w:sz="8" w:space="0" w:color="auto"/>
              <w:right w:val="nil"/>
            </w:tcBorders>
            <w:shd w:val="clear" w:color="auto" w:fill="auto"/>
            <w:noWrap/>
            <w:vAlign w:val="center"/>
            <w:hideMark/>
          </w:tcPr>
          <w:p w14:paraId="5ED0409D" w14:textId="77777777" w:rsidR="004C6F63" w:rsidRPr="00F71A22" w:rsidRDefault="004C6F63" w:rsidP="003709CB">
            <w:pPr>
              <w:pStyle w:val="TableText"/>
              <w:jc w:val="right"/>
              <w:rPr>
                <w:color w:val="000000"/>
                <w:szCs w:val="20"/>
              </w:rPr>
            </w:pPr>
            <w:r w:rsidRPr="00F71A22">
              <w:rPr>
                <w:color w:val="000000"/>
                <w:szCs w:val="20"/>
              </w:rPr>
              <w:t>11,536</w:t>
            </w:r>
          </w:p>
        </w:tc>
        <w:tc>
          <w:tcPr>
            <w:tcW w:w="1023" w:type="dxa"/>
            <w:tcBorders>
              <w:top w:val="single" w:sz="8" w:space="0" w:color="auto"/>
              <w:left w:val="nil"/>
              <w:bottom w:val="single" w:sz="8" w:space="0" w:color="auto"/>
              <w:right w:val="nil"/>
            </w:tcBorders>
            <w:shd w:val="clear" w:color="auto" w:fill="auto"/>
            <w:noWrap/>
            <w:vAlign w:val="center"/>
            <w:hideMark/>
          </w:tcPr>
          <w:p w14:paraId="764BB687" w14:textId="443BA120" w:rsidR="004C6F63" w:rsidRPr="00F71A22" w:rsidRDefault="004C6F63" w:rsidP="003709CB">
            <w:pPr>
              <w:pStyle w:val="TableText"/>
              <w:jc w:val="right"/>
              <w:rPr>
                <w:color w:val="000000"/>
                <w:szCs w:val="20"/>
              </w:rPr>
            </w:pPr>
            <w:r w:rsidRPr="00F71A22">
              <w:rPr>
                <w:color w:val="000000"/>
                <w:szCs w:val="20"/>
              </w:rPr>
              <w:t>100</w:t>
            </w:r>
            <w:r w:rsidR="009B1F95">
              <w:rPr>
                <w:color w:val="000000"/>
                <w:szCs w:val="20"/>
              </w:rPr>
              <w:t>.0</w:t>
            </w:r>
          </w:p>
        </w:tc>
        <w:tc>
          <w:tcPr>
            <w:tcW w:w="1023" w:type="dxa"/>
            <w:tcBorders>
              <w:top w:val="single" w:sz="8" w:space="0" w:color="auto"/>
              <w:left w:val="nil"/>
              <w:bottom w:val="single" w:sz="8" w:space="0" w:color="auto"/>
              <w:right w:val="nil"/>
            </w:tcBorders>
            <w:shd w:val="clear" w:color="auto" w:fill="auto"/>
            <w:noWrap/>
            <w:vAlign w:val="center"/>
            <w:hideMark/>
          </w:tcPr>
          <w:p w14:paraId="51A63DAC" w14:textId="77777777" w:rsidR="004C6F63" w:rsidRPr="00F71A22" w:rsidRDefault="004C6F63" w:rsidP="003709CB">
            <w:pPr>
              <w:pStyle w:val="TableText"/>
              <w:jc w:val="right"/>
              <w:rPr>
                <w:color w:val="000000"/>
                <w:szCs w:val="20"/>
              </w:rPr>
            </w:pPr>
            <w:r w:rsidRPr="00F71A22">
              <w:rPr>
                <w:color w:val="000000"/>
                <w:szCs w:val="20"/>
              </w:rPr>
              <w:t>14,126</w:t>
            </w:r>
          </w:p>
        </w:tc>
      </w:tr>
    </w:tbl>
    <w:p w14:paraId="41FD752E" w14:textId="4D71E4D1" w:rsidR="00932885" w:rsidRPr="00F71A22" w:rsidRDefault="00932885" w:rsidP="00BB0B2B">
      <w:pPr>
        <w:pStyle w:val="Source"/>
        <w:contextualSpacing/>
      </w:pPr>
      <w:r w:rsidRPr="00F71A22">
        <w:rPr>
          <w:b/>
          <w:bCs/>
        </w:rPr>
        <w:t xml:space="preserve">Source: </w:t>
      </w:r>
      <w:r w:rsidRPr="00F71A22">
        <w:t xml:space="preserve">DESE </w:t>
      </w:r>
      <w:r w:rsidR="009B1F95">
        <w:t>a</w:t>
      </w:r>
      <w:r w:rsidRPr="00F71A22">
        <w:t xml:space="preserve">dministrative </w:t>
      </w:r>
      <w:r w:rsidR="009B1F95">
        <w:t>d</w:t>
      </w:r>
      <w:r w:rsidRPr="00F71A22">
        <w:t>ata</w:t>
      </w:r>
      <w:r w:rsidR="00281087">
        <w:br/>
      </w:r>
      <w:r w:rsidRPr="00F71A22">
        <w:rPr>
          <w:b/>
          <w:bCs/>
        </w:rPr>
        <w:t>Note</w:t>
      </w:r>
      <w:r w:rsidRPr="00F71A22">
        <w:t xml:space="preserve">: (*) for job seekers who exited income support before 1 July 2019, data </w:t>
      </w:r>
      <w:r w:rsidR="00DA1E0C">
        <w:t>was</w:t>
      </w:r>
      <w:r w:rsidRPr="00F71A22">
        <w:t xml:space="preserve"> observed for an extra </w:t>
      </w:r>
      <w:r w:rsidR="009B1F95">
        <w:t>6</w:t>
      </w:r>
      <w:r w:rsidRPr="00F71A22">
        <w:t xml:space="preserve"> months from the date of exit from income support to 31 December 2019</w:t>
      </w:r>
      <w:r w:rsidR="00776519">
        <w:t>.</w:t>
      </w:r>
    </w:p>
    <w:p w14:paraId="1B81F489" w14:textId="6CA8F1C0" w:rsidR="00C6580C" w:rsidRPr="00F71A22" w:rsidRDefault="00C6580C" w:rsidP="00C6580C">
      <w:r w:rsidRPr="00F71A22">
        <w:t>This analysis is limited by the short timeframe (1 July 2018 to 3</w:t>
      </w:r>
      <w:r w:rsidR="004C6F63" w:rsidRPr="00F71A22">
        <w:t>1</w:t>
      </w:r>
      <w:r w:rsidRPr="00F71A22">
        <w:t xml:space="preserve"> </w:t>
      </w:r>
      <w:r w:rsidR="004C6F63" w:rsidRPr="00F71A22">
        <w:t>December</w:t>
      </w:r>
      <w:r w:rsidRPr="00F71A22">
        <w:t xml:space="preserve"> 2019)</w:t>
      </w:r>
      <w:r w:rsidR="007532AD">
        <w:t>,</w:t>
      </w:r>
      <w:r w:rsidRPr="00F71A22">
        <w:t xml:space="preserve"> which is insufficient to determine whether remaining off income support can be sustained over the longer term.</w:t>
      </w:r>
    </w:p>
    <w:p w14:paraId="638EFABE" w14:textId="14902AC9" w:rsidR="00C6580C" w:rsidRPr="00F71A22" w:rsidRDefault="00C6580C" w:rsidP="00D62732">
      <w:pPr>
        <w:pStyle w:val="Heading2"/>
      </w:pPr>
      <w:bookmarkStart w:id="153" w:name="_Toc67042608"/>
      <w:r w:rsidRPr="00F71A22">
        <w:t>4.2 Employment and study rates</w:t>
      </w:r>
      <w:bookmarkEnd w:id="153"/>
    </w:p>
    <w:p w14:paraId="15B4CA40" w14:textId="797FB29C" w:rsidR="00C6580C" w:rsidRPr="00F71A22" w:rsidRDefault="00C6580C" w:rsidP="00C6580C">
      <w:pPr>
        <w:pStyle w:val="Heading3"/>
      </w:pPr>
      <w:bookmarkStart w:id="154" w:name="_Toc67042609"/>
      <w:r w:rsidRPr="00F71A22">
        <w:t>4.2.1 Employment rates</w:t>
      </w:r>
      <w:bookmarkEnd w:id="154"/>
    </w:p>
    <w:p w14:paraId="107F78B9" w14:textId="617D620B" w:rsidR="00803324" w:rsidRDefault="00F8011A" w:rsidP="00F229B4">
      <w:r w:rsidRPr="00F71A22">
        <w:t>As administrative data does not capture employment status</w:t>
      </w:r>
      <w:r w:rsidR="00EF2054">
        <w:t xml:space="preserve"> for OEST participants</w:t>
      </w:r>
      <w:r w:rsidRPr="00F71A22">
        <w:t>, exits from income support and employment services were used as a proxy for employment (</w:t>
      </w:r>
      <w:r w:rsidRPr="009B1F95">
        <w:rPr>
          <w:b/>
          <w:bCs/>
        </w:rPr>
        <w:t>Section 4.</w:t>
      </w:r>
      <w:r w:rsidR="00197296" w:rsidRPr="009B1F95">
        <w:rPr>
          <w:b/>
          <w:bCs/>
        </w:rPr>
        <w:t>1</w:t>
      </w:r>
      <w:r w:rsidRPr="00F71A22">
        <w:t>).</w:t>
      </w:r>
    </w:p>
    <w:p w14:paraId="7C24DE37" w14:textId="77777777" w:rsidR="0096486A" w:rsidRDefault="0096486A" w:rsidP="0096486A">
      <w:pPr>
        <w:rPr>
          <w:rStyle w:val="FigureCaptionChar"/>
        </w:rPr>
      </w:pPr>
      <w:bookmarkStart w:id="155" w:name="_Toc51340571"/>
      <w:bookmarkStart w:id="156" w:name="_Toc67042683"/>
      <w:r w:rsidRPr="00F71A22">
        <w:rPr>
          <w:rStyle w:val="FigureCaptionChar"/>
        </w:rPr>
        <w:lastRenderedPageBreak/>
        <w:t>Figure 4.3 Employment rates by duration</w:t>
      </w:r>
      <w:bookmarkEnd w:id="155"/>
      <w:r w:rsidRPr="00F71A22">
        <w:rPr>
          <w:rStyle w:val="FigureCaptionChar"/>
        </w:rPr>
        <w:t xml:space="preserve"> in employment services</w:t>
      </w:r>
      <w:bookmarkEnd w:id="156"/>
    </w:p>
    <w:p w14:paraId="2D6DDA25" w14:textId="77777777" w:rsidR="0096486A" w:rsidRPr="00F71A22" w:rsidRDefault="0096486A" w:rsidP="0096486A">
      <w:pPr>
        <w:rPr>
          <w:rStyle w:val="FigureCaptionChar"/>
        </w:rPr>
      </w:pPr>
      <w:r>
        <w:rPr>
          <w:noProof/>
        </w:rPr>
        <w:drawing>
          <wp:inline distT="0" distB="0" distL="0" distR="0" wp14:anchorId="0EA8D73E" wp14:editId="7E5616D3">
            <wp:extent cx="5746750" cy="3393440"/>
            <wp:effectExtent l="0" t="0" r="4445" b="5715"/>
            <wp:docPr id="28" name="Picture 28" descr="Bar chart showing:&#10;Employment rates for both OEST participants and the comparison groups were similar at three to six months (54% compared with 53%).&#10;Employment rates for OEST participants were slightly lower at six to nine months (53% compared with 59%) and beyond nine months (57% versus 61%).&#10;Employment rates of OEST participants were slightly lower than those of the comparison group at less than three months (38% versus 4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e 4-3.png"/>
                    <pic:cNvPicPr/>
                  </pic:nvPicPr>
                  <pic:blipFill>
                    <a:blip r:embed="rId32"/>
                    <a:stretch>
                      <a:fillRect/>
                    </a:stretch>
                  </pic:blipFill>
                  <pic:spPr>
                    <a:xfrm>
                      <a:off x="0" y="0"/>
                      <a:ext cx="5746750" cy="3393440"/>
                    </a:xfrm>
                    <a:prstGeom prst="rect">
                      <a:avLst/>
                    </a:prstGeom>
                  </pic:spPr>
                </pic:pic>
              </a:graphicData>
            </a:graphic>
          </wp:inline>
        </w:drawing>
      </w:r>
    </w:p>
    <w:p w14:paraId="13CBDB4D" w14:textId="1CADBAFB" w:rsidR="0096486A" w:rsidRPr="00F71A22" w:rsidRDefault="0096486A" w:rsidP="0096486A">
      <w:pPr>
        <w:pStyle w:val="Source"/>
        <w:contextualSpacing/>
      </w:pPr>
      <w:r w:rsidRPr="00F71A22">
        <w:rPr>
          <w:b/>
          <w:bCs/>
        </w:rPr>
        <w:t>Source</w:t>
      </w:r>
      <w:r w:rsidRPr="00F71A22">
        <w:t xml:space="preserve">: </w:t>
      </w:r>
      <w:r>
        <w:t>ORIMA</w:t>
      </w:r>
      <w:r w:rsidRPr="00F71A22">
        <w:t xml:space="preserve"> quantitative survey</w:t>
      </w:r>
      <w:r w:rsidR="00281087">
        <w:br/>
      </w:r>
      <w:r w:rsidRPr="00F71A22">
        <w:rPr>
          <w:b/>
          <w:bCs/>
        </w:rPr>
        <w:t>Note</w:t>
      </w:r>
      <w:r w:rsidRPr="00F71A22">
        <w:t>: All respondents</w:t>
      </w:r>
      <w:r>
        <w:t>;</w:t>
      </w:r>
      <w:r w:rsidRPr="00F71A22">
        <w:t xml:space="preserve"> DESE </w:t>
      </w:r>
      <w:r>
        <w:t>a</w:t>
      </w:r>
      <w:r w:rsidRPr="00F71A22">
        <w:t xml:space="preserve">dministrative </w:t>
      </w:r>
      <w:r>
        <w:t>d</w:t>
      </w:r>
      <w:r w:rsidRPr="00F71A22">
        <w:t>ata was used to calculate duration</w:t>
      </w:r>
      <w:r w:rsidR="00CD0CC6">
        <w:t>.</w:t>
      </w:r>
    </w:p>
    <w:p w14:paraId="6A422339" w14:textId="761EA3D1" w:rsidR="004158E3" w:rsidRPr="00F71A22" w:rsidRDefault="004158E3" w:rsidP="00BB0B2B">
      <w:r w:rsidRPr="00F71A22">
        <w:t>Survey data on employment rates</w:t>
      </w:r>
      <w:r w:rsidR="002C208C">
        <w:t xml:space="preserve"> was used to augment administrative data analysis</w:t>
      </w:r>
      <w:r w:rsidRPr="00F71A22">
        <w:t xml:space="preserve"> (</w:t>
      </w:r>
      <w:r w:rsidRPr="009B1F95">
        <w:rPr>
          <w:b/>
          <w:bCs/>
        </w:rPr>
        <w:t>Figure 4.3</w:t>
      </w:r>
      <w:r w:rsidRPr="00F71A22">
        <w:t>)</w:t>
      </w:r>
      <w:r w:rsidR="002C208C">
        <w:t>, which</w:t>
      </w:r>
      <w:r w:rsidRPr="00F71A22">
        <w:t xml:space="preserve"> </w:t>
      </w:r>
      <w:r w:rsidR="00010DA1" w:rsidRPr="00F71A22">
        <w:t>shows</w:t>
      </w:r>
      <w:r w:rsidRPr="00F71A22">
        <w:t>:</w:t>
      </w:r>
    </w:p>
    <w:p w14:paraId="731B3F16" w14:textId="46B76822" w:rsidR="009B1F95" w:rsidRDefault="009B1F95" w:rsidP="00CD0CC6">
      <w:pPr>
        <w:pStyle w:val="ListBullet"/>
      </w:pPr>
      <w:r>
        <w:t xml:space="preserve">employment rates for both OEST participants and the comparison groups were similar at </w:t>
      </w:r>
      <w:r w:rsidR="00611273">
        <w:t>three</w:t>
      </w:r>
      <w:r>
        <w:t xml:space="preserve"> to </w:t>
      </w:r>
      <w:r w:rsidR="00611273">
        <w:t>six</w:t>
      </w:r>
      <w:r>
        <w:t xml:space="preserve"> months </w:t>
      </w:r>
      <w:r w:rsidRPr="006E0F48">
        <w:t>(</w:t>
      </w:r>
      <w:r w:rsidRPr="0078049B">
        <w:rPr>
          <w:b/>
        </w:rPr>
        <w:t>54</w:t>
      </w:r>
      <w:r>
        <w:rPr>
          <w:b/>
        </w:rPr>
        <w:t>%</w:t>
      </w:r>
      <w:r>
        <w:t xml:space="preserve"> compared with </w:t>
      </w:r>
      <w:r w:rsidRPr="0078049B">
        <w:rPr>
          <w:b/>
        </w:rPr>
        <w:t>53</w:t>
      </w:r>
      <w:r>
        <w:rPr>
          <w:b/>
        </w:rPr>
        <w:t>%</w:t>
      </w:r>
      <w:r>
        <w:t>)</w:t>
      </w:r>
    </w:p>
    <w:p w14:paraId="77501C03" w14:textId="167F2409" w:rsidR="009B1F95" w:rsidRDefault="009B1F95" w:rsidP="00CD0CC6">
      <w:pPr>
        <w:pStyle w:val="ListBullet"/>
      </w:pPr>
      <w:r>
        <w:t xml:space="preserve">employment rates for OEST participants were </w:t>
      </w:r>
      <w:r w:rsidRPr="006E0F48">
        <w:t>slightly lower</w:t>
      </w:r>
      <w:r w:rsidR="007532AD">
        <w:t xml:space="preserve"> at</w:t>
      </w:r>
      <w:r w:rsidRPr="006E0F48">
        <w:t xml:space="preserve"> </w:t>
      </w:r>
      <w:r w:rsidR="00611273">
        <w:t>six</w:t>
      </w:r>
      <w:r>
        <w:t> </w:t>
      </w:r>
      <w:r w:rsidRPr="006E0F48">
        <w:t xml:space="preserve">to </w:t>
      </w:r>
      <w:r w:rsidR="00611273">
        <w:t>nine</w:t>
      </w:r>
      <w:r>
        <w:t> </w:t>
      </w:r>
      <w:r w:rsidRPr="006E0F48">
        <w:t>months (</w:t>
      </w:r>
      <w:r w:rsidRPr="001261D9">
        <w:rPr>
          <w:b/>
        </w:rPr>
        <w:t xml:space="preserve">53% </w:t>
      </w:r>
      <w:r w:rsidRPr="006E0F48">
        <w:t xml:space="preserve">compared with </w:t>
      </w:r>
      <w:r w:rsidRPr="001261D9">
        <w:rPr>
          <w:b/>
        </w:rPr>
        <w:t>59%</w:t>
      </w:r>
      <w:r w:rsidRPr="006E0F48">
        <w:t xml:space="preserve">) </w:t>
      </w:r>
      <w:r>
        <w:t xml:space="preserve">and beyond </w:t>
      </w:r>
      <w:r w:rsidR="00611273">
        <w:t>nine</w:t>
      </w:r>
      <w:r>
        <w:t> months (</w:t>
      </w:r>
      <w:r w:rsidRPr="001261D9">
        <w:rPr>
          <w:b/>
        </w:rPr>
        <w:t>57%</w:t>
      </w:r>
      <w:r>
        <w:t xml:space="preserve"> versus </w:t>
      </w:r>
      <w:r w:rsidRPr="001261D9">
        <w:rPr>
          <w:b/>
        </w:rPr>
        <w:t>61%</w:t>
      </w:r>
      <w:r>
        <w:t>)</w:t>
      </w:r>
    </w:p>
    <w:p w14:paraId="574F8404" w14:textId="7E8896FA" w:rsidR="009B1F95" w:rsidRDefault="009B1F95" w:rsidP="00CD0CC6">
      <w:pPr>
        <w:pStyle w:val="ListBullet"/>
      </w:pPr>
      <w:r>
        <w:t xml:space="preserve">employment rates of OEST participants were slightly lower than those of the comparison group at less than </w:t>
      </w:r>
      <w:r w:rsidR="00611273">
        <w:t>three</w:t>
      </w:r>
      <w:r>
        <w:t xml:space="preserve"> months (</w:t>
      </w:r>
      <w:r w:rsidRPr="001261D9">
        <w:rPr>
          <w:b/>
        </w:rPr>
        <w:t>38%</w:t>
      </w:r>
      <w:r>
        <w:t xml:space="preserve"> versus </w:t>
      </w:r>
      <w:r w:rsidRPr="001261D9">
        <w:rPr>
          <w:b/>
        </w:rPr>
        <w:t>43%</w:t>
      </w:r>
      <w:r>
        <w:t>).</w:t>
      </w:r>
      <w:r w:rsidR="00DC187E">
        <w:rPr>
          <w:rStyle w:val="FootnoteReference"/>
        </w:rPr>
        <w:footnoteReference w:id="20"/>
      </w:r>
    </w:p>
    <w:p w14:paraId="6765B4BC" w14:textId="33F996A0" w:rsidR="004158E3" w:rsidRPr="00F71A22" w:rsidRDefault="00F06E14" w:rsidP="00BB0B2B">
      <w:r w:rsidRPr="00F71A22">
        <w:lastRenderedPageBreak/>
        <w:t xml:space="preserve">The employment rates </w:t>
      </w:r>
      <w:r w:rsidR="00B350A0" w:rsidRPr="00F71A22">
        <w:t>were</w:t>
      </w:r>
      <w:r w:rsidR="004158E3" w:rsidRPr="00F71A22">
        <w:t xml:space="preserve"> consistent with the exit rate analysis, which showed comparable performance between online and provider servicing during the </w:t>
      </w:r>
      <w:r w:rsidR="00611273">
        <w:t>six</w:t>
      </w:r>
      <w:r w:rsidR="004158E3" w:rsidRPr="00F71A22">
        <w:t xml:space="preserve"> months of OEST servicing, but with </w:t>
      </w:r>
      <w:r w:rsidR="003C4C47">
        <w:t xml:space="preserve">OEST </w:t>
      </w:r>
      <w:r w:rsidR="004158E3" w:rsidRPr="00F71A22">
        <w:t xml:space="preserve">participants </w:t>
      </w:r>
      <w:r w:rsidR="003C4C47">
        <w:t>having poorer results</w:t>
      </w:r>
      <w:r w:rsidR="004158E3" w:rsidRPr="00F71A22">
        <w:t xml:space="preserve"> after </w:t>
      </w:r>
      <w:r w:rsidR="007532AD">
        <w:t xml:space="preserve">their </w:t>
      </w:r>
      <w:r w:rsidR="003C4C47">
        <w:t>six months in the trial</w:t>
      </w:r>
      <w:r w:rsidR="004158E3" w:rsidRPr="00F71A22">
        <w:t>.</w:t>
      </w:r>
    </w:p>
    <w:p w14:paraId="1096FEBB" w14:textId="77777777" w:rsidR="00803324" w:rsidRDefault="00C6580C" w:rsidP="00C6580C">
      <w:pPr>
        <w:pStyle w:val="Heading3"/>
      </w:pPr>
      <w:bookmarkStart w:id="157" w:name="_Toc67042610"/>
      <w:r w:rsidRPr="00F71A22">
        <w:t>4.2.</w:t>
      </w:r>
      <w:r w:rsidR="00A43177" w:rsidRPr="00F71A22">
        <w:t>2</w:t>
      </w:r>
      <w:r w:rsidRPr="00F71A22">
        <w:t xml:space="preserve"> Undertaking study and training</w:t>
      </w:r>
      <w:bookmarkEnd w:id="157"/>
    </w:p>
    <w:p w14:paraId="09A74BD5" w14:textId="77777777" w:rsidR="00803324" w:rsidRDefault="00080B95" w:rsidP="00080B95">
      <w:r>
        <w:t xml:space="preserve">The proportion of OEST participants and job seekers in the comparison group undertaking study and training increased significantly </w:t>
      </w:r>
      <w:r w:rsidR="003C4C47">
        <w:t>during</w:t>
      </w:r>
      <w:r>
        <w:t xml:space="preserve"> the first </w:t>
      </w:r>
      <w:r w:rsidR="00611273">
        <w:t>six</w:t>
      </w:r>
      <w:r>
        <w:t> months</w:t>
      </w:r>
      <w:r w:rsidR="003C4C47">
        <w:t xml:space="preserve"> in employment services</w:t>
      </w:r>
      <w:r>
        <w:t xml:space="preserve"> (</w:t>
      </w:r>
      <w:r w:rsidRPr="001261D9">
        <w:rPr>
          <w:b/>
        </w:rPr>
        <w:t>Figure 4.4</w:t>
      </w:r>
      <w:r>
        <w:t xml:space="preserve">) and then returned to the </w:t>
      </w:r>
      <w:r w:rsidR="003C4C47">
        <w:t xml:space="preserve">lower </w:t>
      </w:r>
      <w:r>
        <w:t>study rates</w:t>
      </w:r>
      <w:r w:rsidR="003C4C47">
        <w:t xml:space="preserve"> observed</w:t>
      </w:r>
      <w:r>
        <w:t xml:space="preserve"> </w:t>
      </w:r>
      <w:r w:rsidR="003C4C47">
        <w:t>soon after job seekers commenced in employment services</w:t>
      </w:r>
      <w:r>
        <w:t>.</w:t>
      </w:r>
      <w:r w:rsidR="000B1397">
        <w:rPr>
          <w:rStyle w:val="FootnoteReference"/>
        </w:rPr>
        <w:footnoteReference w:id="21"/>
      </w:r>
    </w:p>
    <w:p w14:paraId="1A770466" w14:textId="0BB714D8" w:rsidR="00080B95" w:rsidRDefault="00080B95" w:rsidP="00080B95">
      <w:r>
        <w:t>Study rates for OEST participants compared with the comparison group were:</w:t>
      </w:r>
    </w:p>
    <w:p w14:paraId="2716DAA5" w14:textId="77777777" w:rsidR="00803324" w:rsidRDefault="00080B95" w:rsidP="007D528F">
      <w:pPr>
        <w:pStyle w:val="ListBullet"/>
      </w:pPr>
      <w:r>
        <w:t xml:space="preserve">slightly higher for those who had received assistance for </w:t>
      </w:r>
      <w:r w:rsidRPr="000B7C13">
        <w:t xml:space="preserve">less than </w:t>
      </w:r>
      <w:r w:rsidR="00611273">
        <w:t>three</w:t>
      </w:r>
      <w:r w:rsidRPr="000B7C13">
        <w:t xml:space="preserve"> months (</w:t>
      </w:r>
      <w:r w:rsidRPr="001261D9">
        <w:rPr>
          <w:b/>
        </w:rPr>
        <w:t>16%</w:t>
      </w:r>
      <w:r w:rsidRPr="000B7C13">
        <w:t xml:space="preserve"> compared with </w:t>
      </w:r>
      <w:r w:rsidRPr="001261D9">
        <w:rPr>
          <w:b/>
        </w:rPr>
        <w:t>12%</w:t>
      </w:r>
      <w:r w:rsidRPr="000B7C13">
        <w:t>)</w:t>
      </w:r>
    </w:p>
    <w:p w14:paraId="3F86C725" w14:textId="7214E80B" w:rsidR="00080B95" w:rsidRDefault="00080B95" w:rsidP="007D528F">
      <w:pPr>
        <w:pStyle w:val="ListBullet"/>
      </w:pPr>
      <w:r>
        <w:t xml:space="preserve">similar for those who had received assistance for </w:t>
      </w:r>
      <w:r w:rsidR="00611273">
        <w:t>three</w:t>
      </w:r>
      <w:r w:rsidRPr="000B7C13">
        <w:t xml:space="preserve"> to </w:t>
      </w:r>
      <w:r w:rsidR="00611273">
        <w:t>six</w:t>
      </w:r>
      <w:r>
        <w:t> </w:t>
      </w:r>
      <w:r w:rsidRPr="000B7C13">
        <w:t>months (</w:t>
      </w:r>
      <w:r w:rsidRPr="001261D9">
        <w:rPr>
          <w:b/>
        </w:rPr>
        <w:t>24%</w:t>
      </w:r>
      <w:r>
        <w:t xml:space="preserve"> compared with </w:t>
      </w:r>
      <w:r w:rsidRPr="001261D9">
        <w:rPr>
          <w:b/>
        </w:rPr>
        <w:t>24%</w:t>
      </w:r>
      <w:r w:rsidRPr="000B7C13">
        <w:t>)</w:t>
      </w:r>
    </w:p>
    <w:p w14:paraId="3DFA0432" w14:textId="77777777" w:rsidR="00803324" w:rsidRDefault="00080B95" w:rsidP="007D528F">
      <w:pPr>
        <w:pStyle w:val="ListBullet"/>
      </w:pPr>
      <w:r>
        <w:t xml:space="preserve">slightly lower for those who had received assistance for </w:t>
      </w:r>
      <w:r w:rsidR="00611273">
        <w:t>six</w:t>
      </w:r>
      <w:r>
        <w:t> </w:t>
      </w:r>
      <w:r w:rsidRPr="000B7C13">
        <w:t xml:space="preserve">to </w:t>
      </w:r>
      <w:r w:rsidR="00611273">
        <w:t>nine</w:t>
      </w:r>
      <w:r>
        <w:t> </w:t>
      </w:r>
      <w:r w:rsidRPr="000B7C13">
        <w:t>months (</w:t>
      </w:r>
      <w:r w:rsidRPr="001261D9">
        <w:rPr>
          <w:b/>
        </w:rPr>
        <w:t>22%</w:t>
      </w:r>
      <w:r w:rsidRPr="000B7C13">
        <w:t xml:space="preserve"> compared with </w:t>
      </w:r>
      <w:r w:rsidRPr="001261D9">
        <w:rPr>
          <w:b/>
        </w:rPr>
        <w:t>26%</w:t>
      </w:r>
      <w:r w:rsidRPr="000B7C13">
        <w:t>)</w:t>
      </w:r>
    </w:p>
    <w:p w14:paraId="05455A0F" w14:textId="32CEAE1B" w:rsidR="00080B95" w:rsidRDefault="00080B95" w:rsidP="007D528F">
      <w:pPr>
        <w:pStyle w:val="ListBullet"/>
      </w:pPr>
      <w:r w:rsidRPr="000B7C13">
        <w:t xml:space="preserve">similar for those </w:t>
      </w:r>
      <w:r>
        <w:t xml:space="preserve">who </w:t>
      </w:r>
      <w:r w:rsidRPr="000B7C13">
        <w:t xml:space="preserve">had received assistance for </w:t>
      </w:r>
      <w:r w:rsidR="00611273">
        <w:t>nine</w:t>
      </w:r>
      <w:r w:rsidRPr="000B7C13">
        <w:t xml:space="preserve"> months or more (</w:t>
      </w:r>
      <w:r w:rsidRPr="001261D9">
        <w:rPr>
          <w:b/>
        </w:rPr>
        <w:t>18%</w:t>
      </w:r>
      <w:r w:rsidRPr="000B7C13">
        <w:t xml:space="preserve"> compared with </w:t>
      </w:r>
      <w:r w:rsidRPr="001261D9">
        <w:rPr>
          <w:b/>
        </w:rPr>
        <w:t>16%</w:t>
      </w:r>
      <w:r w:rsidRPr="000B7C13">
        <w:t>).</w:t>
      </w:r>
    </w:p>
    <w:p w14:paraId="2BFBAEE8" w14:textId="16EEA03A" w:rsidR="00C6580C" w:rsidRPr="00F71A22" w:rsidRDefault="00CF73C4" w:rsidP="00C6580C">
      <w:r w:rsidRPr="00F71A22">
        <w:t xml:space="preserve">Survey results also showed that </w:t>
      </w:r>
      <w:r w:rsidR="00C6580C" w:rsidRPr="00F71A22">
        <w:t>OEST participants were less likely than those in the comparison group to be studying on a full-time basis, though this is not statistically significant.</w:t>
      </w:r>
    </w:p>
    <w:p w14:paraId="3504703C" w14:textId="34A970E8" w:rsidR="00F06E14" w:rsidRPr="00F71A22" w:rsidRDefault="00F06E14" w:rsidP="00F06E14">
      <w:r w:rsidRPr="00F71A22">
        <w:t>One factor that could have affected study participation was that OEST participants, unlike the comparison group in jobactive, did not have access to the Employment Fund to assist with study costs.</w:t>
      </w:r>
    </w:p>
    <w:p w14:paraId="7171B1F3" w14:textId="1CBB1531" w:rsidR="00C6580C" w:rsidRDefault="00C6580C" w:rsidP="00E802CC">
      <w:pPr>
        <w:pStyle w:val="FigureCaption"/>
      </w:pPr>
      <w:bookmarkStart w:id="158" w:name="_Toc67042684"/>
      <w:r w:rsidRPr="00F71A22">
        <w:lastRenderedPageBreak/>
        <w:t>Figure 4.</w:t>
      </w:r>
      <w:r w:rsidR="00281E39" w:rsidRPr="00F71A22">
        <w:t>4</w:t>
      </w:r>
      <w:r w:rsidRPr="00F71A22">
        <w:t xml:space="preserve"> Study or training rates by duration on assistance</w:t>
      </w:r>
      <w:bookmarkEnd w:id="158"/>
    </w:p>
    <w:p w14:paraId="5028C826" w14:textId="773F1AF2" w:rsidR="001908A3" w:rsidRPr="00F71A22" w:rsidRDefault="001908A3" w:rsidP="00551055">
      <w:r>
        <w:rPr>
          <w:noProof/>
        </w:rPr>
        <w:drawing>
          <wp:inline distT="0" distB="0" distL="0" distR="0" wp14:anchorId="4AF99C6A" wp14:editId="142FBE8B">
            <wp:extent cx="5746750" cy="3387725"/>
            <wp:effectExtent l="0" t="0" r="6350" b="3175"/>
            <wp:docPr id="29" name="Picture 29" descr="Bar chart showing study rates for OEST participants compared with the comparison group, which were:&#10;Slightly higher for those who had received assistance for less than three months (16% compared with 12%).&#10;Similar for those who had received assistance for three to six months (24% compared with 24%).&#10;Slightly lower for those who had received assistance for six to nine months (22% compared with 26%).&#10;Similar for those who had received assistance for nine months or more (18% compared with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 4-4.png"/>
                    <pic:cNvPicPr/>
                  </pic:nvPicPr>
                  <pic:blipFill>
                    <a:blip r:embed="rId33"/>
                    <a:stretch>
                      <a:fillRect/>
                    </a:stretch>
                  </pic:blipFill>
                  <pic:spPr>
                    <a:xfrm>
                      <a:off x="0" y="0"/>
                      <a:ext cx="5746750" cy="3387725"/>
                    </a:xfrm>
                    <a:prstGeom prst="rect">
                      <a:avLst/>
                    </a:prstGeom>
                  </pic:spPr>
                </pic:pic>
              </a:graphicData>
            </a:graphic>
          </wp:inline>
        </w:drawing>
      </w:r>
    </w:p>
    <w:p w14:paraId="64C27B7C" w14:textId="7525F6D4" w:rsidR="00C6580C" w:rsidRPr="00F71A22" w:rsidRDefault="00CF73C4" w:rsidP="00BB2D75">
      <w:pPr>
        <w:pStyle w:val="Source"/>
        <w:contextualSpacing/>
      </w:pPr>
      <w:r w:rsidRPr="00F71A22">
        <w:rPr>
          <w:b/>
          <w:bCs/>
        </w:rPr>
        <w:t>Source</w:t>
      </w:r>
      <w:r w:rsidRPr="00F71A22">
        <w:t xml:space="preserve">: </w:t>
      </w:r>
      <w:r w:rsidR="00DA1E0C">
        <w:t>ORIMA</w:t>
      </w:r>
      <w:r w:rsidR="005C0486" w:rsidRPr="00F71A22">
        <w:t xml:space="preserve"> </w:t>
      </w:r>
      <w:r w:rsidR="00D17231" w:rsidRPr="00F71A22">
        <w:t>quantitative s</w:t>
      </w:r>
      <w:r w:rsidR="005C0486" w:rsidRPr="00F71A22">
        <w:t>urvey</w:t>
      </w:r>
      <w:r w:rsidR="00281087">
        <w:br/>
      </w:r>
      <w:r w:rsidR="00217560" w:rsidRPr="00F71A22">
        <w:rPr>
          <w:b/>
          <w:bCs/>
        </w:rPr>
        <w:t>Note</w:t>
      </w:r>
      <w:r w:rsidR="00217560" w:rsidRPr="00F71A22">
        <w:t>: All respondents</w:t>
      </w:r>
      <w:r w:rsidR="007C34C3">
        <w:t>;</w:t>
      </w:r>
      <w:r w:rsidR="005C0486" w:rsidRPr="00F71A22">
        <w:t xml:space="preserve"> DESE </w:t>
      </w:r>
      <w:r w:rsidR="00080B95">
        <w:t>a</w:t>
      </w:r>
      <w:r w:rsidR="005C0486" w:rsidRPr="00F71A22">
        <w:t xml:space="preserve">dministrative </w:t>
      </w:r>
      <w:r w:rsidR="00080B95">
        <w:t>d</w:t>
      </w:r>
      <w:r w:rsidR="005C0486" w:rsidRPr="00F71A22">
        <w:t xml:space="preserve">ata </w:t>
      </w:r>
      <w:r w:rsidR="00F229B4" w:rsidRPr="00F71A22">
        <w:t>was</w:t>
      </w:r>
      <w:r w:rsidR="005C0486" w:rsidRPr="00F71A22">
        <w:t xml:space="preserve"> used to calculate duration</w:t>
      </w:r>
      <w:r w:rsidR="00512F1C">
        <w:t>.</w:t>
      </w:r>
    </w:p>
    <w:p w14:paraId="6DF70060" w14:textId="6D83841D" w:rsidR="00F06E14" w:rsidRPr="00F71A22" w:rsidRDefault="00C6580C" w:rsidP="00690E6D">
      <w:pPr>
        <w:pStyle w:val="Heading2"/>
      </w:pPr>
      <w:bookmarkStart w:id="159" w:name="_Toc67042611"/>
      <w:r w:rsidRPr="00F71A22">
        <w:t xml:space="preserve">4.3 </w:t>
      </w:r>
      <w:r w:rsidR="00F06E14" w:rsidRPr="00F71A22">
        <w:t>Cost-effectiveness</w:t>
      </w:r>
      <w:bookmarkEnd w:id="159"/>
    </w:p>
    <w:p w14:paraId="3060586F" w14:textId="77777777" w:rsidR="00803324" w:rsidRDefault="00080B95" w:rsidP="00DF5B61">
      <w:r>
        <w:t>A key consideration in the provision of employment services is its cost-effectiveness.</w:t>
      </w:r>
    </w:p>
    <w:p w14:paraId="17BD58BA" w14:textId="7D38A79A" w:rsidR="00803324" w:rsidRDefault="00080B95" w:rsidP="00DF5B61">
      <w:r>
        <w:t xml:space="preserve">The OEST offered a comparatively </w:t>
      </w:r>
      <w:r w:rsidR="0000679D">
        <w:t>low-cost</w:t>
      </w:r>
      <w:r>
        <w:t xml:space="preserve"> structure to deliver. Relative to provider servicing, OEST involved no provider payments, which created significant financial efficiencies (although there were some offsetting costs </w:t>
      </w:r>
      <w:r w:rsidR="002C208C">
        <w:t xml:space="preserve">in the design and delivery of the OEST in an </w:t>
      </w:r>
      <w:r>
        <w:t>online platform</w:t>
      </w:r>
      <w:r w:rsidR="003F158D">
        <w:rPr>
          <w:rStyle w:val="FootnoteReference"/>
          <w:color w:val="000000" w:themeColor="text1"/>
        </w:rPr>
        <w:footnoteReference w:id="22"/>
      </w:r>
      <w:r>
        <w:t>). These efficiencies were reflected in the budgetary measures establishing and expanding the OEST.</w:t>
      </w:r>
      <w:r>
        <w:rPr>
          <w:rStyle w:val="FootnoteReference"/>
          <w:color w:val="000000" w:themeColor="text1"/>
        </w:rPr>
        <w:footnoteReference w:id="23"/>
      </w:r>
    </w:p>
    <w:p w14:paraId="189B6ADB" w14:textId="77777777" w:rsidR="00803324" w:rsidRDefault="00080B95" w:rsidP="00DF5B61">
      <w:r>
        <w:t xml:space="preserve">Given that OEST provided similar employment outcomes, in terms of both exits and employment rates, to provider servicing and did so at a lower cost, this means digital servicing can be cost-effective for the most </w:t>
      </w:r>
      <w:r w:rsidR="0001666F">
        <w:t>job-ready</w:t>
      </w:r>
      <w:r>
        <w:t xml:space="preserve"> job seekers.</w:t>
      </w:r>
    </w:p>
    <w:p w14:paraId="795B1F8C" w14:textId="5601A81E" w:rsidR="00635EA8" w:rsidRPr="00F71A22" w:rsidRDefault="00D37BD7" w:rsidP="00690E6D">
      <w:pPr>
        <w:pStyle w:val="Heading2"/>
      </w:pPr>
      <w:bookmarkStart w:id="160" w:name="_Toc67042612"/>
      <w:r w:rsidRPr="00F71A22">
        <w:lastRenderedPageBreak/>
        <w:t xml:space="preserve">4.4 </w:t>
      </w:r>
      <w:r w:rsidR="00635EA8" w:rsidRPr="00F71A22">
        <w:t>Participants’ confidence</w:t>
      </w:r>
      <w:bookmarkEnd w:id="160"/>
    </w:p>
    <w:p w14:paraId="0E998101" w14:textId="11904E76" w:rsidR="00315DEC" w:rsidRPr="00F71A22" w:rsidRDefault="00315DEC">
      <w:r w:rsidRPr="00F71A22">
        <w:t>The evaluation use</w:t>
      </w:r>
      <w:r w:rsidR="000434F4" w:rsidRPr="00F71A22">
        <w:t>d</w:t>
      </w:r>
      <w:r w:rsidRPr="00F71A22">
        <w:t xml:space="preserve"> confidence across job search skills, ability to find a job, and resources as an indicator of participants’ employability. The analysis compare</w:t>
      </w:r>
      <w:r w:rsidR="000434F4" w:rsidRPr="00F71A22">
        <w:t>d</w:t>
      </w:r>
      <w:r w:rsidRPr="00F71A22">
        <w:t xml:space="preserve"> survey results between trial participants and the comparison group after </w:t>
      </w:r>
      <w:r w:rsidR="00611273">
        <w:t>six</w:t>
      </w:r>
      <w:r w:rsidRPr="00F71A22">
        <w:t xml:space="preserve"> months or more of assistance.</w:t>
      </w:r>
    </w:p>
    <w:p w14:paraId="14082887" w14:textId="6F45DFD2" w:rsidR="00690E6D" w:rsidRDefault="00635EA8" w:rsidP="00635EA8">
      <w:pPr>
        <w:pStyle w:val="Heading3"/>
      </w:pPr>
      <w:bookmarkStart w:id="161" w:name="_Toc67042613"/>
      <w:r w:rsidRPr="00F71A22">
        <w:t>4.</w:t>
      </w:r>
      <w:r w:rsidR="00D37BD7" w:rsidRPr="00F71A22">
        <w:t>4</w:t>
      </w:r>
      <w:r w:rsidRPr="00F71A22">
        <w:t>.1 Confidence in job search skills</w:t>
      </w:r>
      <w:bookmarkEnd w:id="161"/>
    </w:p>
    <w:p w14:paraId="66A876FE" w14:textId="67E9EA47" w:rsidR="00C036BB" w:rsidRPr="00C036BB" w:rsidRDefault="00C036BB" w:rsidP="00C036BB">
      <w:r w:rsidRPr="00271F5D">
        <w:rPr>
          <w:color w:val="000000" w:themeColor="text1"/>
        </w:rPr>
        <w:t xml:space="preserve">Analysis </w:t>
      </w:r>
      <w:r>
        <w:rPr>
          <w:color w:val="000000" w:themeColor="text1"/>
        </w:rPr>
        <w:t>s</w:t>
      </w:r>
      <w:r w:rsidRPr="00286081">
        <w:rPr>
          <w:bCs/>
          <w:lang w:val="en"/>
        </w:rPr>
        <w:t>how</w:t>
      </w:r>
      <w:r>
        <w:rPr>
          <w:bCs/>
          <w:lang w:val="en"/>
        </w:rPr>
        <w:t>s that</w:t>
      </w:r>
      <w:r w:rsidRPr="00286081">
        <w:rPr>
          <w:bCs/>
          <w:lang w:val="en"/>
        </w:rPr>
        <w:t xml:space="preserve"> </w:t>
      </w:r>
      <w:r w:rsidRPr="00413FE8">
        <w:rPr>
          <w:bCs/>
          <w:lang w:val="en"/>
        </w:rPr>
        <w:t>OEST participants</w:t>
      </w:r>
      <w:r>
        <w:rPr>
          <w:bCs/>
          <w:lang w:val="en"/>
        </w:rPr>
        <w:t>’</w:t>
      </w:r>
      <w:r w:rsidRPr="00413FE8">
        <w:rPr>
          <w:bCs/>
          <w:lang w:val="en"/>
        </w:rPr>
        <w:t xml:space="preserve"> confidence in their job search skills was similar to the </w:t>
      </w:r>
      <w:r>
        <w:rPr>
          <w:bCs/>
          <w:lang w:val="en"/>
        </w:rPr>
        <w:t>comparison</w:t>
      </w:r>
      <w:r w:rsidRPr="00413FE8">
        <w:rPr>
          <w:bCs/>
          <w:lang w:val="en"/>
        </w:rPr>
        <w:t xml:space="preserve"> group</w:t>
      </w:r>
      <w:r>
        <w:rPr>
          <w:bCs/>
          <w:lang w:val="en"/>
        </w:rPr>
        <w:t>’s across</w:t>
      </w:r>
      <w:r w:rsidRPr="00093F2E">
        <w:rPr>
          <w:bCs/>
          <w:lang w:val="en"/>
        </w:rPr>
        <w:t xml:space="preserve"> </w:t>
      </w:r>
      <w:r>
        <w:rPr>
          <w:bCs/>
          <w:lang w:val="en"/>
        </w:rPr>
        <w:t>five different</w:t>
      </w:r>
      <w:r w:rsidRPr="00093F2E">
        <w:rPr>
          <w:bCs/>
          <w:lang w:val="en"/>
        </w:rPr>
        <w:t xml:space="preserve"> measures</w:t>
      </w:r>
      <w:r>
        <w:rPr>
          <w:bCs/>
          <w:lang w:val="en"/>
        </w:rPr>
        <w:t xml:space="preserve"> (</w:t>
      </w:r>
      <w:r>
        <w:rPr>
          <w:b/>
          <w:lang w:val="en"/>
        </w:rPr>
        <w:t>Figure 4.5</w:t>
      </w:r>
      <w:r>
        <w:rPr>
          <w:bCs/>
          <w:lang w:val="en"/>
        </w:rPr>
        <w:t>).</w:t>
      </w:r>
    </w:p>
    <w:p w14:paraId="4F3D9F6B" w14:textId="77777777" w:rsidR="00C036BB" w:rsidRDefault="00C036BB" w:rsidP="00C036BB">
      <w:pPr>
        <w:pStyle w:val="FigureCaption"/>
      </w:pPr>
      <w:bookmarkStart w:id="162" w:name="_Toc67042685"/>
      <w:bookmarkStart w:id="163" w:name="_Ref33094265"/>
      <w:bookmarkStart w:id="164" w:name="_Toc33094122"/>
      <w:r w:rsidRPr="00F71A22">
        <w:t>Figure 4.5 Job seekers’ confidence in job search skills</w:t>
      </w:r>
      <w:bookmarkEnd w:id="162"/>
    </w:p>
    <w:p w14:paraId="0A19ABEF" w14:textId="77777777" w:rsidR="00C036BB" w:rsidRPr="00F71A22" w:rsidRDefault="00C036BB" w:rsidP="00C036BB">
      <w:r>
        <w:rPr>
          <w:noProof/>
        </w:rPr>
        <w:drawing>
          <wp:inline distT="0" distB="0" distL="0" distR="0" wp14:anchorId="40E3A8FC" wp14:editId="14636430">
            <wp:extent cx="5954573" cy="3647751"/>
            <wp:effectExtent l="0" t="0" r="8255" b="0"/>
            <wp:docPr id="40" name="Picture 40" descr="Bar chart showing OEST participants’ confidence in their job search skills was similar to the comparison group’s across five different measures.&#10;However, knowing the best way to find work differed between OEST participants (71%) and the comparison group (7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 4-5.png"/>
                    <pic:cNvPicPr/>
                  </pic:nvPicPr>
                  <pic:blipFill>
                    <a:blip r:embed="rId34"/>
                    <a:stretch>
                      <a:fillRect/>
                    </a:stretch>
                  </pic:blipFill>
                  <pic:spPr>
                    <a:xfrm>
                      <a:off x="0" y="0"/>
                      <a:ext cx="5967713" cy="3655801"/>
                    </a:xfrm>
                    <a:prstGeom prst="rect">
                      <a:avLst/>
                    </a:prstGeom>
                  </pic:spPr>
                </pic:pic>
              </a:graphicData>
            </a:graphic>
          </wp:inline>
        </w:drawing>
      </w:r>
    </w:p>
    <w:p w14:paraId="24ED5BB3" w14:textId="5A801D96" w:rsidR="00C036BB" w:rsidRPr="00F71A22" w:rsidRDefault="00C036BB" w:rsidP="00C036BB">
      <w:pPr>
        <w:pStyle w:val="Source"/>
        <w:contextualSpacing/>
      </w:pPr>
      <w:r w:rsidRPr="00F71A22">
        <w:rPr>
          <w:b/>
          <w:bCs/>
        </w:rPr>
        <w:t>Source</w:t>
      </w:r>
      <w:r w:rsidRPr="00F71A22">
        <w:t xml:space="preserve">: 2019 </w:t>
      </w:r>
      <w:r>
        <w:t>q</w:t>
      </w:r>
      <w:r w:rsidRPr="00F71A22">
        <w:t>uantitative research survey</w:t>
      </w:r>
      <w:r>
        <w:br/>
      </w:r>
      <w:r w:rsidRPr="00F71A22">
        <w:rPr>
          <w:b/>
          <w:bCs/>
        </w:rPr>
        <w:t>Note</w:t>
      </w:r>
      <w:r w:rsidRPr="00F71A22">
        <w:t xml:space="preserve">: </w:t>
      </w:r>
      <w:r w:rsidRPr="005C51D3">
        <w:t>* Result</w:t>
      </w:r>
      <w:r>
        <w:t>s</w:t>
      </w:r>
      <w:r w:rsidRPr="005C51D3">
        <w:t xml:space="preserve"> in</w:t>
      </w:r>
      <w:r>
        <w:t xml:space="preserve"> the first two bars</w:t>
      </w:r>
      <w:r w:rsidRPr="005C51D3">
        <w:t xml:space="preserve"> </w:t>
      </w:r>
      <w:r>
        <w:t>(</w:t>
      </w:r>
      <w:r w:rsidRPr="005C51D3">
        <w:t xml:space="preserve">navy and </w:t>
      </w:r>
      <w:r w:rsidR="0000679D">
        <w:t>yellow</w:t>
      </w:r>
      <w:r>
        <w:t>)</w:t>
      </w:r>
      <w:r w:rsidRPr="005C51D3">
        <w:t xml:space="preserve"> show % Disagree/Strongly Disagree and those in</w:t>
      </w:r>
      <w:r>
        <w:t xml:space="preserve"> the last two bars</w:t>
      </w:r>
      <w:r w:rsidRPr="005C51D3">
        <w:t xml:space="preserve"> </w:t>
      </w:r>
      <w:r>
        <w:t>(</w:t>
      </w:r>
      <w:r w:rsidR="0000679D">
        <w:t>green</w:t>
      </w:r>
      <w:r w:rsidRPr="005C51D3">
        <w:t xml:space="preserve"> and </w:t>
      </w:r>
      <w:r w:rsidR="0000679D">
        <w:t>blue</w:t>
      </w:r>
      <w:r>
        <w:t>)</w:t>
      </w:r>
      <w:r w:rsidRPr="005C51D3">
        <w:t xml:space="preserve"> show % Agree/Strongly Agree to the statement</w:t>
      </w:r>
      <w:r>
        <w:t>,</w:t>
      </w:r>
      <w:r w:rsidRPr="005C51D3">
        <w:t xml:space="preserve"> as it </w:t>
      </w:r>
      <w:r>
        <w:t>was</w:t>
      </w:r>
      <w:r w:rsidRPr="005C51D3">
        <w:t xml:space="preserve"> framed as a negative statement in the questionnaire (</w:t>
      </w:r>
      <w:r>
        <w:t>“</w:t>
      </w:r>
      <w:r w:rsidRPr="005C51D3">
        <w:t>I need help to find a job, I can’t do it myself</w:t>
      </w:r>
      <w:r>
        <w:t>”</w:t>
      </w:r>
      <w:r w:rsidRPr="005C51D3">
        <w:t>). Results have been presented in reverse to allow comparison with the other positive statements in this section.</w:t>
      </w:r>
    </w:p>
    <w:p w14:paraId="6ADC71E1" w14:textId="064063EB" w:rsidR="00080B95" w:rsidRDefault="00080B95" w:rsidP="00080B95">
      <w:pPr>
        <w:tabs>
          <w:tab w:val="left" w:pos="7128"/>
        </w:tabs>
        <w:rPr>
          <w:lang w:val="en"/>
        </w:rPr>
      </w:pPr>
      <w:r>
        <w:rPr>
          <w:lang w:val="en"/>
        </w:rPr>
        <w:lastRenderedPageBreak/>
        <w:t>K</w:t>
      </w:r>
      <w:r w:rsidRPr="000417FE">
        <w:rPr>
          <w:lang w:val="en"/>
        </w:rPr>
        <w:t>nowing the best way to find work</w:t>
      </w:r>
      <w:r>
        <w:rPr>
          <w:lang w:val="en"/>
        </w:rPr>
        <w:t xml:space="preserve">, however, differed between OEST participants </w:t>
      </w:r>
      <w:r w:rsidRPr="00A15E2F">
        <w:rPr>
          <w:lang w:val="en"/>
        </w:rPr>
        <w:t>(</w:t>
      </w:r>
      <w:r w:rsidRPr="001261D9">
        <w:rPr>
          <w:b/>
          <w:lang w:val="en"/>
        </w:rPr>
        <w:t>71%</w:t>
      </w:r>
      <w:r w:rsidRPr="00A15E2F">
        <w:rPr>
          <w:lang w:val="en"/>
        </w:rPr>
        <w:t>)</w:t>
      </w:r>
      <w:r>
        <w:rPr>
          <w:lang w:val="en"/>
        </w:rPr>
        <w:t xml:space="preserve"> and the comparison group (</w:t>
      </w:r>
      <w:r w:rsidRPr="001261D9">
        <w:rPr>
          <w:b/>
          <w:lang w:val="en"/>
        </w:rPr>
        <w:t>76%</w:t>
      </w:r>
      <w:r>
        <w:rPr>
          <w:lang w:val="en"/>
        </w:rPr>
        <w:t>),</w:t>
      </w:r>
      <w:r w:rsidR="000B1397">
        <w:rPr>
          <w:lang w:val="en"/>
        </w:rPr>
        <w:t xml:space="preserve"> reflecting</w:t>
      </w:r>
      <w:r>
        <w:rPr>
          <w:lang w:val="en"/>
        </w:rPr>
        <w:t xml:space="preserve"> that the latter group had </w:t>
      </w:r>
      <w:r w:rsidR="003F158D">
        <w:rPr>
          <w:lang w:val="en"/>
        </w:rPr>
        <w:t xml:space="preserve">access to </w:t>
      </w:r>
      <w:r>
        <w:rPr>
          <w:lang w:val="en"/>
        </w:rPr>
        <w:t>additional help from a jobactive provider.</w:t>
      </w:r>
    </w:p>
    <w:p w14:paraId="47FE3464" w14:textId="77777777" w:rsidR="00C84C66" w:rsidRPr="00F71A22" w:rsidRDefault="00C84C66" w:rsidP="00C84C66">
      <w:pPr>
        <w:pStyle w:val="Heading4"/>
      </w:pPr>
      <w:r w:rsidRPr="00F71A22">
        <w:t>Longitudinal analysis</w:t>
      </w:r>
    </w:p>
    <w:p w14:paraId="1AF1082D" w14:textId="0F4873CA" w:rsidR="00C84C66" w:rsidRDefault="00C84C66" w:rsidP="00BB2D75">
      <w:pPr>
        <w:rPr>
          <w:lang w:val="en"/>
        </w:rPr>
      </w:pPr>
      <w:r w:rsidRPr="00F71A22">
        <w:t xml:space="preserve">Most OEST participants in the longitudinal analysis thought that their job search skills had increased over time. </w:t>
      </w:r>
      <w:r w:rsidRPr="00080B95">
        <w:rPr>
          <w:b/>
          <w:bCs/>
        </w:rPr>
        <w:t>Figure 4.6</w:t>
      </w:r>
      <w:r w:rsidRPr="00F71A22">
        <w:t xml:space="preserve"> shows that over two-thirds of respondents agreed that their skills in using the </w:t>
      </w:r>
      <w:r w:rsidRPr="004B70A7">
        <w:t>internet for job searches and applications ha</w:t>
      </w:r>
      <w:r>
        <w:t>d</w:t>
      </w:r>
      <w:r w:rsidRPr="004B70A7">
        <w:t xml:space="preserve"> improved (</w:t>
      </w:r>
      <w:r w:rsidRPr="004A6561">
        <w:rPr>
          <w:b/>
        </w:rPr>
        <w:t>70</w:t>
      </w:r>
      <w:r>
        <w:rPr>
          <w:b/>
        </w:rPr>
        <w:t>%</w:t>
      </w:r>
      <w:r w:rsidRPr="004B70A7">
        <w:t>) and that their job se</w:t>
      </w:r>
      <w:r>
        <w:t>arch</w:t>
      </w:r>
      <w:r w:rsidRPr="004B70A7">
        <w:t xml:space="preserve"> skills ha</w:t>
      </w:r>
      <w:r>
        <w:t>d</w:t>
      </w:r>
      <w:r w:rsidRPr="004B70A7">
        <w:t xml:space="preserve"> also improved (</w:t>
      </w:r>
      <w:r w:rsidRPr="004A6561">
        <w:rPr>
          <w:b/>
        </w:rPr>
        <w:t>68</w:t>
      </w:r>
      <w:r>
        <w:rPr>
          <w:b/>
        </w:rPr>
        <w:t>%</w:t>
      </w:r>
      <w:r w:rsidRPr="004B70A7">
        <w:t>).</w:t>
      </w:r>
    </w:p>
    <w:p w14:paraId="53D428EA" w14:textId="2D4DF8A8" w:rsidR="00F55E41" w:rsidRDefault="00F55E41" w:rsidP="00522837">
      <w:pPr>
        <w:pStyle w:val="FigureCaption"/>
      </w:pPr>
      <w:bookmarkStart w:id="165" w:name="_Toc67042686"/>
      <w:bookmarkEnd w:id="163"/>
      <w:bookmarkEnd w:id="164"/>
      <w:r w:rsidRPr="00F71A22">
        <w:t>Figure 4.</w:t>
      </w:r>
      <w:r w:rsidR="00281E39" w:rsidRPr="00F71A22">
        <w:t>6</w:t>
      </w:r>
      <w:r w:rsidRPr="00F71A22">
        <w:t xml:space="preserve"> Change in confidence in job search skills for longitudinal respondents</w:t>
      </w:r>
      <w:bookmarkEnd w:id="165"/>
    </w:p>
    <w:p w14:paraId="0D327027" w14:textId="2BC55765" w:rsidR="00F55E41" w:rsidRPr="00DF5B61" w:rsidRDefault="00107689" w:rsidP="00551055">
      <w:r>
        <w:rPr>
          <w:noProof/>
        </w:rPr>
        <w:drawing>
          <wp:inline distT="0" distB="0" distL="0" distR="0" wp14:anchorId="7A530DE1" wp14:editId="41605E5F">
            <wp:extent cx="5746750" cy="1478280"/>
            <wp:effectExtent l="0" t="0" r="6350" b="7620"/>
            <wp:docPr id="42" name="Picture 42" descr="Bar chart showing over two-thirds of OEST participants agreed that their skills in using the internet for job searches and applications had improved (70%) and that their job search skills had also improve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 4-6.png"/>
                    <pic:cNvPicPr/>
                  </pic:nvPicPr>
                  <pic:blipFill>
                    <a:blip r:embed="rId35"/>
                    <a:stretch>
                      <a:fillRect/>
                    </a:stretch>
                  </pic:blipFill>
                  <pic:spPr>
                    <a:xfrm>
                      <a:off x="0" y="0"/>
                      <a:ext cx="5746750" cy="1478280"/>
                    </a:xfrm>
                    <a:prstGeom prst="rect">
                      <a:avLst/>
                    </a:prstGeom>
                  </pic:spPr>
                </pic:pic>
              </a:graphicData>
            </a:graphic>
          </wp:inline>
        </w:drawing>
      </w:r>
    </w:p>
    <w:p w14:paraId="2B9A294E" w14:textId="512FB2C9" w:rsidR="00690E6D" w:rsidRDefault="00F55E41" w:rsidP="001F4507">
      <w:pPr>
        <w:pStyle w:val="Source"/>
        <w:contextualSpacing/>
        <w:rPr>
          <w:lang w:eastAsia="en-AU"/>
        </w:rPr>
      </w:pPr>
      <w:r w:rsidRPr="00F71A22">
        <w:rPr>
          <w:b/>
          <w:bCs/>
          <w:lang w:eastAsia="en-AU"/>
        </w:rPr>
        <w:t>Source</w:t>
      </w:r>
      <w:r w:rsidRPr="00F71A22">
        <w:rPr>
          <w:lang w:eastAsia="en-AU"/>
        </w:rPr>
        <w:t xml:space="preserve">: 2019 </w:t>
      </w:r>
      <w:r w:rsidR="00A53E94">
        <w:rPr>
          <w:lang w:eastAsia="en-AU"/>
        </w:rPr>
        <w:t>q</w:t>
      </w:r>
      <w:r w:rsidRPr="00F71A22">
        <w:rPr>
          <w:lang w:eastAsia="en-AU"/>
        </w:rPr>
        <w:t>uantitative research survey</w:t>
      </w:r>
      <w:r w:rsidR="00C036BB">
        <w:rPr>
          <w:lang w:eastAsia="en-AU"/>
        </w:rPr>
        <w:br/>
      </w:r>
      <w:r w:rsidR="005C51D3" w:rsidRPr="00F71A22">
        <w:rPr>
          <w:b/>
          <w:bCs/>
          <w:lang w:eastAsia="en-AU"/>
        </w:rPr>
        <w:t>Note</w:t>
      </w:r>
      <w:r w:rsidRPr="00F71A22">
        <w:rPr>
          <w:lang w:eastAsia="en-AU"/>
        </w:rPr>
        <w:t>: Longitudinal survey respondents</w:t>
      </w:r>
    </w:p>
    <w:p w14:paraId="39393985" w14:textId="77777777" w:rsidR="003F158D" w:rsidRPr="00F71A22" w:rsidRDefault="003F158D" w:rsidP="003F158D">
      <w:pPr>
        <w:pStyle w:val="Heading3"/>
      </w:pPr>
      <w:bookmarkStart w:id="166" w:name="_Toc67042614"/>
      <w:r w:rsidRPr="00F71A22">
        <w:t>4.4.2 Confidence in finding and retaining a job</w:t>
      </w:r>
      <w:bookmarkEnd w:id="166"/>
    </w:p>
    <w:p w14:paraId="63607057" w14:textId="77777777" w:rsidR="003F158D" w:rsidRPr="00F71A22" w:rsidRDefault="003F158D" w:rsidP="001F4507">
      <w:r w:rsidRPr="00F71A22">
        <w:t xml:space="preserve">OEST participants and comparison job seekers had similar levels of confidence that they could find and retain a job. </w:t>
      </w:r>
      <w:r w:rsidRPr="00080B95">
        <w:rPr>
          <w:b/>
          <w:bCs/>
        </w:rPr>
        <w:t>Figure 4.7</w:t>
      </w:r>
      <w:r w:rsidRPr="00F71A22">
        <w:t xml:space="preserve"> shows that:</w:t>
      </w:r>
    </w:p>
    <w:p w14:paraId="05C2AF52" w14:textId="77777777" w:rsidR="003F158D" w:rsidRDefault="003F158D" w:rsidP="00EF796F">
      <w:pPr>
        <w:pStyle w:val="ListBullet"/>
      </w:pPr>
      <w:r w:rsidRPr="00315DEC">
        <w:rPr>
          <w:b/>
          <w:bCs/>
        </w:rPr>
        <w:t>91</w:t>
      </w:r>
      <w:r>
        <w:rPr>
          <w:b/>
          <w:bCs/>
        </w:rPr>
        <w:t>%</w:t>
      </w:r>
      <w:r w:rsidRPr="00271F5D">
        <w:t xml:space="preserve"> of </w:t>
      </w:r>
      <w:r>
        <w:t>OEST participants agreed that they would be able to keep a new or current job, while</w:t>
      </w:r>
      <w:r w:rsidRPr="00271F5D">
        <w:t xml:space="preserve"> </w:t>
      </w:r>
      <w:r w:rsidRPr="001261D9">
        <w:rPr>
          <w:b/>
        </w:rPr>
        <w:t>92%</w:t>
      </w:r>
      <w:r w:rsidRPr="00271F5D">
        <w:t xml:space="preserve"> of </w:t>
      </w:r>
      <w:r>
        <w:t>the comparison</w:t>
      </w:r>
      <w:r w:rsidRPr="00271F5D">
        <w:t xml:space="preserve"> group agreed </w:t>
      </w:r>
      <w:r>
        <w:t>to this statement</w:t>
      </w:r>
      <w:r w:rsidRPr="00271F5D">
        <w:rPr>
          <w:rStyle w:val="FootnoteReference"/>
        </w:rPr>
        <w:footnoteReference w:id="24"/>
      </w:r>
    </w:p>
    <w:p w14:paraId="18CC9DFB" w14:textId="77777777" w:rsidR="003F158D" w:rsidRPr="00F71A22" w:rsidRDefault="003F158D" w:rsidP="00EF796F">
      <w:pPr>
        <w:pStyle w:val="ListBullet"/>
      </w:pPr>
      <w:r>
        <w:rPr>
          <w:b/>
          <w:bCs/>
        </w:rPr>
        <w:t>72%</w:t>
      </w:r>
      <w:r w:rsidRPr="00F71A22">
        <w:t xml:space="preserve"> of OEST participants and the comparison group agreed with the survey statement that they were confident that they would find a job soon.</w:t>
      </w:r>
    </w:p>
    <w:p w14:paraId="4006E91A" w14:textId="17EF506E" w:rsidR="006C2E69" w:rsidRDefault="006C2E69" w:rsidP="006C2E69">
      <w:pPr>
        <w:pStyle w:val="FigureCaption"/>
      </w:pPr>
      <w:bookmarkStart w:id="167" w:name="_Ref33092860"/>
      <w:bookmarkStart w:id="168" w:name="_Toc33094124"/>
      <w:bookmarkStart w:id="169" w:name="_Toc67042687"/>
      <w:r w:rsidRPr="00F71A22">
        <w:lastRenderedPageBreak/>
        <w:t>Figure 4.</w:t>
      </w:r>
      <w:bookmarkEnd w:id="167"/>
      <w:r w:rsidRPr="00F71A22">
        <w:t>7 Confidence in finding and retaining a jo</w:t>
      </w:r>
      <w:r w:rsidRPr="00DF5B61">
        <w:t>b</w:t>
      </w:r>
      <w:bookmarkEnd w:id="168"/>
      <w:bookmarkEnd w:id="169"/>
    </w:p>
    <w:p w14:paraId="64296FAC" w14:textId="558DF279" w:rsidR="006C2E69" w:rsidRPr="00F71A22" w:rsidRDefault="00AE4B6B" w:rsidP="00551055">
      <w:r>
        <w:rPr>
          <w:noProof/>
        </w:rPr>
        <w:drawing>
          <wp:inline distT="0" distB="0" distL="0" distR="0" wp14:anchorId="52CBC797" wp14:editId="09FC1314">
            <wp:extent cx="5603443" cy="1808941"/>
            <wp:effectExtent l="0" t="0" r="0" b="1270"/>
            <wp:docPr id="44" name="Picture 44" descr="Bar chart showing: &#10;91% of OEST participants agreed that they would be able to keep a new or current job, while 92% of the comparison group agreed to this statement &#10;72% of OEST participants and the comparison group agreed with the statement that they were confident that they would find a job so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e 4-7.png"/>
                    <pic:cNvPicPr/>
                  </pic:nvPicPr>
                  <pic:blipFill>
                    <a:blip r:embed="rId36"/>
                    <a:stretch>
                      <a:fillRect/>
                    </a:stretch>
                  </pic:blipFill>
                  <pic:spPr>
                    <a:xfrm>
                      <a:off x="0" y="0"/>
                      <a:ext cx="5668045" cy="1829796"/>
                    </a:xfrm>
                    <a:prstGeom prst="rect">
                      <a:avLst/>
                    </a:prstGeom>
                  </pic:spPr>
                </pic:pic>
              </a:graphicData>
            </a:graphic>
          </wp:inline>
        </w:drawing>
      </w:r>
    </w:p>
    <w:p w14:paraId="24AE0289" w14:textId="3ACF8066" w:rsidR="006C2E69" w:rsidRPr="00F71A22" w:rsidRDefault="006C2E69" w:rsidP="00BB2D75">
      <w:pPr>
        <w:pStyle w:val="Source"/>
        <w:contextualSpacing/>
      </w:pPr>
      <w:r w:rsidRPr="00F71A22">
        <w:rPr>
          <w:b/>
          <w:bCs/>
        </w:rPr>
        <w:t>Source</w:t>
      </w:r>
      <w:r w:rsidRPr="00F71A22">
        <w:t xml:space="preserve">: 2019 </w:t>
      </w:r>
      <w:r w:rsidR="00080B95">
        <w:t>q</w:t>
      </w:r>
      <w:r w:rsidRPr="00F71A22">
        <w:t>uantitative research survey</w:t>
      </w:r>
      <w:r w:rsidR="00C036BB">
        <w:br/>
      </w:r>
      <w:r w:rsidRPr="00F71A22">
        <w:rPr>
          <w:b/>
          <w:bCs/>
        </w:rPr>
        <w:t>Note</w:t>
      </w:r>
      <w:r w:rsidRPr="00F71A22">
        <w:t xml:space="preserve">: OEST </w:t>
      </w:r>
      <w:r w:rsidR="00DA1E0C">
        <w:t xml:space="preserve">participants </w:t>
      </w:r>
      <w:r w:rsidRPr="00F71A22">
        <w:t xml:space="preserve">and </w:t>
      </w:r>
      <w:r w:rsidR="00080B95">
        <w:t>c</w:t>
      </w:r>
      <w:r w:rsidRPr="00F71A22">
        <w:t xml:space="preserve">omparison </w:t>
      </w:r>
      <w:r w:rsidR="00DA1E0C">
        <w:t>group</w:t>
      </w:r>
      <w:r w:rsidR="00EF796F">
        <w:t>.</w:t>
      </w:r>
    </w:p>
    <w:p w14:paraId="250C9186" w14:textId="78151E9C" w:rsidR="006C2E69" w:rsidRPr="00F71A22" w:rsidRDefault="006C2E69" w:rsidP="006C2E69">
      <w:pPr>
        <w:pStyle w:val="Heading3"/>
      </w:pPr>
      <w:bookmarkStart w:id="170" w:name="_Toc67042615"/>
      <w:r w:rsidRPr="00F71A22">
        <w:t>4.</w:t>
      </w:r>
      <w:r w:rsidR="00D37BD7" w:rsidRPr="00F71A22">
        <w:t>4</w:t>
      </w:r>
      <w:r w:rsidRPr="00F71A22">
        <w:t>.3 Confidence in job search resources and support</w:t>
      </w:r>
      <w:bookmarkEnd w:id="170"/>
    </w:p>
    <w:p w14:paraId="7250DC74" w14:textId="6E751EBA" w:rsidR="00DF6B09" w:rsidRPr="00271F5D" w:rsidRDefault="00DF6B09" w:rsidP="00DF6B09">
      <w:bookmarkStart w:id="171" w:name="_Toc51340576"/>
      <w:r>
        <w:t>OEST participants</w:t>
      </w:r>
      <w:r w:rsidRPr="00271F5D">
        <w:t xml:space="preserve"> displayed higher levels of confidence that the assistance they </w:t>
      </w:r>
      <w:r>
        <w:t>were</w:t>
      </w:r>
      <w:r w:rsidRPr="00271F5D">
        <w:t xml:space="preserve"> receiving </w:t>
      </w:r>
      <w:r>
        <w:t>would</w:t>
      </w:r>
      <w:r w:rsidRPr="00271F5D">
        <w:t xml:space="preserve"> help </w:t>
      </w:r>
      <w:r>
        <w:t>get</w:t>
      </w:r>
      <w:r w:rsidRPr="00271F5D">
        <w:t xml:space="preserve"> them a job than those </w:t>
      </w:r>
      <w:r>
        <w:t>in the comparison group (</w:t>
      </w:r>
      <w:r>
        <w:rPr>
          <w:b/>
          <w:bCs/>
        </w:rPr>
        <w:t xml:space="preserve">63% </w:t>
      </w:r>
      <w:r>
        <w:t xml:space="preserve">versus </w:t>
      </w:r>
      <w:r>
        <w:rPr>
          <w:b/>
          <w:bCs/>
        </w:rPr>
        <w:t>46%</w:t>
      </w:r>
      <w:r>
        <w:t xml:space="preserve">). They </w:t>
      </w:r>
      <w:r w:rsidRPr="00271F5D">
        <w:t>were</w:t>
      </w:r>
      <w:r>
        <w:t xml:space="preserve"> also</w:t>
      </w:r>
      <w:r w:rsidRPr="00271F5D">
        <w:t xml:space="preserve"> </w:t>
      </w:r>
      <w:r w:rsidRPr="00A15E2F">
        <w:rPr>
          <w:i/>
          <w:iCs/>
        </w:rPr>
        <w:t>less</w:t>
      </w:r>
      <w:r w:rsidRPr="00271F5D">
        <w:t xml:space="preserve"> likely to consider that they would benefit from the assistance of an employment service provider than those who were receiving </w:t>
      </w:r>
      <w:r>
        <w:t>provider</w:t>
      </w:r>
      <w:r w:rsidRPr="00271F5D">
        <w:t xml:space="preserve"> assistance</w:t>
      </w:r>
      <w:r>
        <w:t xml:space="preserve"> (</w:t>
      </w:r>
      <w:r w:rsidR="00134647">
        <w:rPr>
          <w:b/>
          <w:bCs/>
        </w:rPr>
        <w:t>Figure 4.8</w:t>
      </w:r>
      <w:r>
        <w:t>).</w:t>
      </w:r>
    </w:p>
    <w:p w14:paraId="49F04928" w14:textId="6C493356" w:rsidR="00CB2549" w:rsidRDefault="00CB2549" w:rsidP="00CB2549">
      <w:pPr>
        <w:pStyle w:val="FigureCaption"/>
      </w:pPr>
      <w:bookmarkStart w:id="172" w:name="_Toc67042688"/>
      <w:r w:rsidRPr="00F71A22">
        <w:t>Figure 4.8 Job search resources and support</w:t>
      </w:r>
      <w:bookmarkEnd w:id="171"/>
      <w:bookmarkEnd w:id="172"/>
    </w:p>
    <w:p w14:paraId="6D75328E" w14:textId="7926A840" w:rsidR="00836257" w:rsidRPr="00F71A22" w:rsidRDefault="00CB4128" w:rsidP="00551055">
      <w:r>
        <w:rPr>
          <w:noProof/>
        </w:rPr>
        <w:drawing>
          <wp:inline distT="0" distB="0" distL="0" distR="0" wp14:anchorId="282047C2" wp14:editId="62AC3E9F">
            <wp:extent cx="5356264" cy="2756848"/>
            <wp:effectExtent l="0" t="0" r="0" b="5715"/>
            <wp:docPr id="45" name="Picture 45" descr="Bar chart showing OEST participants displayed higher levels of confidence that the assistance they were receiving would help get them a job than those in the comparison group (63% versus 46%). Trial particiants were also less likely to consider that they would benefit from the assistance of an employment service provider than those who were receiving provider as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ure 4-8.png"/>
                    <pic:cNvPicPr/>
                  </pic:nvPicPr>
                  <pic:blipFill>
                    <a:blip r:embed="rId37"/>
                    <a:stretch>
                      <a:fillRect/>
                    </a:stretch>
                  </pic:blipFill>
                  <pic:spPr>
                    <a:xfrm>
                      <a:off x="0" y="0"/>
                      <a:ext cx="5374452" cy="2766209"/>
                    </a:xfrm>
                    <a:prstGeom prst="rect">
                      <a:avLst/>
                    </a:prstGeom>
                  </pic:spPr>
                </pic:pic>
              </a:graphicData>
            </a:graphic>
          </wp:inline>
        </w:drawing>
      </w:r>
    </w:p>
    <w:p w14:paraId="0ED7F6C7" w14:textId="4AFAEB31" w:rsidR="008D7012" w:rsidRPr="00F71A22" w:rsidRDefault="006C2E69" w:rsidP="001F4507">
      <w:pPr>
        <w:pStyle w:val="Source"/>
        <w:contextualSpacing/>
      </w:pPr>
      <w:r w:rsidRPr="00F71A22">
        <w:rPr>
          <w:b/>
          <w:bCs/>
        </w:rPr>
        <w:t>Source</w:t>
      </w:r>
      <w:r w:rsidRPr="00F71A22">
        <w:t xml:space="preserve">: 2019 </w:t>
      </w:r>
      <w:r w:rsidR="00DF6B09">
        <w:t>q</w:t>
      </w:r>
      <w:r w:rsidRPr="00F71A22">
        <w:t>uantitative survey</w:t>
      </w:r>
      <w:r w:rsidR="00C036BB">
        <w:br/>
      </w:r>
      <w:r w:rsidRPr="00F71A22">
        <w:rPr>
          <w:b/>
          <w:bCs/>
        </w:rPr>
        <w:t>Note</w:t>
      </w:r>
      <w:r w:rsidRPr="00F71A22">
        <w:t>: All respondents</w:t>
      </w:r>
    </w:p>
    <w:p w14:paraId="1BBD235E" w14:textId="3B9682DD" w:rsidR="003A46F6" w:rsidRPr="00F71A22" w:rsidRDefault="00C6580C" w:rsidP="00E802CC">
      <w:pPr>
        <w:pStyle w:val="Heading1"/>
      </w:pPr>
      <w:r w:rsidRPr="00F71A22">
        <w:br w:type="page"/>
      </w:r>
      <w:bookmarkStart w:id="173" w:name="_Toc67042616"/>
      <w:bookmarkEnd w:id="140"/>
      <w:r w:rsidR="0006637F" w:rsidRPr="00F71A22">
        <w:lastRenderedPageBreak/>
        <w:t xml:space="preserve">Chapter 5. </w:t>
      </w:r>
      <w:r w:rsidR="00C7186E" w:rsidRPr="00F71A22">
        <w:t>OEST participant experience</w:t>
      </w:r>
      <w:bookmarkEnd w:id="173"/>
    </w:p>
    <w:p w14:paraId="18272623" w14:textId="4D4B36FB" w:rsidR="00AE5CC8" w:rsidRPr="00F71A22" w:rsidRDefault="00BC6EFF" w:rsidP="00AE5CC8">
      <w:r>
        <w:rPr>
          <w:noProof/>
          <w:lang w:eastAsia="en-AU"/>
        </w:rPr>
        <w:drawing>
          <wp:inline distT="0" distB="0" distL="0" distR="0" wp14:anchorId="59890CB4" wp14:editId="7FFB4A20">
            <wp:extent cx="5746750" cy="3765550"/>
            <wp:effectExtent l="0" t="0" r="6350" b="0"/>
            <wp:docPr id="9" name="Picture 9" descr="Chapter 5 summary:&#10;72% of OEST participants would use online services when starting to look for a job.&#10;66% of OEST participants agreed that online services should be the default or first option of employment servicing to new job seekers.&#10;71% of OEST participants were satisfied with the trial.&#10;Trial participants who reported low levels of satisfaction and had encountered difficulties tended to be older, had low IT skills, lacked social connections, or lacked access to digital resources. &#10;44% of OEST participants preferred at least 6 months of online servicing. 45% preferred less than 6 months.&#10;More than half of OEST participants who transferred out of the trial after 6 months agreed it was easy to adapt to provider servicing and that they felt well supported.&#10;Some providers and employers expressed concerns about the lack of feedback and support with online servi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apter5_Chapter 5_Chapter 5.png"/>
                    <pic:cNvPicPr/>
                  </pic:nvPicPr>
                  <pic:blipFill>
                    <a:blip r:embed="rId38"/>
                    <a:stretch>
                      <a:fillRect/>
                    </a:stretch>
                  </pic:blipFill>
                  <pic:spPr>
                    <a:xfrm>
                      <a:off x="0" y="0"/>
                      <a:ext cx="5746750" cy="3765550"/>
                    </a:xfrm>
                    <a:prstGeom prst="rect">
                      <a:avLst/>
                    </a:prstGeom>
                  </pic:spPr>
                </pic:pic>
              </a:graphicData>
            </a:graphic>
          </wp:inline>
        </w:drawing>
      </w:r>
    </w:p>
    <w:p w14:paraId="01FD7739" w14:textId="657B3EF6" w:rsidR="009307B0" w:rsidRPr="00F71A22" w:rsidRDefault="009307B0" w:rsidP="009307B0">
      <w:bookmarkStart w:id="174" w:name="_Toc47520138"/>
      <w:r w:rsidRPr="00F71A22">
        <w:t xml:space="preserve">This chapter examines OEST participants’ experiences with, and opinions, of online servicing. </w:t>
      </w:r>
      <w:r w:rsidR="00E22E5B">
        <w:t>It</w:t>
      </w:r>
      <w:r w:rsidRPr="00F71A22">
        <w:t xml:space="preserve"> discusses the transfer process from online to provider servicing, and how easy it was for participants to adapt to provider-based services after exiting online services. The suitability of the Job Seeker Classification Instrument (JSCI) as an assessment tool for selecting OEST participants is also considered in this chapter.</w:t>
      </w:r>
    </w:p>
    <w:p w14:paraId="0038EC40" w14:textId="01A8108D" w:rsidR="00144AE4" w:rsidRPr="00F71A22" w:rsidRDefault="00144AE4" w:rsidP="00144AE4">
      <w:pPr>
        <w:pStyle w:val="Heading2"/>
      </w:pPr>
      <w:bookmarkStart w:id="175" w:name="_Toc67042617"/>
      <w:r w:rsidRPr="00F71A22">
        <w:t xml:space="preserve">5.1 </w:t>
      </w:r>
      <w:r w:rsidR="00E802CC" w:rsidRPr="00F71A22">
        <w:t>Participants’</w:t>
      </w:r>
      <w:r w:rsidRPr="00F71A22">
        <w:t xml:space="preserve"> experiences with the OEST</w:t>
      </w:r>
      <w:bookmarkEnd w:id="175"/>
    </w:p>
    <w:p w14:paraId="22CC1650" w14:textId="1C16A265" w:rsidR="00144AE4" w:rsidRPr="00F71A22" w:rsidRDefault="00A53B74" w:rsidP="00144AE4">
      <w:r w:rsidRPr="00F71A22">
        <w:t>OEST</w:t>
      </w:r>
      <w:r w:rsidR="00144AE4" w:rsidRPr="00F71A22">
        <w:t xml:space="preserve"> participants’ satisfaction with online servicing and </w:t>
      </w:r>
      <w:r w:rsidRPr="00F71A22">
        <w:t xml:space="preserve">their feedback on </w:t>
      </w:r>
      <w:r w:rsidR="00144AE4" w:rsidRPr="00F71A22">
        <w:t xml:space="preserve">the advantages and disadvantages of online servicing </w:t>
      </w:r>
      <w:r w:rsidRPr="00F71A22">
        <w:t>were reviewed.</w:t>
      </w:r>
    </w:p>
    <w:p w14:paraId="08F93E90" w14:textId="54DAAF07" w:rsidR="00144AE4" w:rsidRPr="00F71A22" w:rsidRDefault="00144AE4" w:rsidP="00144AE4">
      <w:pPr>
        <w:pStyle w:val="Heading3"/>
      </w:pPr>
      <w:bookmarkStart w:id="176" w:name="_Toc67042618"/>
      <w:r w:rsidRPr="00F71A22">
        <w:t>5.1.</w:t>
      </w:r>
      <w:r w:rsidR="00683AB9" w:rsidRPr="00F71A22">
        <w:t>1</w:t>
      </w:r>
      <w:r w:rsidRPr="00F71A22">
        <w:t xml:space="preserve"> Satisfaction with online servicing</w:t>
      </w:r>
      <w:bookmarkEnd w:id="176"/>
    </w:p>
    <w:p w14:paraId="5CE1BE94" w14:textId="6931732F" w:rsidR="00144AE4" w:rsidRPr="00F71A22" w:rsidRDefault="00144AE4" w:rsidP="00144AE4">
      <w:r w:rsidRPr="00F71A22">
        <w:t xml:space="preserve">Overall, OEST participants were </w:t>
      </w:r>
      <w:r w:rsidR="00B7292B" w:rsidRPr="00F71A22">
        <w:t>more</w:t>
      </w:r>
      <w:r w:rsidRPr="00F71A22">
        <w:t xml:space="preserve"> satisfied with online servicing </w:t>
      </w:r>
      <w:r w:rsidR="00B7292B" w:rsidRPr="00F71A22">
        <w:t>than</w:t>
      </w:r>
      <w:r w:rsidRPr="00F71A22">
        <w:t xml:space="preserve"> </w:t>
      </w:r>
      <w:r w:rsidR="00D40F15" w:rsidRPr="00F71A22">
        <w:t>job seekers with</w:t>
      </w:r>
      <w:r w:rsidRPr="00F71A22">
        <w:t xml:space="preserve"> </w:t>
      </w:r>
      <w:r w:rsidR="00D40F15" w:rsidRPr="00F71A22">
        <w:t>provider</w:t>
      </w:r>
      <w:r w:rsidRPr="00F71A22">
        <w:t xml:space="preserve"> servicing. Results from quantitative surveys showed </w:t>
      </w:r>
      <w:r w:rsidR="00545664" w:rsidRPr="00F71A22">
        <w:rPr>
          <w:b/>
        </w:rPr>
        <w:t>71</w:t>
      </w:r>
      <w:r w:rsidR="00E22E5B">
        <w:rPr>
          <w:b/>
        </w:rPr>
        <w:t>%</w:t>
      </w:r>
      <w:r w:rsidRPr="00F71A22">
        <w:t xml:space="preserve"> of OEST participants were satisfied or very satisfied with online employment services and </w:t>
      </w:r>
      <w:r w:rsidR="00545664" w:rsidRPr="00F71A22">
        <w:rPr>
          <w:b/>
          <w:bCs/>
        </w:rPr>
        <w:t>8</w:t>
      </w:r>
      <w:r w:rsidR="00E22E5B">
        <w:rPr>
          <w:b/>
          <w:bCs/>
        </w:rPr>
        <w:t>%</w:t>
      </w:r>
      <w:r w:rsidRPr="00F71A22">
        <w:t xml:space="preserve"> were dissatisfied or </w:t>
      </w:r>
      <w:r w:rsidR="00545664" w:rsidRPr="00F71A22">
        <w:t>very</w:t>
      </w:r>
      <w:r w:rsidRPr="00F71A22">
        <w:t xml:space="preserve"> dissatisfied.</w:t>
      </w:r>
      <w:r w:rsidR="00545664" w:rsidRPr="00F71A22">
        <w:t xml:space="preserve"> </w:t>
      </w:r>
      <w:r w:rsidR="00545664" w:rsidRPr="00E22E5B">
        <w:rPr>
          <w:b/>
          <w:bCs/>
        </w:rPr>
        <w:t>Twenty-one per cent</w:t>
      </w:r>
      <w:r w:rsidR="00545664" w:rsidRPr="00F71A22">
        <w:t xml:space="preserve"> were neither satisfied nor dissatisfied.</w:t>
      </w:r>
      <w:r w:rsidR="00CA499B" w:rsidRPr="00F71A22">
        <w:t xml:space="preserve"> The comparison group’s s</w:t>
      </w:r>
      <w:r w:rsidRPr="00F71A22">
        <w:t xml:space="preserve">atisfaction with </w:t>
      </w:r>
      <w:r w:rsidR="00D40F15" w:rsidRPr="00F71A22">
        <w:t>provider-</w:t>
      </w:r>
      <w:r w:rsidR="00D40F15" w:rsidRPr="00F71A22">
        <w:lastRenderedPageBreak/>
        <w:t>based</w:t>
      </w:r>
      <w:r w:rsidRPr="00F71A22">
        <w:t xml:space="preserve"> services was similar (</w:t>
      </w:r>
      <w:r w:rsidRPr="00F71A22">
        <w:rPr>
          <w:b/>
          <w:bCs/>
        </w:rPr>
        <w:t>67</w:t>
      </w:r>
      <w:r w:rsidR="00E22E5B">
        <w:rPr>
          <w:b/>
          <w:bCs/>
        </w:rPr>
        <w:t>%</w:t>
      </w:r>
      <w:r w:rsidRPr="00F71A22">
        <w:t xml:space="preserve">), although the proportion of dissatisfied job seekers was slightly higher </w:t>
      </w:r>
      <w:r w:rsidR="00D40F15" w:rsidRPr="00F71A22">
        <w:t xml:space="preserve">than the OEST group </w:t>
      </w:r>
      <w:r w:rsidRPr="00F71A22">
        <w:t>(</w:t>
      </w:r>
      <w:r w:rsidRPr="00F71A22">
        <w:rPr>
          <w:b/>
          <w:bCs/>
        </w:rPr>
        <w:t>14</w:t>
      </w:r>
      <w:r w:rsidR="00E22E5B">
        <w:rPr>
          <w:b/>
          <w:bCs/>
        </w:rPr>
        <w:t>%</w:t>
      </w:r>
      <w:r w:rsidR="00545664" w:rsidRPr="00F71A22">
        <w:t xml:space="preserve">, </w:t>
      </w:r>
      <w:r w:rsidR="00E22E5B" w:rsidRPr="00E22E5B">
        <w:rPr>
          <w:b/>
          <w:bCs/>
        </w:rPr>
        <w:t>19%</w:t>
      </w:r>
      <w:r w:rsidR="00545664" w:rsidRPr="00F71A22">
        <w:t xml:space="preserve"> were neither satisfied nor dissatisfied, </w:t>
      </w:r>
      <w:r w:rsidR="00545664" w:rsidRPr="00E22E5B">
        <w:rPr>
          <w:b/>
          <w:bCs/>
        </w:rPr>
        <w:t>Figure 5.1</w:t>
      </w:r>
      <w:r w:rsidR="00545664" w:rsidRPr="00F71A22">
        <w:t>).</w:t>
      </w:r>
    </w:p>
    <w:p w14:paraId="0B170B21" w14:textId="4C49DDD9" w:rsidR="008C2362" w:rsidRDefault="008C2362" w:rsidP="008C2362">
      <w:pPr>
        <w:pStyle w:val="FigureCaption"/>
      </w:pPr>
      <w:bookmarkStart w:id="177" w:name="_Toc67042689"/>
      <w:r w:rsidRPr="00F71A22">
        <w:t>Figure 5.1 Satisfaction with online servicing</w:t>
      </w:r>
      <w:bookmarkEnd w:id="177"/>
    </w:p>
    <w:p w14:paraId="0856A0D5" w14:textId="046A9B41" w:rsidR="00545664" w:rsidRPr="00F71A22" w:rsidRDefault="00FA3B9B" w:rsidP="00551055">
      <w:r>
        <w:rPr>
          <w:noProof/>
        </w:rPr>
        <w:drawing>
          <wp:inline distT="0" distB="0" distL="0" distR="0" wp14:anchorId="0235B221" wp14:editId="692416EB">
            <wp:extent cx="5746750" cy="1016635"/>
            <wp:effectExtent l="0" t="0" r="6350" b="0"/>
            <wp:docPr id="46" name="Picture 46" descr="Bar chart showing:&#10;71% of OEST participants were satisfied or very satisfied with online employment services and 8% were dissatisfied or very dissatisfied. &#10;21% cent were neither satisfied nor dissatisfied. &#10;The comparison group’s satisfaction with provider-based services was similar (67%), although the proportion of dissatisfied job seekers was slightly higher than the OEST group (14%), 19% were neither satisfied nor dissatis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e 5-1.png"/>
                    <pic:cNvPicPr/>
                  </pic:nvPicPr>
                  <pic:blipFill>
                    <a:blip r:embed="rId39"/>
                    <a:stretch>
                      <a:fillRect/>
                    </a:stretch>
                  </pic:blipFill>
                  <pic:spPr>
                    <a:xfrm>
                      <a:off x="0" y="0"/>
                      <a:ext cx="5746750" cy="1016635"/>
                    </a:xfrm>
                    <a:prstGeom prst="rect">
                      <a:avLst/>
                    </a:prstGeom>
                  </pic:spPr>
                </pic:pic>
              </a:graphicData>
            </a:graphic>
          </wp:inline>
        </w:drawing>
      </w:r>
    </w:p>
    <w:p w14:paraId="23CFE9FC" w14:textId="6E8078F9" w:rsidR="008C2362" w:rsidRPr="00F71A22" w:rsidRDefault="008C2362" w:rsidP="008C2362">
      <w:pPr>
        <w:pStyle w:val="Source"/>
      </w:pPr>
      <w:r w:rsidRPr="00F71A22">
        <w:rPr>
          <w:b/>
          <w:bCs/>
        </w:rPr>
        <w:t>Source</w:t>
      </w:r>
      <w:r w:rsidRPr="00F71A22">
        <w:t xml:space="preserve">: </w:t>
      </w:r>
      <w:r w:rsidR="008573ED">
        <w:t>ORIMA</w:t>
      </w:r>
      <w:r w:rsidR="00122929" w:rsidRPr="00F71A22">
        <w:t xml:space="preserve"> quantitative survey</w:t>
      </w:r>
    </w:p>
    <w:p w14:paraId="5B590A4E" w14:textId="17AD0934" w:rsidR="00144AE4" w:rsidRPr="00F71A22" w:rsidRDefault="00144AE4" w:rsidP="00144AE4">
      <w:r w:rsidRPr="00F71A22">
        <w:t>Qualitative research findings support these results</w:t>
      </w:r>
      <w:r w:rsidR="00E22E5B">
        <w:t xml:space="preserve">, as </w:t>
      </w:r>
      <w:r w:rsidR="000C6D38" w:rsidRPr="00F71A22">
        <w:t>m</w:t>
      </w:r>
      <w:r w:rsidRPr="00F71A22">
        <w:t xml:space="preserve">ost OEST participants </w:t>
      </w:r>
      <w:r w:rsidR="000C6D38" w:rsidRPr="00F71A22">
        <w:t>gave</w:t>
      </w:r>
      <w:r w:rsidRPr="00F71A22">
        <w:t xml:space="preserve"> positive </w:t>
      </w:r>
      <w:r w:rsidR="000C6D38" w:rsidRPr="00F71A22">
        <w:t xml:space="preserve">feedback on </w:t>
      </w:r>
      <w:r w:rsidRPr="00F71A22">
        <w:t>online employment servicing</w:t>
      </w:r>
      <w:r w:rsidR="000C6D38" w:rsidRPr="00F71A22">
        <w:t>.</w:t>
      </w:r>
      <w:r w:rsidRPr="00F71A22">
        <w:t xml:space="preserve"> They reported that they understood the requirements to fulfil their job search and MORs; that the process was simple and user-friendly</w:t>
      </w:r>
      <w:r w:rsidR="00C57C99">
        <w:t>;</w:t>
      </w:r>
      <w:r w:rsidRPr="00F71A22">
        <w:t xml:space="preserve"> </w:t>
      </w:r>
      <w:r w:rsidR="00E22E5B">
        <w:t xml:space="preserve">and </w:t>
      </w:r>
      <w:r w:rsidRPr="00F71A22">
        <w:t xml:space="preserve">that they had enough information and support to complete their </w:t>
      </w:r>
      <w:r w:rsidR="00D40F15" w:rsidRPr="00F71A22">
        <w:t>requirements and</w:t>
      </w:r>
      <w:r w:rsidRPr="00F71A22">
        <w:t xml:space="preserve"> had been able to do so successfully.</w:t>
      </w:r>
    </w:p>
    <w:p w14:paraId="07567763" w14:textId="1ED71349" w:rsidR="00144AE4" w:rsidRPr="001F36EA" w:rsidRDefault="00144AE4" w:rsidP="001F36EA">
      <w:pPr>
        <w:pStyle w:val="Quote"/>
        <w:contextualSpacing/>
      </w:pPr>
      <w:r w:rsidRPr="001F36EA">
        <w:t>It’s simple enough</w:t>
      </w:r>
      <w:r w:rsidR="00BA677B" w:rsidRPr="001F36EA">
        <w:t xml:space="preserve"> </w:t>
      </w:r>
      <w:r w:rsidRPr="001F36EA">
        <w:t>… great for keeping your own records</w:t>
      </w:r>
      <w:r w:rsidR="00C57C99" w:rsidRPr="001F36EA">
        <w:t xml:space="preserve"> </w:t>
      </w:r>
      <w:r w:rsidRPr="001F36EA">
        <w:t>… very user-friendly.</w:t>
      </w:r>
      <w:r w:rsidR="00BA677B" w:rsidRPr="001F36EA">
        <w:t xml:space="preserve"> </w:t>
      </w:r>
      <w:r w:rsidRPr="001F36EA">
        <w:t>(OEST participant, 36 years+)</w:t>
      </w:r>
    </w:p>
    <w:p w14:paraId="6DBCD9FF" w14:textId="6FF6AB5F" w:rsidR="00144AE4" w:rsidRPr="00F71A22" w:rsidRDefault="000C6D38" w:rsidP="00144AE4">
      <w:r w:rsidRPr="00F71A22">
        <w:t>OEST p</w:t>
      </w:r>
      <w:r w:rsidR="00144AE4" w:rsidRPr="00F71A22">
        <w:t>articipants who reported low levels of satisfaction and significant difficulties with online employment services were participants who were older, had limited IT skills, experienced a lack of social connection/lack of contact/feelings of isolation or had no access to a computer at home. These participants</w:t>
      </w:r>
      <w:r w:rsidR="00D40F15" w:rsidRPr="00F71A22">
        <w:t xml:space="preserve"> also</w:t>
      </w:r>
      <w:r w:rsidR="00144AE4" w:rsidRPr="00F71A22">
        <w:t xml:space="preserve"> tended to have limited digital literacy or English language skills and found the process ‘confusing’ or ‘overwhelming’. These job seekers required:</w:t>
      </w:r>
    </w:p>
    <w:p w14:paraId="0F17A605" w14:textId="77777777" w:rsidR="00803324" w:rsidRDefault="00144AE4" w:rsidP="008D2072">
      <w:pPr>
        <w:pStyle w:val="ListBullet"/>
      </w:pPr>
      <w:r w:rsidRPr="00F71A22">
        <w:t>assistance or feedback on job search</w:t>
      </w:r>
    </w:p>
    <w:p w14:paraId="1131D0CF" w14:textId="4EF10347" w:rsidR="00144AE4" w:rsidRPr="00F71A22" w:rsidRDefault="00144AE4" w:rsidP="008D2072">
      <w:pPr>
        <w:pStyle w:val="ListBullet"/>
      </w:pPr>
      <w:r w:rsidRPr="00F71A22">
        <w:t xml:space="preserve">assistance or feedback on job applications, </w:t>
      </w:r>
      <w:r w:rsidR="001C6F22" w:rsidRPr="00F71A22">
        <w:rPr>
          <w:rFonts w:ascii="Calibri" w:hAnsi="Calibri" w:cs="Calibri"/>
          <w:lang w:val="en-US"/>
        </w:rPr>
        <w:t>résumé</w:t>
      </w:r>
      <w:r w:rsidR="001C6F22" w:rsidRPr="00F71A22" w:rsidDel="001C6F22">
        <w:t xml:space="preserve"> </w:t>
      </w:r>
      <w:r w:rsidRPr="00F71A22">
        <w:t>or cover letters</w:t>
      </w:r>
    </w:p>
    <w:p w14:paraId="16C1D0B5" w14:textId="77777777" w:rsidR="00803324" w:rsidRDefault="00144AE4" w:rsidP="008D2072">
      <w:pPr>
        <w:pStyle w:val="ListBullet"/>
      </w:pPr>
      <w:r w:rsidRPr="00F71A22">
        <w:t>career guidance or advice.</w:t>
      </w:r>
    </w:p>
    <w:p w14:paraId="165FADBE" w14:textId="6A864380" w:rsidR="00144AE4" w:rsidRPr="001F36EA" w:rsidRDefault="00144AE4" w:rsidP="001F36EA">
      <w:pPr>
        <w:pStyle w:val="Quote"/>
      </w:pPr>
      <w:r w:rsidRPr="001F36EA">
        <w:t>I sort of felt like I was dumped onto the program</w:t>
      </w:r>
      <w:r w:rsidR="00B43792" w:rsidRPr="001F36EA">
        <w:t xml:space="preserve"> </w:t>
      </w:r>
      <w:r w:rsidRPr="001F36EA">
        <w:t>… the information is all over the place. It’s all a bit confusing and not very convenient because you’re not getting the answers you want. It can be quite confusing and upsetting. (OEST</w:t>
      </w:r>
      <w:r w:rsidR="00BA677B" w:rsidRPr="001F36EA">
        <w:t> </w:t>
      </w:r>
      <w:r w:rsidRPr="001F36EA">
        <w:t>participant,</w:t>
      </w:r>
      <w:r w:rsidR="00BA677B" w:rsidRPr="001F36EA">
        <w:t> </w:t>
      </w:r>
      <w:r w:rsidRPr="001F36EA">
        <w:t>36 years+)</w:t>
      </w:r>
    </w:p>
    <w:p w14:paraId="6F99111C" w14:textId="77777777" w:rsidR="00144AE4" w:rsidRPr="00F71A22" w:rsidRDefault="00144AE4" w:rsidP="00144AE4">
      <w:pPr>
        <w:pStyle w:val="Heading3"/>
      </w:pPr>
      <w:bookmarkStart w:id="178" w:name="_Toc67042619"/>
      <w:r w:rsidRPr="00F71A22">
        <w:lastRenderedPageBreak/>
        <w:t>5.1.2 Advantages and disadvantages of online servicing</w:t>
      </w:r>
      <w:bookmarkEnd w:id="178"/>
    </w:p>
    <w:p w14:paraId="5E325D20" w14:textId="2F1D8C94" w:rsidR="00144AE4" w:rsidRDefault="00144AE4" w:rsidP="00144AE4">
      <w:r w:rsidRPr="00F71A22">
        <w:t>Given</w:t>
      </w:r>
      <w:r w:rsidR="00E22E5B">
        <w:t xml:space="preserve"> that</w:t>
      </w:r>
      <w:r w:rsidRPr="00F71A22">
        <w:t xml:space="preserve"> </w:t>
      </w:r>
      <w:r w:rsidR="00D40F15" w:rsidRPr="00F71A22">
        <w:t xml:space="preserve">OEST </w:t>
      </w:r>
      <w:r w:rsidRPr="00F71A22">
        <w:t xml:space="preserve">participants were generally more satisfied with online servicing, it is unsurprising that they were also more likely to </w:t>
      </w:r>
      <w:r w:rsidR="00D40F15" w:rsidRPr="00F71A22">
        <w:t>identify</w:t>
      </w:r>
      <w:r w:rsidRPr="00F71A22">
        <w:t xml:space="preserve"> advantages of online employment services compared to </w:t>
      </w:r>
      <w:r w:rsidR="00D40F15" w:rsidRPr="00F71A22">
        <w:t>provider-based</w:t>
      </w:r>
      <w:r w:rsidRPr="00F71A22">
        <w:t xml:space="preserve"> services.</w:t>
      </w:r>
    </w:p>
    <w:p w14:paraId="6C318615" w14:textId="77777777" w:rsidR="00C036BB" w:rsidRDefault="00C036BB" w:rsidP="00C036BB">
      <w:pPr>
        <w:pStyle w:val="FigureCaption"/>
      </w:pPr>
      <w:bookmarkStart w:id="179" w:name="_Toc67042690"/>
      <w:bookmarkStart w:id="180" w:name="_Toc51340577"/>
      <w:r w:rsidRPr="00F71A22">
        <w:t xml:space="preserve">Figure 5.2 Top </w:t>
      </w:r>
      <w:r>
        <w:t>five</w:t>
      </w:r>
      <w:r w:rsidRPr="00F71A22">
        <w:t xml:space="preserve"> advantages of online employment services</w:t>
      </w:r>
      <w:bookmarkEnd w:id="179"/>
      <w:r w:rsidRPr="00F71A22">
        <w:t xml:space="preserve"> </w:t>
      </w:r>
      <w:bookmarkEnd w:id="180"/>
    </w:p>
    <w:p w14:paraId="42F1C333" w14:textId="77777777" w:rsidR="00C036BB" w:rsidRPr="00F71A22" w:rsidRDefault="00C036BB" w:rsidP="00C036BB">
      <w:r>
        <w:rPr>
          <w:noProof/>
        </w:rPr>
        <w:drawing>
          <wp:inline distT="0" distB="0" distL="0" distR="0" wp14:anchorId="390CA3A3" wp14:editId="34EE7EE2">
            <wp:extent cx="5746750" cy="3025775"/>
            <wp:effectExtent l="0" t="0" r="6350" b="3175"/>
            <wp:docPr id="43" name="Picture 43" descr="Bar chart showing top 5 advantages of online employment services:&#10;Convenience of being able to access services from home or other places (68%).&#10;Being able to access services at convenient times or after hours (58%).&#10;Saving time from having to attend appointments with a provider or able to spend more time looking for work (50%).&#10;Reduced transport time and costs from not having to attend interviews with a provider (39%).&#10;Greater control over the job search process or autonomy over the type of jobs being applied for or better able to find job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 5-2.png"/>
                    <pic:cNvPicPr/>
                  </pic:nvPicPr>
                  <pic:blipFill>
                    <a:blip r:embed="rId40"/>
                    <a:stretch>
                      <a:fillRect/>
                    </a:stretch>
                  </pic:blipFill>
                  <pic:spPr>
                    <a:xfrm>
                      <a:off x="0" y="0"/>
                      <a:ext cx="5746750" cy="3025775"/>
                    </a:xfrm>
                    <a:prstGeom prst="rect">
                      <a:avLst/>
                    </a:prstGeom>
                  </pic:spPr>
                </pic:pic>
              </a:graphicData>
            </a:graphic>
          </wp:inline>
        </w:drawing>
      </w:r>
    </w:p>
    <w:p w14:paraId="02F62C42" w14:textId="21EE4970" w:rsidR="00C036BB" w:rsidRPr="00F71A22" w:rsidRDefault="00C036BB" w:rsidP="00C036BB">
      <w:pPr>
        <w:pStyle w:val="Source"/>
        <w:contextualSpacing/>
      </w:pPr>
      <w:r w:rsidRPr="00F71A22">
        <w:rPr>
          <w:b/>
          <w:bCs/>
        </w:rPr>
        <w:t>Source</w:t>
      </w:r>
      <w:r w:rsidRPr="00F71A22">
        <w:t xml:space="preserve">: 2019 </w:t>
      </w:r>
      <w:r>
        <w:t>q</w:t>
      </w:r>
      <w:r w:rsidRPr="00F71A22">
        <w:t>uantitative research survey</w:t>
      </w:r>
      <w:r>
        <w:br/>
      </w:r>
      <w:r w:rsidRPr="00F71A22">
        <w:rPr>
          <w:b/>
          <w:bCs/>
        </w:rPr>
        <w:t>Note</w:t>
      </w:r>
      <w:r w:rsidRPr="00F71A22">
        <w:t xml:space="preserve">: OEST </w:t>
      </w:r>
      <w:r>
        <w:t>participants</w:t>
      </w:r>
      <w:r w:rsidRPr="00F71A22">
        <w:t xml:space="preserve"> (n=1</w:t>
      </w:r>
      <w:r>
        <w:t>,</w:t>
      </w:r>
      <w:r w:rsidRPr="00F71A22">
        <w:t>449)</w:t>
      </w:r>
    </w:p>
    <w:p w14:paraId="4D2B7B80" w14:textId="3900BEE4" w:rsidR="00144AE4" w:rsidRPr="00F71A22" w:rsidRDefault="000C6D38" w:rsidP="001F4507">
      <w:r w:rsidRPr="00F71A22">
        <w:t xml:space="preserve">Sixty-eight per cent </w:t>
      </w:r>
      <w:r w:rsidR="00144AE4" w:rsidRPr="00F71A22">
        <w:t>of OEST</w:t>
      </w:r>
      <w:r w:rsidR="00D40F15" w:rsidRPr="00F71A22">
        <w:t xml:space="preserve"> survey</w:t>
      </w:r>
      <w:r w:rsidR="00144AE4" w:rsidRPr="00F71A22">
        <w:t xml:space="preserve"> respondents </w:t>
      </w:r>
      <w:r w:rsidRPr="00F71A22">
        <w:t xml:space="preserve">identified the convenience of accessing services from home </w:t>
      </w:r>
      <w:r w:rsidR="00144AE4" w:rsidRPr="00F71A22">
        <w:t>as a significant advantage (</w:t>
      </w:r>
      <w:r w:rsidR="00144AE4" w:rsidRPr="00E22E5B">
        <w:rPr>
          <w:b/>
          <w:bCs/>
        </w:rPr>
        <w:t>Figure 5.</w:t>
      </w:r>
      <w:r w:rsidR="00CE621E">
        <w:rPr>
          <w:b/>
          <w:bCs/>
        </w:rPr>
        <w:t>2</w:t>
      </w:r>
      <w:r w:rsidR="00144AE4" w:rsidRPr="00F71A22">
        <w:t>)</w:t>
      </w:r>
      <w:r w:rsidRPr="00F71A22">
        <w:t>. T</w:t>
      </w:r>
      <w:r w:rsidR="00144AE4" w:rsidRPr="00F71A22">
        <w:t>hese sentiments were confirmed in the qualitative research.</w:t>
      </w:r>
    </w:p>
    <w:p w14:paraId="2446DF35" w14:textId="3BD86D0D" w:rsidR="00144AE4" w:rsidRPr="001F36EA" w:rsidRDefault="00144AE4" w:rsidP="001F36EA">
      <w:pPr>
        <w:pStyle w:val="Quote"/>
      </w:pPr>
      <w:r w:rsidRPr="001F36EA">
        <w:t>I find it more convenient to do online because I have other family commitments.</w:t>
      </w:r>
      <w:r w:rsidR="00BA677B" w:rsidRPr="001F36EA">
        <w:t xml:space="preserve"> </w:t>
      </w:r>
      <w:r w:rsidRPr="001F36EA">
        <w:t>(OEST participant, 35 years and under)</w:t>
      </w:r>
    </w:p>
    <w:p w14:paraId="1CABE781" w14:textId="3369A51D" w:rsidR="00144AE4" w:rsidRPr="00F71A22" w:rsidRDefault="00144AE4" w:rsidP="00144AE4">
      <w:r w:rsidRPr="00F71A22">
        <w:t xml:space="preserve">OEST participants </w:t>
      </w:r>
      <w:r w:rsidR="00662E4B" w:rsidRPr="00F71A22">
        <w:t xml:space="preserve">also cited </w:t>
      </w:r>
      <w:r w:rsidRPr="00F71A22">
        <w:t xml:space="preserve">reduced transport time and costs from not having to attend </w:t>
      </w:r>
      <w:r w:rsidR="00662E4B" w:rsidRPr="00F71A22">
        <w:t xml:space="preserve">face-to-face </w:t>
      </w:r>
      <w:r w:rsidRPr="00F71A22">
        <w:t>interviews with a provider (</w:t>
      </w:r>
      <w:r w:rsidR="00E22E5B">
        <w:rPr>
          <w:b/>
          <w:bCs/>
        </w:rPr>
        <w:t>39%</w:t>
      </w:r>
      <w:r w:rsidRPr="00F71A22">
        <w:t>)</w:t>
      </w:r>
      <w:r w:rsidR="00662E4B" w:rsidRPr="00F71A22">
        <w:t xml:space="preserve"> as an advantage of online servicing.</w:t>
      </w:r>
      <w:r w:rsidR="00803324">
        <w:t xml:space="preserve"> </w:t>
      </w:r>
      <w:r w:rsidRPr="00F71A22">
        <w:t>This was reiterated in the qualitative research.</w:t>
      </w:r>
    </w:p>
    <w:p w14:paraId="023C6DC4" w14:textId="78DC669C" w:rsidR="001F36EA" w:rsidRPr="001F36EA" w:rsidRDefault="00144AE4" w:rsidP="002A3163">
      <w:pPr>
        <w:pStyle w:val="Quote"/>
        <w:keepNext/>
        <w:contextualSpacing/>
      </w:pPr>
      <w:r w:rsidRPr="001F36EA">
        <w:lastRenderedPageBreak/>
        <w:t>It’s more cost effective</w:t>
      </w:r>
      <w:r w:rsidR="00BA677B" w:rsidRPr="001F36EA">
        <w:t xml:space="preserve"> </w:t>
      </w:r>
      <w:r w:rsidRPr="001F36EA">
        <w:t>… you’re [not] paying for petrol or public transport or parking.</w:t>
      </w:r>
    </w:p>
    <w:p w14:paraId="0063F4C2" w14:textId="3A59552D" w:rsidR="00144AE4" w:rsidRPr="001F36EA" w:rsidRDefault="00144AE4" w:rsidP="002A3163">
      <w:pPr>
        <w:pStyle w:val="Quote"/>
        <w:keepNext/>
      </w:pPr>
      <w:r w:rsidRPr="001F36EA">
        <w:t>(OEST participant, 35 years and under)</w:t>
      </w:r>
    </w:p>
    <w:p w14:paraId="06650291" w14:textId="77777777" w:rsidR="00803324" w:rsidRDefault="00E22E5B" w:rsidP="00BA677B">
      <w:r>
        <w:t xml:space="preserve">Greater control and autonomy over the job search process, the types of jobs being applied for and finding suitable jobs were identified as additional advantages by </w:t>
      </w:r>
      <w:r w:rsidRPr="001261D9">
        <w:rPr>
          <w:b/>
        </w:rPr>
        <w:t>36%</w:t>
      </w:r>
      <w:r>
        <w:t xml:space="preserve"> of the OEST group.</w:t>
      </w:r>
    </w:p>
    <w:p w14:paraId="5AB83A82" w14:textId="05B01A41" w:rsidR="001F36EA" w:rsidRPr="001F36EA" w:rsidRDefault="00144AE4" w:rsidP="001F4507">
      <w:pPr>
        <w:pStyle w:val="Quote"/>
        <w:contextualSpacing/>
      </w:pPr>
      <w:r w:rsidRPr="001F36EA">
        <w:t>[It’s] autonomous</w:t>
      </w:r>
      <w:r w:rsidR="00BA677B" w:rsidRPr="001F36EA">
        <w:t xml:space="preserve"> </w:t>
      </w:r>
      <w:r w:rsidRPr="001F36EA">
        <w:t>… you’ve still got obligations but I like that you’re running your own show</w:t>
      </w:r>
      <w:r w:rsidR="00683AB9" w:rsidRPr="001F36EA">
        <w:t>.</w:t>
      </w:r>
    </w:p>
    <w:p w14:paraId="4C824ED6" w14:textId="740E113D" w:rsidR="00144AE4" w:rsidRPr="001F36EA" w:rsidRDefault="00144AE4" w:rsidP="001F36EA">
      <w:pPr>
        <w:pStyle w:val="Quote"/>
      </w:pPr>
      <w:r w:rsidRPr="001F36EA">
        <w:t>(OEST participant, 18 years +)</w:t>
      </w:r>
    </w:p>
    <w:p w14:paraId="020F1A03" w14:textId="297EBDA3" w:rsidR="00E22E5B" w:rsidRDefault="00E22E5B" w:rsidP="00E22E5B">
      <w:r>
        <w:t xml:space="preserve">Notably, those who opted out of the OEST into provider servicing before completing </w:t>
      </w:r>
      <w:r w:rsidR="00611273">
        <w:t>six</w:t>
      </w:r>
      <w:r>
        <w:t> months in the trial were not as comfortable operating in the digital environment and were more appreciative of the support from a jobactive provider.</w:t>
      </w:r>
    </w:p>
    <w:p w14:paraId="61B364A9" w14:textId="77777777" w:rsidR="00E22E5B" w:rsidRPr="00820E4F" w:rsidRDefault="00E22E5B" w:rsidP="004919AD">
      <w:r>
        <w:t xml:space="preserve">OEST participants reported several other benefits from undertaking online job searches. These included becoming more efficient and flexible and more practised at job applications, improving the quality of their </w:t>
      </w:r>
      <w:r w:rsidRPr="00F414C1">
        <w:rPr>
          <w:rFonts w:ascii="Calibri" w:hAnsi="Calibri" w:cs="Calibri"/>
          <w:lang w:val="en-US"/>
        </w:rPr>
        <w:t>résumé</w:t>
      </w:r>
      <w:r>
        <w:rPr>
          <w:rFonts w:ascii="Calibri" w:hAnsi="Calibri" w:cs="Calibri"/>
          <w:lang w:val="en-US"/>
        </w:rPr>
        <w:t>s</w:t>
      </w:r>
      <w:r w:rsidDel="005A4BE0">
        <w:t xml:space="preserve"> </w:t>
      </w:r>
      <w:r>
        <w:t>and cover letters, finding job applications easier and becoming more comfortable with the process of submitting job applications.</w:t>
      </w:r>
    </w:p>
    <w:p w14:paraId="1CD39CEF" w14:textId="4E70A1DB" w:rsidR="00CA499B" w:rsidRPr="004919AD" w:rsidRDefault="00835314" w:rsidP="001F36EA">
      <w:pPr>
        <w:pStyle w:val="Quote"/>
      </w:pPr>
      <w:r w:rsidRPr="001F36EA">
        <w:t>It’s</w:t>
      </w:r>
      <w:r w:rsidR="00CA499B" w:rsidRPr="001F36EA">
        <w:t xml:space="preserve"> given me access to a bigger job market in an easier way.</w:t>
      </w:r>
      <w:r w:rsidR="009A0C98" w:rsidRPr="001F36EA">
        <w:t xml:space="preserve"> </w:t>
      </w:r>
      <w:r w:rsidR="00CA499B" w:rsidRPr="004919AD">
        <w:t>(OEST</w:t>
      </w:r>
      <w:r w:rsidR="009A0C98" w:rsidRPr="004919AD">
        <w:t> </w:t>
      </w:r>
      <w:r w:rsidR="00CA499B" w:rsidRPr="004919AD">
        <w:t>participant,</w:t>
      </w:r>
      <w:r w:rsidR="009A0C98" w:rsidRPr="004919AD">
        <w:t> </w:t>
      </w:r>
      <w:r w:rsidR="00CA499B" w:rsidRPr="004919AD">
        <w:t>survey response)</w:t>
      </w:r>
    </w:p>
    <w:p w14:paraId="564AC733" w14:textId="51FE3E47" w:rsidR="001F36EA" w:rsidRPr="001F36EA" w:rsidRDefault="00CA499B" w:rsidP="001F36EA">
      <w:pPr>
        <w:pStyle w:val="Quote"/>
        <w:contextualSpacing/>
      </w:pPr>
      <w:r w:rsidRPr="001F36EA">
        <w:t xml:space="preserve">It allows me to see what companies are looking for, and what they are expecting from potential employees. It allows me to edit my </w:t>
      </w:r>
      <w:r w:rsidR="005A4BE0" w:rsidRPr="001F36EA">
        <w:t>résumé</w:t>
      </w:r>
      <w:r w:rsidR="005A4BE0" w:rsidRPr="001F36EA" w:rsidDel="005A4BE0">
        <w:t xml:space="preserve"> </w:t>
      </w:r>
      <w:r w:rsidRPr="001F36EA">
        <w:t>or cover letter to their liking before sending in my application form.</w:t>
      </w:r>
    </w:p>
    <w:p w14:paraId="17001F43" w14:textId="1FA34996" w:rsidR="00CA499B" w:rsidRPr="001F36EA" w:rsidRDefault="00CA499B" w:rsidP="001F36EA">
      <w:pPr>
        <w:pStyle w:val="Quote"/>
      </w:pPr>
      <w:r w:rsidRPr="001F36EA">
        <w:t>(</w:t>
      </w:r>
      <w:r w:rsidRPr="004919AD">
        <w:t>OEST participant, survey response)</w:t>
      </w:r>
    </w:p>
    <w:p w14:paraId="775EFDEB" w14:textId="0D989908" w:rsidR="00144AE4" w:rsidRPr="00F71A22" w:rsidRDefault="00144AE4" w:rsidP="00144AE4">
      <w:pPr>
        <w:pStyle w:val="Heading3"/>
      </w:pPr>
      <w:bookmarkStart w:id="181" w:name="_Toc67042620"/>
      <w:r w:rsidRPr="00F71A22">
        <w:t xml:space="preserve">5.1.3 Preference for online or </w:t>
      </w:r>
      <w:r w:rsidR="005D37E3" w:rsidRPr="00F71A22">
        <w:t>provider</w:t>
      </w:r>
      <w:r w:rsidRPr="00F71A22">
        <w:t xml:space="preserve"> servicing</w:t>
      </w:r>
      <w:bookmarkEnd w:id="181"/>
    </w:p>
    <w:p w14:paraId="6E5B12C1" w14:textId="149D6B51" w:rsidR="000257EA" w:rsidRDefault="00835314" w:rsidP="000257EA">
      <w:r w:rsidRPr="007767F9">
        <w:t>When asked whether they preferred to use online or provider-based employment services to look for a job, almost three-quarters (</w:t>
      </w:r>
      <w:r w:rsidRPr="001261D9">
        <w:rPr>
          <w:b/>
        </w:rPr>
        <w:t>72%</w:t>
      </w:r>
      <w:r w:rsidRPr="007767F9">
        <w:t xml:space="preserve">) of OEST participants reported they definitely, or probably, would use online services when starting to look for a job while only </w:t>
      </w:r>
      <w:r w:rsidRPr="001261D9">
        <w:rPr>
          <w:b/>
        </w:rPr>
        <w:t>58%</w:t>
      </w:r>
      <w:r w:rsidRPr="007767F9">
        <w:t xml:space="preserve"> of the comparison group preferred online services </w:t>
      </w:r>
      <w:r>
        <w:t>(</w:t>
      </w:r>
      <w:r w:rsidRPr="001261D9">
        <w:rPr>
          <w:b/>
        </w:rPr>
        <w:t>Figure 5.</w:t>
      </w:r>
      <w:r w:rsidR="00256A7B">
        <w:rPr>
          <w:b/>
        </w:rPr>
        <w:t>3</w:t>
      </w:r>
      <w:r>
        <w:t>).</w:t>
      </w:r>
    </w:p>
    <w:p w14:paraId="40066665" w14:textId="7590270E" w:rsidR="00144AE4" w:rsidRDefault="00144AE4" w:rsidP="000257EA">
      <w:pPr>
        <w:pStyle w:val="FigureCaption"/>
      </w:pPr>
      <w:bookmarkStart w:id="182" w:name="_Toc67042691"/>
      <w:r w:rsidRPr="00F71A22">
        <w:lastRenderedPageBreak/>
        <w:t>Figure 5.</w:t>
      </w:r>
      <w:r w:rsidR="008C2362" w:rsidRPr="00F71A22">
        <w:t>3</w:t>
      </w:r>
      <w:r w:rsidRPr="00F71A22">
        <w:t xml:space="preserve"> </w:t>
      </w:r>
      <w:r w:rsidR="00FC0002" w:rsidRPr="00F71A22">
        <w:t>OEST</w:t>
      </w:r>
      <w:r w:rsidR="006C46D3" w:rsidRPr="00F71A22">
        <w:t xml:space="preserve"> participants</w:t>
      </w:r>
      <w:r w:rsidR="00835314">
        <w:t>’</w:t>
      </w:r>
      <w:r w:rsidR="006C46D3" w:rsidRPr="00F71A22">
        <w:t xml:space="preserve"> and job seekers</w:t>
      </w:r>
      <w:r w:rsidR="00835314">
        <w:t>’</w:t>
      </w:r>
      <w:r w:rsidRPr="00F71A22">
        <w:t xml:space="preserve"> </w:t>
      </w:r>
      <w:r w:rsidR="00835314">
        <w:t>preference</w:t>
      </w:r>
      <w:r w:rsidR="00835314" w:rsidRPr="007767F9">
        <w:t xml:space="preserve"> </w:t>
      </w:r>
      <w:r w:rsidR="00835314">
        <w:t>for</w:t>
      </w:r>
      <w:r w:rsidR="00835314" w:rsidRPr="007767F9">
        <w:t xml:space="preserve"> us</w:t>
      </w:r>
      <w:r w:rsidR="00835314">
        <w:t>ing</w:t>
      </w:r>
      <w:r w:rsidR="00835314" w:rsidRPr="007767F9">
        <w:t xml:space="preserve"> online or provider-based employment services to look for a job</w:t>
      </w:r>
      <w:bookmarkEnd w:id="182"/>
    </w:p>
    <w:p w14:paraId="50930C8E" w14:textId="4F1828FA" w:rsidR="00144AE4" w:rsidRDefault="00EA642F" w:rsidP="00551055">
      <w:r>
        <w:rPr>
          <w:noProof/>
        </w:rPr>
        <w:drawing>
          <wp:inline distT="0" distB="0" distL="0" distR="0" wp14:anchorId="29F9BE3B" wp14:editId="72A80677">
            <wp:extent cx="5746750" cy="2048256"/>
            <wp:effectExtent l="0" t="0" r="6350" b="9525"/>
            <wp:docPr id="47" name="Picture 47" descr="Bar chart showing almost three-quarters (72%) of OEST participants reported they definitely, or probably, would use online services when starting to look for a job while only 58% of the comparison group preferred onlin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e 5-3.png"/>
                    <pic:cNvPicPr/>
                  </pic:nvPicPr>
                  <pic:blipFill rotWithShape="1">
                    <a:blip r:embed="rId41"/>
                    <a:srcRect b="6774"/>
                    <a:stretch/>
                  </pic:blipFill>
                  <pic:spPr bwMode="auto">
                    <a:xfrm>
                      <a:off x="0" y="0"/>
                      <a:ext cx="5746750" cy="2048256"/>
                    </a:xfrm>
                    <a:prstGeom prst="rect">
                      <a:avLst/>
                    </a:prstGeom>
                    <a:ln>
                      <a:noFill/>
                    </a:ln>
                    <a:extLst>
                      <a:ext uri="{53640926-AAD7-44D8-BBD7-CCE9431645EC}">
                        <a14:shadowObscured xmlns:a14="http://schemas.microsoft.com/office/drawing/2010/main"/>
                      </a:ext>
                    </a:extLst>
                  </pic:spPr>
                </pic:pic>
              </a:graphicData>
            </a:graphic>
          </wp:inline>
        </w:drawing>
      </w:r>
    </w:p>
    <w:p w14:paraId="646D0E5C" w14:textId="0B10E0F7" w:rsidR="009A0C98" w:rsidRDefault="006C46D3" w:rsidP="004919AD">
      <w:pPr>
        <w:pStyle w:val="Source"/>
        <w:contextualSpacing/>
      </w:pPr>
      <w:r w:rsidRPr="00F71A22">
        <w:rPr>
          <w:b/>
          <w:bCs/>
        </w:rPr>
        <w:t>Source</w:t>
      </w:r>
      <w:r w:rsidRPr="00F71A22">
        <w:t xml:space="preserve">: </w:t>
      </w:r>
      <w:r w:rsidR="00611273">
        <w:t>ORIMA</w:t>
      </w:r>
      <w:r w:rsidR="00122929" w:rsidRPr="00F71A22">
        <w:t xml:space="preserve"> q</w:t>
      </w:r>
      <w:r w:rsidRPr="00F71A22">
        <w:t>uantit</w:t>
      </w:r>
      <w:r w:rsidR="00D3798A" w:rsidRPr="00F71A22">
        <w:t>ati</w:t>
      </w:r>
      <w:r w:rsidRPr="00F71A22">
        <w:t>ve survey</w:t>
      </w:r>
      <w:r w:rsidR="00C036BB">
        <w:br/>
      </w:r>
      <w:r w:rsidR="00DF29B9" w:rsidRPr="00F71A22">
        <w:rPr>
          <w:b/>
          <w:bCs/>
        </w:rPr>
        <w:t>Note</w:t>
      </w:r>
      <w:r w:rsidR="00144AE4" w:rsidRPr="00F71A22">
        <w:t xml:space="preserve">: </w:t>
      </w:r>
      <w:r w:rsidR="00835314">
        <w:t xml:space="preserve">All respondents – </w:t>
      </w:r>
      <w:r w:rsidR="00DA1E0C">
        <w:t>OEST participants</w:t>
      </w:r>
      <w:r w:rsidR="00835314">
        <w:t xml:space="preserve"> (n=1,442); comparison group (n=1,006); opt-out group (n=461)</w:t>
      </w:r>
    </w:p>
    <w:p w14:paraId="34557196" w14:textId="5F6297F9" w:rsidR="00144AE4" w:rsidRPr="00F71A22" w:rsidRDefault="00835314" w:rsidP="004919AD">
      <w:pPr>
        <w:pStyle w:val="Source"/>
        <w:contextualSpacing/>
        <w:rPr>
          <w:lang w:eastAsia="en-AU"/>
        </w:rPr>
      </w:pPr>
      <w:r>
        <w:t>Question: If you had just started looking for a job and had the choice between receiving online employment services and employment services with a provider, would you choose to use online employment services or provider-based services?</w:t>
      </w:r>
    </w:p>
    <w:p w14:paraId="40FD29FF" w14:textId="53B6CE16" w:rsidR="00835314" w:rsidRPr="00AD60D7" w:rsidRDefault="00835314" w:rsidP="00835314">
      <w:r>
        <w:t>The majority of OEST participants (</w:t>
      </w:r>
      <w:r w:rsidRPr="001261D9">
        <w:rPr>
          <w:b/>
        </w:rPr>
        <w:t>66%</w:t>
      </w:r>
      <w:r>
        <w:t>)</w:t>
      </w:r>
      <w:r w:rsidRPr="00AD60D7">
        <w:t xml:space="preserve"> agreed that online services should be the default or ‘first option’ for providing employment services to job seekers who have just started looking for a job if they </w:t>
      </w:r>
      <w:r>
        <w:t>were</w:t>
      </w:r>
      <w:r w:rsidRPr="00AD60D7">
        <w:t xml:space="preserve"> assessed as being ‘</w:t>
      </w:r>
      <w:r w:rsidR="0001666F">
        <w:t>job-ready</w:t>
      </w:r>
      <w:r w:rsidRPr="00AD60D7">
        <w:t xml:space="preserve">’. </w:t>
      </w:r>
      <w:r>
        <w:t xml:space="preserve">Notably, </w:t>
      </w:r>
      <w:r w:rsidRPr="00AD60D7">
        <w:t xml:space="preserve">more than half of those in the </w:t>
      </w:r>
      <w:r>
        <w:t>comparison</w:t>
      </w:r>
      <w:r w:rsidRPr="00AD60D7">
        <w:t xml:space="preserve"> group (</w:t>
      </w:r>
      <w:r w:rsidRPr="001261D9">
        <w:rPr>
          <w:b/>
        </w:rPr>
        <w:t>62%</w:t>
      </w:r>
      <w:r w:rsidRPr="00AD60D7">
        <w:t>) also agreed.</w:t>
      </w:r>
      <w:r>
        <w:t xml:space="preserve"> This indicates broad support for online service delivery as implemented within the trial – where the default approach is online service delivery with job seekers being able to opt out.</w:t>
      </w:r>
    </w:p>
    <w:p w14:paraId="5695D3B2" w14:textId="77777777" w:rsidR="00144AE4" w:rsidRPr="00F71A22" w:rsidRDefault="00144AE4" w:rsidP="004919AD">
      <w:pPr>
        <w:rPr>
          <w:lang w:val="en"/>
        </w:rPr>
      </w:pPr>
      <w:r w:rsidRPr="00F71A22">
        <w:t xml:space="preserve">Survey results also showed </w:t>
      </w:r>
      <w:r w:rsidRPr="00F71A22">
        <w:rPr>
          <w:lang w:val="en"/>
        </w:rPr>
        <w:t>a strong preference for online employment servicing among:</w:t>
      </w:r>
    </w:p>
    <w:p w14:paraId="4CE73F7C" w14:textId="6D7FB553" w:rsidR="00144AE4" w:rsidRPr="00F71A22" w:rsidRDefault="00144AE4" w:rsidP="001D6172">
      <w:pPr>
        <w:pStyle w:val="ListBullet"/>
        <w:rPr>
          <w:lang w:val="en"/>
        </w:rPr>
      </w:pPr>
      <w:bookmarkStart w:id="183" w:name="_Hlk51929968"/>
      <w:r w:rsidRPr="00F71A22">
        <w:rPr>
          <w:lang w:val="en"/>
        </w:rPr>
        <w:t>participants aged 24 years or below</w:t>
      </w:r>
    </w:p>
    <w:p w14:paraId="5E7B607F" w14:textId="1421CA71" w:rsidR="00144AE4" w:rsidRPr="00F71A22" w:rsidRDefault="00144AE4" w:rsidP="001D6172">
      <w:pPr>
        <w:pStyle w:val="ListBullet"/>
        <w:rPr>
          <w:lang w:val="en"/>
        </w:rPr>
      </w:pPr>
      <w:r w:rsidRPr="00F71A22">
        <w:rPr>
          <w:lang w:val="en"/>
        </w:rPr>
        <w:t>participants with high levels of educational attainment</w:t>
      </w:r>
    </w:p>
    <w:p w14:paraId="3E31C9EB" w14:textId="54D93B57" w:rsidR="00144AE4" w:rsidRPr="00F71A22" w:rsidRDefault="00144AE4" w:rsidP="001D6172">
      <w:pPr>
        <w:pStyle w:val="ListBullet"/>
        <w:rPr>
          <w:lang w:val="en"/>
        </w:rPr>
      </w:pPr>
      <w:r w:rsidRPr="00F71A22">
        <w:rPr>
          <w:lang w:val="en"/>
        </w:rPr>
        <w:t>participants in metropolitan locations</w:t>
      </w:r>
    </w:p>
    <w:p w14:paraId="171C17C9" w14:textId="083738FB" w:rsidR="00144AE4" w:rsidRPr="00F71A22" w:rsidRDefault="00835314" w:rsidP="001D6172">
      <w:pPr>
        <w:pStyle w:val="ListBullet"/>
        <w:rPr>
          <w:lang w:val="en"/>
        </w:rPr>
      </w:pPr>
      <w:r>
        <w:rPr>
          <w:lang w:val="en"/>
        </w:rPr>
        <w:t>participants</w:t>
      </w:r>
      <w:r w:rsidR="00144AE4" w:rsidRPr="00F71A22">
        <w:rPr>
          <w:lang w:val="en"/>
        </w:rPr>
        <w:t xml:space="preserve"> with high levels of internet usage</w:t>
      </w:r>
    </w:p>
    <w:p w14:paraId="28DC4FE7" w14:textId="77777777" w:rsidR="00803324" w:rsidRDefault="00144AE4" w:rsidP="001D6172">
      <w:pPr>
        <w:pStyle w:val="ListBullet"/>
        <w:rPr>
          <w:lang w:val="en"/>
        </w:rPr>
      </w:pPr>
      <w:r w:rsidRPr="00F71A22">
        <w:rPr>
          <w:lang w:val="en"/>
        </w:rPr>
        <w:t>participants who had not previously used jobactive services</w:t>
      </w:r>
      <w:r w:rsidR="007F4952" w:rsidRPr="00F71A22">
        <w:rPr>
          <w:lang w:val="en"/>
        </w:rPr>
        <w:t>.</w:t>
      </w:r>
    </w:p>
    <w:p w14:paraId="63588AF9" w14:textId="6C202946" w:rsidR="00144AE4" w:rsidRPr="00F71A22" w:rsidRDefault="00144AE4" w:rsidP="00144AE4">
      <w:pPr>
        <w:pStyle w:val="Heading3"/>
      </w:pPr>
      <w:bookmarkStart w:id="184" w:name="_Toc67042621"/>
      <w:bookmarkEnd w:id="183"/>
      <w:r w:rsidRPr="00F71A22">
        <w:t xml:space="preserve">5.1.4 Duration of </w:t>
      </w:r>
      <w:r w:rsidR="00605EAD" w:rsidRPr="00F71A22">
        <w:t xml:space="preserve">online </w:t>
      </w:r>
      <w:r w:rsidRPr="00F71A22">
        <w:t>servicing</w:t>
      </w:r>
      <w:bookmarkEnd w:id="184"/>
    </w:p>
    <w:p w14:paraId="1111FF0F" w14:textId="6BC3104A" w:rsidR="00835314" w:rsidRPr="00C620E4" w:rsidRDefault="00835314" w:rsidP="00835314">
      <w:r>
        <w:t>Participants had mixed views about the appropriate duration of online employment services, with OEST participants favouring longer durations on average. Some trial participants preferred</w:t>
      </w:r>
      <w:r w:rsidRPr="00E3752E">
        <w:t xml:space="preserve"> online employment services for at least </w:t>
      </w:r>
      <w:r w:rsidR="00611273">
        <w:t>six</w:t>
      </w:r>
      <w:r>
        <w:t> </w:t>
      </w:r>
      <w:r w:rsidRPr="00E3752E">
        <w:t>months (</w:t>
      </w:r>
      <w:r w:rsidRPr="00CA499B">
        <w:rPr>
          <w:b/>
          <w:bCs/>
        </w:rPr>
        <w:t>44</w:t>
      </w:r>
      <w:r>
        <w:rPr>
          <w:b/>
          <w:bCs/>
        </w:rPr>
        <w:t>%</w:t>
      </w:r>
      <w:r w:rsidRPr="00E3752E">
        <w:t xml:space="preserve">), while a similar proportion considered it should be </w:t>
      </w:r>
      <w:r w:rsidRPr="00E3752E">
        <w:lastRenderedPageBreak/>
        <w:t xml:space="preserve">for less than </w:t>
      </w:r>
      <w:r w:rsidR="00611273">
        <w:t>six</w:t>
      </w:r>
      <w:r>
        <w:t> month</w:t>
      </w:r>
      <w:r w:rsidRPr="00E3752E">
        <w:t>s (</w:t>
      </w:r>
      <w:r w:rsidRPr="00CA499B">
        <w:rPr>
          <w:b/>
          <w:bCs/>
        </w:rPr>
        <w:t>45</w:t>
      </w:r>
      <w:r>
        <w:rPr>
          <w:b/>
          <w:bCs/>
        </w:rPr>
        <w:t>%</w:t>
      </w:r>
      <w:r>
        <w:t xml:space="preserve">). </w:t>
      </w:r>
      <w:r w:rsidRPr="008809C9">
        <w:t>Over half of</w:t>
      </w:r>
      <w:r>
        <w:t xml:space="preserve"> the comparison group</w:t>
      </w:r>
      <w:r w:rsidRPr="008809C9">
        <w:t xml:space="preserve"> (</w:t>
      </w:r>
      <w:r w:rsidRPr="00CA499B">
        <w:rPr>
          <w:b/>
          <w:bCs/>
        </w:rPr>
        <w:t>65</w:t>
      </w:r>
      <w:r>
        <w:rPr>
          <w:b/>
          <w:bCs/>
        </w:rPr>
        <w:t>%</w:t>
      </w:r>
      <w:r w:rsidRPr="008809C9">
        <w:t xml:space="preserve">) considered the duration should be less than </w:t>
      </w:r>
      <w:r w:rsidR="00611273">
        <w:t>six</w:t>
      </w:r>
      <w:r>
        <w:t> </w:t>
      </w:r>
      <w:r w:rsidRPr="008809C9">
        <w:t>months.</w:t>
      </w:r>
    </w:p>
    <w:p w14:paraId="4823D588" w14:textId="1C356575" w:rsidR="00144AE4" w:rsidRPr="00F71A22" w:rsidRDefault="00144AE4" w:rsidP="00144AE4">
      <w:r w:rsidRPr="00F71A22">
        <w:t>Results from qualitative research indicated that job seekers’ perceived self-sufficiency in finding work was likely to decline after several months of unsuccessfully seeking employment in a purely online environment.</w:t>
      </w:r>
    </w:p>
    <w:p w14:paraId="4C0A5172" w14:textId="5721074F" w:rsidR="001F36EA" w:rsidRDefault="00144AE4" w:rsidP="001F36EA">
      <w:pPr>
        <w:pStyle w:val="Quote"/>
        <w:contextualSpacing/>
      </w:pPr>
      <w:r w:rsidRPr="001F36EA">
        <w:t>If it was months and months and I hadn’t got a job, I’d think, ‘well I can’t do this’, so I’d want help then.</w:t>
      </w:r>
    </w:p>
    <w:p w14:paraId="6A5ED6C3" w14:textId="3FB63489" w:rsidR="00144AE4" w:rsidRPr="001F36EA" w:rsidRDefault="00144AE4" w:rsidP="001F36EA">
      <w:pPr>
        <w:pStyle w:val="Quote"/>
      </w:pPr>
      <w:r w:rsidRPr="001F36EA">
        <w:t>(OEST participant, 18 years +)</w:t>
      </w:r>
    </w:p>
    <w:p w14:paraId="2FCD0F46" w14:textId="77777777" w:rsidR="00803324" w:rsidRDefault="00144AE4" w:rsidP="009A0C98">
      <w:r w:rsidRPr="00F71A22">
        <w:t xml:space="preserve">In </w:t>
      </w:r>
      <w:r w:rsidR="00CD493A" w:rsidRPr="00F71A22">
        <w:t>other</w:t>
      </w:r>
      <w:r w:rsidRPr="00F71A22">
        <w:t xml:space="preserve"> </w:t>
      </w:r>
      <w:r w:rsidR="00AC583B" w:rsidRPr="00F71A22">
        <w:t>cases,</w:t>
      </w:r>
      <w:r w:rsidRPr="00F71A22">
        <w:t xml:space="preserve"> participants formed more positive attitudes to online employment services after adjusting to the service mode.</w:t>
      </w:r>
    </w:p>
    <w:p w14:paraId="1DDD511C" w14:textId="29223552" w:rsidR="001F36EA" w:rsidRDefault="00144AE4" w:rsidP="001F36EA">
      <w:pPr>
        <w:pStyle w:val="Quote"/>
        <w:contextualSpacing/>
      </w:pPr>
      <w:r w:rsidRPr="001F36EA">
        <w:t>I was a bit annoyed, I probably would have opted-out at the start if I’d known I could have</w:t>
      </w:r>
      <w:r w:rsidR="009A0C98" w:rsidRPr="001F36EA">
        <w:t xml:space="preserve"> </w:t>
      </w:r>
      <w:r w:rsidRPr="001F36EA">
        <w:t>… but I’ll wait until six months.</w:t>
      </w:r>
      <w:r w:rsidR="00803324" w:rsidRPr="001F36EA">
        <w:t xml:space="preserve"> </w:t>
      </w:r>
      <w:r w:rsidRPr="001F36EA">
        <w:t>I find it easy to use, no issues at all.</w:t>
      </w:r>
    </w:p>
    <w:p w14:paraId="0183F631" w14:textId="5A08C794" w:rsidR="00144AE4" w:rsidRPr="001F36EA" w:rsidRDefault="00144AE4" w:rsidP="001F36EA">
      <w:pPr>
        <w:pStyle w:val="Quote"/>
        <w:contextualSpacing/>
      </w:pPr>
      <w:r w:rsidRPr="001F36EA">
        <w:t>(OEST participant, 18 years +)</w:t>
      </w:r>
    </w:p>
    <w:p w14:paraId="143E2352" w14:textId="21A679AB" w:rsidR="00144AE4" w:rsidRPr="00F71A22" w:rsidRDefault="00114CFE" w:rsidP="00B64D25">
      <w:r w:rsidRPr="00F71A22">
        <w:t>Over time</w:t>
      </w:r>
      <w:r w:rsidR="00144AE4" w:rsidRPr="00F71A22">
        <w:t xml:space="preserve">, some participants </w:t>
      </w:r>
      <w:r w:rsidRPr="00F71A22">
        <w:t>became</w:t>
      </w:r>
      <w:r w:rsidR="00144AE4" w:rsidRPr="00F71A22">
        <w:t xml:space="preserve"> less positive about online employment services </w:t>
      </w:r>
      <w:r w:rsidRPr="00F71A22">
        <w:t>and lost confidence in their ability to find employment and began to feel unsupported.</w:t>
      </w:r>
    </w:p>
    <w:p w14:paraId="421E1EBF" w14:textId="2064598A" w:rsidR="001F36EA" w:rsidRDefault="00114CFE" w:rsidP="001F36EA">
      <w:pPr>
        <w:pStyle w:val="Quote"/>
        <w:contextualSpacing/>
      </w:pPr>
      <w:r w:rsidRPr="001F36EA">
        <w:t>My confidence decreased</w:t>
      </w:r>
      <w:r w:rsidR="009A0C98" w:rsidRPr="001F36EA">
        <w:t xml:space="preserve"> </w:t>
      </w:r>
      <w:r w:rsidRPr="001F36EA">
        <w:t>… I didn’t think anything would come of [my job search]</w:t>
      </w:r>
      <w:r w:rsidR="009A0C98" w:rsidRPr="001F36EA">
        <w:t xml:space="preserve"> </w:t>
      </w:r>
      <w:r w:rsidRPr="001F36EA">
        <w:t>… I wasn’t really getting any feedback.</w:t>
      </w:r>
    </w:p>
    <w:p w14:paraId="2EDDB684" w14:textId="3858CF86" w:rsidR="00144AE4" w:rsidRPr="001F36EA" w:rsidRDefault="00114CFE" w:rsidP="001F36EA">
      <w:pPr>
        <w:pStyle w:val="Quote"/>
        <w:contextualSpacing/>
      </w:pPr>
      <w:r w:rsidRPr="001F36EA">
        <w:t>(OEST participant)</w:t>
      </w:r>
    </w:p>
    <w:p w14:paraId="076A00EA" w14:textId="77777777" w:rsidR="00803324" w:rsidRDefault="00144AE4" w:rsidP="00144AE4">
      <w:r w:rsidRPr="00F71A22">
        <w:t>S</w:t>
      </w:r>
      <w:r w:rsidR="00683AB9" w:rsidRPr="00F71A22">
        <w:t xml:space="preserve">imilarly, </w:t>
      </w:r>
      <w:r w:rsidR="00BC6EFF">
        <w:t xml:space="preserve">qualitative research feedback from </w:t>
      </w:r>
      <w:r w:rsidR="00683AB9" w:rsidRPr="00F71A22">
        <w:t>s</w:t>
      </w:r>
      <w:r w:rsidRPr="00F71A22">
        <w:t xml:space="preserve">everal </w:t>
      </w:r>
      <w:r w:rsidR="00114CFE" w:rsidRPr="00F71A22">
        <w:t xml:space="preserve">jobactive </w:t>
      </w:r>
      <w:r w:rsidRPr="00F71A22">
        <w:t xml:space="preserve">providers </w:t>
      </w:r>
      <w:r w:rsidR="003242F0">
        <w:t>indicated that they</w:t>
      </w:r>
      <w:r w:rsidR="00BC6EFF">
        <w:t xml:space="preserve"> </w:t>
      </w:r>
      <w:r w:rsidRPr="00F71A22">
        <w:t xml:space="preserve">considered that </w:t>
      </w:r>
      <w:r w:rsidR="00611273">
        <w:t>six</w:t>
      </w:r>
      <w:r w:rsidRPr="00F71A22">
        <w:t xml:space="preserve"> months in digital servicing w</w:t>
      </w:r>
      <w:r w:rsidR="00D3798A" w:rsidRPr="00F71A22">
        <w:t>as</w:t>
      </w:r>
      <w:r w:rsidRPr="00F71A22">
        <w:t xml:space="preserve"> too long for job seekers without additional support because </w:t>
      </w:r>
      <w:r w:rsidR="00F80F11" w:rsidRPr="00F71A22">
        <w:t xml:space="preserve">many </w:t>
      </w:r>
      <w:r w:rsidRPr="00F71A22">
        <w:t>would have lost motivation and/or confidence by then.</w:t>
      </w:r>
    </w:p>
    <w:p w14:paraId="25B36786" w14:textId="68CFCFF6" w:rsidR="00144AE4" w:rsidRPr="00F71A22" w:rsidRDefault="00144AE4" w:rsidP="00144AE4">
      <w:pPr>
        <w:pStyle w:val="Heading2"/>
        <w:rPr>
          <w:rFonts w:eastAsiaTheme="minorEastAsia"/>
        </w:rPr>
      </w:pPr>
      <w:bookmarkStart w:id="185" w:name="_Toc67042622"/>
      <w:r w:rsidRPr="00F71A22">
        <w:rPr>
          <w:rFonts w:eastAsiaTheme="minorEastAsia"/>
        </w:rPr>
        <w:t xml:space="preserve">5.2 Transferring out of the OEST after completing </w:t>
      </w:r>
      <w:r w:rsidR="00611273">
        <w:rPr>
          <w:rFonts w:eastAsiaTheme="minorEastAsia"/>
        </w:rPr>
        <w:t>six</w:t>
      </w:r>
      <w:r w:rsidRPr="00F71A22">
        <w:rPr>
          <w:rFonts w:eastAsiaTheme="minorEastAsia"/>
        </w:rPr>
        <w:t xml:space="preserve"> months</w:t>
      </w:r>
      <w:bookmarkEnd w:id="185"/>
    </w:p>
    <w:p w14:paraId="25C8E65C" w14:textId="77777777" w:rsidR="00803324" w:rsidRDefault="001A796B" w:rsidP="001A796B">
      <w:r>
        <w:t xml:space="preserve">Evaluating the effectiveness of the </w:t>
      </w:r>
      <w:r w:rsidRPr="00365287">
        <w:t xml:space="preserve">OEST </w:t>
      </w:r>
      <w:r>
        <w:t xml:space="preserve">should </w:t>
      </w:r>
      <w:r w:rsidRPr="00365287">
        <w:t xml:space="preserve">not </w:t>
      </w:r>
      <w:r>
        <w:t>be restricted to whether it assisted participants in</w:t>
      </w:r>
      <w:r w:rsidRPr="00365287">
        <w:t xml:space="preserve"> find</w:t>
      </w:r>
      <w:r>
        <w:t>ing</w:t>
      </w:r>
      <w:r w:rsidRPr="00365287">
        <w:t xml:space="preserve"> work during the </w:t>
      </w:r>
      <w:r>
        <w:t>t</w:t>
      </w:r>
      <w:r w:rsidRPr="00365287">
        <w:t>rial</w:t>
      </w:r>
      <w:r>
        <w:t xml:space="preserve"> but</w:t>
      </w:r>
      <w:r w:rsidRPr="00365287">
        <w:t xml:space="preserve"> </w:t>
      </w:r>
      <w:r>
        <w:t xml:space="preserve">should </w:t>
      </w:r>
      <w:r w:rsidRPr="00365287">
        <w:t xml:space="preserve">also </w:t>
      </w:r>
      <w:r>
        <w:t xml:space="preserve">consider whether the trial </w:t>
      </w:r>
      <w:r w:rsidRPr="00365287">
        <w:t>maximise</w:t>
      </w:r>
      <w:r>
        <w:t>d participants’</w:t>
      </w:r>
      <w:r w:rsidRPr="00365287">
        <w:t xml:space="preserve"> chances of finding work </w:t>
      </w:r>
      <w:r w:rsidR="00BC6EFF">
        <w:t>over time</w:t>
      </w:r>
      <w:r w:rsidRPr="00365287">
        <w:t xml:space="preserve">. </w:t>
      </w:r>
      <w:r>
        <w:t>This includes a smooth transition with sufficient support from their jobactive provider.</w:t>
      </w:r>
      <w:r w:rsidRPr="00365287">
        <w:t xml:space="preserve"> </w:t>
      </w:r>
      <w:r>
        <w:t xml:space="preserve">More than half of the participants who transferred out of the trial after </w:t>
      </w:r>
      <w:r w:rsidR="00611273">
        <w:t>six</w:t>
      </w:r>
      <w:r>
        <w:t> months and were surveyed in the quantitative research said they were supported (</w:t>
      </w:r>
      <w:r w:rsidRPr="001261D9">
        <w:rPr>
          <w:b/>
        </w:rPr>
        <w:t>55%</w:t>
      </w:r>
      <w:r>
        <w:t>) and agreed it was easy to adapt to provider servicing (</w:t>
      </w:r>
      <w:r w:rsidRPr="001261D9">
        <w:rPr>
          <w:b/>
        </w:rPr>
        <w:t>58%</w:t>
      </w:r>
      <w:r>
        <w:t xml:space="preserve">, </w:t>
      </w:r>
      <w:r w:rsidRPr="001261D9">
        <w:rPr>
          <w:b/>
        </w:rPr>
        <w:t>Figure 5.</w:t>
      </w:r>
      <w:r w:rsidR="005B0683">
        <w:rPr>
          <w:b/>
        </w:rPr>
        <w:t>4</w:t>
      </w:r>
      <w:r>
        <w:t>).</w:t>
      </w:r>
    </w:p>
    <w:p w14:paraId="3A197120" w14:textId="7F82ABF9" w:rsidR="00144AE4" w:rsidRDefault="00144AE4" w:rsidP="00683AB9">
      <w:pPr>
        <w:pStyle w:val="FigureCaption"/>
      </w:pPr>
      <w:bookmarkStart w:id="186" w:name="_Toc67042692"/>
      <w:r w:rsidRPr="00F71A22">
        <w:lastRenderedPageBreak/>
        <w:t>Figure 5.</w:t>
      </w:r>
      <w:r w:rsidR="008C2362" w:rsidRPr="00F71A22">
        <w:t>4</w:t>
      </w:r>
      <w:r w:rsidRPr="00F71A22">
        <w:t xml:space="preserve"> Experience after transferring out of the OEST after </w:t>
      </w:r>
      <w:r w:rsidR="00611273">
        <w:t>six</w:t>
      </w:r>
      <w:r w:rsidRPr="00F71A22">
        <w:t xml:space="preserve"> months</w:t>
      </w:r>
      <w:bookmarkEnd w:id="186"/>
    </w:p>
    <w:p w14:paraId="7D15B036" w14:textId="1F716285" w:rsidR="00144AE4" w:rsidRDefault="00C50AFD" w:rsidP="00551055">
      <w:r>
        <w:rPr>
          <w:noProof/>
        </w:rPr>
        <w:drawing>
          <wp:inline distT="0" distB="0" distL="0" distR="0" wp14:anchorId="2A86DD75" wp14:editId="4115EFB5">
            <wp:extent cx="5746750" cy="2887446"/>
            <wp:effectExtent l="0" t="0" r="6350" b="8255"/>
            <wp:docPr id="1" name="Picture 1" descr="Bar chart showing more than half of the OEST participants who transferred out of the trial after six months said they were supported (55%) and agreed it was easy to adapt to provider servic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5-4.png"/>
                    <pic:cNvPicPr/>
                  </pic:nvPicPr>
                  <pic:blipFill rotWithShape="1">
                    <a:blip r:embed="rId42"/>
                    <a:srcRect t="4129"/>
                    <a:stretch/>
                  </pic:blipFill>
                  <pic:spPr bwMode="auto">
                    <a:xfrm>
                      <a:off x="0" y="0"/>
                      <a:ext cx="5746750" cy="2887446"/>
                    </a:xfrm>
                    <a:prstGeom prst="rect">
                      <a:avLst/>
                    </a:prstGeom>
                    <a:ln>
                      <a:noFill/>
                    </a:ln>
                    <a:extLst>
                      <a:ext uri="{53640926-AAD7-44D8-BBD7-CCE9431645EC}">
                        <a14:shadowObscured xmlns:a14="http://schemas.microsoft.com/office/drawing/2010/main"/>
                      </a:ext>
                    </a:extLst>
                  </pic:spPr>
                </pic:pic>
              </a:graphicData>
            </a:graphic>
          </wp:inline>
        </w:drawing>
      </w:r>
    </w:p>
    <w:p w14:paraId="7C86BFC5" w14:textId="44EEF6E3" w:rsidR="00803324" w:rsidRDefault="00683AB9" w:rsidP="009A0C98">
      <w:pPr>
        <w:pStyle w:val="Source"/>
        <w:contextualSpacing/>
      </w:pPr>
      <w:r w:rsidRPr="00F71A22">
        <w:rPr>
          <w:b/>
          <w:bCs/>
        </w:rPr>
        <w:t>Source</w:t>
      </w:r>
      <w:r w:rsidRPr="00F71A22">
        <w:t xml:space="preserve">: 2019 </w:t>
      </w:r>
      <w:r w:rsidR="001A796B">
        <w:t>q</w:t>
      </w:r>
      <w:r w:rsidRPr="00F71A22">
        <w:t>uantitative research survey</w:t>
      </w:r>
      <w:r w:rsidR="00C036BB">
        <w:br/>
      </w:r>
      <w:r w:rsidR="00DF29B9" w:rsidRPr="00F71A22">
        <w:rPr>
          <w:b/>
          <w:bCs/>
        </w:rPr>
        <w:t>Note</w:t>
      </w:r>
      <w:r w:rsidR="00144AE4" w:rsidRPr="00F71A22">
        <w:t>:</w:t>
      </w:r>
      <w:r w:rsidR="00611273">
        <w:t xml:space="preserve"> OEST participants</w:t>
      </w:r>
      <w:r w:rsidR="00144AE4" w:rsidRPr="00F71A22">
        <w:t xml:space="preserve"> who transferred out of the </w:t>
      </w:r>
      <w:r w:rsidR="00611273">
        <w:t>trial</w:t>
      </w:r>
      <w:r w:rsidR="00144AE4" w:rsidRPr="00F71A22">
        <w:t xml:space="preserve"> after </w:t>
      </w:r>
      <w:r w:rsidR="00611273">
        <w:t>six</w:t>
      </w:r>
      <w:r w:rsidR="00144AE4" w:rsidRPr="00F71A22">
        <w:t xml:space="preserve"> months</w:t>
      </w:r>
    </w:p>
    <w:p w14:paraId="0A8E664D" w14:textId="77777777" w:rsidR="00803324" w:rsidRDefault="001A796B" w:rsidP="001A796B">
      <w:r>
        <w:t>Survey r</w:t>
      </w:r>
      <w:r w:rsidRPr="00365287">
        <w:t xml:space="preserve">espondents who disagreed that it was easy to adapt to the change </w:t>
      </w:r>
      <w:r>
        <w:t>from</w:t>
      </w:r>
      <w:r w:rsidRPr="00365287">
        <w:t xml:space="preserve"> online </w:t>
      </w:r>
      <w:r>
        <w:t>to</w:t>
      </w:r>
      <w:r w:rsidRPr="00365287">
        <w:t xml:space="preserve"> </w:t>
      </w:r>
      <w:r>
        <w:t>provider-based</w:t>
      </w:r>
      <w:r w:rsidRPr="00365287">
        <w:t xml:space="preserve"> services </w:t>
      </w:r>
      <w:r>
        <w:t>(</w:t>
      </w:r>
      <w:r w:rsidRPr="001261D9">
        <w:rPr>
          <w:b/>
        </w:rPr>
        <w:t>14%</w:t>
      </w:r>
      <w:r>
        <w:t xml:space="preserve">) </w:t>
      </w:r>
      <w:r w:rsidRPr="00365287">
        <w:t>were asked to describ</w:t>
      </w:r>
      <w:r>
        <w:t>e</w:t>
      </w:r>
      <w:r w:rsidRPr="00365287">
        <w:t xml:space="preserve"> the main reasons why it was difficult.</w:t>
      </w:r>
      <w:r>
        <w:t xml:space="preserve"> </w:t>
      </w:r>
      <w:r w:rsidRPr="00365287">
        <w:t>Three key themes emerged from their responses</w:t>
      </w:r>
      <w:r>
        <w:t>:</w:t>
      </w:r>
    </w:p>
    <w:p w14:paraId="2594C0E9" w14:textId="5877E4B9" w:rsidR="0039107F" w:rsidRPr="00F71A22" w:rsidRDefault="00144AE4" w:rsidP="00D1007E">
      <w:pPr>
        <w:pStyle w:val="ListBullet"/>
      </w:pPr>
      <w:r w:rsidRPr="00F71A22">
        <w:t>challenges in attending appointments</w:t>
      </w:r>
    </w:p>
    <w:p w14:paraId="10EB2E64" w14:textId="77777777" w:rsidR="00803324" w:rsidRDefault="00144AE4" w:rsidP="00D1007E">
      <w:pPr>
        <w:pStyle w:val="ListBullet"/>
      </w:pPr>
      <w:r w:rsidRPr="00F71A22">
        <w:t xml:space="preserve">dissatisfaction with the </w:t>
      </w:r>
      <w:r w:rsidR="0039107F" w:rsidRPr="00F71A22">
        <w:t>jobactive</w:t>
      </w:r>
      <w:r w:rsidRPr="00F71A22">
        <w:t xml:space="preserve"> provider</w:t>
      </w:r>
    </w:p>
    <w:p w14:paraId="1E281E97" w14:textId="13F74A54" w:rsidR="00144AE4" w:rsidRPr="00F71A22" w:rsidRDefault="00144AE4" w:rsidP="00D1007E">
      <w:pPr>
        <w:pStyle w:val="ListBullet"/>
      </w:pPr>
      <w:r w:rsidRPr="00F71A22">
        <w:t xml:space="preserve">feelings of stress or lack of control associated with being in </w:t>
      </w:r>
      <w:r w:rsidR="0039107F" w:rsidRPr="00F71A22">
        <w:t>provider-based</w:t>
      </w:r>
      <w:r w:rsidRPr="00F71A22">
        <w:t xml:space="preserve"> services.</w:t>
      </w:r>
    </w:p>
    <w:p w14:paraId="2167B9FB" w14:textId="7D22FDBB" w:rsidR="00144AE4" w:rsidRPr="001F36EA" w:rsidRDefault="00144AE4" w:rsidP="001F36EA">
      <w:pPr>
        <w:pStyle w:val="Quote"/>
      </w:pPr>
      <w:r w:rsidRPr="001F36EA">
        <w:t>The appointments for the employment agency can sometimes be inconvenient for plans, whereas online you can do it in your own time. (OEST</w:t>
      </w:r>
      <w:r w:rsidR="00765F83" w:rsidRPr="001F36EA">
        <w:t> </w:t>
      </w:r>
      <w:r w:rsidRPr="001F36EA">
        <w:t>participant,</w:t>
      </w:r>
      <w:r w:rsidR="00765F83" w:rsidRPr="001F36EA">
        <w:t> </w:t>
      </w:r>
      <w:r w:rsidRPr="001F36EA">
        <w:t>survey</w:t>
      </w:r>
      <w:r w:rsidR="00765F83" w:rsidRPr="001F36EA">
        <w:t> </w:t>
      </w:r>
      <w:r w:rsidRPr="001F36EA">
        <w:t>response)</w:t>
      </w:r>
    </w:p>
    <w:p w14:paraId="00C07B55" w14:textId="68EC18E7" w:rsidR="00144AE4" w:rsidRPr="001F36EA" w:rsidRDefault="00144AE4" w:rsidP="001F36EA">
      <w:pPr>
        <w:pStyle w:val="Quote"/>
      </w:pPr>
      <w:r w:rsidRPr="001F36EA">
        <w:t>Little communication. Treated like a number rather than a person. Waste of money and time to do the same things I was doing online. (OEST</w:t>
      </w:r>
      <w:r w:rsidR="00765F83" w:rsidRPr="001F36EA">
        <w:t> </w:t>
      </w:r>
      <w:r w:rsidRPr="001F36EA">
        <w:t>participant,</w:t>
      </w:r>
      <w:r w:rsidR="00765F83" w:rsidRPr="001F36EA">
        <w:t> </w:t>
      </w:r>
      <w:r w:rsidRPr="001F36EA">
        <w:t>survey response)</w:t>
      </w:r>
    </w:p>
    <w:p w14:paraId="1DD527F0" w14:textId="448437B3" w:rsidR="001F36EA" w:rsidRDefault="00144AE4" w:rsidP="00C11AA0">
      <w:pPr>
        <w:pStyle w:val="Quote"/>
        <w:keepNext/>
        <w:keepLines/>
        <w:widowControl w:val="0"/>
        <w:contextualSpacing/>
      </w:pPr>
      <w:r w:rsidRPr="001F36EA">
        <w:lastRenderedPageBreak/>
        <w:t>Constant pressure of attending appointments, wait times at employment provider and hard to deal with many times. Plus, extra expenses of travel and phone bill brings stress and anxiety trying to get used to employment providers, which most of are just time wasters.</w:t>
      </w:r>
    </w:p>
    <w:p w14:paraId="737C07A5" w14:textId="6AC83639" w:rsidR="00144AE4" w:rsidRPr="001F36EA" w:rsidRDefault="00144AE4" w:rsidP="00C11AA0">
      <w:pPr>
        <w:pStyle w:val="Quote"/>
        <w:keepNext/>
        <w:keepLines/>
        <w:widowControl w:val="0"/>
        <w:contextualSpacing/>
      </w:pPr>
      <w:r w:rsidRPr="001F36EA">
        <w:t>(OEST participant, survey response)</w:t>
      </w:r>
    </w:p>
    <w:p w14:paraId="6DEC717A" w14:textId="6A0F3B19" w:rsidR="002348DA" w:rsidRPr="00F71A22" w:rsidRDefault="002348DA" w:rsidP="004B70A7">
      <w:pPr>
        <w:pStyle w:val="Heading3"/>
      </w:pPr>
      <w:bookmarkStart w:id="187" w:name="_Toc67042623"/>
      <w:r w:rsidRPr="00F71A22">
        <w:t>5.2.1 Awareness of transferring arrangements</w:t>
      </w:r>
      <w:bookmarkEnd w:id="187"/>
    </w:p>
    <w:p w14:paraId="4B4E0B18" w14:textId="3E37E475" w:rsidR="001A796B" w:rsidRDefault="001A796B" w:rsidP="001A796B">
      <w:pPr>
        <w:pStyle w:val="Bullet1"/>
        <w:numPr>
          <w:ilvl w:val="0"/>
          <w:numId w:val="0"/>
        </w:numPr>
        <w:spacing w:line="276" w:lineRule="auto"/>
        <w:ind w:right="-330"/>
      </w:pPr>
      <w:r>
        <w:t>Survey results showed that while a majority of participants were aware</w:t>
      </w:r>
      <w:r w:rsidDel="002348DA">
        <w:t xml:space="preserve"> </w:t>
      </w:r>
      <w:r>
        <w:t xml:space="preserve">that </w:t>
      </w:r>
      <w:r w:rsidDel="002348DA">
        <w:t xml:space="preserve">they would be transferred to a </w:t>
      </w:r>
      <w:r>
        <w:t xml:space="preserve">jobactive </w:t>
      </w:r>
      <w:r w:rsidDel="002348DA">
        <w:t xml:space="preserve">provider after </w:t>
      </w:r>
      <w:r w:rsidR="00611273">
        <w:t>six</w:t>
      </w:r>
      <w:r>
        <w:t> </w:t>
      </w:r>
      <w:r w:rsidDel="002348DA">
        <w:t xml:space="preserve">months </w:t>
      </w:r>
      <w:r>
        <w:t xml:space="preserve">in OEST </w:t>
      </w:r>
      <w:r w:rsidDel="002348DA">
        <w:t>if they had not found a job (</w:t>
      </w:r>
      <w:r w:rsidRPr="001261D9" w:rsidDel="002348DA">
        <w:rPr>
          <w:b/>
        </w:rPr>
        <w:t>63</w:t>
      </w:r>
      <w:r w:rsidRPr="001261D9">
        <w:rPr>
          <w:b/>
        </w:rPr>
        <w:t>%</w:t>
      </w:r>
      <w:r w:rsidDel="002348DA">
        <w:t>)</w:t>
      </w:r>
      <w:r>
        <w:t xml:space="preserve">, only </w:t>
      </w:r>
      <w:r w:rsidRPr="001261D9">
        <w:rPr>
          <w:b/>
        </w:rPr>
        <w:t>49%</w:t>
      </w:r>
      <w:r>
        <w:t xml:space="preserve"> felt they were provided enough information (</w:t>
      </w:r>
      <w:r w:rsidRPr="001261D9">
        <w:rPr>
          <w:b/>
        </w:rPr>
        <w:t>Figure 5.</w:t>
      </w:r>
      <w:r>
        <w:rPr>
          <w:b/>
        </w:rPr>
        <w:t>4</w:t>
      </w:r>
      <w:r>
        <w:t>).</w:t>
      </w:r>
    </w:p>
    <w:p w14:paraId="4F43D9CE" w14:textId="1F59A971" w:rsidR="00803324" w:rsidRDefault="007A77F0" w:rsidP="006C74E0">
      <w:r w:rsidRPr="00F71A22">
        <w:t xml:space="preserve">However, a significant minority were not aware of the transfer arrangements. </w:t>
      </w:r>
      <w:r w:rsidRPr="00F71A22" w:rsidDel="002348DA">
        <w:t xml:space="preserve">Qualitative research </w:t>
      </w:r>
      <w:r w:rsidRPr="00F71A22">
        <w:t>revealed OEST participants felt confused and/or surprised when they only became aware of this right before the end of the trial, through</w:t>
      </w:r>
      <w:r w:rsidR="00521ECF">
        <w:t xml:space="preserve"> either</w:t>
      </w:r>
      <w:r w:rsidRPr="00F71A22">
        <w:t xml:space="preserve"> a text message or </w:t>
      </w:r>
      <w:r w:rsidR="001A796B">
        <w:t xml:space="preserve">an </w:t>
      </w:r>
      <w:r w:rsidRPr="00F71A22">
        <w:t>inbox notification.</w:t>
      </w:r>
    </w:p>
    <w:p w14:paraId="231354D5" w14:textId="295F7CCF" w:rsidR="002348DA" w:rsidRPr="00F71A22" w:rsidRDefault="002348DA" w:rsidP="002348DA">
      <w:r w:rsidRPr="00F71A22">
        <w:t xml:space="preserve">Some </w:t>
      </w:r>
      <w:r w:rsidR="00714277" w:rsidRPr="00F71A22">
        <w:t xml:space="preserve">OEST </w:t>
      </w:r>
      <w:r w:rsidRPr="00F71A22">
        <w:t xml:space="preserve">participants and providers felt that the transition was poorly communicated, negatively impacting the transition experience and participants’ willingness to engage </w:t>
      </w:r>
      <w:r w:rsidR="00C278B7" w:rsidRPr="00F71A22">
        <w:t>in</w:t>
      </w:r>
      <w:r w:rsidRPr="00F71A22">
        <w:t xml:space="preserve"> </w:t>
      </w:r>
      <w:r w:rsidR="00B64D25" w:rsidRPr="00F71A22">
        <w:t>provider</w:t>
      </w:r>
      <w:r w:rsidRPr="00F71A22">
        <w:t xml:space="preserve"> servic</w:t>
      </w:r>
      <w:r w:rsidR="00C278B7" w:rsidRPr="00F71A22">
        <w:t>ing</w:t>
      </w:r>
      <w:r w:rsidRPr="00F71A22">
        <w:t>.</w:t>
      </w:r>
    </w:p>
    <w:p w14:paraId="31E156E0" w14:textId="77777777" w:rsidR="00803324" w:rsidRDefault="00144AE4" w:rsidP="00144AE4">
      <w:pPr>
        <w:pStyle w:val="Heading2"/>
      </w:pPr>
      <w:bookmarkStart w:id="188" w:name="_Toc67042624"/>
      <w:r w:rsidRPr="00F71A22">
        <w:t xml:space="preserve">5.3 </w:t>
      </w:r>
      <w:r w:rsidR="008D7760" w:rsidRPr="00F71A22">
        <w:t>OEST eligibility</w:t>
      </w:r>
      <w:bookmarkEnd w:id="188"/>
    </w:p>
    <w:p w14:paraId="5958D0D9" w14:textId="79078E0C" w:rsidR="008D7760" w:rsidRPr="00F71A22" w:rsidRDefault="008D7760" w:rsidP="007A77F0">
      <w:r w:rsidRPr="00F71A22">
        <w:t xml:space="preserve">An efficient and effective process of selecting participants for online servicing is important for targeted and </w:t>
      </w:r>
      <w:r w:rsidR="001A796B">
        <w:t>high-</w:t>
      </w:r>
      <w:r w:rsidRPr="00F71A22">
        <w:t xml:space="preserve">quality service delivery. The JSCI formed a core part of assessing whether job seekers were eligible for employment servicing, by measuring job seeker disadvantage based on a series of questions. With </w:t>
      </w:r>
      <w:r w:rsidR="00096605" w:rsidRPr="00F71A22">
        <w:t>online servicing</w:t>
      </w:r>
      <w:r w:rsidRPr="00F71A22">
        <w:t xml:space="preserve">, only the most </w:t>
      </w:r>
      <w:r w:rsidR="00A932B4">
        <w:t>job</w:t>
      </w:r>
      <w:r w:rsidR="0001666F">
        <w:t>-</w:t>
      </w:r>
      <w:r w:rsidR="00A932B4">
        <w:t>ready</w:t>
      </w:r>
      <w:r w:rsidRPr="00F71A22">
        <w:t xml:space="preserve"> job seekers were referred to the trial.</w:t>
      </w:r>
    </w:p>
    <w:p w14:paraId="0C1998DE" w14:textId="77777777" w:rsidR="00803324" w:rsidRDefault="008D7760" w:rsidP="007A77F0">
      <w:r w:rsidRPr="00F71A22">
        <w:t xml:space="preserve">Qualitative research revealed providers </w:t>
      </w:r>
      <w:r w:rsidR="001023FE" w:rsidRPr="00F71A22">
        <w:t>believed</w:t>
      </w:r>
      <w:r w:rsidRPr="00F71A22">
        <w:t xml:space="preserve"> that online servicing is not for everyone and suggested that it would be difficult for some job seekers to rely solely on online services without external support or additional services, notably those with low digital literacy and those with significant barriers to work.</w:t>
      </w:r>
    </w:p>
    <w:p w14:paraId="1B46C8E7" w14:textId="0DA9E8FF" w:rsidR="00803324" w:rsidRDefault="001A796B" w:rsidP="001A796B">
      <w:r w:rsidRPr="008D7760">
        <w:t>However, the low level of opt-outs from the OEST (</w:t>
      </w:r>
      <w:r w:rsidRPr="001261D9">
        <w:rPr>
          <w:b/>
        </w:rPr>
        <w:t>Chapter 3</w:t>
      </w:r>
      <w:r w:rsidRPr="008D7760">
        <w:t>) and its effectiveness in terms of employment outcomes (</w:t>
      </w:r>
      <w:r w:rsidRPr="001261D9">
        <w:rPr>
          <w:b/>
        </w:rPr>
        <w:t>Chapter 4</w:t>
      </w:r>
      <w:r w:rsidRPr="008D7760">
        <w:t>), suggested that eligibility was generally well targeted. This was despite the JSCI in its current form being an assessment tool</w:t>
      </w:r>
      <w:r>
        <w:t xml:space="preserve"> that is</w:t>
      </w:r>
      <w:r w:rsidRPr="008D7760">
        <w:t xml:space="preserve"> designed to predominantly measure labour market disadvantage and does not include criteria for assessing digital literacy. Nonetheless, there is room to further refine eligibility screening.</w:t>
      </w:r>
    </w:p>
    <w:p w14:paraId="44B449B3" w14:textId="4D0A32AC" w:rsidR="00144AE4" w:rsidRPr="00F71A22" w:rsidRDefault="00F82B50" w:rsidP="00F82B50">
      <w:pPr>
        <w:pStyle w:val="Heading3"/>
      </w:pPr>
      <w:bookmarkStart w:id="189" w:name="_Toc67042625"/>
      <w:r w:rsidRPr="00F71A22">
        <w:lastRenderedPageBreak/>
        <w:t xml:space="preserve">5.3.1 </w:t>
      </w:r>
      <w:r w:rsidR="00144AE4" w:rsidRPr="00F71A22">
        <w:t>Digital literacy</w:t>
      </w:r>
      <w:r w:rsidRPr="00F71A22">
        <w:t xml:space="preserve"> and access</w:t>
      </w:r>
      <w:bookmarkEnd w:id="189"/>
    </w:p>
    <w:p w14:paraId="677BD31E" w14:textId="77777777" w:rsidR="00803324" w:rsidRDefault="008D7760" w:rsidP="00144AE4">
      <w:r w:rsidRPr="00F71A22">
        <w:t>Opt-out rates were higher among cohorts with lower digital literacy, such as older age groups and those with less education (</w:t>
      </w:r>
      <w:r w:rsidRPr="001A796B">
        <w:rPr>
          <w:b/>
          <w:bCs/>
        </w:rPr>
        <w:t>Chapter 3</w:t>
      </w:r>
      <w:r w:rsidRPr="00F71A22">
        <w:t>). This finding was reinforced by providers reporting</w:t>
      </w:r>
      <w:r w:rsidR="001A796B">
        <w:t xml:space="preserve"> that</w:t>
      </w:r>
      <w:r w:rsidRPr="00F71A22">
        <w:t xml:space="preserve"> internet access and digital literacy were not universal among Stream A job seekers</w:t>
      </w:r>
      <w:r w:rsidR="00144AE4" w:rsidRPr="00F71A22">
        <w:t>.</w:t>
      </w:r>
    </w:p>
    <w:p w14:paraId="28F36D33" w14:textId="77777777" w:rsidR="001F36EA" w:rsidRDefault="00144AE4" w:rsidP="001F4507">
      <w:pPr>
        <w:pStyle w:val="Quote"/>
        <w:keepNext/>
        <w:contextualSpacing/>
      </w:pPr>
      <w:r w:rsidRPr="001F36EA">
        <w:t>[Job seekers] may have access to the internet because they have a smart phone, but they may not have internet at home.</w:t>
      </w:r>
    </w:p>
    <w:p w14:paraId="592E662D" w14:textId="4DC61E9B" w:rsidR="001017D7" w:rsidRPr="001F36EA" w:rsidRDefault="00144AE4" w:rsidP="001F36EA">
      <w:pPr>
        <w:pStyle w:val="Quote"/>
        <w:contextualSpacing/>
      </w:pPr>
      <w:r w:rsidRPr="001F36EA">
        <w:t>(</w:t>
      </w:r>
      <w:r w:rsidR="009E02C3" w:rsidRPr="001F36EA">
        <w:t>jobactive</w:t>
      </w:r>
      <w:r w:rsidRPr="001F36EA">
        <w:t xml:space="preserve"> provider)</w:t>
      </w:r>
    </w:p>
    <w:p w14:paraId="5328B2AB" w14:textId="074F8733" w:rsidR="00144AE4" w:rsidRPr="001F36EA" w:rsidRDefault="00144AE4" w:rsidP="001F36EA">
      <w:pPr>
        <w:pStyle w:val="Quote"/>
      </w:pPr>
      <w:r w:rsidRPr="001F36EA">
        <w:t>A considerable amount of job seekers don’t know how to use the internet</w:t>
      </w:r>
      <w:r w:rsidR="00F24C5E" w:rsidRPr="001F36EA">
        <w:t xml:space="preserve"> </w:t>
      </w:r>
      <w:r w:rsidRPr="001F36EA">
        <w:t>… job seekers who have done factory or construction work need more help.</w:t>
      </w:r>
      <w:r w:rsidR="006C74E0" w:rsidRPr="001F36EA">
        <w:t xml:space="preserve"> </w:t>
      </w:r>
      <w:r w:rsidRPr="001F36EA">
        <w:t>(</w:t>
      </w:r>
      <w:r w:rsidR="009E02C3" w:rsidRPr="001F36EA">
        <w:t>jobactive</w:t>
      </w:r>
      <w:r w:rsidR="006C74E0" w:rsidRPr="001F36EA">
        <w:t> </w:t>
      </w:r>
      <w:r w:rsidRPr="001F36EA">
        <w:t>provider)</w:t>
      </w:r>
    </w:p>
    <w:p w14:paraId="03CFC9AD" w14:textId="77777777" w:rsidR="001F36EA" w:rsidRDefault="00144AE4" w:rsidP="001F4507">
      <w:pPr>
        <w:pStyle w:val="Quote"/>
        <w:keepNext/>
        <w:contextualSpacing/>
      </w:pPr>
      <w:r w:rsidRPr="001F36EA">
        <w:t>I think about 50% of my As can use the internet.</w:t>
      </w:r>
    </w:p>
    <w:p w14:paraId="5AD68792" w14:textId="21EAE291" w:rsidR="007A77F0" w:rsidRPr="001F36EA" w:rsidRDefault="00F82B50" w:rsidP="001F4507">
      <w:pPr>
        <w:pStyle w:val="Quote"/>
        <w:keepNext/>
        <w:contextualSpacing/>
      </w:pPr>
      <w:r w:rsidRPr="001F36EA">
        <w:t>(</w:t>
      </w:r>
      <w:r w:rsidR="009E02C3" w:rsidRPr="001F36EA">
        <w:t xml:space="preserve">jobactive </w:t>
      </w:r>
      <w:r w:rsidRPr="001F36EA">
        <w:t>provider)</w:t>
      </w:r>
    </w:p>
    <w:p w14:paraId="0B018AF4" w14:textId="3FFAC3FB" w:rsidR="008D7760" w:rsidRPr="00F71A22" w:rsidRDefault="008D7760" w:rsidP="008D7760">
      <w:r w:rsidRPr="00F71A22">
        <w:t xml:space="preserve">As there were no provisions in the JSCI for assessing job seekers’ digital literacy over the length of the trial, </w:t>
      </w:r>
      <w:r w:rsidR="00714277" w:rsidRPr="00F71A22">
        <w:t xml:space="preserve">it is likely that </w:t>
      </w:r>
      <w:r w:rsidRPr="00F71A22">
        <w:t xml:space="preserve">some job seekers selected for the OEST </w:t>
      </w:r>
      <w:r w:rsidR="00BC6EFF">
        <w:t xml:space="preserve">faced difficulty in </w:t>
      </w:r>
      <w:r w:rsidRPr="00F71A22">
        <w:t>manag</w:t>
      </w:r>
      <w:r w:rsidR="00BC6EFF">
        <w:t>ing</w:t>
      </w:r>
      <w:r w:rsidRPr="00F71A22">
        <w:t xml:space="preserve"> the online platform appropriately.</w:t>
      </w:r>
    </w:p>
    <w:p w14:paraId="6AD97698" w14:textId="1A153ABE" w:rsidR="00144AE4" w:rsidRPr="00F71A22" w:rsidRDefault="00F82B50" w:rsidP="00F82B50">
      <w:pPr>
        <w:pStyle w:val="Heading3"/>
      </w:pPr>
      <w:bookmarkStart w:id="190" w:name="_Toc67042626"/>
      <w:r w:rsidRPr="00F71A22">
        <w:t xml:space="preserve">5.3.2 </w:t>
      </w:r>
      <w:r w:rsidR="006E3464" w:rsidRPr="00F71A22">
        <w:t>Identifying j</w:t>
      </w:r>
      <w:r w:rsidR="00144AE4" w:rsidRPr="00F71A22">
        <w:t>ob seekers with significant barriers to work</w:t>
      </w:r>
      <w:bookmarkEnd w:id="190"/>
    </w:p>
    <w:p w14:paraId="33A787C0" w14:textId="171C93F6" w:rsidR="00144AE4" w:rsidRPr="00F71A22" w:rsidRDefault="00715BDF" w:rsidP="00144AE4">
      <w:r w:rsidRPr="00F71A22">
        <w:t xml:space="preserve">Providers identified a range of job seeker groups that they </w:t>
      </w:r>
      <w:r w:rsidR="001A796B">
        <w:t>considered</w:t>
      </w:r>
      <w:r w:rsidRPr="00F71A22">
        <w:t xml:space="preserve"> unlikely to be suitable for online employment servicing because of their significant barriers to finding work and/or interacting online. With regard to identifying job seekers with significant barriers, providers suggested that JSCI scores were often inaccurate due to</w:t>
      </w:r>
      <w:r w:rsidR="00144AE4" w:rsidRPr="00F71A22">
        <w:t>:</w:t>
      </w:r>
    </w:p>
    <w:p w14:paraId="79A89553" w14:textId="77777777" w:rsidR="00715BDF" w:rsidRPr="00F71A22" w:rsidRDefault="00715BDF" w:rsidP="003A2202">
      <w:pPr>
        <w:pStyle w:val="ListBullet"/>
      </w:pPr>
      <w:r w:rsidRPr="00F71A22">
        <w:t>job seekers not understanding the questions, particularly those with limited English skills</w:t>
      </w:r>
    </w:p>
    <w:p w14:paraId="3F550DEE" w14:textId="771891F2" w:rsidR="00715BDF" w:rsidRPr="00F71A22" w:rsidRDefault="00715BDF" w:rsidP="003A2202">
      <w:pPr>
        <w:pStyle w:val="ListBullet"/>
      </w:pPr>
      <w:r w:rsidRPr="00F71A22">
        <w:t>cultural reasons (e.g. acquiescence, which was identified as common in some cultures)</w:t>
      </w:r>
    </w:p>
    <w:p w14:paraId="23154E49" w14:textId="3C3BCD68" w:rsidR="00715BDF" w:rsidRPr="00F71A22" w:rsidRDefault="00715BDF" w:rsidP="003A2202">
      <w:pPr>
        <w:pStyle w:val="ListBullet"/>
      </w:pPr>
      <w:r w:rsidRPr="00F71A22">
        <w:t xml:space="preserve">job seekers not wanting to disclose personal circumstances they felt </w:t>
      </w:r>
      <w:r w:rsidR="001A796B">
        <w:t>might</w:t>
      </w:r>
      <w:r w:rsidRPr="00F71A22">
        <w:t xml:space="preserve"> compromise employer perceptions</w:t>
      </w:r>
      <w:r w:rsidR="00144AE4" w:rsidRPr="00F71A22">
        <w:t>.</w:t>
      </w:r>
    </w:p>
    <w:p w14:paraId="30C89BEB" w14:textId="4B02902B" w:rsidR="00F24C5E" w:rsidRPr="001F36EA" w:rsidRDefault="00715BDF" w:rsidP="001F4507">
      <w:pPr>
        <w:pStyle w:val="Quote"/>
        <w:contextualSpacing/>
      </w:pPr>
      <w:r w:rsidRPr="001F36EA">
        <w:t>The classification is made over the phone so it’s difficult to get real data</w:t>
      </w:r>
      <w:r w:rsidR="00F24C5E" w:rsidRPr="001F36EA">
        <w:t xml:space="preserve"> </w:t>
      </w:r>
      <w:r w:rsidRPr="001F36EA">
        <w:t>… it’s a five</w:t>
      </w:r>
      <w:r w:rsidR="007A77F0" w:rsidRPr="001F36EA">
        <w:t>-</w:t>
      </w:r>
      <w:r w:rsidRPr="001F36EA">
        <w:t>minute process.</w:t>
      </w:r>
    </w:p>
    <w:p w14:paraId="1ACCB6FC" w14:textId="5C652EFE" w:rsidR="00715BDF" w:rsidRPr="001F36EA" w:rsidRDefault="00715BDF" w:rsidP="001F36EA">
      <w:pPr>
        <w:pStyle w:val="Quote"/>
      </w:pPr>
      <w:r w:rsidRPr="001F36EA">
        <w:t>(jobactive provider or peak body representative in the qualitative research)</w:t>
      </w:r>
    </w:p>
    <w:p w14:paraId="047BBAE0" w14:textId="3728DCFC" w:rsidR="00F24C5E" w:rsidRPr="001F36EA" w:rsidRDefault="00715BDF" w:rsidP="001F4507">
      <w:pPr>
        <w:pStyle w:val="Quote"/>
        <w:contextualSpacing/>
      </w:pPr>
      <w:r w:rsidRPr="001F36EA">
        <w:t>A lot of job seekers answer [the JSCI] in a way that they think will help them get a job</w:t>
      </w:r>
      <w:r w:rsidR="00F24C5E" w:rsidRPr="001F36EA">
        <w:t xml:space="preserve"> </w:t>
      </w:r>
      <w:r w:rsidRPr="001F36EA">
        <w:t>… they’re the ones who could be lost.</w:t>
      </w:r>
    </w:p>
    <w:p w14:paraId="3A94B1DF" w14:textId="3C61A401" w:rsidR="00715BDF" w:rsidRPr="001F36EA" w:rsidRDefault="00715BDF" w:rsidP="001F36EA">
      <w:pPr>
        <w:pStyle w:val="Quote"/>
      </w:pPr>
      <w:r w:rsidRPr="001F36EA">
        <w:t>(jobactive provider or peak body representative in the qualitative research)</w:t>
      </w:r>
    </w:p>
    <w:p w14:paraId="392F2BD5" w14:textId="6D2B38F9" w:rsidR="00D17231" w:rsidRPr="00F71A22" w:rsidRDefault="00715BDF" w:rsidP="001F4507">
      <w:r w:rsidRPr="00F71A22">
        <w:lastRenderedPageBreak/>
        <w:t xml:space="preserve">Providers suggested that the JSCI assessment needed improving to more accurately reflect the level of support required by job seekers. </w:t>
      </w:r>
      <w:r w:rsidR="000A2483">
        <w:t>However, e</w:t>
      </w:r>
      <w:r w:rsidR="00D17231" w:rsidRPr="00BC6EFF">
        <w:t>arly results f</w:t>
      </w:r>
      <w:r w:rsidR="00B05A30" w:rsidRPr="00BC6EFF">
        <w:t xml:space="preserve">rom </w:t>
      </w:r>
      <w:r w:rsidR="00BC6EFF">
        <w:t xml:space="preserve">the </w:t>
      </w:r>
      <w:r w:rsidR="000A2483">
        <w:t xml:space="preserve">separate </w:t>
      </w:r>
      <w:r w:rsidR="00BC6EFF">
        <w:t xml:space="preserve">evaluation of the Online JSCI Trial </w:t>
      </w:r>
      <w:r w:rsidR="00B05A30" w:rsidRPr="00BC6EFF">
        <w:t>show</w:t>
      </w:r>
      <w:r w:rsidR="00D17231" w:rsidRPr="00BC6EFF">
        <w:t xml:space="preserve"> high levels of consistency in JSCI results when they were re-tested in a follow-up survey. This confirms the results of regular departmental assurance of the JSCI.</w:t>
      </w:r>
    </w:p>
    <w:p w14:paraId="7B3D5E6B" w14:textId="7638D959" w:rsidR="005D37E3" w:rsidRPr="00F71A22" w:rsidRDefault="005D37E3" w:rsidP="00D17231">
      <w:pPr>
        <w:pStyle w:val="Heading2"/>
      </w:pPr>
      <w:bookmarkStart w:id="191" w:name="_Toc67042627"/>
      <w:r w:rsidRPr="00F71A22">
        <w:t xml:space="preserve">5.4 </w:t>
      </w:r>
      <w:r w:rsidR="00CB2549" w:rsidRPr="00F71A22">
        <w:t>Understanding participant views of digital servicing</w:t>
      </w:r>
      <w:bookmarkEnd w:id="191"/>
    </w:p>
    <w:p w14:paraId="38A323E3" w14:textId="447647B7" w:rsidR="005D37E3" w:rsidRPr="00F71A22" w:rsidRDefault="005D37E3" w:rsidP="001F4507">
      <w:pPr>
        <w:keepNext/>
      </w:pPr>
      <w:r w:rsidRPr="00F71A22">
        <w:t xml:space="preserve">In addition to providers’ and stakeholders’ views </w:t>
      </w:r>
      <w:r w:rsidR="004E44DF" w:rsidRPr="00F71A22">
        <w:t xml:space="preserve">on who </w:t>
      </w:r>
      <w:r w:rsidR="001A796B">
        <w:t>was</w:t>
      </w:r>
      <w:r w:rsidR="004E44DF" w:rsidRPr="00F71A22">
        <w:t xml:space="preserve"> suitable or not suitable for </w:t>
      </w:r>
      <w:r w:rsidR="000E23B9" w:rsidRPr="00F71A22">
        <w:t>online</w:t>
      </w:r>
      <w:r w:rsidRPr="00F71A22">
        <w:t xml:space="preserve"> servicing</w:t>
      </w:r>
      <w:r w:rsidR="000E23B9" w:rsidRPr="00F71A22">
        <w:t xml:space="preserve">, qualitative </w:t>
      </w:r>
      <w:r w:rsidR="00EF5C20">
        <w:t>research</w:t>
      </w:r>
      <w:r w:rsidR="000E23B9" w:rsidRPr="00F71A22">
        <w:t xml:space="preserve"> identified job seekers most suitable for online servicing</w:t>
      </w:r>
      <w:r w:rsidR="00EF5C20">
        <w:t xml:space="preserve">, namely </w:t>
      </w:r>
      <w:r w:rsidR="000E23B9" w:rsidRPr="00F71A22">
        <w:t>individuals with:</w:t>
      </w:r>
    </w:p>
    <w:p w14:paraId="13124DFC" w14:textId="405809E9" w:rsidR="000E23B9" w:rsidRPr="00F71A22" w:rsidRDefault="000E23B9" w:rsidP="003A2202">
      <w:pPr>
        <w:pStyle w:val="ListBullet"/>
      </w:pPr>
      <w:r w:rsidRPr="00F71A22">
        <w:t>a preference for online servicing</w:t>
      </w:r>
    </w:p>
    <w:p w14:paraId="0C81073D" w14:textId="6ABA83CC" w:rsidR="000E23B9" w:rsidRPr="00F71A22" w:rsidRDefault="000E23B9" w:rsidP="003A2202">
      <w:pPr>
        <w:pStyle w:val="ListBullet"/>
      </w:pPr>
      <w:r w:rsidRPr="00F71A22">
        <w:t xml:space="preserve">perceived self-sufficiency in finding employment – the extent </w:t>
      </w:r>
      <w:r w:rsidR="001A796B">
        <w:t>to which</w:t>
      </w:r>
      <w:r w:rsidRPr="00F71A22">
        <w:t xml:space="preserve"> job seekers felt that they could find employment without assistance.</w:t>
      </w:r>
    </w:p>
    <w:p w14:paraId="787F12C9" w14:textId="20A499C4" w:rsidR="000E23B9" w:rsidRPr="00F71A22" w:rsidRDefault="000E23B9" w:rsidP="005D37E3">
      <w:r w:rsidRPr="00F71A22">
        <w:t>Segmentation analysis was conducted among survey respondents to analyse the relationship between the above factors and other related survey measures to identify and quantify groups of job seekers with similar suitability for online servic</w:t>
      </w:r>
      <w:r w:rsidR="000434F4" w:rsidRPr="00F71A22">
        <w:t>ing</w:t>
      </w:r>
      <w:r w:rsidRPr="00F71A22">
        <w:t xml:space="preserve">. This analysis grouped job seekers who were eligible for OEST into </w:t>
      </w:r>
      <w:r w:rsidR="00611273">
        <w:t>five</w:t>
      </w:r>
      <w:r w:rsidRPr="00F71A22">
        <w:t xml:space="preserve"> segments</w:t>
      </w:r>
      <w:r w:rsidR="004326D2" w:rsidRPr="00F71A22">
        <w:t xml:space="preserve"> (</w:t>
      </w:r>
      <w:r w:rsidR="004326D2" w:rsidRPr="001A796B">
        <w:rPr>
          <w:b/>
          <w:bCs/>
        </w:rPr>
        <w:t>Figure 5.5</w:t>
      </w:r>
      <w:r w:rsidR="004326D2" w:rsidRPr="00F71A22">
        <w:t>)</w:t>
      </w:r>
      <w:r w:rsidRPr="00F71A22">
        <w:t>:</w:t>
      </w:r>
    </w:p>
    <w:p w14:paraId="1E76E573" w14:textId="77777777" w:rsidR="00803324" w:rsidRDefault="002D3B61" w:rsidP="004326D2">
      <w:pPr>
        <w:pStyle w:val="Heading3"/>
        <w:rPr>
          <w:i/>
          <w:iCs/>
        </w:rPr>
      </w:pPr>
      <w:bookmarkStart w:id="192" w:name="_Toc67042628"/>
      <w:bookmarkStart w:id="193" w:name="_Hlk32945279"/>
      <w:r w:rsidRPr="00F71A22">
        <w:t xml:space="preserve">Segment 1: </w:t>
      </w:r>
      <w:r w:rsidRPr="00F71A22">
        <w:rPr>
          <w:i/>
          <w:iCs/>
        </w:rPr>
        <w:t>‘I can find employment myself, and I’d prefer to do it online’</w:t>
      </w:r>
      <w:bookmarkEnd w:id="192"/>
    </w:p>
    <w:p w14:paraId="78B4F76A" w14:textId="4FA15495" w:rsidR="00803324" w:rsidRDefault="000434F4" w:rsidP="000434F4">
      <w:r w:rsidRPr="00F71A22">
        <w:t>T</w:t>
      </w:r>
      <w:r w:rsidR="002D3B61" w:rsidRPr="00F71A22">
        <w:t xml:space="preserve">his segment accounted for </w:t>
      </w:r>
      <w:r w:rsidR="001A796B">
        <w:rPr>
          <w:b/>
          <w:bCs/>
        </w:rPr>
        <w:t>23%</w:t>
      </w:r>
      <w:r w:rsidR="002D3B61" w:rsidRPr="00F71A22">
        <w:t xml:space="preserve"> of eligible job seekers who were looking for work and is characterised by a strong preference for online employment services and </w:t>
      </w:r>
      <w:r w:rsidR="00C26324">
        <w:t xml:space="preserve">by </w:t>
      </w:r>
      <w:r w:rsidR="002D3B61" w:rsidRPr="00F71A22">
        <w:t>high perceived self-sufficiency in terms of finding employment</w:t>
      </w:r>
      <w:r w:rsidR="002341BE" w:rsidRPr="00F71A22">
        <w:t>.</w:t>
      </w:r>
      <w:r w:rsidRPr="00F71A22">
        <w:t xml:space="preserve"> </w:t>
      </w:r>
      <w:r w:rsidR="001A796B">
        <w:t>C</w:t>
      </w:r>
      <w:r w:rsidR="006635E1" w:rsidRPr="00F71A22">
        <w:t xml:space="preserve">ompared with other segments, job seekers in </w:t>
      </w:r>
      <w:r w:rsidRPr="00F71A22">
        <w:t>S</w:t>
      </w:r>
      <w:r w:rsidR="006635E1" w:rsidRPr="00F71A22">
        <w:t>egment</w:t>
      </w:r>
      <w:r w:rsidR="00611273">
        <w:t> </w:t>
      </w:r>
      <w:r w:rsidR="006635E1" w:rsidRPr="00F71A22">
        <w:t>1 were more likely to be:</w:t>
      </w:r>
    </w:p>
    <w:p w14:paraId="7A544522" w14:textId="524D409F" w:rsidR="000434F4" w:rsidRPr="00F71A22" w:rsidRDefault="006635E1" w:rsidP="00FE2F9B">
      <w:pPr>
        <w:pStyle w:val="ListBullet"/>
      </w:pPr>
      <w:r w:rsidRPr="00F71A22">
        <w:t>24 years old or younger (</w:t>
      </w:r>
      <w:r w:rsidR="001A796B">
        <w:t>60%</w:t>
      </w:r>
      <w:r w:rsidRPr="00F71A22">
        <w:t>)</w:t>
      </w:r>
    </w:p>
    <w:p w14:paraId="653BFC8A" w14:textId="77777777" w:rsidR="00803324" w:rsidRDefault="006635E1" w:rsidP="00FE2F9B">
      <w:pPr>
        <w:pStyle w:val="ListBullet"/>
      </w:pPr>
      <w:r w:rsidRPr="00F71A22">
        <w:t>highly educated (tertiary educated or above</w:t>
      </w:r>
      <w:r w:rsidR="00EF5C20">
        <w:t xml:space="preserve"> (</w:t>
      </w:r>
      <w:r w:rsidRPr="00F71A22">
        <w:t>68</w:t>
      </w:r>
      <w:r w:rsidR="001A796B">
        <w:t>%</w:t>
      </w:r>
      <w:r w:rsidRPr="00F71A22">
        <w:t>)</w:t>
      </w:r>
    </w:p>
    <w:p w14:paraId="3A77DEA7" w14:textId="77777777" w:rsidR="00803324" w:rsidRDefault="006635E1" w:rsidP="00FE2F9B">
      <w:pPr>
        <w:pStyle w:val="ListBullet"/>
      </w:pPr>
      <w:r w:rsidRPr="00F71A22">
        <w:t>heavy internet users (80</w:t>
      </w:r>
      <w:r w:rsidR="001A796B">
        <w:t>%</w:t>
      </w:r>
      <w:r w:rsidRPr="00F71A22">
        <w:t>).</w:t>
      </w:r>
    </w:p>
    <w:p w14:paraId="21CC87E4" w14:textId="3BD33020" w:rsidR="00803324" w:rsidRDefault="002D3B61" w:rsidP="004326D2">
      <w:pPr>
        <w:pStyle w:val="Heading3"/>
      </w:pPr>
      <w:bookmarkStart w:id="194" w:name="_Toc67042629"/>
      <w:r w:rsidRPr="00F71A22">
        <w:t xml:space="preserve">Segment </w:t>
      </w:r>
      <w:r w:rsidR="003D09B3">
        <w:t>2</w:t>
      </w:r>
      <w:r w:rsidRPr="00F71A22">
        <w:t xml:space="preserve">: </w:t>
      </w:r>
      <w:r w:rsidRPr="00F71A22">
        <w:rPr>
          <w:i/>
          <w:iCs/>
        </w:rPr>
        <w:t>‘I might need some extra help, but online is more convenient’</w:t>
      </w:r>
      <w:bookmarkEnd w:id="194"/>
    </w:p>
    <w:p w14:paraId="53FFBE3D" w14:textId="7B36A860" w:rsidR="004326D2" w:rsidRPr="00F71A22" w:rsidRDefault="004326D2" w:rsidP="004326D2">
      <w:r w:rsidRPr="00F71A22">
        <w:t>T</w:t>
      </w:r>
      <w:r w:rsidR="002D3B61" w:rsidRPr="00F71A22">
        <w:t xml:space="preserve">his segment comprised </w:t>
      </w:r>
      <w:r w:rsidR="002D3B61" w:rsidRPr="00F71A22">
        <w:rPr>
          <w:b/>
          <w:bCs/>
        </w:rPr>
        <w:t>29</w:t>
      </w:r>
      <w:r w:rsidR="00245F67">
        <w:rPr>
          <w:b/>
          <w:bCs/>
        </w:rPr>
        <w:t xml:space="preserve">% </w:t>
      </w:r>
      <w:r w:rsidR="002D3B61" w:rsidRPr="00F71A22">
        <w:t>of eligible job seekers who were looking for work and is characterised by a strong preference for online employment services</w:t>
      </w:r>
      <w:r w:rsidR="00C26324">
        <w:t xml:space="preserve"> and by</w:t>
      </w:r>
      <w:r w:rsidR="002D3B61" w:rsidRPr="00F71A22">
        <w:t xml:space="preserve"> lower perceived self-sufficiency</w:t>
      </w:r>
      <w:r w:rsidRPr="00F71A22">
        <w:t xml:space="preserve">. </w:t>
      </w:r>
      <w:r w:rsidR="00CF01E0" w:rsidRPr="00F71A22">
        <w:t xml:space="preserve">Job seekers in </w:t>
      </w:r>
      <w:r w:rsidRPr="00F71A22">
        <w:t>S</w:t>
      </w:r>
      <w:r w:rsidR="00CF01E0" w:rsidRPr="00F71A22">
        <w:t>egment 2 were more likely to be</w:t>
      </w:r>
      <w:r w:rsidRPr="00F71A22">
        <w:t>:</w:t>
      </w:r>
    </w:p>
    <w:p w14:paraId="59F105AB" w14:textId="5EC162C8" w:rsidR="004326D2" w:rsidRPr="00F71A22" w:rsidRDefault="00CF01E0" w:rsidP="00FE2F9B">
      <w:pPr>
        <w:pStyle w:val="ListBullet"/>
      </w:pPr>
      <w:r w:rsidRPr="00F71A22">
        <w:t>living in metropolitan areas (80</w:t>
      </w:r>
      <w:r w:rsidR="00245F67">
        <w:t>%</w:t>
      </w:r>
      <w:r w:rsidRPr="00F71A22">
        <w:t>)</w:t>
      </w:r>
    </w:p>
    <w:p w14:paraId="326D24F4" w14:textId="1E3533DF" w:rsidR="004326D2" w:rsidRPr="00F71A22" w:rsidRDefault="00CF01E0" w:rsidP="00FE2F9B">
      <w:pPr>
        <w:pStyle w:val="ListBullet"/>
      </w:pPr>
      <w:r w:rsidRPr="00F71A22">
        <w:lastRenderedPageBreak/>
        <w:t>university educated (33</w:t>
      </w:r>
      <w:r w:rsidR="00245F67">
        <w:t>%</w:t>
      </w:r>
      <w:r w:rsidRPr="00F71A22">
        <w:t>)</w:t>
      </w:r>
    </w:p>
    <w:p w14:paraId="337679F2" w14:textId="77777777" w:rsidR="00803324" w:rsidRDefault="00CF01E0" w:rsidP="00FE2F9B">
      <w:pPr>
        <w:pStyle w:val="ListBullet"/>
      </w:pPr>
      <w:r w:rsidRPr="00F71A22">
        <w:t>currently participating in the OEST (24</w:t>
      </w:r>
      <w:r w:rsidR="00245F67">
        <w:t>%</w:t>
      </w:r>
      <w:r w:rsidRPr="00F71A22">
        <w:t>)</w:t>
      </w:r>
    </w:p>
    <w:p w14:paraId="714A1A76" w14:textId="07ECF433" w:rsidR="00CF01E0" w:rsidRDefault="00CF01E0" w:rsidP="00FE2F9B">
      <w:pPr>
        <w:pStyle w:val="ListBullet"/>
      </w:pPr>
      <w:r w:rsidRPr="00F71A22">
        <w:t xml:space="preserve">in employment services for less than </w:t>
      </w:r>
      <w:r w:rsidR="00611273">
        <w:t>three</w:t>
      </w:r>
      <w:r w:rsidRPr="00F71A22">
        <w:t xml:space="preserve"> months (26</w:t>
      </w:r>
      <w:r w:rsidR="00245F67">
        <w:t>%</w:t>
      </w:r>
      <w:r w:rsidRPr="00F71A22">
        <w:t>).</w:t>
      </w:r>
    </w:p>
    <w:p w14:paraId="5C69E7EC" w14:textId="77777777" w:rsidR="003D09B3" w:rsidRDefault="003D09B3" w:rsidP="003D09B3">
      <w:pPr>
        <w:pStyle w:val="Heading3"/>
      </w:pPr>
      <w:bookmarkStart w:id="195" w:name="_Toc67042630"/>
      <w:r w:rsidRPr="00F71A22">
        <w:t xml:space="preserve">Segment </w:t>
      </w:r>
      <w:r>
        <w:t>3</w:t>
      </w:r>
      <w:r w:rsidRPr="00F71A22">
        <w:t xml:space="preserve">: </w:t>
      </w:r>
      <w:r w:rsidRPr="00F71A22">
        <w:rPr>
          <w:i/>
          <w:iCs/>
        </w:rPr>
        <w:t xml:space="preserve">‘I need extra help, but don’t want the </w:t>
      </w:r>
      <w:r>
        <w:rPr>
          <w:i/>
          <w:iCs/>
        </w:rPr>
        <w:t>inconvenience</w:t>
      </w:r>
      <w:r w:rsidRPr="00F71A22">
        <w:rPr>
          <w:i/>
          <w:iCs/>
        </w:rPr>
        <w:t xml:space="preserve"> of meeting a provider in person’</w:t>
      </w:r>
      <w:bookmarkEnd w:id="195"/>
    </w:p>
    <w:p w14:paraId="65F33E38" w14:textId="39A79888" w:rsidR="003D09B3" w:rsidRDefault="003D09B3" w:rsidP="003D09B3">
      <w:r w:rsidRPr="00F71A22">
        <w:t xml:space="preserve">This segment comprised </w:t>
      </w:r>
      <w:r w:rsidRPr="00F71A22">
        <w:rPr>
          <w:b/>
          <w:bCs/>
        </w:rPr>
        <w:t>8</w:t>
      </w:r>
      <w:r>
        <w:rPr>
          <w:b/>
          <w:bCs/>
        </w:rPr>
        <w:t xml:space="preserve">% </w:t>
      </w:r>
      <w:r w:rsidRPr="00F71A22">
        <w:t xml:space="preserve">of eligible job seekers who were looking for work and </w:t>
      </w:r>
      <w:r>
        <w:t>is</w:t>
      </w:r>
      <w:r w:rsidRPr="00F71A22">
        <w:t xml:space="preserve"> characterised by low perceived self-sufficiency </w:t>
      </w:r>
      <w:r>
        <w:t>and by a</w:t>
      </w:r>
      <w:r w:rsidRPr="00271F5D">
        <w:t xml:space="preserve"> prefer</w:t>
      </w:r>
      <w:r>
        <w:t>ence for</w:t>
      </w:r>
      <w:r w:rsidRPr="00271F5D">
        <w:t xml:space="preserve"> online employment services.</w:t>
      </w:r>
      <w:r>
        <w:t xml:space="preserve"> </w:t>
      </w:r>
      <w:r w:rsidRPr="00E37F8C">
        <w:t xml:space="preserve">Compared </w:t>
      </w:r>
      <w:r>
        <w:t>to other segments, eligible job seeker</w:t>
      </w:r>
      <w:r w:rsidRPr="00E37F8C">
        <w:t xml:space="preserve">s </w:t>
      </w:r>
      <w:r>
        <w:t>in</w:t>
      </w:r>
      <w:r w:rsidRPr="00E37F8C">
        <w:t xml:space="preserve"> </w:t>
      </w:r>
      <w:r>
        <w:t>S</w:t>
      </w:r>
      <w:r w:rsidRPr="00E37F8C">
        <w:t xml:space="preserve">egment </w:t>
      </w:r>
      <w:r w:rsidR="0023482B">
        <w:t>3</w:t>
      </w:r>
      <w:r>
        <w:t xml:space="preserve"> generally</w:t>
      </w:r>
      <w:r w:rsidRPr="00E37F8C">
        <w:t xml:space="preserve"> </w:t>
      </w:r>
      <w:r>
        <w:t>had:</w:t>
      </w:r>
    </w:p>
    <w:p w14:paraId="3FA6E35A" w14:textId="6770810F" w:rsidR="003D09B3" w:rsidRDefault="003D09B3" w:rsidP="00A42677">
      <w:pPr>
        <w:pStyle w:val="ListBullet"/>
      </w:pPr>
      <w:r w:rsidRPr="00E37F8C">
        <w:t xml:space="preserve">lower </w:t>
      </w:r>
      <w:r w:rsidRPr="00482DAD">
        <w:t>educational attainment (Year 12/13 educated or below, 45%)</w:t>
      </w:r>
    </w:p>
    <w:p w14:paraId="006CDAF3" w14:textId="77777777" w:rsidR="003D09B3" w:rsidRDefault="003D09B3" w:rsidP="00A42677">
      <w:pPr>
        <w:pStyle w:val="ListBullet"/>
      </w:pPr>
      <w:r w:rsidRPr="00482DAD">
        <w:t>moderate to light internet usage (40%)</w:t>
      </w:r>
    </w:p>
    <w:p w14:paraId="6B185B4A" w14:textId="77777777" w:rsidR="003D09B3" w:rsidRPr="00482DAD" w:rsidRDefault="003D09B3" w:rsidP="00A42677">
      <w:pPr>
        <w:pStyle w:val="ListBullet"/>
      </w:pPr>
      <w:r w:rsidRPr="00482DAD">
        <w:t>lower likelihood of finding the jobactive website easy to use (68%).</w:t>
      </w:r>
    </w:p>
    <w:p w14:paraId="2481C8B5" w14:textId="77777777" w:rsidR="003D09B3" w:rsidRPr="00F71A22" w:rsidRDefault="003D09B3" w:rsidP="003D09B3">
      <w:pPr>
        <w:pStyle w:val="Heading3"/>
      </w:pPr>
      <w:bookmarkStart w:id="196" w:name="_Toc67042631"/>
      <w:r w:rsidRPr="00F71A22">
        <w:t xml:space="preserve">Segment 4: </w:t>
      </w:r>
      <w:r w:rsidRPr="00F71A22">
        <w:rPr>
          <w:i/>
          <w:iCs/>
        </w:rPr>
        <w:t>‘I need all the help I can get’</w:t>
      </w:r>
      <w:bookmarkEnd w:id="196"/>
    </w:p>
    <w:p w14:paraId="21FD8CFD" w14:textId="77777777" w:rsidR="003D09B3" w:rsidRDefault="003D09B3" w:rsidP="003D09B3">
      <w:r w:rsidRPr="00F71A22">
        <w:t xml:space="preserve">This segment comprised </w:t>
      </w:r>
      <w:r w:rsidRPr="00F71A22">
        <w:rPr>
          <w:b/>
          <w:bCs/>
        </w:rPr>
        <w:t>25</w:t>
      </w:r>
      <w:r>
        <w:rPr>
          <w:b/>
          <w:bCs/>
        </w:rPr>
        <w:t xml:space="preserve">% </w:t>
      </w:r>
      <w:r w:rsidRPr="00F71A22">
        <w:t xml:space="preserve">of eligible job seekers who were looking for work </w:t>
      </w:r>
      <w:r>
        <w:t xml:space="preserve">and is characterised by </w:t>
      </w:r>
      <w:r w:rsidRPr="00F71A22">
        <w:t>low perceived self-sufficiency and</w:t>
      </w:r>
      <w:r>
        <w:t xml:space="preserve"> by</w:t>
      </w:r>
      <w:r w:rsidRPr="00F71A22">
        <w:t xml:space="preserve"> </w:t>
      </w:r>
      <w:r>
        <w:t>a preference for</w:t>
      </w:r>
      <w:r w:rsidRPr="00F71A22">
        <w:t xml:space="preserve"> provider-based employment services. </w:t>
      </w:r>
      <w:r>
        <w:t>This segment consisted of job seeker</w:t>
      </w:r>
      <w:r w:rsidRPr="00E37F8C">
        <w:t xml:space="preserve">s </w:t>
      </w:r>
      <w:r>
        <w:t>who:</w:t>
      </w:r>
    </w:p>
    <w:p w14:paraId="17169975" w14:textId="77777777" w:rsidR="003D09B3" w:rsidRDefault="003D09B3" w:rsidP="00A42677">
      <w:pPr>
        <w:pStyle w:val="ListBullet"/>
      </w:pPr>
      <w:r w:rsidRPr="00E37F8C">
        <w:t>had lower educational attainment (</w:t>
      </w:r>
      <w:r>
        <w:t>Year 12 educated or below</w:t>
      </w:r>
      <w:r w:rsidRPr="00482DAD">
        <w:t>, 44%)</w:t>
      </w:r>
    </w:p>
    <w:p w14:paraId="5909E549" w14:textId="77777777" w:rsidR="003D09B3" w:rsidRDefault="003D09B3" w:rsidP="00A42677">
      <w:pPr>
        <w:pStyle w:val="ListBullet"/>
      </w:pPr>
      <w:r w:rsidRPr="00482DAD">
        <w:t xml:space="preserve">had been involved with employment services for </w:t>
      </w:r>
      <w:r>
        <w:t>six</w:t>
      </w:r>
      <w:r w:rsidRPr="00482DAD">
        <w:t xml:space="preserve"> to </w:t>
      </w:r>
      <w:r>
        <w:t>nine</w:t>
      </w:r>
      <w:r w:rsidRPr="00482DAD">
        <w:t xml:space="preserve"> months (33%)</w:t>
      </w:r>
    </w:p>
    <w:p w14:paraId="2860F3C3" w14:textId="6F192855" w:rsidR="003D09B3" w:rsidRPr="00F71A22" w:rsidRDefault="003D09B3" w:rsidP="00A42677">
      <w:pPr>
        <w:pStyle w:val="ListBullet"/>
      </w:pPr>
      <w:r>
        <w:t xml:space="preserve">had </w:t>
      </w:r>
      <w:r w:rsidRPr="00482DAD">
        <w:t>received provider-based employment services previously (58%).</w:t>
      </w:r>
    </w:p>
    <w:p w14:paraId="5E31F0A7" w14:textId="43295DB0" w:rsidR="004326D2" w:rsidRPr="00F71A22" w:rsidRDefault="002D3B61" w:rsidP="004326D2">
      <w:pPr>
        <w:pStyle w:val="Heading3"/>
      </w:pPr>
      <w:bookmarkStart w:id="197" w:name="_Toc67042632"/>
      <w:r w:rsidRPr="00F71A22">
        <w:t xml:space="preserve">Segment </w:t>
      </w:r>
      <w:r w:rsidR="003D09B3">
        <w:t>5</w:t>
      </w:r>
      <w:r w:rsidRPr="00F71A22">
        <w:t xml:space="preserve">: </w:t>
      </w:r>
      <w:r w:rsidRPr="00F71A22">
        <w:rPr>
          <w:i/>
          <w:iCs/>
        </w:rPr>
        <w:t>‘I could do it myself, but having extra advice and support from an employment service provider could be valuable’</w:t>
      </w:r>
      <w:bookmarkEnd w:id="197"/>
    </w:p>
    <w:p w14:paraId="6D755E9A" w14:textId="228E1B4F" w:rsidR="00803324" w:rsidRDefault="004326D2" w:rsidP="00482DAD">
      <w:r w:rsidRPr="00F71A22">
        <w:t>T</w:t>
      </w:r>
      <w:r w:rsidR="002D3B61" w:rsidRPr="00F71A22">
        <w:t xml:space="preserve">his segment accounted for </w:t>
      </w:r>
      <w:r w:rsidR="00245F67">
        <w:rPr>
          <w:b/>
          <w:bCs/>
        </w:rPr>
        <w:t>15%</w:t>
      </w:r>
      <w:r w:rsidR="002D3B61" w:rsidRPr="00F71A22">
        <w:t xml:space="preserve"> of eligible job seekers who were looking for work and </w:t>
      </w:r>
      <w:r w:rsidR="00245F67">
        <w:t>is characterised by</w:t>
      </w:r>
      <w:r w:rsidR="002341BE" w:rsidRPr="00F71A22">
        <w:t xml:space="preserve"> higher perceived self-sufficiency </w:t>
      </w:r>
      <w:r w:rsidR="00C26324">
        <w:t>and by</w:t>
      </w:r>
      <w:r w:rsidR="00EF5C20">
        <w:t xml:space="preserve"> </w:t>
      </w:r>
      <w:r w:rsidR="00245F67">
        <w:t>a preference for</w:t>
      </w:r>
      <w:r w:rsidR="002341BE" w:rsidRPr="00F71A22">
        <w:t xml:space="preserve"> provider-based</w:t>
      </w:r>
      <w:r w:rsidR="002D3B61" w:rsidRPr="00F71A22">
        <w:t xml:space="preserve"> employment services. </w:t>
      </w:r>
      <w:r w:rsidR="00CF01E0" w:rsidRPr="00F71A22">
        <w:t>These job seekers were more likely to</w:t>
      </w:r>
      <w:r w:rsidRPr="00F71A22">
        <w:t>:</w:t>
      </w:r>
    </w:p>
    <w:p w14:paraId="368DA751" w14:textId="63311812" w:rsidR="004326D2" w:rsidRPr="00F71A22" w:rsidRDefault="00482DAD" w:rsidP="0023482B">
      <w:pPr>
        <w:pStyle w:val="ListBullet"/>
      </w:pPr>
      <w:r>
        <w:t>b</w:t>
      </w:r>
      <w:r w:rsidR="004326D2" w:rsidRPr="00F71A22">
        <w:t xml:space="preserve">e </w:t>
      </w:r>
      <w:r w:rsidR="00CF01E0" w:rsidRPr="00F71A22">
        <w:t>aged 50 or older (27</w:t>
      </w:r>
      <w:r>
        <w:t>%</w:t>
      </w:r>
      <w:r w:rsidR="00CF01E0" w:rsidRPr="00F71A22">
        <w:t>)</w:t>
      </w:r>
    </w:p>
    <w:p w14:paraId="28AE83F9" w14:textId="35153A62" w:rsidR="004326D2" w:rsidRPr="00F71A22" w:rsidRDefault="00CF01E0" w:rsidP="0023482B">
      <w:pPr>
        <w:pStyle w:val="ListBullet"/>
      </w:pPr>
      <w:r w:rsidRPr="00F71A22">
        <w:t>live in regional or remote locations (32</w:t>
      </w:r>
      <w:r w:rsidR="00482DAD">
        <w:t>%</w:t>
      </w:r>
      <w:r w:rsidRPr="00F71A22">
        <w:t>)</w:t>
      </w:r>
    </w:p>
    <w:p w14:paraId="08069FC5" w14:textId="6D32AD53" w:rsidR="00803324" w:rsidRDefault="00CF01E0" w:rsidP="0023482B">
      <w:pPr>
        <w:pStyle w:val="ListBullet"/>
      </w:pPr>
      <w:r w:rsidRPr="00F71A22">
        <w:t xml:space="preserve">have received </w:t>
      </w:r>
      <w:r w:rsidR="00CE1D4C">
        <w:t xml:space="preserve">a </w:t>
      </w:r>
      <w:r w:rsidRPr="00F71A22">
        <w:t>vocational education qualification (45</w:t>
      </w:r>
      <w:r w:rsidR="00482DAD">
        <w:t>%</w:t>
      </w:r>
      <w:r w:rsidRPr="00F71A22">
        <w:t>)</w:t>
      </w:r>
    </w:p>
    <w:p w14:paraId="012FF021" w14:textId="4ABB21A5" w:rsidR="00CF01E0" w:rsidRPr="00F71A22" w:rsidRDefault="00CF01E0" w:rsidP="0023482B">
      <w:pPr>
        <w:pStyle w:val="ListBullet"/>
      </w:pPr>
      <w:r w:rsidRPr="00F71A22">
        <w:lastRenderedPageBreak/>
        <w:t>have received jobactive employment services (57</w:t>
      </w:r>
      <w:r w:rsidR="00482DAD">
        <w:t>%</w:t>
      </w:r>
      <w:r w:rsidRPr="00F71A22">
        <w:t>).</w:t>
      </w:r>
    </w:p>
    <w:p w14:paraId="40C98C17" w14:textId="065D0046" w:rsidR="00CB2549" w:rsidRDefault="00CB2549" w:rsidP="00CB2549">
      <w:pPr>
        <w:pStyle w:val="FigureCaption"/>
      </w:pPr>
      <w:bookmarkStart w:id="198" w:name="_Toc51340580"/>
      <w:bookmarkStart w:id="199" w:name="_Toc67042693"/>
      <w:r w:rsidRPr="00F71A22">
        <w:t>Figure 5.</w:t>
      </w:r>
      <w:r w:rsidR="00D304D9" w:rsidRPr="00F71A22">
        <w:t>5</w:t>
      </w:r>
      <w:r w:rsidRPr="00F71A22">
        <w:t xml:space="preserve"> </w:t>
      </w:r>
      <w:r w:rsidR="00452735" w:rsidRPr="00F71A22">
        <w:t>S</w:t>
      </w:r>
      <w:r w:rsidRPr="00F71A22">
        <w:t>egmentation of job seekers who were eligible for the OEST</w:t>
      </w:r>
      <w:bookmarkEnd w:id="198"/>
      <w:bookmarkEnd w:id="199"/>
    </w:p>
    <w:p w14:paraId="38E033C1" w14:textId="7289D759" w:rsidR="003B67CF" w:rsidRDefault="0000257C" w:rsidP="00A325EC">
      <w:r>
        <w:rPr>
          <w:noProof/>
        </w:rPr>
        <w:drawing>
          <wp:inline distT="0" distB="0" distL="0" distR="0" wp14:anchorId="25F14E0A" wp14:editId="023ACD7B">
            <wp:extent cx="5455920" cy="6166983"/>
            <wp:effectExtent l="0" t="0" r="0" b="0"/>
            <wp:docPr id="13" name="Picture 13" descr="This is a graphical representation of the five segments discussed in this section. As explained above, job seekers who were eligible for the OEST were categorised according to their preference for provider or online servicing versus higher or lower perceived self-su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gmentation Analysis-01.png"/>
                    <pic:cNvPicPr/>
                  </pic:nvPicPr>
                  <pic:blipFill rotWithShape="1">
                    <a:blip r:embed="rId43"/>
                    <a:srcRect l="9078" r="2736"/>
                    <a:stretch/>
                  </pic:blipFill>
                  <pic:spPr bwMode="auto">
                    <a:xfrm>
                      <a:off x="0" y="0"/>
                      <a:ext cx="5463930" cy="6176037"/>
                    </a:xfrm>
                    <a:prstGeom prst="rect">
                      <a:avLst/>
                    </a:prstGeom>
                    <a:ln>
                      <a:noFill/>
                    </a:ln>
                    <a:extLst>
                      <a:ext uri="{53640926-AAD7-44D8-BBD7-CCE9431645EC}">
                        <a14:shadowObscured xmlns:a14="http://schemas.microsoft.com/office/drawing/2010/main"/>
                      </a:ext>
                    </a:extLst>
                  </pic:spPr>
                </pic:pic>
              </a:graphicData>
            </a:graphic>
          </wp:inline>
        </w:drawing>
      </w:r>
    </w:p>
    <w:p w14:paraId="4E777056" w14:textId="7E3A0A98" w:rsidR="00CF01E0" w:rsidRPr="00F71A22" w:rsidRDefault="00CF01E0" w:rsidP="001F4507">
      <w:pPr>
        <w:pStyle w:val="Source"/>
        <w:contextualSpacing/>
      </w:pPr>
      <w:r w:rsidRPr="00F71A22">
        <w:rPr>
          <w:b/>
          <w:bCs/>
        </w:rPr>
        <w:t>Source</w:t>
      </w:r>
      <w:r w:rsidRPr="00F71A22">
        <w:t>: ORIMA</w:t>
      </w:r>
      <w:r w:rsidR="001F24B4" w:rsidRPr="00F71A22">
        <w:t xml:space="preserve"> </w:t>
      </w:r>
      <w:r w:rsidR="009C504F" w:rsidRPr="00F71A22">
        <w:t>quantitative s</w:t>
      </w:r>
      <w:r w:rsidR="001F24B4" w:rsidRPr="00F71A22">
        <w:t>urvey</w:t>
      </w:r>
      <w:r w:rsidR="00C036BB">
        <w:br/>
      </w:r>
      <w:r w:rsidRPr="00F71A22">
        <w:rPr>
          <w:b/>
          <w:bCs/>
        </w:rPr>
        <w:t>Note</w:t>
      </w:r>
      <w:r w:rsidRPr="00F71A22">
        <w:t>: Survey respondents who were eligible for OEST and looking for work, n=2,005</w:t>
      </w:r>
      <w:r w:rsidR="00703ED7">
        <w:t>.</w:t>
      </w:r>
    </w:p>
    <w:p w14:paraId="65731EDB" w14:textId="3B7E35A5" w:rsidR="00144AE4" w:rsidRPr="00F71A22" w:rsidRDefault="00144AE4" w:rsidP="00144AE4">
      <w:pPr>
        <w:pStyle w:val="Heading2"/>
      </w:pPr>
      <w:bookmarkStart w:id="200" w:name="_Toc67042633"/>
      <w:bookmarkEnd w:id="193"/>
      <w:r w:rsidRPr="00F71A22">
        <w:lastRenderedPageBreak/>
        <w:t>5.</w:t>
      </w:r>
      <w:r w:rsidR="005D37E3" w:rsidRPr="00F71A22">
        <w:t>5</w:t>
      </w:r>
      <w:r w:rsidRPr="00F71A22">
        <w:t xml:space="preserve"> </w:t>
      </w:r>
      <w:r w:rsidR="009C29CE" w:rsidRPr="00F71A22">
        <w:t>Participants’ and stakeholders’ s</w:t>
      </w:r>
      <w:r w:rsidRPr="00F71A22">
        <w:t>uggested improvements to online employment services</w:t>
      </w:r>
      <w:bookmarkEnd w:id="200"/>
    </w:p>
    <w:p w14:paraId="75AA4867" w14:textId="77777777" w:rsidR="00482DAD" w:rsidRPr="009B666A" w:rsidRDefault="00482DAD" w:rsidP="00482DAD">
      <w:pPr>
        <w:keepNext/>
      </w:pPr>
      <w:r>
        <w:t>When surveyed, almost half of OEST participants (</w:t>
      </w:r>
      <w:r w:rsidRPr="001261D9">
        <w:rPr>
          <w:b/>
        </w:rPr>
        <w:t>49%</w:t>
      </w:r>
      <w:r>
        <w:t>) offered suggestions for improvement. Stakeholders and jobactive providers</w:t>
      </w:r>
      <w:r w:rsidRPr="00835451">
        <w:t xml:space="preserve"> </w:t>
      </w:r>
      <w:r>
        <w:t xml:space="preserve">also made some suggestions. The most common suggestions from participants </w:t>
      </w:r>
      <w:r w:rsidRPr="009B666A">
        <w:t>were</w:t>
      </w:r>
      <w:r>
        <w:t xml:space="preserve"> to</w:t>
      </w:r>
      <w:r w:rsidRPr="009B666A">
        <w:t>:</w:t>
      </w:r>
    </w:p>
    <w:p w14:paraId="38BC8017" w14:textId="77777777" w:rsidR="00803324" w:rsidRDefault="00482DAD" w:rsidP="00697C2C">
      <w:pPr>
        <w:pStyle w:val="ListBullet"/>
      </w:pPr>
      <w:r>
        <w:t>receive assistance</w:t>
      </w:r>
      <w:r w:rsidRPr="009B666A">
        <w:t xml:space="preserve"> from a ‘real person’ </w:t>
      </w:r>
      <w:r>
        <w:t xml:space="preserve">where needed </w:t>
      </w:r>
      <w:r w:rsidRPr="009B666A">
        <w:t>(</w:t>
      </w:r>
      <w:r w:rsidRPr="001261D9">
        <w:rPr>
          <w:b/>
        </w:rPr>
        <w:t>16%</w:t>
      </w:r>
      <w:r w:rsidRPr="009B666A">
        <w:t>)</w:t>
      </w:r>
    </w:p>
    <w:p w14:paraId="7D521193" w14:textId="23BA2F7C" w:rsidR="00482DAD" w:rsidRPr="009B666A" w:rsidRDefault="00482DAD" w:rsidP="00697C2C">
      <w:pPr>
        <w:pStyle w:val="ListBullet"/>
      </w:pPr>
      <w:r>
        <w:t xml:space="preserve">improve </w:t>
      </w:r>
      <w:r w:rsidRPr="009B666A">
        <w:t>aspects of the jobactive website (</w:t>
      </w:r>
      <w:r w:rsidRPr="001261D9">
        <w:rPr>
          <w:b/>
        </w:rPr>
        <w:t>8%</w:t>
      </w:r>
      <w:r w:rsidRPr="009B666A">
        <w:t>)</w:t>
      </w:r>
    </w:p>
    <w:p w14:paraId="0E7E31BB" w14:textId="77777777" w:rsidR="00803324" w:rsidRDefault="00482DAD" w:rsidP="00697C2C">
      <w:pPr>
        <w:pStyle w:val="ListBullet"/>
      </w:pPr>
      <w:r>
        <w:rPr>
          <w:iCs/>
        </w:rPr>
        <w:t xml:space="preserve">feature </w:t>
      </w:r>
      <w:r w:rsidRPr="009B666A">
        <w:rPr>
          <w:iCs/>
        </w:rPr>
        <w:t>additional</w:t>
      </w:r>
      <w:r w:rsidRPr="009B666A">
        <w:t xml:space="preserve"> jobs </w:t>
      </w:r>
      <w:r>
        <w:t xml:space="preserve">on the </w:t>
      </w:r>
      <w:r w:rsidRPr="009B666A">
        <w:t>website</w:t>
      </w:r>
      <w:r>
        <w:t xml:space="preserve"> (</w:t>
      </w:r>
      <w:r w:rsidRPr="001261D9">
        <w:rPr>
          <w:b/>
        </w:rPr>
        <w:t>8%</w:t>
      </w:r>
      <w:r>
        <w:t>)</w:t>
      </w:r>
    </w:p>
    <w:p w14:paraId="21487D2B" w14:textId="194C5BEF" w:rsidR="00803324" w:rsidRDefault="00482DAD" w:rsidP="00697C2C">
      <w:pPr>
        <w:pStyle w:val="ListBullet"/>
      </w:pPr>
      <w:r>
        <w:t xml:space="preserve">improve </w:t>
      </w:r>
      <w:r w:rsidR="00C26324">
        <w:t xml:space="preserve">the </w:t>
      </w:r>
      <w:r>
        <w:t>quality/suitability of jobs and/or the job search tool (</w:t>
      </w:r>
      <w:r w:rsidRPr="001261D9">
        <w:rPr>
          <w:b/>
        </w:rPr>
        <w:t>5%</w:t>
      </w:r>
      <w:r>
        <w:t>)</w:t>
      </w:r>
    </w:p>
    <w:p w14:paraId="62BC13BE" w14:textId="1A46982C" w:rsidR="00482DAD" w:rsidRDefault="00482DAD" w:rsidP="00697C2C">
      <w:pPr>
        <w:pStyle w:val="ListBullet"/>
      </w:pPr>
      <w:r>
        <w:t>introduce or improve linkages to other (private) job search sites (</w:t>
      </w:r>
      <w:r w:rsidRPr="001261D9">
        <w:rPr>
          <w:b/>
        </w:rPr>
        <w:t>3%</w:t>
      </w:r>
      <w:r>
        <w:t>)</w:t>
      </w:r>
    </w:p>
    <w:p w14:paraId="644E42B4" w14:textId="77777777" w:rsidR="00482DAD" w:rsidRPr="00E70281" w:rsidRDefault="00482DAD" w:rsidP="00697C2C">
      <w:pPr>
        <w:pStyle w:val="ListBullet"/>
      </w:pPr>
      <w:r>
        <w:t>provide</w:t>
      </w:r>
      <w:r w:rsidRPr="009B666A">
        <w:rPr>
          <w:iCs/>
        </w:rPr>
        <w:t xml:space="preserve"> more and clearer information about the OEST (</w:t>
      </w:r>
      <w:r w:rsidRPr="001261D9">
        <w:rPr>
          <w:b/>
          <w:iCs/>
        </w:rPr>
        <w:t>5%</w:t>
      </w:r>
      <w:r>
        <w:rPr>
          <w:iCs/>
        </w:rPr>
        <w:t>).</w:t>
      </w:r>
    </w:p>
    <w:p w14:paraId="34C123B5" w14:textId="77777777" w:rsidR="00803324" w:rsidRDefault="00144AE4" w:rsidP="009C29CE">
      <w:r w:rsidRPr="00F71A22">
        <w:t xml:space="preserve">Suggestions received from participants, </w:t>
      </w:r>
      <w:r w:rsidR="009C29CE" w:rsidRPr="00F71A22">
        <w:t>jobactive</w:t>
      </w:r>
      <w:r w:rsidRPr="00F71A22">
        <w:t xml:space="preserve"> providers and</w:t>
      </w:r>
      <w:r w:rsidR="007A77F0" w:rsidRPr="00F71A22">
        <w:t>/or</w:t>
      </w:r>
      <w:r w:rsidRPr="00F71A22">
        <w:t xml:space="preserve"> </w:t>
      </w:r>
      <w:r w:rsidR="0013526F">
        <w:t xml:space="preserve">other </w:t>
      </w:r>
      <w:r w:rsidRPr="00F71A22">
        <w:t>stakeholders during the qualitative research included:</w:t>
      </w:r>
    </w:p>
    <w:bookmarkEnd w:id="174"/>
    <w:p w14:paraId="3EFC105F" w14:textId="74F6A266" w:rsidR="00482DAD" w:rsidRDefault="00482DAD" w:rsidP="00697C2C">
      <w:pPr>
        <w:pStyle w:val="ListBullet"/>
      </w:pPr>
      <w:r>
        <w:t>having a compulsory guide to or overview of the website when job seekers commence online employment services. This would ensure they were aware of the resources available to them, even if they did not wish to access them immediately</w:t>
      </w:r>
    </w:p>
    <w:p w14:paraId="406DB87E" w14:textId="77777777" w:rsidR="00803324" w:rsidRDefault="00482DAD" w:rsidP="00697C2C">
      <w:pPr>
        <w:pStyle w:val="ListBullet"/>
      </w:pPr>
      <w:r>
        <w:t>conducting the initial assessment of job seeker suitability for online employment servicing face to face to improve screening and better identify barriers that might impact on eligibility for online servicing</w:t>
      </w:r>
    </w:p>
    <w:p w14:paraId="08B2F37F" w14:textId="77777777" w:rsidR="00803324" w:rsidRDefault="00482DAD" w:rsidP="00697C2C">
      <w:pPr>
        <w:pStyle w:val="ListBullet"/>
      </w:pPr>
      <w:r>
        <w:t xml:space="preserve">checking the wellbeing of job seekers at </w:t>
      </w:r>
      <w:r w:rsidR="000A2071">
        <w:t>three</w:t>
      </w:r>
      <w:r>
        <w:t xml:space="preserve"> months</w:t>
      </w:r>
    </w:p>
    <w:p w14:paraId="6CC4D6A4" w14:textId="77777777" w:rsidR="00803324" w:rsidRDefault="00482DAD" w:rsidP="00697C2C">
      <w:pPr>
        <w:pStyle w:val="ListBullet"/>
      </w:pPr>
      <w:r>
        <w:t>providing tailored advice or tips to help improve employment outcomes</w:t>
      </w:r>
    </w:p>
    <w:p w14:paraId="6C52ECD0" w14:textId="77777777" w:rsidR="00803324" w:rsidRDefault="00482DAD" w:rsidP="00697C2C">
      <w:pPr>
        <w:pStyle w:val="ListBullet"/>
      </w:pPr>
      <w:r>
        <w:t>providing more detailed briefings to job seekers about how online employment servicing works at the initial application/assessment interview</w:t>
      </w:r>
    </w:p>
    <w:p w14:paraId="625F36FB" w14:textId="77777777" w:rsidR="00803324" w:rsidRDefault="00482DAD" w:rsidP="00697C2C">
      <w:pPr>
        <w:pStyle w:val="ListBullet"/>
      </w:pPr>
      <w:r>
        <w:t xml:space="preserve">reducing the maximum length of time on online servicing to </w:t>
      </w:r>
      <w:r w:rsidR="000A2071">
        <w:t>three</w:t>
      </w:r>
      <w:r>
        <w:t xml:space="preserve"> to </w:t>
      </w:r>
      <w:r w:rsidR="000A2071">
        <w:t>four</w:t>
      </w:r>
      <w:r>
        <w:t xml:space="preserve"> months</w:t>
      </w:r>
    </w:p>
    <w:p w14:paraId="5CF7A524" w14:textId="4453EAB0" w:rsidR="00482DAD" w:rsidRDefault="00482DAD" w:rsidP="00697C2C">
      <w:pPr>
        <w:pStyle w:val="ListBullet"/>
      </w:pPr>
      <w:r>
        <w:t>including a mechanism (e.g. identifying patterns in administrative data/information recorded on the jobactive website) to identify job seekers who are either not actively looking for jobs (e.g. submitting bulk applications on the last day) or providing poor-quality cover letters, applications or CVs</w:t>
      </w:r>
    </w:p>
    <w:p w14:paraId="2387481F" w14:textId="77777777" w:rsidR="00482DAD" w:rsidRDefault="00482DAD" w:rsidP="00697C2C">
      <w:pPr>
        <w:pStyle w:val="ListBullet"/>
      </w:pPr>
      <w:r>
        <w:lastRenderedPageBreak/>
        <w:t xml:space="preserve">featuring </w:t>
      </w:r>
      <w:r w:rsidRPr="000A7E08">
        <w:t>tips for expa</w:t>
      </w:r>
      <w:r>
        <w:t>nding job seekers’ job search approaches and ensuring job seekers are aware of these resources.</w:t>
      </w:r>
    </w:p>
    <w:p w14:paraId="41453A9E" w14:textId="2C9787F5" w:rsidR="00BD3826" w:rsidRPr="00F71A22" w:rsidRDefault="00873599" w:rsidP="001F4507">
      <w:pPr>
        <w:pStyle w:val="Heading1"/>
      </w:pPr>
      <w:r w:rsidRPr="00F71A22">
        <w:br w:type="page"/>
      </w:r>
      <w:bookmarkStart w:id="201" w:name="_Toc47520143"/>
      <w:bookmarkStart w:id="202" w:name="_Toc49168443"/>
      <w:bookmarkStart w:id="203" w:name="_Toc67042634"/>
      <w:bookmarkStart w:id="204" w:name="_Hlk52356857"/>
      <w:bookmarkStart w:id="205" w:name="_Toc47520154"/>
      <w:bookmarkEnd w:id="0"/>
      <w:r w:rsidR="00BD3826" w:rsidRPr="00F71A22">
        <w:lastRenderedPageBreak/>
        <w:t>Chapter 6</w:t>
      </w:r>
      <w:r w:rsidR="004B37ED" w:rsidRPr="00F71A22">
        <w:t>.</w:t>
      </w:r>
      <w:r w:rsidR="00BD3826" w:rsidRPr="00F71A22">
        <w:t xml:space="preserve"> </w:t>
      </w:r>
      <w:bookmarkEnd w:id="201"/>
      <w:r w:rsidR="00BD3826" w:rsidRPr="002F1941">
        <w:t>Conclusion</w:t>
      </w:r>
      <w:bookmarkEnd w:id="202"/>
      <w:bookmarkEnd w:id="203"/>
    </w:p>
    <w:p w14:paraId="1C440BAB" w14:textId="77777777" w:rsidR="00803324" w:rsidRDefault="00C74738" w:rsidP="00BD3826">
      <w:r w:rsidRPr="00F71A22">
        <w:t>This</w:t>
      </w:r>
      <w:r w:rsidR="00BD3826" w:rsidRPr="00F71A22">
        <w:t xml:space="preserve"> chapter </w:t>
      </w:r>
      <w:r w:rsidR="00873599" w:rsidRPr="00F71A22">
        <w:t>summarise</w:t>
      </w:r>
      <w:r w:rsidRPr="00F71A22">
        <w:t>s</w:t>
      </w:r>
      <w:r w:rsidR="00BD3826" w:rsidRPr="00F71A22">
        <w:t xml:space="preserve"> </w:t>
      </w:r>
      <w:r w:rsidRPr="00F71A22">
        <w:t>findings</w:t>
      </w:r>
      <w:r w:rsidR="00BD3826" w:rsidRPr="00F71A22">
        <w:t xml:space="preserve"> from the </w:t>
      </w:r>
      <w:r w:rsidR="00FC669A" w:rsidRPr="00F71A22">
        <w:t>OEST</w:t>
      </w:r>
      <w:r w:rsidR="00BD3826" w:rsidRPr="00F71A22">
        <w:t xml:space="preserve"> evaluation</w:t>
      </w:r>
      <w:r w:rsidRPr="00F71A22">
        <w:t xml:space="preserve"> and </w:t>
      </w:r>
      <w:r w:rsidR="00BD3826" w:rsidRPr="00F71A22">
        <w:t>consider</w:t>
      </w:r>
      <w:r w:rsidRPr="00F71A22">
        <w:t>s</w:t>
      </w:r>
      <w:r w:rsidR="00BD3826" w:rsidRPr="00F71A22">
        <w:t xml:space="preserve"> </w:t>
      </w:r>
      <w:r w:rsidRPr="00F71A22">
        <w:t xml:space="preserve">any </w:t>
      </w:r>
      <w:r w:rsidR="00BD3826" w:rsidRPr="00F71A22">
        <w:t xml:space="preserve">additional servicing required to meet the needs of job seekers who are disadvantaged in </w:t>
      </w:r>
      <w:r w:rsidRPr="00F71A22">
        <w:t xml:space="preserve">receiving employment services on an </w:t>
      </w:r>
      <w:r w:rsidR="00BD3826" w:rsidRPr="00F71A22">
        <w:t>online</w:t>
      </w:r>
      <w:r w:rsidRPr="00F71A22">
        <w:t xml:space="preserve"> platform</w:t>
      </w:r>
      <w:r w:rsidR="00BD3826" w:rsidRPr="00F71A22">
        <w:t xml:space="preserve">. </w:t>
      </w:r>
      <w:r w:rsidRPr="00F71A22">
        <w:t xml:space="preserve">This report </w:t>
      </w:r>
      <w:r w:rsidR="00BD3826" w:rsidRPr="00F71A22">
        <w:t>conclude</w:t>
      </w:r>
      <w:r w:rsidRPr="00F71A22">
        <w:t>s</w:t>
      </w:r>
      <w:r w:rsidR="00BD3826" w:rsidRPr="00F71A22">
        <w:t xml:space="preserve"> by discussing the relevance of the</w:t>
      </w:r>
      <w:r w:rsidRPr="00F71A22">
        <w:t xml:space="preserve"> OEST</w:t>
      </w:r>
      <w:r w:rsidR="00BD3826" w:rsidRPr="00F71A22">
        <w:t xml:space="preserve"> evaluation to recent changes to the employment service</w:t>
      </w:r>
      <w:r w:rsidR="00FC669A" w:rsidRPr="00F71A22">
        <w:t>s</w:t>
      </w:r>
      <w:r w:rsidR="00BD3826" w:rsidRPr="00F71A22">
        <w:t xml:space="preserve"> model.</w:t>
      </w:r>
    </w:p>
    <w:p w14:paraId="04EAA6D4" w14:textId="0E20D2CF" w:rsidR="00BD3826" w:rsidRPr="00F71A22" w:rsidRDefault="00BD3826" w:rsidP="00BD3826">
      <w:pPr>
        <w:pStyle w:val="Heading2"/>
      </w:pPr>
      <w:bookmarkStart w:id="206" w:name="_Toc67042635"/>
      <w:bookmarkStart w:id="207" w:name="_Toc47520147"/>
      <w:bookmarkStart w:id="208" w:name="_Toc49168446"/>
      <w:r w:rsidRPr="00F71A22">
        <w:t>6.1 What did we learn?</w:t>
      </w:r>
      <w:bookmarkEnd w:id="206"/>
    </w:p>
    <w:p w14:paraId="390EB961" w14:textId="379369A6" w:rsidR="00BD3826" w:rsidRPr="00F71A22" w:rsidRDefault="00BD3826" w:rsidP="00BD3826">
      <w:r w:rsidRPr="00F71A22">
        <w:t xml:space="preserve">Overall, the evaluation </w:t>
      </w:r>
      <w:r w:rsidR="00F82B50" w:rsidRPr="00F71A22">
        <w:t xml:space="preserve">showed </w:t>
      </w:r>
      <w:r w:rsidRPr="00F71A22">
        <w:t xml:space="preserve">online employment servicing has the capacity to deliver efficient </w:t>
      </w:r>
      <w:r w:rsidR="00084AF8" w:rsidRPr="00F71A22">
        <w:t xml:space="preserve">and effective </w:t>
      </w:r>
      <w:r w:rsidRPr="00F71A22">
        <w:t xml:space="preserve">services to the most </w:t>
      </w:r>
      <w:r w:rsidR="0001666F">
        <w:t>job-ready</w:t>
      </w:r>
      <w:r w:rsidRPr="00F71A22">
        <w:t xml:space="preserve"> cohort. </w:t>
      </w:r>
      <w:r w:rsidR="00FC669A" w:rsidRPr="00F71A22">
        <w:t xml:space="preserve">Most OEST participants </w:t>
      </w:r>
      <w:r w:rsidRPr="00F71A22">
        <w:t xml:space="preserve">demonstrated </w:t>
      </w:r>
      <w:r w:rsidR="00FC669A" w:rsidRPr="00F71A22">
        <w:t xml:space="preserve">that </w:t>
      </w:r>
      <w:r w:rsidRPr="00F71A22">
        <w:t xml:space="preserve">they could self-manage their job search and meet their </w:t>
      </w:r>
      <w:r w:rsidR="00C74738" w:rsidRPr="00F71A22">
        <w:t>MORs</w:t>
      </w:r>
      <w:r w:rsidRPr="00F71A22">
        <w:t xml:space="preserve"> </w:t>
      </w:r>
      <w:r w:rsidR="00FC669A" w:rsidRPr="00F71A22">
        <w:t>in</w:t>
      </w:r>
      <w:r w:rsidRPr="00F71A22">
        <w:t xml:space="preserve"> an online platform.</w:t>
      </w:r>
    </w:p>
    <w:p w14:paraId="04EA9815" w14:textId="4972EA7A" w:rsidR="00BD3826" w:rsidRPr="00F71A22" w:rsidRDefault="00BD3826" w:rsidP="00BD3826">
      <w:r w:rsidRPr="00F71A22">
        <w:t>The majority of OEST participants indicated that they we</w:t>
      </w:r>
      <w:r w:rsidR="00FC669A" w:rsidRPr="00F71A22">
        <w:t>re</w:t>
      </w:r>
      <w:r w:rsidRPr="00F71A22">
        <w:t xml:space="preserve"> comfortable operating in an online self-</w:t>
      </w:r>
      <w:r w:rsidR="00C74738" w:rsidRPr="00F71A22">
        <w:t xml:space="preserve">managed </w:t>
      </w:r>
      <w:r w:rsidRPr="00F71A22">
        <w:t xml:space="preserve">environment. A small proportion of job seekers referred to the trial preferred face-to-face contact and opted for </w:t>
      </w:r>
      <w:r w:rsidR="00C74738" w:rsidRPr="00F71A22">
        <w:t>provider-based services.</w:t>
      </w:r>
    </w:p>
    <w:p w14:paraId="4E490296" w14:textId="77777777" w:rsidR="00803324" w:rsidRDefault="00FC669A" w:rsidP="00BD3826">
      <w:r w:rsidRPr="00F71A22">
        <w:t>Both OEST p</w:t>
      </w:r>
      <w:r w:rsidR="00BD3826" w:rsidRPr="00F71A22">
        <w:t xml:space="preserve">articipants </w:t>
      </w:r>
      <w:r w:rsidRPr="00F71A22">
        <w:t xml:space="preserve">and job seekers </w:t>
      </w:r>
      <w:r w:rsidR="00C74738" w:rsidRPr="00F71A22">
        <w:t>in provider servicing</w:t>
      </w:r>
      <w:r w:rsidRPr="00F71A22">
        <w:t xml:space="preserve"> </w:t>
      </w:r>
      <w:r w:rsidR="00BD3826" w:rsidRPr="00F71A22">
        <w:t xml:space="preserve">were aware of their MORs. Over the study period, the compliance of the OEST participants was broadly similar to </w:t>
      </w:r>
      <w:r w:rsidR="00482DAD">
        <w:t xml:space="preserve">that of job </w:t>
      </w:r>
      <w:r w:rsidR="0017079C">
        <w:t>s</w:t>
      </w:r>
      <w:r w:rsidR="00482DAD">
        <w:t>ee</w:t>
      </w:r>
      <w:r w:rsidR="0017079C">
        <w:t>k</w:t>
      </w:r>
      <w:r w:rsidR="00482DAD">
        <w:t>ers</w:t>
      </w:r>
      <w:r w:rsidR="00BD3826" w:rsidRPr="00F71A22">
        <w:t xml:space="preserve"> in </w:t>
      </w:r>
      <w:r w:rsidRPr="00F71A22">
        <w:t>provider</w:t>
      </w:r>
      <w:r w:rsidR="00BD3826" w:rsidRPr="00F71A22">
        <w:t xml:space="preserve"> servicing.</w:t>
      </w:r>
    </w:p>
    <w:p w14:paraId="726EBAD4" w14:textId="798068FF" w:rsidR="00084AF8" w:rsidRPr="00F71A22" w:rsidRDefault="00084AF8" w:rsidP="00BD3826">
      <w:r w:rsidRPr="00F71A22">
        <w:t>Importantly, OEST participants</w:t>
      </w:r>
      <w:r w:rsidR="00096605" w:rsidRPr="00F71A22">
        <w:t xml:space="preserve"> (who were the most </w:t>
      </w:r>
      <w:r w:rsidR="0001666F">
        <w:t>job-ready</w:t>
      </w:r>
      <w:r w:rsidR="00096605" w:rsidRPr="00F71A22">
        <w:t xml:space="preserve"> job seekers)</w:t>
      </w:r>
      <w:r w:rsidRPr="00F71A22">
        <w:t xml:space="preserve"> were as likely to exit income support and employment services as </w:t>
      </w:r>
      <w:r w:rsidR="00096605" w:rsidRPr="00F71A22">
        <w:t xml:space="preserve">Stream A job seekers in the </w:t>
      </w:r>
      <w:r w:rsidRPr="00F71A22">
        <w:t>comparison group in provider-based servicing.</w:t>
      </w:r>
    </w:p>
    <w:p w14:paraId="1075ED17" w14:textId="77777777" w:rsidR="00803324" w:rsidRDefault="00BD3826" w:rsidP="00BD3826">
      <w:r w:rsidRPr="00F71A22">
        <w:t>The OEST was well received by participants. They considered that digital servicing should be the default option, or ‘first option’, for the provision of employment services to job seekers who have just started looking for a job.</w:t>
      </w:r>
    </w:p>
    <w:p w14:paraId="7E0DD3FD" w14:textId="61F50962" w:rsidR="00FD78B7" w:rsidRPr="00F71A22" w:rsidRDefault="00FD78B7" w:rsidP="004B70A7">
      <w:pPr>
        <w:autoSpaceDE w:val="0"/>
        <w:autoSpaceDN w:val="0"/>
      </w:pPr>
      <w:r w:rsidRPr="00F71A22">
        <w:rPr>
          <w:lang w:eastAsia="en-AU"/>
        </w:rPr>
        <w:t xml:space="preserve">While the majority of job seekers were satisfied with the jobactive website, qualitative research identified areas for improvement including enhanced guidance and support, and user friendliness. There is scope for improvement </w:t>
      </w:r>
      <w:r w:rsidR="00FC669A" w:rsidRPr="00F71A22">
        <w:rPr>
          <w:lang w:eastAsia="en-AU"/>
        </w:rPr>
        <w:t>in</w:t>
      </w:r>
      <w:r w:rsidRPr="00F71A22">
        <w:rPr>
          <w:lang w:eastAsia="en-AU"/>
        </w:rPr>
        <w:t xml:space="preserve"> the transition of </w:t>
      </w:r>
      <w:r w:rsidR="00CD31F7" w:rsidRPr="00F71A22">
        <w:rPr>
          <w:lang w:eastAsia="en-AU"/>
        </w:rPr>
        <w:t>participants</w:t>
      </w:r>
      <w:r w:rsidRPr="00F71A22">
        <w:rPr>
          <w:lang w:eastAsia="en-AU"/>
        </w:rPr>
        <w:t xml:space="preserve"> from online employment services into </w:t>
      </w:r>
      <w:r w:rsidR="00CD31F7" w:rsidRPr="00F71A22">
        <w:rPr>
          <w:lang w:eastAsia="en-AU"/>
        </w:rPr>
        <w:t>provider-based employment</w:t>
      </w:r>
      <w:r w:rsidRPr="00F71A22">
        <w:rPr>
          <w:lang w:eastAsia="en-AU"/>
        </w:rPr>
        <w:t xml:space="preserve"> services, including communication </w:t>
      </w:r>
      <w:r w:rsidR="00CD31F7" w:rsidRPr="00F71A22">
        <w:rPr>
          <w:lang w:eastAsia="en-AU"/>
        </w:rPr>
        <w:t>and the</w:t>
      </w:r>
      <w:r w:rsidRPr="00F71A22">
        <w:rPr>
          <w:lang w:eastAsia="en-AU"/>
        </w:rPr>
        <w:t xml:space="preserve"> </w:t>
      </w:r>
      <w:r w:rsidR="00CD31F7" w:rsidRPr="00F71A22">
        <w:rPr>
          <w:lang w:eastAsia="en-AU"/>
        </w:rPr>
        <w:t xml:space="preserve">transition </w:t>
      </w:r>
      <w:r w:rsidRPr="00F71A22">
        <w:rPr>
          <w:lang w:eastAsia="en-AU"/>
        </w:rPr>
        <w:t>proces</w:t>
      </w:r>
      <w:r w:rsidR="00CD31F7" w:rsidRPr="00F71A22">
        <w:rPr>
          <w:lang w:eastAsia="en-AU"/>
        </w:rPr>
        <w:t>s itself.</w:t>
      </w:r>
    </w:p>
    <w:p w14:paraId="738A8306" w14:textId="77777777" w:rsidR="00BD3826" w:rsidRPr="00F71A22" w:rsidRDefault="00BD3826" w:rsidP="00BD3826">
      <w:pPr>
        <w:pStyle w:val="Heading3"/>
      </w:pPr>
      <w:bookmarkStart w:id="209" w:name="_Toc67042636"/>
      <w:r w:rsidRPr="00F71A22">
        <w:t>6.1.1 What worked?</w:t>
      </w:r>
      <w:bookmarkEnd w:id="207"/>
      <w:bookmarkEnd w:id="208"/>
      <w:bookmarkEnd w:id="209"/>
    </w:p>
    <w:p w14:paraId="63F3F209" w14:textId="77777777" w:rsidR="00482DAD" w:rsidRPr="003D2B5C" w:rsidRDefault="00482DAD" w:rsidP="00482DAD">
      <w:r>
        <w:t>As noted in the literature, one key enabler of a successful e-government service is that the system and the necessary infrastructure are reliable and easy to use (</w:t>
      </w:r>
      <w:r w:rsidRPr="00A15E2F">
        <w:t>Colesca, 2009)</w:t>
      </w:r>
      <w:r>
        <w:t xml:space="preserve">. </w:t>
      </w:r>
      <w:r>
        <w:rPr>
          <w:bCs/>
          <w:iCs/>
        </w:rPr>
        <w:t xml:space="preserve">The evaluation </w:t>
      </w:r>
      <w:r w:rsidRPr="00244727">
        <w:rPr>
          <w:bCs/>
          <w:iCs/>
        </w:rPr>
        <w:t>show</w:t>
      </w:r>
      <w:r>
        <w:rPr>
          <w:bCs/>
          <w:iCs/>
        </w:rPr>
        <w:t>s</w:t>
      </w:r>
      <w:r w:rsidRPr="00244727">
        <w:rPr>
          <w:bCs/>
          <w:iCs/>
        </w:rPr>
        <w:t xml:space="preserve"> that </w:t>
      </w:r>
      <w:r>
        <w:rPr>
          <w:bCs/>
          <w:iCs/>
        </w:rPr>
        <w:t>a majority of OEST participants had a positive experience with online servicing. More than</w:t>
      </w:r>
      <w:r w:rsidRPr="00244727">
        <w:rPr>
          <w:bCs/>
          <w:iCs/>
        </w:rPr>
        <w:t xml:space="preserve"> </w:t>
      </w:r>
      <w:r w:rsidRPr="00244727">
        <w:rPr>
          <w:bCs/>
          <w:iCs/>
        </w:rPr>
        <w:lastRenderedPageBreak/>
        <w:t>three</w:t>
      </w:r>
      <w:r>
        <w:rPr>
          <w:bCs/>
          <w:iCs/>
        </w:rPr>
        <w:t>-</w:t>
      </w:r>
      <w:r w:rsidRPr="00244727">
        <w:rPr>
          <w:bCs/>
          <w:iCs/>
        </w:rPr>
        <w:t xml:space="preserve">quarters </w:t>
      </w:r>
      <w:r w:rsidRPr="00244727">
        <w:rPr>
          <w:bCs/>
        </w:rPr>
        <w:t>(</w:t>
      </w:r>
      <w:r w:rsidRPr="001261D9">
        <w:rPr>
          <w:b/>
          <w:bCs/>
        </w:rPr>
        <w:t>80%</w:t>
      </w:r>
      <w:r w:rsidRPr="00244727">
        <w:rPr>
          <w:bCs/>
        </w:rPr>
        <w:t>)</w:t>
      </w:r>
      <w:r>
        <w:rPr>
          <w:bCs/>
        </w:rPr>
        <w:t xml:space="preserve"> of</w:t>
      </w:r>
      <w:r w:rsidRPr="00244727">
        <w:rPr>
          <w:bCs/>
          <w:iCs/>
        </w:rPr>
        <w:t xml:space="preserve"> both OEST</w:t>
      </w:r>
      <w:r>
        <w:rPr>
          <w:bCs/>
          <w:iCs/>
        </w:rPr>
        <w:t xml:space="preserve"> participants</w:t>
      </w:r>
      <w:r w:rsidRPr="00244727">
        <w:rPr>
          <w:bCs/>
          <w:iCs/>
        </w:rPr>
        <w:t xml:space="preserve"> and </w:t>
      </w:r>
      <w:r>
        <w:rPr>
          <w:bCs/>
          <w:iCs/>
        </w:rPr>
        <w:t>provider-serviced job seekers</w:t>
      </w:r>
      <w:r w:rsidRPr="007E7384">
        <w:rPr>
          <w:bCs/>
          <w:iCs/>
        </w:rPr>
        <w:t xml:space="preserve"> </w:t>
      </w:r>
      <w:r>
        <w:rPr>
          <w:bCs/>
          <w:iCs/>
        </w:rPr>
        <w:t>reported they were</w:t>
      </w:r>
      <w:r w:rsidRPr="007E7384">
        <w:rPr>
          <w:bCs/>
          <w:iCs/>
        </w:rPr>
        <w:t xml:space="preserve"> satisfied with the jobactive website</w:t>
      </w:r>
      <w:r>
        <w:rPr>
          <w:bCs/>
          <w:iCs/>
        </w:rPr>
        <w:t>,</w:t>
      </w:r>
      <w:r>
        <w:rPr>
          <w:bCs/>
        </w:rPr>
        <w:t xml:space="preserve"> </w:t>
      </w:r>
      <w:r w:rsidRPr="007E7384">
        <w:rPr>
          <w:bCs/>
        </w:rPr>
        <w:t xml:space="preserve">and only </w:t>
      </w:r>
      <w:r w:rsidRPr="001261D9">
        <w:rPr>
          <w:b/>
          <w:bCs/>
        </w:rPr>
        <w:t>4%</w:t>
      </w:r>
      <w:r>
        <w:rPr>
          <w:bCs/>
        </w:rPr>
        <w:t xml:space="preserve"> were dissatisfied.</w:t>
      </w:r>
    </w:p>
    <w:p w14:paraId="34B30225" w14:textId="41F05970" w:rsidR="00BD3826" w:rsidRPr="00F71A22" w:rsidRDefault="00BD3826" w:rsidP="00BD3826">
      <w:r w:rsidRPr="00F71A22">
        <w:t xml:space="preserve">OEST participants’ job search skills increased over time. Participants demonstrated high levels of confidence in their belief that the assistance they received through the jobactive website would help them secure employment. Importantly, participants were as likely as those in </w:t>
      </w:r>
      <w:r w:rsidR="00CD31F7" w:rsidRPr="00F71A22">
        <w:t>provider</w:t>
      </w:r>
      <w:r w:rsidRPr="00F71A22">
        <w:t xml:space="preserve"> servicing to exit employment services and income support.</w:t>
      </w:r>
    </w:p>
    <w:p w14:paraId="52661CCF" w14:textId="318F10E7" w:rsidR="00BD3826" w:rsidRPr="00F71A22" w:rsidRDefault="00BD3826" w:rsidP="00BD3826">
      <w:pPr>
        <w:pStyle w:val="Heading3"/>
      </w:pPr>
      <w:bookmarkStart w:id="210" w:name="_Toc47520149"/>
      <w:bookmarkStart w:id="211" w:name="_Toc49168448"/>
      <w:bookmarkStart w:id="212" w:name="_Toc67042637"/>
      <w:r w:rsidRPr="00F71A22">
        <w:t xml:space="preserve">6.1.2 Who </w:t>
      </w:r>
      <w:r w:rsidR="001C7ED9" w:rsidRPr="00F71A22">
        <w:t xml:space="preserve">did not </w:t>
      </w:r>
      <w:r w:rsidR="00FE164F" w:rsidRPr="00F71A22">
        <w:t>participate</w:t>
      </w:r>
      <w:r w:rsidRPr="00F71A22">
        <w:t>?</w:t>
      </w:r>
      <w:bookmarkEnd w:id="210"/>
      <w:bookmarkEnd w:id="211"/>
      <w:bookmarkEnd w:id="212"/>
    </w:p>
    <w:p w14:paraId="258B3DE1" w14:textId="6393764C" w:rsidR="00803324" w:rsidRDefault="00A61A8E" w:rsidP="00A61A8E">
      <w:r w:rsidRPr="00F71A22">
        <w:t>During the qualitative research jobactive providers expressed a concern that disadvantaged job seekers were referred to the OEST when they required provider support and assistance. Despite providers’ concerns</w:t>
      </w:r>
      <w:r w:rsidR="0045667F">
        <w:t>,</w:t>
      </w:r>
      <w:r w:rsidRPr="00F71A22">
        <w:t xml:space="preserve"> only </w:t>
      </w:r>
      <w:r w:rsidR="00482DAD">
        <w:t>9%</w:t>
      </w:r>
      <w:r w:rsidRPr="00F71A22">
        <w:t xml:space="preserve"> of job seekers referred to OEST opted out of the trial. The cohorts that opted out tended to be</w:t>
      </w:r>
      <w:r w:rsidR="00885AC9" w:rsidRPr="00F71A22">
        <w:t>:</w:t>
      </w:r>
    </w:p>
    <w:p w14:paraId="06E4C3F3" w14:textId="171541D5" w:rsidR="00A61A8E" w:rsidRPr="00F71A22" w:rsidRDefault="00A61A8E" w:rsidP="00FF7265">
      <w:pPr>
        <w:pStyle w:val="ListBullet"/>
      </w:pPr>
      <w:r w:rsidRPr="00F71A22">
        <w:t xml:space="preserve">those </w:t>
      </w:r>
      <w:r w:rsidR="00885AC9" w:rsidRPr="00F71A22">
        <w:t>with</w:t>
      </w:r>
      <w:r w:rsidRPr="00F71A22">
        <w:t xml:space="preserve"> lower digital literacy or access</w:t>
      </w:r>
    </w:p>
    <w:p w14:paraId="113DFD86" w14:textId="56A044CC" w:rsidR="00A61A8E" w:rsidRPr="00F71A22" w:rsidRDefault="00A61A8E" w:rsidP="00FF7265">
      <w:pPr>
        <w:pStyle w:val="ListBullet"/>
      </w:pPr>
      <w:r w:rsidRPr="00F71A22">
        <w:t xml:space="preserve">those with </w:t>
      </w:r>
      <w:r w:rsidR="00A63EE6" w:rsidRPr="00F71A22">
        <w:t xml:space="preserve">lower </w:t>
      </w:r>
      <w:r w:rsidRPr="00F71A22">
        <w:t>educational attainment</w:t>
      </w:r>
    </w:p>
    <w:p w14:paraId="1233B2A8" w14:textId="77777777" w:rsidR="00A61A8E" w:rsidRPr="00F71A22" w:rsidRDefault="00A61A8E" w:rsidP="00FF7265">
      <w:pPr>
        <w:pStyle w:val="ListBullet"/>
      </w:pPr>
      <w:r w:rsidRPr="00F71A22">
        <w:t>mature aged job seekers</w:t>
      </w:r>
    </w:p>
    <w:p w14:paraId="64599A9D" w14:textId="77777777" w:rsidR="00A61A8E" w:rsidRPr="00F71A22" w:rsidRDefault="00A61A8E" w:rsidP="00FF7265">
      <w:pPr>
        <w:pStyle w:val="ListBullet"/>
      </w:pPr>
      <w:r w:rsidRPr="00F71A22">
        <w:t>those in more regional areas</w:t>
      </w:r>
    </w:p>
    <w:p w14:paraId="5C8D7318" w14:textId="0E532F14" w:rsidR="00A61A8E" w:rsidRPr="00F71A22" w:rsidRDefault="00A61A8E" w:rsidP="00FF7265">
      <w:pPr>
        <w:pStyle w:val="ListBullet"/>
      </w:pPr>
      <w:r w:rsidRPr="00F71A22">
        <w:t>Indigenous job seekers</w:t>
      </w:r>
      <w:r w:rsidR="00885AC9" w:rsidRPr="00F71A22">
        <w:t>.</w:t>
      </w:r>
    </w:p>
    <w:p w14:paraId="6335CC1D" w14:textId="43662052" w:rsidR="00FD2AAF" w:rsidRPr="00F71A22" w:rsidRDefault="00FD2AAF" w:rsidP="00FD2AAF">
      <w:r w:rsidRPr="00F71A22">
        <w:t xml:space="preserve">A solution is being developed for job seekers with low digital literacy </w:t>
      </w:r>
      <w:r w:rsidR="00482DAD">
        <w:t>that is</w:t>
      </w:r>
      <w:r w:rsidRPr="00F71A22">
        <w:t xml:space="preserve"> not identified </w:t>
      </w:r>
      <w:r w:rsidR="00482DAD">
        <w:t>through</w:t>
      </w:r>
      <w:r w:rsidRPr="00F71A22">
        <w:t xml:space="preserve"> the JSCI assessment. The Digital Assessment</w:t>
      </w:r>
      <w:r w:rsidRPr="00F71A22">
        <w:rPr>
          <w:rStyle w:val="FootnoteReference"/>
        </w:rPr>
        <w:footnoteReference w:id="25"/>
      </w:r>
      <w:r w:rsidRPr="00F71A22">
        <w:t xml:space="preserve"> identifies job seekers who may not be able to self-manage their job search and training requirements adequately and encourages them to connect with a provider as appropriate.</w:t>
      </w:r>
    </w:p>
    <w:p w14:paraId="6E8E0D60" w14:textId="77777777" w:rsidR="00BD3826" w:rsidRPr="00F71A22" w:rsidRDefault="00BD3826" w:rsidP="00BD3826">
      <w:pPr>
        <w:pStyle w:val="Heading3"/>
      </w:pPr>
      <w:bookmarkStart w:id="213" w:name="_Toc67042638"/>
      <w:r w:rsidRPr="00F71A22">
        <w:t>6.1.3 Limits of the learnings</w:t>
      </w:r>
      <w:bookmarkEnd w:id="213"/>
    </w:p>
    <w:p w14:paraId="2C2965DF" w14:textId="77777777" w:rsidR="00803324" w:rsidRDefault="00BD3826" w:rsidP="00BD3826">
      <w:r w:rsidRPr="00F71A22">
        <w:t xml:space="preserve">There are </w:t>
      </w:r>
      <w:r w:rsidR="000A2071">
        <w:t>three</w:t>
      </w:r>
      <w:r w:rsidRPr="00F71A22">
        <w:t xml:space="preserve"> major caveats to the above lessons.</w:t>
      </w:r>
    </w:p>
    <w:p w14:paraId="6FEC0073" w14:textId="77777777" w:rsidR="00803324" w:rsidRDefault="00BD3826" w:rsidP="00B60F65">
      <w:pPr>
        <w:pStyle w:val="ListBullet"/>
      </w:pPr>
      <w:bookmarkStart w:id="214" w:name="_Hlk53132650"/>
      <w:r w:rsidRPr="00F71A22">
        <w:t xml:space="preserve">The trial occurred during a </w:t>
      </w:r>
      <w:r w:rsidR="00C16DC7" w:rsidRPr="00F71A22">
        <w:t xml:space="preserve">relatively </w:t>
      </w:r>
      <w:r w:rsidRPr="00F71A22">
        <w:t xml:space="preserve">strong labour market. </w:t>
      </w:r>
      <w:r w:rsidR="0013526F">
        <w:t>Further analysis is required to determine if</w:t>
      </w:r>
      <w:r w:rsidRPr="00F71A22">
        <w:t xml:space="preserve"> the results would be repeated under softer labour market conditions.</w:t>
      </w:r>
    </w:p>
    <w:p w14:paraId="0F0514E2" w14:textId="77777777" w:rsidR="00803324" w:rsidRDefault="00BD3826" w:rsidP="00B60F65">
      <w:pPr>
        <w:pStyle w:val="ListBullet"/>
      </w:pPr>
      <w:r w:rsidRPr="00F71A22">
        <w:lastRenderedPageBreak/>
        <w:t xml:space="preserve">OEST servicing </w:t>
      </w:r>
      <w:r w:rsidR="001C7ED9" w:rsidRPr="00F71A22">
        <w:t>wa</w:t>
      </w:r>
      <w:r w:rsidRPr="00F71A22">
        <w:t xml:space="preserve">s limited to </w:t>
      </w:r>
      <w:r w:rsidR="000A2071">
        <w:t>six</w:t>
      </w:r>
      <w:r w:rsidRPr="00F71A22">
        <w:t xml:space="preserve"> months and </w:t>
      </w:r>
      <w:r w:rsidR="001F4BCB">
        <w:t>the evaluation focused on the analysis within the six</w:t>
      </w:r>
      <w:r w:rsidR="008573ED">
        <w:noBreakHyphen/>
      </w:r>
      <w:r w:rsidR="001F4BCB">
        <w:t>month trial period</w:t>
      </w:r>
      <w:r w:rsidRPr="00F71A22">
        <w:t>.</w:t>
      </w:r>
      <w:r w:rsidR="00475371">
        <w:t xml:space="preserve"> The department will undertake </w:t>
      </w:r>
      <w:r w:rsidR="0013526F">
        <w:t xml:space="preserve">further </w:t>
      </w:r>
      <w:r w:rsidR="00475371">
        <w:t xml:space="preserve">analysis </w:t>
      </w:r>
      <w:r w:rsidR="001F4BCB">
        <w:t xml:space="preserve">on the impact </w:t>
      </w:r>
      <w:r w:rsidR="0013526F">
        <w:t xml:space="preserve">beyond </w:t>
      </w:r>
      <w:r w:rsidR="008573ED">
        <w:t>six</w:t>
      </w:r>
      <w:r w:rsidR="0013526F">
        <w:t xml:space="preserve"> months.</w:t>
      </w:r>
    </w:p>
    <w:p w14:paraId="56EB22D7" w14:textId="4BDA4139" w:rsidR="00BD3826" w:rsidRPr="00F71A22" w:rsidRDefault="00BD3826" w:rsidP="00B60F65">
      <w:pPr>
        <w:pStyle w:val="ListBullet"/>
      </w:pPr>
      <w:r w:rsidRPr="00F71A22">
        <w:t xml:space="preserve">The trial only tells us about the effectiveness of digital services for </w:t>
      </w:r>
      <w:r w:rsidR="0001666F">
        <w:t>job-ready</w:t>
      </w:r>
      <w:r w:rsidRPr="00F71A22">
        <w:t xml:space="preserve"> job seekers. It may be the case that digital servicing is less effective for job seekers with substantial barriers.</w:t>
      </w:r>
    </w:p>
    <w:p w14:paraId="15A469A0" w14:textId="5D0339C8" w:rsidR="00BD3826" w:rsidRPr="00F71A22" w:rsidRDefault="00BD3826" w:rsidP="00BD3826">
      <w:pPr>
        <w:pStyle w:val="Heading2"/>
      </w:pPr>
      <w:bookmarkStart w:id="215" w:name="_Toc47520150"/>
      <w:bookmarkStart w:id="216" w:name="_Toc49168449"/>
      <w:bookmarkStart w:id="217" w:name="_Toc67042639"/>
      <w:bookmarkEnd w:id="214"/>
      <w:r w:rsidRPr="00F71A22">
        <w:t>6.2 Future directions</w:t>
      </w:r>
      <w:bookmarkEnd w:id="215"/>
      <w:bookmarkEnd w:id="216"/>
      <w:bookmarkEnd w:id="217"/>
    </w:p>
    <w:bookmarkEnd w:id="204"/>
    <w:p w14:paraId="73C1496E" w14:textId="78781900" w:rsidR="00A61A8E" w:rsidRPr="00F71A22" w:rsidRDefault="00A61A8E" w:rsidP="00A61A8E">
      <w:pPr>
        <w:autoSpaceDE w:val="0"/>
        <w:autoSpaceDN w:val="0"/>
        <w:adjustRightInd w:val="0"/>
        <w:spacing w:after="0"/>
      </w:pPr>
      <w:r w:rsidRPr="00F71A22">
        <w:t>As discussed in Chapter 1, the use of digital servicing</w:t>
      </w:r>
      <w:r w:rsidR="00406770" w:rsidRPr="00F71A22">
        <w:t xml:space="preserve"> has significantly expanded</w:t>
      </w:r>
      <w:r w:rsidRPr="00F71A22">
        <w:t xml:space="preserve"> since the trial was announced. In particular, the department has </w:t>
      </w:r>
      <w:r w:rsidR="00406770" w:rsidRPr="00F71A22">
        <w:t>been</w:t>
      </w:r>
      <w:r w:rsidRPr="00F71A22">
        <w:t xml:space="preserve"> conducting the New Employment Service</w:t>
      </w:r>
      <w:r w:rsidR="00406770" w:rsidRPr="00F71A22">
        <w:t>s</w:t>
      </w:r>
      <w:r w:rsidRPr="00F71A22">
        <w:t xml:space="preserve"> Trial (NEST) and has rolled out Online Employment Service</w:t>
      </w:r>
      <w:r w:rsidR="00406770" w:rsidRPr="00F71A22">
        <w:t>s</w:t>
      </w:r>
      <w:r w:rsidRPr="00F71A22">
        <w:t xml:space="preserve"> (OES)</w:t>
      </w:r>
      <w:r w:rsidR="0013526F">
        <w:t xml:space="preserve"> in response to the unprecedented demand for employment services </w:t>
      </w:r>
      <w:r w:rsidR="0045667F">
        <w:t xml:space="preserve">created </w:t>
      </w:r>
      <w:r w:rsidR="0013526F">
        <w:t>by the COVID-19 pandemic</w:t>
      </w:r>
      <w:r w:rsidRPr="00F71A22">
        <w:t>. The evaluation of the OEST is timely as it provides insights that will be useful in the continuing rollout of OES and the ongoing development of NESM.</w:t>
      </w:r>
    </w:p>
    <w:p w14:paraId="592B0343" w14:textId="26809B5E" w:rsidR="00A61A8E" w:rsidRPr="00F71A22" w:rsidRDefault="00A61A8E" w:rsidP="00A61A8E">
      <w:r w:rsidRPr="00F71A22">
        <w:t xml:space="preserve">Importantly, this evaluation </w:t>
      </w:r>
      <w:r w:rsidR="0013526F">
        <w:t>provides evidence to support</w:t>
      </w:r>
      <w:r w:rsidR="0013526F" w:rsidRPr="00F71A22">
        <w:t xml:space="preserve"> </w:t>
      </w:r>
      <w:r w:rsidRPr="00F71A22">
        <w:t xml:space="preserve">the approach of providing digital services to the most </w:t>
      </w:r>
      <w:r w:rsidR="0001666F">
        <w:t>job-ready</w:t>
      </w:r>
      <w:r w:rsidRPr="00F71A22">
        <w:t xml:space="preserve"> job seekers, which is used in both the NEST and OES. For the most </w:t>
      </w:r>
      <w:r w:rsidR="0001666F">
        <w:t>job-ready</w:t>
      </w:r>
      <w:r w:rsidRPr="00F71A22">
        <w:t xml:space="preserve"> job</w:t>
      </w:r>
      <w:r w:rsidR="00406770" w:rsidRPr="00F71A22">
        <w:t xml:space="preserve"> </w:t>
      </w:r>
      <w:r w:rsidRPr="00F71A22">
        <w:t xml:space="preserve">seekers online servicing was as successful as </w:t>
      </w:r>
      <w:r w:rsidR="00406770" w:rsidRPr="00F71A22">
        <w:t>provider</w:t>
      </w:r>
      <w:r w:rsidRPr="00F71A22">
        <w:t xml:space="preserve"> servicing in assisting job seekers to find employment.</w:t>
      </w:r>
    </w:p>
    <w:p w14:paraId="01F0A3B8" w14:textId="77777777" w:rsidR="008337B2" w:rsidRDefault="00A61A8E" w:rsidP="008337B2">
      <w:r w:rsidRPr="00F71A22">
        <w:t xml:space="preserve">The evaluation findings are in line with international and local research. They reinforce the view that sensitive assessment remains an important part of connecting job seekers with the right </w:t>
      </w:r>
      <w:r w:rsidR="00885AC9" w:rsidRPr="00F71A22">
        <w:t>assistance</w:t>
      </w:r>
      <w:r w:rsidRPr="00F71A22">
        <w:t xml:space="preserve"> and will be an important part of building online servicing into the broader employment services framework.</w:t>
      </w:r>
    </w:p>
    <w:p w14:paraId="5880EDA9" w14:textId="77777777" w:rsidR="00A61A8E" w:rsidRDefault="00A61A8E" w:rsidP="008337B2">
      <w:r w:rsidRPr="00F71A22">
        <w:t xml:space="preserve">The </w:t>
      </w:r>
      <w:r w:rsidR="00406770" w:rsidRPr="00F71A22">
        <w:t>d</w:t>
      </w:r>
      <w:r w:rsidRPr="00F71A22">
        <w:t xml:space="preserve">epartment is </w:t>
      </w:r>
      <w:r w:rsidR="0013526F">
        <w:t>also</w:t>
      </w:r>
      <w:r w:rsidR="0013526F" w:rsidRPr="00F71A22">
        <w:t xml:space="preserve"> </w:t>
      </w:r>
      <w:r w:rsidRPr="00F71A22">
        <w:t xml:space="preserve">evaluating NEST to gauge how digital servicing for the most </w:t>
      </w:r>
      <w:r w:rsidR="0001666F">
        <w:t>job-ready</w:t>
      </w:r>
      <w:r w:rsidRPr="00F71A22">
        <w:t>, combined with enhanced services for the most disadvantage</w:t>
      </w:r>
      <w:r w:rsidR="008337B2">
        <w:t>d</w:t>
      </w:r>
      <w:r w:rsidRPr="00F71A22">
        <w:t xml:space="preserve">, can lead to better targeting of </w:t>
      </w:r>
      <w:r w:rsidR="00885AC9" w:rsidRPr="00F71A22">
        <w:t>assistance</w:t>
      </w:r>
      <w:r w:rsidRPr="00F71A22">
        <w:t xml:space="preserve"> and improved employment outcomes. The </w:t>
      </w:r>
      <w:r w:rsidR="00406770" w:rsidRPr="00F71A22">
        <w:t>d</w:t>
      </w:r>
      <w:r w:rsidRPr="00F71A22">
        <w:t>epartment will also conduct an evaluation of OES.</w:t>
      </w:r>
    </w:p>
    <w:p w14:paraId="032ECB1A" w14:textId="582D62F1" w:rsidR="003E5202" w:rsidRPr="00F71A22" w:rsidRDefault="00E70281" w:rsidP="008337B2">
      <w:pPr>
        <w:pStyle w:val="Heading1"/>
      </w:pPr>
      <w:r w:rsidRPr="00F71A22">
        <w:br w:type="page"/>
      </w:r>
      <w:bookmarkStart w:id="218" w:name="_Toc67042640"/>
      <w:r w:rsidR="003E5202" w:rsidRPr="00F71A22">
        <w:lastRenderedPageBreak/>
        <w:t>Bibliography</w:t>
      </w:r>
      <w:bookmarkEnd w:id="205"/>
      <w:bookmarkEnd w:id="218"/>
    </w:p>
    <w:p w14:paraId="41B3A3FF" w14:textId="77777777" w:rsidR="00552F59" w:rsidRDefault="00552F59" w:rsidP="001F4507">
      <w:pPr>
        <w:rPr>
          <w:color w:val="007CAF" w:themeColor="accent1" w:themeTint="BF"/>
          <w:u w:val="single"/>
        </w:rPr>
      </w:pPr>
      <w:r w:rsidRPr="00EE341A">
        <w:t xml:space="preserve">Alawadhi, Suha </w:t>
      </w:r>
      <w:r>
        <w:t>and</w:t>
      </w:r>
      <w:r w:rsidRPr="00EE341A">
        <w:t xml:space="preserve"> Morris, Anne (2009). Factors </w:t>
      </w:r>
      <w:r>
        <w:t>i</w:t>
      </w:r>
      <w:r w:rsidRPr="00EE341A">
        <w:t xml:space="preserve">nfluencing the </w:t>
      </w:r>
      <w:r>
        <w:t>a</w:t>
      </w:r>
      <w:r w:rsidRPr="00EE341A">
        <w:t xml:space="preserve">doption of </w:t>
      </w:r>
      <w:r>
        <w:t>e</w:t>
      </w:r>
      <w:r w:rsidRPr="00EE341A">
        <w:t xml:space="preserve">-government </w:t>
      </w:r>
      <w:r>
        <w:t>s</w:t>
      </w:r>
      <w:r w:rsidRPr="00EE341A">
        <w:t xml:space="preserve">ervices. </w:t>
      </w:r>
      <w:r w:rsidRPr="00EE341A">
        <w:rPr>
          <w:i/>
          <w:iCs/>
        </w:rPr>
        <w:t>Journal of Software</w:t>
      </w:r>
      <w:r w:rsidRPr="00EE341A">
        <w:t xml:space="preserve"> 4. </w:t>
      </w:r>
      <w:r>
        <w:t xml:space="preserve">doi: </w:t>
      </w:r>
      <w:r w:rsidRPr="00EE341A">
        <w:t>10.4304/jsw.4.6.584-590.</w:t>
      </w:r>
      <w:r>
        <w:t xml:space="preserve"> </w:t>
      </w:r>
      <w:hyperlink r:id="rId44" w:history="1">
        <w:r w:rsidRPr="00786E7A">
          <w:rPr>
            <w:rStyle w:val="Hyperlink"/>
            <w:rFonts w:ascii="Calibri" w:hAnsi="Calibri" w:cs="Calibri"/>
          </w:rPr>
          <w:t>https://www.researchgate.net/profile/Suha_Alawadhi/publication/42804639_Factors_Influencing_the_Adoption_of_E-government_Services/links/54f2cf100cf2b36214b2d56c/Factors-Influencing-the-Adoption-of-E-government-Services.pdf</w:t>
        </w:r>
      </w:hyperlink>
    </w:p>
    <w:p w14:paraId="23A747DA" w14:textId="77777777" w:rsidR="00552F59" w:rsidRPr="009C3A46" w:rsidRDefault="00552F59" w:rsidP="001F4507">
      <w:pPr>
        <w:rPr>
          <w:color w:val="007CAF" w:themeColor="accent1" w:themeTint="BF"/>
          <w:u w:val="single"/>
        </w:rPr>
      </w:pPr>
      <w:r w:rsidRPr="00C8524C">
        <w:t>Anzai, Y and Simon, HA (1979)</w:t>
      </w:r>
      <w:r>
        <w:t>.</w:t>
      </w:r>
      <w:r w:rsidRPr="00C8524C">
        <w:t xml:space="preserve"> The </w:t>
      </w:r>
      <w:r>
        <w:t>t</w:t>
      </w:r>
      <w:r w:rsidRPr="00C8524C">
        <w:t xml:space="preserve">heory of </w:t>
      </w:r>
      <w:r>
        <w:t>l</w:t>
      </w:r>
      <w:r w:rsidRPr="00C8524C">
        <w:t xml:space="preserve">earning by </w:t>
      </w:r>
      <w:r>
        <w:t>d</w:t>
      </w:r>
      <w:r w:rsidRPr="00C8524C">
        <w:t>oing</w:t>
      </w:r>
      <w:r w:rsidRPr="003C1A37">
        <w:t>.</w:t>
      </w:r>
      <w:r w:rsidRPr="001261D9">
        <w:rPr>
          <w:i/>
          <w:color w:val="007CAF" w:themeColor="accent1" w:themeTint="BF"/>
          <w:u w:val="single"/>
        </w:rPr>
        <w:t xml:space="preserve"> </w:t>
      </w:r>
      <w:r w:rsidRPr="001261D9">
        <w:t>Psychological Review 86</w:t>
      </w:r>
      <w:r w:rsidRPr="001261D9">
        <w:rPr>
          <w:iCs/>
        </w:rPr>
        <w:t>(2</w:t>
      </w:r>
      <w:r w:rsidRPr="001261D9">
        <w:t>)</w:t>
      </w:r>
      <w:r w:rsidRPr="003C1A37">
        <w:t>:</w:t>
      </w:r>
      <w:r w:rsidRPr="001261D9">
        <w:t xml:space="preserve"> 124–140.</w:t>
      </w:r>
      <w:r>
        <w:rPr>
          <w:rFonts w:ascii="Helvetica" w:hAnsi="Helvetica" w:cs="Helvetica"/>
          <w:color w:val="333333"/>
          <w:sz w:val="21"/>
          <w:szCs w:val="21"/>
          <w:lang w:val="en"/>
        </w:rPr>
        <w:t xml:space="preserve"> </w:t>
      </w:r>
      <w:hyperlink r:id="rId45" w:history="1">
        <w:r w:rsidRPr="000659BC">
          <w:rPr>
            <w:rStyle w:val="Hyperlink"/>
            <w:rFonts w:ascii="Calibri" w:hAnsi="Calibri" w:cs="Calibri"/>
          </w:rPr>
          <w:t>https://psycnet.apa.org/record/1979-27801-001</w:t>
        </w:r>
      </w:hyperlink>
    </w:p>
    <w:p w14:paraId="30A2077C" w14:textId="77777777" w:rsidR="00552F59" w:rsidRDefault="00552F59" w:rsidP="001F4507">
      <w:pPr>
        <w:rPr>
          <w:shd w:val="clear" w:color="auto" w:fill="FFFFFF"/>
        </w:rPr>
      </w:pPr>
      <w:r>
        <w:rPr>
          <w:shd w:val="clear" w:color="auto" w:fill="FFFFFF"/>
        </w:rPr>
        <w:t xml:space="preserve">Australian Government (2019). </w:t>
      </w:r>
      <w:r w:rsidRPr="00552F59">
        <w:rPr>
          <w:shd w:val="clear" w:color="auto" w:fill="FFFFFF"/>
        </w:rPr>
        <w:t>Be Connected</w:t>
      </w:r>
      <w:r w:rsidRPr="00552F59">
        <w:rPr>
          <w:sz w:val="20"/>
          <w:szCs w:val="20"/>
          <w:shd w:val="clear" w:color="auto" w:fill="FFFFFF"/>
        </w:rPr>
        <w:t xml:space="preserve"> </w:t>
      </w:r>
      <w:r>
        <w:rPr>
          <w:shd w:val="clear" w:color="auto" w:fill="FFFFFF"/>
        </w:rPr>
        <w:t>[website]</w:t>
      </w:r>
      <w:r w:rsidRPr="00EE341A">
        <w:rPr>
          <w:shd w:val="clear" w:color="auto" w:fill="FFFFFF"/>
        </w:rPr>
        <w:t xml:space="preserve">. </w:t>
      </w:r>
      <w:hyperlink r:id="rId46" w:history="1">
        <w:r w:rsidRPr="00EE341A">
          <w:rPr>
            <w:rStyle w:val="Hyperlink"/>
            <w:rFonts w:ascii="Calibri" w:hAnsi="Calibri" w:cs="Calibri"/>
            <w:shd w:val="clear" w:color="auto" w:fill="FFFFFF"/>
          </w:rPr>
          <w:t>https://beconnected.esafety.gov.au/</w:t>
        </w:r>
      </w:hyperlink>
      <w:r>
        <w:rPr>
          <w:shd w:val="clear" w:color="auto" w:fill="FFFFFF"/>
        </w:rPr>
        <w:t xml:space="preserve"> [accessed 8 </w:t>
      </w:r>
      <w:r w:rsidRPr="00EE341A">
        <w:rPr>
          <w:shd w:val="clear" w:color="auto" w:fill="FFFFFF"/>
        </w:rPr>
        <w:t>November 2019</w:t>
      </w:r>
      <w:r>
        <w:rPr>
          <w:shd w:val="clear" w:color="auto" w:fill="FFFFFF"/>
        </w:rPr>
        <w:t>]</w:t>
      </w:r>
    </w:p>
    <w:p w14:paraId="60F18FAC" w14:textId="470BF425" w:rsidR="003D180E" w:rsidRDefault="00ED3569" w:rsidP="001F4507">
      <w:pPr>
        <w:rPr>
          <w:color w:val="007CAF" w:themeColor="accent1" w:themeTint="BF"/>
          <w:u w:val="single"/>
          <w:shd w:val="clear" w:color="auto" w:fill="FFFFFF"/>
        </w:rPr>
      </w:pPr>
      <w:r w:rsidRPr="00F71A22">
        <w:rPr>
          <w:shd w:val="clear" w:color="auto" w:fill="FFFFFF"/>
        </w:rPr>
        <w:t xml:space="preserve">Australian </w:t>
      </w:r>
      <w:r>
        <w:rPr>
          <w:shd w:val="clear" w:color="auto" w:fill="FFFFFF"/>
        </w:rPr>
        <w:t xml:space="preserve">Public Service Commission </w:t>
      </w:r>
      <w:r w:rsidRPr="00F71A22">
        <w:rPr>
          <w:shd w:val="clear" w:color="auto" w:fill="FFFFFF"/>
        </w:rPr>
        <w:t>(201</w:t>
      </w:r>
      <w:r>
        <w:rPr>
          <w:shd w:val="clear" w:color="auto" w:fill="FFFFFF"/>
        </w:rPr>
        <w:t>8</w:t>
      </w:r>
      <w:r w:rsidRPr="00552F59">
        <w:rPr>
          <w:shd w:val="clear" w:color="auto" w:fill="FFFFFF"/>
        </w:rPr>
        <w:t>). Australian Government use of information and communication technology.</w:t>
      </w:r>
      <w:r w:rsidRPr="00F71A22">
        <w:rPr>
          <w:shd w:val="clear" w:color="auto" w:fill="FFFFFF"/>
        </w:rPr>
        <w:t xml:space="preserve"> Canberra. </w:t>
      </w:r>
      <w:hyperlink r:id="rId47" w:history="1">
        <w:r w:rsidR="003D180E" w:rsidRPr="003655E5">
          <w:rPr>
            <w:rStyle w:val="Hyperlink"/>
            <w:rFonts w:ascii="Calibri" w:hAnsi="Calibri" w:cs="Calibri"/>
            <w:shd w:val="clear" w:color="auto" w:fill="FFFFFF"/>
          </w:rPr>
          <w:t>https://www.apsc.gov.au/australian-government-use-information-and-communication-technology</w:t>
        </w:r>
      </w:hyperlink>
    </w:p>
    <w:p w14:paraId="7C079F3C" w14:textId="77777777" w:rsidR="00552F59" w:rsidRDefault="00552F59" w:rsidP="001F4507">
      <w:pPr>
        <w:rPr>
          <w:shd w:val="clear" w:color="auto" w:fill="FFFFFF"/>
        </w:rPr>
      </w:pPr>
      <w:r w:rsidRPr="00EE341A">
        <w:rPr>
          <w:shd w:val="clear" w:color="auto" w:fill="FFFFFF"/>
        </w:rPr>
        <w:t>Australian Institute of Health and Welfare (2019). </w:t>
      </w:r>
      <w:r w:rsidRPr="001261D9">
        <w:rPr>
          <w:iCs/>
          <w:shd w:val="clear" w:color="auto" w:fill="FFFFFF"/>
        </w:rPr>
        <w:t xml:space="preserve">Older Australia at a </w:t>
      </w:r>
      <w:r>
        <w:rPr>
          <w:iCs/>
          <w:shd w:val="clear" w:color="auto" w:fill="FFFFFF"/>
        </w:rPr>
        <w:t>g</w:t>
      </w:r>
      <w:r w:rsidRPr="001261D9">
        <w:rPr>
          <w:iCs/>
          <w:shd w:val="clear" w:color="auto" w:fill="FFFFFF"/>
        </w:rPr>
        <w:t xml:space="preserve">lance: Australia’s </w:t>
      </w:r>
      <w:r>
        <w:rPr>
          <w:iCs/>
          <w:shd w:val="clear" w:color="auto" w:fill="FFFFFF"/>
        </w:rPr>
        <w:t>c</w:t>
      </w:r>
      <w:r w:rsidRPr="001261D9">
        <w:rPr>
          <w:iCs/>
          <w:shd w:val="clear" w:color="auto" w:fill="FFFFFF"/>
        </w:rPr>
        <w:t xml:space="preserve">hanging </w:t>
      </w:r>
      <w:r>
        <w:rPr>
          <w:iCs/>
          <w:shd w:val="clear" w:color="auto" w:fill="FFFFFF"/>
        </w:rPr>
        <w:t>a</w:t>
      </w:r>
      <w:r w:rsidRPr="001261D9">
        <w:rPr>
          <w:iCs/>
          <w:shd w:val="clear" w:color="auto" w:fill="FFFFFF"/>
        </w:rPr>
        <w:t xml:space="preserve">ge and </w:t>
      </w:r>
      <w:r>
        <w:rPr>
          <w:iCs/>
          <w:shd w:val="clear" w:color="auto" w:fill="FFFFFF"/>
        </w:rPr>
        <w:t>g</w:t>
      </w:r>
      <w:r w:rsidRPr="001261D9">
        <w:rPr>
          <w:iCs/>
          <w:shd w:val="clear" w:color="auto" w:fill="FFFFFF"/>
        </w:rPr>
        <w:t xml:space="preserve">ender </w:t>
      </w:r>
      <w:r>
        <w:rPr>
          <w:iCs/>
          <w:shd w:val="clear" w:color="auto" w:fill="FFFFFF"/>
        </w:rPr>
        <w:t>p</w:t>
      </w:r>
      <w:r w:rsidRPr="001261D9">
        <w:rPr>
          <w:iCs/>
          <w:shd w:val="clear" w:color="auto" w:fill="FFFFFF"/>
        </w:rPr>
        <w:t>rofile</w:t>
      </w:r>
      <w:r w:rsidRPr="00EE341A">
        <w:rPr>
          <w:shd w:val="clear" w:color="auto" w:fill="FFFFFF"/>
        </w:rPr>
        <w:t xml:space="preserve"> [online]</w:t>
      </w:r>
      <w:r>
        <w:rPr>
          <w:shd w:val="clear" w:color="auto" w:fill="FFFFFF"/>
        </w:rPr>
        <w:t>.</w:t>
      </w:r>
      <w:r w:rsidRPr="00EE341A">
        <w:rPr>
          <w:shd w:val="clear" w:color="auto" w:fill="FFFFFF"/>
        </w:rPr>
        <w:t xml:space="preserve"> </w:t>
      </w:r>
      <w:hyperlink r:id="rId48" w:history="1">
        <w:r w:rsidRPr="001261D9">
          <w:rPr>
            <w:rStyle w:val="Hyperlink"/>
            <w:rFonts w:ascii="Calibri" w:hAnsi="Calibri" w:cs="Calibri"/>
          </w:rPr>
          <w:t>https://www.aihw.gov.au/reports/older-people/older-australia-at-a-glance/contents/demographics-of-older-australians/australia-s-changing-age-and-gender-profile</w:t>
        </w:r>
      </w:hyperlink>
      <w:r w:rsidRPr="001261D9">
        <w:t xml:space="preserve"> </w:t>
      </w:r>
      <w:r w:rsidRPr="003C1A37">
        <w:rPr>
          <w:shd w:val="clear" w:color="auto" w:fill="FFFFFF"/>
        </w:rPr>
        <w:t>[a</w:t>
      </w:r>
      <w:r w:rsidRPr="001261D9">
        <w:t>ccessed 19 D</w:t>
      </w:r>
      <w:r w:rsidRPr="003C1A37">
        <w:rPr>
          <w:shd w:val="clear" w:color="auto" w:fill="FFFFFF"/>
        </w:rPr>
        <w:t>ecember</w:t>
      </w:r>
      <w:r w:rsidRPr="001261D9">
        <w:t xml:space="preserve"> 2019]</w:t>
      </w:r>
    </w:p>
    <w:p w14:paraId="4B74C100" w14:textId="77777777" w:rsidR="00552F59" w:rsidRPr="00EE341A" w:rsidRDefault="00552F59" w:rsidP="001F4507">
      <w:r>
        <w:rPr>
          <w:color w:val="000000"/>
          <w:shd w:val="clear" w:color="auto" w:fill="FFFFFF"/>
        </w:rPr>
        <w:t xml:space="preserve">Australian Taxation Office (2019). </w:t>
      </w:r>
      <w:r w:rsidRPr="00EE341A">
        <w:rPr>
          <w:color w:val="000000"/>
          <w:shd w:val="clear" w:color="auto" w:fill="FFFFFF"/>
        </w:rPr>
        <w:t>The four pillars of compliance</w:t>
      </w:r>
      <w:r>
        <w:rPr>
          <w:color w:val="000000"/>
          <w:shd w:val="clear" w:color="auto" w:fill="FFFFFF"/>
        </w:rPr>
        <w:t xml:space="preserve"> [online].</w:t>
      </w:r>
      <w:r w:rsidRPr="00EE341A">
        <w:rPr>
          <w:color w:val="000000"/>
          <w:shd w:val="clear" w:color="auto" w:fill="FFFFFF"/>
        </w:rPr>
        <w:t xml:space="preserve"> </w:t>
      </w:r>
      <w:hyperlink r:id="rId49" w:history="1">
        <w:r w:rsidRPr="00814BE2">
          <w:rPr>
            <w:rStyle w:val="Hyperlink"/>
            <w:rFonts w:ascii="Calibri" w:hAnsi="Calibri" w:cs="Calibri"/>
            <w:shd w:val="clear" w:color="auto" w:fill="FFFFFF"/>
          </w:rPr>
          <w:t>https://www.ato.gov.au/General/Tax-and-individuals---not-in-business/In-detail/The-four-pillars-of-compliance/</w:t>
        </w:r>
      </w:hyperlink>
      <w:r w:rsidRPr="00937931">
        <w:rPr>
          <w:color w:val="000000"/>
          <w:shd w:val="clear" w:color="auto" w:fill="FFFFFF"/>
        </w:rPr>
        <w:t xml:space="preserve"> [</w:t>
      </w:r>
      <w:r>
        <w:rPr>
          <w:color w:val="000000"/>
          <w:shd w:val="clear" w:color="auto" w:fill="FFFFFF"/>
        </w:rPr>
        <w:t xml:space="preserve">accessed </w:t>
      </w:r>
      <w:r>
        <w:t>8 July 2020]</w:t>
      </w:r>
    </w:p>
    <w:p w14:paraId="459394AC" w14:textId="77777777" w:rsidR="00552F59" w:rsidRPr="00EE341A" w:rsidRDefault="00552F59" w:rsidP="001F4507">
      <w:pPr>
        <w:rPr>
          <w:shd w:val="clear" w:color="auto" w:fill="FFFFFF"/>
        </w:rPr>
      </w:pPr>
      <w:bookmarkStart w:id="219" w:name="_Toc47520155"/>
      <w:r w:rsidRPr="00EE341A">
        <w:rPr>
          <w:shd w:val="clear" w:color="auto" w:fill="FFFFFF"/>
        </w:rPr>
        <w:t xml:space="preserve">Barth, M </w:t>
      </w:r>
      <w:r>
        <w:rPr>
          <w:shd w:val="clear" w:color="auto" w:fill="FFFFFF"/>
        </w:rPr>
        <w:t>and</w:t>
      </w:r>
      <w:r w:rsidRPr="00EE341A">
        <w:rPr>
          <w:shd w:val="clear" w:color="auto" w:fill="FFFFFF"/>
        </w:rPr>
        <w:t xml:space="preserve"> Veit, D (2011). Electronic </w:t>
      </w:r>
      <w:r>
        <w:rPr>
          <w:shd w:val="clear" w:color="auto" w:fill="FFFFFF"/>
        </w:rPr>
        <w:t>s</w:t>
      </w:r>
      <w:r w:rsidRPr="00EE341A">
        <w:rPr>
          <w:shd w:val="clear" w:color="auto" w:fill="FFFFFF"/>
        </w:rPr>
        <w:t xml:space="preserve">ervice </w:t>
      </w:r>
      <w:r>
        <w:rPr>
          <w:shd w:val="clear" w:color="auto" w:fill="FFFFFF"/>
        </w:rPr>
        <w:t>d</w:t>
      </w:r>
      <w:r w:rsidRPr="00EE341A">
        <w:rPr>
          <w:shd w:val="clear" w:color="auto" w:fill="FFFFFF"/>
        </w:rPr>
        <w:t xml:space="preserve">elivery in the </w:t>
      </w:r>
      <w:r>
        <w:rPr>
          <w:shd w:val="clear" w:color="auto" w:fill="FFFFFF"/>
        </w:rPr>
        <w:t>p</w:t>
      </w:r>
      <w:r w:rsidRPr="00EE341A">
        <w:rPr>
          <w:shd w:val="clear" w:color="auto" w:fill="FFFFFF"/>
        </w:rPr>
        <w:t xml:space="preserve">ublic </w:t>
      </w:r>
      <w:r>
        <w:rPr>
          <w:shd w:val="clear" w:color="auto" w:fill="FFFFFF"/>
        </w:rPr>
        <w:t>s</w:t>
      </w:r>
      <w:r w:rsidRPr="00EE341A">
        <w:rPr>
          <w:shd w:val="clear" w:color="auto" w:fill="FFFFFF"/>
        </w:rPr>
        <w:t xml:space="preserve">ector: </w:t>
      </w:r>
      <w:r>
        <w:rPr>
          <w:shd w:val="clear" w:color="auto" w:fill="FFFFFF"/>
        </w:rPr>
        <w:t>U</w:t>
      </w:r>
      <w:r w:rsidRPr="00EE341A">
        <w:rPr>
          <w:shd w:val="clear" w:color="auto" w:fill="FFFFFF"/>
        </w:rPr>
        <w:t xml:space="preserve">nderstanding the </w:t>
      </w:r>
      <w:r>
        <w:rPr>
          <w:shd w:val="clear" w:color="auto" w:fill="FFFFFF"/>
        </w:rPr>
        <w:t>v</w:t>
      </w:r>
      <w:r w:rsidRPr="00EE341A">
        <w:rPr>
          <w:shd w:val="clear" w:color="auto" w:fill="FFFFFF"/>
        </w:rPr>
        <w:t xml:space="preserve">ariance of </w:t>
      </w:r>
      <w:r>
        <w:rPr>
          <w:shd w:val="clear" w:color="auto" w:fill="FFFFFF"/>
        </w:rPr>
        <w:t>c</w:t>
      </w:r>
      <w:r w:rsidRPr="00EE341A">
        <w:rPr>
          <w:shd w:val="clear" w:color="auto" w:fill="FFFFFF"/>
        </w:rPr>
        <w:t xml:space="preserve">itizens’ </w:t>
      </w:r>
      <w:r>
        <w:rPr>
          <w:shd w:val="clear" w:color="auto" w:fill="FFFFFF"/>
        </w:rPr>
        <w:t>r</w:t>
      </w:r>
      <w:r w:rsidRPr="00EE341A">
        <w:rPr>
          <w:shd w:val="clear" w:color="auto" w:fill="FFFFFF"/>
        </w:rPr>
        <w:t xml:space="preserve">esistance. In </w:t>
      </w:r>
      <w:r w:rsidRPr="00EE341A">
        <w:rPr>
          <w:i/>
          <w:iCs/>
          <w:shd w:val="clear" w:color="auto" w:fill="FFFFFF"/>
        </w:rPr>
        <w:t>Hawaii International Conference on System Sciences</w:t>
      </w:r>
      <w:r w:rsidRPr="00EE341A">
        <w:rPr>
          <w:shd w:val="clear" w:color="auto" w:fill="FFFFFF"/>
        </w:rPr>
        <w:t>. Kauai, USA.</w:t>
      </w:r>
      <w:r>
        <w:rPr>
          <w:shd w:val="clear" w:color="auto" w:fill="FFFFFF"/>
        </w:rPr>
        <w:t xml:space="preserve"> </w:t>
      </w:r>
      <w:hyperlink r:id="rId50" w:history="1">
        <w:r>
          <w:rPr>
            <w:rStyle w:val="Hyperlink"/>
          </w:rPr>
          <w:t>https://www.researchgate.net/publication/224221252_Electronic_Service_Delivery_in_the_Public_Sector_Understanding_the_Variance_of_Citizens'_Resistance</w:t>
        </w:r>
      </w:hyperlink>
      <w:r>
        <w:t xml:space="preserve"> [accessed 7 July 2020]</w:t>
      </w:r>
    </w:p>
    <w:p w14:paraId="49BB751B" w14:textId="77777777" w:rsidR="00552F59" w:rsidRPr="00EE341A" w:rsidRDefault="00552F59" w:rsidP="001F4507">
      <w:pPr>
        <w:rPr>
          <w:shd w:val="clear" w:color="auto" w:fill="FFFFFF"/>
        </w:rPr>
      </w:pPr>
      <w:r w:rsidRPr="00EE341A">
        <w:rPr>
          <w:shd w:val="clear" w:color="auto" w:fill="FFFFFF"/>
        </w:rPr>
        <w:t xml:space="preserve">Bekkers, V </w:t>
      </w:r>
      <w:r>
        <w:rPr>
          <w:shd w:val="clear" w:color="auto" w:fill="FFFFFF"/>
        </w:rPr>
        <w:t>and</w:t>
      </w:r>
      <w:r w:rsidRPr="00EE341A">
        <w:rPr>
          <w:shd w:val="clear" w:color="auto" w:fill="FFFFFF"/>
        </w:rPr>
        <w:t xml:space="preserve"> Homburg, V (2007). The </w:t>
      </w:r>
      <w:r>
        <w:rPr>
          <w:shd w:val="clear" w:color="auto" w:fill="FFFFFF"/>
        </w:rPr>
        <w:t>m</w:t>
      </w:r>
      <w:r w:rsidRPr="00EE341A">
        <w:rPr>
          <w:shd w:val="clear" w:color="auto" w:fill="FFFFFF"/>
        </w:rPr>
        <w:t xml:space="preserve">yths of </w:t>
      </w:r>
      <w:r>
        <w:rPr>
          <w:shd w:val="clear" w:color="auto" w:fill="FFFFFF"/>
        </w:rPr>
        <w:t>e</w:t>
      </w:r>
      <w:r w:rsidRPr="00EE341A">
        <w:rPr>
          <w:shd w:val="clear" w:color="auto" w:fill="FFFFFF"/>
        </w:rPr>
        <w:t>-</w:t>
      </w:r>
      <w:r>
        <w:rPr>
          <w:shd w:val="clear" w:color="auto" w:fill="FFFFFF"/>
        </w:rPr>
        <w:t>g</w:t>
      </w:r>
      <w:r w:rsidRPr="00EE341A">
        <w:rPr>
          <w:shd w:val="clear" w:color="auto" w:fill="FFFFFF"/>
        </w:rPr>
        <w:t xml:space="preserve">overnment: </w:t>
      </w:r>
      <w:r>
        <w:rPr>
          <w:shd w:val="clear" w:color="auto" w:fill="FFFFFF"/>
        </w:rPr>
        <w:t>L</w:t>
      </w:r>
      <w:r w:rsidRPr="00EE341A">
        <w:rPr>
          <w:shd w:val="clear" w:color="auto" w:fill="FFFFFF"/>
        </w:rPr>
        <w:t xml:space="preserve">ooking </w:t>
      </w:r>
      <w:r>
        <w:rPr>
          <w:shd w:val="clear" w:color="auto" w:fill="FFFFFF"/>
        </w:rPr>
        <w:t>b</w:t>
      </w:r>
      <w:r w:rsidRPr="00EE341A">
        <w:rPr>
          <w:shd w:val="clear" w:color="auto" w:fill="FFFFFF"/>
        </w:rPr>
        <w:t xml:space="preserve">eyond the </w:t>
      </w:r>
      <w:r>
        <w:rPr>
          <w:shd w:val="clear" w:color="auto" w:fill="FFFFFF"/>
        </w:rPr>
        <w:t>a</w:t>
      </w:r>
      <w:r w:rsidRPr="00EE341A">
        <w:rPr>
          <w:shd w:val="clear" w:color="auto" w:fill="FFFFFF"/>
        </w:rPr>
        <w:t xml:space="preserve">ssumptions of a </w:t>
      </w:r>
      <w:r>
        <w:rPr>
          <w:shd w:val="clear" w:color="auto" w:fill="FFFFFF"/>
        </w:rPr>
        <w:t>n</w:t>
      </w:r>
      <w:r w:rsidRPr="00EE341A">
        <w:rPr>
          <w:shd w:val="clear" w:color="auto" w:fill="FFFFFF"/>
        </w:rPr>
        <w:t xml:space="preserve">ew and </w:t>
      </w:r>
      <w:r>
        <w:rPr>
          <w:shd w:val="clear" w:color="auto" w:fill="FFFFFF"/>
        </w:rPr>
        <w:t>b</w:t>
      </w:r>
      <w:r w:rsidRPr="00EE341A">
        <w:rPr>
          <w:shd w:val="clear" w:color="auto" w:fill="FFFFFF"/>
        </w:rPr>
        <w:t xml:space="preserve">etter </w:t>
      </w:r>
      <w:r>
        <w:rPr>
          <w:shd w:val="clear" w:color="auto" w:fill="FFFFFF"/>
        </w:rPr>
        <w:t>g</w:t>
      </w:r>
      <w:r w:rsidRPr="00EE341A">
        <w:rPr>
          <w:shd w:val="clear" w:color="auto" w:fill="FFFFFF"/>
        </w:rPr>
        <w:t>overnment. </w:t>
      </w:r>
      <w:r w:rsidRPr="00EE341A">
        <w:rPr>
          <w:i/>
          <w:iCs/>
          <w:shd w:val="clear" w:color="auto" w:fill="FFFFFF"/>
        </w:rPr>
        <w:t>The Information Society</w:t>
      </w:r>
      <w:r w:rsidRPr="00243D63">
        <w:rPr>
          <w:shd w:val="clear" w:color="auto" w:fill="FFFFFF"/>
        </w:rPr>
        <w:t> </w:t>
      </w:r>
      <w:r w:rsidRPr="001261D9">
        <w:rPr>
          <w:iCs/>
          <w:shd w:val="clear" w:color="auto" w:fill="FFFFFF"/>
        </w:rPr>
        <w:t>23</w:t>
      </w:r>
      <w:r w:rsidRPr="00EE341A">
        <w:rPr>
          <w:shd w:val="clear" w:color="auto" w:fill="FFFFFF"/>
        </w:rPr>
        <w:t>(5)</w:t>
      </w:r>
      <w:r>
        <w:rPr>
          <w:shd w:val="clear" w:color="auto" w:fill="FFFFFF"/>
        </w:rPr>
        <w:t>:</w:t>
      </w:r>
      <w:r w:rsidRPr="00EE341A">
        <w:rPr>
          <w:shd w:val="clear" w:color="auto" w:fill="FFFFFF"/>
        </w:rPr>
        <w:t xml:space="preserve"> 373</w:t>
      </w:r>
      <w:r>
        <w:rPr>
          <w:shd w:val="clear" w:color="auto" w:fill="FFFFFF"/>
        </w:rPr>
        <w:t>–</w:t>
      </w:r>
      <w:r w:rsidRPr="00EE341A">
        <w:rPr>
          <w:shd w:val="clear" w:color="auto" w:fill="FFFFFF"/>
        </w:rPr>
        <w:t>382. doi:</w:t>
      </w:r>
      <w:r>
        <w:rPr>
          <w:shd w:val="clear" w:color="auto" w:fill="FFFFFF"/>
        </w:rPr>
        <w:t> </w:t>
      </w:r>
      <w:r w:rsidRPr="00EE341A">
        <w:rPr>
          <w:shd w:val="clear" w:color="auto" w:fill="FFFFFF"/>
        </w:rPr>
        <w:t>10.1080/01972240701572913</w:t>
      </w:r>
      <w:r>
        <w:rPr>
          <w:shd w:val="clear" w:color="auto" w:fill="FFFFFF"/>
        </w:rPr>
        <w:t xml:space="preserve">. </w:t>
      </w:r>
      <w:hyperlink r:id="rId51" w:history="1">
        <w:r>
          <w:rPr>
            <w:rStyle w:val="Hyperlink"/>
          </w:rPr>
          <w:t>https://www.researchgate.net/publication/220175531_The_Myths_of_E-Government_Looking_Beyond_the_Assumptions_of_a_New_and_Better_Government</w:t>
        </w:r>
      </w:hyperlink>
      <w:r>
        <w:t xml:space="preserve"> [accessed 7 July 2020]</w:t>
      </w:r>
    </w:p>
    <w:p w14:paraId="378878DB" w14:textId="77777777" w:rsidR="00552F59" w:rsidRPr="00F57BAD" w:rsidRDefault="00552F59" w:rsidP="001F4507">
      <w:pPr>
        <w:rPr>
          <w:shd w:val="clear" w:color="auto" w:fill="FFFFFF"/>
        </w:rPr>
      </w:pPr>
      <w:r w:rsidRPr="00EE341A">
        <w:rPr>
          <w:shd w:val="clear" w:color="auto" w:fill="FFFFFF"/>
        </w:rPr>
        <w:lastRenderedPageBreak/>
        <w:t>Carter, L</w:t>
      </w:r>
      <w:r>
        <w:rPr>
          <w:shd w:val="clear" w:color="auto" w:fill="FFFFFF"/>
        </w:rPr>
        <w:t xml:space="preserve"> and</w:t>
      </w:r>
      <w:r w:rsidRPr="00EE341A">
        <w:rPr>
          <w:shd w:val="clear" w:color="auto" w:fill="FFFFFF"/>
        </w:rPr>
        <w:t xml:space="preserve"> Bélanger, F (2005). The utilization of e-government services: </w:t>
      </w:r>
      <w:r>
        <w:rPr>
          <w:shd w:val="clear" w:color="auto" w:fill="FFFFFF"/>
        </w:rPr>
        <w:t>C</w:t>
      </w:r>
      <w:r w:rsidRPr="00EE341A">
        <w:rPr>
          <w:shd w:val="clear" w:color="auto" w:fill="FFFFFF"/>
        </w:rPr>
        <w:t xml:space="preserve">itizen trust, innovation and acceptance factors. </w:t>
      </w:r>
      <w:r w:rsidRPr="00EE341A">
        <w:rPr>
          <w:i/>
          <w:iCs/>
          <w:shd w:val="clear" w:color="auto" w:fill="FFFFFF"/>
        </w:rPr>
        <w:t>Information Systems Journal</w:t>
      </w:r>
      <w:r w:rsidRPr="00EE341A">
        <w:rPr>
          <w:shd w:val="clear" w:color="auto" w:fill="FFFFFF"/>
        </w:rPr>
        <w:t xml:space="preserve"> </w:t>
      </w:r>
      <w:r w:rsidRPr="001261D9">
        <w:rPr>
          <w:iCs/>
          <w:shd w:val="clear" w:color="auto" w:fill="FFFFFF"/>
        </w:rPr>
        <w:t>15</w:t>
      </w:r>
      <w:r w:rsidRPr="00EE341A">
        <w:rPr>
          <w:shd w:val="clear" w:color="auto" w:fill="FFFFFF"/>
        </w:rPr>
        <w:t>(1)</w:t>
      </w:r>
      <w:r>
        <w:rPr>
          <w:shd w:val="clear" w:color="auto" w:fill="FFFFFF"/>
        </w:rPr>
        <w:t>:</w:t>
      </w:r>
      <w:r w:rsidRPr="00EE341A">
        <w:rPr>
          <w:shd w:val="clear" w:color="auto" w:fill="FFFFFF"/>
        </w:rPr>
        <w:t xml:space="preserve"> 5</w:t>
      </w:r>
      <w:r>
        <w:rPr>
          <w:shd w:val="clear" w:color="auto" w:fill="FFFFFF"/>
        </w:rPr>
        <w:t>–</w:t>
      </w:r>
      <w:r w:rsidRPr="00EE341A">
        <w:rPr>
          <w:shd w:val="clear" w:color="auto" w:fill="FFFFFF"/>
        </w:rPr>
        <w:t>25. doi:</w:t>
      </w:r>
      <w:r>
        <w:rPr>
          <w:shd w:val="clear" w:color="auto" w:fill="FFFFFF"/>
        </w:rPr>
        <w:t> </w:t>
      </w:r>
      <w:r w:rsidRPr="00EE341A">
        <w:rPr>
          <w:shd w:val="clear" w:color="auto" w:fill="FFFFFF"/>
        </w:rPr>
        <w:t>10.1111/j.1365-2575.2005.00183.x</w:t>
      </w:r>
      <w:r>
        <w:rPr>
          <w:shd w:val="clear" w:color="auto" w:fill="FFFFFF"/>
        </w:rPr>
        <w:t xml:space="preserve">. </w:t>
      </w:r>
      <w:r w:rsidRPr="00F57BAD">
        <w:rPr>
          <w:color w:val="007CAF" w:themeColor="accent1" w:themeTint="BF"/>
          <w:u w:val="single"/>
          <w:shd w:val="clear" w:color="auto" w:fill="FFFFFF"/>
        </w:rPr>
        <w:t>http://csel.eng.ohio-state.edu/productions/intel/research/trust/utilization%20of%20e-government%20services.pdf</w:t>
      </w:r>
    </w:p>
    <w:p w14:paraId="0991408E" w14:textId="77777777" w:rsidR="00552F59" w:rsidRPr="00EE341A" w:rsidRDefault="00552F59" w:rsidP="001F4507">
      <w:pPr>
        <w:rPr>
          <w:shd w:val="clear" w:color="auto" w:fill="FFFFFF"/>
        </w:rPr>
      </w:pPr>
      <w:r w:rsidRPr="00EE341A">
        <w:rPr>
          <w:shd w:val="clear" w:color="auto" w:fill="FFFFFF"/>
        </w:rPr>
        <w:t xml:space="preserve">Chen, J (2017). Breaking </w:t>
      </w:r>
      <w:r>
        <w:rPr>
          <w:shd w:val="clear" w:color="auto" w:fill="FFFFFF"/>
        </w:rPr>
        <w:t>d</w:t>
      </w:r>
      <w:r w:rsidRPr="00EE341A">
        <w:rPr>
          <w:shd w:val="clear" w:color="auto" w:fill="FFFFFF"/>
        </w:rPr>
        <w:t xml:space="preserve">own </w:t>
      </w:r>
      <w:r>
        <w:rPr>
          <w:shd w:val="clear" w:color="auto" w:fill="FFFFFF"/>
        </w:rPr>
        <w:t>b</w:t>
      </w:r>
      <w:r w:rsidRPr="00EE341A">
        <w:rPr>
          <w:shd w:val="clear" w:color="auto" w:fill="FFFFFF"/>
        </w:rPr>
        <w:t xml:space="preserve">arriers to </w:t>
      </w:r>
      <w:r>
        <w:rPr>
          <w:shd w:val="clear" w:color="auto" w:fill="FFFFFF"/>
        </w:rPr>
        <w:t>d</w:t>
      </w:r>
      <w:r w:rsidRPr="00EE341A">
        <w:rPr>
          <w:shd w:val="clear" w:color="auto" w:fill="FFFFFF"/>
        </w:rPr>
        <w:t xml:space="preserve">igital </w:t>
      </w:r>
      <w:r>
        <w:rPr>
          <w:shd w:val="clear" w:color="auto" w:fill="FFFFFF"/>
        </w:rPr>
        <w:t>g</w:t>
      </w:r>
      <w:r w:rsidRPr="00EE341A">
        <w:rPr>
          <w:shd w:val="clear" w:color="auto" w:fill="FFFFFF"/>
        </w:rPr>
        <w:t>overnment: How can we enable vulnerable consumers to have equal participation in digital government? Australian Communications Consumer Action Network (ACCAN).</w:t>
      </w:r>
      <w:r>
        <w:rPr>
          <w:shd w:val="clear" w:color="auto" w:fill="FFFFFF"/>
        </w:rPr>
        <w:t xml:space="preserve"> </w:t>
      </w:r>
      <w:r w:rsidRPr="00F57BAD">
        <w:rPr>
          <w:color w:val="007CAF" w:themeColor="accent1" w:themeTint="BF"/>
          <w:u w:val="single"/>
          <w:shd w:val="clear" w:color="auto" w:fill="FFFFFF"/>
        </w:rPr>
        <w:t>https://accan.org.au/Breaking%20Down%20Barriers%20to%20Digital%20Government.pdf</w:t>
      </w:r>
    </w:p>
    <w:p w14:paraId="246636A5" w14:textId="77777777" w:rsidR="00552F59" w:rsidRDefault="00552F59" w:rsidP="001F4507">
      <w:r w:rsidRPr="00EE341A">
        <w:rPr>
          <w:rFonts w:ascii="Calibri" w:hAnsi="Calibri" w:cs="Calibri"/>
          <w:shd w:val="clear" w:color="auto" w:fill="FFFFFF"/>
        </w:rPr>
        <w:t xml:space="preserve">Colesca, Sofia (2009). Understanding </w:t>
      </w:r>
      <w:r>
        <w:rPr>
          <w:rFonts w:ascii="Calibri" w:hAnsi="Calibri" w:cs="Calibri"/>
          <w:shd w:val="clear" w:color="auto" w:fill="FFFFFF"/>
        </w:rPr>
        <w:t>t</w:t>
      </w:r>
      <w:r w:rsidRPr="00EE341A">
        <w:rPr>
          <w:rFonts w:ascii="Calibri" w:hAnsi="Calibri" w:cs="Calibri"/>
          <w:shd w:val="clear" w:color="auto" w:fill="FFFFFF"/>
        </w:rPr>
        <w:t>rust in e-</w:t>
      </w:r>
      <w:r>
        <w:rPr>
          <w:rFonts w:ascii="Calibri" w:hAnsi="Calibri" w:cs="Calibri"/>
          <w:shd w:val="clear" w:color="auto" w:fill="FFFFFF"/>
        </w:rPr>
        <w:t>g</w:t>
      </w:r>
      <w:r w:rsidRPr="00EE341A">
        <w:rPr>
          <w:rFonts w:ascii="Calibri" w:hAnsi="Calibri" w:cs="Calibri"/>
          <w:shd w:val="clear" w:color="auto" w:fill="FFFFFF"/>
        </w:rPr>
        <w:t xml:space="preserve">overnment. </w:t>
      </w:r>
      <w:r w:rsidRPr="00EE341A">
        <w:rPr>
          <w:rFonts w:ascii="Calibri" w:hAnsi="Calibri" w:cs="Calibri"/>
          <w:i/>
          <w:iCs/>
          <w:shd w:val="clear" w:color="auto" w:fill="FFFFFF"/>
        </w:rPr>
        <w:t>Engineering Economics</w:t>
      </w:r>
      <w:r w:rsidRPr="001261D9">
        <w:rPr>
          <w:rFonts w:ascii="Calibri" w:hAnsi="Calibri" w:cs="Calibri"/>
          <w:iCs/>
          <w:shd w:val="clear" w:color="auto" w:fill="FFFFFF"/>
        </w:rPr>
        <w:t xml:space="preserve"> 3</w:t>
      </w:r>
      <w:r>
        <w:rPr>
          <w:rFonts w:ascii="Calibri" w:hAnsi="Calibri" w:cs="Calibri"/>
          <w:shd w:val="clear" w:color="auto" w:fill="FFFFFF"/>
        </w:rPr>
        <w:t>:</w:t>
      </w:r>
      <w:r w:rsidRPr="00EE341A">
        <w:rPr>
          <w:rFonts w:ascii="Calibri" w:hAnsi="Calibri" w:cs="Calibri"/>
          <w:shd w:val="clear" w:color="auto" w:fill="FFFFFF"/>
        </w:rPr>
        <w:t xml:space="preserve"> 7</w:t>
      </w:r>
      <w:r>
        <w:rPr>
          <w:rFonts w:ascii="Calibri" w:hAnsi="Calibri" w:cs="Calibri"/>
          <w:shd w:val="clear" w:color="auto" w:fill="FFFFFF"/>
        </w:rPr>
        <w:t>–</w:t>
      </w:r>
      <w:r w:rsidRPr="00EE341A">
        <w:rPr>
          <w:rFonts w:ascii="Calibri" w:hAnsi="Calibri" w:cs="Calibri"/>
          <w:shd w:val="clear" w:color="auto" w:fill="FFFFFF"/>
        </w:rPr>
        <w:t>15.</w:t>
      </w:r>
      <w:r>
        <w:rPr>
          <w:rFonts w:ascii="Calibri" w:hAnsi="Calibri" w:cs="Calibri"/>
          <w:shd w:val="clear" w:color="auto" w:fill="FFFFFF"/>
        </w:rPr>
        <w:t xml:space="preserve"> </w:t>
      </w:r>
      <w:hyperlink r:id="rId52" w:history="1">
        <w:r>
          <w:rPr>
            <w:rStyle w:val="Hyperlink"/>
          </w:rPr>
          <w:t>https://www.researchgate.net/publication/228867440_Understanding_Trust_in_e-Government</w:t>
        </w:r>
      </w:hyperlink>
      <w:r>
        <w:t>, [accessed 7 July 2020]</w:t>
      </w:r>
    </w:p>
    <w:p w14:paraId="004B0E1E" w14:textId="77777777" w:rsidR="00552F59" w:rsidRPr="00645D88" w:rsidRDefault="00552F59" w:rsidP="001F4507">
      <w:pPr>
        <w:rPr>
          <w:color w:val="007CAF" w:themeColor="accent1" w:themeTint="BF"/>
          <w:u w:val="single"/>
          <w:shd w:val="clear" w:color="auto" w:fill="FFFFFF"/>
        </w:rPr>
      </w:pPr>
      <w:r w:rsidRPr="00EE341A">
        <w:rPr>
          <w:shd w:val="clear" w:color="auto" w:fill="FFFFFF"/>
        </w:rPr>
        <w:t>Department of Education and Training (2012). </w:t>
      </w:r>
      <w:r w:rsidRPr="00EE341A">
        <w:rPr>
          <w:i/>
          <w:iCs/>
          <w:shd w:val="clear" w:color="auto" w:fill="FFFFFF"/>
        </w:rPr>
        <w:t>National Foundation Skills Strategy for Adults</w:t>
      </w:r>
      <w:r w:rsidRPr="00EE341A">
        <w:rPr>
          <w:shd w:val="clear" w:color="auto" w:fill="FFFFFF"/>
        </w:rPr>
        <w:t>. Canberra</w:t>
      </w:r>
      <w:r>
        <w:rPr>
          <w:shd w:val="clear" w:color="auto" w:fill="FFFFFF"/>
        </w:rPr>
        <w:t xml:space="preserve">: </w:t>
      </w:r>
      <w:r w:rsidRPr="00EE341A">
        <w:rPr>
          <w:shd w:val="clear" w:color="auto" w:fill="FFFFFF"/>
        </w:rPr>
        <w:t>Australian Government.</w:t>
      </w:r>
      <w:r>
        <w:rPr>
          <w:shd w:val="clear" w:color="auto" w:fill="FFFFFF"/>
        </w:rPr>
        <w:t xml:space="preserve"> </w:t>
      </w:r>
      <w:r w:rsidRPr="00645D88">
        <w:rPr>
          <w:color w:val="007CAF" w:themeColor="accent1" w:themeTint="BF"/>
          <w:u w:val="single"/>
          <w:shd w:val="clear" w:color="auto" w:fill="FFFFFF"/>
        </w:rPr>
        <w:t>https://www.employment.gov.au/national-foundation-skills-strategy-adults</w:t>
      </w:r>
    </w:p>
    <w:p w14:paraId="5A6954E3" w14:textId="77777777" w:rsidR="00552F59" w:rsidRPr="00EE341A" w:rsidRDefault="00552F59" w:rsidP="001F4507">
      <w:pPr>
        <w:rPr>
          <w:shd w:val="clear" w:color="auto" w:fill="FFFFFF"/>
        </w:rPr>
      </w:pPr>
      <w:r w:rsidRPr="00EE341A">
        <w:rPr>
          <w:shd w:val="clear" w:color="auto" w:fill="FFFFFF"/>
        </w:rPr>
        <w:t>Department of Education</w:t>
      </w:r>
      <w:r>
        <w:rPr>
          <w:shd w:val="clear" w:color="auto" w:fill="FFFFFF"/>
        </w:rPr>
        <w:t>, Skills and Employment (2019).</w:t>
      </w:r>
      <w:r>
        <w:rPr>
          <w:color w:val="000000"/>
          <w:shd w:val="clear" w:color="auto" w:fill="FFFFFF"/>
        </w:rPr>
        <w:t xml:space="preserve"> Career transition a</w:t>
      </w:r>
      <w:r w:rsidRPr="00EE341A">
        <w:rPr>
          <w:color w:val="000000"/>
          <w:shd w:val="clear" w:color="auto" w:fill="FFFFFF"/>
        </w:rPr>
        <w:t>ssistance</w:t>
      </w:r>
      <w:r>
        <w:rPr>
          <w:color w:val="000000"/>
          <w:shd w:val="clear" w:color="auto" w:fill="FFFFFF"/>
        </w:rPr>
        <w:t xml:space="preserve"> [online].</w:t>
      </w:r>
      <w:r w:rsidRPr="00EE341A">
        <w:rPr>
          <w:color w:val="000000"/>
          <w:shd w:val="clear" w:color="auto" w:fill="FFFFFF"/>
        </w:rPr>
        <w:t xml:space="preserve"> </w:t>
      </w:r>
      <w:hyperlink r:id="rId53" w:history="1">
        <w:r w:rsidRPr="00243D63">
          <w:rPr>
            <w:rStyle w:val="Hyperlink"/>
            <w:rFonts w:ascii="Calibri" w:hAnsi="Calibri" w:cs="Calibri"/>
            <w:shd w:val="clear" w:color="auto" w:fill="FFFFFF"/>
          </w:rPr>
          <w:t>https://www.employment.gov.au/career-transition-assistance</w:t>
        </w:r>
      </w:hyperlink>
      <w:r w:rsidRPr="00937931">
        <w:rPr>
          <w:color w:val="000000"/>
          <w:shd w:val="clear" w:color="auto" w:fill="FFFFFF"/>
        </w:rPr>
        <w:t xml:space="preserve"> </w:t>
      </w:r>
      <w:r>
        <w:rPr>
          <w:color w:val="000000"/>
          <w:shd w:val="clear" w:color="auto" w:fill="FFFFFF"/>
        </w:rPr>
        <w:t>[accessed 8 </w:t>
      </w:r>
      <w:r w:rsidRPr="00EE341A">
        <w:rPr>
          <w:color w:val="000000"/>
          <w:shd w:val="clear" w:color="auto" w:fill="FFFFFF"/>
        </w:rPr>
        <w:t>November 2019</w:t>
      </w:r>
      <w:r>
        <w:rPr>
          <w:color w:val="000000"/>
          <w:shd w:val="clear" w:color="auto" w:fill="FFFFFF"/>
        </w:rPr>
        <w:t>]</w:t>
      </w:r>
    </w:p>
    <w:p w14:paraId="15EA66F4" w14:textId="77777777" w:rsidR="00552F59" w:rsidRDefault="00552F59" w:rsidP="001F4507">
      <w:r>
        <w:rPr>
          <w:shd w:val="clear" w:color="auto" w:fill="FFFFFF"/>
        </w:rPr>
        <w:t xml:space="preserve">Department of Infrastructure, Transport, Regional Development and Communications (2019). </w:t>
      </w:r>
      <w:r w:rsidRPr="00EE341A">
        <w:rPr>
          <w:shd w:val="clear" w:color="auto" w:fill="FFFFFF"/>
        </w:rPr>
        <w:t xml:space="preserve">Universal Service Guarantee for Telecommunications </w:t>
      </w:r>
      <w:r>
        <w:rPr>
          <w:shd w:val="clear" w:color="auto" w:fill="FFFFFF"/>
        </w:rPr>
        <w:t>[online]</w:t>
      </w:r>
      <w:r w:rsidRPr="00EE341A">
        <w:rPr>
          <w:shd w:val="clear" w:color="auto" w:fill="FFFFFF"/>
        </w:rPr>
        <w:t xml:space="preserve">. </w:t>
      </w:r>
      <w:hyperlink r:id="rId54" w:history="1">
        <w:r w:rsidRPr="00763290">
          <w:rPr>
            <w:rStyle w:val="Hyperlink"/>
            <w:rFonts w:ascii="Calibri" w:hAnsi="Calibri" w:cs="Calibri"/>
            <w:shd w:val="clear" w:color="auto" w:fill="FFFFFF"/>
          </w:rPr>
          <w:t>https://www.communications.gov.au/what-we-do/phone/phone-services/universal-service-guarantee-telecommunications</w:t>
        </w:r>
      </w:hyperlink>
      <w:r>
        <w:t> [</w:t>
      </w:r>
      <w:r>
        <w:rPr>
          <w:shd w:val="clear" w:color="auto" w:fill="FFFFFF"/>
        </w:rPr>
        <w:t>accessed</w:t>
      </w:r>
      <w:r w:rsidRPr="00EE341A">
        <w:rPr>
          <w:shd w:val="clear" w:color="auto" w:fill="FFFFFF"/>
        </w:rPr>
        <w:t xml:space="preserve"> 4 November 2019</w:t>
      </w:r>
      <w:r>
        <w:rPr>
          <w:shd w:val="clear" w:color="auto" w:fill="FFFFFF"/>
        </w:rPr>
        <w:t>]</w:t>
      </w:r>
    </w:p>
    <w:p w14:paraId="5C7C6260" w14:textId="77777777" w:rsidR="00552F59" w:rsidRPr="00EE341A" w:rsidRDefault="00552F59" w:rsidP="001F4507">
      <w:pPr>
        <w:rPr>
          <w:shd w:val="clear" w:color="auto" w:fill="FFFFFF"/>
        </w:rPr>
      </w:pPr>
      <w:r w:rsidRPr="00EE341A">
        <w:rPr>
          <w:shd w:val="clear" w:color="auto" w:fill="FFFFFF"/>
        </w:rPr>
        <w:t>Digital Transformation Agency</w:t>
      </w:r>
      <w:r>
        <w:rPr>
          <w:shd w:val="clear" w:color="auto" w:fill="FFFFFF"/>
        </w:rPr>
        <w:t xml:space="preserve"> </w:t>
      </w:r>
      <w:r w:rsidRPr="00EE341A">
        <w:rPr>
          <w:shd w:val="clear" w:color="auto" w:fill="FFFFFF"/>
        </w:rPr>
        <w:t>(2019). Digital Transformation Agency</w:t>
      </w:r>
      <w:r>
        <w:rPr>
          <w:shd w:val="clear" w:color="auto" w:fill="FFFFFF"/>
        </w:rPr>
        <w:t xml:space="preserve"> [website]</w:t>
      </w:r>
      <w:r w:rsidRPr="00EE341A">
        <w:rPr>
          <w:shd w:val="clear" w:color="auto" w:fill="FFFFFF"/>
        </w:rPr>
        <w:t xml:space="preserve">. </w:t>
      </w:r>
      <w:hyperlink r:id="rId55" w:history="1">
        <w:r w:rsidRPr="00EE341A">
          <w:rPr>
            <w:rStyle w:val="Hyperlink"/>
            <w:rFonts w:ascii="Calibri" w:hAnsi="Calibri" w:cs="Calibri"/>
            <w:shd w:val="clear" w:color="auto" w:fill="FFFFFF"/>
          </w:rPr>
          <w:t>https://www.dta.gov.au/</w:t>
        </w:r>
      </w:hyperlink>
      <w:r>
        <w:rPr>
          <w:rFonts w:cstheme="minorHAnsi"/>
          <w:shd w:val="clear" w:color="auto" w:fill="FFFFFF"/>
        </w:rPr>
        <w:t xml:space="preserve"> </w:t>
      </w:r>
      <w:r w:rsidRPr="00937931">
        <w:t>[</w:t>
      </w:r>
      <w:r>
        <w:t>accessed 20 February 2020]</w:t>
      </w:r>
    </w:p>
    <w:p w14:paraId="2AD6DE82" w14:textId="77777777" w:rsidR="00552F59" w:rsidRPr="003055E7" w:rsidRDefault="00552F59" w:rsidP="001F4507">
      <w:pPr>
        <w:rPr>
          <w:rFonts w:cstheme="minorHAnsi"/>
          <w:shd w:val="clear" w:color="auto" w:fill="FFFFFF"/>
        </w:rPr>
      </w:pPr>
      <w:r w:rsidRPr="00EE341A">
        <w:rPr>
          <w:shd w:val="clear" w:color="auto" w:fill="FFFFFF"/>
        </w:rPr>
        <w:t xml:space="preserve">Ebrahim, Z </w:t>
      </w:r>
      <w:r>
        <w:rPr>
          <w:shd w:val="clear" w:color="auto" w:fill="FFFFFF"/>
        </w:rPr>
        <w:t>and</w:t>
      </w:r>
      <w:r w:rsidRPr="00EE341A">
        <w:rPr>
          <w:shd w:val="clear" w:color="auto" w:fill="FFFFFF"/>
        </w:rPr>
        <w:t xml:space="preserve"> Irani, Z (2005). E‐government adoption: </w:t>
      </w:r>
      <w:r>
        <w:rPr>
          <w:shd w:val="clear" w:color="auto" w:fill="FFFFFF"/>
        </w:rPr>
        <w:t>A</w:t>
      </w:r>
      <w:r w:rsidRPr="00EE341A">
        <w:rPr>
          <w:shd w:val="clear" w:color="auto" w:fill="FFFFFF"/>
        </w:rPr>
        <w:t>rchitecture and barriers. </w:t>
      </w:r>
      <w:r w:rsidRPr="00EE341A">
        <w:rPr>
          <w:i/>
          <w:iCs/>
          <w:shd w:val="clear" w:color="auto" w:fill="FFFFFF"/>
        </w:rPr>
        <w:t>Business Process Management Journal</w:t>
      </w:r>
      <w:r w:rsidRPr="00A65BF6">
        <w:rPr>
          <w:shd w:val="clear" w:color="auto" w:fill="FFFFFF"/>
        </w:rPr>
        <w:t> </w:t>
      </w:r>
      <w:r w:rsidRPr="001261D9">
        <w:rPr>
          <w:iCs/>
          <w:shd w:val="clear" w:color="auto" w:fill="FFFFFF"/>
        </w:rPr>
        <w:t>11</w:t>
      </w:r>
      <w:r w:rsidRPr="00EE341A">
        <w:rPr>
          <w:shd w:val="clear" w:color="auto" w:fill="FFFFFF"/>
        </w:rPr>
        <w:t>(5)</w:t>
      </w:r>
      <w:r>
        <w:rPr>
          <w:shd w:val="clear" w:color="auto" w:fill="FFFFFF"/>
        </w:rPr>
        <w:t>:</w:t>
      </w:r>
      <w:r w:rsidRPr="00EE341A">
        <w:rPr>
          <w:shd w:val="clear" w:color="auto" w:fill="FFFFFF"/>
        </w:rPr>
        <w:t xml:space="preserve"> 589</w:t>
      </w:r>
      <w:r>
        <w:rPr>
          <w:shd w:val="clear" w:color="auto" w:fill="FFFFFF"/>
        </w:rPr>
        <w:t>–</w:t>
      </w:r>
      <w:r w:rsidRPr="00EE341A">
        <w:rPr>
          <w:shd w:val="clear" w:color="auto" w:fill="FFFFFF"/>
        </w:rPr>
        <w:t>611. doi: 10.1108/14637150510619902</w:t>
      </w:r>
      <w:r>
        <w:rPr>
          <w:shd w:val="clear" w:color="auto" w:fill="FFFFFF"/>
        </w:rPr>
        <w:t xml:space="preserve">. </w:t>
      </w:r>
      <w:hyperlink r:id="rId56" w:history="1">
        <w:r>
          <w:rPr>
            <w:rStyle w:val="Hyperlink"/>
            <w:rFonts w:cstheme="minorHAnsi"/>
            <w:shd w:val="clear" w:color="auto" w:fill="FFFFFF"/>
          </w:rPr>
          <w:t>https://www.researchgate.net/publication/235254120_E-government_adoption_Architecture_and_barriers</w:t>
        </w:r>
      </w:hyperlink>
      <w:r>
        <w:rPr>
          <w:rFonts w:cstheme="minorHAnsi"/>
          <w:shd w:val="clear" w:color="auto" w:fill="FFFFFF"/>
        </w:rPr>
        <w:t xml:space="preserve"> </w:t>
      </w:r>
      <w:r w:rsidRPr="001261D9">
        <w:t>[</w:t>
      </w:r>
      <w:r>
        <w:t>accessed 7 July 2020]</w:t>
      </w:r>
    </w:p>
    <w:p w14:paraId="1022EEB5" w14:textId="77777777" w:rsidR="00552F59" w:rsidRPr="00EE341A" w:rsidRDefault="00552F59" w:rsidP="001F4507">
      <w:pPr>
        <w:rPr>
          <w:shd w:val="clear" w:color="auto" w:fill="FFFFFF"/>
        </w:rPr>
      </w:pPr>
      <w:r w:rsidRPr="00EE341A">
        <w:rPr>
          <w:shd w:val="clear" w:color="auto" w:fill="FFFFFF"/>
        </w:rPr>
        <w:t xml:space="preserve">Gauld, R, Gray, A </w:t>
      </w:r>
      <w:r>
        <w:rPr>
          <w:shd w:val="clear" w:color="auto" w:fill="FFFFFF"/>
        </w:rPr>
        <w:t>and</w:t>
      </w:r>
      <w:r w:rsidRPr="00EE341A">
        <w:rPr>
          <w:shd w:val="clear" w:color="auto" w:fill="FFFFFF"/>
        </w:rPr>
        <w:t xml:space="preserve"> McComb, S (2009). How responsive is </w:t>
      </w:r>
      <w:r>
        <w:rPr>
          <w:shd w:val="clear" w:color="auto" w:fill="FFFFFF"/>
        </w:rPr>
        <w:t>e</w:t>
      </w:r>
      <w:r w:rsidRPr="00EE341A">
        <w:rPr>
          <w:shd w:val="clear" w:color="auto" w:fill="FFFFFF"/>
        </w:rPr>
        <w:t>-</w:t>
      </w:r>
      <w:r>
        <w:rPr>
          <w:shd w:val="clear" w:color="auto" w:fill="FFFFFF"/>
        </w:rPr>
        <w:t>g</w:t>
      </w:r>
      <w:r w:rsidRPr="00EE341A">
        <w:rPr>
          <w:shd w:val="clear" w:color="auto" w:fill="FFFFFF"/>
        </w:rPr>
        <w:t xml:space="preserve">overnment? Evidence from Australia and New Zealand. </w:t>
      </w:r>
      <w:r w:rsidRPr="00EE341A">
        <w:rPr>
          <w:i/>
          <w:iCs/>
          <w:shd w:val="clear" w:color="auto" w:fill="FFFFFF"/>
        </w:rPr>
        <w:t>Government Information Quarterly</w:t>
      </w:r>
      <w:r w:rsidRPr="00BA27BC">
        <w:rPr>
          <w:shd w:val="clear" w:color="auto" w:fill="FFFFFF"/>
        </w:rPr>
        <w:t xml:space="preserve"> </w:t>
      </w:r>
      <w:r w:rsidRPr="001261D9">
        <w:rPr>
          <w:iCs/>
          <w:shd w:val="clear" w:color="auto" w:fill="FFFFFF"/>
        </w:rPr>
        <w:t>26</w:t>
      </w:r>
      <w:r>
        <w:rPr>
          <w:shd w:val="clear" w:color="auto" w:fill="FFFFFF"/>
        </w:rPr>
        <w:t>:</w:t>
      </w:r>
      <w:r w:rsidRPr="00EE341A">
        <w:rPr>
          <w:shd w:val="clear" w:color="auto" w:fill="FFFFFF"/>
        </w:rPr>
        <w:t xml:space="preserve"> 69</w:t>
      </w:r>
      <w:r>
        <w:rPr>
          <w:shd w:val="clear" w:color="auto" w:fill="FFFFFF"/>
        </w:rPr>
        <w:t>–</w:t>
      </w:r>
      <w:r w:rsidRPr="00EE341A">
        <w:rPr>
          <w:shd w:val="clear" w:color="auto" w:fill="FFFFFF"/>
        </w:rPr>
        <w:t>74.</w:t>
      </w:r>
      <w:r>
        <w:rPr>
          <w:shd w:val="clear" w:color="auto" w:fill="FFFFFF"/>
        </w:rPr>
        <w:t xml:space="preserve"> doi:</w:t>
      </w:r>
      <w:r w:rsidRPr="00EE341A">
        <w:rPr>
          <w:shd w:val="clear" w:color="auto" w:fill="FFFFFF"/>
        </w:rPr>
        <w:t xml:space="preserve"> 10.1016/j.giq.2008.02.002.</w:t>
      </w:r>
      <w:r>
        <w:rPr>
          <w:shd w:val="clear" w:color="auto" w:fill="FFFFFF"/>
        </w:rPr>
        <w:t xml:space="preserve"> </w:t>
      </w:r>
      <w:r w:rsidRPr="00DF4F15">
        <w:rPr>
          <w:color w:val="007CAF" w:themeColor="accent1" w:themeTint="BF"/>
          <w:u w:val="single"/>
          <w:shd w:val="clear" w:color="auto" w:fill="FFFFFF"/>
        </w:rPr>
        <w:t>https://www.researchgate.net/publication/236214457_How_responsive_is_E-Government_Evidence_from_Australia_and_New_Zealand</w:t>
      </w:r>
    </w:p>
    <w:p w14:paraId="272C4230" w14:textId="77777777" w:rsidR="00552F59" w:rsidRPr="00EE341A" w:rsidRDefault="00552F59" w:rsidP="001F4507">
      <w:pPr>
        <w:rPr>
          <w:shd w:val="clear" w:color="auto" w:fill="FFFFFF"/>
        </w:rPr>
      </w:pPr>
      <w:r w:rsidRPr="00EE341A">
        <w:rPr>
          <w:shd w:val="clear" w:color="auto" w:fill="FFFFFF"/>
        </w:rPr>
        <w:lastRenderedPageBreak/>
        <w:t xml:space="preserve">Glance, D (2016). #CensusFail: </w:t>
      </w:r>
      <w:r>
        <w:rPr>
          <w:shd w:val="clear" w:color="auto" w:fill="FFFFFF"/>
        </w:rPr>
        <w:t>T</w:t>
      </w:r>
      <w:r w:rsidRPr="00EE341A">
        <w:rPr>
          <w:shd w:val="clear" w:color="auto" w:fill="FFFFFF"/>
        </w:rPr>
        <w:t>he ABS hasn’t convinced the public their privacy is protected</w:t>
      </w:r>
      <w:r>
        <w:rPr>
          <w:shd w:val="clear" w:color="auto" w:fill="FFFFFF"/>
        </w:rPr>
        <w:t xml:space="preserve"> [blog]</w:t>
      </w:r>
      <w:r w:rsidRPr="00EE341A">
        <w:rPr>
          <w:shd w:val="clear" w:color="auto" w:fill="FFFFFF"/>
        </w:rPr>
        <w:t>.</w:t>
      </w:r>
      <w:r>
        <w:rPr>
          <w:shd w:val="clear" w:color="auto" w:fill="FFFFFF"/>
        </w:rPr>
        <w:t xml:space="preserve"> </w:t>
      </w:r>
      <w:r w:rsidRPr="0035012B">
        <w:rPr>
          <w:shd w:val="clear" w:color="auto" w:fill="FFFFFF"/>
        </w:rPr>
        <w:t>The Conversation</w:t>
      </w:r>
      <w:r>
        <w:rPr>
          <w:shd w:val="clear" w:color="auto" w:fill="FFFFFF"/>
        </w:rPr>
        <w:t>, 9 August 2016.</w:t>
      </w:r>
      <w:r w:rsidRPr="00EE341A">
        <w:rPr>
          <w:shd w:val="clear" w:color="auto" w:fill="FFFFFF"/>
        </w:rPr>
        <w:t xml:space="preserve"> </w:t>
      </w:r>
      <w:hyperlink r:id="rId57" w:history="1">
        <w:r w:rsidRPr="00BA27BC">
          <w:rPr>
            <w:rStyle w:val="Hyperlink"/>
            <w:rFonts w:ascii="Calibri" w:hAnsi="Calibri" w:cs="Calibri"/>
            <w:shd w:val="clear" w:color="auto" w:fill="FFFFFF"/>
          </w:rPr>
          <w:t>https://theconversation.com/censusfail-the-abs-hasnt-convinced-the-public-their-privacy-is-protected-63702</w:t>
        </w:r>
      </w:hyperlink>
    </w:p>
    <w:p w14:paraId="67F3FA43" w14:textId="77777777" w:rsidR="00552F59" w:rsidRPr="00EE341A" w:rsidRDefault="00552F59" w:rsidP="001F4507">
      <w:pPr>
        <w:rPr>
          <w:color w:val="000000"/>
          <w:shd w:val="clear" w:color="auto" w:fill="FFFFFF"/>
        </w:rPr>
      </w:pPr>
      <w:r w:rsidRPr="00EE341A">
        <w:rPr>
          <w:color w:val="000000"/>
          <w:shd w:val="clear" w:color="auto" w:fill="FFFFFF"/>
        </w:rPr>
        <w:t>Hill, S (2019). 5 reasons why governments are ignoring UX thinking.</w:t>
      </w:r>
      <w:r>
        <w:rPr>
          <w:color w:val="000000"/>
          <w:shd w:val="clear" w:color="auto" w:fill="FFFFFF"/>
        </w:rPr>
        <w:t xml:space="preserve"> Esri Australia [website].</w:t>
      </w:r>
      <w:r w:rsidRPr="00EE341A">
        <w:rPr>
          <w:color w:val="000000"/>
          <w:shd w:val="clear" w:color="auto" w:fill="FFFFFF"/>
        </w:rPr>
        <w:t xml:space="preserve"> </w:t>
      </w:r>
      <w:hyperlink r:id="rId58" w:history="1">
        <w:r w:rsidRPr="00EE341A">
          <w:rPr>
            <w:rStyle w:val="Hyperlink"/>
            <w:rFonts w:ascii="Calibri" w:hAnsi="Calibri" w:cs="Calibri"/>
            <w:shd w:val="clear" w:color="auto" w:fill="FFFFFF"/>
          </w:rPr>
          <w:t>https://esriaustralia.com.au/blog/5-reasons-why-governments-are-ignoring-ux-thinking</w:t>
        </w:r>
      </w:hyperlink>
      <w:r w:rsidRPr="00937931">
        <w:t xml:space="preserve"> </w:t>
      </w:r>
      <w:r w:rsidRPr="00937931">
        <w:rPr>
          <w:color w:val="000000"/>
          <w:shd w:val="clear" w:color="auto" w:fill="FFFFFF"/>
        </w:rPr>
        <w:t xml:space="preserve">[accessed </w:t>
      </w:r>
      <w:r>
        <w:rPr>
          <w:color w:val="000000"/>
          <w:shd w:val="clear" w:color="auto" w:fill="FFFFFF"/>
        </w:rPr>
        <w:t>8 </w:t>
      </w:r>
      <w:r w:rsidRPr="00EE341A">
        <w:rPr>
          <w:color w:val="000000"/>
          <w:shd w:val="clear" w:color="auto" w:fill="FFFFFF"/>
        </w:rPr>
        <w:t>November 2019</w:t>
      </w:r>
      <w:r>
        <w:rPr>
          <w:color w:val="000000"/>
          <w:shd w:val="clear" w:color="auto" w:fill="FFFFFF"/>
        </w:rPr>
        <w:t>]</w:t>
      </w:r>
    </w:p>
    <w:p w14:paraId="15D4B97B" w14:textId="77777777" w:rsidR="00552F59" w:rsidRPr="00EE341A" w:rsidRDefault="00552F59" w:rsidP="001F4507">
      <w:pPr>
        <w:rPr>
          <w:shd w:val="clear" w:color="auto" w:fill="FFFFFF"/>
        </w:rPr>
      </w:pPr>
      <w:r w:rsidRPr="00EE341A">
        <w:rPr>
          <w:shd w:val="clear" w:color="auto" w:fill="FFFFFF"/>
        </w:rPr>
        <w:t xml:space="preserve">Idler, S (2012). Towards </w:t>
      </w:r>
      <w:r>
        <w:rPr>
          <w:shd w:val="clear" w:color="auto" w:fill="FFFFFF"/>
        </w:rPr>
        <w:t>u</w:t>
      </w:r>
      <w:r w:rsidRPr="00EE341A">
        <w:rPr>
          <w:shd w:val="clear" w:color="auto" w:fill="FFFFFF"/>
        </w:rPr>
        <w:t xml:space="preserve">ser </w:t>
      </w:r>
      <w:r>
        <w:rPr>
          <w:shd w:val="clear" w:color="auto" w:fill="FFFFFF"/>
        </w:rPr>
        <w:t>c</w:t>
      </w:r>
      <w:r w:rsidRPr="00EE341A">
        <w:rPr>
          <w:shd w:val="clear" w:color="auto" w:fill="FFFFFF"/>
        </w:rPr>
        <w:t xml:space="preserve">entered </w:t>
      </w:r>
      <w:r>
        <w:rPr>
          <w:shd w:val="clear" w:color="auto" w:fill="FFFFFF"/>
        </w:rPr>
        <w:t>d</w:t>
      </w:r>
      <w:r w:rsidRPr="00EE341A">
        <w:rPr>
          <w:shd w:val="clear" w:color="auto" w:fill="FFFFFF"/>
        </w:rPr>
        <w:t xml:space="preserve">esign in 5 </w:t>
      </w:r>
      <w:r>
        <w:rPr>
          <w:shd w:val="clear" w:color="auto" w:fill="FFFFFF"/>
        </w:rPr>
        <w:t>s</w:t>
      </w:r>
      <w:r w:rsidRPr="00EE341A">
        <w:rPr>
          <w:shd w:val="clear" w:color="auto" w:fill="FFFFFF"/>
        </w:rPr>
        <w:t>teps</w:t>
      </w:r>
      <w:r>
        <w:rPr>
          <w:shd w:val="clear" w:color="auto" w:fill="FFFFFF"/>
        </w:rPr>
        <w:t xml:space="preserve"> [blog]</w:t>
      </w:r>
      <w:r w:rsidRPr="00EE341A">
        <w:rPr>
          <w:shd w:val="clear" w:color="auto" w:fill="FFFFFF"/>
        </w:rPr>
        <w:t>.</w:t>
      </w:r>
      <w:r>
        <w:rPr>
          <w:shd w:val="clear" w:color="auto" w:fill="FFFFFF"/>
        </w:rPr>
        <w:t xml:space="preserve"> </w:t>
      </w:r>
      <w:r w:rsidRPr="00BA27BC">
        <w:rPr>
          <w:shd w:val="clear" w:color="auto" w:fill="FFFFFF"/>
        </w:rPr>
        <w:t>CX Insights</w:t>
      </w:r>
      <w:r>
        <w:rPr>
          <w:shd w:val="clear" w:color="auto" w:fill="FFFFFF"/>
        </w:rPr>
        <w:t>, 31 January 2012.</w:t>
      </w:r>
      <w:r w:rsidRPr="00EE341A">
        <w:rPr>
          <w:shd w:val="clear" w:color="auto" w:fill="FFFFFF"/>
        </w:rPr>
        <w:t xml:space="preserve"> </w:t>
      </w:r>
      <w:hyperlink r:id="rId59" w:history="1">
        <w:r w:rsidRPr="00EE341A">
          <w:rPr>
            <w:rStyle w:val="Hyperlink"/>
            <w:rFonts w:ascii="Calibri" w:hAnsi="Calibri" w:cs="Calibri"/>
            <w:shd w:val="clear" w:color="auto" w:fill="FFFFFF"/>
          </w:rPr>
          <w:t>https://usabilla.com/blog/towards-user-centred-design-in-5-steps/</w:t>
        </w:r>
      </w:hyperlink>
      <w:r w:rsidRPr="001261D9">
        <w:t xml:space="preserve"> </w:t>
      </w:r>
      <w:r w:rsidRPr="001261D9">
        <w:rPr>
          <w:shd w:val="clear" w:color="auto" w:fill="FFFFFF"/>
        </w:rPr>
        <w:t xml:space="preserve">[accessed </w:t>
      </w:r>
      <w:r w:rsidRPr="00EE341A">
        <w:rPr>
          <w:shd w:val="clear" w:color="auto" w:fill="FFFFFF"/>
        </w:rPr>
        <w:t>19 December 2019</w:t>
      </w:r>
      <w:r>
        <w:rPr>
          <w:shd w:val="clear" w:color="auto" w:fill="FFFFFF"/>
        </w:rPr>
        <w:t>]</w:t>
      </w:r>
    </w:p>
    <w:p w14:paraId="4AC3C02E" w14:textId="77777777" w:rsidR="00552F59" w:rsidRPr="00EE341A" w:rsidRDefault="00552F59" w:rsidP="001F4507">
      <w:r w:rsidRPr="00EE341A">
        <w:rPr>
          <w:shd w:val="clear" w:color="auto" w:fill="FFFFFF"/>
        </w:rPr>
        <w:t xml:space="preserve">Joseph, S (2019). Advantages and disadvantages of </w:t>
      </w:r>
      <w:r>
        <w:rPr>
          <w:shd w:val="clear" w:color="auto" w:fill="FFFFFF"/>
        </w:rPr>
        <w:t>e</w:t>
      </w:r>
      <w:r w:rsidRPr="00EE341A">
        <w:rPr>
          <w:shd w:val="clear" w:color="auto" w:fill="FFFFFF"/>
        </w:rPr>
        <w:t xml:space="preserve">-government implementation. </w:t>
      </w:r>
      <w:r w:rsidRPr="00EE341A">
        <w:rPr>
          <w:i/>
          <w:iCs/>
          <w:shd w:val="clear" w:color="auto" w:fill="FFFFFF"/>
        </w:rPr>
        <w:t>International Journal Of Marketing And Technology</w:t>
      </w:r>
      <w:r w:rsidRPr="00BA27BC">
        <w:rPr>
          <w:shd w:val="clear" w:color="auto" w:fill="FFFFFF"/>
        </w:rPr>
        <w:t xml:space="preserve"> </w:t>
      </w:r>
      <w:r w:rsidRPr="001261D9">
        <w:rPr>
          <w:iCs/>
          <w:shd w:val="clear" w:color="auto" w:fill="FFFFFF"/>
        </w:rPr>
        <w:t>5</w:t>
      </w:r>
      <w:r w:rsidRPr="00EE341A">
        <w:rPr>
          <w:shd w:val="clear" w:color="auto" w:fill="FFFFFF"/>
        </w:rPr>
        <w:t>(9)</w:t>
      </w:r>
      <w:r>
        <w:rPr>
          <w:shd w:val="clear" w:color="auto" w:fill="FFFFFF"/>
        </w:rPr>
        <w:t>:</w:t>
      </w:r>
      <w:r w:rsidRPr="00EE341A">
        <w:rPr>
          <w:shd w:val="clear" w:color="auto" w:fill="FFFFFF"/>
        </w:rPr>
        <w:t xml:space="preserve"> 18</w:t>
      </w:r>
      <w:r>
        <w:rPr>
          <w:shd w:val="clear" w:color="auto" w:fill="FFFFFF"/>
        </w:rPr>
        <w:t>–</w:t>
      </w:r>
      <w:r w:rsidRPr="00EE341A">
        <w:rPr>
          <w:shd w:val="clear" w:color="auto" w:fill="FFFFFF"/>
        </w:rPr>
        <w:t>34.</w:t>
      </w:r>
      <w:r>
        <w:rPr>
          <w:shd w:val="clear" w:color="auto" w:fill="FFFFFF"/>
        </w:rPr>
        <w:t xml:space="preserve"> </w:t>
      </w:r>
      <w:r w:rsidRPr="00881C5A">
        <w:rPr>
          <w:color w:val="007CAF" w:themeColor="accent1" w:themeTint="BF"/>
          <w:u w:val="single"/>
          <w:shd w:val="clear" w:color="auto" w:fill="FFFFFF"/>
        </w:rPr>
        <w:t>https://www.researchgate.net/publication/281409802_Advantages_and_disadvantages_of_E-_government_implementation_literature_review</w:t>
      </w:r>
    </w:p>
    <w:p w14:paraId="52B0836B" w14:textId="77777777" w:rsidR="00552F59" w:rsidRPr="00EE341A" w:rsidRDefault="00552F59" w:rsidP="001F4507">
      <w:pPr>
        <w:rPr>
          <w:shd w:val="clear" w:color="auto" w:fill="FFFFFF"/>
        </w:rPr>
      </w:pPr>
      <w:r w:rsidRPr="00EE341A">
        <w:rPr>
          <w:shd w:val="clear" w:color="auto" w:fill="FFFFFF"/>
        </w:rPr>
        <w:t>Kamau, G, Njihia, M</w:t>
      </w:r>
      <w:r>
        <w:rPr>
          <w:shd w:val="clear" w:color="auto" w:fill="FFFFFF"/>
        </w:rPr>
        <w:t xml:space="preserve"> and</w:t>
      </w:r>
      <w:r w:rsidRPr="00EE341A">
        <w:rPr>
          <w:shd w:val="clear" w:color="auto" w:fill="FFFFFF"/>
        </w:rPr>
        <w:t xml:space="preserve"> Wausi, A (2016). E-government websites user experience from public value perspective: Case study of iTax website in Kenya. In </w:t>
      </w:r>
      <w:r w:rsidRPr="00EE341A">
        <w:rPr>
          <w:i/>
          <w:iCs/>
          <w:shd w:val="clear" w:color="auto" w:fill="FFFFFF"/>
        </w:rPr>
        <w:t>2016 IST-Africa Week Conference</w:t>
      </w:r>
      <w:r w:rsidRPr="00EE341A">
        <w:rPr>
          <w:shd w:val="clear" w:color="auto" w:fill="FFFFFF"/>
        </w:rPr>
        <w:t>.</w:t>
      </w:r>
      <w:r>
        <w:rPr>
          <w:shd w:val="clear" w:color="auto" w:fill="FFFFFF"/>
        </w:rPr>
        <w:t xml:space="preserve"> </w:t>
      </w:r>
      <w:r w:rsidRPr="0017175E">
        <w:rPr>
          <w:color w:val="007CAF" w:themeColor="accent1" w:themeTint="BF"/>
          <w:u w:val="single"/>
          <w:shd w:val="clear" w:color="auto" w:fill="FFFFFF"/>
        </w:rPr>
        <w:t>https://www.researchgate.net/publication/305997845_E-government_websites_user_experience_from_public_value_perspective_Case_study_of_iTax_website_in_Kenya</w:t>
      </w:r>
    </w:p>
    <w:p w14:paraId="58AE907D" w14:textId="77777777" w:rsidR="00552F59" w:rsidRPr="00EE341A" w:rsidRDefault="00552F59" w:rsidP="001F4507">
      <w:pPr>
        <w:rPr>
          <w:shd w:val="clear" w:color="auto" w:fill="FFFFFF"/>
        </w:rPr>
      </w:pPr>
      <w:r w:rsidRPr="00EE341A">
        <w:rPr>
          <w:shd w:val="clear" w:color="auto" w:fill="FFFFFF"/>
        </w:rPr>
        <w:t xml:space="preserve">Lapowsky, I (2019). The </w:t>
      </w:r>
      <w:r>
        <w:rPr>
          <w:shd w:val="clear" w:color="auto" w:fill="FFFFFF"/>
        </w:rPr>
        <w:t>c</w:t>
      </w:r>
      <w:r w:rsidRPr="00EE341A">
        <w:rPr>
          <w:shd w:val="clear" w:color="auto" w:fill="FFFFFF"/>
        </w:rPr>
        <w:t>hallenge of America</w:t>
      </w:r>
      <w:r>
        <w:rPr>
          <w:shd w:val="clear" w:color="auto" w:fill="FFFFFF"/>
        </w:rPr>
        <w:t>’</w:t>
      </w:r>
      <w:r w:rsidRPr="00EE341A">
        <w:rPr>
          <w:shd w:val="clear" w:color="auto" w:fill="FFFFFF"/>
        </w:rPr>
        <w:t xml:space="preserve">s </w:t>
      </w:r>
      <w:r>
        <w:rPr>
          <w:shd w:val="clear" w:color="auto" w:fill="FFFFFF"/>
        </w:rPr>
        <w:t>f</w:t>
      </w:r>
      <w:r w:rsidRPr="00EE341A">
        <w:rPr>
          <w:shd w:val="clear" w:color="auto" w:fill="FFFFFF"/>
        </w:rPr>
        <w:t xml:space="preserve">irst </w:t>
      </w:r>
      <w:r>
        <w:rPr>
          <w:shd w:val="clear" w:color="auto" w:fill="FFFFFF"/>
        </w:rPr>
        <w:t>o</w:t>
      </w:r>
      <w:r w:rsidRPr="00EE341A">
        <w:rPr>
          <w:shd w:val="clear" w:color="auto" w:fill="FFFFFF"/>
        </w:rPr>
        <w:t xml:space="preserve">nline </w:t>
      </w:r>
      <w:r>
        <w:rPr>
          <w:shd w:val="clear" w:color="auto" w:fill="FFFFFF"/>
        </w:rPr>
        <w:t>c</w:t>
      </w:r>
      <w:r w:rsidRPr="00EE341A">
        <w:rPr>
          <w:shd w:val="clear" w:color="auto" w:fill="FFFFFF"/>
        </w:rPr>
        <w:t>ensus. </w:t>
      </w:r>
      <w:r w:rsidRPr="00EE341A">
        <w:rPr>
          <w:i/>
          <w:iCs/>
          <w:shd w:val="clear" w:color="auto" w:fill="FFFFFF"/>
        </w:rPr>
        <w:t>Wired</w:t>
      </w:r>
      <w:r>
        <w:rPr>
          <w:iCs/>
          <w:shd w:val="clear" w:color="auto" w:fill="FFFFFF"/>
        </w:rPr>
        <w:t>, 2 July 2019</w:t>
      </w:r>
      <w:r w:rsidRPr="00EE341A">
        <w:rPr>
          <w:shd w:val="clear" w:color="auto" w:fill="FFFFFF"/>
        </w:rPr>
        <w:t xml:space="preserve">. </w:t>
      </w:r>
      <w:hyperlink r:id="rId60" w:history="1">
        <w:r w:rsidRPr="00EE341A">
          <w:rPr>
            <w:rStyle w:val="Hyperlink"/>
            <w:rFonts w:ascii="Calibri" w:hAnsi="Calibri" w:cs="Calibri"/>
            <w:shd w:val="clear" w:color="auto" w:fill="FFFFFF"/>
          </w:rPr>
          <w:t>https://www.wired.com/story/us-census-2020-goes-digital/</w:t>
        </w:r>
      </w:hyperlink>
    </w:p>
    <w:p w14:paraId="3BE9E579" w14:textId="77777777" w:rsidR="00552F59" w:rsidRPr="00EE341A" w:rsidRDefault="00552F59" w:rsidP="001F4507">
      <w:pPr>
        <w:rPr>
          <w:shd w:val="clear" w:color="auto" w:fill="FFFFFF"/>
        </w:rPr>
      </w:pPr>
      <w:r w:rsidRPr="00EE341A">
        <w:rPr>
          <w:shd w:val="clear" w:color="auto" w:fill="FFFFFF"/>
        </w:rPr>
        <w:t>Liu</w:t>
      </w:r>
      <w:r>
        <w:rPr>
          <w:shd w:val="clear" w:color="auto" w:fill="FFFFFF"/>
        </w:rPr>
        <w:t>,</w:t>
      </w:r>
      <w:r w:rsidRPr="00EE341A">
        <w:rPr>
          <w:shd w:val="clear" w:color="auto" w:fill="FFFFFF"/>
        </w:rPr>
        <w:t xml:space="preserve"> Y, Zhu</w:t>
      </w:r>
      <w:r>
        <w:rPr>
          <w:shd w:val="clear" w:color="auto" w:fill="FFFFFF"/>
        </w:rPr>
        <w:t>,</w:t>
      </w:r>
      <w:r w:rsidRPr="00EE341A">
        <w:rPr>
          <w:shd w:val="clear" w:color="auto" w:fill="FFFFFF"/>
        </w:rPr>
        <w:t xml:space="preserve"> L</w:t>
      </w:r>
      <w:r>
        <w:rPr>
          <w:shd w:val="clear" w:color="auto" w:fill="FFFFFF"/>
        </w:rPr>
        <w:t xml:space="preserve"> and</w:t>
      </w:r>
      <w:r w:rsidRPr="00EE341A">
        <w:rPr>
          <w:shd w:val="clear" w:color="auto" w:fill="FFFFFF"/>
        </w:rPr>
        <w:t xml:space="preserve"> Gorton I (2007)</w:t>
      </w:r>
      <w:r>
        <w:rPr>
          <w:shd w:val="clear" w:color="auto" w:fill="FFFFFF"/>
        </w:rPr>
        <w:t>.</w:t>
      </w:r>
      <w:r w:rsidRPr="00EE341A">
        <w:rPr>
          <w:shd w:val="clear" w:color="auto" w:fill="FFFFFF"/>
        </w:rPr>
        <w:t xml:space="preserve"> Performance </w:t>
      </w:r>
      <w:r>
        <w:rPr>
          <w:shd w:val="clear" w:color="auto" w:fill="FFFFFF"/>
        </w:rPr>
        <w:t>a</w:t>
      </w:r>
      <w:r w:rsidRPr="00EE341A">
        <w:rPr>
          <w:shd w:val="clear" w:color="auto" w:fill="FFFFFF"/>
        </w:rPr>
        <w:t>ssessment for e-</w:t>
      </w:r>
      <w:r>
        <w:rPr>
          <w:shd w:val="clear" w:color="auto" w:fill="FFFFFF"/>
        </w:rPr>
        <w:t>g</w:t>
      </w:r>
      <w:r w:rsidRPr="00EE341A">
        <w:rPr>
          <w:shd w:val="clear" w:color="auto" w:fill="FFFFFF"/>
        </w:rPr>
        <w:t xml:space="preserve">overnment </w:t>
      </w:r>
      <w:r>
        <w:rPr>
          <w:shd w:val="clear" w:color="auto" w:fill="FFFFFF"/>
        </w:rPr>
        <w:t>s</w:t>
      </w:r>
      <w:r w:rsidRPr="00EE341A">
        <w:rPr>
          <w:shd w:val="clear" w:color="auto" w:fill="FFFFFF"/>
        </w:rPr>
        <w:t xml:space="preserve">ervices: An </w:t>
      </w:r>
      <w:r>
        <w:rPr>
          <w:shd w:val="clear" w:color="auto" w:fill="FFFFFF"/>
        </w:rPr>
        <w:t>e</w:t>
      </w:r>
      <w:r w:rsidRPr="00EE341A">
        <w:rPr>
          <w:shd w:val="clear" w:color="auto" w:fill="FFFFFF"/>
        </w:rPr>
        <w:t xml:space="preserve">xperience </w:t>
      </w:r>
      <w:r>
        <w:rPr>
          <w:shd w:val="clear" w:color="auto" w:fill="FFFFFF"/>
        </w:rPr>
        <w:t>r</w:t>
      </w:r>
      <w:r w:rsidRPr="00EE341A">
        <w:rPr>
          <w:shd w:val="clear" w:color="auto" w:fill="FFFFFF"/>
        </w:rPr>
        <w:t xml:space="preserve">eport. In </w:t>
      </w:r>
      <w:r>
        <w:rPr>
          <w:shd w:val="clear" w:color="auto" w:fill="FFFFFF"/>
        </w:rPr>
        <w:t xml:space="preserve">HW </w:t>
      </w:r>
      <w:r w:rsidRPr="00EE341A">
        <w:rPr>
          <w:shd w:val="clear" w:color="auto" w:fill="FFFFFF"/>
        </w:rPr>
        <w:t xml:space="preserve">Schmidt, </w:t>
      </w:r>
      <w:r>
        <w:rPr>
          <w:shd w:val="clear" w:color="auto" w:fill="FFFFFF"/>
        </w:rPr>
        <w:t xml:space="preserve">I </w:t>
      </w:r>
      <w:r w:rsidRPr="00EE341A">
        <w:rPr>
          <w:shd w:val="clear" w:color="auto" w:fill="FFFFFF"/>
        </w:rPr>
        <w:t xml:space="preserve">Crnkovic, </w:t>
      </w:r>
      <w:r>
        <w:rPr>
          <w:shd w:val="clear" w:color="auto" w:fill="FFFFFF"/>
        </w:rPr>
        <w:t xml:space="preserve">GT </w:t>
      </w:r>
      <w:r w:rsidRPr="00EE341A">
        <w:rPr>
          <w:shd w:val="clear" w:color="auto" w:fill="FFFFFF"/>
        </w:rPr>
        <w:t>Heineman</w:t>
      </w:r>
      <w:r>
        <w:rPr>
          <w:shd w:val="clear" w:color="auto" w:fill="FFFFFF"/>
        </w:rPr>
        <w:t xml:space="preserve"> and JA</w:t>
      </w:r>
      <w:r w:rsidRPr="00EE341A">
        <w:rPr>
          <w:shd w:val="clear" w:color="auto" w:fill="FFFFFF"/>
        </w:rPr>
        <w:t xml:space="preserve"> Stafford</w:t>
      </w:r>
      <w:r w:rsidRPr="007620B2">
        <w:rPr>
          <w:shd w:val="clear" w:color="auto" w:fill="FFFFFF"/>
        </w:rPr>
        <w:t xml:space="preserve"> (</w:t>
      </w:r>
      <w:r w:rsidRPr="001261D9">
        <w:rPr>
          <w:iCs/>
          <w:shd w:val="clear" w:color="auto" w:fill="FFFFFF"/>
        </w:rPr>
        <w:t xml:space="preserve">eds), </w:t>
      </w:r>
      <w:r w:rsidRPr="00EE341A">
        <w:rPr>
          <w:i/>
          <w:iCs/>
          <w:shd w:val="clear" w:color="auto" w:fill="FFFFFF"/>
        </w:rPr>
        <w:t>Component-</w:t>
      </w:r>
      <w:r>
        <w:rPr>
          <w:i/>
          <w:iCs/>
          <w:shd w:val="clear" w:color="auto" w:fill="FFFFFF"/>
        </w:rPr>
        <w:t>b</w:t>
      </w:r>
      <w:r w:rsidRPr="00EE341A">
        <w:rPr>
          <w:i/>
          <w:iCs/>
          <w:shd w:val="clear" w:color="auto" w:fill="FFFFFF"/>
        </w:rPr>
        <w:t xml:space="preserve">ased </w:t>
      </w:r>
      <w:r>
        <w:rPr>
          <w:i/>
          <w:iCs/>
          <w:shd w:val="clear" w:color="auto" w:fill="FFFFFF"/>
        </w:rPr>
        <w:t>s</w:t>
      </w:r>
      <w:r w:rsidRPr="00EE341A">
        <w:rPr>
          <w:i/>
          <w:iCs/>
          <w:shd w:val="clear" w:color="auto" w:fill="FFFFFF"/>
        </w:rPr>
        <w:t xml:space="preserve">oftware </w:t>
      </w:r>
      <w:r>
        <w:rPr>
          <w:i/>
          <w:iCs/>
          <w:shd w:val="clear" w:color="auto" w:fill="FFFFFF"/>
        </w:rPr>
        <w:t>e</w:t>
      </w:r>
      <w:r w:rsidRPr="00EE341A">
        <w:rPr>
          <w:i/>
          <w:iCs/>
          <w:shd w:val="clear" w:color="auto" w:fill="FFFFFF"/>
        </w:rPr>
        <w:t>ngineering</w:t>
      </w:r>
      <w:r w:rsidRPr="001261D9">
        <w:rPr>
          <w:iCs/>
          <w:shd w:val="clear" w:color="auto" w:fill="FFFFFF"/>
        </w:rPr>
        <w:t>.</w:t>
      </w:r>
      <w:r w:rsidRPr="00EE341A">
        <w:rPr>
          <w:i/>
          <w:iCs/>
          <w:shd w:val="clear" w:color="auto" w:fill="FFFFFF"/>
        </w:rPr>
        <w:t xml:space="preserve"> </w:t>
      </w:r>
      <w:r w:rsidRPr="00EE341A">
        <w:rPr>
          <w:shd w:val="clear" w:color="auto" w:fill="FFFFFF"/>
        </w:rPr>
        <w:t xml:space="preserve">CBSE 2007. Lecture Notes in Computer Science 4608. </w:t>
      </w:r>
      <w:r>
        <w:rPr>
          <w:shd w:val="clear" w:color="auto" w:fill="FFFFFF"/>
        </w:rPr>
        <w:t xml:space="preserve">Berlin/Heidelberg: </w:t>
      </w:r>
      <w:r w:rsidRPr="00EE341A">
        <w:rPr>
          <w:shd w:val="clear" w:color="auto" w:fill="FFFFFF"/>
        </w:rPr>
        <w:t>Springer</w:t>
      </w:r>
      <w:r>
        <w:rPr>
          <w:shd w:val="clear" w:color="auto" w:fill="FFFFFF"/>
        </w:rPr>
        <w:t xml:space="preserve"> </w:t>
      </w:r>
      <w:r w:rsidRPr="008E002B">
        <w:rPr>
          <w:color w:val="007CAF" w:themeColor="accent1" w:themeTint="BF"/>
          <w:u w:val="single"/>
          <w:shd w:val="clear" w:color="auto" w:fill="FFFFFF"/>
        </w:rPr>
        <w:t>https://link.springer.com/chapter/10.1007/978-3-540-73551-9_6</w:t>
      </w:r>
    </w:p>
    <w:p w14:paraId="17153989" w14:textId="77777777" w:rsidR="00552F59" w:rsidRPr="00EE341A" w:rsidRDefault="00552F59" w:rsidP="001F4507">
      <w:pPr>
        <w:rPr>
          <w:color w:val="000000"/>
          <w:shd w:val="clear" w:color="auto" w:fill="FFFFFF"/>
        </w:rPr>
      </w:pPr>
      <w:r>
        <w:rPr>
          <w:color w:val="000000"/>
          <w:shd w:val="clear" w:color="auto" w:fill="FFFFFF"/>
        </w:rPr>
        <w:t xml:space="preserve">Macquarie Group (2019). </w:t>
      </w:r>
      <w:r w:rsidRPr="00EE341A">
        <w:rPr>
          <w:color w:val="000000"/>
          <w:shd w:val="clear" w:color="auto" w:fill="FFFFFF"/>
        </w:rPr>
        <w:t xml:space="preserve">Demystifying the magic behind eTax and tax pre-fill. </w:t>
      </w:r>
      <w:r>
        <w:rPr>
          <w:color w:val="000000"/>
          <w:shd w:val="clear" w:color="auto" w:fill="FFFFFF"/>
        </w:rPr>
        <w:t>Macquarie [website]</w:t>
      </w:r>
      <w:r w:rsidRPr="00EE341A">
        <w:rPr>
          <w:color w:val="000000"/>
          <w:shd w:val="clear" w:color="auto" w:fill="FFFFFF"/>
        </w:rPr>
        <w:t xml:space="preserve">. </w:t>
      </w:r>
      <w:hyperlink r:id="rId61" w:history="1">
        <w:r w:rsidRPr="00EE341A">
          <w:rPr>
            <w:rStyle w:val="Hyperlink"/>
            <w:rFonts w:ascii="Calibri" w:hAnsi="Calibri" w:cs="Calibri"/>
            <w:shd w:val="clear" w:color="auto" w:fill="FFFFFF"/>
          </w:rPr>
          <w:t>https://www.macquarie.com/au/personal/financial-advice/expertise/eTax-and-tax-pre-fill/</w:t>
        </w:r>
      </w:hyperlink>
      <w:r>
        <w:rPr>
          <w:rFonts w:cstheme="minorHAnsi"/>
          <w:color w:val="000000"/>
          <w:shd w:val="clear" w:color="auto" w:fill="FFFFFF"/>
        </w:rPr>
        <w:t xml:space="preserve"> </w:t>
      </w:r>
      <w:r w:rsidRPr="00937931">
        <w:t>[</w:t>
      </w:r>
      <w:r>
        <w:t>accessed 7 November 2019]</w:t>
      </w:r>
    </w:p>
    <w:p w14:paraId="244D09CC" w14:textId="77777777" w:rsidR="00552F59" w:rsidRPr="00EE341A" w:rsidRDefault="00552F59" w:rsidP="001F4507">
      <w:pPr>
        <w:rPr>
          <w:shd w:val="clear" w:color="auto" w:fill="FFFFFF"/>
        </w:rPr>
      </w:pPr>
      <w:r w:rsidRPr="00EE341A">
        <w:rPr>
          <w:shd w:val="clear" w:color="auto" w:fill="FFFFFF"/>
        </w:rPr>
        <w:t xml:space="preserve">Merhi, M </w:t>
      </w:r>
      <w:r>
        <w:rPr>
          <w:shd w:val="clear" w:color="auto" w:fill="FFFFFF"/>
        </w:rPr>
        <w:t>and</w:t>
      </w:r>
      <w:r w:rsidRPr="00EE341A">
        <w:rPr>
          <w:shd w:val="clear" w:color="auto" w:fill="FFFFFF"/>
        </w:rPr>
        <w:t xml:space="preserve"> Koong, K (2016). E-government effectiveness: </w:t>
      </w:r>
      <w:r>
        <w:rPr>
          <w:shd w:val="clear" w:color="auto" w:fill="FFFFFF"/>
        </w:rPr>
        <w:t>A</w:t>
      </w:r>
      <w:r w:rsidRPr="00EE341A">
        <w:rPr>
          <w:shd w:val="clear" w:color="auto" w:fill="FFFFFF"/>
        </w:rPr>
        <w:t xml:space="preserve"> rocket model of contributing user-related factors. </w:t>
      </w:r>
      <w:r w:rsidRPr="00EE341A">
        <w:rPr>
          <w:i/>
          <w:iCs/>
          <w:shd w:val="clear" w:color="auto" w:fill="FFFFFF"/>
        </w:rPr>
        <w:t xml:space="preserve">International Journal </w:t>
      </w:r>
      <w:r>
        <w:rPr>
          <w:i/>
          <w:iCs/>
          <w:shd w:val="clear" w:color="auto" w:fill="FFFFFF"/>
        </w:rPr>
        <w:t>o</w:t>
      </w:r>
      <w:r w:rsidRPr="00EE341A">
        <w:rPr>
          <w:i/>
          <w:iCs/>
          <w:shd w:val="clear" w:color="auto" w:fill="FFFFFF"/>
        </w:rPr>
        <w:t xml:space="preserve">f Services </w:t>
      </w:r>
      <w:r>
        <w:rPr>
          <w:i/>
          <w:iCs/>
          <w:shd w:val="clear" w:color="auto" w:fill="FFFFFF"/>
        </w:rPr>
        <w:t>a</w:t>
      </w:r>
      <w:r w:rsidRPr="00EE341A">
        <w:rPr>
          <w:i/>
          <w:iCs/>
          <w:shd w:val="clear" w:color="auto" w:fill="FFFFFF"/>
        </w:rPr>
        <w:t>nd Standards</w:t>
      </w:r>
      <w:r w:rsidRPr="00EE341A">
        <w:rPr>
          <w:shd w:val="clear" w:color="auto" w:fill="FFFFFF"/>
        </w:rPr>
        <w:t> </w:t>
      </w:r>
      <w:r w:rsidRPr="001261D9">
        <w:rPr>
          <w:iCs/>
          <w:shd w:val="clear" w:color="auto" w:fill="FFFFFF"/>
        </w:rPr>
        <w:t>11</w:t>
      </w:r>
      <w:r w:rsidRPr="00EE341A">
        <w:rPr>
          <w:shd w:val="clear" w:color="auto" w:fill="FFFFFF"/>
        </w:rPr>
        <w:t>(1)</w:t>
      </w:r>
      <w:r>
        <w:rPr>
          <w:shd w:val="clear" w:color="auto" w:fill="FFFFFF"/>
        </w:rPr>
        <w:t>:</w:t>
      </w:r>
      <w:r w:rsidRPr="00EE341A">
        <w:rPr>
          <w:shd w:val="clear" w:color="auto" w:fill="FFFFFF"/>
        </w:rPr>
        <w:t xml:space="preserve"> 1. doi:</w:t>
      </w:r>
      <w:r>
        <w:rPr>
          <w:shd w:val="clear" w:color="auto" w:fill="FFFFFF"/>
        </w:rPr>
        <w:t> </w:t>
      </w:r>
      <w:r w:rsidRPr="00EE341A">
        <w:rPr>
          <w:shd w:val="clear" w:color="auto" w:fill="FFFFFF"/>
        </w:rPr>
        <w:t>10.1504/ijss.2016.076968</w:t>
      </w:r>
      <w:r>
        <w:rPr>
          <w:shd w:val="clear" w:color="auto" w:fill="FFFFFF"/>
        </w:rPr>
        <w:t xml:space="preserve">. </w:t>
      </w:r>
      <w:hyperlink r:id="rId62" w:history="1">
        <w:r>
          <w:rPr>
            <w:rStyle w:val="Hyperlink"/>
          </w:rPr>
          <w:t>https://www.researchgate.net/publication/303909258_E-government_effectiveness_A_rocket_model_of_contributing_user-related_factors</w:t>
        </w:r>
      </w:hyperlink>
      <w:r>
        <w:t xml:space="preserve"> [accessed 7 July 2020]</w:t>
      </w:r>
    </w:p>
    <w:p w14:paraId="3A7DA676" w14:textId="77777777" w:rsidR="00552F59" w:rsidRPr="00EE341A" w:rsidRDefault="00552F59" w:rsidP="001F4507">
      <w:r w:rsidRPr="00EE341A">
        <w:lastRenderedPageBreak/>
        <w:t>OECD (2017)</w:t>
      </w:r>
      <w:r>
        <w:t>.</w:t>
      </w:r>
      <w:r w:rsidRPr="00EE341A">
        <w:t> </w:t>
      </w:r>
      <w:r w:rsidRPr="00EE341A">
        <w:rPr>
          <w:i/>
          <w:iCs/>
        </w:rPr>
        <w:t xml:space="preserve">Building </w:t>
      </w:r>
      <w:r>
        <w:rPr>
          <w:i/>
          <w:iCs/>
        </w:rPr>
        <w:t>s</w:t>
      </w:r>
      <w:r w:rsidRPr="00EE341A">
        <w:rPr>
          <w:i/>
          <w:iCs/>
        </w:rPr>
        <w:t xml:space="preserve">kills for </w:t>
      </w:r>
      <w:r>
        <w:rPr>
          <w:i/>
          <w:iCs/>
        </w:rPr>
        <w:t>a</w:t>
      </w:r>
      <w:r w:rsidRPr="00EE341A">
        <w:rPr>
          <w:i/>
          <w:iCs/>
        </w:rPr>
        <w:t xml:space="preserve">ll in Australia: Policy </w:t>
      </w:r>
      <w:r>
        <w:rPr>
          <w:i/>
          <w:iCs/>
        </w:rPr>
        <w:t>i</w:t>
      </w:r>
      <w:r w:rsidRPr="00EE341A">
        <w:rPr>
          <w:i/>
          <w:iCs/>
        </w:rPr>
        <w:t xml:space="preserve">nsights from the </w:t>
      </w:r>
      <w:r>
        <w:rPr>
          <w:i/>
          <w:iCs/>
        </w:rPr>
        <w:t>s</w:t>
      </w:r>
      <w:r w:rsidRPr="00EE341A">
        <w:rPr>
          <w:i/>
          <w:iCs/>
        </w:rPr>
        <w:t xml:space="preserve">urvey of </w:t>
      </w:r>
      <w:r>
        <w:rPr>
          <w:i/>
          <w:iCs/>
        </w:rPr>
        <w:t>a</w:t>
      </w:r>
      <w:r w:rsidRPr="00EE341A">
        <w:rPr>
          <w:i/>
          <w:iCs/>
        </w:rPr>
        <w:t xml:space="preserve">dult </w:t>
      </w:r>
      <w:r>
        <w:rPr>
          <w:i/>
          <w:iCs/>
        </w:rPr>
        <w:t>s</w:t>
      </w:r>
      <w:r w:rsidRPr="00EE341A">
        <w:rPr>
          <w:i/>
          <w:iCs/>
        </w:rPr>
        <w:t>kills</w:t>
      </w:r>
      <w:r>
        <w:t>.</w:t>
      </w:r>
      <w:r w:rsidRPr="00EE341A">
        <w:t xml:space="preserve"> OECD Skills Studies</w:t>
      </w:r>
      <w:r>
        <w:t>.</w:t>
      </w:r>
      <w:r w:rsidRPr="00EE341A">
        <w:t xml:space="preserve"> </w:t>
      </w:r>
      <w:r>
        <w:t xml:space="preserve">Paris: </w:t>
      </w:r>
      <w:r w:rsidRPr="00EE341A">
        <w:t>OECD Publishing</w:t>
      </w:r>
      <w:r>
        <w:t>.</w:t>
      </w:r>
      <w:r w:rsidRPr="00EE341A">
        <w:t> </w:t>
      </w:r>
      <w:hyperlink r:id="rId63" w:history="1">
        <w:r w:rsidRPr="00EE341A">
          <w:rPr>
            <w:rStyle w:val="Hyperlink"/>
            <w:rFonts w:ascii="Calibri" w:eastAsiaTheme="majorEastAsia" w:hAnsi="Calibri" w:cs="Calibri"/>
          </w:rPr>
          <w:t>https://doi.org/10.1787/9789264281110-en</w:t>
        </w:r>
      </w:hyperlink>
    </w:p>
    <w:p w14:paraId="0167BE0F" w14:textId="77777777" w:rsidR="00552F59" w:rsidRPr="00EE341A" w:rsidRDefault="00552F59" w:rsidP="001F4507">
      <w:pPr>
        <w:rPr>
          <w:shd w:val="clear" w:color="auto" w:fill="FFFFFF"/>
        </w:rPr>
      </w:pPr>
      <w:r w:rsidRPr="00EE341A">
        <w:rPr>
          <w:shd w:val="clear" w:color="auto" w:fill="FFFFFF"/>
        </w:rPr>
        <w:t>OECD</w:t>
      </w:r>
      <w:r>
        <w:rPr>
          <w:shd w:val="clear" w:color="auto" w:fill="FFFFFF"/>
        </w:rPr>
        <w:t xml:space="preserve"> (2018).</w:t>
      </w:r>
      <w:r w:rsidRPr="00EE341A">
        <w:rPr>
          <w:shd w:val="clear" w:color="auto" w:fill="FFFFFF"/>
        </w:rPr>
        <w:t xml:space="preserve"> Digital Government Toolkit. </w:t>
      </w:r>
      <w:hyperlink r:id="rId64" w:history="1">
        <w:r w:rsidRPr="00EE341A">
          <w:rPr>
            <w:rStyle w:val="Hyperlink"/>
            <w:rFonts w:ascii="Calibri" w:hAnsi="Calibri" w:cs="Calibri"/>
            <w:shd w:val="clear" w:color="auto" w:fill="FFFFFF"/>
          </w:rPr>
          <w:t>https://www.oecd.org/governance/digital-government/toolkit/home/</w:t>
        </w:r>
      </w:hyperlink>
      <w:r w:rsidRPr="001261D9">
        <w:rPr>
          <w:color w:val="000000"/>
        </w:rPr>
        <w:t xml:space="preserve"> [</w:t>
      </w:r>
      <w:r>
        <w:rPr>
          <w:color w:val="000000"/>
          <w:shd w:val="clear" w:color="auto" w:fill="FFFFFF"/>
        </w:rPr>
        <w:t>accessed 1 November 2019]</w:t>
      </w:r>
    </w:p>
    <w:p w14:paraId="03F2F9FA" w14:textId="77777777" w:rsidR="00552F59" w:rsidRPr="00EE341A" w:rsidRDefault="00552F59" w:rsidP="001F4507">
      <w:pPr>
        <w:rPr>
          <w:rFonts w:ascii="Calibri" w:hAnsi="Calibri" w:cs="Calibri"/>
        </w:rPr>
      </w:pPr>
      <w:r w:rsidRPr="00EE341A">
        <w:rPr>
          <w:rFonts w:ascii="Calibri" w:hAnsi="Calibri" w:cs="Calibri"/>
          <w:color w:val="000000"/>
          <w:shd w:val="clear" w:color="auto" w:fill="FFFFFF"/>
        </w:rPr>
        <w:t xml:space="preserve">Quinn, B (2018). The ‘nudge unit’: </w:t>
      </w:r>
      <w:r>
        <w:rPr>
          <w:rFonts w:ascii="Calibri" w:hAnsi="Calibri" w:cs="Calibri"/>
          <w:color w:val="000000"/>
          <w:shd w:val="clear" w:color="auto" w:fill="FFFFFF"/>
        </w:rPr>
        <w:t>T</w:t>
      </w:r>
      <w:r w:rsidRPr="00EE341A">
        <w:rPr>
          <w:rFonts w:ascii="Calibri" w:hAnsi="Calibri" w:cs="Calibri"/>
          <w:color w:val="000000"/>
          <w:shd w:val="clear" w:color="auto" w:fill="FFFFFF"/>
        </w:rPr>
        <w:t>he experts that became a prime UK export. </w:t>
      </w:r>
      <w:r w:rsidRPr="00EE341A">
        <w:rPr>
          <w:rFonts w:ascii="Calibri" w:hAnsi="Calibri" w:cs="Calibri"/>
          <w:i/>
          <w:iCs/>
          <w:color w:val="000000"/>
          <w:shd w:val="clear" w:color="auto" w:fill="FFFFFF"/>
        </w:rPr>
        <w:t>The Guardian</w:t>
      </w:r>
      <w:r>
        <w:rPr>
          <w:rFonts w:ascii="Calibri" w:hAnsi="Calibri" w:cs="Calibri"/>
          <w:color w:val="000000"/>
          <w:shd w:val="clear" w:color="auto" w:fill="FFFFFF"/>
        </w:rPr>
        <w:t>, 11 November 2018.</w:t>
      </w:r>
      <w:r w:rsidRPr="00EE341A">
        <w:rPr>
          <w:rFonts w:ascii="Calibri" w:hAnsi="Calibri" w:cs="Calibri"/>
          <w:color w:val="000000"/>
          <w:shd w:val="clear" w:color="auto" w:fill="FFFFFF"/>
        </w:rPr>
        <w:t xml:space="preserve"> </w:t>
      </w:r>
      <w:hyperlink r:id="rId65" w:history="1">
        <w:r>
          <w:rPr>
            <w:rStyle w:val="Hyperlink"/>
          </w:rPr>
          <w:t>https://www.theguardian.com/politics/2018/nov/10/nudge-unit-pushed-way-private-sector-behavioural-insights-team</w:t>
        </w:r>
      </w:hyperlink>
    </w:p>
    <w:p w14:paraId="1B6CABF6" w14:textId="77777777" w:rsidR="00552F59" w:rsidRPr="00EE341A" w:rsidRDefault="00552F59" w:rsidP="001F4507">
      <w:pPr>
        <w:rPr>
          <w:rFonts w:ascii="Calibri" w:hAnsi="Calibri" w:cs="Calibri"/>
        </w:rPr>
      </w:pPr>
      <w:r w:rsidRPr="00EE341A">
        <w:rPr>
          <w:rFonts w:ascii="Calibri" w:hAnsi="Calibri" w:cs="Calibri"/>
          <w:shd w:val="clear" w:color="auto" w:fill="FFFFFF"/>
        </w:rPr>
        <w:t>Solinthone, P and Rumyantseva, T (2016). E-</w:t>
      </w:r>
      <w:r>
        <w:rPr>
          <w:rFonts w:ascii="Calibri" w:hAnsi="Calibri" w:cs="Calibri"/>
          <w:shd w:val="clear" w:color="auto" w:fill="FFFFFF"/>
        </w:rPr>
        <w:t>g</w:t>
      </w:r>
      <w:r w:rsidRPr="00EE341A">
        <w:rPr>
          <w:rFonts w:ascii="Calibri" w:hAnsi="Calibri" w:cs="Calibri"/>
          <w:shd w:val="clear" w:color="auto" w:fill="FFFFFF"/>
        </w:rPr>
        <w:t xml:space="preserve">overnment </w:t>
      </w:r>
      <w:r>
        <w:rPr>
          <w:rFonts w:ascii="Calibri" w:hAnsi="Calibri" w:cs="Calibri"/>
          <w:shd w:val="clear" w:color="auto" w:fill="FFFFFF"/>
        </w:rPr>
        <w:t>i</w:t>
      </w:r>
      <w:r w:rsidRPr="00EE341A">
        <w:rPr>
          <w:rFonts w:ascii="Calibri" w:hAnsi="Calibri" w:cs="Calibri"/>
          <w:shd w:val="clear" w:color="auto" w:fill="FFFFFF"/>
        </w:rPr>
        <w:t xml:space="preserve">mplementation. </w:t>
      </w:r>
      <w:r w:rsidRPr="00EE341A">
        <w:rPr>
          <w:rFonts w:ascii="Calibri" w:hAnsi="Calibri" w:cs="Calibri"/>
          <w:i/>
          <w:iCs/>
          <w:shd w:val="clear" w:color="auto" w:fill="FFFFFF"/>
        </w:rPr>
        <w:t>MATEC Web Conference</w:t>
      </w:r>
      <w:r w:rsidRPr="00EE341A">
        <w:rPr>
          <w:rFonts w:ascii="Calibri" w:hAnsi="Calibri" w:cs="Calibri"/>
          <w:shd w:val="clear" w:color="auto" w:fill="FFFFFF"/>
        </w:rPr>
        <w:t xml:space="preserve">. </w:t>
      </w:r>
      <w:r>
        <w:rPr>
          <w:rFonts w:ascii="Calibri" w:hAnsi="Calibri" w:cs="Calibri"/>
        </w:rPr>
        <w:t>doi</w:t>
      </w:r>
      <w:r w:rsidRPr="001261D9">
        <w:rPr>
          <w:rFonts w:ascii="Calibri" w:hAnsi="Calibri" w:cs="Calibri"/>
          <w:color w:val="000000"/>
          <w:shd w:val="clear" w:color="auto" w:fill="FFFFFF"/>
        </w:rPr>
        <w:t xml:space="preserve">: </w:t>
      </w:r>
      <w:hyperlink r:id="rId66" w:history="1">
        <w:r w:rsidRPr="001261D9">
          <w:rPr>
            <w:color w:val="000000"/>
            <w:shd w:val="clear" w:color="auto" w:fill="FFFFFF"/>
          </w:rPr>
          <w:t>10.1051/matecconf/20167901066</w:t>
        </w:r>
      </w:hyperlink>
      <w:r>
        <w:rPr>
          <w:rFonts w:ascii="Calibri" w:hAnsi="Calibri" w:cs="Calibri"/>
        </w:rPr>
        <w:t xml:space="preserve">. </w:t>
      </w:r>
      <w:hyperlink r:id="rId67" w:history="1">
        <w:r>
          <w:rPr>
            <w:rStyle w:val="Hyperlink"/>
          </w:rPr>
          <w:t>https://doi.org/10.1051/matecconf/20167901066</w:t>
        </w:r>
      </w:hyperlink>
    </w:p>
    <w:p w14:paraId="330DCDEC" w14:textId="77777777" w:rsidR="00552F59" w:rsidRPr="00EE341A" w:rsidRDefault="00552F59" w:rsidP="001F4507">
      <w:r w:rsidRPr="00EE341A">
        <w:t xml:space="preserve">Stragier, J, Verdegem, P </w:t>
      </w:r>
      <w:r>
        <w:t>and</w:t>
      </w:r>
      <w:r w:rsidRPr="00EE341A">
        <w:t xml:space="preserve"> Verleye, G (2010). How is e-</w:t>
      </w:r>
      <w:r>
        <w:t>g</w:t>
      </w:r>
      <w:r w:rsidRPr="00EE341A">
        <w:t xml:space="preserve">overnment </w:t>
      </w:r>
      <w:r>
        <w:t>p</w:t>
      </w:r>
      <w:r w:rsidRPr="00EE341A">
        <w:t xml:space="preserve">rogressing? A </w:t>
      </w:r>
      <w:r>
        <w:t>d</w:t>
      </w:r>
      <w:r w:rsidRPr="00EE341A">
        <w:t xml:space="preserve">ata </w:t>
      </w:r>
      <w:r>
        <w:t>d</w:t>
      </w:r>
      <w:r w:rsidRPr="00EE341A">
        <w:t xml:space="preserve">riven </w:t>
      </w:r>
      <w:r>
        <w:t>a</w:t>
      </w:r>
      <w:r w:rsidRPr="00EE341A">
        <w:t xml:space="preserve">pproach to </w:t>
      </w:r>
      <w:r>
        <w:t>e</w:t>
      </w:r>
      <w:r w:rsidRPr="00EE341A">
        <w:t xml:space="preserve">-government </w:t>
      </w:r>
      <w:r>
        <w:t>m</w:t>
      </w:r>
      <w:r w:rsidRPr="00EE341A">
        <w:t xml:space="preserve">onitoring. </w:t>
      </w:r>
      <w:r>
        <w:rPr>
          <w:i/>
          <w:iCs/>
        </w:rPr>
        <w:t>Journal of Universal Computer Science</w:t>
      </w:r>
      <w:r w:rsidRPr="00EE341A">
        <w:t xml:space="preserve"> 16</w:t>
      </w:r>
      <w:r>
        <w:t>:</w:t>
      </w:r>
      <w:r w:rsidRPr="00EE341A">
        <w:t xml:space="preserve"> 1075</w:t>
      </w:r>
      <w:r>
        <w:t>–</w:t>
      </w:r>
      <w:r w:rsidRPr="00EE341A">
        <w:t xml:space="preserve">1088. </w:t>
      </w:r>
      <w:r>
        <w:t>doi: </w:t>
      </w:r>
      <w:r w:rsidRPr="00EE341A">
        <w:t>10.3217/jucs-016-08-1075.</w:t>
      </w:r>
      <w:r w:rsidRPr="003055E7">
        <w:t xml:space="preserve"> </w:t>
      </w:r>
      <w:hyperlink r:id="rId68" w:history="1">
        <w:r>
          <w:rPr>
            <w:rStyle w:val="Hyperlink"/>
          </w:rPr>
          <w:t>https://www.researchgate.net/publication/220348920_How_is_e-Government_Progressing_A_Data_Driven_Approach_to_E-government_Monitoring</w:t>
        </w:r>
      </w:hyperlink>
      <w:r>
        <w:t xml:space="preserve"> [accessed 7 July 2020]</w:t>
      </w:r>
    </w:p>
    <w:p w14:paraId="33A1B136" w14:textId="77777777" w:rsidR="00552F59" w:rsidRPr="00EE341A" w:rsidRDefault="00552F59" w:rsidP="001F4507">
      <w:pPr>
        <w:rPr>
          <w:shd w:val="clear" w:color="auto" w:fill="FFFFFF"/>
        </w:rPr>
      </w:pPr>
      <w:r w:rsidRPr="00EE341A">
        <w:rPr>
          <w:shd w:val="clear" w:color="auto" w:fill="FFFFFF"/>
        </w:rPr>
        <w:t xml:space="preserve">Teicher, J </w:t>
      </w:r>
      <w:r>
        <w:rPr>
          <w:shd w:val="clear" w:color="auto" w:fill="FFFFFF"/>
        </w:rPr>
        <w:t>and</w:t>
      </w:r>
      <w:r w:rsidRPr="00EE341A">
        <w:rPr>
          <w:shd w:val="clear" w:color="auto" w:fill="FFFFFF"/>
        </w:rPr>
        <w:t xml:space="preserve"> Dow, N (2002). E-government in Australia: Promise and progress. </w:t>
      </w:r>
      <w:r w:rsidRPr="00EE341A">
        <w:rPr>
          <w:i/>
          <w:iCs/>
          <w:shd w:val="clear" w:color="auto" w:fill="FFFFFF"/>
        </w:rPr>
        <w:t>Information Polity</w:t>
      </w:r>
      <w:r w:rsidRPr="002B5C2F">
        <w:rPr>
          <w:shd w:val="clear" w:color="auto" w:fill="FFFFFF"/>
        </w:rPr>
        <w:t> </w:t>
      </w:r>
      <w:r w:rsidRPr="001261D9">
        <w:rPr>
          <w:iCs/>
          <w:shd w:val="clear" w:color="auto" w:fill="FFFFFF"/>
        </w:rPr>
        <w:t>7</w:t>
      </w:r>
      <w:r w:rsidRPr="00EE341A">
        <w:rPr>
          <w:shd w:val="clear" w:color="auto" w:fill="FFFFFF"/>
        </w:rPr>
        <w:t>(4)</w:t>
      </w:r>
      <w:r>
        <w:rPr>
          <w:shd w:val="clear" w:color="auto" w:fill="FFFFFF"/>
        </w:rPr>
        <w:t>:</w:t>
      </w:r>
      <w:r w:rsidRPr="00EE341A">
        <w:rPr>
          <w:shd w:val="clear" w:color="auto" w:fill="FFFFFF"/>
        </w:rPr>
        <w:t xml:space="preserve"> 231</w:t>
      </w:r>
      <w:r>
        <w:rPr>
          <w:shd w:val="clear" w:color="auto" w:fill="FFFFFF"/>
        </w:rPr>
        <w:softHyphen/>
        <w:t>–</w:t>
      </w:r>
      <w:r w:rsidRPr="00EE341A">
        <w:rPr>
          <w:shd w:val="clear" w:color="auto" w:fill="FFFFFF"/>
        </w:rPr>
        <w:t>246. </w:t>
      </w:r>
      <w:hyperlink r:id="rId69" w:history="1">
        <w:r w:rsidRPr="00814BE2">
          <w:rPr>
            <w:rStyle w:val="Hyperlink"/>
            <w:rFonts w:ascii="Calibri" w:hAnsi="Calibri" w:cs="Calibri"/>
            <w:shd w:val="clear" w:color="auto" w:fill="FFFFFF"/>
          </w:rPr>
          <w:t>https://www.deepdyve.com/lp/ios-press/e-government-in-australia-promise-and-progress-qh1KqBIRZU</w:t>
        </w:r>
      </w:hyperlink>
    </w:p>
    <w:p w14:paraId="5D1837F9" w14:textId="77777777" w:rsidR="00552F59" w:rsidRPr="003055E7" w:rsidRDefault="00552F59" w:rsidP="001F4507">
      <w:r w:rsidRPr="00EE341A">
        <w:rPr>
          <w:shd w:val="clear" w:color="auto" w:fill="FFFFFF"/>
        </w:rPr>
        <w:t xml:space="preserve">Thomas, J, Barraket, J, MacDonald, T, Mundell, M, Tucker, J </w:t>
      </w:r>
      <w:r>
        <w:rPr>
          <w:shd w:val="clear" w:color="auto" w:fill="FFFFFF"/>
        </w:rPr>
        <w:t>and</w:t>
      </w:r>
      <w:r w:rsidRPr="00EE341A">
        <w:rPr>
          <w:shd w:val="clear" w:color="auto" w:fill="FFFFFF"/>
        </w:rPr>
        <w:t xml:space="preserve"> Ewing, S (2018). </w:t>
      </w:r>
      <w:r w:rsidRPr="00EE341A">
        <w:rPr>
          <w:i/>
          <w:iCs/>
          <w:shd w:val="clear" w:color="auto" w:fill="FFFFFF"/>
        </w:rPr>
        <w:t xml:space="preserve">Measuring Australia’s </w:t>
      </w:r>
      <w:r>
        <w:rPr>
          <w:i/>
          <w:iCs/>
          <w:shd w:val="clear" w:color="auto" w:fill="FFFFFF"/>
        </w:rPr>
        <w:t>d</w:t>
      </w:r>
      <w:r w:rsidRPr="00EE341A">
        <w:rPr>
          <w:i/>
          <w:iCs/>
          <w:shd w:val="clear" w:color="auto" w:fill="FFFFFF"/>
        </w:rPr>
        <w:t xml:space="preserve">igital </w:t>
      </w:r>
      <w:r>
        <w:rPr>
          <w:i/>
          <w:iCs/>
          <w:shd w:val="clear" w:color="auto" w:fill="FFFFFF"/>
        </w:rPr>
        <w:t>d</w:t>
      </w:r>
      <w:r w:rsidRPr="00EE341A">
        <w:rPr>
          <w:i/>
          <w:iCs/>
          <w:shd w:val="clear" w:color="auto" w:fill="FFFFFF"/>
        </w:rPr>
        <w:t xml:space="preserve">ivide: The Australian </w:t>
      </w:r>
      <w:r>
        <w:rPr>
          <w:i/>
          <w:iCs/>
          <w:shd w:val="clear" w:color="auto" w:fill="FFFFFF"/>
        </w:rPr>
        <w:t>D</w:t>
      </w:r>
      <w:r w:rsidRPr="00EE341A">
        <w:rPr>
          <w:i/>
          <w:iCs/>
          <w:shd w:val="clear" w:color="auto" w:fill="FFFFFF"/>
        </w:rPr>
        <w:t xml:space="preserve">igital </w:t>
      </w:r>
      <w:r>
        <w:rPr>
          <w:i/>
          <w:iCs/>
          <w:shd w:val="clear" w:color="auto" w:fill="FFFFFF"/>
        </w:rPr>
        <w:t>I</w:t>
      </w:r>
      <w:r w:rsidRPr="00EE341A">
        <w:rPr>
          <w:i/>
          <w:iCs/>
          <w:shd w:val="clear" w:color="auto" w:fill="FFFFFF"/>
        </w:rPr>
        <w:t xml:space="preserve">nclusion </w:t>
      </w:r>
      <w:r>
        <w:rPr>
          <w:i/>
          <w:iCs/>
          <w:shd w:val="clear" w:color="auto" w:fill="FFFFFF"/>
        </w:rPr>
        <w:t>I</w:t>
      </w:r>
      <w:r w:rsidRPr="00EE341A">
        <w:rPr>
          <w:i/>
          <w:iCs/>
          <w:shd w:val="clear" w:color="auto" w:fill="FFFFFF"/>
        </w:rPr>
        <w:t>ndex 2018</w:t>
      </w:r>
      <w:r w:rsidRPr="00EE341A">
        <w:rPr>
          <w:shd w:val="clear" w:color="auto" w:fill="FFFFFF"/>
        </w:rPr>
        <w:t>. Melbourne: Telstra</w:t>
      </w:r>
      <w:r>
        <w:rPr>
          <w:shd w:val="clear" w:color="auto" w:fill="FFFFFF"/>
        </w:rPr>
        <w:t xml:space="preserve">. </w:t>
      </w:r>
      <w:hyperlink r:id="rId70" w:history="1">
        <w:r>
          <w:rPr>
            <w:rStyle w:val="Hyperlink"/>
          </w:rPr>
          <w:t>https://digitalinclusionindex.org.au/wp-content/uploads/2018/08/Australian-digital-inclusion-index-2018.pdf</w:t>
        </w:r>
      </w:hyperlink>
      <w:r>
        <w:t xml:space="preserve"> [accessed 7 July 2020]</w:t>
      </w:r>
    </w:p>
    <w:p w14:paraId="05283B5E" w14:textId="77777777" w:rsidR="00552F59" w:rsidRPr="001261D9" w:rsidRDefault="00552F59" w:rsidP="001F4507">
      <w:r w:rsidRPr="00EE341A">
        <w:rPr>
          <w:shd w:val="clear" w:color="auto" w:fill="FFFFFF"/>
        </w:rPr>
        <w:t>United Nations (2018)</w:t>
      </w:r>
      <w:r>
        <w:rPr>
          <w:shd w:val="clear" w:color="auto" w:fill="FFFFFF"/>
        </w:rPr>
        <w:t>.</w:t>
      </w:r>
      <w:r w:rsidRPr="00EE341A">
        <w:rPr>
          <w:shd w:val="clear" w:color="auto" w:fill="FFFFFF"/>
        </w:rPr>
        <w:t xml:space="preserve"> United Nations </w:t>
      </w:r>
      <w:r>
        <w:rPr>
          <w:shd w:val="clear" w:color="auto" w:fill="FFFFFF"/>
        </w:rPr>
        <w:t>E</w:t>
      </w:r>
      <w:r w:rsidRPr="00EE341A">
        <w:rPr>
          <w:shd w:val="clear" w:color="auto" w:fill="FFFFFF"/>
        </w:rPr>
        <w:t>-</w:t>
      </w:r>
      <w:r>
        <w:rPr>
          <w:shd w:val="clear" w:color="auto" w:fill="FFFFFF"/>
        </w:rPr>
        <w:t>G</w:t>
      </w:r>
      <w:r w:rsidRPr="00EE341A">
        <w:rPr>
          <w:shd w:val="clear" w:color="auto" w:fill="FFFFFF"/>
        </w:rPr>
        <w:t xml:space="preserve">overnment </w:t>
      </w:r>
      <w:r>
        <w:rPr>
          <w:shd w:val="clear" w:color="auto" w:fill="FFFFFF"/>
        </w:rPr>
        <w:t>S</w:t>
      </w:r>
      <w:r w:rsidRPr="00EE341A">
        <w:rPr>
          <w:shd w:val="clear" w:color="auto" w:fill="FFFFFF"/>
        </w:rPr>
        <w:t xml:space="preserve">urvey 2018: Gearing </w:t>
      </w:r>
      <w:r>
        <w:rPr>
          <w:shd w:val="clear" w:color="auto" w:fill="FFFFFF"/>
        </w:rPr>
        <w:t>e</w:t>
      </w:r>
      <w:r w:rsidRPr="00EE341A">
        <w:rPr>
          <w:shd w:val="clear" w:color="auto" w:fill="FFFFFF"/>
        </w:rPr>
        <w:t>-</w:t>
      </w:r>
      <w:r>
        <w:rPr>
          <w:shd w:val="clear" w:color="auto" w:fill="FFFFFF"/>
        </w:rPr>
        <w:t>g</w:t>
      </w:r>
      <w:r w:rsidRPr="00EE341A">
        <w:rPr>
          <w:shd w:val="clear" w:color="auto" w:fill="FFFFFF"/>
        </w:rPr>
        <w:t xml:space="preserve">overnment to </w:t>
      </w:r>
      <w:r>
        <w:rPr>
          <w:shd w:val="clear" w:color="auto" w:fill="FFFFFF"/>
        </w:rPr>
        <w:t>s</w:t>
      </w:r>
      <w:r w:rsidRPr="00EE341A">
        <w:rPr>
          <w:shd w:val="clear" w:color="auto" w:fill="FFFFFF"/>
        </w:rPr>
        <w:t xml:space="preserve">upport </w:t>
      </w:r>
      <w:r>
        <w:rPr>
          <w:shd w:val="clear" w:color="auto" w:fill="FFFFFF"/>
        </w:rPr>
        <w:t>t</w:t>
      </w:r>
      <w:r w:rsidRPr="00EE341A">
        <w:rPr>
          <w:shd w:val="clear" w:color="auto" w:fill="FFFFFF"/>
        </w:rPr>
        <w:t xml:space="preserve">ransformation </w:t>
      </w:r>
      <w:r>
        <w:rPr>
          <w:shd w:val="clear" w:color="auto" w:fill="FFFFFF"/>
        </w:rPr>
        <w:t>t</w:t>
      </w:r>
      <w:r w:rsidRPr="00EE341A">
        <w:rPr>
          <w:shd w:val="clear" w:color="auto" w:fill="FFFFFF"/>
        </w:rPr>
        <w:t xml:space="preserve">owards </w:t>
      </w:r>
      <w:r>
        <w:rPr>
          <w:shd w:val="clear" w:color="auto" w:fill="FFFFFF"/>
        </w:rPr>
        <w:t>s</w:t>
      </w:r>
      <w:r w:rsidRPr="00EE341A">
        <w:rPr>
          <w:shd w:val="clear" w:color="auto" w:fill="FFFFFF"/>
        </w:rPr>
        <w:t xml:space="preserve">ustainable and </w:t>
      </w:r>
      <w:r>
        <w:rPr>
          <w:shd w:val="clear" w:color="auto" w:fill="FFFFFF"/>
        </w:rPr>
        <w:t>r</w:t>
      </w:r>
      <w:r w:rsidRPr="00EE341A">
        <w:rPr>
          <w:shd w:val="clear" w:color="auto" w:fill="FFFFFF"/>
        </w:rPr>
        <w:t xml:space="preserve">esilient </w:t>
      </w:r>
      <w:r>
        <w:rPr>
          <w:shd w:val="clear" w:color="auto" w:fill="FFFFFF"/>
        </w:rPr>
        <w:t>s</w:t>
      </w:r>
      <w:r w:rsidRPr="00EE341A">
        <w:rPr>
          <w:shd w:val="clear" w:color="auto" w:fill="FFFFFF"/>
        </w:rPr>
        <w:t>ocieties</w:t>
      </w:r>
      <w:r>
        <w:rPr>
          <w:shd w:val="clear" w:color="auto" w:fill="FFFFFF"/>
        </w:rPr>
        <w:t>.</w:t>
      </w:r>
      <w:r w:rsidRPr="00EE341A">
        <w:rPr>
          <w:shd w:val="clear" w:color="auto" w:fill="FFFFFF"/>
        </w:rPr>
        <w:t xml:space="preserve"> New</w:t>
      </w:r>
      <w:r>
        <w:rPr>
          <w:shd w:val="clear" w:color="auto" w:fill="FFFFFF"/>
        </w:rPr>
        <w:t xml:space="preserve"> </w:t>
      </w:r>
      <w:r w:rsidRPr="00EE341A">
        <w:rPr>
          <w:shd w:val="clear" w:color="auto" w:fill="FFFFFF"/>
        </w:rPr>
        <w:t>York</w:t>
      </w:r>
      <w:r>
        <w:rPr>
          <w:shd w:val="clear" w:color="auto" w:fill="FFFFFF"/>
        </w:rPr>
        <w:t xml:space="preserve">: United Nations. </w:t>
      </w:r>
      <w:hyperlink r:id="rId71" w:history="1">
        <w:r w:rsidRPr="001261D9">
          <w:t>doi</w:t>
        </w:r>
        <w:r>
          <w:rPr>
            <w:shd w:val="clear" w:color="auto" w:fill="FFFFFF"/>
          </w:rPr>
          <w:t>: </w:t>
        </w:r>
        <w:r w:rsidRPr="001261D9">
          <w:t>10.18356/d54b9179-en</w:t>
        </w:r>
      </w:hyperlink>
      <w:r w:rsidRPr="001261D9">
        <w:rPr>
          <w:shd w:val="clear" w:color="auto" w:fill="FFFFFF"/>
        </w:rPr>
        <w:t xml:space="preserve">. </w:t>
      </w:r>
      <w:hyperlink r:id="rId72" w:history="1">
        <w:r>
          <w:rPr>
            <w:rStyle w:val="Hyperlink"/>
            <w:rFonts w:cstheme="minorHAnsi"/>
          </w:rPr>
          <w:t>https://www.un-ilibrary.org/democracy-and-governance/united-nations-e-government-survey-2018_d54b9179-en</w:t>
        </w:r>
      </w:hyperlink>
      <w:r>
        <w:rPr>
          <w:rFonts w:cstheme="minorHAnsi"/>
        </w:rPr>
        <w:t xml:space="preserve"> [</w:t>
      </w:r>
      <w:r>
        <w:t>accessed 8 July 2020]</w:t>
      </w:r>
    </w:p>
    <w:p w14:paraId="6856E1F6" w14:textId="3FF2B6F7" w:rsidR="00B350A0" w:rsidRPr="00F71A22" w:rsidRDefault="00552F59" w:rsidP="001F4507">
      <w:pPr>
        <w:rPr>
          <w:rFonts w:ascii="Calibri" w:eastAsiaTheme="majorEastAsia" w:hAnsi="Calibri" w:cstheme="majorBidi"/>
          <w:b/>
          <w:color w:val="343741"/>
          <w:sz w:val="32"/>
          <w:szCs w:val="32"/>
        </w:rPr>
      </w:pPr>
      <w:r w:rsidRPr="00EE341A">
        <w:rPr>
          <w:shd w:val="clear" w:color="auto" w:fill="FFFFFF"/>
        </w:rPr>
        <w:t xml:space="preserve">Van Dijk, J, Peters, O </w:t>
      </w:r>
      <w:r>
        <w:rPr>
          <w:shd w:val="clear" w:color="auto" w:fill="FFFFFF"/>
        </w:rPr>
        <w:t>and</w:t>
      </w:r>
      <w:r w:rsidRPr="00EE341A">
        <w:rPr>
          <w:shd w:val="clear" w:color="auto" w:fill="FFFFFF"/>
        </w:rPr>
        <w:t xml:space="preserve"> Ebbers, W (2008). Explaining the acceptance and use of government </w:t>
      </w:r>
      <w:r>
        <w:rPr>
          <w:shd w:val="clear" w:color="auto" w:fill="FFFFFF"/>
        </w:rPr>
        <w:t>i</w:t>
      </w:r>
      <w:r w:rsidRPr="00EE341A">
        <w:rPr>
          <w:shd w:val="clear" w:color="auto" w:fill="FFFFFF"/>
        </w:rPr>
        <w:t xml:space="preserve">nternet services: A multivariate analysis of 2006 survey data in the Netherlands. </w:t>
      </w:r>
      <w:r w:rsidRPr="00EE341A">
        <w:rPr>
          <w:i/>
          <w:iCs/>
          <w:shd w:val="clear" w:color="auto" w:fill="FFFFFF"/>
        </w:rPr>
        <w:t>Government Information Quarterly</w:t>
      </w:r>
      <w:r w:rsidRPr="003C1A37">
        <w:rPr>
          <w:shd w:val="clear" w:color="auto" w:fill="FFFFFF"/>
        </w:rPr>
        <w:t xml:space="preserve"> </w:t>
      </w:r>
      <w:r w:rsidRPr="001261D9">
        <w:rPr>
          <w:iCs/>
          <w:shd w:val="clear" w:color="auto" w:fill="FFFFFF"/>
        </w:rPr>
        <w:t>25</w:t>
      </w:r>
      <w:r w:rsidRPr="00EE341A">
        <w:rPr>
          <w:shd w:val="clear" w:color="auto" w:fill="FFFFFF"/>
        </w:rPr>
        <w:t>(3)</w:t>
      </w:r>
      <w:r>
        <w:rPr>
          <w:shd w:val="clear" w:color="auto" w:fill="FFFFFF"/>
        </w:rPr>
        <w:t>:</w:t>
      </w:r>
      <w:r w:rsidRPr="00EE341A">
        <w:rPr>
          <w:shd w:val="clear" w:color="auto" w:fill="FFFFFF"/>
        </w:rPr>
        <w:t xml:space="preserve"> 379</w:t>
      </w:r>
      <w:r>
        <w:rPr>
          <w:shd w:val="clear" w:color="auto" w:fill="FFFFFF"/>
        </w:rPr>
        <w:t>–</w:t>
      </w:r>
      <w:r w:rsidRPr="00EE341A">
        <w:rPr>
          <w:shd w:val="clear" w:color="auto" w:fill="FFFFFF"/>
        </w:rPr>
        <w:t>399. doi: 10.1016/j.giq.2007.09.006</w:t>
      </w:r>
      <w:r>
        <w:rPr>
          <w:shd w:val="clear" w:color="auto" w:fill="FFFFFF"/>
        </w:rPr>
        <w:t xml:space="preserve">. </w:t>
      </w:r>
      <w:hyperlink r:id="rId73" w:history="1">
        <w:r>
          <w:rPr>
            <w:rStyle w:val="Hyperlink"/>
          </w:rPr>
          <w:t>https://www.researchgate.net/publication/248544637_Explaining_the_acceptance_and_use_of_government_Internet_services_A_multivariate_analysis_of_2006_survey_data_in_the_Netherlands</w:t>
        </w:r>
      </w:hyperlink>
      <w:r>
        <w:t xml:space="preserve"> [accessed 8 July 2020]</w:t>
      </w:r>
      <w:r w:rsidR="00B350A0" w:rsidRPr="00F71A22">
        <w:br w:type="page"/>
      </w:r>
    </w:p>
    <w:p w14:paraId="51F5DE0B" w14:textId="7202968F" w:rsidR="00AB46A8" w:rsidRPr="00F71A22" w:rsidRDefault="003E5202" w:rsidP="005E35AB">
      <w:pPr>
        <w:pStyle w:val="Heading1"/>
      </w:pPr>
      <w:bookmarkStart w:id="220" w:name="_Toc67042641"/>
      <w:r w:rsidRPr="00F71A22">
        <w:lastRenderedPageBreak/>
        <w:t>Appendices</w:t>
      </w:r>
      <w:bookmarkEnd w:id="219"/>
      <w:bookmarkEnd w:id="220"/>
    </w:p>
    <w:p w14:paraId="60542A08" w14:textId="2255A4CD" w:rsidR="003E5202" w:rsidRPr="00F71A22" w:rsidRDefault="003E5202" w:rsidP="005E35AB">
      <w:pPr>
        <w:pStyle w:val="Heading2"/>
      </w:pPr>
      <w:bookmarkStart w:id="221" w:name="_Toc47520156"/>
      <w:bookmarkStart w:id="222" w:name="_Toc67042642"/>
      <w:r w:rsidRPr="00F71A22">
        <w:t xml:space="preserve">Appendix </w:t>
      </w:r>
      <w:r w:rsidR="008278B1" w:rsidRPr="00F71A22">
        <w:t>A</w:t>
      </w:r>
      <w:r w:rsidR="00FB7736" w:rsidRPr="00F71A22">
        <w:t xml:space="preserve"> </w:t>
      </w:r>
      <w:r w:rsidR="00940591" w:rsidRPr="00F71A22">
        <w:t>International practice</w:t>
      </w:r>
      <w:bookmarkEnd w:id="221"/>
      <w:bookmarkEnd w:id="222"/>
    </w:p>
    <w:p w14:paraId="17DD4D2D" w14:textId="77777777" w:rsidR="005338BE" w:rsidRPr="00F71A22" w:rsidRDefault="00237807" w:rsidP="001F4507">
      <w:pPr>
        <w:pStyle w:val="Heading3"/>
        <w:rPr>
          <w:lang w:val="en"/>
        </w:rPr>
      </w:pPr>
      <w:bookmarkStart w:id="223" w:name="_Toc67042643"/>
      <w:r w:rsidRPr="00F71A22">
        <w:rPr>
          <w:lang w:val="en"/>
        </w:rPr>
        <w:t>The OECD</w:t>
      </w:r>
      <w:bookmarkEnd w:id="223"/>
    </w:p>
    <w:p w14:paraId="0DBABE24" w14:textId="77777777" w:rsidR="00803324" w:rsidRDefault="00552F59" w:rsidP="00552F59">
      <w:pPr>
        <w:rPr>
          <w:lang w:eastAsia="en-AU"/>
        </w:rPr>
      </w:pPr>
      <w:r w:rsidRPr="00552F59">
        <w:t xml:space="preserve">In 2014, the Organisation for Economic Co-operation and Development (OECD) Council adopted the </w:t>
      </w:r>
      <w:r w:rsidRPr="00552F59">
        <w:rPr>
          <w:i/>
        </w:rPr>
        <w:t>Recommendation on Digital Government Strategies</w:t>
      </w:r>
      <w:r w:rsidRPr="00552F59">
        <w:t xml:space="preserve">. The recommendation provided a set of 12 principles structured around </w:t>
      </w:r>
      <w:r w:rsidR="000A2071">
        <w:t>three</w:t>
      </w:r>
      <w:r w:rsidRPr="00552F59">
        <w:t xml:space="preserve"> pillars (OECD, 2018).</w:t>
      </w:r>
      <w:r w:rsidRPr="003F52A7">
        <w:rPr>
          <w:rStyle w:val="FootnoteReference"/>
          <w:rFonts w:ascii="Calibri" w:hAnsi="Calibri" w:cs="Calibri"/>
        </w:rPr>
        <w:footnoteReference w:id="26"/>
      </w:r>
      <w:r w:rsidRPr="00552F59">
        <w:t xml:space="preserve"> These represent the ideals of e</w:t>
      </w:r>
      <w:r w:rsidR="000A2071">
        <w:noBreakHyphen/>
      </w:r>
      <w:r w:rsidRPr="00552F59">
        <w:t>government that governments around the world ought to espouse. The OECD offered governments self-assessment guidelines for each of the principles.</w:t>
      </w:r>
    </w:p>
    <w:p w14:paraId="6574B422" w14:textId="294D18BC" w:rsidR="00237807" w:rsidRPr="00F71A22" w:rsidRDefault="00237807" w:rsidP="001F4507">
      <w:r w:rsidRPr="00F71A22">
        <w:rPr>
          <w:lang w:eastAsia="en-AU"/>
        </w:rPr>
        <w:t xml:space="preserve">The </w:t>
      </w:r>
      <w:r w:rsidR="00552F59">
        <w:rPr>
          <w:lang w:eastAsia="en-AU"/>
        </w:rPr>
        <w:t>r</w:t>
      </w:r>
      <w:r w:rsidRPr="00F71A22">
        <w:rPr>
          <w:lang w:eastAsia="en-AU"/>
        </w:rPr>
        <w:t xml:space="preserve">ecommendation </w:t>
      </w:r>
      <w:r w:rsidRPr="00F71A22">
        <w:t>recognised that digitisation will play a key role in leveraging transformation of the public sector at large, given its potential to increase productivity and inclusiveness of service production and delivery in public welfare areas. It acknowledged the political imperatives of member governments for improving the efficiency, effectiveness and governance of public services design and delivery through digitisation.</w:t>
      </w:r>
    </w:p>
    <w:p w14:paraId="492F6913" w14:textId="5B12E37A" w:rsidR="00C8018A" w:rsidRPr="00F71A22" w:rsidRDefault="00C8018A" w:rsidP="001F4507">
      <w:pPr>
        <w:pStyle w:val="Heading3"/>
        <w:rPr>
          <w:lang w:val="en"/>
        </w:rPr>
      </w:pPr>
      <w:bookmarkStart w:id="224" w:name="_Toc67042644"/>
      <w:r w:rsidRPr="00F71A22">
        <w:rPr>
          <w:lang w:val="en"/>
        </w:rPr>
        <w:t>Canada</w:t>
      </w:r>
      <w:bookmarkEnd w:id="224"/>
    </w:p>
    <w:p w14:paraId="215AFBC2" w14:textId="2496AEB8" w:rsidR="00D467F6" w:rsidRDefault="00D467F6">
      <w:pPr>
        <w:rPr>
          <w:lang w:eastAsia="en-AU"/>
        </w:rPr>
      </w:pPr>
      <w:r>
        <w:rPr>
          <w:lang w:eastAsia="en-AU"/>
        </w:rPr>
        <w:t>Bekkers and Homburg (2007) noted:</w:t>
      </w:r>
    </w:p>
    <w:p w14:paraId="3ADEC6E2" w14:textId="7EAD9EC7" w:rsidR="008B4E99" w:rsidRPr="001F36EA" w:rsidRDefault="008B4E99" w:rsidP="001F4507">
      <w:pPr>
        <w:pStyle w:val="Quote"/>
      </w:pPr>
      <w:r w:rsidRPr="001F36EA">
        <w:t xml:space="preserve">The mission of the Canadian e-government policies, as formulated in the </w:t>
      </w:r>
      <w:r w:rsidR="00D467F6" w:rsidRPr="001F36EA">
        <w:t>‘</w:t>
      </w:r>
      <w:r w:rsidRPr="001F36EA">
        <w:t>Government Online</w:t>
      </w:r>
      <w:r w:rsidR="00D467F6" w:rsidRPr="001F36EA">
        <w:t>’</w:t>
      </w:r>
      <w:r w:rsidRPr="001F36EA">
        <w:t xml:space="preserve"> programs (Treasury Board, 1999, 2000, 2006), is to advance the federal government</w:t>
      </w:r>
      <w:r w:rsidR="00250C52" w:rsidRPr="001F36EA">
        <w:t>’</w:t>
      </w:r>
      <w:r w:rsidRPr="001F36EA">
        <w:t>s citizen centred service delivery vision collaboratively across departments and other levels of government.</w:t>
      </w:r>
    </w:p>
    <w:p w14:paraId="06F0AD5C" w14:textId="77777777" w:rsidR="00803324" w:rsidRDefault="00C8018A" w:rsidP="006C74E0">
      <w:r w:rsidRPr="00F71A22">
        <w:rPr>
          <w:rFonts w:ascii="Calibri" w:hAnsi="Calibri" w:cs="Calibri"/>
        </w:rPr>
        <w:t>An evaluation of the Canadian Government e-services in the early 2000s sought to establish a mechanism</w:t>
      </w:r>
      <w:r w:rsidRPr="00F71A22">
        <w:t xml:space="preserve"> for continued evaluation of the services offered, in order put effective measures in place to increase usership and general satisfaction (D’Auray, 2003).</w:t>
      </w:r>
    </w:p>
    <w:p w14:paraId="16299E46" w14:textId="66FFC233" w:rsidR="00803324" w:rsidRDefault="00C8018A" w:rsidP="006C74E0">
      <w:r w:rsidRPr="00F71A22">
        <w:t xml:space="preserve">Almost </w:t>
      </w:r>
      <w:r w:rsidR="00250C52">
        <w:t>10</w:t>
      </w:r>
      <w:r w:rsidR="00250C52" w:rsidRPr="00F71A22">
        <w:t xml:space="preserve"> </w:t>
      </w:r>
      <w:r w:rsidRPr="00F71A22">
        <w:t xml:space="preserve">years later, Reddick and Turner (2012) examined the gap between online and offline populations in regard to the use of e-government services in Canada. They identified the decision process for the choice of service delivery (phone or online) of users as largely driven by the cause of the individual’s engagement with the </w:t>
      </w:r>
      <w:r w:rsidR="00E72A72">
        <w:t>g</w:t>
      </w:r>
      <w:r w:rsidRPr="00F71A22">
        <w:t>overnment service</w:t>
      </w:r>
      <w:r w:rsidR="00432758">
        <w:t xml:space="preserve"> –</w:t>
      </w:r>
      <w:r w:rsidRPr="00F71A22">
        <w:t xml:space="preserve"> </w:t>
      </w:r>
      <w:r w:rsidR="00432758">
        <w:t>t</w:t>
      </w:r>
      <w:r w:rsidRPr="00F71A22">
        <w:t xml:space="preserve">hat is, whether it was to seek information (online), or to solve a problem (phone). As with the previous authors, they concluded </w:t>
      </w:r>
      <w:r w:rsidRPr="00F71A22">
        <w:lastRenderedPageBreak/>
        <w:t xml:space="preserve">that, </w:t>
      </w:r>
      <w:r w:rsidR="00432758">
        <w:t>‘</w:t>
      </w:r>
      <w:r w:rsidRPr="00F71A22">
        <w:t>creating a positive experience for citizens when they received a service translates into a more satisfied experience with e-government</w:t>
      </w:r>
      <w:r w:rsidR="00432758">
        <w:t>’</w:t>
      </w:r>
      <w:r w:rsidRPr="00F71A22">
        <w:t xml:space="preserve"> (Reddick and Turner, 2012).</w:t>
      </w:r>
    </w:p>
    <w:p w14:paraId="689B64B0" w14:textId="04A4D0A0" w:rsidR="00C8018A" w:rsidRPr="00F71A22" w:rsidRDefault="00C8018A" w:rsidP="001F4507">
      <w:pPr>
        <w:pStyle w:val="Heading3"/>
      </w:pPr>
      <w:bookmarkStart w:id="225" w:name="_Toc67042645"/>
      <w:r w:rsidRPr="00F71A22">
        <w:t>India</w:t>
      </w:r>
      <w:bookmarkEnd w:id="225"/>
    </w:p>
    <w:p w14:paraId="69BB09A9" w14:textId="587B35FC" w:rsidR="00803324" w:rsidRDefault="00C8018A" w:rsidP="00C8018A">
      <w:r w:rsidRPr="00F71A22">
        <w:t>Rana and Dwivedi (2015) studied e-government services in India, and examined how social cognitive theory (SCT) influenced participation in government online services. They determined that factors such as outcome expectation, affect, anxiety, self-efficacy, social influence and behavioural intention were all influential in the adoption of societal-based information systems, including e-government systems. The government system examined in this study was a non-compulsory government service (meaning that users opted</w:t>
      </w:r>
      <w:r w:rsidR="00742EFE">
        <w:t xml:space="preserve"> </w:t>
      </w:r>
      <w:r w:rsidRPr="00F71A22">
        <w:t>in). Therefore, applying the influence of SCT assumed a level of choice by the participant to take part, or not. Where the government system in question is a compulsory tool, such as part of receiving income support, the motivations for participation may not rest as strongly on social influence and self-efficacy and more on outcome expectation and anxiety, with participants looking to social exchange theory (SET) (Blau, 1964) to determine cost, risk and benefit of using the service.</w:t>
      </w:r>
    </w:p>
    <w:p w14:paraId="7814E06F" w14:textId="09D2F9F7" w:rsidR="00803324" w:rsidRDefault="00C8018A" w:rsidP="00C8018A">
      <w:r w:rsidRPr="00F71A22">
        <w:t>Osman et al. (2014) used SET as the basis for an evaluation model of user satisfaction with e</w:t>
      </w:r>
      <w:r w:rsidR="00742EFE">
        <w:noBreakHyphen/>
      </w:r>
      <w:r w:rsidRPr="00F71A22">
        <w:t>government services, identifying core factors such as cost, opportunities, benefits and risk analysis (COBRA) and the multidirectional relationship of these factors in creating user satisfaction. Most notably, economic theory (cost-benefit) was said to explain user satisfaction.</w:t>
      </w:r>
    </w:p>
    <w:p w14:paraId="2A7E8058" w14:textId="1AA9775F" w:rsidR="00803324" w:rsidRDefault="00C8018A" w:rsidP="00C8018A">
      <w:r w:rsidRPr="00F71A22">
        <w:t>The importance of user satisfaction is central to the success of e-government services. Osman et al</w:t>
      </w:r>
      <w:r w:rsidR="00F62973">
        <w:t>.</w:t>
      </w:r>
      <w:r w:rsidRPr="00F71A22">
        <w:t xml:space="preserve"> (2014) concisely illustrated that where </w:t>
      </w:r>
      <w:r w:rsidR="00742EFE">
        <w:t>‘</w:t>
      </w:r>
      <w:r w:rsidRPr="00F71A22">
        <w:t>the benefit and opportunity values are greater than the cost and risk values, then an e-service user would be more satisfied and more likely to continue using such e-service; otherwise the user will not re-use</w:t>
      </w:r>
      <w:r w:rsidR="00742EFE">
        <w:t>’</w:t>
      </w:r>
      <w:r w:rsidRPr="00F71A22">
        <w:t xml:space="preserve"> (Osman et al</w:t>
      </w:r>
      <w:r w:rsidR="00F62973">
        <w:t>.</w:t>
      </w:r>
      <w:r w:rsidRPr="00F71A22">
        <w:t>, 2014). This was echoed by Lin</w:t>
      </w:r>
      <w:r w:rsidR="000A2071">
        <w:t> </w:t>
      </w:r>
      <w:r w:rsidRPr="00F71A22">
        <w:t>(2010), who examined online use through the lens of the theory of planned behaviour (TPB). The TPB relies on three core assumptions/belief structures: the attitudinal belief structure, the normative belief structure and the behavioural control belief structure (ease of use).</w:t>
      </w:r>
    </w:p>
    <w:p w14:paraId="4704864B" w14:textId="4A0E2A2F" w:rsidR="00C8018A" w:rsidRPr="00F71A22" w:rsidRDefault="00C8018A" w:rsidP="00C8018A">
      <w:r w:rsidRPr="00F71A22">
        <w:t xml:space="preserve">Lin (2010) emphasises the importance of creating an inclusive online environment in line with TPB belief structures, creating a positive user experience to achieve high engagement. </w:t>
      </w:r>
      <w:r w:rsidR="00742EFE">
        <w:t>‘</w:t>
      </w:r>
      <w:r w:rsidRPr="00F71A22">
        <w:t>IT adoption is more than just technology deployment; it requires careful consideration of social-cognitive factors (e.g., attitudes, subjective norms, and perceived behavioural control) for increasing user intention toward a new system and persuading them to use it</w:t>
      </w:r>
      <w:r w:rsidR="00742EFE">
        <w:t>’</w:t>
      </w:r>
      <w:r w:rsidRPr="00F71A22">
        <w:t xml:space="preserve"> (Lin, 2010).</w:t>
      </w:r>
    </w:p>
    <w:p w14:paraId="13A0CA68" w14:textId="34866399" w:rsidR="00C8018A" w:rsidRPr="00F71A22" w:rsidRDefault="00C8018A" w:rsidP="001F4507">
      <w:pPr>
        <w:pStyle w:val="Heading3"/>
      </w:pPr>
      <w:bookmarkStart w:id="226" w:name="_Toc67042646"/>
      <w:r w:rsidRPr="00F71A22">
        <w:t>South Korea</w:t>
      </w:r>
      <w:bookmarkEnd w:id="226"/>
    </w:p>
    <w:p w14:paraId="0FFDDC14" w14:textId="22A7C132" w:rsidR="00803324" w:rsidRDefault="00742EFE" w:rsidP="00C8018A">
      <w:r>
        <w:t xml:space="preserve">By its nature, </w:t>
      </w:r>
      <w:r w:rsidR="00C8018A" w:rsidRPr="00F71A22">
        <w:t xml:space="preserve">e-government tends to enable more efficient record keeping. Solinthone and Rumyantseva (2016) cite the example of South Korea to demonstrate the potential and flow-on </w:t>
      </w:r>
      <w:r w:rsidR="00C8018A" w:rsidRPr="00F71A22">
        <w:lastRenderedPageBreak/>
        <w:t>benefits of e-government for record keeping. In South Korea, the use of electronic documents has become standard, and most administration is handled electronically.</w:t>
      </w:r>
    </w:p>
    <w:p w14:paraId="7F81E761" w14:textId="18AB6220" w:rsidR="00C8018A" w:rsidRPr="00F71A22" w:rsidRDefault="00C8018A" w:rsidP="00C8018A">
      <w:r w:rsidRPr="00F71A22">
        <w:t>All central administrative organisations have adopted a standardised business process system. This system records all administrative decision making, which increases not only the efficiency of administration but also transparency. South Korean citizens can request and check online a wide range of administrative information and national records at any time and from any location.</w:t>
      </w:r>
      <w:r w:rsidR="00803324">
        <w:t xml:space="preserve"> </w:t>
      </w:r>
      <w:r w:rsidRPr="00F71A22">
        <w:t>This system employed in South Korea is a major reason why the 2018 United Nations E-government Development index ranks South Korea third globally, just behind Australia</w:t>
      </w:r>
      <w:r w:rsidR="0061493A">
        <w:t>.</w:t>
      </w:r>
    </w:p>
    <w:p w14:paraId="3596836D" w14:textId="01A35987" w:rsidR="00923B3C" w:rsidRPr="00F71A22" w:rsidRDefault="00923B3C" w:rsidP="001F4507">
      <w:pPr>
        <w:pStyle w:val="Heading3"/>
        <w:rPr>
          <w:rFonts w:cs="Calibri"/>
        </w:rPr>
      </w:pPr>
      <w:bookmarkStart w:id="227" w:name="_Toc67042647"/>
      <w:r w:rsidRPr="00F71A22">
        <w:t>United Kingdom</w:t>
      </w:r>
      <w:bookmarkEnd w:id="227"/>
    </w:p>
    <w:p w14:paraId="6082A227" w14:textId="31A40F07" w:rsidR="00803324" w:rsidRDefault="008B4E99" w:rsidP="006C74E0">
      <w:pPr>
        <w:rPr>
          <w:lang w:eastAsia="en-AU"/>
        </w:rPr>
      </w:pPr>
      <w:r w:rsidRPr="00F71A22">
        <w:rPr>
          <w:lang w:eastAsia="en-AU"/>
        </w:rPr>
        <w:t>As noted by Bekkers</w:t>
      </w:r>
      <w:r w:rsidR="006275E8">
        <w:rPr>
          <w:lang w:eastAsia="en-AU"/>
        </w:rPr>
        <w:t xml:space="preserve"> and Homburg</w:t>
      </w:r>
      <w:r w:rsidRPr="00F71A22">
        <w:rPr>
          <w:lang w:eastAsia="en-AU"/>
        </w:rPr>
        <w:t xml:space="preserve"> </w:t>
      </w:r>
      <w:r w:rsidR="00470D90">
        <w:rPr>
          <w:lang w:eastAsia="en-AU"/>
        </w:rPr>
        <w:t>(</w:t>
      </w:r>
      <w:r w:rsidRPr="00F71A22">
        <w:rPr>
          <w:lang w:eastAsia="en-AU"/>
        </w:rPr>
        <w:t>2007</w:t>
      </w:r>
      <w:r w:rsidR="00470D90">
        <w:rPr>
          <w:lang w:eastAsia="en-AU"/>
        </w:rPr>
        <w:t>)</w:t>
      </w:r>
      <w:r w:rsidR="002F1941">
        <w:rPr>
          <w:lang w:eastAsia="en-AU"/>
        </w:rPr>
        <w:t>:</w:t>
      </w:r>
    </w:p>
    <w:p w14:paraId="6A3CCAEE" w14:textId="6273FEA4" w:rsidR="00923B3C" w:rsidRPr="001F36EA" w:rsidRDefault="002F1941" w:rsidP="001F36EA">
      <w:pPr>
        <w:pStyle w:val="Quote"/>
      </w:pPr>
      <w:r w:rsidRPr="001F36EA">
        <w:t>I</w:t>
      </w:r>
      <w:r w:rsidR="00923B3C" w:rsidRPr="001F36EA">
        <w:t xml:space="preserve">n the UK documents </w:t>
      </w:r>
      <w:r w:rsidRPr="001F4507">
        <w:t>‘</w:t>
      </w:r>
      <w:r w:rsidR="00923B3C" w:rsidRPr="001F4507">
        <w:t>Modernising Government</w:t>
      </w:r>
      <w:r w:rsidRPr="001F4507">
        <w:t>’</w:t>
      </w:r>
      <w:r w:rsidR="00923B3C" w:rsidRPr="001F36EA">
        <w:t xml:space="preserve"> (Minister for the Cabinet Office, 1999), </w:t>
      </w:r>
      <w:r w:rsidRPr="001F4507">
        <w:t>‘</w:t>
      </w:r>
      <w:r w:rsidR="00923B3C" w:rsidRPr="001F4507">
        <w:t>E-Government: A Strategic Framework for Public Services in the Information Age</w:t>
      </w:r>
      <w:r w:rsidRPr="001F4507">
        <w:t>’</w:t>
      </w:r>
      <w:r w:rsidR="00923B3C" w:rsidRPr="001F36EA">
        <w:t xml:space="preserve"> (Minister for the Cabinet Office, 2000) and </w:t>
      </w:r>
      <w:r w:rsidRPr="001F4507">
        <w:t>‘</w:t>
      </w:r>
      <w:r w:rsidR="00923B3C" w:rsidRPr="001F4507">
        <w:t>Transformational Government</w:t>
      </w:r>
      <w:r w:rsidRPr="001F4507">
        <w:t>’</w:t>
      </w:r>
      <w:r w:rsidR="00923B3C" w:rsidRPr="001F36EA">
        <w:t xml:space="preserve"> (Minister for the Cabinet Office, 2005), e-government is seen as having only one purpose: to make life better for citizens and businesses. The focus upon the </w:t>
      </w:r>
      <w:r w:rsidR="00923B3C" w:rsidRPr="001F4507">
        <w:t>improvement</w:t>
      </w:r>
      <w:r w:rsidR="00923B3C" w:rsidRPr="001F36EA">
        <w:t xml:space="preserve"> of electronic service delivery assumes that it will deliver what people really want, fully exploiting government</w:t>
      </w:r>
      <w:r w:rsidRPr="001F36EA">
        <w:t>’</w:t>
      </w:r>
      <w:r w:rsidR="00923B3C" w:rsidRPr="001F36EA">
        <w:t>s information resources:</w:t>
      </w:r>
    </w:p>
    <w:p w14:paraId="244B3C6E" w14:textId="0BB132D1" w:rsidR="00F8389D" w:rsidRDefault="002F1941" w:rsidP="001F36EA">
      <w:pPr>
        <w:pStyle w:val="Quote"/>
      </w:pPr>
      <w:r w:rsidRPr="001F36EA">
        <w:t>‘… n</w:t>
      </w:r>
      <w:r w:rsidR="00923B3C" w:rsidRPr="001F36EA">
        <w:t xml:space="preserve">ew technology offers the possibility of making access to information about government easier </w:t>
      </w:r>
      <w:r w:rsidR="00944F52" w:rsidRPr="001F36EA">
        <w:t>(</w:t>
      </w:r>
      <w:r w:rsidR="00923B3C" w:rsidRPr="001F36EA">
        <w:t>...</w:t>
      </w:r>
      <w:r w:rsidR="00944F52" w:rsidRPr="001F36EA">
        <w:t>)</w:t>
      </w:r>
      <w:r w:rsidR="00923B3C" w:rsidRPr="001F36EA">
        <w:t xml:space="preserve"> The digital age also offers the possibility of a better informed and more participative democracy through electronic consultation and better responses to feedback</w:t>
      </w:r>
      <w:r w:rsidR="00944F52" w:rsidRPr="001F36EA">
        <w:t>’</w:t>
      </w:r>
      <w:r w:rsidR="00923B3C" w:rsidRPr="001F36EA">
        <w:t xml:space="preserve"> (Minister for the Cabinet Office, 2000</w:t>
      </w:r>
      <w:r w:rsidR="00944F52" w:rsidRPr="001F36EA">
        <w:t>:</w:t>
      </w:r>
      <w:r w:rsidR="00923B3C" w:rsidRPr="001F36EA">
        <w:t xml:space="preserve"> 8).</w:t>
      </w:r>
    </w:p>
    <w:p w14:paraId="55042AA2" w14:textId="27F724D7" w:rsidR="00F8389D" w:rsidRDefault="00923B3C" w:rsidP="001F36EA">
      <w:pPr>
        <w:pStyle w:val="Quote"/>
      </w:pPr>
      <w:r w:rsidRPr="001F36EA">
        <w:t xml:space="preserve">In </w:t>
      </w:r>
      <w:r w:rsidR="00944F52" w:rsidRPr="001F36EA">
        <w:t>‘</w:t>
      </w:r>
      <w:r w:rsidRPr="001F36EA">
        <w:t>Transformational Government</w:t>
      </w:r>
      <w:r w:rsidR="00944F52" w:rsidRPr="001F36EA">
        <w:t>’</w:t>
      </w:r>
      <w:r w:rsidRPr="001F36EA">
        <w:t>, the promise of a new and better government is stretched further:</w:t>
      </w:r>
    </w:p>
    <w:p w14:paraId="3942009A" w14:textId="4FE67405" w:rsidR="00923B3C" w:rsidRPr="001F36EA" w:rsidRDefault="00944F52" w:rsidP="001F36EA">
      <w:pPr>
        <w:pStyle w:val="Quote"/>
      </w:pPr>
      <w:r w:rsidRPr="001F36EA">
        <w:t>‘</w:t>
      </w:r>
      <w:r w:rsidR="00923B3C" w:rsidRPr="001F36EA">
        <w:t xml:space="preserve">The specific opportunities lie in improving </w:t>
      </w:r>
      <w:r w:rsidR="00923B3C" w:rsidRPr="001F4507">
        <w:t>transactional</w:t>
      </w:r>
      <w:r w:rsidR="00923B3C" w:rsidRPr="001F36EA">
        <w:t xml:space="preserve"> services </w:t>
      </w:r>
      <w:r w:rsidRPr="001F36EA">
        <w:t>(</w:t>
      </w:r>
      <w:r w:rsidR="00923B3C" w:rsidRPr="001F36EA">
        <w:t>...</w:t>
      </w:r>
      <w:r w:rsidRPr="001F36EA">
        <w:t>)</w:t>
      </w:r>
      <w:r w:rsidR="00923B3C" w:rsidRPr="001F36EA">
        <w:t xml:space="preserve"> in helping front line </w:t>
      </w:r>
      <w:r w:rsidR="00923B3C" w:rsidRPr="001F4507">
        <w:t>public servants</w:t>
      </w:r>
      <w:r w:rsidR="00923B3C" w:rsidRPr="001F36EA">
        <w:t xml:space="preserve"> to be more effective </w:t>
      </w:r>
      <w:r w:rsidRPr="001F36EA">
        <w:t>(</w:t>
      </w:r>
      <w:r w:rsidR="00923B3C" w:rsidRPr="001F36EA">
        <w:t>...</w:t>
      </w:r>
      <w:r w:rsidRPr="001F36EA">
        <w:t>)</w:t>
      </w:r>
      <w:r w:rsidR="00923B3C" w:rsidRPr="001F36EA">
        <w:t xml:space="preserve"> in supporting effective </w:t>
      </w:r>
      <w:r w:rsidR="00923B3C" w:rsidRPr="001F4507">
        <w:t>policy</w:t>
      </w:r>
      <w:r w:rsidR="00923B3C" w:rsidRPr="001F36EA">
        <w:t xml:space="preserve"> outcomes </w:t>
      </w:r>
      <w:r w:rsidRPr="001F36EA">
        <w:t>(</w:t>
      </w:r>
      <w:r w:rsidR="00923B3C" w:rsidRPr="001F36EA">
        <w:t>...</w:t>
      </w:r>
      <w:r w:rsidRPr="001F36EA">
        <w:t>)</w:t>
      </w:r>
      <w:r w:rsidR="00923B3C" w:rsidRPr="001F36EA">
        <w:t xml:space="preserve"> in reforming the </w:t>
      </w:r>
      <w:r w:rsidR="00923B3C" w:rsidRPr="001F4507">
        <w:t>corporate services</w:t>
      </w:r>
      <w:r w:rsidR="00923B3C" w:rsidRPr="001F36EA">
        <w:t xml:space="preserve"> and </w:t>
      </w:r>
      <w:r w:rsidR="00923B3C" w:rsidRPr="001F4507">
        <w:t>infrastructure</w:t>
      </w:r>
      <w:r w:rsidR="00923B3C" w:rsidRPr="001F36EA">
        <w:t xml:space="preserve"> which government uses behind the scenes</w:t>
      </w:r>
      <w:r w:rsidRPr="001F36EA">
        <w:t>’</w:t>
      </w:r>
      <w:r w:rsidR="00923B3C" w:rsidRPr="001F36EA">
        <w:t xml:space="preserve"> (Minister for the Cabinet Office, 2005</w:t>
      </w:r>
      <w:r w:rsidRPr="001F36EA">
        <w:t>:</w:t>
      </w:r>
      <w:r w:rsidR="00923B3C" w:rsidRPr="001F36EA">
        <w:t xml:space="preserve"> 3; emphasis in original)</w:t>
      </w:r>
    </w:p>
    <w:p w14:paraId="341DDC41" w14:textId="538F8386" w:rsidR="00923B3C" w:rsidRPr="001F36EA" w:rsidRDefault="00923B3C" w:rsidP="001F36EA">
      <w:pPr>
        <w:pStyle w:val="Quote"/>
      </w:pPr>
      <w:r w:rsidRPr="001F36EA">
        <w:t>In the UK vision, emphasis is on the notion of intra</w:t>
      </w:r>
      <w:r w:rsidR="006275E8" w:rsidRPr="001F36EA">
        <w:t>-</w:t>
      </w:r>
      <w:r w:rsidRPr="001F36EA">
        <w:t xml:space="preserve">governmental cooperation: </w:t>
      </w:r>
      <w:r w:rsidR="002F1941" w:rsidRPr="001F36EA">
        <w:t>‘</w:t>
      </w:r>
      <w:r w:rsidRPr="001F36EA">
        <w:t>To improve the way we provide services, we need all parts of the government to work together</w:t>
      </w:r>
      <w:r w:rsidR="002F1941" w:rsidRPr="001F36EA">
        <w:t>’</w:t>
      </w:r>
      <w:r w:rsidRPr="001F36EA">
        <w:t xml:space="preserve"> (Minister for the Cabinet Office, 1999</w:t>
      </w:r>
      <w:r w:rsidR="006275E8" w:rsidRPr="001F36EA">
        <w:t>:</w:t>
      </w:r>
      <w:r w:rsidRPr="001F36EA">
        <w:t xml:space="preserve"> 4)</w:t>
      </w:r>
      <w:r w:rsidR="008B4E99" w:rsidRPr="001F36EA">
        <w:t>’</w:t>
      </w:r>
      <w:r w:rsidRPr="001F36EA">
        <w:t>.</w:t>
      </w:r>
    </w:p>
    <w:p w14:paraId="236E47FB" w14:textId="43B59BB3" w:rsidR="00552F59" w:rsidRDefault="00552F59" w:rsidP="00552F59">
      <w:r w:rsidRPr="00923B3C">
        <w:rPr>
          <w:rFonts w:ascii="Calibri" w:hAnsi="Calibri" w:cs="Calibri"/>
        </w:rPr>
        <w:lastRenderedPageBreak/>
        <w:t>As governments increasingly use digital channels to deliver a wide range of information, interaction and transaction services, and at a growing level of sophistication, the amount of data collected also grows. This occurs both by</w:t>
      </w:r>
      <w:r>
        <w:rPr>
          <w:rFonts w:ascii="Calibri" w:hAnsi="Calibri" w:cs="Calibri"/>
        </w:rPr>
        <w:t xml:space="preserve"> </w:t>
      </w:r>
      <w:r w:rsidRPr="00923B3C">
        <w:rPr>
          <w:rFonts w:ascii="Calibri" w:hAnsi="Calibri" w:cs="Calibri"/>
        </w:rPr>
        <w:t xml:space="preserve">design and as a by-product of this transition to e-government. This data can be analysed and used to inform government policy in order to make it more effective. Data analysis can also be used to make the e-government systems themselves more user-centric (Stragier, Verdegem </w:t>
      </w:r>
      <w:r>
        <w:rPr>
          <w:rFonts w:ascii="Calibri" w:hAnsi="Calibri" w:cs="Calibri"/>
        </w:rPr>
        <w:t>and</w:t>
      </w:r>
      <w:r w:rsidRPr="00923B3C">
        <w:rPr>
          <w:rFonts w:ascii="Calibri" w:hAnsi="Calibri" w:cs="Calibri"/>
        </w:rPr>
        <w:t xml:space="preserve"> Verleye, 2010</w:t>
      </w:r>
      <w:r>
        <w:t xml:space="preserve">) and leverage behavioural insights. For example, in the United Kingdom there was a 38% </w:t>
      </w:r>
      <w:r w:rsidRPr="00957C5F">
        <w:t>reduction in patient referrals to overbooked hospitals</w:t>
      </w:r>
      <w:r>
        <w:t>.</w:t>
      </w:r>
      <w:r w:rsidRPr="00957C5F">
        <w:t xml:space="preserve"> </w:t>
      </w:r>
      <w:r>
        <w:t>This resulted</w:t>
      </w:r>
      <w:r w:rsidRPr="00957C5F">
        <w:t xml:space="preserve"> from </w:t>
      </w:r>
      <w:r>
        <w:t xml:space="preserve">making use of data collected via e-government platforms, and then </w:t>
      </w:r>
      <w:r w:rsidRPr="00957C5F">
        <w:t>installing a pop-up prompt in the GP referral system.</w:t>
      </w:r>
    </w:p>
    <w:p w14:paraId="637BDA46" w14:textId="11E47B38" w:rsidR="008B4E99" w:rsidRPr="00F71A22" w:rsidRDefault="008B4E99" w:rsidP="001F4507">
      <w:pPr>
        <w:pStyle w:val="Heading3"/>
      </w:pPr>
      <w:bookmarkStart w:id="228" w:name="_Toc67042648"/>
      <w:r w:rsidRPr="00F71A22">
        <w:t>Denmark</w:t>
      </w:r>
      <w:bookmarkEnd w:id="228"/>
    </w:p>
    <w:p w14:paraId="73036C34" w14:textId="159E3D49" w:rsidR="00DD46AB" w:rsidRDefault="00DD46AB" w:rsidP="00DD46AB">
      <w:pPr>
        <w:rPr>
          <w:rFonts w:ascii="Calibri" w:hAnsi="Calibri" w:cs="Calibri"/>
        </w:rPr>
      </w:pPr>
      <w:r>
        <w:rPr>
          <w:rFonts w:ascii="Calibri" w:hAnsi="Calibri" w:cs="Calibri"/>
        </w:rPr>
        <w:t>Bekkers and Homburg</w:t>
      </w:r>
      <w:r w:rsidR="0067589A">
        <w:rPr>
          <w:rFonts w:ascii="Calibri" w:hAnsi="Calibri" w:cs="Calibri"/>
        </w:rPr>
        <w:t xml:space="preserve"> (2007)</w:t>
      </w:r>
      <w:r>
        <w:rPr>
          <w:rFonts w:ascii="Calibri" w:hAnsi="Calibri" w:cs="Calibri"/>
        </w:rPr>
        <w:t xml:space="preserve"> observe:</w:t>
      </w:r>
    </w:p>
    <w:p w14:paraId="4F3B380D" w14:textId="1526F73F" w:rsidR="00F8389D" w:rsidRDefault="008B4E99" w:rsidP="001F36EA">
      <w:pPr>
        <w:pStyle w:val="Quote"/>
      </w:pPr>
      <w:r w:rsidRPr="001F36EA">
        <w:t>In the Danish vision on e-government, From Vision to Action: The Information Society 2000 (Ministry of Research and Information Technology, 1995), e-government is described, conceptuali</w:t>
      </w:r>
      <w:r w:rsidR="00DD46AB" w:rsidRPr="001F36EA">
        <w:t>z</w:t>
      </w:r>
      <w:r w:rsidRPr="001F36EA">
        <w:t>ed and discussed in the context of the network society: a worldwide short circuit of time, space, people and processes.</w:t>
      </w:r>
      <w:r w:rsidR="0067589A" w:rsidRPr="001F36EA">
        <w:t xml:space="preserve"> </w:t>
      </w:r>
      <w:r w:rsidRPr="001F36EA">
        <w:t xml:space="preserve">As such, the Danish case (at least until 2004) is an exceptional case in the sense that </w:t>
      </w:r>
      <w:r w:rsidR="0067589A" w:rsidRPr="001F36EA">
        <w:t>ICTs</w:t>
      </w:r>
      <w:r w:rsidRPr="001F36EA">
        <w:t xml:space="preserve"> are seen as contributing to free access of information, grass</w:t>
      </w:r>
      <w:r w:rsidR="0067589A" w:rsidRPr="001F36EA">
        <w:t xml:space="preserve"> </w:t>
      </w:r>
      <w:r w:rsidRPr="001F36EA">
        <w:t>roots democracy, personal development of individuals in workplace and private life, and transparency of the administrative apparatus:</w:t>
      </w:r>
    </w:p>
    <w:p w14:paraId="1E0D5253" w14:textId="05BF478A" w:rsidR="008B4E99" w:rsidRPr="001F36EA" w:rsidRDefault="0067589A" w:rsidP="001F4507">
      <w:pPr>
        <w:pStyle w:val="Quote"/>
      </w:pPr>
      <w:r w:rsidRPr="001F36EA">
        <w:t>‘</w:t>
      </w:r>
      <w:r w:rsidR="008B4E99" w:rsidRPr="001F36EA">
        <w:t>The new technologies must give all citizens free access to information and exchange of information, and the possibilities for increasing the citizens</w:t>
      </w:r>
      <w:r w:rsidRPr="001F36EA">
        <w:t>’</w:t>
      </w:r>
      <w:r w:rsidR="008B4E99" w:rsidRPr="001F36EA">
        <w:t xml:space="preserve"> self-determination are to be exploited. It must be ensured that the technologies are not used for monitoring citizens or invading their privacy</w:t>
      </w:r>
      <w:r w:rsidRPr="001F36EA">
        <w:t>’</w:t>
      </w:r>
      <w:r w:rsidR="008B4E99" w:rsidRPr="001F36EA">
        <w:t xml:space="preserve"> (Ministeriet for Videnskab Tecknologi og Udvikling, 2000</w:t>
      </w:r>
      <w:r w:rsidRPr="001F36EA">
        <w:t>:</w:t>
      </w:r>
      <w:r w:rsidR="008B4E99" w:rsidRPr="001F36EA">
        <w:t xml:space="preserve"> 9)</w:t>
      </w:r>
    </w:p>
    <w:p w14:paraId="4BB43CEF" w14:textId="0C41B14E" w:rsidR="00923B3C" w:rsidRPr="001F36EA" w:rsidRDefault="008B4E99" w:rsidP="001F4507">
      <w:pPr>
        <w:pStyle w:val="Quote"/>
      </w:pPr>
      <w:r w:rsidRPr="001F36EA">
        <w:t>In order to accomplish the goals described earlier, policymakers put emphasis on life</w:t>
      </w:r>
      <w:r w:rsidR="0067589A" w:rsidRPr="001F36EA">
        <w:t>-</w:t>
      </w:r>
      <w:r w:rsidRPr="001F36EA">
        <w:t>long learning, the stimulation of e-commerce, more effective and cheaper public service delivery, the stimulation of grassroots digital democratic initiatives, and the establishment of information intensive organizations in specific regions (so-called IT lighthouses). The</w:t>
      </w:r>
      <w:r w:rsidR="0067589A" w:rsidRPr="001F36EA">
        <w:t xml:space="preserve"> above</w:t>
      </w:r>
      <w:r w:rsidRPr="001F36EA">
        <w:t xml:space="preserve"> vision of e-government contrasts with that of the 2004 policy document </w:t>
      </w:r>
      <w:r w:rsidR="0067589A" w:rsidRPr="001F4507">
        <w:t>‘</w:t>
      </w:r>
      <w:r w:rsidRPr="001F4507">
        <w:rPr>
          <w:i w:val="0"/>
          <w:iCs w:val="0"/>
        </w:rPr>
        <w:t>The Danish eGovernment Strategy 2004</w:t>
      </w:r>
      <w:r w:rsidR="0067589A" w:rsidRPr="001F4507">
        <w:rPr>
          <w:i w:val="0"/>
          <w:iCs w:val="0"/>
        </w:rPr>
        <w:t>-</w:t>
      </w:r>
      <w:r w:rsidRPr="001F4507">
        <w:rPr>
          <w:i w:val="0"/>
          <w:iCs w:val="0"/>
        </w:rPr>
        <w:t>06</w:t>
      </w:r>
      <w:r w:rsidR="0067589A" w:rsidRPr="001F4507">
        <w:rPr>
          <w:i w:val="0"/>
          <w:iCs w:val="0"/>
        </w:rPr>
        <w:t>’</w:t>
      </w:r>
      <w:r w:rsidRPr="001F36EA">
        <w:t xml:space="preserve"> (Digital Taskforce, 2004). In this document the vision is articulated in one sentence: </w:t>
      </w:r>
      <w:r w:rsidR="0067589A" w:rsidRPr="001F36EA">
        <w:t>‘d</w:t>
      </w:r>
      <w:r w:rsidRPr="001F36EA">
        <w:t>igitalization must contribute to the creation of an efficient and coherent public service with a high quality of service, with citizens and businesses in the centre</w:t>
      </w:r>
      <w:r w:rsidR="0067589A" w:rsidRPr="001F36EA">
        <w:t>’</w:t>
      </w:r>
      <w:r w:rsidRPr="001F36EA">
        <w:t xml:space="preserve"> (Digital Taskforce, 2004</w:t>
      </w:r>
      <w:r w:rsidR="0067589A" w:rsidRPr="001F36EA">
        <w:t>:</w:t>
      </w:r>
      <w:r w:rsidR="000A2071" w:rsidRPr="001F36EA">
        <w:t> </w:t>
      </w:r>
      <w:r w:rsidRPr="001F36EA">
        <w:t>4).</w:t>
      </w:r>
      <w:r w:rsidR="00923B3C" w:rsidRPr="001F36EA">
        <w:br w:type="page"/>
      </w:r>
    </w:p>
    <w:p w14:paraId="5C927D42" w14:textId="354B673B" w:rsidR="00AB105E" w:rsidRPr="00F71A22" w:rsidRDefault="00500C64" w:rsidP="009744F8">
      <w:pPr>
        <w:pStyle w:val="Heading2"/>
      </w:pPr>
      <w:bookmarkStart w:id="229" w:name="_Toc47520158"/>
      <w:bookmarkStart w:id="230" w:name="_Toc67042649"/>
      <w:r w:rsidRPr="00F71A22">
        <w:lastRenderedPageBreak/>
        <w:t xml:space="preserve">Appendix </w:t>
      </w:r>
      <w:r w:rsidR="008278B1" w:rsidRPr="00F71A22">
        <w:t>B</w:t>
      </w:r>
      <w:r w:rsidR="00AB105E" w:rsidRPr="00F71A22">
        <w:t xml:space="preserve"> Impact of policy and systems changes 1 July 2019 </w:t>
      </w:r>
      <w:r w:rsidR="00673657" w:rsidRPr="00F71A22">
        <w:t>to</w:t>
      </w:r>
      <w:r w:rsidR="00AB105E" w:rsidRPr="00F71A22">
        <w:t xml:space="preserve"> </w:t>
      </w:r>
      <w:r w:rsidR="005C5FA2" w:rsidRPr="00F71A22">
        <w:t>9</w:t>
      </w:r>
      <w:r w:rsidR="00673657" w:rsidRPr="00F71A22">
        <w:t> </w:t>
      </w:r>
      <w:r w:rsidR="005C5FA2" w:rsidRPr="00F71A22">
        <w:t>December</w:t>
      </w:r>
      <w:bookmarkEnd w:id="229"/>
      <w:r w:rsidR="00673657" w:rsidRPr="00F71A22">
        <w:t xml:space="preserve"> 2019</w:t>
      </w:r>
      <w:bookmarkEnd w:id="230"/>
    </w:p>
    <w:tbl>
      <w:tblPr>
        <w:tblStyle w:val="TableGrid"/>
        <w:tblW w:w="9067" w:type="dxa"/>
        <w:tblLook w:val="04A0" w:firstRow="1" w:lastRow="0" w:firstColumn="1" w:lastColumn="0" w:noHBand="0" w:noVBand="1"/>
      </w:tblPr>
      <w:tblGrid>
        <w:gridCol w:w="1640"/>
        <w:gridCol w:w="1933"/>
        <w:gridCol w:w="3793"/>
        <w:gridCol w:w="1701"/>
      </w:tblGrid>
      <w:tr w:rsidR="00475371" w:rsidRPr="00F71A22" w14:paraId="6243B491" w14:textId="77777777" w:rsidTr="008573ED">
        <w:trPr>
          <w:cantSplit/>
          <w:tblHeader/>
        </w:trPr>
        <w:tc>
          <w:tcPr>
            <w:tcW w:w="0" w:type="auto"/>
            <w:shd w:val="clear" w:color="auto" w:fill="002D3F"/>
          </w:tcPr>
          <w:p w14:paraId="7ADC2C6F" w14:textId="77777777" w:rsidR="00475371" w:rsidRPr="00F71A22" w:rsidRDefault="00475371" w:rsidP="0072047B">
            <w:pPr>
              <w:pStyle w:val="TableText"/>
              <w:rPr>
                <w:b/>
                <w:bCs w:val="0"/>
              </w:rPr>
            </w:pPr>
            <w:r w:rsidRPr="00F71A22">
              <w:rPr>
                <w:b/>
                <w:bCs w:val="0"/>
              </w:rPr>
              <w:t>Date</w:t>
            </w:r>
          </w:p>
        </w:tc>
        <w:tc>
          <w:tcPr>
            <w:tcW w:w="1933" w:type="dxa"/>
            <w:shd w:val="clear" w:color="auto" w:fill="002D3F"/>
          </w:tcPr>
          <w:p w14:paraId="6BA187E5" w14:textId="77777777" w:rsidR="00475371" w:rsidRPr="00F71A22" w:rsidRDefault="00475371" w:rsidP="0072047B">
            <w:pPr>
              <w:pStyle w:val="TableText"/>
              <w:rPr>
                <w:b/>
                <w:bCs w:val="0"/>
              </w:rPr>
            </w:pPr>
            <w:r w:rsidRPr="00F71A22">
              <w:rPr>
                <w:b/>
                <w:bCs w:val="0"/>
              </w:rPr>
              <w:t xml:space="preserve">Action </w:t>
            </w:r>
          </w:p>
        </w:tc>
        <w:tc>
          <w:tcPr>
            <w:tcW w:w="3793" w:type="dxa"/>
            <w:shd w:val="clear" w:color="auto" w:fill="002D3F"/>
          </w:tcPr>
          <w:p w14:paraId="2EE759D9" w14:textId="5E44BFB3" w:rsidR="00475371" w:rsidRPr="00F71A22" w:rsidRDefault="00475371" w:rsidP="0072047B">
            <w:pPr>
              <w:pStyle w:val="TableText"/>
              <w:rPr>
                <w:b/>
                <w:bCs w:val="0"/>
              </w:rPr>
            </w:pPr>
            <w:r w:rsidRPr="00F71A22">
              <w:rPr>
                <w:b/>
                <w:bCs w:val="0"/>
              </w:rPr>
              <w:t xml:space="preserve">Policy or </w:t>
            </w:r>
            <w:r>
              <w:rPr>
                <w:b/>
                <w:bCs w:val="0"/>
              </w:rPr>
              <w:t>s</w:t>
            </w:r>
            <w:r w:rsidRPr="00F71A22">
              <w:rPr>
                <w:b/>
                <w:bCs w:val="0"/>
              </w:rPr>
              <w:t xml:space="preserve">ystem </w:t>
            </w:r>
            <w:r>
              <w:rPr>
                <w:b/>
                <w:bCs w:val="0"/>
              </w:rPr>
              <w:t>i</w:t>
            </w:r>
            <w:r w:rsidRPr="00F71A22">
              <w:rPr>
                <w:b/>
                <w:bCs w:val="0"/>
              </w:rPr>
              <w:t>mpact</w:t>
            </w:r>
          </w:p>
        </w:tc>
        <w:tc>
          <w:tcPr>
            <w:tcW w:w="1701" w:type="dxa"/>
            <w:shd w:val="clear" w:color="auto" w:fill="002D3F"/>
          </w:tcPr>
          <w:p w14:paraId="3BB678C3" w14:textId="521DA43E" w:rsidR="00475371" w:rsidRPr="00F71A22" w:rsidRDefault="00475371" w:rsidP="0072047B">
            <w:pPr>
              <w:pStyle w:val="TableText"/>
              <w:rPr>
                <w:b/>
                <w:bCs w:val="0"/>
              </w:rPr>
            </w:pPr>
            <w:r w:rsidRPr="00F71A22">
              <w:rPr>
                <w:b/>
                <w:bCs w:val="0"/>
              </w:rPr>
              <w:t xml:space="preserve">End </w:t>
            </w:r>
            <w:r>
              <w:rPr>
                <w:b/>
                <w:bCs w:val="0"/>
              </w:rPr>
              <w:t>d</w:t>
            </w:r>
            <w:r w:rsidRPr="00F71A22">
              <w:rPr>
                <w:b/>
                <w:bCs w:val="0"/>
              </w:rPr>
              <w:t>ate</w:t>
            </w:r>
          </w:p>
        </w:tc>
      </w:tr>
      <w:tr w:rsidR="00475371" w:rsidRPr="00F71A22" w14:paraId="3443C945" w14:textId="77777777" w:rsidTr="008573ED">
        <w:tc>
          <w:tcPr>
            <w:tcW w:w="0" w:type="auto"/>
          </w:tcPr>
          <w:p w14:paraId="5A7315CF" w14:textId="5A2533FC" w:rsidR="00475371" w:rsidRPr="00F71A22" w:rsidRDefault="00475371" w:rsidP="0072047B">
            <w:pPr>
              <w:pStyle w:val="TableText"/>
              <w:rPr>
                <w:szCs w:val="20"/>
              </w:rPr>
            </w:pPr>
            <w:r w:rsidRPr="00F71A22">
              <w:rPr>
                <w:rFonts w:eastAsia="Times New Roman"/>
                <w:szCs w:val="20"/>
              </w:rPr>
              <w:t>1 July 2018</w:t>
            </w:r>
          </w:p>
        </w:tc>
        <w:tc>
          <w:tcPr>
            <w:tcW w:w="1933" w:type="dxa"/>
          </w:tcPr>
          <w:p w14:paraId="279ADBC4" w14:textId="5B652FD4" w:rsidR="00475371" w:rsidRPr="00F71A22" w:rsidRDefault="00475371" w:rsidP="0072047B">
            <w:pPr>
              <w:pStyle w:val="TableText"/>
              <w:rPr>
                <w:rFonts w:eastAsia="Times New Roman"/>
                <w:szCs w:val="20"/>
              </w:rPr>
            </w:pPr>
            <w:r w:rsidRPr="00F71A22">
              <w:rPr>
                <w:rFonts w:eastAsia="Times New Roman"/>
                <w:szCs w:val="20"/>
              </w:rPr>
              <w:t>Launch</w:t>
            </w:r>
            <w:r>
              <w:rPr>
                <w:rFonts w:eastAsia="Times New Roman"/>
                <w:szCs w:val="20"/>
              </w:rPr>
              <w:t xml:space="preserve"> of</w:t>
            </w:r>
            <w:r w:rsidRPr="00F71A22">
              <w:rPr>
                <w:rFonts w:eastAsia="Times New Roman"/>
                <w:szCs w:val="20"/>
              </w:rPr>
              <w:t xml:space="preserve"> the OEST</w:t>
            </w:r>
          </w:p>
        </w:tc>
        <w:tc>
          <w:tcPr>
            <w:tcW w:w="3793" w:type="dxa"/>
          </w:tcPr>
          <w:p w14:paraId="7AEDB575" w14:textId="77777777" w:rsidR="00475371" w:rsidRPr="00F71A22" w:rsidRDefault="00475371" w:rsidP="0072047B">
            <w:pPr>
              <w:pStyle w:val="TableText"/>
              <w:rPr>
                <w:szCs w:val="20"/>
              </w:rPr>
            </w:pPr>
            <w:r w:rsidRPr="00F71A22">
              <w:rPr>
                <w:rFonts w:eastAsia="Times New Roman"/>
                <w:szCs w:val="20"/>
              </w:rPr>
              <w:t xml:space="preserve">5,000 participants a year </w:t>
            </w:r>
          </w:p>
        </w:tc>
        <w:tc>
          <w:tcPr>
            <w:tcW w:w="1701" w:type="dxa"/>
          </w:tcPr>
          <w:p w14:paraId="0A3527C8" w14:textId="77777777" w:rsidR="00475371" w:rsidRPr="00F71A22" w:rsidRDefault="00475371" w:rsidP="0072047B">
            <w:pPr>
              <w:pStyle w:val="TableText"/>
              <w:rPr>
                <w:szCs w:val="20"/>
              </w:rPr>
            </w:pPr>
            <w:r w:rsidRPr="00F71A22">
              <w:rPr>
                <w:rFonts w:eastAsia="Times New Roman"/>
                <w:szCs w:val="20"/>
              </w:rPr>
              <w:t>30 June 2020</w:t>
            </w:r>
          </w:p>
        </w:tc>
      </w:tr>
      <w:tr w:rsidR="00475371" w:rsidRPr="00F71A22" w14:paraId="3E303808" w14:textId="77777777" w:rsidTr="008573ED">
        <w:tc>
          <w:tcPr>
            <w:tcW w:w="0" w:type="auto"/>
          </w:tcPr>
          <w:p w14:paraId="278D3CF3" w14:textId="4F3BB084" w:rsidR="00475371" w:rsidRPr="00F71A22" w:rsidRDefault="00475371" w:rsidP="0072047B">
            <w:pPr>
              <w:pStyle w:val="TableText"/>
              <w:rPr>
                <w:szCs w:val="20"/>
              </w:rPr>
            </w:pPr>
            <w:r w:rsidRPr="00F71A22">
              <w:rPr>
                <w:szCs w:val="20"/>
              </w:rPr>
              <w:t>1 Jan 2019</w:t>
            </w:r>
          </w:p>
        </w:tc>
        <w:tc>
          <w:tcPr>
            <w:tcW w:w="1933" w:type="dxa"/>
          </w:tcPr>
          <w:p w14:paraId="70680ACB" w14:textId="77777777" w:rsidR="00475371" w:rsidRPr="00F71A22" w:rsidRDefault="00475371" w:rsidP="0072047B">
            <w:pPr>
              <w:pStyle w:val="TableText"/>
              <w:rPr>
                <w:szCs w:val="20"/>
              </w:rPr>
            </w:pPr>
            <w:r w:rsidRPr="00F71A22">
              <w:rPr>
                <w:szCs w:val="20"/>
              </w:rPr>
              <w:t>Expansion of OEST (</w:t>
            </w:r>
            <w:r w:rsidRPr="00F71A22">
              <w:rPr>
                <w:rFonts w:eastAsia="Times New Roman"/>
                <w:szCs w:val="20"/>
              </w:rPr>
              <w:t>MYEFO 2018–19)</w:t>
            </w:r>
          </w:p>
        </w:tc>
        <w:tc>
          <w:tcPr>
            <w:tcW w:w="3793" w:type="dxa"/>
          </w:tcPr>
          <w:p w14:paraId="627309C0" w14:textId="77777777" w:rsidR="00475371" w:rsidRPr="00F71A22" w:rsidRDefault="00475371" w:rsidP="0072047B">
            <w:pPr>
              <w:pStyle w:val="TableText"/>
              <w:rPr>
                <w:szCs w:val="20"/>
              </w:rPr>
            </w:pPr>
            <w:r w:rsidRPr="00F71A22">
              <w:rPr>
                <w:rFonts w:eastAsia="Times New Roman"/>
                <w:szCs w:val="20"/>
              </w:rPr>
              <w:t xml:space="preserve">Additional 25,000 Stream A jobactive participants </w:t>
            </w:r>
          </w:p>
        </w:tc>
        <w:tc>
          <w:tcPr>
            <w:tcW w:w="1701" w:type="dxa"/>
          </w:tcPr>
          <w:p w14:paraId="1B5F9DAA" w14:textId="77777777" w:rsidR="00475371" w:rsidRPr="00F71A22" w:rsidRDefault="00475371" w:rsidP="0072047B">
            <w:pPr>
              <w:pStyle w:val="TableText"/>
              <w:rPr>
                <w:szCs w:val="20"/>
              </w:rPr>
            </w:pPr>
            <w:r w:rsidRPr="00F71A22">
              <w:rPr>
                <w:rFonts w:eastAsia="Times New Roman"/>
                <w:szCs w:val="20"/>
              </w:rPr>
              <w:t>30 June 2020</w:t>
            </w:r>
          </w:p>
        </w:tc>
      </w:tr>
      <w:tr w:rsidR="00475371" w:rsidRPr="00F71A22" w14:paraId="71B717F6" w14:textId="77777777" w:rsidTr="008573ED">
        <w:tc>
          <w:tcPr>
            <w:tcW w:w="0" w:type="auto"/>
          </w:tcPr>
          <w:p w14:paraId="5AE26A5D" w14:textId="6E2C0E43" w:rsidR="00475371" w:rsidRPr="00F71A22" w:rsidRDefault="00475371" w:rsidP="0072047B">
            <w:pPr>
              <w:pStyle w:val="TableText"/>
              <w:rPr>
                <w:szCs w:val="20"/>
              </w:rPr>
            </w:pPr>
            <w:r w:rsidRPr="00F71A22">
              <w:rPr>
                <w:rFonts w:eastAsia="Times New Roman"/>
                <w:szCs w:val="20"/>
              </w:rPr>
              <w:t>Budget 2019–20</w:t>
            </w:r>
            <w:r w:rsidR="00803324">
              <w:rPr>
                <w:rFonts w:eastAsia="Times New Roman"/>
                <w:szCs w:val="20"/>
              </w:rPr>
              <w:t xml:space="preserve"> </w:t>
            </w:r>
          </w:p>
        </w:tc>
        <w:tc>
          <w:tcPr>
            <w:tcW w:w="1933" w:type="dxa"/>
          </w:tcPr>
          <w:p w14:paraId="3B175B5C" w14:textId="77777777" w:rsidR="00475371" w:rsidRPr="00F71A22" w:rsidRDefault="00475371" w:rsidP="0072047B">
            <w:pPr>
              <w:pStyle w:val="TableText"/>
              <w:rPr>
                <w:szCs w:val="20"/>
              </w:rPr>
            </w:pPr>
            <w:r w:rsidRPr="00F71A22">
              <w:rPr>
                <w:szCs w:val="20"/>
              </w:rPr>
              <w:t>Expansion of OEST and new end date</w:t>
            </w:r>
          </w:p>
        </w:tc>
        <w:tc>
          <w:tcPr>
            <w:tcW w:w="3793" w:type="dxa"/>
          </w:tcPr>
          <w:p w14:paraId="0A18AFA4" w14:textId="52E48BFB" w:rsidR="00475371" w:rsidRPr="00F71A22" w:rsidRDefault="00475371" w:rsidP="0072047B">
            <w:pPr>
              <w:pStyle w:val="TableText"/>
              <w:rPr>
                <w:szCs w:val="20"/>
              </w:rPr>
            </w:pPr>
            <w:r w:rsidRPr="00F71A22">
              <w:rPr>
                <w:rFonts w:eastAsia="Times New Roman"/>
                <w:szCs w:val="20"/>
              </w:rPr>
              <w:t>Extended to June 2022. An additional 35,000 participants</w:t>
            </w:r>
          </w:p>
        </w:tc>
        <w:tc>
          <w:tcPr>
            <w:tcW w:w="1701" w:type="dxa"/>
          </w:tcPr>
          <w:p w14:paraId="3A30804F" w14:textId="77777777" w:rsidR="00475371" w:rsidRPr="00F71A22" w:rsidRDefault="00475371" w:rsidP="0072047B">
            <w:pPr>
              <w:pStyle w:val="TableText"/>
              <w:rPr>
                <w:szCs w:val="20"/>
              </w:rPr>
            </w:pPr>
            <w:r w:rsidRPr="00F71A22">
              <w:rPr>
                <w:rFonts w:eastAsia="Times New Roman"/>
                <w:szCs w:val="20"/>
              </w:rPr>
              <w:t>June 2022</w:t>
            </w:r>
          </w:p>
        </w:tc>
      </w:tr>
      <w:tr w:rsidR="00475371" w:rsidRPr="00F71A22" w14:paraId="05141574" w14:textId="77777777" w:rsidTr="008573ED">
        <w:tc>
          <w:tcPr>
            <w:tcW w:w="0" w:type="auto"/>
          </w:tcPr>
          <w:p w14:paraId="181F1A3A" w14:textId="77777777" w:rsidR="00475371" w:rsidRPr="00F71A22" w:rsidRDefault="00475371" w:rsidP="0072047B">
            <w:pPr>
              <w:pStyle w:val="TableText"/>
              <w:rPr>
                <w:szCs w:val="20"/>
              </w:rPr>
            </w:pPr>
            <w:r w:rsidRPr="00F71A22">
              <w:rPr>
                <w:rFonts w:eastAsia="Times New Roman"/>
                <w:szCs w:val="20"/>
              </w:rPr>
              <w:t>MYEFO 2019–20</w:t>
            </w:r>
          </w:p>
        </w:tc>
        <w:tc>
          <w:tcPr>
            <w:tcW w:w="1933" w:type="dxa"/>
          </w:tcPr>
          <w:p w14:paraId="7C3DDF3C" w14:textId="77777777" w:rsidR="00475371" w:rsidRPr="00F71A22" w:rsidRDefault="00475371" w:rsidP="0072047B">
            <w:pPr>
              <w:pStyle w:val="TableText"/>
              <w:rPr>
                <w:szCs w:val="20"/>
              </w:rPr>
            </w:pPr>
            <w:r w:rsidRPr="00F71A22">
              <w:rPr>
                <w:szCs w:val="20"/>
              </w:rPr>
              <w:t>Expansion of OEST</w:t>
            </w:r>
          </w:p>
        </w:tc>
        <w:tc>
          <w:tcPr>
            <w:tcW w:w="3793" w:type="dxa"/>
          </w:tcPr>
          <w:p w14:paraId="6CA9FB87" w14:textId="3FEF84BF" w:rsidR="00475371" w:rsidRPr="00F71A22" w:rsidRDefault="00475371" w:rsidP="0072047B">
            <w:pPr>
              <w:pStyle w:val="TableText"/>
              <w:rPr>
                <w:szCs w:val="20"/>
              </w:rPr>
            </w:pPr>
            <w:r w:rsidRPr="00F71A22">
              <w:rPr>
                <w:rFonts w:eastAsia="Times New Roman"/>
                <w:szCs w:val="20"/>
              </w:rPr>
              <w:t>Additional 33,750 participants between 1</w:t>
            </w:r>
            <w:r w:rsidR="00F62973">
              <w:rPr>
                <w:rFonts w:eastAsia="Times New Roman"/>
                <w:szCs w:val="20"/>
              </w:rPr>
              <w:t> </w:t>
            </w:r>
            <w:r w:rsidRPr="00F71A22">
              <w:rPr>
                <w:rFonts w:eastAsia="Times New Roman"/>
                <w:szCs w:val="20"/>
              </w:rPr>
              <w:t>April 2020 and 30 June 2022</w:t>
            </w:r>
          </w:p>
        </w:tc>
        <w:tc>
          <w:tcPr>
            <w:tcW w:w="1701" w:type="dxa"/>
          </w:tcPr>
          <w:p w14:paraId="76FDE3AB" w14:textId="77777777" w:rsidR="00475371" w:rsidRPr="00F71A22" w:rsidRDefault="00475371" w:rsidP="0072047B">
            <w:pPr>
              <w:pStyle w:val="TableText"/>
              <w:rPr>
                <w:szCs w:val="20"/>
              </w:rPr>
            </w:pPr>
            <w:r w:rsidRPr="00F71A22">
              <w:rPr>
                <w:szCs w:val="20"/>
              </w:rPr>
              <w:t>30 June 2022</w:t>
            </w:r>
          </w:p>
        </w:tc>
      </w:tr>
      <w:tr w:rsidR="00475371" w:rsidRPr="00F71A22" w14:paraId="020FE657" w14:textId="77777777" w:rsidTr="008573ED">
        <w:tc>
          <w:tcPr>
            <w:tcW w:w="0" w:type="auto"/>
          </w:tcPr>
          <w:p w14:paraId="6E87C034" w14:textId="62C464E8" w:rsidR="00475371" w:rsidRPr="00F71A22" w:rsidRDefault="00475371" w:rsidP="0072047B">
            <w:pPr>
              <w:pStyle w:val="TableText"/>
              <w:rPr>
                <w:szCs w:val="20"/>
              </w:rPr>
            </w:pPr>
            <w:r w:rsidRPr="00F71A22">
              <w:rPr>
                <w:szCs w:val="20"/>
              </w:rPr>
              <w:t>Feb 2019</w:t>
            </w:r>
          </w:p>
        </w:tc>
        <w:tc>
          <w:tcPr>
            <w:tcW w:w="1933" w:type="dxa"/>
          </w:tcPr>
          <w:p w14:paraId="494C8715" w14:textId="496E0044" w:rsidR="00475371" w:rsidRPr="00F71A22" w:rsidRDefault="00475371" w:rsidP="0072047B">
            <w:pPr>
              <w:pStyle w:val="TableText"/>
              <w:rPr>
                <w:rFonts w:eastAsia="Times New Roman"/>
                <w:szCs w:val="20"/>
              </w:rPr>
            </w:pPr>
            <w:r w:rsidRPr="00F71A22">
              <w:rPr>
                <w:rFonts w:eastAsia="Times New Roman"/>
                <w:szCs w:val="20"/>
              </w:rPr>
              <w:t>Yarrabah area excluded from OEST</w:t>
            </w:r>
          </w:p>
        </w:tc>
        <w:tc>
          <w:tcPr>
            <w:tcW w:w="3793" w:type="dxa"/>
          </w:tcPr>
          <w:p w14:paraId="17527AB5" w14:textId="4D929A8E" w:rsidR="00475371" w:rsidRPr="00F71A22" w:rsidRDefault="00475371" w:rsidP="0072047B">
            <w:pPr>
              <w:pStyle w:val="TableText"/>
              <w:rPr>
                <w:rFonts w:eastAsia="Times New Roman"/>
                <w:szCs w:val="20"/>
              </w:rPr>
            </w:pPr>
            <w:r w:rsidRPr="00F71A22">
              <w:rPr>
                <w:rFonts w:eastAsia="Times New Roman"/>
                <w:szCs w:val="20"/>
              </w:rPr>
              <w:t>Prevention of Yarrabah Trial and OEST intersection</w:t>
            </w:r>
          </w:p>
        </w:tc>
        <w:tc>
          <w:tcPr>
            <w:tcW w:w="1701" w:type="dxa"/>
          </w:tcPr>
          <w:p w14:paraId="1B2C0030" w14:textId="77777777" w:rsidR="00475371" w:rsidRPr="00F71A22" w:rsidRDefault="00475371" w:rsidP="0072047B">
            <w:pPr>
              <w:pStyle w:val="TableText"/>
              <w:rPr>
                <w:szCs w:val="20"/>
              </w:rPr>
            </w:pPr>
            <w:r w:rsidRPr="00F71A22">
              <w:rPr>
                <w:szCs w:val="20"/>
              </w:rPr>
              <w:t>30 June 2022</w:t>
            </w:r>
          </w:p>
        </w:tc>
      </w:tr>
      <w:tr w:rsidR="00475371" w:rsidRPr="00F71A22" w14:paraId="71C6BBF6" w14:textId="77777777" w:rsidTr="008573ED">
        <w:tc>
          <w:tcPr>
            <w:tcW w:w="0" w:type="auto"/>
          </w:tcPr>
          <w:p w14:paraId="37045439" w14:textId="77777777" w:rsidR="00475371" w:rsidRPr="00F71A22" w:rsidRDefault="00475371" w:rsidP="0072047B">
            <w:pPr>
              <w:pStyle w:val="TableText"/>
              <w:rPr>
                <w:szCs w:val="20"/>
              </w:rPr>
            </w:pPr>
            <w:r w:rsidRPr="00F71A22">
              <w:rPr>
                <w:szCs w:val="20"/>
              </w:rPr>
              <w:t>29 June 2019</w:t>
            </w:r>
          </w:p>
        </w:tc>
        <w:tc>
          <w:tcPr>
            <w:tcW w:w="1933" w:type="dxa"/>
          </w:tcPr>
          <w:p w14:paraId="3C1FE687" w14:textId="3D31F951" w:rsidR="00475371" w:rsidRPr="00F71A22" w:rsidRDefault="00475371" w:rsidP="0072047B">
            <w:pPr>
              <w:pStyle w:val="TableText"/>
              <w:rPr>
                <w:szCs w:val="20"/>
              </w:rPr>
            </w:pPr>
            <w:r w:rsidRPr="00F71A22">
              <w:rPr>
                <w:rFonts w:eastAsia="Times New Roman"/>
                <w:szCs w:val="20"/>
              </w:rPr>
              <w:t xml:space="preserve">1. </w:t>
            </w:r>
            <w:r w:rsidRPr="00F71A22">
              <w:rPr>
                <w:szCs w:val="20"/>
              </w:rPr>
              <w:t>TtW participants excluded from OEST</w:t>
            </w:r>
          </w:p>
          <w:p w14:paraId="2EDB8F07" w14:textId="77777777" w:rsidR="00475371" w:rsidRPr="00F71A22" w:rsidRDefault="00475371" w:rsidP="0072047B">
            <w:pPr>
              <w:pStyle w:val="TableText"/>
              <w:rPr>
                <w:rFonts w:eastAsia="Times New Roman"/>
                <w:szCs w:val="20"/>
              </w:rPr>
            </w:pPr>
            <w:r w:rsidRPr="00F71A22">
              <w:rPr>
                <w:szCs w:val="20"/>
              </w:rPr>
              <w:t xml:space="preserve">2. </w:t>
            </w:r>
            <w:r w:rsidRPr="00F71A22">
              <w:rPr>
                <w:rFonts w:eastAsia="Times New Roman"/>
                <w:szCs w:val="20"/>
              </w:rPr>
              <w:t>Paid work declaration feature on jobactive website included</w:t>
            </w:r>
          </w:p>
          <w:p w14:paraId="380ACC0C" w14:textId="77777777" w:rsidR="00475371" w:rsidRPr="00F71A22" w:rsidRDefault="00475371" w:rsidP="0072047B">
            <w:pPr>
              <w:pStyle w:val="TableText"/>
              <w:rPr>
                <w:rFonts w:eastAsia="Times New Roman"/>
                <w:szCs w:val="20"/>
              </w:rPr>
            </w:pPr>
            <w:r w:rsidRPr="00F71A22">
              <w:rPr>
                <w:rFonts w:eastAsia="Times New Roman"/>
                <w:szCs w:val="20"/>
              </w:rPr>
              <w:t>3. Adjustment to job search by NCSL feature</w:t>
            </w:r>
          </w:p>
          <w:p w14:paraId="1142AD4C" w14:textId="372414EE" w:rsidR="00475371" w:rsidRPr="00F71A22" w:rsidRDefault="00475371" w:rsidP="0072047B">
            <w:pPr>
              <w:pStyle w:val="TableText"/>
              <w:rPr>
                <w:rFonts w:eastAsia="Times New Roman"/>
                <w:szCs w:val="20"/>
              </w:rPr>
            </w:pPr>
            <w:r w:rsidRPr="00F71A22">
              <w:rPr>
                <w:rFonts w:eastAsia="Times New Roman"/>
                <w:szCs w:val="20"/>
              </w:rPr>
              <w:t xml:space="preserve">4. Messaging feature </w:t>
            </w:r>
          </w:p>
        </w:tc>
        <w:tc>
          <w:tcPr>
            <w:tcW w:w="3793" w:type="dxa"/>
          </w:tcPr>
          <w:p w14:paraId="30107607" w14:textId="23600A19" w:rsidR="00475371" w:rsidRPr="00F71A22" w:rsidRDefault="00475371" w:rsidP="001F4507">
            <w:pPr>
              <w:pStyle w:val="TableText"/>
              <w:spacing w:after="120"/>
              <w:rPr>
                <w:rFonts w:eastAsia="Times New Roman"/>
                <w:szCs w:val="20"/>
              </w:rPr>
            </w:pPr>
            <w:r w:rsidRPr="00F71A22">
              <w:rPr>
                <w:rFonts w:eastAsia="Times New Roman"/>
                <w:szCs w:val="20"/>
              </w:rPr>
              <w:t>TtW eligible participants are no longer referred to OEST</w:t>
            </w:r>
          </w:p>
          <w:p w14:paraId="68FE4752" w14:textId="3670378D" w:rsidR="00475371" w:rsidRPr="00F71A22" w:rsidRDefault="00475371" w:rsidP="001F4507">
            <w:pPr>
              <w:pStyle w:val="TableText"/>
              <w:spacing w:after="120"/>
              <w:rPr>
                <w:rFonts w:eastAsia="Times New Roman"/>
                <w:szCs w:val="20"/>
              </w:rPr>
            </w:pPr>
            <w:r w:rsidRPr="00F71A22">
              <w:rPr>
                <w:szCs w:val="20"/>
              </w:rPr>
              <w:t>Job search halved or reduced to zero depending on personal circumstances</w:t>
            </w:r>
          </w:p>
          <w:p w14:paraId="54C27A0C" w14:textId="1F266F18" w:rsidR="00475371" w:rsidRPr="00F71A22" w:rsidRDefault="00475371" w:rsidP="001F4507">
            <w:pPr>
              <w:pStyle w:val="TableText"/>
              <w:spacing w:after="120"/>
              <w:rPr>
                <w:szCs w:val="20"/>
              </w:rPr>
            </w:pPr>
            <w:r w:rsidRPr="00F71A22">
              <w:rPr>
                <w:rFonts w:eastAsia="Times New Roman"/>
                <w:szCs w:val="20"/>
              </w:rPr>
              <w:t xml:space="preserve">Job search function on jobactive website made easier. </w:t>
            </w:r>
            <w:r w:rsidRPr="00F71A22">
              <w:rPr>
                <w:szCs w:val="20"/>
              </w:rPr>
              <w:t>NCSL operators able to vary a job seeker</w:t>
            </w:r>
            <w:r w:rsidR="00F62973">
              <w:rPr>
                <w:szCs w:val="20"/>
              </w:rPr>
              <w:t>’</w:t>
            </w:r>
            <w:r w:rsidRPr="00F71A22">
              <w:rPr>
                <w:szCs w:val="20"/>
              </w:rPr>
              <w:t>s job search MOR requirements</w:t>
            </w:r>
          </w:p>
          <w:p w14:paraId="425B935F" w14:textId="02E381C5" w:rsidR="00475371" w:rsidRPr="00F71A22" w:rsidRDefault="00475371" w:rsidP="001F4507">
            <w:pPr>
              <w:pStyle w:val="TableText"/>
              <w:spacing w:after="120"/>
              <w:rPr>
                <w:rFonts w:eastAsia="Times New Roman"/>
                <w:szCs w:val="20"/>
              </w:rPr>
            </w:pPr>
            <w:r w:rsidRPr="00F71A22">
              <w:rPr>
                <w:rFonts w:eastAsia="Times New Roman"/>
                <w:szCs w:val="20"/>
              </w:rPr>
              <w:t xml:space="preserve">Introduction of </w:t>
            </w:r>
            <w:r w:rsidRPr="00F71A22">
              <w:rPr>
                <w:szCs w:val="20"/>
              </w:rPr>
              <w:t xml:space="preserve">additional message on jobactive website at the 15-day mark to remind job seekers in the </w:t>
            </w:r>
            <w:r w:rsidR="00F62973">
              <w:rPr>
                <w:szCs w:val="20"/>
              </w:rPr>
              <w:t>t</w:t>
            </w:r>
            <w:r w:rsidRPr="00F71A22">
              <w:rPr>
                <w:szCs w:val="20"/>
              </w:rPr>
              <w:t>rial of their job search requirements and deadline</w:t>
            </w:r>
          </w:p>
          <w:p w14:paraId="4E31884A" w14:textId="77777777" w:rsidR="00475371" w:rsidRPr="00F71A22" w:rsidRDefault="00475371" w:rsidP="001F4507">
            <w:pPr>
              <w:pStyle w:val="TableText"/>
              <w:spacing w:after="120"/>
              <w:rPr>
                <w:szCs w:val="20"/>
              </w:rPr>
            </w:pPr>
            <w:r w:rsidRPr="00F71A22">
              <w:rPr>
                <w:rFonts w:eastAsia="Times New Roman"/>
                <w:szCs w:val="20"/>
              </w:rPr>
              <w:t>Job search function on jobactive website made easier</w:t>
            </w:r>
          </w:p>
        </w:tc>
        <w:tc>
          <w:tcPr>
            <w:tcW w:w="1701" w:type="dxa"/>
          </w:tcPr>
          <w:p w14:paraId="7089CE92" w14:textId="77777777" w:rsidR="00475371" w:rsidRPr="00F71A22" w:rsidRDefault="00475371" w:rsidP="0072047B">
            <w:pPr>
              <w:pStyle w:val="TableText"/>
              <w:rPr>
                <w:szCs w:val="20"/>
              </w:rPr>
            </w:pPr>
            <w:r w:rsidRPr="00F71A22">
              <w:rPr>
                <w:szCs w:val="20"/>
              </w:rPr>
              <w:t>30 June 2022</w:t>
            </w:r>
          </w:p>
        </w:tc>
      </w:tr>
      <w:tr w:rsidR="00475371" w:rsidRPr="00F71A22" w14:paraId="5021D06F" w14:textId="77777777" w:rsidTr="008573ED">
        <w:tc>
          <w:tcPr>
            <w:tcW w:w="0" w:type="auto"/>
          </w:tcPr>
          <w:p w14:paraId="7025AF32" w14:textId="77777777" w:rsidR="00475371" w:rsidRPr="00F71A22" w:rsidRDefault="00475371" w:rsidP="0072047B">
            <w:pPr>
              <w:pStyle w:val="TableText"/>
              <w:rPr>
                <w:szCs w:val="20"/>
              </w:rPr>
            </w:pPr>
            <w:r w:rsidRPr="00F71A22">
              <w:rPr>
                <w:szCs w:val="20"/>
              </w:rPr>
              <w:t>1 July 2019</w:t>
            </w:r>
          </w:p>
        </w:tc>
        <w:tc>
          <w:tcPr>
            <w:tcW w:w="1933" w:type="dxa"/>
          </w:tcPr>
          <w:p w14:paraId="6AA8B04F" w14:textId="2003D41C" w:rsidR="00475371" w:rsidRPr="00F71A22" w:rsidRDefault="00475371" w:rsidP="0072047B">
            <w:pPr>
              <w:pStyle w:val="TableText"/>
              <w:rPr>
                <w:rFonts w:eastAsia="Times New Roman"/>
                <w:szCs w:val="20"/>
              </w:rPr>
            </w:pPr>
            <w:r w:rsidRPr="00F71A22">
              <w:rPr>
                <w:szCs w:val="20"/>
              </w:rPr>
              <w:t xml:space="preserve">OEST intake numbers anticipated to be affected by the commencement of </w:t>
            </w:r>
            <w:r w:rsidRPr="00F71A22">
              <w:rPr>
                <w:rFonts w:eastAsia="Times New Roman"/>
                <w:szCs w:val="20"/>
              </w:rPr>
              <w:t xml:space="preserve">NEST </w:t>
            </w:r>
          </w:p>
        </w:tc>
        <w:tc>
          <w:tcPr>
            <w:tcW w:w="3793" w:type="dxa"/>
          </w:tcPr>
          <w:p w14:paraId="6480C4CD" w14:textId="6CF60EB2" w:rsidR="00475371" w:rsidRPr="00F71A22" w:rsidRDefault="00475371" w:rsidP="0072047B">
            <w:pPr>
              <w:pStyle w:val="TableText"/>
              <w:rPr>
                <w:rFonts w:eastAsia="Times New Roman"/>
                <w:szCs w:val="20"/>
              </w:rPr>
            </w:pPr>
            <w:r w:rsidRPr="00F71A22">
              <w:rPr>
                <w:szCs w:val="20"/>
              </w:rPr>
              <w:t xml:space="preserve">Commencement of NEST </w:t>
            </w:r>
            <w:r w:rsidRPr="00F71A22">
              <w:rPr>
                <w:rFonts w:eastAsia="Times New Roman"/>
                <w:szCs w:val="20"/>
              </w:rPr>
              <w:t>in Adelaide South and Mid North Coast NSW Employment Regions</w:t>
            </w:r>
            <w:r w:rsidR="00122596">
              <w:rPr>
                <w:rFonts w:eastAsia="Times New Roman"/>
                <w:szCs w:val="20"/>
              </w:rPr>
              <w:t xml:space="preserve"> (ERs)</w:t>
            </w:r>
          </w:p>
        </w:tc>
        <w:tc>
          <w:tcPr>
            <w:tcW w:w="1701" w:type="dxa"/>
          </w:tcPr>
          <w:p w14:paraId="2B6EAE4F" w14:textId="77777777" w:rsidR="00475371" w:rsidRPr="00F71A22" w:rsidRDefault="00475371" w:rsidP="0072047B">
            <w:pPr>
              <w:pStyle w:val="TableText"/>
              <w:rPr>
                <w:szCs w:val="20"/>
              </w:rPr>
            </w:pPr>
            <w:r w:rsidRPr="00F71A22">
              <w:rPr>
                <w:szCs w:val="20"/>
              </w:rPr>
              <w:t>30 June 2022</w:t>
            </w:r>
          </w:p>
        </w:tc>
      </w:tr>
      <w:tr w:rsidR="00475371" w:rsidRPr="00F71A22" w14:paraId="7996F3C8" w14:textId="77777777" w:rsidTr="008573ED">
        <w:tc>
          <w:tcPr>
            <w:tcW w:w="0" w:type="auto"/>
          </w:tcPr>
          <w:p w14:paraId="42CC6869" w14:textId="369EC258" w:rsidR="00475371" w:rsidRPr="00F71A22" w:rsidRDefault="00475371" w:rsidP="0072047B">
            <w:pPr>
              <w:pStyle w:val="TableText"/>
              <w:rPr>
                <w:szCs w:val="20"/>
              </w:rPr>
            </w:pPr>
            <w:r w:rsidRPr="00F71A22">
              <w:rPr>
                <w:szCs w:val="20"/>
              </w:rPr>
              <w:t>10</w:t>
            </w:r>
            <w:r w:rsidR="00F62973">
              <w:rPr>
                <w:szCs w:val="20"/>
              </w:rPr>
              <w:t>–</w:t>
            </w:r>
            <w:r w:rsidRPr="00F71A22">
              <w:rPr>
                <w:szCs w:val="20"/>
              </w:rPr>
              <w:t>18 Sept 2019</w:t>
            </w:r>
          </w:p>
        </w:tc>
        <w:tc>
          <w:tcPr>
            <w:tcW w:w="1933" w:type="dxa"/>
          </w:tcPr>
          <w:p w14:paraId="36CE62EE" w14:textId="70068DDA" w:rsidR="00475371" w:rsidRPr="00F71A22" w:rsidRDefault="00475371" w:rsidP="0072047B">
            <w:pPr>
              <w:pStyle w:val="TableText"/>
              <w:rPr>
                <w:szCs w:val="20"/>
              </w:rPr>
            </w:pPr>
            <w:r w:rsidRPr="00F71A22">
              <w:rPr>
                <w:rFonts w:eastAsia="Times New Roman"/>
                <w:szCs w:val="20"/>
              </w:rPr>
              <w:t xml:space="preserve">Bushfire contingency plans </w:t>
            </w:r>
            <w:r w:rsidR="0009061F">
              <w:rPr>
                <w:rFonts w:eastAsia="Times New Roman"/>
                <w:szCs w:val="20"/>
              </w:rPr>
              <w:t xml:space="preserve">apply </w:t>
            </w:r>
            <w:r w:rsidRPr="00F71A22">
              <w:rPr>
                <w:rFonts w:eastAsia="Times New Roman"/>
                <w:szCs w:val="20"/>
              </w:rPr>
              <w:t>in four jobactive sites*</w:t>
            </w:r>
          </w:p>
        </w:tc>
        <w:tc>
          <w:tcPr>
            <w:tcW w:w="3793" w:type="dxa"/>
          </w:tcPr>
          <w:p w14:paraId="26B615AF" w14:textId="0392884F" w:rsidR="00475371" w:rsidRPr="00F71A22" w:rsidRDefault="00475371" w:rsidP="0072047B">
            <w:pPr>
              <w:pStyle w:val="TableText"/>
              <w:rPr>
                <w:szCs w:val="20"/>
              </w:rPr>
            </w:pPr>
            <w:r w:rsidRPr="00F71A22">
              <w:rPr>
                <w:rFonts w:eastAsia="Times New Roman"/>
                <w:szCs w:val="20"/>
              </w:rPr>
              <w:t>Proxy servicing area impacted</w:t>
            </w:r>
            <w:r w:rsidRPr="00F71A22">
              <w:rPr>
                <w:rFonts w:eastAsia="Times New Roman"/>
              </w:rPr>
              <w:t xml:space="preserve">, </w:t>
            </w:r>
            <w:r w:rsidRPr="00F71A22">
              <w:rPr>
                <w:rFonts w:eastAsia="Times New Roman"/>
                <w:szCs w:val="20"/>
              </w:rPr>
              <w:t>affecting 510 job seekers (by Job Seeker ID type)</w:t>
            </w:r>
          </w:p>
        </w:tc>
        <w:tc>
          <w:tcPr>
            <w:tcW w:w="1701" w:type="dxa"/>
          </w:tcPr>
          <w:p w14:paraId="42029EE8" w14:textId="77777777" w:rsidR="00475371" w:rsidRPr="00F71A22" w:rsidRDefault="00475371" w:rsidP="0072047B">
            <w:pPr>
              <w:pStyle w:val="TableText"/>
              <w:rPr>
                <w:szCs w:val="20"/>
              </w:rPr>
            </w:pPr>
            <w:r w:rsidRPr="00F71A22">
              <w:rPr>
                <w:szCs w:val="20"/>
              </w:rPr>
              <w:t>30 June 2022</w:t>
            </w:r>
          </w:p>
        </w:tc>
      </w:tr>
      <w:tr w:rsidR="00475371" w:rsidRPr="00F71A22" w14:paraId="475AFD9A" w14:textId="77777777" w:rsidTr="008573ED">
        <w:tc>
          <w:tcPr>
            <w:tcW w:w="0" w:type="auto"/>
          </w:tcPr>
          <w:p w14:paraId="2F134721" w14:textId="77777777" w:rsidR="00475371" w:rsidRPr="00F71A22" w:rsidRDefault="00475371" w:rsidP="0072047B">
            <w:pPr>
              <w:pStyle w:val="TableText"/>
              <w:rPr>
                <w:szCs w:val="20"/>
              </w:rPr>
            </w:pPr>
            <w:r w:rsidRPr="00F71A22">
              <w:rPr>
                <w:szCs w:val="20"/>
              </w:rPr>
              <w:t xml:space="preserve">25 Sept 2019 </w:t>
            </w:r>
          </w:p>
        </w:tc>
        <w:tc>
          <w:tcPr>
            <w:tcW w:w="1933" w:type="dxa"/>
          </w:tcPr>
          <w:p w14:paraId="119C800D" w14:textId="77777777" w:rsidR="00475371" w:rsidRPr="00F71A22" w:rsidRDefault="00475371" w:rsidP="0072047B">
            <w:pPr>
              <w:pStyle w:val="TableText"/>
              <w:rPr>
                <w:szCs w:val="20"/>
              </w:rPr>
            </w:pPr>
            <w:r w:rsidRPr="00F71A22">
              <w:rPr>
                <w:rFonts w:eastAsia="Times New Roman"/>
                <w:szCs w:val="20"/>
              </w:rPr>
              <w:t>Job Seeker Snapshot introduced</w:t>
            </w:r>
          </w:p>
        </w:tc>
        <w:tc>
          <w:tcPr>
            <w:tcW w:w="3793" w:type="dxa"/>
          </w:tcPr>
          <w:p w14:paraId="3BE93C01" w14:textId="550CADD5" w:rsidR="00475371" w:rsidRPr="00F71A22" w:rsidRDefault="00475371" w:rsidP="0072047B">
            <w:pPr>
              <w:pStyle w:val="TableText"/>
              <w:rPr>
                <w:rFonts w:eastAsia="Times New Roman"/>
                <w:szCs w:val="20"/>
              </w:rPr>
            </w:pPr>
            <w:r w:rsidRPr="00F71A22">
              <w:rPr>
                <w:rFonts w:eastAsia="Times New Roman"/>
                <w:szCs w:val="20"/>
              </w:rPr>
              <w:t xml:space="preserve">Job Seeker Snapshot </w:t>
            </w:r>
            <w:r w:rsidR="004B4F3F">
              <w:rPr>
                <w:rFonts w:eastAsia="Times New Roman"/>
                <w:szCs w:val="20"/>
              </w:rPr>
              <w:t>–</w:t>
            </w:r>
            <w:r w:rsidRPr="00F71A22">
              <w:rPr>
                <w:rFonts w:eastAsia="Times New Roman"/>
                <w:szCs w:val="20"/>
              </w:rPr>
              <w:t xml:space="preserve"> JSCI landing page on OEST updated with wording saying </w:t>
            </w:r>
            <w:r w:rsidR="004B4F3F">
              <w:rPr>
                <w:rFonts w:eastAsia="Times New Roman"/>
                <w:szCs w:val="20"/>
              </w:rPr>
              <w:t>‘</w:t>
            </w:r>
            <w:r w:rsidRPr="00F71A22">
              <w:rPr>
                <w:szCs w:val="20"/>
                <w:lang w:val="en-US"/>
              </w:rPr>
              <w:t>This form is called the Job Seeker Snapshot. Your answers help us understand how to support you to find and keep a job. Your Job Seeker Snapshot must be accurate and up to date.</w:t>
            </w:r>
            <w:r w:rsidR="004B4F3F">
              <w:rPr>
                <w:szCs w:val="20"/>
                <w:lang w:val="en-US"/>
              </w:rPr>
              <w:t>’</w:t>
            </w:r>
            <w:r w:rsidR="004B4F3F">
              <w:rPr>
                <w:rFonts w:eastAsia="Times New Roman"/>
                <w:szCs w:val="20"/>
              </w:rPr>
              <w:t xml:space="preserve"> </w:t>
            </w:r>
            <w:r w:rsidRPr="00F71A22">
              <w:rPr>
                <w:rFonts w:eastAsia="Times New Roman"/>
                <w:szCs w:val="20"/>
              </w:rPr>
              <w:t>Participants’ answers enable tailored support to find and keep a job</w:t>
            </w:r>
          </w:p>
        </w:tc>
        <w:tc>
          <w:tcPr>
            <w:tcW w:w="1701" w:type="dxa"/>
          </w:tcPr>
          <w:p w14:paraId="5A2E9019" w14:textId="77777777" w:rsidR="00475371" w:rsidRPr="00F71A22" w:rsidRDefault="00475371" w:rsidP="0072047B">
            <w:pPr>
              <w:pStyle w:val="TableText"/>
              <w:rPr>
                <w:szCs w:val="20"/>
              </w:rPr>
            </w:pPr>
            <w:r w:rsidRPr="00F71A22">
              <w:rPr>
                <w:szCs w:val="20"/>
              </w:rPr>
              <w:t>30 June 2022</w:t>
            </w:r>
          </w:p>
        </w:tc>
      </w:tr>
      <w:tr w:rsidR="00475371" w:rsidRPr="00F71A22" w14:paraId="45EEB1EC" w14:textId="77777777" w:rsidTr="008573ED">
        <w:tc>
          <w:tcPr>
            <w:tcW w:w="0" w:type="auto"/>
          </w:tcPr>
          <w:p w14:paraId="08BFD3B7" w14:textId="77777777" w:rsidR="00475371" w:rsidRPr="00F71A22" w:rsidRDefault="00475371" w:rsidP="0072047B">
            <w:pPr>
              <w:pStyle w:val="TableText"/>
              <w:rPr>
                <w:szCs w:val="20"/>
              </w:rPr>
            </w:pPr>
            <w:r w:rsidRPr="00F71A22">
              <w:rPr>
                <w:szCs w:val="20"/>
              </w:rPr>
              <w:t>1 Oct 2019</w:t>
            </w:r>
          </w:p>
        </w:tc>
        <w:tc>
          <w:tcPr>
            <w:tcW w:w="1933" w:type="dxa"/>
          </w:tcPr>
          <w:p w14:paraId="4229D3FE" w14:textId="56B8FC20" w:rsidR="00475371" w:rsidRPr="00F71A22" w:rsidRDefault="00475371" w:rsidP="0072047B">
            <w:pPr>
              <w:pStyle w:val="TableText"/>
              <w:rPr>
                <w:color w:val="1F497D"/>
                <w:szCs w:val="20"/>
                <w:lang w:val="en-US"/>
              </w:rPr>
            </w:pPr>
            <w:r w:rsidRPr="00F71A22">
              <w:rPr>
                <w:szCs w:val="20"/>
                <w:lang w:val="en-US"/>
              </w:rPr>
              <w:t>Digital Plus service commenced in NEST areas</w:t>
            </w:r>
          </w:p>
        </w:tc>
        <w:tc>
          <w:tcPr>
            <w:tcW w:w="3793" w:type="dxa"/>
          </w:tcPr>
          <w:p w14:paraId="59B6A02C" w14:textId="15217F2A" w:rsidR="00475371" w:rsidRPr="00F71A22" w:rsidRDefault="00475371" w:rsidP="0072047B">
            <w:pPr>
              <w:pStyle w:val="TableText"/>
              <w:rPr>
                <w:color w:val="1F497D"/>
                <w:szCs w:val="20"/>
                <w:lang w:val="en-US"/>
              </w:rPr>
            </w:pPr>
            <w:r w:rsidRPr="00F71A22">
              <w:rPr>
                <w:szCs w:val="20"/>
                <w:lang w:val="en-US"/>
              </w:rPr>
              <w:t>Digital Service Contact Centre established</w:t>
            </w:r>
          </w:p>
        </w:tc>
        <w:tc>
          <w:tcPr>
            <w:tcW w:w="1701" w:type="dxa"/>
          </w:tcPr>
          <w:p w14:paraId="7A3B09AA" w14:textId="77777777" w:rsidR="00475371" w:rsidRPr="00F71A22" w:rsidRDefault="00475371" w:rsidP="0072047B">
            <w:pPr>
              <w:pStyle w:val="TableText"/>
              <w:rPr>
                <w:szCs w:val="20"/>
              </w:rPr>
            </w:pPr>
            <w:r w:rsidRPr="00F71A22">
              <w:rPr>
                <w:szCs w:val="20"/>
              </w:rPr>
              <w:t>30 June 2022</w:t>
            </w:r>
          </w:p>
        </w:tc>
      </w:tr>
      <w:tr w:rsidR="00475371" w:rsidRPr="00F71A22" w14:paraId="31B64384" w14:textId="77777777" w:rsidTr="008573ED">
        <w:trPr>
          <w:cantSplit/>
        </w:trPr>
        <w:tc>
          <w:tcPr>
            <w:tcW w:w="0" w:type="auto"/>
          </w:tcPr>
          <w:p w14:paraId="4CBC97CE" w14:textId="77777777" w:rsidR="00475371" w:rsidRPr="00F71A22" w:rsidRDefault="00475371" w:rsidP="0072047B">
            <w:pPr>
              <w:pStyle w:val="TableText"/>
              <w:rPr>
                <w:szCs w:val="20"/>
              </w:rPr>
            </w:pPr>
            <w:r w:rsidRPr="00F71A22">
              <w:rPr>
                <w:szCs w:val="20"/>
              </w:rPr>
              <w:lastRenderedPageBreak/>
              <w:t>9 Oct 2019</w:t>
            </w:r>
          </w:p>
        </w:tc>
        <w:tc>
          <w:tcPr>
            <w:tcW w:w="1933" w:type="dxa"/>
          </w:tcPr>
          <w:p w14:paraId="7A18A714" w14:textId="223FA732" w:rsidR="00475371" w:rsidRPr="00F71A22" w:rsidRDefault="00475371" w:rsidP="0072047B">
            <w:pPr>
              <w:pStyle w:val="TableText"/>
              <w:rPr>
                <w:szCs w:val="20"/>
              </w:rPr>
            </w:pPr>
            <w:r w:rsidRPr="00F71A22">
              <w:rPr>
                <w:szCs w:val="20"/>
              </w:rPr>
              <w:t xml:space="preserve">Text messages sent to participants </w:t>
            </w:r>
          </w:p>
        </w:tc>
        <w:tc>
          <w:tcPr>
            <w:tcW w:w="3793" w:type="dxa"/>
          </w:tcPr>
          <w:p w14:paraId="1DE92A89" w14:textId="6275AE1A" w:rsidR="00803324" w:rsidRDefault="00475371" w:rsidP="0072047B">
            <w:pPr>
              <w:pStyle w:val="TableText"/>
              <w:rPr>
                <w:szCs w:val="20"/>
              </w:rPr>
            </w:pPr>
            <w:r w:rsidRPr="00F71A22">
              <w:rPr>
                <w:szCs w:val="20"/>
              </w:rPr>
              <w:t>1. Compliance notification</w:t>
            </w:r>
            <w:r w:rsidR="0061493A">
              <w:rPr>
                <w:szCs w:val="20"/>
              </w:rPr>
              <w:t>s</w:t>
            </w:r>
            <w:r w:rsidRPr="00F71A22">
              <w:rPr>
                <w:szCs w:val="20"/>
              </w:rPr>
              <w:t xml:space="preserve"> sent on first and second demerit</w:t>
            </w:r>
          </w:p>
          <w:p w14:paraId="5E65A45F" w14:textId="57A50099" w:rsidR="00803324" w:rsidRDefault="00475371" w:rsidP="0072047B">
            <w:pPr>
              <w:pStyle w:val="TableText"/>
              <w:rPr>
                <w:szCs w:val="20"/>
              </w:rPr>
            </w:pPr>
            <w:r w:rsidRPr="00F71A22">
              <w:rPr>
                <w:szCs w:val="20"/>
              </w:rPr>
              <w:t>2. Reminder 5 days before the end of the job search period to undertake job search</w:t>
            </w:r>
          </w:p>
          <w:p w14:paraId="15D64A5E" w14:textId="151193F4" w:rsidR="00475371" w:rsidRPr="00F71A22" w:rsidRDefault="00475371" w:rsidP="0072047B">
            <w:pPr>
              <w:pStyle w:val="TableText"/>
              <w:rPr>
                <w:szCs w:val="20"/>
              </w:rPr>
            </w:pPr>
            <w:r w:rsidRPr="00F71A22">
              <w:rPr>
                <w:szCs w:val="20"/>
              </w:rPr>
              <w:t xml:space="preserve">3. </w:t>
            </w:r>
            <w:r w:rsidRPr="00F71A22">
              <w:rPr>
                <w:rFonts w:eastAsia="Times New Roman"/>
                <w:szCs w:val="20"/>
              </w:rPr>
              <w:t>Compliance notification – sent on third demerit</w:t>
            </w:r>
          </w:p>
        </w:tc>
        <w:tc>
          <w:tcPr>
            <w:tcW w:w="1701" w:type="dxa"/>
          </w:tcPr>
          <w:p w14:paraId="01E7B924" w14:textId="77777777" w:rsidR="00475371" w:rsidRPr="00F71A22" w:rsidRDefault="00475371" w:rsidP="0072047B">
            <w:pPr>
              <w:pStyle w:val="TableText"/>
              <w:rPr>
                <w:szCs w:val="20"/>
              </w:rPr>
            </w:pPr>
            <w:r w:rsidRPr="00F71A22">
              <w:rPr>
                <w:szCs w:val="20"/>
              </w:rPr>
              <w:t>30 June 2022</w:t>
            </w:r>
          </w:p>
        </w:tc>
      </w:tr>
      <w:tr w:rsidR="00475371" w:rsidRPr="00F71A22" w14:paraId="3D4114A3" w14:textId="77777777" w:rsidTr="008573ED">
        <w:tc>
          <w:tcPr>
            <w:tcW w:w="0" w:type="auto"/>
          </w:tcPr>
          <w:p w14:paraId="3848E397" w14:textId="55BFD26A" w:rsidR="00475371" w:rsidRPr="00F71A22" w:rsidRDefault="00475371" w:rsidP="0072047B">
            <w:pPr>
              <w:pStyle w:val="TableText"/>
              <w:rPr>
                <w:szCs w:val="20"/>
              </w:rPr>
            </w:pPr>
            <w:r w:rsidRPr="00F71A22">
              <w:rPr>
                <w:szCs w:val="20"/>
              </w:rPr>
              <w:t>30 Oct 2019</w:t>
            </w:r>
          </w:p>
        </w:tc>
        <w:tc>
          <w:tcPr>
            <w:tcW w:w="1933" w:type="dxa"/>
          </w:tcPr>
          <w:p w14:paraId="5F4FF105" w14:textId="41609BE2" w:rsidR="00475371" w:rsidRPr="00F71A22" w:rsidRDefault="00475371" w:rsidP="0072047B">
            <w:pPr>
              <w:pStyle w:val="TableText"/>
              <w:rPr>
                <w:szCs w:val="20"/>
              </w:rPr>
            </w:pPr>
            <w:r w:rsidRPr="00F71A22">
              <w:rPr>
                <w:rFonts w:eastAsia="Times New Roman"/>
                <w:szCs w:val="20"/>
              </w:rPr>
              <w:t xml:space="preserve">Bushfire contingency plans </w:t>
            </w:r>
            <w:r w:rsidR="0009061F">
              <w:rPr>
                <w:rFonts w:eastAsia="Times New Roman"/>
                <w:szCs w:val="20"/>
              </w:rPr>
              <w:t>apply</w:t>
            </w:r>
            <w:r w:rsidRPr="00F71A22">
              <w:rPr>
                <w:rFonts w:eastAsia="Times New Roman"/>
                <w:szCs w:val="20"/>
              </w:rPr>
              <w:t xml:space="preserve"> in north coast NSW</w:t>
            </w:r>
          </w:p>
        </w:tc>
        <w:tc>
          <w:tcPr>
            <w:tcW w:w="3793" w:type="dxa"/>
          </w:tcPr>
          <w:p w14:paraId="1E5E029E" w14:textId="3AF815EF" w:rsidR="00475371" w:rsidRPr="00F71A22" w:rsidRDefault="00475371" w:rsidP="0072047B">
            <w:pPr>
              <w:pStyle w:val="TableText"/>
              <w:rPr>
                <w:rFonts w:eastAsia="Times New Roman"/>
                <w:szCs w:val="20"/>
              </w:rPr>
            </w:pPr>
            <w:r w:rsidRPr="00F71A22">
              <w:rPr>
                <w:rFonts w:eastAsia="Times New Roman"/>
                <w:szCs w:val="20"/>
              </w:rPr>
              <w:t>Advice sent to DHS to lift payment suspension for non-compliant events in relevant areas</w:t>
            </w:r>
          </w:p>
        </w:tc>
        <w:tc>
          <w:tcPr>
            <w:tcW w:w="1701" w:type="dxa"/>
          </w:tcPr>
          <w:p w14:paraId="1E6FACB3" w14:textId="77777777" w:rsidR="00475371" w:rsidRPr="00F71A22" w:rsidRDefault="00475371" w:rsidP="0072047B">
            <w:pPr>
              <w:pStyle w:val="TableText"/>
              <w:rPr>
                <w:szCs w:val="20"/>
              </w:rPr>
            </w:pPr>
            <w:r w:rsidRPr="00F71A22">
              <w:rPr>
                <w:szCs w:val="20"/>
              </w:rPr>
              <w:t>30 June 2022</w:t>
            </w:r>
          </w:p>
        </w:tc>
      </w:tr>
      <w:tr w:rsidR="00475371" w:rsidRPr="00F71A22" w14:paraId="53B46AC7" w14:textId="77777777" w:rsidTr="008573ED">
        <w:tc>
          <w:tcPr>
            <w:tcW w:w="0" w:type="auto"/>
          </w:tcPr>
          <w:p w14:paraId="04C1813E" w14:textId="77777777" w:rsidR="00475371" w:rsidRPr="00F71A22" w:rsidRDefault="00475371" w:rsidP="0072047B">
            <w:pPr>
              <w:pStyle w:val="TableText"/>
              <w:rPr>
                <w:szCs w:val="20"/>
              </w:rPr>
            </w:pPr>
            <w:r w:rsidRPr="00F71A22">
              <w:rPr>
                <w:szCs w:val="20"/>
              </w:rPr>
              <w:t>4 Nov 2019</w:t>
            </w:r>
          </w:p>
        </w:tc>
        <w:tc>
          <w:tcPr>
            <w:tcW w:w="1933" w:type="dxa"/>
          </w:tcPr>
          <w:p w14:paraId="0E87DAB4" w14:textId="77777777" w:rsidR="00475371" w:rsidRPr="00F71A22" w:rsidRDefault="00475371" w:rsidP="0072047B">
            <w:pPr>
              <w:pStyle w:val="TableText"/>
              <w:rPr>
                <w:szCs w:val="20"/>
              </w:rPr>
            </w:pPr>
            <w:r w:rsidRPr="00F71A22">
              <w:rPr>
                <w:szCs w:val="20"/>
              </w:rPr>
              <w:t>OEST participants transition to NEST in the two trial regions</w:t>
            </w:r>
          </w:p>
        </w:tc>
        <w:tc>
          <w:tcPr>
            <w:tcW w:w="3793" w:type="dxa"/>
          </w:tcPr>
          <w:p w14:paraId="0CDDE131" w14:textId="7014CFA9" w:rsidR="00475371" w:rsidRPr="00F71A22" w:rsidRDefault="00475371" w:rsidP="0072047B">
            <w:pPr>
              <w:pStyle w:val="TableText"/>
              <w:rPr>
                <w:rFonts w:eastAsia="Times New Roman"/>
                <w:szCs w:val="20"/>
              </w:rPr>
            </w:pPr>
            <w:r w:rsidRPr="00F71A22">
              <w:rPr>
                <w:rFonts w:eastAsia="Times New Roman"/>
                <w:szCs w:val="20"/>
              </w:rPr>
              <w:t>OEST to NEST transition for Adelaide South and Mid</w:t>
            </w:r>
            <w:r w:rsidR="00122596">
              <w:rPr>
                <w:rFonts w:eastAsia="Times New Roman"/>
                <w:szCs w:val="20"/>
              </w:rPr>
              <w:t xml:space="preserve"> </w:t>
            </w:r>
            <w:r w:rsidRPr="00F71A22">
              <w:rPr>
                <w:rFonts w:eastAsia="Times New Roman"/>
                <w:szCs w:val="20"/>
              </w:rPr>
              <w:t>North Coast NSW ERs</w:t>
            </w:r>
          </w:p>
          <w:p w14:paraId="35BB41CA" w14:textId="57570D83" w:rsidR="00475371" w:rsidRPr="00F71A22" w:rsidRDefault="00475371" w:rsidP="0072047B">
            <w:pPr>
              <w:pStyle w:val="TableText"/>
              <w:rPr>
                <w:rFonts w:eastAsia="Times New Roman"/>
              </w:rPr>
            </w:pPr>
            <w:r w:rsidRPr="00F71A22">
              <w:rPr>
                <w:rFonts w:eastAsia="Times New Roman"/>
              </w:rPr>
              <w:t>Anticipated to affect intake numbers for the OEST as new flow in these regions will go to NEST instead of OEST</w:t>
            </w:r>
          </w:p>
        </w:tc>
        <w:tc>
          <w:tcPr>
            <w:tcW w:w="1701" w:type="dxa"/>
          </w:tcPr>
          <w:p w14:paraId="4E5CA861" w14:textId="77777777" w:rsidR="00475371" w:rsidRPr="00F71A22" w:rsidRDefault="00475371" w:rsidP="0072047B">
            <w:pPr>
              <w:pStyle w:val="TableText"/>
              <w:rPr>
                <w:szCs w:val="20"/>
              </w:rPr>
            </w:pPr>
          </w:p>
        </w:tc>
      </w:tr>
      <w:tr w:rsidR="00475371" w:rsidRPr="00F71A22" w14:paraId="5C0B8657" w14:textId="77777777" w:rsidTr="008573ED">
        <w:tc>
          <w:tcPr>
            <w:tcW w:w="0" w:type="auto"/>
          </w:tcPr>
          <w:p w14:paraId="4DCEC4AC" w14:textId="77777777" w:rsidR="00475371" w:rsidRPr="00F71A22" w:rsidRDefault="00475371" w:rsidP="0072047B">
            <w:pPr>
              <w:pStyle w:val="TableText"/>
              <w:rPr>
                <w:szCs w:val="20"/>
              </w:rPr>
            </w:pPr>
            <w:r w:rsidRPr="00F71A22">
              <w:rPr>
                <w:szCs w:val="20"/>
              </w:rPr>
              <w:t>9 Dec 2019</w:t>
            </w:r>
          </w:p>
        </w:tc>
        <w:tc>
          <w:tcPr>
            <w:tcW w:w="1933" w:type="dxa"/>
          </w:tcPr>
          <w:p w14:paraId="105BE6FC" w14:textId="77777777" w:rsidR="00475371" w:rsidRPr="00F71A22" w:rsidRDefault="00475371" w:rsidP="0072047B">
            <w:pPr>
              <w:pStyle w:val="TableText"/>
              <w:rPr>
                <w:rFonts w:eastAsia="Times New Roman"/>
                <w:szCs w:val="20"/>
              </w:rPr>
            </w:pPr>
            <w:r w:rsidRPr="00F71A22">
              <w:rPr>
                <w:rFonts w:eastAsia="Times New Roman"/>
                <w:szCs w:val="20"/>
              </w:rPr>
              <w:t>Introduction of Volunteer Online Employment Services Trial (VOEST)</w:t>
            </w:r>
          </w:p>
        </w:tc>
        <w:tc>
          <w:tcPr>
            <w:tcW w:w="3793" w:type="dxa"/>
          </w:tcPr>
          <w:p w14:paraId="30B905A0" w14:textId="75355CA4" w:rsidR="00475371" w:rsidRPr="00F71A22" w:rsidRDefault="00475371" w:rsidP="0072047B">
            <w:pPr>
              <w:pStyle w:val="TableText"/>
              <w:rPr>
                <w:rFonts w:eastAsia="Times New Roman"/>
                <w:szCs w:val="20"/>
              </w:rPr>
            </w:pPr>
            <w:r w:rsidRPr="00F71A22">
              <w:rPr>
                <w:rFonts w:eastAsia="Times New Roman"/>
                <w:szCs w:val="20"/>
              </w:rPr>
              <w:t xml:space="preserve">Eligible volunteers (Stream A </w:t>
            </w:r>
            <w:r w:rsidR="00122596">
              <w:rPr>
                <w:rFonts w:eastAsia="Times New Roman"/>
                <w:szCs w:val="20"/>
              </w:rPr>
              <w:t>v</w:t>
            </w:r>
            <w:r w:rsidRPr="00F71A22">
              <w:rPr>
                <w:rFonts w:eastAsia="Times New Roman"/>
                <w:szCs w:val="20"/>
              </w:rPr>
              <w:t>olunteers) in all jobactive, ParentsNext and NEST ERs to self-manage their job search through an online platform for a period of 12 months</w:t>
            </w:r>
          </w:p>
        </w:tc>
        <w:tc>
          <w:tcPr>
            <w:tcW w:w="1701" w:type="dxa"/>
          </w:tcPr>
          <w:p w14:paraId="7F7C3BB5" w14:textId="77777777" w:rsidR="00475371" w:rsidRPr="00F71A22" w:rsidRDefault="00475371" w:rsidP="0072047B">
            <w:pPr>
              <w:pStyle w:val="TableText"/>
              <w:rPr>
                <w:szCs w:val="20"/>
              </w:rPr>
            </w:pPr>
            <w:r w:rsidRPr="00F71A22">
              <w:rPr>
                <w:szCs w:val="20"/>
              </w:rPr>
              <w:t>30 June 2022</w:t>
            </w:r>
          </w:p>
        </w:tc>
      </w:tr>
    </w:tbl>
    <w:p w14:paraId="412D8D8C" w14:textId="77777777" w:rsidR="00EF6924" w:rsidRPr="00F71A22" w:rsidRDefault="00EF6924">
      <w:pPr>
        <w:spacing w:after="160" w:line="259" w:lineRule="auto"/>
        <w:rPr>
          <w:rFonts w:ascii="Calibri" w:eastAsiaTheme="majorEastAsia" w:hAnsi="Calibri" w:cstheme="majorBidi"/>
          <w:b/>
          <w:sz w:val="30"/>
          <w:szCs w:val="26"/>
        </w:rPr>
      </w:pPr>
      <w:r w:rsidRPr="00F71A22">
        <w:br w:type="page"/>
      </w:r>
    </w:p>
    <w:p w14:paraId="0B9C1AD0" w14:textId="1AF0E966" w:rsidR="00EF6924" w:rsidRPr="00F71A22" w:rsidRDefault="00EF6924" w:rsidP="00EF6924">
      <w:pPr>
        <w:pStyle w:val="Heading2"/>
      </w:pPr>
      <w:bookmarkStart w:id="231" w:name="_Toc47520159"/>
      <w:bookmarkStart w:id="232" w:name="_Toc67042650"/>
      <w:r w:rsidRPr="00F71A22">
        <w:lastRenderedPageBreak/>
        <w:t xml:space="preserve">Appendix </w:t>
      </w:r>
      <w:r w:rsidR="008278B1" w:rsidRPr="00F71A22">
        <w:t>C</w:t>
      </w:r>
      <w:r w:rsidR="009A0647" w:rsidRPr="00F71A22">
        <w:t xml:space="preserve"> Demographic profile of focus groups</w:t>
      </w:r>
      <w:bookmarkEnd w:id="231"/>
      <w:bookmarkEnd w:id="232"/>
    </w:p>
    <w:p w14:paraId="7EBD6710" w14:textId="7A0810E9" w:rsidR="003B35D0" w:rsidRPr="00F71A22" w:rsidRDefault="003B35D0" w:rsidP="0006562C">
      <w:pPr>
        <w:pStyle w:val="TableCaption"/>
      </w:pPr>
      <w:bookmarkStart w:id="233" w:name="_Toc67042666"/>
      <w:r w:rsidRPr="00435C46">
        <w:t xml:space="preserve">Table </w:t>
      </w:r>
      <w:r w:rsidR="00B85C4C" w:rsidRPr="00435C46">
        <w:t>C1</w:t>
      </w:r>
      <w:r w:rsidRPr="00435C46">
        <w:t xml:space="preserve"> Demographic profile of focus groups</w:t>
      </w:r>
      <w:bookmarkEnd w:id="233"/>
    </w:p>
    <w:tbl>
      <w:tblPr>
        <w:tblStyle w:val="MediumShading2-Accent1"/>
        <w:tblW w:w="8792" w:type="dxa"/>
        <w:tblLook w:val="0480" w:firstRow="0" w:lastRow="0" w:firstColumn="1" w:lastColumn="0" w:noHBand="0" w:noVBand="1"/>
      </w:tblPr>
      <w:tblGrid>
        <w:gridCol w:w="1499"/>
        <w:gridCol w:w="1482"/>
        <w:gridCol w:w="1081"/>
        <w:gridCol w:w="1229"/>
        <w:gridCol w:w="1357"/>
        <w:gridCol w:w="1216"/>
        <w:gridCol w:w="928"/>
      </w:tblGrid>
      <w:tr w:rsidR="00F9330E" w:rsidRPr="00F71A22" w14:paraId="176A0805" w14:textId="77777777" w:rsidTr="001F4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FFFFFF" w:themeColor="background1"/>
            </w:tcBorders>
            <w:vAlign w:val="center"/>
          </w:tcPr>
          <w:p w14:paraId="4411BC69" w14:textId="77777777" w:rsidR="00F9330E" w:rsidRPr="00F71A22" w:rsidRDefault="00F9330E" w:rsidP="001F4507">
            <w:pPr>
              <w:pStyle w:val="TableText"/>
            </w:pPr>
            <w:r w:rsidRPr="00F71A22">
              <w:t>Gender</w:t>
            </w:r>
          </w:p>
        </w:tc>
        <w:tc>
          <w:tcPr>
            <w:tcW w:w="0" w:type="dxa"/>
            <w:tcBorders>
              <w:top w:val="single" w:sz="4" w:space="0" w:color="auto"/>
              <w:bottom w:val="nil"/>
            </w:tcBorders>
          </w:tcPr>
          <w:p w14:paraId="7775D458"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t>Male</w:t>
            </w:r>
          </w:p>
          <w:p w14:paraId="7E6029C1"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t>56%</w:t>
            </w:r>
          </w:p>
        </w:tc>
        <w:tc>
          <w:tcPr>
            <w:tcW w:w="0" w:type="dxa"/>
            <w:tcBorders>
              <w:top w:val="single" w:sz="4" w:space="0" w:color="auto"/>
              <w:bottom w:val="nil"/>
            </w:tcBorders>
          </w:tcPr>
          <w:p w14:paraId="4A2EBFA2"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t>Female</w:t>
            </w:r>
          </w:p>
          <w:p w14:paraId="7E7A80B1"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t>44%</w:t>
            </w:r>
          </w:p>
        </w:tc>
        <w:tc>
          <w:tcPr>
            <w:tcW w:w="0" w:type="dxa"/>
            <w:tcBorders>
              <w:top w:val="single" w:sz="4" w:space="0" w:color="auto"/>
              <w:bottom w:val="nil"/>
            </w:tcBorders>
          </w:tcPr>
          <w:p w14:paraId="3CA7F425" w14:textId="3505C330"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Borders>
              <w:top w:val="single" w:sz="4" w:space="0" w:color="auto"/>
              <w:bottom w:val="nil"/>
            </w:tcBorders>
          </w:tcPr>
          <w:p w14:paraId="124E145F" w14:textId="391DDDDB"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Borders>
              <w:top w:val="single" w:sz="4" w:space="0" w:color="auto"/>
              <w:bottom w:val="nil"/>
            </w:tcBorders>
          </w:tcPr>
          <w:p w14:paraId="58704DB0" w14:textId="49D4F718"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Borders>
              <w:top w:val="single" w:sz="4" w:space="0" w:color="auto"/>
              <w:bottom w:val="nil"/>
            </w:tcBorders>
          </w:tcPr>
          <w:p w14:paraId="67613639" w14:textId="0A183A13"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r>
      <w:tr w:rsidR="003B35D0" w:rsidRPr="00F71A22" w14:paraId="3462301A" w14:textId="77777777" w:rsidTr="001F4507">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tcPr>
          <w:p w14:paraId="59C25D17" w14:textId="77777777" w:rsidR="003B35D0" w:rsidRPr="00F71A22" w:rsidRDefault="003B35D0" w:rsidP="001F4507">
            <w:pPr>
              <w:pStyle w:val="TableText"/>
            </w:pPr>
            <w:r w:rsidRPr="00F71A22">
              <w:t>Age</w:t>
            </w:r>
          </w:p>
        </w:tc>
        <w:tc>
          <w:tcPr>
            <w:tcW w:w="0" w:type="dxa"/>
            <w:tcBorders>
              <w:top w:val="nil"/>
            </w:tcBorders>
            <w:shd w:val="clear" w:color="auto" w:fill="D8D8D8" w:themeFill="background1" w:themeFillShade="D8"/>
          </w:tcPr>
          <w:p w14:paraId="107A1AD1" w14:textId="1B2FF704"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rPr>
                <w:rFonts w:eastAsia="Calibri"/>
              </w:rPr>
            </w:pPr>
            <w:r w:rsidRPr="00F71A22">
              <w:rPr>
                <w:rFonts w:eastAsia="Calibri"/>
              </w:rPr>
              <w:t>18</w:t>
            </w:r>
            <w:r w:rsidR="00B52C56">
              <w:rPr>
                <w:rFonts w:eastAsia="Calibri"/>
              </w:rPr>
              <w:t>–</w:t>
            </w:r>
            <w:r w:rsidRPr="00F71A22">
              <w:rPr>
                <w:rFonts w:eastAsia="Calibri"/>
              </w:rPr>
              <w:t>24 yrs</w:t>
            </w:r>
          </w:p>
          <w:p w14:paraId="37638723" w14:textId="1A241C9D"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pPr>
            <w:r w:rsidRPr="00F71A22">
              <w:rPr>
                <w:rFonts w:eastAsia="Calibri"/>
              </w:rPr>
              <w:t>35%</w:t>
            </w:r>
          </w:p>
        </w:tc>
        <w:tc>
          <w:tcPr>
            <w:tcW w:w="0" w:type="dxa"/>
            <w:tcBorders>
              <w:top w:val="nil"/>
            </w:tcBorders>
            <w:shd w:val="clear" w:color="auto" w:fill="D8D8D8" w:themeFill="background1" w:themeFillShade="D8"/>
          </w:tcPr>
          <w:p w14:paraId="004420F0" w14:textId="766A6370"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rPr>
                <w:rFonts w:eastAsia="Calibri"/>
              </w:rPr>
            </w:pPr>
            <w:r w:rsidRPr="00F71A22">
              <w:rPr>
                <w:rFonts w:eastAsia="Calibri"/>
              </w:rPr>
              <w:t>25</w:t>
            </w:r>
            <w:r w:rsidR="00B52C56">
              <w:rPr>
                <w:rFonts w:eastAsia="Calibri"/>
              </w:rPr>
              <w:t>–</w:t>
            </w:r>
            <w:r w:rsidRPr="00F71A22">
              <w:rPr>
                <w:rFonts w:eastAsia="Calibri"/>
              </w:rPr>
              <w:t>30 yrs</w:t>
            </w:r>
          </w:p>
          <w:p w14:paraId="50B034C9" w14:textId="77777777"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pPr>
            <w:r w:rsidRPr="00F71A22">
              <w:rPr>
                <w:rFonts w:eastAsia="Calibri"/>
              </w:rPr>
              <w:t>11%</w:t>
            </w:r>
          </w:p>
        </w:tc>
        <w:tc>
          <w:tcPr>
            <w:tcW w:w="0" w:type="dxa"/>
            <w:tcBorders>
              <w:top w:val="nil"/>
            </w:tcBorders>
            <w:shd w:val="clear" w:color="auto" w:fill="D8D8D8" w:themeFill="background1" w:themeFillShade="D8"/>
          </w:tcPr>
          <w:p w14:paraId="12E5D333" w14:textId="6A75A690"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rPr>
                <w:rFonts w:eastAsia="Calibri"/>
              </w:rPr>
            </w:pPr>
            <w:r w:rsidRPr="00F71A22">
              <w:rPr>
                <w:rFonts w:eastAsia="Calibri"/>
              </w:rPr>
              <w:t>31</w:t>
            </w:r>
            <w:r w:rsidR="00B52C56">
              <w:rPr>
                <w:rFonts w:eastAsia="Calibri"/>
              </w:rPr>
              <w:t>–</w:t>
            </w:r>
            <w:r w:rsidRPr="00F71A22">
              <w:rPr>
                <w:rFonts w:eastAsia="Calibri"/>
              </w:rPr>
              <w:t>40 yrs</w:t>
            </w:r>
          </w:p>
          <w:p w14:paraId="15E3F4AA" w14:textId="77777777"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pPr>
            <w:r w:rsidRPr="00F71A22">
              <w:rPr>
                <w:rFonts w:eastAsia="Calibri"/>
              </w:rPr>
              <w:t>17%</w:t>
            </w:r>
          </w:p>
        </w:tc>
        <w:tc>
          <w:tcPr>
            <w:tcW w:w="0" w:type="dxa"/>
            <w:tcBorders>
              <w:top w:val="nil"/>
            </w:tcBorders>
            <w:shd w:val="clear" w:color="auto" w:fill="D8D8D8" w:themeFill="background1" w:themeFillShade="D8"/>
          </w:tcPr>
          <w:p w14:paraId="652DECE1" w14:textId="3E83CB4A"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rPr>
                <w:rFonts w:eastAsia="Calibri"/>
              </w:rPr>
            </w:pPr>
            <w:r w:rsidRPr="00F71A22">
              <w:rPr>
                <w:rFonts w:eastAsia="Calibri"/>
              </w:rPr>
              <w:t>41</w:t>
            </w:r>
            <w:r w:rsidR="00B52C56">
              <w:rPr>
                <w:rFonts w:eastAsia="Calibri"/>
              </w:rPr>
              <w:t>–</w:t>
            </w:r>
            <w:r w:rsidRPr="00F71A22">
              <w:rPr>
                <w:rFonts w:eastAsia="Calibri"/>
              </w:rPr>
              <w:t>50 yrs</w:t>
            </w:r>
          </w:p>
          <w:p w14:paraId="2DE56CC0" w14:textId="77777777"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pPr>
            <w:r w:rsidRPr="00F71A22">
              <w:rPr>
                <w:rFonts w:eastAsia="Calibri"/>
              </w:rPr>
              <w:t>18%</w:t>
            </w:r>
          </w:p>
        </w:tc>
        <w:tc>
          <w:tcPr>
            <w:tcW w:w="0" w:type="dxa"/>
            <w:tcBorders>
              <w:top w:val="nil"/>
            </w:tcBorders>
            <w:shd w:val="clear" w:color="auto" w:fill="D8D8D8" w:themeFill="background1" w:themeFillShade="D8"/>
          </w:tcPr>
          <w:p w14:paraId="5589C2A3" w14:textId="611A9BB7"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pPr>
            <w:r w:rsidRPr="00F71A22">
              <w:t>51</w:t>
            </w:r>
            <w:r w:rsidR="00B52C56">
              <w:t>–</w:t>
            </w:r>
            <w:r w:rsidRPr="00F71A22">
              <w:t>60 yrs</w:t>
            </w:r>
          </w:p>
          <w:p w14:paraId="20FCCC98" w14:textId="77777777"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pPr>
            <w:r w:rsidRPr="00F71A22">
              <w:t>14%</w:t>
            </w:r>
          </w:p>
        </w:tc>
        <w:tc>
          <w:tcPr>
            <w:tcW w:w="0" w:type="dxa"/>
            <w:tcBorders>
              <w:top w:val="nil"/>
            </w:tcBorders>
            <w:shd w:val="clear" w:color="auto" w:fill="D8D8D8" w:themeFill="background1" w:themeFillShade="D8"/>
          </w:tcPr>
          <w:p w14:paraId="1D41B3D8" w14:textId="54D4A068"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rPr>
                <w:rFonts w:eastAsia="Calibri"/>
              </w:rPr>
            </w:pPr>
            <w:r w:rsidRPr="00F71A22">
              <w:rPr>
                <w:rFonts w:eastAsia="Calibri"/>
              </w:rPr>
              <w:t>61</w:t>
            </w:r>
            <w:r w:rsidR="00B52C56">
              <w:rPr>
                <w:rFonts w:eastAsia="Calibri"/>
              </w:rPr>
              <w:t>–</w:t>
            </w:r>
            <w:r w:rsidRPr="00F71A22">
              <w:rPr>
                <w:rFonts w:eastAsia="Calibri"/>
              </w:rPr>
              <w:t>70 yrs</w:t>
            </w:r>
          </w:p>
          <w:p w14:paraId="7C9D2A06" w14:textId="77777777" w:rsidR="003B35D0" w:rsidRPr="00F71A22" w:rsidRDefault="003B35D0" w:rsidP="001F4507">
            <w:pPr>
              <w:pStyle w:val="TableText"/>
              <w:cnfStyle w:val="000000000000" w:firstRow="0" w:lastRow="0" w:firstColumn="0" w:lastColumn="0" w:oddVBand="0" w:evenVBand="0" w:oddHBand="0" w:evenHBand="0" w:firstRowFirstColumn="0" w:firstRowLastColumn="0" w:lastRowFirstColumn="0" w:lastRowLastColumn="0"/>
              <w:rPr>
                <w:rFonts w:eastAsia="Calibri"/>
              </w:rPr>
            </w:pPr>
            <w:r w:rsidRPr="00F71A22">
              <w:rPr>
                <w:rFonts w:eastAsia="Calibri"/>
              </w:rPr>
              <w:t>4%</w:t>
            </w:r>
          </w:p>
        </w:tc>
      </w:tr>
      <w:tr w:rsidR="00F9330E" w:rsidRPr="00F71A22" w14:paraId="5D253BAE" w14:textId="77777777" w:rsidTr="001F4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tcBorders>
            <w:vAlign w:val="center"/>
          </w:tcPr>
          <w:p w14:paraId="35DC1C1B" w14:textId="25DE8C14" w:rsidR="00F9330E" w:rsidRPr="00F71A22" w:rsidRDefault="00B52C56" w:rsidP="001F4507">
            <w:pPr>
              <w:pStyle w:val="TableText"/>
            </w:pPr>
            <w:r w:rsidRPr="00F71A22">
              <w:t>Marital</w:t>
            </w:r>
            <w:r>
              <w:t xml:space="preserve"> </w:t>
            </w:r>
            <w:r w:rsidR="00DD5C24">
              <w:t>s</w:t>
            </w:r>
            <w:r w:rsidR="00F9330E" w:rsidRPr="00F71A22">
              <w:t>tatus</w:t>
            </w:r>
          </w:p>
        </w:tc>
        <w:tc>
          <w:tcPr>
            <w:tcW w:w="0" w:type="dxa"/>
          </w:tcPr>
          <w:p w14:paraId="582EF64C"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Single</w:t>
            </w:r>
          </w:p>
          <w:p w14:paraId="1CABAE2F"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60%</w:t>
            </w:r>
          </w:p>
        </w:tc>
        <w:tc>
          <w:tcPr>
            <w:tcW w:w="0" w:type="dxa"/>
          </w:tcPr>
          <w:p w14:paraId="0145FC1F"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Married</w:t>
            </w:r>
          </w:p>
          <w:p w14:paraId="74E5E9D4"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19%</w:t>
            </w:r>
          </w:p>
        </w:tc>
        <w:tc>
          <w:tcPr>
            <w:tcW w:w="0" w:type="dxa"/>
          </w:tcPr>
          <w:p w14:paraId="33486F8A"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Divorced / Separated</w:t>
            </w:r>
          </w:p>
          <w:p w14:paraId="7CEBDA5E" w14:textId="77777777"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14%</w:t>
            </w:r>
          </w:p>
        </w:tc>
        <w:tc>
          <w:tcPr>
            <w:tcW w:w="0" w:type="dxa"/>
          </w:tcPr>
          <w:p w14:paraId="7F255529" w14:textId="0463F34A"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De facto / Partnered 7%</w:t>
            </w:r>
          </w:p>
        </w:tc>
        <w:tc>
          <w:tcPr>
            <w:tcW w:w="0" w:type="dxa"/>
          </w:tcPr>
          <w:p w14:paraId="56410067" w14:textId="67621AD4"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Pr>
          <w:p w14:paraId="16B948A9" w14:textId="194EB063"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r>
      <w:tr w:rsidR="00F9330E" w:rsidRPr="00F71A22" w14:paraId="59E22B3D" w14:textId="77777777" w:rsidTr="001F4507">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FFFFFF" w:themeColor="background1"/>
            </w:tcBorders>
            <w:vAlign w:val="center"/>
          </w:tcPr>
          <w:p w14:paraId="786F7C91" w14:textId="77777777" w:rsidR="00F9330E" w:rsidRPr="00F71A22" w:rsidRDefault="00F9330E" w:rsidP="001F4507">
            <w:pPr>
              <w:pStyle w:val="TableText"/>
            </w:pPr>
            <w:r w:rsidRPr="00F71A22">
              <w:t>Dependent children</w:t>
            </w:r>
          </w:p>
        </w:tc>
        <w:tc>
          <w:tcPr>
            <w:tcW w:w="0" w:type="dxa"/>
            <w:shd w:val="clear" w:color="auto" w:fill="D8D8D8" w:themeFill="background1" w:themeFillShade="D8"/>
          </w:tcPr>
          <w:p w14:paraId="680AB844"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No</w:t>
            </w:r>
          </w:p>
          <w:p w14:paraId="7E4BF0A0"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83%</w:t>
            </w:r>
          </w:p>
        </w:tc>
        <w:tc>
          <w:tcPr>
            <w:tcW w:w="0" w:type="dxa"/>
            <w:shd w:val="clear" w:color="auto" w:fill="D8D8D8" w:themeFill="background1" w:themeFillShade="D8"/>
          </w:tcPr>
          <w:p w14:paraId="425B27DB"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Yes</w:t>
            </w:r>
          </w:p>
          <w:p w14:paraId="3E14CE9B"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17%</w:t>
            </w:r>
          </w:p>
        </w:tc>
        <w:tc>
          <w:tcPr>
            <w:tcW w:w="0" w:type="dxa"/>
            <w:shd w:val="clear" w:color="auto" w:fill="D8D8D8" w:themeFill="background1" w:themeFillShade="D8"/>
          </w:tcPr>
          <w:p w14:paraId="3F46E62D" w14:textId="52A978F6" w:rsidR="00F9330E" w:rsidRPr="001F4507" w:rsidRDefault="00F9330E" w:rsidP="001F4507">
            <w:pPr>
              <w:pStyle w:val="TableText"/>
              <w:cnfStyle w:val="000000000000" w:firstRow="0" w:lastRow="0" w:firstColumn="0" w:lastColumn="0" w:oddVBand="0" w:evenVBand="0" w:oddHBand="0" w:evenHBand="0" w:firstRowFirstColumn="0" w:firstRowLastColumn="0" w:lastRowFirstColumn="0" w:lastRowLastColumn="0"/>
              <w:rPr>
                <w:color w:val="D9D9D9" w:themeColor="background1" w:themeShade="D9"/>
              </w:rPr>
            </w:pPr>
            <w:r w:rsidRPr="001F4507">
              <w:rPr>
                <w:color w:val="D9D9D9" w:themeColor="background1" w:themeShade="D9"/>
                <w:szCs w:val="20"/>
              </w:rPr>
              <w:t>—</w:t>
            </w:r>
          </w:p>
        </w:tc>
        <w:tc>
          <w:tcPr>
            <w:tcW w:w="0" w:type="dxa"/>
            <w:shd w:val="clear" w:color="auto" w:fill="D8D8D8" w:themeFill="background1" w:themeFillShade="D8"/>
          </w:tcPr>
          <w:p w14:paraId="1DF92C55" w14:textId="4A926157" w:rsidR="00F9330E" w:rsidRPr="001F4507" w:rsidRDefault="00F9330E" w:rsidP="001F4507">
            <w:pPr>
              <w:pStyle w:val="TableText"/>
              <w:cnfStyle w:val="000000000000" w:firstRow="0" w:lastRow="0" w:firstColumn="0" w:lastColumn="0" w:oddVBand="0" w:evenVBand="0" w:oddHBand="0" w:evenHBand="0" w:firstRowFirstColumn="0" w:firstRowLastColumn="0" w:lastRowFirstColumn="0" w:lastRowLastColumn="0"/>
              <w:rPr>
                <w:color w:val="D9D9D9" w:themeColor="background1" w:themeShade="D9"/>
              </w:rPr>
            </w:pPr>
            <w:r w:rsidRPr="001F4507">
              <w:rPr>
                <w:color w:val="D9D9D9" w:themeColor="background1" w:themeShade="D9"/>
                <w:szCs w:val="20"/>
              </w:rPr>
              <w:t>—</w:t>
            </w:r>
          </w:p>
        </w:tc>
        <w:tc>
          <w:tcPr>
            <w:tcW w:w="0" w:type="dxa"/>
            <w:shd w:val="clear" w:color="auto" w:fill="D8D8D8" w:themeFill="background1" w:themeFillShade="D8"/>
          </w:tcPr>
          <w:p w14:paraId="7B268680" w14:textId="6CAD16A0" w:rsidR="00F9330E" w:rsidRPr="001F4507" w:rsidRDefault="00F9330E" w:rsidP="001F4507">
            <w:pPr>
              <w:pStyle w:val="TableText"/>
              <w:cnfStyle w:val="000000000000" w:firstRow="0" w:lastRow="0" w:firstColumn="0" w:lastColumn="0" w:oddVBand="0" w:evenVBand="0" w:oddHBand="0" w:evenHBand="0" w:firstRowFirstColumn="0" w:firstRowLastColumn="0" w:lastRowFirstColumn="0" w:lastRowLastColumn="0"/>
              <w:rPr>
                <w:color w:val="D9D9D9" w:themeColor="background1" w:themeShade="D9"/>
              </w:rPr>
            </w:pPr>
            <w:r w:rsidRPr="001F4507">
              <w:rPr>
                <w:color w:val="D9D9D9" w:themeColor="background1" w:themeShade="D9"/>
                <w:szCs w:val="20"/>
              </w:rPr>
              <w:t>—</w:t>
            </w:r>
          </w:p>
        </w:tc>
        <w:tc>
          <w:tcPr>
            <w:tcW w:w="0" w:type="dxa"/>
            <w:shd w:val="clear" w:color="auto" w:fill="D8D8D8" w:themeFill="background1" w:themeFillShade="D8"/>
          </w:tcPr>
          <w:p w14:paraId="1002E399" w14:textId="4749F807" w:rsidR="00F9330E" w:rsidRPr="001F4507" w:rsidRDefault="00F9330E" w:rsidP="001F4507">
            <w:pPr>
              <w:pStyle w:val="TableText"/>
              <w:cnfStyle w:val="000000000000" w:firstRow="0" w:lastRow="0" w:firstColumn="0" w:lastColumn="0" w:oddVBand="0" w:evenVBand="0" w:oddHBand="0" w:evenHBand="0" w:firstRowFirstColumn="0" w:firstRowLastColumn="0" w:lastRowFirstColumn="0" w:lastRowLastColumn="0"/>
              <w:rPr>
                <w:color w:val="D9D9D9" w:themeColor="background1" w:themeShade="D9"/>
              </w:rPr>
            </w:pPr>
            <w:r w:rsidRPr="001F4507">
              <w:rPr>
                <w:color w:val="D9D9D9" w:themeColor="background1" w:themeShade="D9"/>
                <w:szCs w:val="20"/>
              </w:rPr>
              <w:t>—</w:t>
            </w:r>
          </w:p>
        </w:tc>
      </w:tr>
      <w:tr w:rsidR="003B35D0" w:rsidRPr="00F71A22" w14:paraId="247186C8" w14:textId="77777777" w:rsidTr="001F4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tcPr>
          <w:p w14:paraId="54A1A803" w14:textId="77777777" w:rsidR="003B35D0" w:rsidRPr="00F71A22" w:rsidRDefault="003B35D0" w:rsidP="001F4507">
            <w:pPr>
              <w:pStyle w:val="TableText"/>
            </w:pPr>
            <w:r w:rsidRPr="00F71A22">
              <w:t>Employment status</w:t>
            </w:r>
          </w:p>
        </w:tc>
        <w:tc>
          <w:tcPr>
            <w:tcW w:w="0" w:type="dxa"/>
          </w:tcPr>
          <w:p w14:paraId="58B767A9"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Unemployed / job seeking</w:t>
            </w:r>
          </w:p>
          <w:p w14:paraId="0F109FCE"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70%</w:t>
            </w:r>
          </w:p>
        </w:tc>
        <w:tc>
          <w:tcPr>
            <w:tcW w:w="0" w:type="dxa"/>
          </w:tcPr>
          <w:p w14:paraId="0BCF5A69"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Working casually</w:t>
            </w:r>
          </w:p>
          <w:p w14:paraId="2EFEB941" w14:textId="37F4B19E"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12%</w:t>
            </w:r>
          </w:p>
        </w:tc>
        <w:tc>
          <w:tcPr>
            <w:tcW w:w="0" w:type="dxa"/>
          </w:tcPr>
          <w:p w14:paraId="7D15B3F3"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Studying</w:t>
            </w:r>
          </w:p>
          <w:p w14:paraId="44A55A1A"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7%</w:t>
            </w:r>
          </w:p>
        </w:tc>
        <w:tc>
          <w:tcPr>
            <w:tcW w:w="0" w:type="dxa"/>
          </w:tcPr>
          <w:p w14:paraId="167E75C8"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Working part time</w:t>
            </w:r>
          </w:p>
          <w:p w14:paraId="23B635A2" w14:textId="414EDB35"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6%</w:t>
            </w:r>
          </w:p>
        </w:tc>
        <w:tc>
          <w:tcPr>
            <w:tcW w:w="0" w:type="dxa"/>
          </w:tcPr>
          <w:p w14:paraId="20344632"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71A22">
              <w:rPr>
                <w:rFonts w:eastAsia="Calibri"/>
              </w:rPr>
              <w:t>Self-employed</w:t>
            </w:r>
          </w:p>
          <w:p w14:paraId="1075A470"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1%</w:t>
            </w:r>
          </w:p>
        </w:tc>
        <w:tc>
          <w:tcPr>
            <w:tcW w:w="0" w:type="dxa"/>
          </w:tcPr>
          <w:p w14:paraId="0C321FFA"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Other*</w:t>
            </w:r>
          </w:p>
          <w:p w14:paraId="7A0171A4"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3%</w:t>
            </w:r>
          </w:p>
        </w:tc>
      </w:tr>
      <w:tr w:rsidR="00F9330E" w:rsidRPr="00F71A22" w14:paraId="39474126" w14:textId="77777777" w:rsidTr="001F4507">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tcPr>
          <w:p w14:paraId="324C7735" w14:textId="77777777" w:rsidR="00F9330E" w:rsidRPr="00F71A22" w:rsidRDefault="00F9330E" w:rsidP="001F4507">
            <w:pPr>
              <w:pStyle w:val="TableText"/>
            </w:pPr>
            <w:r w:rsidRPr="00F71A22">
              <w:t>Cultural background</w:t>
            </w:r>
          </w:p>
        </w:tc>
        <w:tc>
          <w:tcPr>
            <w:tcW w:w="0" w:type="dxa"/>
            <w:shd w:val="clear" w:color="auto" w:fill="D8D8D8" w:themeFill="background1" w:themeFillShade="D8"/>
          </w:tcPr>
          <w:p w14:paraId="3A85E9D8"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NESB</w:t>
            </w:r>
          </w:p>
          <w:p w14:paraId="3E68E926"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28%</w:t>
            </w:r>
          </w:p>
        </w:tc>
        <w:tc>
          <w:tcPr>
            <w:tcW w:w="0" w:type="dxa"/>
            <w:shd w:val="clear" w:color="auto" w:fill="D8D8D8" w:themeFill="background1" w:themeFillShade="D8"/>
          </w:tcPr>
          <w:p w14:paraId="59C51CF0" w14:textId="24F2625F"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c>
          <w:tcPr>
            <w:tcW w:w="0" w:type="dxa"/>
            <w:shd w:val="clear" w:color="auto" w:fill="D8D8D8" w:themeFill="background1" w:themeFillShade="D8"/>
          </w:tcPr>
          <w:p w14:paraId="79F3FD9F" w14:textId="01B4A0D8"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c>
          <w:tcPr>
            <w:tcW w:w="0" w:type="dxa"/>
            <w:shd w:val="clear" w:color="auto" w:fill="D8D8D8" w:themeFill="background1" w:themeFillShade="D8"/>
          </w:tcPr>
          <w:p w14:paraId="2055C62F" w14:textId="098B3924"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c>
          <w:tcPr>
            <w:tcW w:w="0" w:type="dxa"/>
            <w:shd w:val="clear" w:color="auto" w:fill="D8D8D8" w:themeFill="background1" w:themeFillShade="D8"/>
          </w:tcPr>
          <w:p w14:paraId="15A0B1A6" w14:textId="3D1BD62C"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c>
          <w:tcPr>
            <w:tcW w:w="0" w:type="dxa"/>
            <w:shd w:val="clear" w:color="auto" w:fill="D8D8D8" w:themeFill="background1" w:themeFillShade="D8"/>
          </w:tcPr>
          <w:p w14:paraId="50CBE61A" w14:textId="6FF43A60"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r>
      <w:tr w:rsidR="00F9330E" w:rsidRPr="00F71A22" w14:paraId="3015CEFE" w14:textId="77777777" w:rsidTr="001F4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tcPr>
          <w:p w14:paraId="7D9B1024" w14:textId="77777777" w:rsidR="00F9330E" w:rsidRPr="00F71A22" w:rsidRDefault="00F9330E" w:rsidP="001F4507">
            <w:pPr>
              <w:pStyle w:val="TableText"/>
            </w:pPr>
            <w:r w:rsidRPr="00F71A22">
              <w:t>Indigeneity</w:t>
            </w:r>
          </w:p>
        </w:tc>
        <w:tc>
          <w:tcPr>
            <w:tcW w:w="0" w:type="dxa"/>
          </w:tcPr>
          <w:p w14:paraId="40C71DE7" w14:textId="42359720"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Aboriginal and/or Torres Strait Islander 3%</w:t>
            </w:r>
          </w:p>
        </w:tc>
        <w:tc>
          <w:tcPr>
            <w:tcW w:w="0" w:type="dxa"/>
          </w:tcPr>
          <w:p w14:paraId="31D30541" w14:textId="67DA9471"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Pr>
          <w:p w14:paraId="077D5C65" w14:textId="477DAFE2"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Pr>
          <w:p w14:paraId="6F4E30A2" w14:textId="3BD13C1B"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Pr>
          <w:p w14:paraId="25AC9B8F" w14:textId="0F92A32A"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c>
          <w:tcPr>
            <w:tcW w:w="0" w:type="dxa"/>
          </w:tcPr>
          <w:p w14:paraId="69D87538" w14:textId="28EA0974" w:rsidR="00F9330E" w:rsidRPr="00F71A22" w:rsidRDefault="00F9330E" w:rsidP="001F4507">
            <w:pPr>
              <w:pStyle w:val="TableText"/>
              <w:cnfStyle w:val="000000100000" w:firstRow="0" w:lastRow="0" w:firstColumn="0" w:lastColumn="0" w:oddVBand="0" w:evenVBand="0" w:oddHBand="1" w:evenHBand="0" w:firstRowFirstColumn="0" w:firstRowLastColumn="0" w:lastRowFirstColumn="0" w:lastRowLastColumn="0"/>
            </w:pPr>
            <w:r w:rsidRPr="00411FCD">
              <w:rPr>
                <w:color w:val="FFFFFF" w:themeColor="background1"/>
                <w:szCs w:val="20"/>
              </w:rPr>
              <w:t>—</w:t>
            </w:r>
          </w:p>
        </w:tc>
      </w:tr>
      <w:tr w:rsidR="00F9330E" w:rsidRPr="00F71A22" w14:paraId="2CE665A7" w14:textId="77777777" w:rsidTr="001F4507">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FFFFFF" w:themeColor="background1"/>
            </w:tcBorders>
            <w:vAlign w:val="center"/>
          </w:tcPr>
          <w:p w14:paraId="4FB2C475" w14:textId="77777777" w:rsidR="00F9330E" w:rsidRPr="00F71A22" w:rsidRDefault="00F9330E" w:rsidP="001F4507">
            <w:pPr>
              <w:pStyle w:val="TableText"/>
            </w:pPr>
            <w:r w:rsidRPr="00F71A22">
              <w:t>Frequency of internet access</w:t>
            </w:r>
          </w:p>
        </w:tc>
        <w:tc>
          <w:tcPr>
            <w:tcW w:w="0" w:type="dxa"/>
            <w:tcBorders>
              <w:bottom w:val="nil"/>
            </w:tcBorders>
            <w:shd w:val="clear" w:color="auto" w:fill="D8D8D8" w:themeFill="background1" w:themeFillShade="D8"/>
          </w:tcPr>
          <w:p w14:paraId="1827A2B5"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Once a day</w:t>
            </w:r>
          </w:p>
          <w:p w14:paraId="4399CA4D"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96%</w:t>
            </w:r>
          </w:p>
        </w:tc>
        <w:tc>
          <w:tcPr>
            <w:tcW w:w="0" w:type="dxa"/>
            <w:tcBorders>
              <w:bottom w:val="nil"/>
            </w:tcBorders>
            <w:shd w:val="clear" w:color="auto" w:fill="D8D8D8" w:themeFill="background1" w:themeFillShade="D8"/>
          </w:tcPr>
          <w:p w14:paraId="7DF2CFEC"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Weekly</w:t>
            </w:r>
          </w:p>
          <w:p w14:paraId="671F9CC6" w14:textId="77777777"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F71A22">
              <w:t>4%</w:t>
            </w:r>
          </w:p>
        </w:tc>
        <w:tc>
          <w:tcPr>
            <w:tcW w:w="0" w:type="dxa"/>
            <w:tcBorders>
              <w:bottom w:val="nil"/>
            </w:tcBorders>
            <w:shd w:val="clear" w:color="auto" w:fill="D8D8D8" w:themeFill="background1" w:themeFillShade="D8"/>
          </w:tcPr>
          <w:p w14:paraId="42CE4480" w14:textId="020B4EB2"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c>
          <w:tcPr>
            <w:tcW w:w="0" w:type="dxa"/>
            <w:tcBorders>
              <w:bottom w:val="nil"/>
            </w:tcBorders>
            <w:shd w:val="clear" w:color="auto" w:fill="D8D8D8" w:themeFill="background1" w:themeFillShade="D8"/>
          </w:tcPr>
          <w:p w14:paraId="7E26C3E7" w14:textId="06D6A6EF"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c>
          <w:tcPr>
            <w:tcW w:w="0" w:type="dxa"/>
            <w:tcBorders>
              <w:bottom w:val="nil"/>
            </w:tcBorders>
            <w:shd w:val="clear" w:color="auto" w:fill="D8D8D8" w:themeFill="background1" w:themeFillShade="D8"/>
          </w:tcPr>
          <w:p w14:paraId="30367A37" w14:textId="73CECF01"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c>
          <w:tcPr>
            <w:tcW w:w="0" w:type="dxa"/>
            <w:tcBorders>
              <w:bottom w:val="nil"/>
            </w:tcBorders>
            <w:shd w:val="clear" w:color="auto" w:fill="D8D8D8" w:themeFill="background1" w:themeFillShade="D8"/>
          </w:tcPr>
          <w:p w14:paraId="34FB6F37" w14:textId="5FE84254" w:rsidR="00F9330E" w:rsidRPr="00F71A22" w:rsidRDefault="00F9330E" w:rsidP="001F4507">
            <w:pPr>
              <w:pStyle w:val="TableText"/>
              <w:cnfStyle w:val="000000000000" w:firstRow="0" w:lastRow="0" w:firstColumn="0" w:lastColumn="0" w:oddVBand="0" w:evenVBand="0" w:oddHBand="0" w:evenHBand="0" w:firstRowFirstColumn="0" w:firstRowLastColumn="0" w:lastRowFirstColumn="0" w:lastRowLastColumn="0"/>
            </w:pPr>
            <w:r w:rsidRPr="0051366F">
              <w:rPr>
                <w:color w:val="D9D9D9" w:themeColor="background1" w:themeShade="D9"/>
                <w:szCs w:val="20"/>
              </w:rPr>
              <w:t>—</w:t>
            </w:r>
          </w:p>
        </w:tc>
      </w:tr>
      <w:tr w:rsidR="003B35D0" w:rsidRPr="00F71A22" w14:paraId="14002A73" w14:textId="77777777" w:rsidTr="001F4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FFFFF" w:themeColor="background1"/>
              <w:bottom w:val="single" w:sz="4" w:space="0" w:color="000000" w:themeColor="text1"/>
            </w:tcBorders>
            <w:vAlign w:val="center"/>
          </w:tcPr>
          <w:p w14:paraId="1DD674E3" w14:textId="77777777" w:rsidR="003B35D0" w:rsidRPr="00F71A22" w:rsidRDefault="003B35D0" w:rsidP="001F4507">
            <w:pPr>
              <w:pStyle w:val="TableText"/>
            </w:pPr>
            <w:r w:rsidRPr="00F71A22">
              <w:t>Device most used</w:t>
            </w:r>
          </w:p>
        </w:tc>
        <w:tc>
          <w:tcPr>
            <w:tcW w:w="0" w:type="dxa"/>
            <w:tcBorders>
              <w:top w:val="nil"/>
              <w:bottom w:val="single" w:sz="4" w:space="0" w:color="auto"/>
            </w:tcBorders>
          </w:tcPr>
          <w:p w14:paraId="474EEB4D"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Mobile phone</w:t>
            </w:r>
          </w:p>
          <w:p w14:paraId="39A5C3B6"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68%</w:t>
            </w:r>
          </w:p>
        </w:tc>
        <w:tc>
          <w:tcPr>
            <w:tcW w:w="0" w:type="dxa"/>
            <w:tcBorders>
              <w:top w:val="nil"/>
              <w:bottom w:val="single" w:sz="4" w:space="0" w:color="auto"/>
            </w:tcBorders>
          </w:tcPr>
          <w:p w14:paraId="2751F5AF"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Personal laptop</w:t>
            </w:r>
          </w:p>
          <w:p w14:paraId="0E4B08E1"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56%</w:t>
            </w:r>
          </w:p>
        </w:tc>
        <w:tc>
          <w:tcPr>
            <w:tcW w:w="0" w:type="dxa"/>
            <w:tcBorders>
              <w:top w:val="nil"/>
              <w:bottom w:val="single" w:sz="4" w:space="0" w:color="auto"/>
            </w:tcBorders>
          </w:tcPr>
          <w:p w14:paraId="6FA04C18"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Home desk computer</w:t>
            </w:r>
          </w:p>
          <w:p w14:paraId="739422EF"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28%</w:t>
            </w:r>
          </w:p>
        </w:tc>
        <w:tc>
          <w:tcPr>
            <w:tcW w:w="0" w:type="dxa"/>
            <w:tcBorders>
              <w:top w:val="nil"/>
              <w:bottom w:val="single" w:sz="4" w:space="0" w:color="auto"/>
            </w:tcBorders>
          </w:tcPr>
          <w:p w14:paraId="150D3286"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Tablet/iPad</w:t>
            </w:r>
          </w:p>
          <w:p w14:paraId="3657F05C"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p>
          <w:p w14:paraId="66ACBD4E"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10%</w:t>
            </w:r>
          </w:p>
        </w:tc>
        <w:tc>
          <w:tcPr>
            <w:tcW w:w="0" w:type="dxa"/>
            <w:tcBorders>
              <w:top w:val="nil"/>
              <w:bottom w:val="single" w:sz="4" w:space="0" w:color="auto"/>
            </w:tcBorders>
          </w:tcPr>
          <w:p w14:paraId="0BE748E8"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Computer at ESP</w:t>
            </w:r>
          </w:p>
          <w:p w14:paraId="42E4B184"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4%</w:t>
            </w:r>
          </w:p>
        </w:tc>
        <w:tc>
          <w:tcPr>
            <w:tcW w:w="0" w:type="dxa"/>
            <w:tcBorders>
              <w:top w:val="nil"/>
              <w:bottom w:val="single" w:sz="4" w:space="0" w:color="auto"/>
            </w:tcBorders>
          </w:tcPr>
          <w:p w14:paraId="5A7AE87F" w14:textId="024EDE4C"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t>Public e</w:t>
            </w:r>
            <w:r w:rsidR="00D121F4">
              <w:t>.</w:t>
            </w:r>
            <w:r w:rsidRPr="00F71A22">
              <w:t>g.</w:t>
            </w:r>
            <w:r w:rsidR="00DD5C24">
              <w:t xml:space="preserve"> </w:t>
            </w:r>
            <w:r w:rsidRPr="00F71A22">
              <w:t>library</w:t>
            </w:r>
          </w:p>
          <w:p w14:paraId="38363E48" w14:textId="77777777" w:rsidR="003B35D0" w:rsidRPr="00F71A22" w:rsidRDefault="003B35D0" w:rsidP="001F4507">
            <w:pPr>
              <w:pStyle w:val="TableText"/>
              <w:cnfStyle w:val="000000100000" w:firstRow="0" w:lastRow="0" w:firstColumn="0" w:lastColumn="0" w:oddVBand="0" w:evenVBand="0" w:oddHBand="1" w:evenHBand="0" w:firstRowFirstColumn="0" w:firstRowLastColumn="0" w:lastRowFirstColumn="0" w:lastRowLastColumn="0"/>
            </w:pPr>
            <w:r w:rsidRPr="00F71A22">
              <w:rPr>
                <w:rFonts w:eastAsia="Calibri"/>
              </w:rPr>
              <w:t>3%</w:t>
            </w:r>
          </w:p>
        </w:tc>
      </w:tr>
    </w:tbl>
    <w:p w14:paraId="0EDE4470" w14:textId="71D8E028" w:rsidR="003B35D0" w:rsidRPr="00F71A22" w:rsidRDefault="003B35D0" w:rsidP="001F4507">
      <w:pPr>
        <w:pStyle w:val="Source"/>
        <w:contextualSpacing/>
      </w:pPr>
      <w:r w:rsidRPr="00F71A22">
        <w:rPr>
          <w:b/>
          <w:bCs/>
        </w:rPr>
        <w:t>Source</w:t>
      </w:r>
      <w:r w:rsidRPr="00F71A22">
        <w:t>: Qualitative research data</w:t>
      </w:r>
      <w:r w:rsidR="00281087">
        <w:br/>
      </w:r>
      <w:r w:rsidR="000A2071">
        <w:rPr>
          <w:rFonts w:cstheme="minorHAnsi"/>
          <w:b/>
          <w:bCs/>
          <w:szCs w:val="24"/>
        </w:rPr>
        <w:t>Note</w:t>
      </w:r>
      <w:r w:rsidR="000A2071">
        <w:rPr>
          <w:rFonts w:cstheme="minorHAnsi"/>
          <w:szCs w:val="24"/>
        </w:rPr>
        <w:t xml:space="preserve">: </w:t>
      </w:r>
      <w:r w:rsidR="00B85C4C" w:rsidRPr="00F71A22">
        <w:rPr>
          <w:rFonts w:cstheme="minorHAnsi"/>
          <w:szCs w:val="24"/>
        </w:rPr>
        <w:t>*</w:t>
      </w:r>
      <w:r w:rsidR="00B85C4C" w:rsidRPr="00F71A22">
        <w:t>Home / caring duties receiving a Centrelink payment; retired / semi-retired / self-funded retiree; other</w:t>
      </w:r>
      <w:r w:rsidR="00B85C4C" w:rsidRPr="00F71A22">
        <w:rPr>
          <w:rFonts w:cstheme="minorHAnsi"/>
          <w:vertAlign w:val="superscript"/>
        </w:rPr>
        <w:footnoteReference w:id="27"/>
      </w:r>
    </w:p>
    <w:p w14:paraId="7FF426CB" w14:textId="77777777" w:rsidR="003B35D0" w:rsidRPr="00F71A22" w:rsidRDefault="003B35D0">
      <w:pPr>
        <w:spacing w:after="160" w:line="259" w:lineRule="auto"/>
      </w:pPr>
      <w:r w:rsidRPr="00F71A22">
        <w:br w:type="page"/>
      </w:r>
    </w:p>
    <w:p w14:paraId="54813D18" w14:textId="0D977E16" w:rsidR="00923B3C" w:rsidRPr="00F71A22" w:rsidRDefault="003B35D0" w:rsidP="00923B3C">
      <w:pPr>
        <w:pStyle w:val="Heading2"/>
      </w:pPr>
      <w:bookmarkStart w:id="234" w:name="_Toc47520160"/>
      <w:bookmarkStart w:id="235" w:name="_Toc67042651"/>
      <w:r w:rsidRPr="00F71A22">
        <w:lastRenderedPageBreak/>
        <w:t xml:space="preserve">Appendix </w:t>
      </w:r>
      <w:r w:rsidR="008278B1" w:rsidRPr="00F71A22">
        <w:t>D</w:t>
      </w:r>
      <w:r w:rsidR="009A0647" w:rsidRPr="00F71A22">
        <w:t xml:space="preserve"> The </w:t>
      </w:r>
      <w:bookmarkEnd w:id="234"/>
      <w:r w:rsidR="00953DF5" w:rsidRPr="00F71A22">
        <w:t>quantitative fieldwork</w:t>
      </w:r>
      <w:bookmarkEnd w:id="235"/>
    </w:p>
    <w:p w14:paraId="29F0B2F2" w14:textId="20258B1F" w:rsidR="00B47331" w:rsidRPr="00F71A22" w:rsidRDefault="00B47331" w:rsidP="005E35AB">
      <w:pPr>
        <w:rPr>
          <w:rFonts w:cs="Calibri"/>
        </w:rPr>
      </w:pPr>
      <w:r w:rsidRPr="00F71A22">
        <w:t>Each wave of</w:t>
      </w:r>
      <w:r w:rsidR="00953DF5" w:rsidRPr="00F71A22">
        <w:t xml:space="preserve"> quantitative</w:t>
      </w:r>
      <w:r w:rsidRPr="00F71A22">
        <w:t xml:space="preserve"> fieldwork was conducted in two parts, with a </w:t>
      </w:r>
      <w:r w:rsidR="00052EEE" w:rsidRPr="00F71A22">
        <w:t>new</w:t>
      </w:r>
      <w:r w:rsidRPr="00F71A22">
        <w:t xml:space="preserve"> sample drawn from the department’s administrative data system for use in both the first and second parts of the fieldwork. This minimised the delay between when contact details were extracted from the system and </w:t>
      </w:r>
      <w:r w:rsidRPr="00F71A22">
        <w:rPr>
          <w:rFonts w:cs="Calibri"/>
        </w:rPr>
        <w:t xml:space="preserve">when participants were invited to take part in the survey and was done to account for the potential for </w:t>
      </w:r>
      <w:r w:rsidR="002E3B6A" w:rsidRPr="00F71A22">
        <w:rPr>
          <w:rFonts w:cs="Calibri"/>
        </w:rPr>
        <w:t>job seeker</w:t>
      </w:r>
      <w:r w:rsidRPr="00F71A22">
        <w:rPr>
          <w:rFonts w:cs="Calibri"/>
        </w:rPr>
        <w:t xml:space="preserve">s to change </w:t>
      </w:r>
      <w:r w:rsidR="00DE3B27">
        <w:rPr>
          <w:rFonts w:cs="Calibri"/>
        </w:rPr>
        <w:t>OEST</w:t>
      </w:r>
      <w:r w:rsidR="00DE3B27" w:rsidRPr="00F71A22">
        <w:rPr>
          <w:rFonts w:cs="Calibri"/>
        </w:rPr>
        <w:t xml:space="preserve"> </w:t>
      </w:r>
      <w:r w:rsidRPr="00F71A22">
        <w:rPr>
          <w:rFonts w:cs="Calibri"/>
        </w:rPr>
        <w:t xml:space="preserve">participation status. The survey also included a screening section to account for any subsequent changes to </w:t>
      </w:r>
      <w:r w:rsidR="002E3B6A" w:rsidRPr="00F71A22">
        <w:rPr>
          <w:rFonts w:cs="Calibri"/>
        </w:rPr>
        <w:t>job seeker</w:t>
      </w:r>
      <w:r w:rsidRPr="00F71A22">
        <w:rPr>
          <w:rFonts w:cs="Calibri"/>
        </w:rPr>
        <w:t>s’ participation status.</w:t>
      </w:r>
    </w:p>
    <w:p w14:paraId="120DC7C2" w14:textId="77777777" w:rsidR="00B47331" w:rsidRPr="00F71A22" w:rsidRDefault="00B47331" w:rsidP="005E35AB">
      <w:r w:rsidRPr="00F71A22">
        <w:t xml:space="preserve">The fieldwork consisted of both online surveys and Computer Assisted Telephone Interviews (CATI). Both parts of the survey wave involved an initial two-week period where online surveys were conducted, followed by a two-week period where CATI surveys were conducted. This sequencing allowed </w:t>
      </w:r>
      <w:r w:rsidR="002E3B6A" w:rsidRPr="00F71A22">
        <w:t>job seeker</w:t>
      </w:r>
      <w:r w:rsidRPr="00F71A22">
        <w:t xml:space="preserve">s who did not complete the online survey to be approached to take part in the survey by CATI, together with those </w:t>
      </w:r>
      <w:r w:rsidR="002E3B6A" w:rsidRPr="00F71A22">
        <w:t>job seeker</w:t>
      </w:r>
      <w:r w:rsidRPr="00F71A22">
        <w:t xml:space="preserve">s who were not invited to complete the online survey because they did not have an email address recorded in the sample. The online survey involved email invitations and up to two rounds of reminders sent by email and SMS. SMS invitations to the online survey were also sent to </w:t>
      </w:r>
      <w:r w:rsidR="002E3B6A" w:rsidRPr="00F71A22">
        <w:t>job seeker</w:t>
      </w:r>
      <w:r w:rsidRPr="00F71A22">
        <w:t>s who did not take part in the CATI survey and who did not have an email address.</w:t>
      </w:r>
    </w:p>
    <w:p w14:paraId="2661C522" w14:textId="18B475F1" w:rsidR="00305314" w:rsidRPr="00F71A22" w:rsidRDefault="00B47331" w:rsidP="005E35AB">
      <w:pPr>
        <w:rPr>
          <w:rFonts w:cs="Calibri"/>
        </w:rPr>
      </w:pPr>
      <w:r w:rsidRPr="00F71A22">
        <w:rPr>
          <w:rFonts w:cs="Calibri"/>
        </w:rPr>
        <w:t xml:space="preserve">A total of 11,961 </w:t>
      </w:r>
      <w:r w:rsidR="002E3B6A" w:rsidRPr="00F71A22">
        <w:rPr>
          <w:rFonts w:cs="Calibri"/>
        </w:rPr>
        <w:t>job seeker</w:t>
      </w:r>
      <w:r w:rsidRPr="00F71A22">
        <w:rPr>
          <w:rFonts w:cs="Calibri"/>
        </w:rPr>
        <w:t xml:space="preserve">s were invited to take part in the survey across the three waves, including 7,511 </w:t>
      </w:r>
      <w:r w:rsidR="002E3B6A" w:rsidRPr="00F71A22">
        <w:rPr>
          <w:rFonts w:cs="Calibri"/>
        </w:rPr>
        <w:t>job seeker</w:t>
      </w:r>
      <w:r w:rsidRPr="00F71A22">
        <w:rPr>
          <w:rFonts w:cs="Calibri"/>
        </w:rPr>
        <w:t xml:space="preserve">s invited to complete the survey online and 8,637 approached to take part via a CATI. </w:t>
      </w:r>
      <w:r w:rsidR="00953DF5" w:rsidRPr="00F71A22">
        <w:rPr>
          <w:rFonts w:cs="Calibri"/>
        </w:rPr>
        <w:t>A total of 4,083 job seekers completed the surveys across all three waves, representing a 34</w:t>
      </w:r>
      <w:r w:rsidR="000A2071">
        <w:rPr>
          <w:rFonts w:cs="Calibri"/>
        </w:rPr>
        <w:t>%</w:t>
      </w:r>
      <w:r w:rsidR="00953DF5" w:rsidRPr="00F71A22">
        <w:rPr>
          <w:rFonts w:cs="Calibri"/>
        </w:rPr>
        <w:t xml:space="preserve"> response rate (28</w:t>
      </w:r>
      <w:r w:rsidR="000A2071">
        <w:rPr>
          <w:rFonts w:cs="Calibri"/>
        </w:rPr>
        <w:t xml:space="preserve">% </w:t>
      </w:r>
      <w:r w:rsidR="00953DF5" w:rsidRPr="00F71A22">
        <w:rPr>
          <w:rFonts w:cs="Calibri"/>
        </w:rPr>
        <w:t>online and 23</w:t>
      </w:r>
      <w:r w:rsidR="000A2071">
        <w:rPr>
          <w:rFonts w:cs="Calibri"/>
        </w:rPr>
        <w:t xml:space="preserve">% </w:t>
      </w:r>
      <w:r w:rsidR="00953DF5" w:rsidRPr="00F71A22">
        <w:rPr>
          <w:rFonts w:cs="Calibri"/>
        </w:rPr>
        <w:t>via CATI). This included 2,222 job seekers in Wave 1, 880 additional job seekers in Wave 2 and 981 additional job seekers in Wave</w:t>
      </w:r>
      <w:r w:rsidR="003728EA" w:rsidRPr="00F71A22">
        <w:rPr>
          <w:rFonts w:cs="Calibri"/>
        </w:rPr>
        <w:t> </w:t>
      </w:r>
      <w:r w:rsidR="00953DF5" w:rsidRPr="00F71A22">
        <w:rPr>
          <w:rFonts w:cs="Calibri"/>
        </w:rPr>
        <w:t>3.</w:t>
      </w:r>
    </w:p>
    <w:p w14:paraId="35B508C9" w14:textId="1133EB39" w:rsidR="00B47331" w:rsidRPr="00F71A22" w:rsidRDefault="00305314" w:rsidP="005E35AB">
      <w:pPr>
        <w:rPr>
          <w:rFonts w:cs="Calibri"/>
        </w:rPr>
      </w:pPr>
      <w:r w:rsidRPr="00F71A22">
        <w:rPr>
          <w:rFonts w:cs="Calibri"/>
        </w:rPr>
        <w:t>The longitudinal analysis provided a measure of changes in job seekers’ views and experiences over time. In W</w:t>
      </w:r>
      <w:r w:rsidR="00B47331" w:rsidRPr="00F71A22">
        <w:rPr>
          <w:rFonts w:cs="Calibri"/>
        </w:rPr>
        <w:t xml:space="preserve">ave 2 there were 490 longitudinal </w:t>
      </w:r>
      <w:r w:rsidR="002E3B6A" w:rsidRPr="00F71A22">
        <w:rPr>
          <w:rFonts w:cs="Calibri"/>
        </w:rPr>
        <w:t>job seeker</w:t>
      </w:r>
      <w:r w:rsidR="00B47331" w:rsidRPr="00F71A22">
        <w:rPr>
          <w:rFonts w:cs="Calibri"/>
        </w:rPr>
        <w:t xml:space="preserve"> responses who participated in both </w:t>
      </w:r>
      <w:r w:rsidRPr="00F71A22">
        <w:rPr>
          <w:rFonts w:cs="Calibri"/>
        </w:rPr>
        <w:t>W</w:t>
      </w:r>
      <w:r w:rsidR="00B47331" w:rsidRPr="00F71A22">
        <w:rPr>
          <w:rFonts w:cs="Calibri"/>
        </w:rPr>
        <w:t xml:space="preserve">aves 1 and 2, and in </w:t>
      </w:r>
      <w:r w:rsidRPr="00F71A22">
        <w:rPr>
          <w:rFonts w:cs="Calibri"/>
        </w:rPr>
        <w:t>W</w:t>
      </w:r>
      <w:r w:rsidR="00B47331" w:rsidRPr="00F71A22">
        <w:rPr>
          <w:rFonts w:cs="Calibri"/>
        </w:rPr>
        <w:t xml:space="preserve">ave 3 there were 373 longitudinal </w:t>
      </w:r>
      <w:r w:rsidR="002E3B6A" w:rsidRPr="00F71A22">
        <w:rPr>
          <w:rFonts w:cs="Calibri"/>
        </w:rPr>
        <w:t>job seeker</w:t>
      </w:r>
      <w:r w:rsidR="00B47331" w:rsidRPr="00F71A22">
        <w:rPr>
          <w:rFonts w:cs="Calibri"/>
        </w:rPr>
        <w:t xml:space="preserve"> responses who participated in </w:t>
      </w:r>
      <w:r w:rsidRPr="00F71A22">
        <w:rPr>
          <w:rFonts w:cs="Calibri"/>
        </w:rPr>
        <w:t>W</w:t>
      </w:r>
      <w:r w:rsidR="00B47331" w:rsidRPr="00F71A22">
        <w:rPr>
          <w:rFonts w:cs="Calibri"/>
        </w:rPr>
        <w:t xml:space="preserve">ave 3 in addition to </w:t>
      </w:r>
      <w:r w:rsidRPr="00F71A22">
        <w:rPr>
          <w:rFonts w:cs="Calibri"/>
        </w:rPr>
        <w:t>W</w:t>
      </w:r>
      <w:r w:rsidR="00B47331" w:rsidRPr="00F71A22">
        <w:rPr>
          <w:rFonts w:cs="Calibri"/>
        </w:rPr>
        <w:t xml:space="preserve">ave 1, </w:t>
      </w:r>
      <w:r w:rsidRPr="00F71A22">
        <w:rPr>
          <w:rFonts w:cs="Calibri"/>
        </w:rPr>
        <w:t>W</w:t>
      </w:r>
      <w:r w:rsidR="00B47331" w:rsidRPr="00F71A22">
        <w:rPr>
          <w:rFonts w:cs="Calibri"/>
        </w:rPr>
        <w:t xml:space="preserve">ave 2 or both </w:t>
      </w:r>
      <w:r w:rsidRPr="00F71A22">
        <w:rPr>
          <w:rFonts w:cs="Calibri"/>
        </w:rPr>
        <w:t>W</w:t>
      </w:r>
      <w:r w:rsidR="00B47331" w:rsidRPr="00F71A22">
        <w:rPr>
          <w:rFonts w:cs="Calibri"/>
        </w:rPr>
        <w:t>aves 1 and 2. The longitudinal response rate was 40</w:t>
      </w:r>
      <w:r w:rsidR="000A2071">
        <w:rPr>
          <w:rFonts w:cs="Calibri"/>
        </w:rPr>
        <w:t>%</w:t>
      </w:r>
      <w:r w:rsidR="00B47331" w:rsidRPr="00F71A22">
        <w:rPr>
          <w:rFonts w:cs="Calibri"/>
        </w:rPr>
        <w:t xml:space="preserve"> (32</w:t>
      </w:r>
      <w:r w:rsidR="000A2071">
        <w:rPr>
          <w:rFonts w:cs="Calibri"/>
        </w:rPr>
        <w:t xml:space="preserve">% </w:t>
      </w:r>
      <w:r w:rsidR="00B47331" w:rsidRPr="00F71A22">
        <w:rPr>
          <w:rFonts w:cs="Calibri"/>
        </w:rPr>
        <w:t>online and 33</w:t>
      </w:r>
      <w:r w:rsidR="000A2071">
        <w:rPr>
          <w:rFonts w:cs="Calibri"/>
        </w:rPr>
        <w:t>%</w:t>
      </w:r>
      <w:r w:rsidR="00B47331" w:rsidRPr="00F71A22">
        <w:rPr>
          <w:rFonts w:cs="Calibri"/>
        </w:rPr>
        <w:t xml:space="preserve"> CATI</w:t>
      </w:r>
      <w:r w:rsidR="00B953C4" w:rsidRPr="00F71A22">
        <w:rPr>
          <w:rFonts w:cs="Calibri"/>
        </w:rPr>
        <w:t>)</w:t>
      </w:r>
      <w:r w:rsidR="00B953C4">
        <w:rPr>
          <w:rFonts w:cs="Calibri"/>
        </w:rPr>
        <w:t xml:space="preserve"> – </w:t>
      </w:r>
      <w:r w:rsidR="00B47331" w:rsidRPr="00F71A22">
        <w:rPr>
          <w:rFonts w:cs="Calibri"/>
        </w:rPr>
        <w:t xml:space="preserve">in total, 863 </w:t>
      </w:r>
      <w:r w:rsidR="002E3B6A" w:rsidRPr="00F71A22">
        <w:rPr>
          <w:rFonts w:cs="Calibri"/>
        </w:rPr>
        <w:t>job seeker</w:t>
      </w:r>
      <w:r w:rsidR="00B47331" w:rsidRPr="00F71A22">
        <w:rPr>
          <w:rFonts w:cs="Calibri"/>
        </w:rPr>
        <w:t>s to</w:t>
      </w:r>
      <w:r w:rsidR="00DE3B27">
        <w:rPr>
          <w:rFonts w:cs="Calibri"/>
        </w:rPr>
        <w:t>ok</w:t>
      </w:r>
      <w:r w:rsidR="00B47331" w:rsidRPr="00F71A22">
        <w:rPr>
          <w:rFonts w:cs="Calibri"/>
        </w:rPr>
        <w:t xml:space="preserve"> the survey out of the 2,134 </w:t>
      </w:r>
      <w:r w:rsidR="002E3B6A" w:rsidRPr="00F71A22">
        <w:rPr>
          <w:rFonts w:cs="Calibri"/>
        </w:rPr>
        <w:t>job seeker</w:t>
      </w:r>
      <w:r w:rsidR="00B47331" w:rsidRPr="00F71A22">
        <w:rPr>
          <w:rFonts w:cs="Calibri"/>
        </w:rPr>
        <w:t>s who were contacted to take part in the survey after responding to the survey in previous waves</w:t>
      </w:r>
      <w:r w:rsidR="00B953C4">
        <w:rPr>
          <w:rFonts w:cs="Calibri"/>
        </w:rPr>
        <w:t>.</w:t>
      </w:r>
      <w:r w:rsidR="00B47331" w:rsidRPr="00F71A22">
        <w:rPr>
          <w:rStyle w:val="FootnoteReference"/>
          <w:rFonts w:cs="Calibri"/>
        </w:rPr>
        <w:footnoteReference w:id="28"/>
      </w:r>
    </w:p>
    <w:p w14:paraId="7D1EE068" w14:textId="77777777" w:rsidR="00B47331" w:rsidRPr="00F71A22" w:rsidRDefault="00B47331" w:rsidP="005E35AB">
      <w:pPr>
        <w:spacing w:after="160" w:line="259" w:lineRule="auto"/>
      </w:pPr>
      <w:r w:rsidRPr="00F71A22">
        <w:br w:type="page"/>
      </w:r>
    </w:p>
    <w:p w14:paraId="55C236BA" w14:textId="471EE4C5" w:rsidR="00DC744E" w:rsidRPr="00F71A22" w:rsidRDefault="00DC744E" w:rsidP="00DC744E">
      <w:pPr>
        <w:pStyle w:val="Heading2"/>
      </w:pPr>
      <w:bookmarkStart w:id="236" w:name="_Toc47520162"/>
      <w:bookmarkStart w:id="237" w:name="_Toc49871072"/>
      <w:bookmarkStart w:id="238" w:name="_Toc67042652"/>
      <w:r w:rsidRPr="00F71A22">
        <w:lastRenderedPageBreak/>
        <w:t>Appendix E Impact of participant characteristic</w:t>
      </w:r>
      <w:r w:rsidR="003C2A16">
        <w:t>s</w:t>
      </w:r>
      <w:r w:rsidRPr="00F71A22">
        <w:t xml:space="preserve"> on exits from income support</w:t>
      </w:r>
      <w:bookmarkEnd w:id="236"/>
      <w:r w:rsidRPr="00F71A22">
        <w:t xml:space="preserve"> and employment services – </w:t>
      </w:r>
      <w:r w:rsidR="00DE3B27">
        <w:t>c</w:t>
      </w:r>
      <w:r w:rsidRPr="00F71A22">
        <w:t xml:space="preserve">omparison group versus </w:t>
      </w:r>
      <w:r w:rsidR="00DE3B27">
        <w:t>t</w:t>
      </w:r>
      <w:r w:rsidRPr="00F71A22">
        <w:t>rial participants</w:t>
      </w:r>
      <w:bookmarkEnd w:id="237"/>
      <w:bookmarkEnd w:id="238"/>
    </w:p>
    <w:p w14:paraId="16BA570A" w14:textId="77777777" w:rsidR="00DC744E" w:rsidRPr="00F71A22" w:rsidRDefault="00DC744E" w:rsidP="00DC744E">
      <w:pPr>
        <w:pStyle w:val="Heading3"/>
      </w:pPr>
      <w:bookmarkStart w:id="239" w:name="_Toc47520163"/>
      <w:bookmarkStart w:id="240" w:name="_Toc49871073"/>
      <w:bookmarkStart w:id="241" w:name="_Toc67042653"/>
      <w:r w:rsidRPr="00F71A22">
        <w:t>Age</w:t>
      </w:r>
      <w:bookmarkEnd w:id="239"/>
      <w:bookmarkEnd w:id="240"/>
      <w:bookmarkEnd w:id="241"/>
    </w:p>
    <w:p w14:paraId="51C53191" w14:textId="3FD3CE9E" w:rsidR="00143D89" w:rsidRPr="0006562C" w:rsidRDefault="00143D89" w:rsidP="0006562C">
      <w:pPr>
        <w:pStyle w:val="TableCaption"/>
      </w:pPr>
      <w:bookmarkStart w:id="242" w:name="_Toc51144058"/>
      <w:bookmarkStart w:id="243" w:name="_Toc67042667"/>
      <w:bookmarkStart w:id="244" w:name="_Hlk51336970"/>
      <w:bookmarkStart w:id="245" w:name="_Toc47520164"/>
      <w:bookmarkStart w:id="246" w:name="_Toc49871074"/>
      <w:r w:rsidRPr="0006562C">
        <w:t>Table</w:t>
      </w:r>
      <w:r w:rsidRPr="001F4507">
        <w:t xml:space="preserve"> E1</w:t>
      </w:r>
      <w:r w:rsidRPr="0006562C">
        <w:t xml:space="preserve"> </w:t>
      </w:r>
      <w:r w:rsidRPr="001F4507">
        <w:t>Exits by age group</w:t>
      </w:r>
      <w:bookmarkEnd w:id="242"/>
      <w:bookmarkEnd w:id="243"/>
    </w:p>
    <w:tbl>
      <w:tblPr>
        <w:tblW w:w="8789" w:type="dxa"/>
        <w:tblLook w:val="04A0" w:firstRow="1" w:lastRow="0" w:firstColumn="1" w:lastColumn="0" w:noHBand="0" w:noVBand="1"/>
      </w:tblPr>
      <w:tblGrid>
        <w:gridCol w:w="2407"/>
        <w:gridCol w:w="1539"/>
        <w:gridCol w:w="1174"/>
        <w:gridCol w:w="1321"/>
        <w:gridCol w:w="293"/>
        <w:gridCol w:w="881"/>
        <w:gridCol w:w="1174"/>
      </w:tblGrid>
      <w:tr w:rsidR="00143D89" w:rsidRPr="003C2A16" w14:paraId="6018A610" w14:textId="77777777" w:rsidTr="001F4507">
        <w:trPr>
          <w:cantSplit/>
          <w:trHeight w:val="677"/>
          <w:tblHeader/>
        </w:trPr>
        <w:tc>
          <w:tcPr>
            <w:tcW w:w="2200" w:type="dxa"/>
            <w:tcBorders>
              <w:top w:val="single" w:sz="4" w:space="0" w:color="auto"/>
              <w:left w:val="nil"/>
              <w:right w:val="nil"/>
            </w:tcBorders>
            <w:shd w:val="clear" w:color="auto" w:fill="002D3F"/>
            <w:vAlign w:val="center"/>
            <w:hideMark/>
          </w:tcPr>
          <w:p w14:paraId="150B6544" w14:textId="77777777" w:rsidR="00143D89" w:rsidRPr="001F4507" w:rsidRDefault="00143D89" w:rsidP="001F4507">
            <w:pPr>
              <w:pStyle w:val="TableText"/>
              <w:jc w:val="center"/>
              <w:rPr>
                <w:b/>
                <w:bCs w:val="0"/>
                <w:sz w:val="18"/>
              </w:rPr>
            </w:pPr>
            <w:r w:rsidRPr="001F4507">
              <w:rPr>
                <w:b/>
                <w:bCs w:val="0"/>
                <w:sz w:val="18"/>
              </w:rPr>
              <w:t>Exits</w:t>
            </w:r>
          </w:p>
        </w:tc>
        <w:tc>
          <w:tcPr>
            <w:tcW w:w="1486" w:type="dxa"/>
            <w:tcBorders>
              <w:top w:val="single" w:sz="4" w:space="0" w:color="auto"/>
              <w:left w:val="nil"/>
              <w:right w:val="nil"/>
            </w:tcBorders>
            <w:shd w:val="clear" w:color="auto" w:fill="002D3F"/>
            <w:vAlign w:val="center"/>
            <w:hideMark/>
          </w:tcPr>
          <w:p w14:paraId="71389028" w14:textId="77777777" w:rsidR="00143D89" w:rsidRPr="001F4507" w:rsidRDefault="00143D89" w:rsidP="001F4507">
            <w:pPr>
              <w:pStyle w:val="TableText"/>
              <w:jc w:val="center"/>
              <w:rPr>
                <w:b/>
                <w:bCs w:val="0"/>
                <w:sz w:val="18"/>
              </w:rPr>
            </w:pPr>
            <w:r w:rsidRPr="001F4507">
              <w:rPr>
                <w:b/>
                <w:bCs w:val="0"/>
                <w:sz w:val="18"/>
              </w:rPr>
              <w:t>Number of OEST participants</w:t>
            </w:r>
          </w:p>
        </w:tc>
        <w:tc>
          <w:tcPr>
            <w:tcW w:w="1134" w:type="dxa"/>
            <w:tcBorders>
              <w:top w:val="single" w:sz="4" w:space="0" w:color="auto"/>
              <w:left w:val="nil"/>
              <w:right w:val="nil"/>
            </w:tcBorders>
            <w:shd w:val="clear" w:color="auto" w:fill="002D3F"/>
            <w:vAlign w:val="center"/>
            <w:hideMark/>
          </w:tcPr>
          <w:p w14:paraId="21FF400D" w14:textId="77777777" w:rsidR="00143D89" w:rsidRPr="001F4507" w:rsidRDefault="00143D89" w:rsidP="001F4507">
            <w:pPr>
              <w:pStyle w:val="TableText"/>
              <w:jc w:val="center"/>
              <w:rPr>
                <w:b/>
                <w:bCs w:val="0"/>
                <w:sz w:val="18"/>
              </w:rPr>
            </w:pPr>
            <w:r w:rsidRPr="001F4507">
              <w:rPr>
                <w:b/>
                <w:bCs w:val="0"/>
                <w:sz w:val="18"/>
              </w:rPr>
              <w:t>(%)</w:t>
            </w:r>
          </w:p>
        </w:tc>
        <w:tc>
          <w:tcPr>
            <w:tcW w:w="1559" w:type="dxa"/>
            <w:gridSpan w:val="2"/>
            <w:tcBorders>
              <w:top w:val="single" w:sz="4" w:space="0" w:color="auto"/>
              <w:left w:val="nil"/>
              <w:right w:val="nil"/>
            </w:tcBorders>
            <w:shd w:val="clear" w:color="auto" w:fill="002D3F"/>
            <w:vAlign w:val="center"/>
            <w:hideMark/>
          </w:tcPr>
          <w:p w14:paraId="5848ED64" w14:textId="77777777" w:rsidR="00143D89" w:rsidRPr="001F4507" w:rsidRDefault="00143D89" w:rsidP="001F4507">
            <w:pPr>
              <w:pStyle w:val="TableText"/>
              <w:jc w:val="center"/>
              <w:rPr>
                <w:b/>
                <w:bCs w:val="0"/>
                <w:sz w:val="18"/>
              </w:rPr>
            </w:pPr>
            <w:r w:rsidRPr="001F4507">
              <w:rPr>
                <w:b/>
                <w:bCs w:val="0"/>
                <w:sz w:val="18"/>
              </w:rPr>
              <w:t>Number of comparison group</w:t>
            </w:r>
          </w:p>
        </w:tc>
        <w:tc>
          <w:tcPr>
            <w:tcW w:w="851" w:type="dxa"/>
            <w:tcBorders>
              <w:top w:val="single" w:sz="4" w:space="0" w:color="auto"/>
              <w:left w:val="nil"/>
              <w:right w:val="nil"/>
            </w:tcBorders>
            <w:shd w:val="clear" w:color="auto" w:fill="002D3F"/>
            <w:vAlign w:val="center"/>
            <w:hideMark/>
          </w:tcPr>
          <w:p w14:paraId="00C7F7CA" w14:textId="77777777" w:rsidR="00143D89" w:rsidRPr="001F4507" w:rsidRDefault="00143D89" w:rsidP="001F4507">
            <w:pPr>
              <w:pStyle w:val="TableText"/>
              <w:jc w:val="center"/>
              <w:rPr>
                <w:b/>
                <w:bCs w:val="0"/>
                <w:sz w:val="18"/>
              </w:rPr>
            </w:pPr>
            <w:r w:rsidRPr="001F4507">
              <w:rPr>
                <w:b/>
                <w:bCs w:val="0"/>
                <w:sz w:val="18"/>
              </w:rPr>
              <w:t>(%)</w:t>
            </w:r>
          </w:p>
        </w:tc>
        <w:tc>
          <w:tcPr>
            <w:tcW w:w="1134" w:type="dxa"/>
            <w:tcBorders>
              <w:top w:val="single" w:sz="4" w:space="0" w:color="auto"/>
              <w:left w:val="nil"/>
              <w:right w:val="nil"/>
            </w:tcBorders>
            <w:shd w:val="clear" w:color="auto" w:fill="002D3F"/>
            <w:vAlign w:val="center"/>
            <w:hideMark/>
          </w:tcPr>
          <w:p w14:paraId="1279A76C" w14:textId="77777777" w:rsidR="00143D89" w:rsidRPr="001F4507" w:rsidRDefault="00143D89" w:rsidP="001F4507">
            <w:pPr>
              <w:pStyle w:val="TableText"/>
              <w:jc w:val="center"/>
              <w:rPr>
                <w:b/>
                <w:bCs w:val="0"/>
                <w:sz w:val="18"/>
              </w:rPr>
            </w:pPr>
            <w:r w:rsidRPr="001F4507">
              <w:rPr>
                <w:b/>
                <w:bCs w:val="0"/>
                <w:sz w:val="18"/>
              </w:rPr>
              <w:t>Per cent difference</w:t>
            </w:r>
          </w:p>
        </w:tc>
      </w:tr>
      <w:tr w:rsidR="005862C9" w:rsidRPr="003C2A16" w14:paraId="6E47C029" w14:textId="77777777" w:rsidTr="001F4507">
        <w:trPr>
          <w:cantSplit/>
          <w:trHeight w:val="283"/>
        </w:trPr>
        <w:tc>
          <w:tcPr>
            <w:tcW w:w="2325" w:type="dxa"/>
            <w:shd w:val="clear" w:color="auto" w:fill="auto"/>
            <w:noWrap/>
          </w:tcPr>
          <w:p w14:paraId="243CA04F" w14:textId="12BDF187" w:rsidR="005862C9" w:rsidRPr="001F4507" w:rsidRDefault="005862C9" w:rsidP="005862C9">
            <w:pPr>
              <w:pStyle w:val="TableText"/>
              <w:rPr>
                <w:b/>
                <w:bCs w:val="0"/>
                <w:sz w:val="18"/>
              </w:rPr>
            </w:pPr>
            <w:r w:rsidRPr="001F4507">
              <w:rPr>
                <w:b/>
                <w:bCs w:val="0"/>
                <w:sz w:val="18"/>
              </w:rPr>
              <w:t>Exits from income support</w:t>
            </w:r>
          </w:p>
        </w:tc>
        <w:tc>
          <w:tcPr>
            <w:tcW w:w="1486" w:type="dxa"/>
            <w:shd w:val="clear" w:color="auto" w:fill="auto"/>
            <w:noWrap/>
          </w:tcPr>
          <w:p w14:paraId="44DEC29A" w14:textId="6FBE6F3F" w:rsidR="005862C9" w:rsidRPr="001F4507" w:rsidRDefault="005862C9" w:rsidP="005862C9">
            <w:pPr>
              <w:pStyle w:val="TableText"/>
              <w:rPr>
                <w:sz w:val="18"/>
              </w:rPr>
            </w:pPr>
            <w:r w:rsidRPr="001F4507">
              <w:rPr>
                <w:color w:val="FFFFFF" w:themeColor="background1"/>
                <w:sz w:val="18"/>
              </w:rPr>
              <w:t>—</w:t>
            </w:r>
          </w:p>
        </w:tc>
        <w:tc>
          <w:tcPr>
            <w:tcW w:w="1134" w:type="dxa"/>
            <w:shd w:val="clear" w:color="auto" w:fill="auto"/>
            <w:noWrap/>
          </w:tcPr>
          <w:p w14:paraId="30DC67DC" w14:textId="6D626352" w:rsidR="005862C9" w:rsidRPr="001F4507" w:rsidRDefault="005862C9" w:rsidP="005862C9">
            <w:pPr>
              <w:pStyle w:val="TableText"/>
              <w:rPr>
                <w:rFonts w:ascii="Times New Roman" w:hAnsi="Times New Roman"/>
                <w:sz w:val="18"/>
              </w:rPr>
            </w:pPr>
            <w:r w:rsidRPr="001F4507">
              <w:rPr>
                <w:color w:val="FFFFFF" w:themeColor="background1"/>
                <w:sz w:val="18"/>
              </w:rPr>
              <w:t>—</w:t>
            </w:r>
          </w:p>
        </w:tc>
        <w:tc>
          <w:tcPr>
            <w:tcW w:w="1276" w:type="dxa"/>
            <w:shd w:val="clear" w:color="auto" w:fill="auto"/>
            <w:noWrap/>
          </w:tcPr>
          <w:p w14:paraId="12893B91" w14:textId="72892873" w:rsidR="005862C9" w:rsidRPr="001F4507" w:rsidRDefault="005862C9" w:rsidP="005862C9">
            <w:pPr>
              <w:pStyle w:val="TableText"/>
              <w:rPr>
                <w:rFonts w:ascii="Times New Roman" w:hAnsi="Times New Roman"/>
                <w:sz w:val="18"/>
              </w:rPr>
            </w:pPr>
            <w:r w:rsidRPr="001F4507">
              <w:rPr>
                <w:color w:val="FFFFFF" w:themeColor="background1"/>
                <w:sz w:val="18"/>
              </w:rPr>
              <w:t>—</w:t>
            </w:r>
          </w:p>
        </w:tc>
        <w:tc>
          <w:tcPr>
            <w:tcW w:w="1134" w:type="dxa"/>
            <w:gridSpan w:val="2"/>
            <w:shd w:val="clear" w:color="auto" w:fill="auto"/>
            <w:noWrap/>
          </w:tcPr>
          <w:p w14:paraId="35BED895" w14:textId="12E1BC57" w:rsidR="005862C9" w:rsidRPr="001F4507" w:rsidRDefault="005862C9" w:rsidP="005862C9">
            <w:pPr>
              <w:pStyle w:val="TableText"/>
              <w:rPr>
                <w:rFonts w:ascii="Times New Roman" w:hAnsi="Times New Roman"/>
                <w:sz w:val="18"/>
              </w:rPr>
            </w:pPr>
            <w:r w:rsidRPr="001F4507">
              <w:rPr>
                <w:color w:val="FFFFFF" w:themeColor="background1"/>
                <w:sz w:val="18"/>
              </w:rPr>
              <w:t>—</w:t>
            </w:r>
          </w:p>
        </w:tc>
        <w:tc>
          <w:tcPr>
            <w:tcW w:w="1134" w:type="dxa"/>
            <w:shd w:val="clear" w:color="auto" w:fill="auto"/>
            <w:noWrap/>
          </w:tcPr>
          <w:p w14:paraId="75879ABA" w14:textId="7903131E" w:rsidR="005862C9" w:rsidRPr="001F4507" w:rsidRDefault="005862C9" w:rsidP="005862C9">
            <w:pPr>
              <w:pStyle w:val="TableText"/>
              <w:rPr>
                <w:rFonts w:ascii="Times New Roman" w:hAnsi="Times New Roman"/>
                <w:sz w:val="18"/>
              </w:rPr>
            </w:pPr>
            <w:r w:rsidRPr="001F4507">
              <w:rPr>
                <w:color w:val="FFFFFF" w:themeColor="background1"/>
                <w:sz w:val="18"/>
              </w:rPr>
              <w:t>—</w:t>
            </w:r>
          </w:p>
        </w:tc>
      </w:tr>
      <w:tr w:rsidR="005862C9" w:rsidRPr="003C2A16" w14:paraId="1E1F3A0B" w14:textId="77777777" w:rsidTr="001F4507">
        <w:trPr>
          <w:cantSplit/>
          <w:trHeight w:val="283"/>
        </w:trPr>
        <w:tc>
          <w:tcPr>
            <w:tcW w:w="2325" w:type="dxa"/>
            <w:shd w:val="clear" w:color="auto" w:fill="auto"/>
            <w:noWrap/>
            <w:hideMark/>
          </w:tcPr>
          <w:p w14:paraId="0CBCB861" w14:textId="3BAA5E36" w:rsidR="005862C9" w:rsidRPr="001F4507" w:rsidRDefault="005862C9" w:rsidP="001F4507">
            <w:pPr>
              <w:pStyle w:val="TableText"/>
              <w:rPr>
                <w:b/>
                <w:i/>
                <w:iCs/>
                <w:sz w:val="18"/>
              </w:rPr>
            </w:pPr>
            <w:r w:rsidRPr="001F4507">
              <w:rPr>
                <w:b/>
                <w:bCs w:val="0"/>
                <w:i/>
                <w:iCs/>
                <w:sz w:val="18"/>
              </w:rPr>
              <w:t>Age less than 25 years</w:t>
            </w:r>
          </w:p>
        </w:tc>
        <w:tc>
          <w:tcPr>
            <w:tcW w:w="1486" w:type="dxa"/>
            <w:shd w:val="clear" w:color="auto" w:fill="auto"/>
            <w:noWrap/>
            <w:hideMark/>
          </w:tcPr>
          <w:p w14:paraId="3EFA29D8" w14:textId="25537045" w:rsidR="005862C9" w:rsidRPr="001F4507" w:rsidRDefault="005862C9" w:rsidP="001F4507">
            <w:pPr>
              <w:pStyle w:val="TableText"/>
              <w:rPr>
                <w:i/>
                <w:iCs/>
                <w:sz w:val="18"/>
              </w:rPr>
            </w:pPr>
            <w:r w:rsidRPr="001F4507">
              <w:rPr>
                <w:color w:val="FFFFFF" w:themeColor="background1"/>
                <w:sz w:val="18"/>
              </w:rPr>
              <w:t>—</w:t>
            </w:r>
          </w:p>
        </w:tc>
        <w:tc>
          <w:tcPr>
            <w:tcW w:w="1134" w:type="dxa"/>
            <w:shd w:val="clear" w:color="auto" w:fill="auto"/>
            <w:noWrap/>
            <w:hideMark/>
          </w:tcPr>
          <w:p w14:paraId="1E241DAF" w14:textId="0D06CAA8"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276" w:type="dxa"/>
            <w:shd w:val="clear" w:color="auto" w:fill="auto"/>
            <w:noWrap/>
            <w:hideMark/>
          </w:tcPr>
          <w:p w14:paraId="6A9390B9" w14:textId="58993C5D"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134" w:type="dxa"/>
            <w:gridSpan w:val="2"/>
            <w:shd w:val="clear" w:color="auto" w:fill="auto"/>
            <w:noWrap/>
            <w:hideMark/>
          </w:tcPr>
          <w:p w14:paraId="3A23F45B" w14:textId="09AD9182"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134" w:type="dxa"/>
            <w:shd w:val="clear" w:color="auto" w:fill="auto"/>
            <w:noWrap/>
            <w:hideMark/>
          </w:tcPr>
          <w:p w14:paraId="10621729" w14:textId="62B3D3E8" w:rsidR="005862C9" w:rsidRPr="001F4507" w:rsidRDefault="005862C9" w:rsidP="001F4507">
            <w:pPr>
              <w:pStyle w:val="TableText"/>
              <w:rPr>
                <w:rFonts w:ascii="Times New Roman" w:hAnsi="Times New Roman"/>
                <w:sz w:val="18"/>
              </w:rPr>
            </w:pPr>
            <w:r w:rsidRPr="001F4507">
              <w:rPr>
                <w:color w:val="FFFFFF" w:themeColor="background1"/>
                <w:sz w:val="18"/>
              </w:rPr>
              <w:t>—</w:t>
            </w:r>
          </w:p>
        </w:tc>
      </w:tr>
      <w:tr w:rsidR="00143D89" w:rsidRPr="003C2A16" w14:paraId="724CD35A" w14:textId="77777777" w:rsidTr="001F4507">
        <w:trPr>
          <w:cantSplit/>
          <w:trHeight w:val="283"/>
        </w:trPr>
        <w:tc>
          <w:tcPr>
            <w:tcW w:w="2325" w:type="dxa"/>
            <w:shd w:val="clear" w:color="auto" w:fill="auto"/>
            <w:noWrap/>
            <w:hideMark/>
          </w:tcPr>
          <w:p w14:paraId="2F0269AD" w14:textId="77777777" w:rsidR="00143D89" w:rsidRPr="001F4507" w:rsidRDefault="00143D89" w:rsidP="00435C46">
            <w:pPr>
              <w:spacing w:before="0" w:after="0" w:line="240" w:lineRule="auto"/>
              <w:rPr>
                <w:rFonts w:ascii="Calibri" w:eastAsia="Times New Roman" w:hAnsi="Calibri" w:cs="Times New Roman"/>
                <w:color w:val="000000"/>
                <w:sz w:val="18"/>
                <w:szCs w:val="18"/>
                <w:lang w:eastAsia="en-AU"/>
              </w:rPr>
            </w:pPr>
            <w:r w:rsidRPr="001F4507">
              <w:rPr>
                <w:rFonts w:ascii="Calibri" w:eastAsia="Times New Roman" w:hAnsi="Calibri" w:cs="Times New Roman"/>
                <w:color w:val="000000"/>
                <w:sz w:val="18"/>
                <w:szCs w:val="18"/>
                <w:lang w:eastAsia="en-AU"/>
              </w:rPr>
              <w:t xml:space="preserve">     - within 4 weeks</w:t>
            </w:r>
          </w:p>
        </w:tc>
        <w:tc>
          <w:tcPr>
            <w:tcW w:w="1486" w:type="dxa"/>
            <w:shd w:val="clear" w:color="auto" w:fill="auto"/>
            <w:noWrap/>
            <w:hideMark/>
          </w:tcPr>
          <w:p w14:paraId="0A9CD5BC" w14:textId="11ED1D27" w:rsidR="00143D89" w:rsidRPr="001F4507" w:rsidRDefault="00143D89" w:rsidP="001F4507">
            <w:pPr>
              <w:pStyle w:val="TableText"/>
              <w:jc w:val="right"/>
              <w:rPr>
                <w:sz w:val="18"/>
              </w:rPr>
            </w:pPr>
            <w:r w:rsidRPr="001F4507">
              <w:rPr>
                <w:sz w:val="18"/>
              </w:rPr>
              <w:t>372</w:t>
            </w:r>
          </w:p>
        </w:tc>
        <w:tc>
          <w:tcPr>
            <w:tcW w:w="1134" w:type="dxa"/>
            <w:shd w:val="clear" w:color="auto" w:fill="auto"/>
            <w:noWrap/>
            <w:hideMark/>
          </w:tcPr>
          <w:p w14:paraId="3DC05681" w14:textId="50842B59" w:rsidR="00143D89" w:rsidRPr="001F4507" w:rsidRDefault="00143D89" w:rsidP="001F4507">
            <w:pPr>
              <w:pStyle w:val="TableText"/>
              <w:jc w:val="right"/>
              <w:rPr>
                <w:sz w:val="18"/>
              </w:rPr>
            </w:pPr>
            <w:r w:rsidRPr="001F4507">
              <w:rPr>
                <w:sz w:val="18"/>
              </w:rPr>
              <w:t>9.3</w:t>
            </w:r>
          </w:p>
        </w:tc>
        <w:tc>
          <w:tcPr>
            <w:tcW w:w="1276" w:type="dxa"/>
            <w:shd w:val="clear" w:color="auto" w:fill="auto"/>
            <w:noWrap/>
            <w:hideMark/>
          </w:tcPr>
          <w:p w14:paraId="16C3581A" w14:textId="797FC86D" w:rsidR="00143D89" w:rsidRPr="001F4507" w:rsidRDefault="00143D89" w:rsidP="001F4507">
            <w:pPr>
              <w:pStyle w:val="TableText"/>
              <w:jc w:val="right"/>
              <w:rPr>
                <w:sz w:val="18"/>
              </w:rPr>
            </w:pPr>
            <w:r w:rsidRPr="001F4507">
              <w:rPr>
                <w:sz w:val="18"/>
              </w:rPr>
              <w:t>263</w:t>
            </w:r>
          </w:p>
        </w:tc>
        <w:tc>
          <w:tcPr>
            <w:tcW w:w="1134" w:type="dxa"/>
            <w:gridSpan w:val="2"/>
            <w:shd w:val="clear" w:color="auto" w:fill="auto"/>
            <w:noWrap/>
            <w:hideMark/>
          </w:tcPr>
          <w:p w14:paraId="5F178AA0" w14:textId="77777777" w:rsidR="00143D89" w:rsidRPr="001F4507" w:rsidRDefault="00143D89" w:rsidP="001F4507">
            <w:pPr>
              <w:pStyle w:val="TableText"/>
              <w:jc w:val="right"/>
              <w:rPr>
                <w:sz w:val="18"/>
              </w:rPr>
            </w:pPr>
            <w:r w:rsidRPr="001F4507">
              <w:rPr>
                <w:sz w:val="18"/>
              </w:rPr>
              <w:t xml:space="preserve">  6.5 </w:t>
            </w:r>
          </w:p>
        </w:tc>
        <w:tc>
          <w:tcPr>
            <w:tcW w:w="1134" w:type="dxa"/>
            <w:shd w:val="clear" w:color="auto" w:fill="auto"/>
            <w:noWrap/>
            <w:hideMark/>
          </w:tcPr>
          <w:p w14:paraId="252E0A46" w14:textId="77777777" w:rsidR="00143D89" w:rsidRPr="001F4507" w:rsidRDefault="00143D89" w:rsidP="001F4507">
            <w:pPr>
              <w:pStyle w:val="TableText"/>
              <w:jc w:val="right"/>
              <w:rPr>
                <w:sz w:val="18"/>
              </w:rPr>
            </w:pPr>
            <w:r w:rsidRPr="001F4507">
              <w:rPr>
                <w:sz w:val="18"/>
              </w:rPr>
              <w:t>2.8*</w:t>
            </w:r>
          </w:p>
        </w:tc>
      </w:tr>
      <w:tr w:rsidR="00143D89" w:rsidRPr="003C2A16" w14:paraId="4DB11FFA" w14:textId="77777777" w:rsidTr="001F4507">
        <w:trPr>
          <w:cantSplit/>
          <w:trHeight w:val="283"/>
        </w:trPr>
        <w:tc>
          <w:tcPr>
            <w:tcW w:w="2325" w:type="dxa"/>
            <w:shd w:val="clear" w:color="auto" w:fill="auto"/>
            <w:noWrap/>
            <w:hideMark/>
          </w:tcPr>
          <w:p w14:paraId="08551F2E" w14:textId="77777777" w:rsidR="00143D89" w:rsidRPr="001F4507" w:rsidRDefault="00143D89" w:rsidP="00435C46">
            <w:pPr>
              <w:spacing w:before="0" w:after="0" w:line="240" w:lineRule="auto"/>
              <w:rPr>
                <w:rFonts w:ascii="Calibri" w:eastAsia="Times New Roman" w:hAnsi="Calibri" w:cs="Times New Roman"/>
                <w:color w:val="000000"/>
                <w:sz w:val="18"/>
                <w:szCs w:val="18"/>
                <w:lang w:eastAsia="en-AU"/>
              </w:rPr>
            </w:pPr>
            <w:r w:rsidRPr="001F4507">
              <w:rPr>
                <w:rFonts w:ascii="Calibri" w:eastAsia="Times New Roman" w:hAnsi="Calibri" w:cs="Times New Roman"/>
                <w:color w:val="000000"/>
                <w:sz w:val="18"/>
                <w:szCs w:val="18"/>
                <w:lang w:eastAsia="en-AU"/>
              </w:rPr>
              <w:t xml:space="preserve">     - within 12 weeks</w:t>
            </w:r>
          </w:p>
        </w:tc>
        <w:tc>
          <w:tcPr>
            <w:tcW w:w="1486" w:type="dxa"/>
            <w:shd w:val="clear" w:color="auto" w:fill="auto"/>
            <w:noWrap/>
            <w:hideMark/>
          </w:tcPr>
          <w:p w14:paraId="4499E860" w14:textId="3638E84C" w:rsidR="00143D89" w:rsidRPr="001F4507" w:rsidRDefault="00143D89" w:rsidP="001F4507">
            <w:pPr>
              <w:pStyle w:val="TableText"/>
              <w:jc w:val="right"/>
              <w:rPr>
                <w:sz w:val="18"/>
              </w:rPr>
            </w:pPr>
            <w:r w:rsidRPr="001F4507">
              <w:rPr>
                <w:sz w:val="18"/>
              </w:rPr>
              <w:t>990</w:t>
            </w:r>
          </w:p>
        </w:tc>
        <w:tc>
          <w:tcPr>
            <w:tcW w:w="1134" w:type="dxa"/>
            <w:shd w:val="clear" w:color="auto" w:fill="auto"/>
            <w:noWrap/>
            <w:hideMark/>
          </w:tcPr>
          <w:p w14:paraId="5F747B59" w14:textId="40347843" w:rsidR="00143D89" w:rsidRPr="001F4507" w:rsidRDefault="00143D89" w:rsidP="001F4507">
            <w:pPr>
              <w:pStyle w:val="TableText"/>
              <w:jc w:val="right"/>
              <w:rPr>
                <w:sz w:val="18"/>
              </w:rPr>
            </w:pPr>
            <w:r w:rsidRPr="001F4507">
              <w:rPr>
                <w:sz w:val="18"/>
              </w:rPr>
              <w:t>29.8</w:t>
            </w:r>
          </w:p>
        </w:tc>
        <w:tc>
          <w:tcPr>
            <w:tcW w:w="1276" w:type="dxa"/>
            <w:shd w:val="clear" w:color="auto" w:fill="auto"/>
            <w:noWrap/>
            <w:hideMark/>
          </w:tcPr>
          <w:p w14:paraId="12ACE252" w14:textId="37F67536" w:rsidR="00143D89" w:rsidRPr="001F4507" w:rsidRDefault="00143D89" w:rsidP="001F4507">
            <w:pPr>
              <w:pStyle w:val="TableText"/>
              <w:jc w:val="right"/>
              <w:rPr>
                <w:sz w:val="18"/>
              </w:rPr>
            </w:pPr>
            <w:r w:rsidRPr="001F4507">
              <w:rPr>
                <w:sz w:val="18"/>
              </w:rPr>
              <w:t>905</w:t>
            </w:r>
          </w:p>
        </w:tc>
        <w:tc>
          <w:tcPr>
            <w:tcW w:w="1134" w:type="dxa"/>
            <w:gridSpan w:val="2"/>
            <w:shd w:val="clear" w:color="auto" w:fill="auto"/>
            <w:noWrap/>
            <w:hideMark/>
          </w:tcPr>
          <w:p w14:paraId="0D73273A" w14:textId="77777777" w:rsidR="00143D89" w:rsidRPr="001F4507" w:rsidRDefault="00143D89" w:rsidP="001F4507">
            <w:pPr>
              <w:pStyle w:val="TableText"/>
              <w:jc w:val="right"/>
              <w:rPr>
                <w:sz w:val="18"/>
              </w:rPr>
            </w:pPr>
            <w:r w:rsidRPr="001F4507">
              <w:rPr>
                <w:sz w:val="18"/>
              </w:rPr>
              <w:t xml:space="preserve">27.2 </w:t>
            </w:r>
          </w:p>
        </w:tc>
        <w:tc>
          <w:tcPr>
            <w:tcW w:w="1134" w:type="dxa"/>
            <w:shd w:val="clear" w:color="auto" w:fill="auto"/>
            <w:noWrap/>
            <w:hideMark/>
          </w:tcPr>
          <w:p w14:paraId="15B4A1D5" w14:textId="77777777" w:rsidR="00143D89" w:rsidRPr="001F4507" w:rsidRDefault="00143D89" w:rsidP="001F4507">
            <w:pPr>
              <w:pStyle w:val="TableText"/>
              <w:jc w:val="right"/>
              <w:rPr>
                <w:sz w:val="18"/>
              </w:rPr>
            </w:pPr>
            <w:r w:rsidRPr="001F4507">
              <w:rPr>
                <w:sz w:val="18"/>
              </w:rPr>
              <w:t>2.6*</w:t>
            </w:r>
          </w:p>
        </w:tc>
      </w:tr>
      <w:tr w:rsidR="00143D89" w:rsidRPr="003C2A16" w14:paraId="01EE3225" w14:textId="77777777" w:rsidTr="001F4507">
        <w:trPr>
          <w:cantSplit/>
          <w:trHeight w:val="283"/>
        </w:trPr>
        <w:tc>
          <w:tcPr>
            <w:tcW w:w="2325" w:type="dxa"/>
            <w:shd w:val="clear" w:color="auto" w:fill="auto"/>
            <w:noWrap/>
            <w:hideMark/>
          </w:tcPr>
          <w:p w14:paraId="1F248B1F" w14:textId="77777777" w:rsidR="00143D89" w:rsidRPr="001F4507" w:rsidRDefault="00143D89" w:rsidP="00435C46">
            <w:pPr>
              <w:spacing w:before="0" w:after="0" w:line="240" w:lineRule="auto"/>
              <w:rPr>
                <w:rFonts w:ascii="Calibri" w:eastAsia="Times New Roman" w:hAnsi="Calibri" w:cs="Times New Roman"/>
                <w:color w:val="000000"/>
                <w:sz w:val="18"/>
                <w:szCs w:val="18"/>
                <w:lang w:eastAsia="en-AU"/>
              </w:rPr>
            </w:pPr>
            <w:r w:rsidRPr="001F4507">
              <w:rPr>
                <w:rFonts w:ascii="Calibri" w:eastAsia="Times New Roman" w:hAnsi="Calibri" w:cs="Times New Roman"/>
                <w:color w:val="000000"/>
                <w:sz w:val="18"/>
                <w:szCs w:val="18"/>
                <w:lang w:eastAsia="en-AU"/>
              </w:rPr>
              <w:t xml:space="preserve">     - within 24 weeks</w:t>
            </w:r>
          </w:p>
        </w:tc>
        <w:tc>
          <w:tcPr>
            <w:tcW w:w="1486" w:type="dxa"/>
            <w:shd w:val="clear" w:color="auto" w:fill="auto"/>
            <w:noWrap/>
            <w:hideMark/>
          </w:tcPr>
          <w:p w14:paraId="57F9DACF" w14:textId="04FB6E6A" w:rsidR="00143D89" w:rsidRPr="001F4507" w:rsidRDefault="00143D89" w:rsidP="001F4507">
            <w:pPr>
              <w:pStyle w:val="TableText"/>
              <w:jc w:val="right"/>
              <w:rPr>
                <w:sz w:val="18"/>
              </w:rPr>
            </w:pPr>
            <w:r w:rsidRPr="001F4507">
              <w:rPr>
                <w:sz w:val="18"/>
              </w:rPr>
              <w:t>1,088</w:t>
            </w:r>
          </w:p>
        </w:tc>
        <w:tc>
          <w:tcPr>
            <w:tcW w:w="1134" w:type="dxa"/>
            <w:shd w:val="clear" w:color="auto" w:fill="auto"/>
            <w:noWrap/>
            <w:hideMark/>
          </w:tcPr>
          <w:p w14:paraId="274C1A08" w14:textId="3CC78B29" w:rsidR="00143D89" w:rsidRPr="001F4507" w:rsidRDefault="00143D89" w:rsidP="001F4507">
            <w:pPr>
              <w:pStyle w:val="TableText"/>
              <w:jc w:val="right"/>
              <w:rPr>
                <w:sz w:val="18"/>
              </w:rPr>
            </w:pPr>
            <w:r w:rsidRPr="001F4507">
              <w:rPr>
                <w:sz w:val="18"/>
              </w:rPr>
              <w:t>45.8</w:t>
            </w:r>
          </w:p>
        </w:tc>
        <w:tc>
          <w:tcPr>
            <w:tcW w:w="1276" w:type="dxa"/>
            <w:shd w:val="clear" w:color="auto" w:fill="auto"/>
            <w:noWrap/>
            <w:hideMark/>
          </w:tcPr>
          <w:p w14:paraId="2D8F6EC9" w14:textId="4E3275A4" w:rsidR="00143D89" w:rsidRPr="001F4507" w:rsidRDefault="00143D89" w:rsidP="001F4507">
            <w:pPr>
              <w:pStyle w:val="TableText"/>
              <w:jc w:val="right"/>
              <w:rPr>
                <w:sz w:val="18"/>
              </w:rPr>
            </w:pPr>
            <w:r w:rsidRPr="001F4507">
              <w:rPr>
                <w:sz w:val="18"/>
              </w:rPr>
              <w:t>1,152</w:t>
            </w:r>
          </w:p>
        </w:tc>
        <w:tc>
          <w:tcPr>
            <w:tcW w:w="1134" w:type="dxa"/>
            <w:gridSpan w:val="2"/>
            <w:shd w:val="clear" w:color="auto" w:fill="auto"/>
            <w:noWrap/>
            <w:hideMark/>
          </w:tcPr>
          <w:p w14:paraId="7299F29A" w14:textId="77777777" w:rsidR="00143D89" w:rsidRPr="001F4507" w:rsidRDefault="00143D89" w:rsidP="001F4507">
            <w:pPr>
              <w:pStyle w:val="TableText"/>
              <w:jc w:val="right"/>
              <w:rPr>
                <w:sz w:val="18"/>
              </w:rPr>
            </w:pPr>
            <w:r w:rsidRPr="001F4507">
              <w:rPr>
                <w:sz w:val="18"/>
              </w:rPr>
              <w:t xml:space="preserve">48.8 </w:t>
            </w:r>
          </w:p>
        </w:tc>
        <w:tc>
          <w:tcPr>
            <w:tcW w:w="1134" w:type="dxa"/>
            <w:shd w:val="clear" w:color="auto" w:fill="auto"/>
            <w:noWrap/>
            <w:hideMark/>
          </w:tcPr>
          <w:p w14:paraId="16FCF921" w14:textId="77777777" w:rsidR="00143D89" w:rsidRPr="001F4507" w:rsidRDefault="00143D89" w:rsidP="001F4507">
            <w:pPr>
              <w:pStyle w:val="TableText"/>
              <w:jc w:val="right"/>
              <w:rPr>
                <w:sz w:val="18"/>
              </w:rPr>
            </w:pPr>
            <w:r w:rsidRPr="001F4507">
              <w:rPr>
                <w:sz w:val="18"/>
              </w:rPr>
              <w:t>-3.0*</w:t>
            </w:r>
          </w:p>
        </w:tc>
      </w:tr>
      <w:tr w:rsidR="005862C9" w:rsidRPr="003C2A16" w14:paraId="57C66DDD" w14:textId="77777777" w:rsidTr="001F4507">
        <w:trPr>
          <w:cantSplit/>
          <w:trHeight w:val="283"/>
        </w:trPr>
        <w:tc>
          <w:tcPr>
            <w:tcW w:w="2325" w:type="dxa"/>
            <w:shd w:val="clear" w:color="auto" w:fill="auto"/>
            <w:noWrap/>
          </w:tcPr>
          <w:p w14:paraId="6B4F0B5F" w14:textId="2303BDCF" w:rsidR="005862C9" w:rsidRPr="001F4507" w:rsidRDefault="005862C9" w:rsidP="005862C9">
            <w:pPr>
              <w:pStyle w:val="TableText"/>
              <w:rPr>
                <w:b/>
                <w:bCs w:val="0"/>
                <w:sz w:val="18"/>
              </w:rPr>
            </w:pPr>
            <w:r w:rsidRPr="001F4507">
              <w:rPr>
                <w:b/>
                <w:bCs w:val="0"/>
                <w:i/>
                <w:iCs/>
                <w:sz w:val="18"/>
              </w:rPr>
              <w:t>Age 25 to 29 years</w:t>
            </w:r>
          </w:p>
        </w:tc>
        <w:tc>
          <w:tcPr>
            <w:tcW w:w="1486" w:type="dxa"/>
            <w:shd w:val="clear" w:color="auto" w:fill="auto"/>
            <w:noWrap/>
          </w:tcPr>
          <w:p w14:paraId="527427A2" w14:textId="5BBD49FF" w:rsidR="005862C9" w:rsidRPr="001F4507" w:rsidDel="00456B7A" w:rsidRDefault="005862C9" w:rsidP="005862C9">
            <w:pPr>
              <w:pStyle w:val="TableText"/>
              <w:jc w:val="right"/>
              <w:rPr>
                <w:sz w:val="18"/>
              </w:rPr>
            </w:pPr>
            <w:r w:rsidRPr="001F4507">
              <w:rPr>
                <w:color w:val="FFFFFF" w:themeColor="background1"/>
                <w:sz w:val="18"/>
              </w:rPr>
              <w:t>—</w:t>
            </w:r>
          </w:p>
        </w:tc>
        <w:tc>
          <w:tcPr>
            <w:tcW w:w="1134" w:type="dxa"/>
            <w:shd w:val="clear" w:color="auto" w:fill="auto"/>
            <w:noWrap/>
          </w:tcPr>
          <w:p w14:paraId="4D214FE3" w14:textId="07CCAAAF" w:rsidR="005862C9" w:rsidRPr="001F4507" w:rsidDel="00456B7A" w:rsidRDefault="005862C9" w:rsidP="005862C9">
            <w:pPr>
              <w:pStyle w:val="TableText"/>
              <w:jc w:val="right"/>
              <w:rPr>
                <w:sz w:val="18"/>
              </w:rPr>
            </w:pPr>
            <w:r w:rsidRPr="001F4507">
              <w:rPr>
                <w:color w:val="FFFFFF" w:themeColor="background1"/>
                <w:sz w:val="18"/>
              </w:rPr>
              <w:t>—</w:t>
            </w:r>
          </w:p>
        </w:tc>
        <w:tc>
          <w:tcPr>
            <w:tcW w:w="1276" w:type="dxa"/>
            <w:shd w:val="clear" w:color="auto" w:fill="auto"/>
            <w:noWrap/>
          </w:tcPr>
          <w:p w14:paraId="12028FBC" w14:textId="51BCB664" w:rsidR="005862C9" w:rsidRPr="001F4507" w:rsidDel="00456B7A" w:rsidRDefault="005862C9" w:rsidP="005862C9">
            <w:pPr>
              <w:pStyle w:val="TableText"/>
              <w:jc w:val="right"/>
              <w:rPr>
                <w:sz w:val="18"/>
              </w:rPr>
            </w:pPr>
            <w:r w:rsidRPr="001F4507">
              <w:rPr>
                <w:color w:val="FFFFFF" w:themeColor="background1"/>
                <w:sz w:val="18"/>
              </w:rPr>
              <w:t>—</w:t>
            </w:r>
          </w:p>
        </w:tc>
        <w:tc>
          <w:tcPr>
            <w:tcW w:w="1134" w:type="dxa"/>
            <w:gridSpan w:val="2"/>
            <w:shd w:val="clear" w:color="auto" w:fill="auto"/>
            <w:noWrap/>
          </w:tcPr>
          <w:p w14:paraId="0750D1BA" w14:textId="4FAE0AB8" w:rsidR="005862C9" w:rsidRPr="001F4507" w:rsidDel="00456B7A" w:rsidRDefault="005862C9" w:rsidP="005862C9">
            <w:pPr>
              <w:pStyle w:val="TableText"/>
              <w:jc w:val="right"/>
              <w:rPr>
                <w:sz w:val="18"/>
              </w:rPr>
            </w:pPr>
            <w:r w:rsidRPr="001F4507">
              <w:rPr>
                <w:color w:val="FFFFFF" w:themeColor="background1"/>
                <w:sz w:val="18"/>
              </w:rPr>
              <w:t>—</w:t>
            </w:r>
          </w:p>
        </w:tc>
        <w:tc>
          <w:tcPr>
            <w:tcW w:w="1134" w:type="dxa"/>
            <w:shd w:val="clear" w:color="auto" w:fill="auto"/>
            <w:noWrap/>
          </w:tcPr>
          <w:p w14:paraId="428A896A" w14:textId="62DE205D" w:rsidR="005862C9" w:rsidRPr="001F4507" w:rsidRDefault="005862C9" w:rsidP="005862C9">
            <w:pPr>
              <w:pStyle w:val="TableText"/>
              <w:jc w:val="right"/>
              <w:rPr>
                <w:sz w:val="18"/>
              </w:rPr>
            </w:pPr>
            <w:r w:rsidRPr="001F4507">
              <w:rPr>
                <w:color w:val="FFFFFF" w:themeColor="background1"/>
                <w:sz w:val="18"/>
              </w:rPr>
              <w:t>—</w:t>
            </w:r>
          </w:p>
        </w:tc>
      </w:tr>
      <w:tr w:rsidR="00143D89" w:rsidRPr="003C2A16" w14:paraId="41EF3443" w14:textId="77777777" w:rsidTr="001F4507">
        <w:trPr>
          <w:cantSplit/>
          <w:trHeight w:val="283"/>
        </w:trPr>
        <w:tc>
          <w:tcPr>
            <w:tcW w:w="2325" w:type="dxa"/>
            <w:shd w:val="clear" w:color="auto" w:fill="auto"/>
            <w:noWrap/>
            <w:hideMark/>
          </w:tcPr>
          <w:p w14:paraId="615ECC26" w14:textId="77777777" w:rsidR="00143D89" w:rsidRPr="001F4507" w:rsidRDefault="00143D89" w:rsidP="001F4507">
            <w:pPr>
              <w:pStyle w:val="TableText"/>
              <w:rPr>
                <w:sz w:val="18"/>
              </w:rPr>
            </w:pPr>
            <w:r w:rsidRPr="001F4507">
              <w:rPr>
                <w:sz w:val="18"/>
              </w:rPr>
              <w:t xml:space="preserve">     - within 4 weeks</w:t>
            </w:r>
          </w:p>
        </w:tc>
        <w:tc>
          <w:tcPr>
            <w:tcW w:w="1486" w:type="dxa"/>
            <w:shd w:val="clear" w:color="auto" w:fill="auto"/>
            <w:noWrap/>
            <w:hideMark/>
          </w:tcPr>
          <w:p w14:paraId="0CCAB5A9" w14:textId="77DC654A" w:rsidR="00143D89" w:rsidRPr="001F4507" w:rsidRDefault="00143D89" w:rsidP="001F4507">
            <w:pPr>
              <w:pStyle w:val="TableText"/>
              <w:jc w:val="right"/>
              <w:rPr>
                <w:sz w:val="18"/>
              </w:rPr>
            </w:pPr>
            <w:r w:rsidRPr="001F4507">
              <w:rPr>
                <w:sz w:val="18"/>
              </w:rPr>
              <w:t>103</w:t>
            </w:r>
          </w:p>
        </w:tc>
        <w:tc>
          <w:tcPr>
            <w:tcW w:w="1134" w:type="dxa"/>
            <w:shd w:val="clear" w:color="auto" w:fill="auto"/>
            <w:noWrap/>
            <w:hideMark/>
          </w:tcPr>
          <w:p w14:paraId="57A7BE6E" w14:textId="31C8C8DF" w:rsidR="00143D89" w:rsidRPr="001F4507" w:rsidRDefault="00143D89" w:rsidP="001F4507">
            <w:pPr>
              <w:pStyle w:val="TableText"/>
              <w:jc w:val="right"/>
              <w:rPr>
                <w:sz w:val="18"/>
              </w:rPr>
            </w:pPr>
            <w:r w:rsidRPr="001F4507">
              <w:rPr>
                <w:sz w:val="18"/>
              </w:rPr>
              <w:t>11.7</w:t>
            </w:r>
          </w:p>
        </w:tc>
        <w:tc>
          <w:tcPr>
            <w:tcW w:w="1276" w:type="dxa"/>
            <w:shd w:val="clear" w:color="auto" w:fill="auto"/>
            <w:noWrap/>
            <w:hideMark/>
          </w:tcPr>
          <w:p w14:paraId="594157FA" w14:textId="6130B216" w:rsidR="00143D89" w:rsidRPr="001F4507" w:rsidRDefault="00143D89" w:rsidP="001F4507">
            <w:pPr>
              <w:pStyle w:val="TableText"/>
              <w:jc w:val="right"/>
              <w:rPr>
                <w:sz w:val="18"/>
              </w:rPr>
            </w:pPr>
            <w:r w:rsidRPr="001F4507">
              <w:rPr>
                <w:sz w:val="18"/>
              </w:rPr>
              <w:t>98</w:t>
            </w:r>
          </w:p>
        </w:tc>
        <w:tc>
          <w:tcPr>
            <w:tcW w:w="1134" w:type="dxa"/>
            <w:gridSpan w:val="2"/>
            <w:shd w:val="clear" w:color="auto" w:fill="auto"/>
            <w:noWrap/>
            <w:hideMark/>
          </w:tcPr>
          <w:p w14:paraId="3AD8FFBE" w14:textId="65D1F430" w:rsidR="00143D89" w:rsidRPr="001F4507" w:rsidRDefault="00143D89" w:rsidP="001F4507">
            <w:pPr>
              <w:pStyle w:val="TableText"/>
              <w:jc w:val="right"/>
              <w:rPr>
                <w:sz w:val="18"/>
              </w:rPr>
            </w:pPr>
            <w:r w:rsidRPr="001F4507">
              <w:rPr>
                <w:sz w:val="18"/>
              </w:rPr>
              <w:t>11.1</w:t>
            </w:r>
          </w:p>
        </w:tc>
        <w:tc>
          <w:tcPr>
            <w:tcW w:w="1134" w:type="dxa"/>
            <w:shd w:val="clear" w:color="auto" w:fill="auto"/>
            <w:noWrap/>
            <w:hideMark/>
          </w:tcPr>
          <w:p w14:paraId="31D7E169" w14:textId="77777777" w:rsidR="00143D89" w:rsidRPr="001F4507" w:rsidRDefault="00143D89" w:rsidP="001F4507">
            <w:pPr>
              <w:pStyle w:val="TableText"/>
              <w:jc w:val="right"/>
              <w:rPr>
                <w:sz w:val="18"/>
              </w:rPr>
            </w:pPr>
            <w:r w:rsidRPr="001F4507">
              <w:rPr>
                <w:sz w:val="18"/>
              </w:rPr>
              <w:t>0.6</w:t>
            </w:r>
          </w:p>
        </w:tc>
      </w:tr>
      <w:tr w:rsidR="00143D89" w:rsidRPr="003C2A16" w14:paraId="4012CD9B" w14:textId="77777777" w:rsidTr="001F4507">
        <w:trPr>
          <w:cantSplit/>
          <w:trHeight w:val="283"/>
        </w:trPr>
        <w:tc>
          <w:tcPr>
            <w:tcW w:w="2325" w:type="dxa"/>
            <w:shd w:val="clear" w:color="auto" w:fill="auto"/>
            <w:noWrap/>
            <w:hideMark/>
          </w:tcPr>
          <w:p w14:paraId="10B4D43F" w14:textId="77777777" w:rsidR="00143D89" w:rsidRPr="001F4507" w:rsidRDefault="00143D89" w:rsidP="001F4507">
            <w:pPr>
              <w:pStyle w:val="TableText"/>
              <w:rPr>
                <w:sz w:val="18"/>
              </w:rPr>
            </w:pPr>
            <w:r w:rsidRPr="001F4507">
              <w:rPr>
                <w:sz w:val="18"/>
              </w:rPr>
              <w:t xml:space="preserve">     - within 12 weeks</w:t>
            </w:r>
          </w:p>
        </w:tc>
        <w:tc>
          <w:tcPr>
            <w:tcW w:w="1486" w:type="dxa"/>
            <w:shd w:val="clear" w:color="auto" w:fill="auto"/>
            <w:noWrap/>
            <w:hideMark/>
          </w:tcPr>
          <w:p w14:paraId="043F2991" w14:textId="6C70AC45" w:rsidR="00143D89" w:rsidRPr="001F4507" w:rsidRDefault="00143D89" w:rsidP="001F4507">
            <w:pPr>
              <w:pStyle w:val="TableText"/>
              <w:jc w:val="right"/>
              <w:rPr>
                <w:sz w:val="18"/>
              </w:rPr>
            </w:pPr>
            <w:r w:rsidRPr="001F4507">
              <w:rPr>
                <w:sz w:val="18"/>
              </w:rPr>
              <w:t>293</w:t>
            </w:r>
          </w:p>
        </w:tc>
        <w:tc>
          <w:tcPr>
            <w:tcW w:w="1134" w:type="dxa"/>
            <w:shd w:val="clear" w:color="auto" w:fill="auto"/>
            <w:noWrap/>
            <w:hideMark/>
          </w:tcPr>
          <w:p w14:paraId="062A4764" w14:textId="0E766C45" w:rsidR="00143D89" w:rsidRPr="001F4507" w:rsidRDefault="00143D89" w:rsidP="001F4507">
            <w:pPr>
              <w:pStyle w:val="TableText"/>
              <w:jc w:val="right"/>
              <w:rPr>
                <w:sz w:val="18"/>
              </w:rPr>
            </w:pPr>
            <w:r w:rsidRPr="001F4507">
              <w:rPr>
                <w:sz w:val="18"/>
              </w:rPr>
              <w:t>41.6</w:t>
            </w:r>
          </w:p>
        </w:tc>
        <w:tc>
          <w:tcPr>
            <w:tcW w:w="1276" w:type="dxa"/>
            <w:shd w:val="clear" w:color="auto" w:fill="auto"/>
            <w:noWrap/>
            <w:hideMark/>
          </w:tcPr>
          <w:p w14:paraId="1F018525" w14:textId="3990C13B" w:rsidR="00143D89" w:rsidRPr="001F4507" w:rsidRDefault="00143D89" w:rsidP="001F4507">
            <w:pPr>
              <w:pStyle w:val="TableText"/>
              <w:jc w:val="right"/>
              <w:rPr>
                <w:sz w:val="18"/>
              </w:rPr>
            </w:pPr>
            <w:r w:rsidRPr="001F4507">
              <w:rPr>
                <w:sz w:val="18"/>
              </w:rPr>
              <w:t>171</w:t>
            </w:r>
          </w:p>
        </w:tc>
        <w:tc>
          <w:tcPr>
            <w:tcW w:w="1134" w:type="dxa"/>
            <w:gridSpan w:val="2"/>
            <w:shd w:val="clear" w:color="auto" w:fill="auto"/>
            <w:noWrap/>
            <w:hideMark/>
          </w:tcPr>
          <w:p w14:paraId="185DB0AA" w14:textId="39776FB5" w:rsidR="00143D89" w:rsidRPr="001F4507" w:rsidRDefault="00143D89" w:rsidP="001F4507">
            <w:pPr>
              <w:pStyle w:val="TableText"/>
              <w:jc w:val="right"/>
              <w:rPr>
                <w:sz w:val="18"/>
              </w:rPr>
            </w:pPr>
            <w:r w:rsidRPr="001F4507">
              <w:rPr>
                <w:sz w:val="18"/>
              </w:rPr>
              <w:t>38.9</w:t>
            </w:r>
          </w:p>
        </w:tc>
        <w:tc>
          <w:tcPr>
            <w:tcW w:w="1134" w:type="dxa"/>
            <w:shd w:val="clear" w:color="auto" w:fill="auto"/>
            <w:noWrap/>
            <w:hideMark/>
          </w:tcPr>
          <w:p w14:paraId="5D4F2387" w14:textId="77777777" w:rsidR="00143D89" w:rsidRPr="001F4507" w:rsidRDefault="00143D89" w:rsidP="001F4507">
            <w:pPr>
              <w:pStyle w:val="TableText"/>
              <w:jc w:val="right"/>
              <w:rPr>
                <w:sz w:val="18"/>
              </w:rPr>
            </w:pPr>
            <w:r w:rsidRPr="001F4507">
              <w:rPr>
                <w:sz w:val="18"/>
              </w:rPr>
              <w:t>2.7</w:t>
            </w:r>
          </w:p>
        </w:tc>
      </w:tr>
      <w:tr w:rsidR="00143D89" w:rsidRPr="003C2A16" w14:paraId="4D1A7E74" w14:textId="77777777" w:rsidTr="001F4507">
        <w:trPr>
          <w:cantSplit/>
          <w:trHeight w:val="283"/>
        </w:trPr>
        <w:tc>
          <w:tcPr>
            <w:tcW w:w="2325" w:type="dxa"/>
            <w:shd w:val="clear" w:color="auto" w:fill="auto"/>
            <w:noWrap/>
            <w:hideMark/>
          </w:tcPr>
          <w:p w14:paraId="2C668BCD" w14:textId="77777777" w:rsidR="00143D89" w:rsidRPr="001F4507" w:rsidRDefault="00143D89" w:rsidP="001F4507">
            <w:pPr>
              <w:pStyle w:val="TableText"/>
              <w:rPr>
                <w:sz w:val="18"/>
              </w:rPr>
            </w:pPr>
            <w:r w:rsidRPr="001F4507">
              <w:rPr>
                <w:sz w:val="18"/>
              </w:rPr>
              <w:t xml:space="preserve">     - within 24 weeks</w:t>
            </w:r>
          </w:p>
        </w:tc>
        <w:tc>
          <w:tcPr>
            <w:tcW w:w="1486" w:type="dxa"/>
            <w:shd w:val="clear" w:color="auto" w:fill="auto"/>
            <w:noWrap/>
            <w:hideMark/>
          </w:tcPr>
          <w:p w14:paraId="750DFECD" w14:textId="032D4DCF" w:rsidR="00143D89" w:rsidRPr="001F4507" w:rsidRDefault="00143D89" w:rsidP="001F4507">
            <w:pPr>
              <w:pStyle w:val="TableText"/>
              <w:jc w:val="right"/>
              <w:rPr>
                <w:sz w:val="18"/>
              </w:rPr>
            </w:pPr>
            <w:r w:rsidRPr="001F4507">
              <w:rPr>
                <w:sz w:val="18"/>
              </w:rPr>
              <w:t>304</w:t>
            </w:r>
          </w:p>
        </w:tc>
        <w:tc>
          <w:tcPr>
            <w:tcW w:w="1134" w:type="dxa"/>
            <w:shd w:val="clear" w:color="auto" w:fill="auto"/>
            <w:noWrap/>
            <w:hideMark/>
          </w:tcPr>
          <w:p w14:paraId="34F4FBAE" w14:textId="5A7B2EC1" w:rsidR="00143D89" w:rsidRPr="001F4507" w:rsidRDefault="00143D89" w:rsidP="001F4507">
            <w:pPr>
              <w:pStyle w:val="TableText"/>
              <w:jc w:val="right"/>
              <w:rPr>
                <w:sz w:val="18"/>
              </w:rPr>
            </w:pPr>
            <w:r w:rsidRPr="001F4507">
              <w:rPr>
                <w:sz w:val="18"/>
              </w:rPr>
              <w:t>60.8</w:t>
            </w:r>
          </w:p>
        </w:tc>
        <w:tc>
          <w:tcPr>
            <w:tcW w:w="1276" w:type="dxa"/>
            <w:shd w:val="clear" w:color="auto" w:fill="auto"/>
            <w:noWrap/>
            <w:hideMark/>
          </w:tcPr>
          <w:p w14:paraId="356809C5" w14:textId="7BDB7F34" w:rsidR="00143D89" w:rsidRPr="001F4507" w:rsidRDefault="00143D89" w:rsidP="001F4507">
            <w:pPr>
              <w:pStyle w:val="TableText"/>
              <w:jc w:val="right"/>
              <w:rPr>
                <w:sz w:val="18"/>
              </w:rPr>
            </w:pPr>
            <w:r w:rsidRPr="001F4507">
              <w:rPr>
                <w:sz w:val="18"/>
              </w:rPr>
              <w:t>306</w:t>
            </w:r>
          </w:p>
        </w:tc>
        <w:tc>
          <w:tcPr>
            <w:tcW w:w="1134" w:type="dxa"/>
            <w:gridSpan w:val="2"/>
            <w:shd w:val="clear" w:color="auto" w:fill="auto"/>
            <w:noWrap/>
            <w:hideMark/>
          </w:tcPr>
          <w:p w14:paraId="734B8FF2" w14:textId="148F23D5" w:rsidR="00143D89" w:rsidRPr="001F4507" w:rsidRDefault="00143D89" w:rsidP="001F4507">
            <w:pPr>
              <w:pStyle w:val="TableText"/>
              <w:jc w:val="right"/>
              <w:rPr>
                <w:sz w:val="18"/>
              </w:rPr>
            </w:pPr>
            <w:r w:rsidRPr="001F4507">
              <w:rPr>
                <w:sz w:val="18"/>
              </w:rPr>
              <w:t>61.5</w:t>
            </w:r>
          </w:p>
        </w:tc>
        <w:tc>
          <w:tcPr>
            <w:tcW w:w="1134" w:type="dxa"/>
            <w:shd w:val="clear" w:color="auto" w:fill="auto"/>
            <w:noWrap/>
            <w:hideMark/>
          </w:tcPr>
          <w:p w14:paraId="34DE3EC3" w14:textId="77777777" w:rsidR="00143D89" w:rsidRPr="001F4507" w:rsidRDefault="00143D89" w:rsidP="001F4507">
            <w:pPr>
              <w:pStyle w:val="TableText"/>
              <w:jc w:val="right"/>
              <w:rPr>
                <w:sz w:val="18"/>
              </w:rPr>
            </w:pPr>
            <w:r w:rsidRPr="001F4507">
              <w:rPr>
                <w:sz w:val="18"/>
              </w:rPr>
              <w:t>-0.7</w:t>
            </w:r>
          </w:p>
        </w:tc>
      </w:tr>
      <w:tr w:rsidR="005862C9" w:rsidRPr="003C2A16" w14:paraId="3ABC94FA" w14:textId="77777777" w:rsidTr="001F4507">
        <w:trPr>
          <w:cantSplit/>
          <w:trHeight w:val="283"/>
        </w:trPr>
        <w:tc>
          <w:tcPr>
            <w:tcW w:w="2325" w:type="dxa"/>
            <w:shd w:val="clear" w:color="auto" w:fill="auto"/>
            <w:noWrap/>
          </w:tcPr>
          <w:p w14:paraId="6466AD31" w14:textId="2369CCC7" w:rsidR="005862C9" w:rsidRPr="001F4507" w:rsidRDefault="005862C9" w:rsidP="005862C9">
            <w:pPr>
              <w:pStyle w:val="TableText"/>
              <w:rPr>
                <w:b/>
                <w:bCs w:val="0"/>
                <w:sz w:val="18"/>
              </w:rPr>
            </w:pPr>
            <w:r w:rsidRPr="001F4507">
              <w:rPr>
                <w:b/>
                <w:bCs w:val="0"/>
                <w:i/>
                <w:iCs/>
                <w:sz w:val="18"/>
              </w:rPr>
              <w:t>Age 30 to 49 years</w:t>
            </w:r>
          </w:p>
        </w:tc>
        <w:tc>
          <w:tcPr>
            <w:tcW w:w="1486" w:type="dxa"/>
            <w:shd w:val="clear" w:color="auto" w:fill="auto"/>
            <w:noWrap/>
          </w:tcPr>
          <w:p w14:paraId="520F2A8F" w14:textId="39042D62" w:rsidR="005862C9" w:rsidRPr="001F4507" w:rsidRDefault="005862C9" w:rsidP="005862C9">
            <w:pPr>
              <w:pStyle w:val="TableText"/>
              <w:jc w:val="right"/>
              <w:rPr>
                <w:sz w:val="18"/>
              </w:rPr>
            </w:pPr>
            <w:r w:rsidRPr="001F4507">
              <w:rPr>
                <w:color w:val="FFFFFF" w:themeColor="background1"/>
                <w:sz w:val="18"/>
              </w:rPr>
              <w:t>—</w:t>
            </w:r>
          </w:p>
        </w:tc>
        <w:tc>
          <w:tcPr>
            <w:tcW w:w="1134" w:type="dxa"/>
            <w:shd w:val="clear" w:color="auto" w:fill="auto"/>
            <w:noWrap/>
          </w:tcPr>
          <w:p w14:paraId="2AE09029" w14:textId="704DE74F" w:rsidR="005862C9" w:rsidRPr="001F4507" w:rsidRDefault="005862C9" w:rsidP="005862C9">
            <w:pPr>
              <w:pStyle w:val="TableText"/>
              <w:jc w:val="right"/>
              <w:rPr>
                <w:sz w:val="18"/>
              </w:rPr>
            </w:pPr>
            <w:r w:rsidRPr="001F4507">
              <w:rPr>
                <w:color w:val="FFFFFF" w:themeColor="background1"/>
                <w:sz w:val="18"/>
              </w:rPr>
              <w:t>—</w:t>
            </w:r>
          </w:p>
        </w:tc>
        <w:tc>
          <w:tcPr>
            <w:tcW w:w="1276" w:type="dxa"/>
            <w:shd w:val="clear" w:color="auto" w:fill="auto"/>
            <w:noWrap/>
          </w:tcPr>
          <w:p w14:paraId="04073111" w14:textId="77AFB250" w:rsidR="005862C9" w:rsidRPr="001F4507" w:rsidRDefault="005862C9" w:rsidP="005862C9">
            <w:pPr>
              <w:pStyle w:val="TableText"/>
              <w:jc w:val="right"/>
              <w:rPr>
                <w:sz w:val="18"/>
              </w:rPr>
            </w:pPr>
            <w:r w:rsidRPr="001F4507">
              <w:rPr>
                <w:color w:val="FFFFFF" w:themeColor="background1"/>
                <w:sz w:val="18"/>
              </w:rPr>
              <w:t>—</w:t>
            </w:r>
          </w:p>
        </w:tc>
        <w:tc>
          <w:tcPr>
            <w:tcW w:w="1134" w:type="dxa"/>
            <w:gridSpan w:val="2"/>
            <w:shd w:val="clear" w:color="auto" w:fill="auto"/>
            <w:noWrap/>
          </w:tcPr>
          <w:p w14:paraId="22F2072F" w14:textId="2A58A791" w:rsidR="005862C9" w:rsidRPr="001F4507" w:rsidRDefault="005862C9" w:rsidP="005862C9">
            <w:pPr>
              <w:pStyle w:val="TableText"/>
              <w:jc w:val="right"/>
              <w:rPr>
                <w:sz w:val="18"/>
              </w:rPr>
            </w:pPr>
            <w:r w:rsidRPr="001F4507">
              <w:rPr>
                <w:color w:val="FFFFFF" w:themeColor="background1"/>
                <w:sz w:val="18"/>
              </w:rPr>
              <w:t>—</w:t>
            </w:r>
          </w:p>
        </w:tc>
        <w:tc>
          <w:tcPr>
            <w:tcW w:w="1134" w:type="dxa"/>
            <w:shd w:val="clear" w:color="auto" w:fill="auto"/>
            <w:noWrap/>
          </w:tcPr>
          <w:p w14:paraId="3A0A5DC8" w14:textId="26212CEF" w:rsidR="005862C9" w:rsidRPr="001F4507" w:rsidRDefault="005862C9" w:rsidP="005862C9">
            <w:pPr>
              <w:pStyle w:val="TableText"/>
              <w:jc w:val="right"/>
              <w:rPr>
                <w:sz w:val="18"/>
              </w:rPr>
            </w:pPr>
            <w:r w:rsidRPr="001F4507">
              <w:rPr>
                <w:color w:val="FFFFFF" w:themeColor="background1"/>
                <w:sz w:val="18"/>
              </w:rPr>
              <w:t>—</w:t>
            </w:r>
          </w:p>
        </w:tc>
      </w:tr>
      <w:tr w:rsidR="00143D89" w:rsidRPr="003C2A16" w14:paraId="1354DB4F" w14:textId="77777777" w:rsidTr="001F4507">
        <w:trPr>
          <w:cantSplit/>
          <w:trHeight w:val="283"/>
        </w:trPr>
        <w:tc>
          <w:tcPr>
            <w:tcW w:w="2325" w:type="dxa"/>
            <w:shd w:val="clear" w:color="auto" w:fill="auto"/>
            <w:noWrap/>
            <w:hideMark/>
          </w:tcPr>
          <w:p w14:paraId="77CDFA97" w14:textId="77777777" w:rsidR="00143D89" w:rsidRPr="001F4507" w:rsidRDefault="00143D89" w:rsidP="001F4507">
            <w:pPr>
              <w:pStyle w:val="TableText"/>
              <w:rPr>
                <w:sz w:val="18"/>
              </w:rPr>
            </w:pPr>
            <w:r w:rsidRPr="001F4507">
              <w:rPr>
                <w:sz w:val="18"/>
              </w:rPr>
              <w:t xml:space="preserve">     - within 4 weeks</w:t>
            </w:r>
          </w:p>
        </w:tc>
        <w:tc>
          <w:tcPr>
            <w:tcW w:w="1486" w:type="dxa"/>
            <w:shd w:val="clear" w:color="auto" w:fill="auto"/>
            <w:noWrap/>
            <w:hideMark/>
          </w:tcPr>
          <w:p w14:paraId="34136C9D" w14:textId="525E546E" w:rsidR="00143D89" w:rsidRPr="001F4507" w:rsidRDefault="00143D89" w:rsidP="001F4507">
            <w:pPr>
              <w:pStyle w:val="TableText"/>
              <w:jc w:val="right"/>
              <w:rPr>
                <w:sz w:val="18"/>
              </w:rPr>
            </w:pPr>
            <w:r w:rsidRPr="001F4507">
              <w:rPr>
                <w:sz w:val="18"/>
              </w:rPr>
              <w:t>138</w:t>
            </w:r>
          </w:p>
        </w:tc>
        <w:tc>
          <w:tcPr>
            <w:tcW w:w="1134" w:type="dxa"/>
            <w:shd w:val="clear" w:color="auto" w:fill="auto"/>
            <w:noWrap/>
            <w:hideMark/>
          </w:tcPr>
          <w:p w14:paraId="683AA351" w14:textId="77777777" w:rsidR="00143D89" w:rsidRPr="001F4507" w:rsidRDefault="00143D89" w:rsidP="001F4507">
            <w:pPr>
              <w:pStyle w:val="TableText"/>
              <w:jc w:val="right"/>
              <w:rPr>
                <w:sz w:val="18"/>
              </w:rPr>
            </w:pPr>
            <w:r w:rsidRPr="001F4507">
              <w:rPr>
                <w:sz w:val="18"/>
              </w:rPr>
              <w:t xml:space="preserve">11.3 </w:t>
            </w:r>
          </w:p>
        </w:tc>
        <w:tc>
          <w:tcPr>
            <w:tcW w:w="1276" w:type="dxa"/>
            <w:shd w:val="clear" w:color="auto" w:fill="auto"/>
            <w:noWrap/>
            <w:hideMark/>
          </w:tcPr>
          <w:p w14:paraId="2C9843ED" w14:textId="77777777" w:rsidR="00143D89" w:rsidRPr="001F4507" w:rsidRDefault="00143D89" w:rsidP="001F4507">
            <w:pPr>
              <w:pStyle w:val="TableText"/>
              <w:jc w:val="right"/>
              <w:rPr>
                <w:sz w:val="18"/>
              </w:rPr>
            </w:pPr>
            <w:r w:rsidRPr="001F4507">
              <w:rPr>
                <w:sz w:val="18"/>
              </w:rPr>
              <w:t xml:space="preserve">115 </w:t>
            </w:r>
          </w:p>
        </w:tc>
        <w:tc>
          <w:tcPr>
            <w:tcW w:w="1134" w:type="dxa"/>
            <w:gridSpan w:val="2"/>
            <w:shd w:val="clear" w:color="auto" w:fill="auto"/>
            <w:noWrap/>
            <w:hideMark/>
          </w:tcPr>
          <w:p w14:paraId="6872AB58" w14:textId="77777777" w:rsidR="00143D89" w:rsidRPr="001F4507" w:rsidRDefault="00143D89" w:rsidP="001F4507">
            <w:pPr>
              <w:pStyle w:val="TableText"/>
              <w:jc w:val="right"/>
              <w:rPr>
                <w:sz w:val="18"/>
              </w:rPr>
            </w:pPr>
            <w:r w:rsidRPr="001F4507">
              <w:rPr>
                <w:sz w:val="18"/>
              </w:rPr>
              <w:t xml:space="preserve">  9.4 </w:t>
            </w:r>
          </w:p>
        </w:tc>
        <w:tc>
          <w:tcPr>
            <w:tcW w:w="1134" w:type="dxa"/>
            <w:shd w:val="clear" w:color="auto" w:fill="auto"/>
            <w:noWrap/>
            <w:hideMark/>
          </w:tcPr>
          <w:p w14:paraId="12243D6B" w14:textId="77777777" w:rsidR="00143D89" w:rsidRPr="001F4507" w:rsidRDefault="00143D89" w:rsidP="001F4507">
            <w:pPr>
              <w:pStyle w:val="TableText"/>
              <w:jc w:val="right"/>
              <w:rPr>
                <w:sz w:val="18"/>
              </w:rPr>
            </w:pPr>
            <w:r w:rsidRPr="001F4507">
              <w:rPr>
                <w:sz w:val="18"/>
              </w:rPr>
              <w:t>1.9</w:t>
            </w:r>
          </w:p>
        </w:tc>
      </w:tr>
      <w:tr w:rsidR="00143D89" w:rsidRPr="003C2A16" w14:paraId="45F8F103" w14:textId="77777777" w:rsidTr="001F4507">
        <w:trPr>
          <w:cantSplit/>
          <w:trHeight w:val="283"/>
        </w:trPr>
        <w:tc>
          <w:tcPr>
            <w:tcW w:w="2325" w:type="dxa"/>
            <w:shd w:val="clear" w:color="auto" w:fill="auto"/>
            <w:noWrap/>
            <w:hideMark/>
          </w:tcPr>
          <w:p w14:paraId="396E2A56" w14:textId="77777777" w:rsidR="00143D89" w:rsidRPr="001F4507" w:rsidRDefault="00143D89" w:rsidP="001F4507">
            <w:pPr>
              <w:pStyle w:val="TableText"/>
              <w:rPr>
                <w:sz w:val="18"/>
              </w:rPr>
            </w:pPr>
            <w:r w:rsidRPr="001F4507">
              <w:rPr>
                <w:sz w:val="18"/>
              </w:rPr>
              <w:t xml:space="preserve">     - within 12 weeks</w:t>
            </w:r>
          </w:p>
        </w:tc>
        <w:tc>
          <w:tcPr>
            <w:tcW w:w="1486" w:type="dxa"/>
            <w:shd w:val="clear" w:color="auto" w:fill="auto"/>
            <w:noWrap/>
            <w:hideMark/>
          </w:tcPr>
          <w:p w14:paraId="525AE767" w14:textId="07D9E6B1" w:rsidR="00143D89" w:rsidRPr="001F4507" w:rsidRDefault="00143D89" w:rsidP="001F4507">
            <w:pPr>
              <w:pStyle w:val="TableText"/>
              <w:jc w:val="right"/>
              <w:rPr>
                <w:sz w:val="18"/>
              </w:rPr>
            </w:pPr>
            <w:r w:rsidRPr="001F4507">
              <w:rPr>
                <w:sz w:val="18"/>
              </w:rPr>
              <w:t>340</w:t>
            </w:r>
          </w:p>
        </w:tc>
        <w:tc>
          <w:tcPr>
            <w:tcW w:w="1134" w:type="dxa"/>
            <w:shd w:val="clear" w:color="auto" w:fill="auto"/>
            <w:noWrap/>
            <w:hideMark/>
          </w:tcPr>
          <w:p w14:paraId="046C432C" w14:textId="77777777" w:rsidR="00143D89" w:rsidRPr="001F4507" w:rsidRDefault="00143D89" w:rsidP="001F4507">
            <w:pPr>
              <w:pStyle w:val="TableText"/>
              <w:jc w:val="right"/>
              <w:rPr>
                <w:sz w:val="18"/>
              </w:rPr>
            </w:pPr>
            <w:r w:rsidRPr="001F4507">
              <w:rPr>
                <w:sz w:val="18"/>
              </w:rPr>
              <w:t xml:space="preserve">36.1 </w:t>
            </w:r>
          </w:p>
        </w:tc>
        <w:tc>
          <w:tcPr>
            <w:tcW w:w="1276" w:type="dxa"/>
            <w:shd w:val="clear" w:color="auto" w:fill="auto"/>
            <w:noWrap/>
            <w:hideMark/>
          </w:tcPr>
          <w:p w14:paraId="48599FEA" w14:textId="77777777" w:rsidR="00143D89" w:rsidRPr="001F4507" w:rsidRDefault="00143D89" w:rsidP="001F4507">
            <w:pPr>
              <w:pStyle w:val="TableText"/>
              <w:jc w:val="right"/>
              <w:rPr>
                <w:sz w:val="18"/>
              </w:rPr>
            </w:pPr>
            <w:r w:rsidRPr="001F4507">
              <w:rPr>
                <w:sz w:val="18"/>
              </w:rPr>
              <w:t xml:space="preserve">319 </w:t>
            </w:r>
          </w:p>
        </w:tc>
        <w:tc>
          <w:tcPr>
            <w:tcW w:w="1134" w:type="dxa"/>
            <w:gridSpan w:val="2"/>
            <w:shd w:val="clear" w:color="auto" w:fill="auto"/>
            <w:noWrap/>
            <w:hideMark/>
          </w:tcPr>
          <w:p w14:paraId="31589EF0" w14:textId="77777777" w:rsidR="00143D89" w:rsidRPr="001F4507" w:rsidRDefault="00143D89" w:rsidP="001F4507">
            <w:pPr>
              <w:pStyle w:val="TableText"/>
              <w:jc w:val="right"/>
              <w:rPr>
                <w:sz w:val="18"/>
              </w:rPr>
            </w:pPr>
            <w:r w:rsidRPr="001F4507">
              <w:rPr>
                <w:sz w:val="18"/>
              </w:rPr>
              <w:t xml:space="preserve">33.8 </w:t>
            </w:r>
          </w:p>
        </w:tc>
        <w:tc>
          <w:tcPr>
            <w:tcW w:w="1134" w:type="dxa"/>
            <w:shd w:val="clear" w:color="auto" w:fill="auto"/>
            <w:noWrap/>
            <w:hideMark/>
          </w:tcPr>
          <w:p w14:paraId="2FD6293E" w14:textId="77777777" w:rsidR="00143D89" w:rsidRPr="001F4507" w:rsidRDefault="00143D89" w:rsidP="001F4507">
            <w:pPr>
              <w:pStyle w:val="TableText"/>
              <w:jc w:val="right"/>
              <w:rPr>
                <w:sz w:val="18"/>
              </w:rPr>
            </w:pPr>
            <w:r w:rsidRPr="001F4507">
              <w:rPr>
                <w:sz w:val="18"/>
              </w:rPr>
              <w:t>2.3</w:t>
            </w:r>
          </w:p>
        </w:tc>
      </w:tr>
      <w:tr w:rsidR="00143D89" w:rsidRPr="003C2A16" w14:paraId="3D276D3B" w14:textId="77777777" w:rsidTr="001F4507">
        <w:trPr>
          <w:cantSplit/>
          <w:trHeight w:val="283"/>
        </w:trPr>
        <w:tc>
          <w:tcPr>
            <w:tcW w:w="2325" w:type="dxa"/>
            <w:shd w:val="clear" w:color="auto" w:fill="auto"/>
            <w:noWrap/>
            <w:hideMark/>
          </w:tcPr>
          <w:p w14:paraId="7A42D07C" w14:textId="77777777" w:rsidR="00143D89" w:rsidRPr="001F4507" w:rsidRDefault="00143D89" w:rsidP="001F4507">
            <w:pPr>
              <w:pStyle w:val="TableText"/>
              <w:rPr>
                <w:sz w:val="18"/>
              </w:rPr>
            </w:pPr>
            <w:r w:rsidRPr="001F4507">
              <w:rPr>
                <w:sz w:val="18"/>
              </w:rPr>
              <w:t xml:space="preserve">     - within 24 weeks</w:t>
            </w:r>
          </w:p>
        </w:tc>
        <w:tc>
          <w:tcPr>
            <w:tcW w:w="1486" w:type="dxa"/>
            <w:shd w:val="clear" w:color="auto" w:fill="auto"/>
            <w:noWrap/>
            <w:hideMark/>
          </w:tcPr>
          <w:p w14:paraId="7045216D" w14:textId="4D73C8E6" w:rsidR="00143D89" w:rsidRPr="001F4507" w:rsidRDefault="00143D89" w:rsidP="001F4507">
            <w:pPr>
              <w:pStyle w:val="TableText"/>
              <w:jc w:val="right"/>
              <w:rPr>
                <w:sz w:val="18"/>
              </w:rPr>
            </w:pPr>
            <w:r w:rsidRPr="001F4507">
              <w:rPr>
                <w:sz w:val="18"/>
              </w:rPr>
              <w:t>340</w:t>
            </w:r>
          </w:p>
        </w:tc>
        <w:tc>
          <w:tcPr>
            <w:tcW w:w="1134" w:type="dxa"/>
            <w:shd w:val="clear" w:color="auto" w:fill="auto"/>
            <w:noWrap/>
            <w:hideMark/>
          </w:tcPr>
          <w:p w14:paraId="27204085" w14:textId="77777777" w:rsidR="00143D89" w:rsidRPr="001F4507" w:rsidRDefault="00143D89" w:rsidP="001F4507">
            <w:pPr>
              <w:pStyle w:val="TableText"/>
              <w:jc w:val="right"/>
              <w:rPr>
                <w:sz w:val="18"/>
              </w:rPr>
            </w:pPr>
            <w:r w:rsidRPr="001F4507">
              <w:rPr>
                <w:sz w:val="18"/>
              </w:rPr>
              <w:t xml:space="preserve">57.3 </w:t>
            </w:r>
          </w:p>
        </w:tc>
        <w:tc>
          <w:tcPr>
            <w:tcW w:w="1276" w:type="dxa"/>
            <w:shd w:val="clear" w:color="auto" w:fill="auto"/>
            <w:noWrap/>
            <w:hideMark/>
          </w:tcPr>
          <w:p w14:paraId="1B57F3C7" w14:textId="77777777" w:rsidR="00143D89" w:rsidRPr="001F4507" w:rsidRDefault="00143D89" w:rsidP="001F4507">
            <w:pPr>
              <w:pStyle w:val="TableText"/>
              <w:jc w:val="right"/>
              <w:rPr>
                <w:sz w:val="18"/>
              </w:rPr>
            </w:pPr>
            <w:r w:rsidRPr="001F4507">
              <w:rPr>
                <w:sz w:val="18"/>
              </w:rPr>
              <w:t xml:space="preserve">331 </w:t>
            </w:r>
          </w:p>
        </w:tc>
        <w:tc>
          <w:tcPr>
            <w:tcW w:w="1134" w:type="dxa"/>
            <w:gridSpan w:val="2"/>
            <w:shd w:val="clear" w:color="auto" w:fill="auto"/>
            <w:noWrap/>
            <w:hideMark/>
          </w:tcPr>
          <w:p w14:paraId="182FDB62" w14:textId="77777777" w:rsidR="00143D89" w:rsidRPr="001F4507" w:rsidRDefault="00143D89" w:rsidP="001F4507">
            <w:pPr>
              <w:pStyle w:val="TableText"/>
              <w:jc w:val="right"/>
              <w:rPr>
                <w:sz w:val="18"/>
              </w:rPr>
            </w:pPr>
            <w:r w:rsidRPr="001F4507">
              <w:rPr>
                <w:sz w:val="18"/>
              </w:rPr>
              <w:t xml:space="preserve">55.7 </w:t>
            </w:r>
          </w:p>
        </w:tc>
        <w:tc>
          <w:tcPr>
            <w:tcW w:w="1134" w:type="dxa"/>
            <w:shd w:val="clear" w:color="auto" w:fill="auto"/>
            <w:noWrap/>
            <w:hideMark/>
          </w:tcPr>
          <w:p w14:paraId="7EFFFA04" w14:textId="77777777" w:rsidR="00143D89" w:rsidRPr="001F4507" w:rsidRDefault="00143D89" w:rsidP="001F4507">
            <w:pPr>
              <w:pStyle w:val="TableText"/>
              <w:jc w:val="right"/>
              <w:rPr>
                <w:sz w:val="18"/>
              </w:rPr>
            </w:pPr>
            <w:r w:rsidRPr="001F4507">
              <w:rPr>
                <w:sz w:val="18"/>
              </w:rPr>
              <w:t>1.6</w:t>
            </w:r>
          </w:p>
        </w:tc>
      </w:tr>
      <w:tr w:rsidR="005862C9" w:rsidRPr="003C2A16" w14:paraId="6CB0E971" w14:textId="77777777" w:rsidTr="001F4507">
        <w:trPr>
          <w:cantSplit/>
          <w:trHeight w:val="283"/>
        </w:trPr>
        <w:tc>
          <w:tcPr>
            <w:tcW w:w="2325" w:type="dxa"/>
            <w:shd w:val="clear" w:color="auto" w:fill="auto"/>
            <w:noWrap/>
            <w:hideMark/>
          </w:tcPr>
          <w:p w14:paraId="2C963AFD" w14:textId="6DEF0D06" w:rsidR="005862C9" w:rsidRPr="001F4507" w:rsidRDefault="005862C9" w:rsidP="001F4507">
            <w:pPr>
              <w:pStyle w:val="TableText"/>
              <w:rPr>
                <w:b/>
                <w:i/>
                <w:iCs/>
                <w:sz w:val="18"/>
              </w:rPr>
            </w:pPr>
            <w:r w:rsidRPr="001F4507">
              <w:rPr>
                <w:b/>
                <w:bCs w:val="0"/>
                <w:i/>
                <w:iCs/>
                <w:sz w:val="18"/>
              </w:rPr>
              <w:t>Age 50 years and over</w:t>
            </w:r>
          </w:p>
        </w:tc>
        <w:tc>
          <w:tcPr>
            <w:tcW w:w="1486" w:type="dxa"/>
            <w:shd w:val="clear" w:color="auto" w:fill="auto"/>
            <w:noWrap/>
            <w:hideMark/>
          </w:tcPr>
          <w:p w14:paraId="1A61CB7D" w14:textId="2064E411" w:rsidR="005862C9" w:rsidRPr="001F4507" w:rsidRDefault="005862C9" w:rsidP="001F4507">
            <w:pPr>
              <w:pStyle w:val="TableText"/>
              <w:rPr>
                <w:i/>
                <w:iCs/>
                <w:sz w:val="18"/>
              </w:rPr>
            </w:pPr>
            <w:r w:rsidRPr="001F4507">
              <w:rPr>
                <w:color w:val="FFFFFF" w:themeColor="background1"/>
                <w:sz w:val="18"/>
              </w:rPr>
              <w:t>—</w:t>
            </w:r>
          </w:p>
        </w:tc>
        <w:tc>
          <w:tcPr>
            <w:tcW w:w="1134" w:type="dxa"/>
            <w:shd w:val="clear" w:color="auto" w:fill="auto"/>
            <w:noWrap/>
            <w:hideMark/>
          </w:tcPr>
          <w:p w14:paraId="34C82A24" w14:textId="598E179F"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276" w:type="dxa"/>
            <w:shd w:val="clear" w:color="auto" w:fill="auto"/>
            <w:noWrap/>
            <w:hideMark/>
          </w:tcPr>
          <w:p w14:paraId="7E057599" w14:textId="3B2D187C"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134" w:type="dxa"/>
            <w:gridSpan w:val="2"/>
            <w:shd w:val="clear" w:color="auto" w:fill="auto"/>
            <w:noWrap/>
            <w:hideMark/>
          </w:tcPr>
          <w:p w14:paraId="327D7C93" w14:textId="4C113233"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134" w:type="dxa"/>
            <w:shd w:val="clear" w:color="auto" w:fill="auto"/>
            <w:noWrap/>
            <w:hideMark/>
          </w:tcPr>
          <w:p w14:paraId="1320CEF9" w14:textId="06D3877C" w:rsidR="005862C9" w:rsidRPr="001F4507" w:rsidRDefault="005862C9" w:rsidP="001F4507">
            <w:pPr>
              <w:pStyle w:val="TableText"/>
              <w:rPr>
                <w:sz w:val="18"/>
              </w:rPr>
            </w:pPr>
            <w:r w:rsidRPr="001F4507">
              <w:rPr>
                <w:color w:val="FFFFFF" w:themeColor="background1"/>
                <w:sz w:val="18"/>
              </w:rPr>
              <w:t>—</w:t>
            </w:r>
          </w:p>
        </w:tc>
      </w:tr>
      <w:tr w:rsidR="00143D89" w:rsidRPr="003C2A16" w14:paraId="104BA4BF" w14:textId="77777777" w:rsidTr="001F4507">
        <w:trPr>
          <w:cantSplit/>
          <w:trHeight w:val="283"/>
        </w:trPr>
        <w:tc>
          <w:tcPr>
            <w:tcW w:w="2325" w:type="dxa"/>
            <w:shd w:val="clear" w:color="auto" w:fill="auto"/>
            <w:noWrap/>
            <w:hideMark/>
          </w:tcPr>
          <w:p w14:paraId="59F87CB9" w14:textId="77777777" w:rsidR="00143D89" w:rsidRPr="001F4507" w:rsidRDefault="00143D89" w:rsidP="001F4507">
            <w:pPr>
              <w:pStyle w:val="TableText"/>
              <w:rPr>
                <w:sz w:val="18"/>
              </w:rPr>
            </w:pPr>
            <w:r w:rsidRPr="001F4507">
              <w:rPr>
                <w:sz w:val="18"/>
              </w:rPr>
              <w:t xml:space="preserve">     - within 4 weeks</w:t>
            </w:r>
          </w:p>
        </w:tc>
        <w:tc>
          <w:tcPr>
            <w:tcW w:w="1486" w:type="dxa"/>
            <w:shd w:val="clear" w:color="auto" w:fill="auto"/>
            <w:noWrap/>
            <w:hideMark/>
          </w:tcPr>
          <w:p w14:paraId="2CD5BBF8" w14:textId="7C014D86" w:rsidR="00143D89" w:rsidRPr="001F4507" w:rsidRDefault="00143D89" w:rsidP="001F4507">
            <w:pPr>
              <w:pStyle w:val="TableText"/>
              <w:jc w:val="right"/>
              <w:rPr>
                <w:sz w:val="18"/>
              </w:rPr>
            </w:pPr>
            <w:r w:rsidRPr="001F4507">
              <w:rPr>
                <w:sz w:val="18"/>
              </w:rPr>
              <w:t xml:space="preserve">64 </w:t>
            </w:r>
          </w:p>
        </w:tc>
        <w:tc>
          <w:tcPr>
            <w:tcW w:w="1134" w:type="dxa"/>
            <w:shd w:val="clear" w:color="auto" w:fill="auto"/>
            <w:noWrap/>
            <w:hideMark/>
          </w:tcPr>
          <w:p w14:paraId="1E98EF1D" w14:textId="77777777" w:rsidR="00143D89" w:rsidRPr="001F4507" w:rsidRDefault="00143D89" w:rsidP="001F4507">
            <w:pPr>
              <w:pStyle w:val="TableText"/>
              <w:jc w:val="right"/>
              <w:rPr>
                <w:sz w:val="18"/>
              </w:rPr>
            </w:pPr>
            <w:r w:rsidRPr="001F4507">
              <w:rPr>
                <w:sz w:val="18"/>
              </w:rPr>
              <w:t xml:space="preserve">11.4 </w:t>
            </w:r>
          </w:p>
        </w:tc>
        <w:tc>
          <w:tcPr>
            <w:tcW w:w="1276" w:type="dxa"/>
            <w:shd w:val="clear" w:color="auto" w:fill="auto"/>
            <w:noWrap/>
            <w:hideMark/>
          </w:tcPr>
          <w:p w14:paraId="6C19F317" w14:textId="590817B2" w:rsidR="00143D89" w:rsidRPr="001F4507" w:rsidRDefault="00143D89" w:rsidP="001F4507">
            <w:pPr>
              <w:pStyle w:val="TableText"/>
              <w:jc w:val="right"/>
              <w:rPr>
                <w:sz w:val="18"/>
              </w:rPr>
            </w:pPr>
            <w:r w:rsidRPr="001F4507">
              <w:rPr>
                <w:sz w:val="18"/>
              </w:rPr>
              <w:t xml:space="preserve"> 44 </w:t>
            </w:r>
          </w:p>
        </w:tc>
        <w:tc>
          <w:tcPr>
            <w:tcW w:w="1134" w:type="dxa"/>
            <w:gridSpan w:val="2"/>
            <w:shd w:val="clear" w:color="auto" w:fill="auto"/>
            <w:noWrap/>
            <w:hideMark/>
          </w:tcPr>
          <w:p w14:paraId="3A8FA51A" w14:textId="77777777" w:rsidR="00143D89" w:rsidRPr="001F4507" w:rsidRDefault="00143D89" w:rsidP="001F4507">
            <w:pPr>
              <w:pStyle w:val="TableText"/>
              <w:jc w:val="right"/>
              <w:rPr>
                <w:sz w:val="18"/>
              </w:rPr>
            </w:pPr>
            <w:r w:rsidRPr="001F4507">
              <w:rPr>
                <w:sz w:val="18"/>
              </w:rPr>
              <w:t xml:space="preserve">  8.0 </w:t>
            </w:r>
          </w:p>
        </w:tc>
        <w:tc>
          <w:tcPr>
            <w:tcW w:w="1134" w:type="dxa"/>
            <w:shd w:val="clear" w:color="auto" w:fill="auto"/>
            <w:noWrap/>
            <w:hideMark/>
          </w:tcPr>
          <w:p w14:paraId="33BDB814" w14:textId="77777777" w:rsidR="00143D89" w:rsidRPr="001F4507" w:rsidRDefault="00143D89" w:rsidP="001F4507">
            <w:pPr>
              <w:pStyle w:val="TableText"/>
              <w:jc w:val="right"/>
              <w:rPr>
                <w:sz w:val="18"/>
              </w:rPr>
            </w:pPr>
            <w:r w:rsidRPr="001F4507">
              <w:rPr>
                <w:sz w:val="18"/>
              </w:rPr>
              <w:t>3.4</w:t>
            </w:r>
          </w:p>
        </w:tc>
      </w:tr>
      <w:tr w:rsidR="00143D89" w:rsidRPr="003C2A16" w14:paraId="0B329550" w14:textId="77777777" w:rsidTr="001F4507">
        <w:trPr>
          <w:cantSplit/>
          <w:trHeight w:val="283"/>
        </w:trPr>
        <w:tc>
          <w:tcPr>
            <w:tcW w:w="2325" w:type="dxa"/>
            <w:shd w:val="clear" w:color="auto" w:fill="auto"/>
            <w:noWrap/>
            <w:hideMark/>
          </w:tcPr>
          <w:p w14:paraId="40FBDFD2" w14:textId="77777777" w:rsidR="00143D89" w:rsidRPr="001F4507" w:rsidRDefault="00143D89" w:rsidP="001F4507">
            <w:pPr>
              <w:pStyle w:val="TableText"/>
              <w:rPr>
                <w:sz w:val="18"/>
              </w:rPr>
            </w:pPr>
            <w:r w:rsidRPr="001F4507">
              <w:rPr>
                <w:sz w:val="18"/>
              </w:rPr>
              <w:t xml:space="preserve">     - within 12 weeks</w:t>
            </w:r>
          </w:p>
        </w:tc>
        <w:tc>
          <w:tcPr>
            <w:tcW w:w="1486" w:type="dxa"/>
            <w:shd w:val="clear" w:color="auto" w:fill="auto"/>
            <w:noWrap/>
            <w:hideMark/>
          </w:tcPr>
          <w:p w14:paraId="19C64A1E" w14:textId="77777777" w:rsidR="00143D89" w:rsidRPr="001F4507" w:rsidRDefault="00143D89" w:rsidP="001F4507">
            <w:pPr>
              <w:pStyle w:val="TableText"/>
              <w:jc w:val="right"/>
              <w:rPr>
                <w:sz w:val="18"/>
              </w:rPr>
            </w:pPr>
            <w:r w:rsidRPr="001F4507">
              <w:rPr>
                <w:sz w:val="18"/>
              </w:rPr>
              <w:t xml:space="preserve">134 </w:t>
            </w:r>
          </w:p>
        </w:tc>
        <w:tc>
          <w:tcPr>
            <w:tcW w:w="1134" w:type="dxa"/>
            <w:shd w:val="clear" w:color="auto" w:fill="auto"/>
            <w:noWrap/>
            <w:hideMark/>
          </w:tcPr>
          <w:p w14:paraId="671617AB" w14:textId="77777777" w:rsidR="00143D89" w:rsidRPr="001F4507" w:rsidRDefault="00143D89" w:rsidP="001F4507">
            <w:pPr>
              <w:pStyle w:val="TableText"/>
              <w:jc w:val="right"/>
              <w:rPr>
                <w:sz w:val="18"/>
              </w:rPr>
            </w:pPr>
            <w:r w:rsidRPr="001F4507">
              <w:rPr>
                <w:sz w:val="18"/>
              </w:rPr>
              <w:t xml:space="preserve">31.7 </w:t>
            </w:r>
          </w:p>
        </w:tc>
        <w:tc>
          <w:tcPr>
            <w:tcW w:w="1276" w:type="dxa"/>
            <w:shd w:val="clear" w:color="auto" w:fill="auto"/>
            <w:noWrap/>
            <w:hideMark/>
          </w:tcPr>
          <w:p w14:paraId="5596F2DB" w14:textId="77777777" w:rsidR="00143D89" w:rsidRPr="001F4507" w:rsidRDefault="00143D89" w:rsidP="001F4507">
            <w:pPr>
              <w:pStyle w:val="TableText"/>
              <w:jc w:val="right"/>
              <w:rPr>
                <w:sz w:val="18"/>
              </w:rPr>
            </w:pPr>
            <w:r w:rsidRPr="001F4507">
              <w:rPr>
                <w:sz w:val="18"/>
              </w:rPr>
              <w:t xml:space="preserve">102 </w:t>
            </w:r>
          </w:p>
        </w:tc>
        <w:tc>
          <w:tcPr>
            <w:tcW w:w="1134" w:type="dxa"/>
            <w:gridSpan w:val="2"/>
            <w:shd w:val="clear" w:color="auto" w:fill="auto"/>
            <w:noWrap/>
            <w:hideMark/>
          </w:tcPr>
          <w:p w14:paraId="1AEF9F71" w14:textId="77777777" w:rsidR="00143D89" w:rsidRPr="001F4507" w:rsidRDefault="00143D89" w:rsidP="001F4507">
            <w:pPr>
              <w:pStyle w:val="TableText"/>
              <w:jc w:val="right"/>
              <w:rPr>
                <w:sz w:val="18"/>
              </w:rPr>
            </w:pPr>
            <w:r w:rsidRPr="001F4507">
              <w:rPr>
                <w:sz w:val="18"/>
              </w:rPr>
              <w:t xml:space="preserve">24.1 </w:t>
            </w:r>
          </w:p>
        </w:tc>
        <w:tc>
          <w:tcPr>
            <w:tcW w:w="1134" w:type="dxa"/>
            <w:shd w:val="clear" w:color="auto" w:fill="auto"/>
            <w:noWrap/>
            <w:hideMark/>
          </w:tcPr>
          <w:p w14:paraId="75C46A65" w14:textId="77777777" w:rsidR="00143D89" w:rsidRPr="001F4507" w:rsidRDefault="00143D89" w:rsidP="001F4507">
            <w:pPr>
              <w:pStyle w:val="TableText"/>
              <w:jc w:val="right"/>
              <w:rPr>
                <w:sz w:val="18"/>
              </w:rPr>
            </w:pPr>
            <w:r w:rsidRPr="001F4507">
              <w:rPr>
                <w:sz w:val="18"/>
              </w:rPr>
              <w:t>7.6*</w:t>
            </w:r>
          </w:p>
        </w:tc>
      </w:tr>
      <w:tr w:rsidR="00143D89" w:rsidRPr="003C2A16" w14:paraId="071EEF8C" w14:textId="77777777" w:rsidTr="001F4507">
        <w:trPr>
          <w:cantSplit/>
          <w:trHeight w:val="283"/>
        </w:trPr>
        <w:tc>
          <w:tcPr>
            <w:tcW w:w="2325" w:type="dxa"/>
            <w:shd w:val="clear" w:color="auto" w:fill="auto"/>
            <w:noWrap/>
            <w:hideMark/>
          </w:tcPr>
          <w:p w14:paraId="2E96D1D7" w14:textId="77777777" w:rsidR="00143D89" w:rsidRPr="001F4507" w:rsidRDefault="00143D89" w:rsidP="001F4507">
            <w:pPr>
              <w:pStyle w:val="TableText"/>
              <w:rPr>
                <w:sz w:val="18"/>
              </w:rPr>
            </w:pPr>
            <w:r w:rsidRPr="001F4507">
              <w:rPr>
                <w:sz w:val="18"/>
              </w:rPr>
              <w:t xml:space="preserve">     - within 24 weeks</w:t>
            </w:r>
          </w:p>
        </w:tc>
        <w:tc>
          <w:tcPr>
            <w:tcW w:w="1486" w:type="dxa"/>
            <w:shd w:val="clear" w:color="auto" w:fill="auto"/>
            <w:noWrap/>
            <w:hideMark/>
          </w:tcPr>
          <w:p w14:paraId="6AFCEC49" w14:textId="77777777" w:rsidR="00143D89" w:rsidRPr="001F4507" w:rsidRDefault="00143D89" w:rsidP="001F4507">
            <w:pPr>
              <w:pStyle w:val="TableText"/>
              <w:jc w:val="right"/>
              <w:rPr>
                <w:sz w:val="18"/>
              </w:rPr>
            </w:pPr>
            <w:r w:rsidRPr="001F4507">
              <w:rPr>
                <w:sz w:val="18"/>
              </w:rPr>
              <w:t xml:space="preserve">124 </w:t>
            </w:r>
          </w:p>
        </w:tc>
        <w:tc>
          <w:tcPr>
            <w:tcW w:w="1134" w:type="dxa"/>
            <w:shd w:val="clear" w:color="auto" w:fill="auto"/>
            <w:noWrap/>
            <w:hideMark/>
          </w:tcPr>
          <w:p w14:paraId="04019BCB" w14:textId="77777777" w:rsidR="00143D89" w:rsidRPr="001F4507" w:rsidRDefault="00143D89" w:rsidP="001F4507">
            <w:pPr>
              <w:pStyle w:val="TableText"/>
              <w:jc w:val="right"/>
              <w:rPr>
                <w:sz w:val="18"/>
              </w:rPr>
            </w:pPr>
            <w:r w:rsidRPr="001F4507">
              <w:rPr>
                <w:sz w:val="18"/>
              </w:rPr>
              <w:t xml:space="preserve">46.8 </w:t>
            </w:r>
          </w:p>
        </w:tc>
        <w:tc>
          <w:tcPr>
            <w:tcW w:w="1276" w:type="dxa"/>
            <w:shd w:val="clear" w:color="auto" w:fill="auto"/>
            <w:noWrap/>
            <w:hideMark/>
          </w:tcPr>
          <w:p w14:paraId="4CC2642E" w14:textId="77777777" w:rsidR="00143D89" w:rsidRPr="001F4507" w:rsidRDefault="00143D89" w:rsidP="001F4507">
            <w:pPr>
              <w:pStyle w:val="TableText"/>
              <w:jc w:val="right"/>
              <w:rPr>
                <w:sz w:val="18"/>
              </w:rPr>
            </w:pPr>
            <w:r w:rsidRPr="001F4507">
              <w:rPr>
                <w:sz w:val="18"/>
              </w:rPr>
              <w:t xml:space="preserve">129 </w:t>
            </w:r>
          </w:p>
        </w:tc>
        <w:tc>
          <w:tcPr>
            <w:tcW w:w="1134" w:type="dxa"/>
            <w:gridSpan w:val="2"/>
            <w:shd w:val="clear" w:color="auto" w:fill="auto"/>
            <w:noWrap/>
            <w:hideMark/>
          </w:tcPr>
          <w:p w14:paraId="588A23B5" w14:textId="77777777" w:rsidR="00143D89" w:rsidRPr="001F4507" w:rsidRDefault="00143D89" w:rsidP="001F4507">
            <w:pPr>
              <w:pStyle w:val="TableText"/>
              <w:jc w:val="right"/>
              <w:rPr>
                <w:sz w:val="18"/>
              </w:rPr>
            </w:pPr>
            <w:r w:rsidRPr="001F4507">
              <w:rPr>
                <w:sz w:val="18"/>
              </w:rPr>
              <w:t xml:space="preserve">48.9 </w:t>
            </w:r>
          </w:p>
        </w:tc>
        <w:tc>
          <w:tcPr>
            <w:tcW w:w="1134" w:type="dxa"/>
            <w:shd w:val="clear" w:color="auto" w:fill="auto"/>
            <w:noWrap/>
            <w:hideMark/>
          </w:tcPr>
          <w:p w14:paraId="4688BF47" w14:textId="77777777" w:rsidR="00143D89" w:rsidRPr="001F4507" w:rsidRDefault="00143D89" w:rsidP="001F4507">
            <w:pPr>
              <w:pStyle w:val="TableText"/>
              <w:jc w:val="right"/>
              <w:rPr>
                <w:sz w:val="18"/>
              </w:rPr>
            </w:pPr>
            <w:r w:rsidRPr="001F4507">
              <w:rPr>
                <w:sz w:val="18"/>
              </w:rPr>
              <w:t>-2.1</w:t>
            </w:r>
          </w:p>
        </w:tc>
      </w:tr>
      <w:tr w:rsidR="005862C9" w:rsidRPr="003C2A16" w14:paraId="07DBA54E" w14:textId="77777777" w:rsidTr="001F4507">
        <w:trPr>
          <w:cantSplit/>
          <w:trHeight w:val="283"/>
        </w:trPr>
        <w:tc>
          <w:tcPr>
            <w:tcW w:w="2325" w:type="dxa"/>
            <w:tcBorders>
              <w:top w:val="nil"/>
              <w:left w:val="nil"/>
              <w:bottom w:val="nil"/>
              <w:right w:val="nil"/>
            </w:tcBorders>
            <w:shd w:val="clear" w:color="auto" w:fill="auto"/>
            <w:noWrap/>
          </w:tcPr>
          <w:p w14:paraId="5D4F35CC" w14:textId="4D19255C" w:rsidR="005862C9" w:rsidRPr="001F4507" w:rsidRDefault="005862C9" w:rsidP="005862C9">
            <w:pPr>
              <w:pStyle w:val="TableText"/>
              <w:rPr>
                <w:b/>
                <w:bCs w:val="0"/>
                <w:sz w:val="18"/>
              </w:rPr>
            </w:pPr>
            <w:r w:rsidRPr="001F4507">
              <w:rPr>
                <w:b/>
                <w:bCs w:val="0"/>
                <w:sz w:val="18"/>
              </w:rPr>
              <w:t>Exits from employment services</w:t>
            </w:r>
          </w:p>
        </w:tc>
        <w:tc>
          <w:tcPr>
            <w:tcW w:w="1486" w:type="dxa"/>
            <w:tcBorders>
              <w:top w:val="nil"/>
              <w:left w:val="nil"/>
              <w:bottom w:val="nil"/>
              <w:right w:val="nil"/>
            </w:tcBorders>
            <w:shd w:val="clear" w:color="auto" w:fill="auto"/>
            <w:noWrap/>
          </w:tcPr>
          <w:p w14:paraId="42CFBFE8" w14:textId="096CF01A" w:rsidR="005862C9" w:rsidRPr="001F4507" w:rsidRDefault="005862C9" w:rsidP="005862C9">
            <w:pPr>
              <w:pStyle w:val="TableText"/>
              <w:rPr>
                <w:i/>
                <w:iCs/>
                <w:sz w:val="18"/>
              </w:rPr>
            </w:pPr>
            <w:r w:rsidRPr="001F4507">
              <w:rPr>
                <w:color w:val="FFFFFF" w:themeColor="background1"/>
                <w:sz w:val="18"/>
              </w:rPr>
              <w:t>—</w:t>
            </w:r>
          </w:p>
        </w:tc>
        <w:tc>
          <w:tcPr>
            <w:tcW w:w="1134" w:type="dxa"/>
            <w:tcBorders>
              <w:top w:val="nil"/>
              <w:left w:val="nil"/>
              <w:bottom w:val="nil"/>
              <w:right w:val="nil"/>
            </w:tcBorders>
            <w:shd w:val="clear" w:color="auto" w:fill="auto"/>
            <w:noWrap/>
          </w:tcPr>
          <w:p w14:paraId="3701F73B" w14:textId="3343D5CF" w:rsidR="005862C9" w:rsidRPr="001F4507" w:rsidRDefault="005862C9" w:rsidP="005862C9">
            <w:pPr>
              <w:pStyle w:val="TableText"/>
              <w:rPr>
                <w:rFonts w:ascii="Times New Roman" w:hAnsi="Times New Roman"/>
                <w:sz w:val="18"/>
              </w:rPr>
            </w:pPr>
            <w:r w:rsidRPr="001F4507">
              <w:rPr>
                <w:color w:val="FFFFFF" w:themeColor="background1"/>
                <w:sz w:val="18"/>
              </w:rPr>
              <w:t>—</w:t>
            </w:r>
          </w:p>
        </w:tc>
        <w:tc>
          <w:tcPr>
            <w:tcW w:w="1276" w:type="dxa"/>
            <w:tcBorders>
              <w:top w:val="nil"/>
              <w:left w:val="nil"/>
              <w:bottom w:val="nil"/>
              <w:right w:val="nil"/>
            </w:tcBorders>
            <w:shd w:val="clear" w:color="auto" w:fill="auto"/>
            <w:noWrap/>
          </w:tcPr>
          <w:p w14:paraId="61766501" w14:textId="4C6E4129" w:rsidR="005862C9" w:rsidRPr="001F4507" w:rsidRDefault="005862C9" w:rsidP="005862C9">
            <w:pPr>
              <w:pStyle w:val="TableText"/>
              <w:rPr>
                <w:rFonts w:ascii="Times New Roman" w:hAnsi="Times New Roman"/>
                <w:sz w:val="18"/>
              </w:rPr>
            </w:pPr>
            <w:r w:rsidRPr="001F4507">
              <w:rPr>
                <w:color w:val="FFFFFF" w:themeColor="background1"/>
                <w:sz w:val="18"/>
              </w:rPr>
              <w:t>—</w:t>
            </w:r>
          </w:p>
        </w:tc>
        <w:tc>
          <w:tcPr>
            <w:tcW w:w="1134" w:type="dxa"/>
            <w:gridSpan w:val="2"/>
            <w:tcBorders>
              <w:top w:val="nil"/>
              <w:left w:val="nil"/>
              <w:bottom w:val="nil"/>
              <w:right w:val="nil"/>
            </w:tcBorders>
            <w:shd w:val="clear" w:color="auto" w:fill="auto"/>
            <w:noWrap/>
          </w:tcPr>
          <w:p w14:paraId="160DB7A6" w14:textId="3CC6AF5E" w:rsidR="005862C9" w:rsidRPr="001F4507" w:rsidRDefault="005862C9" w:rsidP="005862C9">
            <w:pPr>
              <w:pStyle w:val="TableText"/>
              <w:rPr>
                <w:rFonts w:ascii="Times New Roman" w:hAnsi="Times New Roman"/>
                <w:sz w:val="18"/>
              </w:rPr>
            </w:pPr>
            <w:r w:rsidRPr="001F4507">
              <w:rPr>
                <w:color w:val="FFFFFF" w:themeColor="background1"/>
                <w:sz w:val="18"/>
              </w:rPr>
              <w:t>—</w:t>
            </w:r>
          </w:p>
        </w:tc>
        <w:tc>
          <w:tcPr>
            <w:tcW w:w="1134" w:type="dxa"/>
            <w:tcBorders>
              <w:top w:val="nil"/>
              <w:left w:val="nil"/>
              <w:bottom w:val="nil"/>
              <w:right w:val="nil"/>
            </w:tcBorders>
            <w:shd w:val="clear" w:color="auto" w:fill="auto"/>
            <w:noWrap/>
          </w:tcPr>
          <w:p w14:paraId="274B1E71" w14:textId="2D426B16" w:rsidR="005862C9" w:rsidRPr="001F4507" w:rsidRDefault="005862C9" w:rsidP="005862C9">
            <w:pPr>
              <w:pStyle w:val="TableText"/>
              <w:rPr>
                <w:rFonts w:ascii="Times New Roman" w:hAnsi="Times New Roman"/>
                <w:sz w:val="18"/>
              </w:rPr>
            </w:pPr>
            <w:r w:rsidRPr="001F4507">
              <w:rPr>
                <w:color w:val="FFFFFF" w:themeColor="background1"/>
                <w:sz w:val="18"/>
              </w:rPr>
              <w:t>—</w:t>
            </w:r>
          </w:p>
        </w:tc>
      </w:tr>
      <w:tr w:rsidR="005862C9" w:rsidRPr="003C2A16" w14:paraId="552BEC5C" w14:textId="77777777" w:rsidTr="001F4507">
        <w:trPr>
          <w:cantSplit/>
          <w:trHeight w:val="283"/>
        </w:trPr>
        <w:tc>
          <w:tcPr>
            <w:tcW w:w="2325" w:type="dxa"/>
            <w:tcBorders>
              <w:top w:val="nil"/>
              <w:left w:val="nil"/>
              <w:bottom w:val="nil"/>
              <w:right w:val="nil"/>
            </w:tcBorders>
            <w:shd w:val="clear" w:color="auto" w:fill="auto"/>
            <w:noWrap/>
            <w:hideMark/>
          </w:tcPr>
          <w:p w14:paraId="12FA0465" w14:textId="2681F7FC" w:rsidR="005862C9" w:rsidRPr="001F4507" w:rsidRDefault="005862C9" w:rsidP="001F4507">
            <w:pPr>
              <w:pStyle w:val="TableText"/>
              <w:rPr>
                <w:b/>
                <w:i/>
                <w:iCs/>
                <w:sz w:val="18"/>
              </w:rPr>
            </w:pPr>
            <w:r w:rsidRPr="001F4507">
              <w:rPr>
                <w:b/>
                <w:bCs w:val="0"/>
                <w:i/>
                <w:iCs/>
                <w:sz w:val="18"/>
              </w:rPr>
              <w:t>Age less than 25 years</w:t>
            </w:r>
          </w:p>
        </w:tc>
        <w:tc>
          <w:tcPr>
            <w:tcW w:w="1486" w:type="dxa"/>
            <w:tcBorders>
              <w:top w:val="nil"/>
              <w:left w:val="nil"/>
              <w:bottom w:val="nil"/>
              <w:right w:val="nil"/>
            </w:tcBorders>
            <w:shd w:val="clear" w:color="auto" w:fill="auto"/>
            <w:noWrap/>
            <w:hideMark/>
          </w:tcPr>
          <w:p w14:paraId="1C875C27" w14:textId="2B3FA753" w:rsidR="005862C9" w:rsidRPr="001F4507" w:rsidRDefault="005862C9" w:rsidP="001F4507">
            <w:pPr>
              <w:pStyle w:val="TableText"/>
              <w:rPr>
                <w:i/>
                <w:iCs/>
                <w:sz w:val="18"/>
              </w:rPr>
            </w:pPr>
            <w:r w:rsidRPr="001F4507">
              <w:rPr>
                <w:color w:val="FFFFFF" w:themeColor="background1"/>
                <w:sz w:val="18"/>
              </w:rPr>
              <w:t>—</w:t>
            </w:r>
          </w:p>
        </w:tc>
        <w:tc>
          <w:tcPr>
            <w:tcW w:w="1134" w:type="dxa"/>
            <w:tcBorders>
              <w:top w:val="nil"/>
              <w:left w:val="nil"/>
              <w:bottom w:val="nil"/>
              <w:right w:val="nil"/>
            </w:tcBorders>
            <w:shd w:val="clear" w:color="auto" w:fill="auto"/>
            <w:noWrap/>
            <w:hideMark/>
          </w:tcPr>
          <w:p w14:paraId="0FE70642" w14:textId="4402ED59"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276" w:type="dxa"/>
            <w:tcBorders>
              <w:top w:val="nil"/>
              <w:left w:val="nil"/>
              <w:bottom w:val="nil"/>
              <w:right w:val="nil"/>
            </w:tcBorders>
            <w:shd w:val="clear" w:color="auto" w:fill="auto"/>
            <w:noWrap/>
            <w:hideMark/>
          </w:tcPr>
          <w:p w14:paraId="2CE7CD65" w14:textId="3F585323"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134" w:type="dxa"/>
            <w:gridSpan w:val="2"/>
            <w:tcBorders>
              <w:top w:val="nil"/>
              <w:left w:val="nil"/>
              <w:bottom w:val="nil"/>
              <w:right w:val="nil"/>
            </w:tcBorders>
            <w:shd w:val="clear" w:color="auto" w:fill="auto"/>
            <w:noWrap/>
            <w:hideMark/>
          </w:tcPr>
          <w:p w14:paraId="53BF771A" w14:textId="3A7A3D75" w:rsidR="005862C9" w:rsidRPr="001F4507" w:rsidRDefault="005862C9" w:rsidP="001F4507">
            <w:pPr>
              <w:pStyle w:val="TableText"/>
              <w:rPr>
                <w:rFonts w:ascii="Times New Roman" w:hAnsi="Times New Roman"/>
                <w:sz w:val="18"/>
              </w:rPr>
            </w:pPr>
            <w:r w:rsidRPr="001F4507">
              <w:rPr>
                <w:color w:val="FFFFFF" w:themeColor="background1"/>
                <w:sz w:val="18"/>
              </w:rPr>
              <w:t>—</w:t>
            </w:r>
          </w:p>
        </w:tc>
        <w:tc>
          <w:tcPr>
            <w:tcW w:w="1134" w:type="dxa"/>
            <w:tcBorders>
              <w:top w:val="nil"/>
              <w:left w:val="nil"/>
              <w:bottom w:val="nil"/>
              <w:right w:val="nil"/>
            </w:tcBorders>
            <w:shd w:val="clear" w:color="auto" w:fill="auto"/>
            <w:noWrap/>
            <w:hideMark/>
          </w:tcPr>
          <w:p w14:paraId="7349115C" w14:textId="7E947FE0" w:rsidR="005862C9" w:rsidRPr="001F4507" w:rsidRDefault="005862C9" w:rsidP="001F4507">
            <w:pPr>
              <w:pStyle w:val="TableText"/>
              <w:rPr>
                <w:rFonts w:ascii="Times New Roman" w:hAnsi="Times New Roman"/>
                <w:sz w:val="18"/>
              </w:rPr>
            </w:pPr>
            <w:r w:rsidRPr="001F4507">
              <w:rPr>
                <w:color w:val="FFFFFF" w:themeColor="background1"/>
                <w:sz w:val="18"/>
              </w:rPr>
              <w:t>—</w:t>
            </w:r>
          </w:p>
        </w:tc>
      </w:tr>
      <w:tr w:rsidR="00143D89" w:rsidRPr="003C2A16" w14:paraId="226F9E3F" w14:textId="77777777" w:rsidTr="001F4507">
        <w:trPr>
          <w:cantSplit/>
          <w:trHeight w:val="283"/>
        </w:trPr>
        <w:tc>
          <w:tcPr>
            <w:tcW w:w="2325" w:type="dxa"/>
            <w:tcBorders>
              <w:top w:val="nil"/>
              <w:left w:val="nil"/>
              <w:bottom w:val="nil"/>
              <w:right w:val="nil"/>
            </w:tcBorders>
            <w:shd w:val="clear" w:color="auto" w:fill="auto"/>
            <w:noWrap/>
            <w:hideMark/>
          </w:tcPr>
          <w:p w14:paraId="11175BAB" w14:textId="77777777" w:rsidR="00143D89" w:rsidRPr="001F4507" w:rsidRDefault="00143D89" w:rsidP="001F4507">
            <w:pPr>
              <w:pStyle w:val="TableText"/>
              <w:rPr>
                <w:sz w:val="18"/>
              </w:rPr>
            </w:pPr>
            <w:r w:rsidRPr="001F4507">
              <w:rPr>
                <w:sz w:val="18"/>
              </w:rPr>
              <w:t xml:space="preserve">     - within 4 weeks</w:t>
            </w:r>
          </w:p>
        </w:tc>
        <w:tc>
          <w:tcPr>
            <w:tcW w:w="1486" w:type="dxa"/>
            <w:tcBorders>
              <w:top w:val="nil"/>
              <w:left w:val="nil"/>
              <w:bottom w:val="nil"/>
              <w:right w:val="nil"/>
            </w:tcBorders>
            <w:shd w:val="clear" w:color="auto" w:fill="auto"/>
            <w:noWrap/>
            <w:hideMark/>
          </w:tcPr>
          <w:p w14:paraId="48246538" w14:textId="63133CBC" w:rsidR="00143D89" w:rsidRPr="001F4507" w:rsidRDefault="00143D89" w:rsidP="001F4507">
            <w:pPr>
              <w:pStyle w:val="TableText"/>
              <w:jc w:val="right"/>
              <w:rPr>
                <w:sz w:val="18"/>
              </w:rPr>
            </w:pPr>
            <w:r w:rsidRPr="001F4507">
              <w:rPr>
                <w:sz w:val="18"/>
              </w:rPr>
              <w:t xml:space="preserve">66 </w:t>
            </w:r>
          </w:p>
        </w:tc>
        <w:tc>
          <w:tcPr>
            <w:tcW w:w="1134" w:type="dxa"/>
            <w:tcBorders>
              <w:top w:val="nil"/>
              <w:left w:val="nil"/>
              <w:bottom w:val="nil"/>
              <w:right w:val="nil"/>
            </w:tcBorders>
            <w:shd w:val="clear" w:color="auto" w:fill="auto"/>
            <w:noWrap/>
            <w:hideMark/>
          </w:tcPr>
          <w:p w14:paraId="374BF4BA" w14:textId="740DEF5B" w:rsidR="00143D89" w:rsidRPr="001F4507" w:rsidRDefault="00143D89" w:rsidP="001F4507">
            <w:pPr>
              <w:pStyle w:val="TableText"/>
              <w:jc w:val="right"/>
              <w:rPr>
                <w:sz w:val="18"/>
              </w:rPr>
            </w:pPr>
            <w:r w:rsidRPr="001F4507">
              <w:rPr>
                <w:sz w:val="18"/>
              </w:rPr>
              <w:t xml:space="preserve">1.6 </w:t>
            </w:r>
          </w:p>
        </w:tc>
        <w:tc>
          <w:tcPr>
            <w:tcW w:w="1276" w:type="dxa"/>
            <w:tcBorders>
              <w:top w:val="nil"/>
              <w:left w:val="nil"/>
              <w:bottom w:val="nil"/>
              <w:right w:val="nil"/>
            </w:tcBorders>
            <w:shd w:val="clear" w:color="auto" w:fill="auto"/>
            <w:noWrap/>
            <w:hideMark/>
          </w:tcPr>
          <w:p w14:paraId="77F8662C" w14:textId="55A467F3" w:rsidR="00143D89" w:rsidRPr="001F4507" w:rsidRDefault="00143D89" w:rsidP="001F4507">
            <w:pPr>
              <w:pStyle w:val="TableText"/>
              <w:jc w:val="right"/>
              <w:rPr>
                <w:sz w:val="18"/>
              </w:rPr>
            </w:pPr>
            <w:r w:rsidRPr="001F4507">
              <w:rPr>
                <w:sz w:val="18"/>
              </w:rPr>
              <w:t xml:space="preserve"> 60 </w:t>
            </w:r>
          </w:p>
        </w:tc>
        <w:tc>
          <w:tcPr>
            <w:tcW w:w="1134" w:type="dxa"/>
            <w:gridSpan w:val="2"/>
            <w:tcBorders>
              <w:top w:val="nil"/>
              <w:left w:val="nil"/>
              <w:bottom w:val="nil"/>
              <w:right w:val="nil"/>
            </w:tcBorders>
            <w:shd w:val="clear" w:color="auto" w:fill="auto"/>
            <w:noWrap/>
            <w:hideMark/>
          </w:tcPr>
          <w:p w14:paraId="0F74A7B0" w14:textId="1F34B2B7" w:rsidR="00143D89" w:rsidRPr="001F4507" w:rsidRDefault="00143D89" w:rsidP="001F4507">
            <w:pPr>
              <w:pStyle w:val="TableText"/>
              <w:jc w:val="right"/>
              <w:rPr>
                <w:sz w:val="18"/>
              </w:rPr>
            </w:pPr>
            <w:r w:rsidRPr="001F4507">
              <w:rPr>
                <w:sz w:val="18"/>
              </w:rPr>
              <w:t xml:space="preserve">1.5 </w:t>
            </w:r>
          </w:p>
        </w:tc>
        <w:tc>
          <w:tcPr>
            <w:tcW w:w="1134" w:type="dxa"/>
            <w:tcBorders>
              <w:top w:val="nil"/>
              <w:left w:val="nil"/>
              <w:bottom w:val="nil"/>
              <w:right w:val="nil"/>
            </w:tcBorders>
            <w:shd w:val="clear" w:color="auto" w:fill="auto"/>
            <w:noWrap/>
            <w:hideMark/>
          </w:tcPr>
          <w:p w14:paraId="0951CE9A" w14:textId="77777777" w:rsidR="00143D89" w:rsidRPr="001F4507" w:rsidRDefault="00143D89" w:rsidP="001F4507">
            <w:pPr>
              <w:pStyle w:val="TableText"/>
              <w:jc w:val="right"/>
              <w:rPr>
                <w:sz w:val="18"/>
              </w:rPr>
            </w:pPr>
            <w:r w:rsidRPr="001F4507">
              <w:rPr>
                <w:sz w:val="18"/>
              </w:rPr>
              <w:t>0.2</w:t>
            </w:r>
          </w:p>
        </w:tc>
      </w:tr>
      <w:tr w:rsidR="00143D89" w:rsidRPr="003C2A16" w14:paraId="5A5BB94A" w14:textId="77777777" w:rsidTr="001F4507">
        <w:trPr>
          <w:cantSplit/>
          <w:trHeight w:val="283"/>
        </w:trPr>
        <w:tc>
          <w:tcPr>
            <w:tcW w:w="2325" w:type="dxa"/>
            <w:tcBorders>
              <w:top w:val="nil"/>
              <w:left w:val="nil"/>
              <w:bottom w:val="nil"/>
              <w:right w:val="nil"/>
            </w:tcBorders>
            <w:shd w:val="clear" w:color="auto" w:fill="auto"/>
            <w:noWrap/>
            <w:hideMark/>
          </w:tcPr>
          <w:p w14:paraId="2F16A87C" w14:textId="77777777" w:rsidR="00143D89" w:rsidRPr="001F4507" w:rsidRDefault="00143D89" w:rsidP="001F4507">
            <w:pPr>
              <w:pStyle w:val="TableText"/>
              <w:rPr>
                <w:sz w:val="18"/>
              </w:rPr>
            </w:pPr>
            <w:r w:rsidRPr="001F4507">
              <w:rPr>
                <w:sz w:val="18"/>
              </w:rPr>
              <w:t xml:space="preserve">     - within 12 weeks</w:t>
            </w:r>
          </w:p>
        </w:tc>
        <w:tc>
          <w:tcPr>
            <w:tcW w:w="1486" w:type="dxa"/>
            <w:tcBorders>
              <w:top w:val="nil"/>
              <w:left w:val="nil"/>
              <w:bottom w:val="nil"/>
              <w:right w:val="nil"/>
            </w:tcBorders>
            <w:shd w:val="clear" w:color="auto" w:fill="auto"/>
            <w:noWrap/>
            <w:hideMark/>
          </w:tcPr>
          <w:p w14:paraId="134A6F79" w14:textId="77777777" w:rsidR="00143D89" w:rsidRPr="001F4507" w:rsidRDefault="00143D89" w:rsidP="001F4507">
            <w:pPr>
              <w:pStyle w:val="TableText"/>
              <w:jc w:val="right"/>
              <w:rPr>
                <w:sz w:val="18"/>
              </w:rPr>
            </w:pPr>
            <w:r w:rsidRPr="001F4507">
              <w:rPr>
                <w:sz w:val="18"/>
              </w:rPr>
              <w:t xml:space="preserve">676 </w:t>
            </w:r>
          </w:p>
        </w:tc>
        <w:tc>
          <w:tcPr>
            <w:tcW w:w="1134" w:type="dxa"/>
            <w:tcBorders>
              <w:top w:val="nil"/>
              <w:left w:val="nil"/>
              <w:bottom w:val="nil"/>
              <w:right w:val="nil"/>
            </w:tcBorders>
            <w:shd w:val="clear" w:color="auto" w:fill="auto"/>
            <w:noWrap/>
            <w:hideMark/>
          </w:tcPr>
          <w:p w14:paraId="29A320F1" w14:textId="77777777" w:rsidR="00143D89" w:rsidRPr="001F4507" w:rsidRDefault="00143D89" w:rsidP="001F4507">
            <w:pPr>
              <w:pStyle w:val="TableText"/>
              <w:jc w:val="right"/>
              <w:rPr>
                <w:sz w:val="18"/>
              </w:rPr>
            </w:pPr>
            <w:r w:rsidRPr="001F4507">
              <w:rPr>
                <w:sz w:val="18"/>
              </w:rPr>
              <w:t xml:space="preserve">20.3 </w:t>
            </w:r>
          </w:p>
        </w:tc>
        <w:tc>
          <w:tcPr>
            <w:tcW w:w="1276" w:type="dxa"/>
            <w:tcBorders>
              <w:top w:val="nil"/>
              <w:left w:val="nil"/>
              <w:bottom w:val="nil"/>
              <w:right w:val="nil"/>
            </w:tcBorders>
            <w:shd w:val="clear" w:color="auto" w:fill="auto"/>
            <w:noWrap/>
            <w:hideMark/>
          </w:tcPr>
          <w:p w14:paraId="723388ED" w14:textId="77777777" w:rsidR="00143D89" w:rsidRPr="001F4507" w:rsidRDefault="00143D89" w:rsidP="001F4507">
            <w:pPr>
              <w:pStyle w:val="TableText"/>
              <w:jc w:val="right"/>
              <w:rPr>
                <w:sz w:val="18"/>
              </w:rPr>
            </w:pPr>
            <w:r w:rsidRPr="001F4507">
              <w:rPr>
                <w:sz w:val="18"/>
              </w:rPr>
              <w:t xml:space="preserve">576 </w:t>
            </w:r>
          </w:p>
        </w:tc>
        <w:tc>
          <w:tcPr>
            <w:tcW w:w="1134" w:type="dxa"/>
            <w:gridSpan w:val="2"/>
            <w:tcBorders>
              <w:top w:val="nil"/>
              <w:left w:val="nil"/>
              <w:bottom w:val="nil"/>
              <w:right w:val="nil"/>
            </w:tcBorders>
            <w:shd w:val="clear" w:color="auto" w:fill="auto"/>
            <w:noWrap/>
            <w:hideMark/>
          </w:tcPr>
          <w:p w14:paraId="3E18E1F6" w14:textId="77777777" w:rsidR="00143D89" w:rsidRPr="001F4507" w:rsidRDefault="00143D89" w:rsidP="001F4507">
            <w:pPr>
              <w:pStyle w:val="TableText"/>
              <w:jc w:val="right"/>
              <w:rPr>
                <w:sz w:val="18"/>
              </w:rPr>
            </w:pPr>
            <w:r w:rsidRPr="001F4507">
              <w:rPr>
                <w:sz w:val="18"/>
              </w:rPr>
              <w:t xml:space="preserve">17.3 </w:t>
            </w:r>
          </w:p>
        </w:tc>
        <w:tc>
          <w:tcPr>
            <w:tcW w:w="1134" w:type="dxa"/>
            <w:tcBorders>
              <w:top w:val="nil"/>
              <w:left w:val="nil"/>
              <w:bottom w:val="nil"/>
              <w:right w:val="nil"/>
            </w:tcBorders>
            <w:shd w:val="clear" w:color="auto" w:fill="auto"/>
            <w:noWrap/>
            <w:hideMark/>
          </w:tcPr>
          <w:p w14:paraId="5BA16991" w14:textId="77777777" w:rsidR="00143D89" w:rsidRPr="001F4507" w:rsidRDefault="00143D89" w:rsidP="001F4507">
            <w:pPr>
              <w:pStyle w:val="TableText"/>
              <w:jc w:val="right"/>
              <w:rPr>
                <w:sz w:val="18"/>
              </w:rPr>
            </w:pPr>
            <w:r w:rsidRPr="001F4507">
              <w:rPr>
                <w:sz w:val="18"/>
              </w:rPr>
              <w:t>3.0*</w:t>
            </w:r>
          </w:p>
        </w:tc>
      </w:tr>
      <w:tr w:rsidR="00143D89" w:rsidRPr="003C2A16" w14:paraId="16871A78" w14:textId="77777777" w:rsidTr="001F4507">
        <w:trPr>
          <w:cantSplit/>
          <w:trHeight w:val="283"/>
        </w:trPr>
        <w:tc>
          <w:tcPr>
            <w:tcW w:w="2325" w:type="dxa"/>
            <w:tcBorders>
              <w:top w:val="nil"/>
              <w:left w:val="nil"/>
              <w:bottom w:val="nil"/>
              <w:right w:val="nil"/>
            </w:tcBorders>
            <w:shd w:val="clear" w:color="auto" w:fill="auto"/>
            <w:noWrap/>
            <w:hideMark/>
          </w:tcPr>
          <w:p w14:paraId="0BE02F04" w14:textId="77777777" w:rsidR="00143D89" w:rsidRPr="001F4507" w:rsidRDefault="00143D89" w:rsidP="001F4507">
            <w:pPr>
              <w:pStyle w:val="TableText"/>
              <w:rPr>
                <w:sz w:val="18"/>
              </w:rPr>
            </w:pPr>
            <w:r w:rsidRPr="001F4507">
              <w:rPr>
                <w:sz w:val="18"/>
              </w:rPr>
              <w:t xml:space="preserve">     - within 24 weeks</w:t>
            </w:r>
          </w:p>
        </w:tc>
        <w:tc>
          <w:tcPr>
            <w:tcW w:w="1486" w:type="dxa"/>
            <w:tcBorders>
              <w:top w:val="nil"/>
              <w:left w:val="nil"/>
              <w:bottom w:val="nil"/>
              <w:right w:val="nil"/>
            </w:tcBorders>
            <w:shd w:val="clear" w:color="auto" w:fill="auto"/>
            <w:noWrap/>
            <w:hideMark/>
          </w:tcPr>
          <w:p w14:paraId="32786BD8" w14:textId="77777777" w:rsidR="00143D89" w:rsidRPr="001F4507" w:rsidRDefault="00143D89" w:rsidP="001F4507">
            <w:pPr>
              <w:pStyle w:val="TableText"/>
              <w:jc w:val="right"/>
              <w:rPr>
                <w:sz w:val="18"/>
              </w:rPr>
            </w:pPr>
            <w:r w:rsidRPr="001F4507">
              <w:rPr>
                <w:sz w:val="18"/>
              </w:rPr>
              <w:t xml:space="preserve">1,073 </w:t>
            </w:r>
          </w:p>
        </w:tc>
        <w:tc>
          <w:tcPr>
            <w:tcW w:w="1134" w:type="dxa"/>
            <w:tcBorders>
              <w:top w:val="nil"/>
              <w:left w:val="nil"/>
              <w:bottom w:val="nil"/>
              <w:right w:val="nil"/>
            </w:tcBorders>
            <w:shd w:val="clear" w:color="auto" w:fill="auto"/>
            <w:noWrap/>
            <w:hideMark/>
          </w:tcPr>
          <w:p w14:paraId="50CE0A92" w14:textId="77777777" w:rsidR="00143D89" w:rsidRPr="001F4507" w:rsidRDefault="00143D89" w:rsidP="001F4507">
            <w:pPr>
              <w:pStyle w:val="TableText"/>
              <w:jc w:val="right"/>
              <w:rPr>
                <w:sz w:val="18"/>
              </w:rPr>
            </w:pPr>
            <w:r w:rsidRPr="001F4507">
              <w:rPr>
                <w:sz w:val="18"/>
              </w:rPr>
              <w:t xml:space="preserve">45.2 </w:t>
            </w:r>
          </w:p>
        </w:tc>
        <w:tc>
          <w:tcPr>
            <w:tcW w:w="1276" w:type="dxa"/>
            <w:tcBorders>
              <w:top w:val="nil"/>
              <w:left w:val="nil"/>
              <w:bottom w:val="nil"/>
              <w:right w:val="nil"/>
            </w:tcBorders>
            <w:shd w:val="clear" w:color="auto" w:fill="auto"/>
            <w:noWrap/>
            <w:hideMark/>
          </w:tcPr>
          <w:p w14:paraId="0B78595C" w14:textId="77777777" w:rsidR="00143D89" w:rsidRPr="001F4507" w:rsidRDefault="00143D89" w:rsidP="001F4507">
            <w:pPr>
              <w:pStyle w:val="TableText"/>
              <w:jc w:val="right"/>
              <w:rPr>
                <w:sz w:val="18"/>
              </w:rPr>
            </w:pPr>
            <w:r w:rsidRPr="001F4507">
              <w:rPr>
                <w:sz w:val="18"/>
              </w:rPr>
              <w:t xml:space="preserve">1,069 </w:t>
            </w:r>
          </w:p>
        </w:tc>
        <w:tc>
          <w:tcPr>
            <w:tcW w:w="1134" w:type="dxa"/>
            <w:gridSpan w:val="2"/>
            <w:tcBorders>
              <w:top w:val="nil"/>
              <w:left w:val="nil"/>
              <w:bottom w:val="nil"/>
              <w:right w:val="nil"/>
            </w:tcBorders>
            <w:shd w:val="clear" w:color="auto" w:fill="auto"/>
            <w:noWrap/>
            <w:hideMark/>
          </w:tcPr>
          <w:p w14:paraId="2308DB7E" w14:textId="77777777" w:rsidR="00143D89" w:rsidRPr="001F4507" w:rsidRDefault="00143D89" w:rsidP="001F4507">
            <w:pPr>
              <w:pStyle w:val="TableText"/>
              <w:jc w:val="right"/>
              <w:rPr>
                <w:sz w:val="18"/>
              </w:rPr>
            </w:pPr>
            <w:r w:rsidRPr="001F4507">
              <w:rPr>
                <w:sz w:val="18"/>
              </w:rPr>
              <w:t xml:space="preserve">45.3 </w:t>
            </w:r>
          </w:p>
        </w:tc>
        <w:tc>
          <w:tcPr>
            <w:tcW w:w="1134" w:type="dxa"/>
            <w:tcBorders>
              <w:top w:val="nil"/>
              <w:left w:val="nil"/>
              <w:bottom w:val="nil"/>
              <w:right w:val="nil"/>
            </w:tcBorders>
            <w:shd w:val="clear" w:color="auto" w:fill="auto"/>
            <w:noWrap/>
            <w:hideMark/>
          </w:tcPr>
          <w:p w14:paraId="25D925AD" w14:textId="77777777" w:rsidR="00143D89" w:rsidRPr="001F4507" w:rsidRDefault="00143D89" w:rsidP="001F4507">
            <w:pPr>
              <w:pStyle w:val="TableText"/>
              <w:jc w:val="right"/>
              <w:rPr>
                <w:sz w:val="18"/>
              </w:rPr>
            </w:pPr>
            <w:r w:rsidRPr="001F4507">
              <w:rPr>
                <w:sz w:val="18"/>
              </w:rPr>
              <w:t>-0.1</w:t>
            </w:r>
          </w:p>
        </w:tc>
      </w:tr>
      <w:tr w:rsidR="005862C9" w:rsidRPr="003C2A16" w14:paraId="38EEF1B5" w14:textId="77777777" w:rsidTr="001F4507">
        <w:trPr>
          <w:cantSplit/>
          <w:trHeight w:val="283"/>
        </w:trPr>
        <w:tc>
          <w:tcPr>
            <w:tcW w:w="2325" w:type="dxa"/>
            <w:tcBorders>
              <w:top w:val="nil"/>
              <w:left w:val="nil"/>
              <w:bottom w:val="nil"/>
              <w:right w:val="nil"/>
            </w:tcBorders>
            <w:shd w:val="clear" w:color="auto" w:fill="auto"/>
            <w:noWrap/>
          </w:tcPr>
          <w:p w14:paraId="51265EB0" w14:textId="1A7B4AD3" w:rsidR="005862C9" w:rsidRPr="001F4507" w:rsidRDefault="005862C9" w:rsidP="005862C9">
            <w:pPr>
              <w:pStyle w:val="TableText"/>
              <w:rPr>
                <w:b/>
                <w:bCs w:val="0"/>
                <w:sz w:val="18"/>
              </w:rPr>
            </w:pPr>
            <w:r w:rsidRPr="001F4507">
              <w:rPr>
                <w:b/>
                <w:bCs w:val="0"/>
                <w:i/>
                <w:iCs/>
                <w:sz w:val="18"/>
              </w:rPr>
              <w:t>Age 25 to 29 years</w:t>
            </w:r>
          </w:p>
        </w:tc>
        <w:tc>
          <w:tcPr>
            <w:tcW w:w="1486" w:type="dxa"/>
            <w:tcBorders>
              <w:top w:val="nil"/>
              <w:left w:val="nil"/>
              <w:bottom w:val="nil"/>
              <w:right w:val="nil"/>
            </w:tcBorders>
            <w:shd w:val="clear" w:color="auto" w:fill="auto"/>
            <w:noWrap/>
          </w:tcPr>
          <w:p w14:paraId="480B6DA3" w14:textId="21F79E02" w:rsidR="005862C9" w:rsidRPr="001F4507" w:rsidDel="00456B7A" w:rsidRDefault="005862C9" w:rsidP="005862C9">
            <w:pPr>
              <w:pStyle w:val="TableText"/>
              <w:jc w:val="right"/>
              <w:rPr>
                <w:sz w:val="18"/>
              </w:rPr>
            </w:pPr>
            <w:r w:rsidRPr="001F4507">
              <w:rPr>
                <w:color w:val="FFFFFF" w:themeColor="background1"/>
                <w:sz w:val="18"/>
              </w:rPr>
              <w:t>—</w:t>
            </w:r>
          </w:p>
        </w:tc>
        <w:tc>
          <w:tcPr>
            <w:tcW w:w="1134" w:type="dxa"/>
            <w:tcBorders>
              <w:top w:val="nil"/>
              <w:left w:val="nil"/>
              <w:bottom w:val="nil"/>
              <w:right w:val="nil"/>
            </w:tcBorders>
            <w:shd w:val="clear" w:color="auto" w:fill="auto"/>
            <w:noWrap/>
          </w:tcPr>
          <w:p w14:paraId="7979EF09" w14:textId="33757364" w:rsidR="005862C9" w:rsidRPr="001F4507" w:rsidDel="00456B7A" w:rsidRDefault="005862C9" w:rsidP="005862C9">
            <w:pPr>
              <w:pStyle w:val="TableText"/>
              <w:jc w:val="right"/>
              <w:rPr>
                <w:sz w:val="18"/>
              </w:rPr>
            </w:pPr>
            <w:r w:rsidRPr="001F4507">
              <w:rPr>
                <w:color w:val="FFFFFF" w:themeColor="background1"/>
                <w:sz w:val="18"/>
              </w:rPr>
              <w:t>—</w:t>
            </w:r>
          </w:p>
        </w:tc>
        <w:tc>
          <w:tcPr>
            <w:tcW w:w="1276" w:type="dxa"/>
            <w:tcBorders>
              <w:top w:val="nil"/>
              <w:left w:val="nil"/>
              <w:bottom w:val="nil"/>
              <w:right w:val="nil"/>
            </w:tcBorders>
            <w:shd w:val="clear" w:color="auto" w:fill="auto"/>
            <w:noWrap/>
          </w:tcPr>
          <w:p w14:paraId="55D430E4" w14:textId="3BD893CD" w:rsidR="005862C9" w:rsidRPr="001F4507" w:rsidDel="00456B7A" w:rsidRDefault="005862C9" w:rsidP="005862C9">
            <w:pPr>
              <w:pStyle w:val="TableText"/>
              <w:jc w:val="right"/>
              <w:rPr>
                <w:sz w:val="18"/>
              </w:rPr>
            </w:pPr>
            <w:r w:rsidRPr="001F4507">
              <w:rPr>
                <w:color w:val="FFFFFF" w:themeColor="background1"/>
                <w:sz w:val="18"/>
              </w:rPr>
              <w:t>—</w:t>
            </w:r>
          </w:p>
        </w:tc>
        <w:tc>
          <w:tcPr>
            <w:tcW w:w="1134" w:type="dxa"/>
            <w:gridSpan w:val="2"/>
            <w:tcBorders>
              <w:top w:val="nil"/>
              <w:left w:val="nil"/>
              <w:bottom w:val="nil"/>
              <w:right w:val="nil"/>
            </w:tcBorders>
            <w:shd w:val="clear" w:color="auto" w:fill="auto"/>
            <w:noWrap/>
          </w:tcPr>
          <w:p w14:paraId="48648826" w14:textId="7EAAFC75" w:rsidR="005862C9" w:rsidRPr="001F4507" w:rsidDel="00456B7A" w:rsidRDefault="005862C9" w:rsidP="005862C9">
            <w:pPr>
              <w:pStyle w:val="TableText"/>
              <w:jc w:val="right"/>
              <w:rPr>
                <w:sz w:val="18"/>
              </w:rPr>
            </w:pPr>
            <w:r w:rsidRPr="001F4507">
              <w:rPr>
                <w:color w:val="FFFFFF" w:themeColor="background1"/>
                <w:sz w:val="18"/>
              </w:rPr>
              <w:t>—</w:t>
            </w:r>
          </w:p>
        </w:tc>
        <w:tc>
          <w:tcPr>
            <w:tcW w:w="1134" w:type="dxa"/>
            <w:tcBorders>
              <w:top w:val="nil"/>
              <w:left w:val="nil"/>
              <w:bottom w:val="nil"/>
              <w:right w:val="nil"/>
            </w:tcBorders>
            <w:shd w:val="clear" w:color="auto" w:fill="auto"/>
            <w:noWrap/>
          </w:tcPr>
          <w:p w14:paraId="53C7F42B" w14:textId="00A3FE4F" w:rsidR="005862C9" w:rsidRPr="001F4507" w:rsidRDefault="005862C9" w:rsidP="005862C9">
            <w:pPr>
              <w:pStyle w:val="TableText"/>
              <w:jc w:val="right"/>
              <w:rPr>
                <w:sz w:val="18"/>
              </w:rPr>
            </w:pPr>
            <w:r w:rsidRPr="001F4507">
              <w:rPr>
                <w:color w:val="FFFFFF" w:themeColor="background1"/>
                <w:sz w:val="18"/>
              </w:rPr>
              <w:t>—</w:t>
            </w:r>
          </w:p>
        </w:tc>
      </w:tr>
      <w:tr w:rsidR="00143D89" w:rsidRPr="003C2A16" w14:paraId="405E11B0" w14:textId="77777777" w:rsidTr="001F4507">
        <w:trPr>
          <w:cantSplit/>
          <w:trHeight w:val="283"/>
        </w:trPr>
        <w:tc>
          <w:tcPr>
            <w:tcW w:w="2325" w:type="dxa"/>
            <w:tcBorders>
              <w:top w:val="nil"/>
              <w:left w:val="nil"/>
              <w:bottom w:val="nil"/>
              <w:right w:val="nil"/>
            </w:tcBorders>
            <w:shd w:val="clear" w:color="auto" w:fill="auto"/>
            <w:noWrap/>
            <w:hideMark/>
          </w:tcPr>
          <w:p w14:paraId="1B559ED6" w14:textId="77777777" w:rsidR="00143D89" w:rsidRPr="001F4507" w:rsidRDefault="00143D89" w:rsidP="001F4507">
            <w:pPr>
              <w:pStyle w:val="TableText"/>
              <w:rPr>
                <w:sz w:val="18"/>
              </w:rPr>
            </w:pPr>
            <w:r w:rsidRPr="001F4507">
              <w:rPr>
                <w:sz w:val="18"/>
              </w:rPr>
              <w:t xml:space="preserve">     - within 4 weeks</w:t>
            </w:r>
          </w:p>
        </w:tc>
        <w:tc>
          <w:tcPr>
            <w:tcW w:w="1486" w:type="dxa"/>
            <w:tcBorders>
              <w:top w:val="nil"/>
              <w:left w:val="nil"/>
              <w:bottom w:val="nil"/>
              <w:right w:val="nil"/>
            </w:tcBorders>
            <w:shd w:val="clear" w:color="auto" w:fill="auto"/>
            <w:noWrap/>
            <w:hideMark/>
          </w:tcPr>
          <w:p w14:paraId="3EBB34F6" w14:textId="26110C2F" w:rsidR="00143D89" w:rsidRPr="001F4507" w:rsidRDefault="00143D89" w:rsidP="001F4507">
            <w:pPr>
              <w:pStyle w:val="TableText"/>
              <w:jc w:val="right"/>
              <w:rPr>
                <w:sz w:val="18"/>
              </w:rPr>
            </w:pPr>
            <w:r w:rsidRPr="001F4507">
              <w:rPr>
                <w:sz w:val="18"/>
              </w:rPr>
              <w:t>##</w:t>
            </w:r>
          </w:p>
        </w:tc>
        <w:tc>
          <w:tcPr>
            <w:tcW w:w="1134" w:type="dxa"/>
            <w:tcBorders>
              <w:top w:val="nil"/>
              <w:left w:val="nil"/>
              <w:bottom w:val="nil"/>
              <w:right w:val="nil"/>
            </w:tcBorders>
            <w:shd w:val="clear" w:color="auto" w:fill="auto"/>
            <w:noWrap/>
            <w:hideMark/>
          </w:tcPr>
          <w:p w14:paraId="2EEB8434" w14:textId="770D20EA" w:rsidR="00143D89" w:rsidRPr="001F4507" w:rsidRDefault="00143D89" w:rsidP="001F4507">
            <w:pPr>
              <w:pStyle w:val="TableText"/>
              <w:jc w:val="right"/>
              <w:rPr>
                <w:sz w:val="18"/>
              </w:rPr>
            </w:pPr>
            <w:r w:rsidRPr="001F4507">
              <w:rPr>
                <w:sz w:val="18"/>
              </w:rPr>
              <w:t xml:space="preserve">1.8 </w:t>
            </w:r>
          </w:p>
        </w:tc>
        <w:tc>
          <w:tcPr>
            <w:tcW w:w="1276" w:type="dxa"/>
            <w:tcBorders>
              <w:top w:val="nil"/>
              <w:left w:val="nil"/>
              <w:bottom w:val="nil"/>
              <w:right w:val="nil"/>
            </w:tcBorders>
            <w:shd w:val="clear" w:color="auto" w:fill="auto"/>
            <w:noWrap/>
            <w:hideMark/>
          </w:tcPr>
          <w:p w14:paraId="1C3B99A2" w14:textId="294CA75D" w:rsidR="00143D89" w:rsidRPr="001F4507" w:rsidRDefault="00143D89" w:rsidP="001F4507">
            <w:pPr>
              <w:pStyle w:val="TableText"/>
              <w:jc w:val="right"/>
              <w:rPr>
                <w:sz w:val="18"/>
              </w:rPr>
            </w:pPr>
            <w:r w:rsidRPr="001F4507">
              <w:rPr>
                <w:sz w:val="18"/>
              </w:rPr>
              <w:t>##</w:t>
            </w:r>
          </w:p>
        </w:tc>
        <w:tc>
          <w:tcPr>
            <w:tcW w:w="1134" w:type="dxa"/>
            <w:gridSpan w:val="2"/>
            <w:tcBorders>
              <w:top w:val="nil"/>
              <w:left w:val="nil"/>
              <w:bottom w:val="nil"/>
              <w:right w:val="nil"/>
            </w:tcBorders>
            <w:shd w:val="clear" w:color="auto" w:fill="auto"/>
            <w:noWrap/>
            <w:hideMark/>
          </w:tcPr>
          <w:p w14:paraId="35818E0E" w14:textId="7CBD6975" w:rsidR="00143D89" w:rsidRPr="001F4507" w:rsidRDefault="00143D89" w:rsidP="001F4507">
            <w:pPr>
              <w:pStyle w:val="TableText"/>
              <w:jc w:val="right"/>
              <w:rPr>
                <w:sz w:val="18"/>
              </w:rPr>
            </w:pPr>
            <w:r w:rsidRPr="001F4507">
              <w:rPr>
                <w:sz w:val="18"/>
              </w:rPr>
              <w:t xml:space="preserve">1.7 </w:t>
            </w:r>
          </w:p>
        </w:tc>
        <w:tc>
          <w:tcPr>
            <w:tcW w:w="1134" w:type="dxa"/>
            <w:tcBorders>
              <w:top w:val="nil"/>
              <w:left w:val="nil"/>
              <w:bottom w:val="nil"/>
              <w:right w:val="nil"/>
            </w:tcBorders>
            <w:shd w:val="clear" w:color="auto" w:fill="auto"/>
            <w:noWrap/>
            <w:hideMark/>
          </w:tcPr>
          <w:p w14:paraId="46337D63" w14:textId="77777777" w:rsidR="00143D89" w:rsidRPr="001F4507" w:rsidRDefault="00143D89" w:rsidP="001F4507">
            <w:pPr>
              <w:pStyle w:val="TableText"/>
              <w:jc w:val="right"/>
              <w:rPr>
                <w:sz w:val="18"/>
              </w:rPr>
            </w:pPr>
            <w:r w:rsidRPr="001F4507">
              <w:rPr>
                <w:sz w:val="18"/>
              </w:rPr>
              <w:t>0.1</w:t>
            </w:r>
          </w:p>
        </w:tc>
      </w:tr>
      <w:tr w:rsidR="00143D89" w:rsidRPr="003C2A16" w14:paraId="34530571" w14:textId="77777777" w:rsidTr="001F4507">
        <w:trPr>
          <w:cantSplit/>
          <w:trHeight w:val="283"/>
        </w:trPr>
        <w:tc>
          <w:tcPr>
            <w:tcW w:w="2325" w:type="dxa"/>
            <w:tcBorders>
              <w:top w:val="nil"/>
              <w:left w:val="nil"/>
              <w:bottom w:val="nil"/>
              <w:right w:val="nil"/>
            </w:tcBorders>
            <w:shd w:val="clear" w:color="auto" w:fill="auto"/>
            <w:noWrap/>
            <w:hideMark/>
          </w:tcPr>
          <w:p w14:paraId="73D954CA" w14:textId="77777777" w:rsidR="00143D89" w:rsidRPr="001F4507" w:rsidRDefault="00143D89" w:rsidP="001F4507">
            <w:pPr>
              <w:pStyle w:val="TableText"/>
              <w:rPr>
                <w:sz w:val="18"/>
              </w:rPr>
            </w:pPr>
            <w:r w:rsidRPr="001F4507">
              <w:rPr>
                <w:sz w:val="18"/>
              </w:rPr>
              <w:t xml:space="preserve">     - within 12 weeks</w:t>
            </w:r>
          </w:p>
        </w:tc>
        <w:tc>
          <w:tcPr>
            <w:tcW w:w="1486" w:type="dxa"/>
            <w:tcBorders>
              <w:top w:val="nil"/>
              <w:left w:val="nil"/>
              <w:bottom w:val="nil"/>
              <w:right w:val="nil"/>
            </w:tcBorders>
            <w:shd w:val="clear" w:color="auto" w:fill="auto"/>
            <w:noWrap/>
            <w:hideMark/>
          </w:tcPr>
          <w:p w14:paraId="7396D100" w14:textId="0983A312" w:rsidR="00143D89" w:rsidRPr="001F4507" w:rsidRDefault="00143D89" w:rsidP="001F4507">
            <w:pPr>
              <w:pStyle w:val="TableText"/>
              <w:jc w:val="right"/>
              <w:rPr>
                <w:sz w:val="18"/>
              </w:rPr>
            </w:pPr>
            <w:r w:rsidRPr="001F4507">
              <w:rPr>
                <w:sz w:val="18"/>
              </w:rPr>
              <w:t xml:space="preserve">184 </w:t>
            </w:r>
          </w:p>
        </w:tc>
        <w:tc>
          <w:tcPr>
            <w:tcW w:w="1134" w:type="dxa"/>
            <w:tcBorders>
              <w:top w:val="nil"/>
              <w:left w:val="nil"/>
              <w:bottom w:val="nil"/>
              <w:right w:val="nil"/>
            </w:tcBorders>
            <w:shd w:val="clear" w:color="auto" w:fill="auto"/>
            <w:noWrap/>
            <w:hideMark/>
          </w:tcPr>
          <w:p w14:paraId="7BDCE482" w14:textId="1A139CDE" w:rsidR="00143D89" w:rsidRPr="001F4507" w:rsidRDefault="00143D89" w:rsidP="001F4507">
            <w:pPr>
              <w:pStyle w:val="TableText"/>
              <w:jc w:val="right"/>
              <w:rPr>
                <w:sz w:val="18"/>
              </w:rPr>
            </w:pPr>
            <w:r w:rsidRPr="001F4507">
              <w:rPr>
                <w:sz w:val="18"/>
              </w:rPr>
              <w:t xml:space="preserve">26.1 </w:t>
            </w:r>
          </w:p>
        </w:tc>
        <w:tc>
          <w:tcPr>
            <w:tcW w:w="1276" w:type="dxa"/>
            <w:tcBorders>
              <w:top w:val="nil"/>
              <w:left w:val="nil"/>
              <w:bottom w:val="nil"/>
              <w:right w:val="nil"/>
            </w:tcBorders>
            <w:shd w:val="clear" w:color="auto" w:fill="auto"/>
            <w:noWrap/>
            <w:hideMark/>
          </w:tcPr>
          <w:p w14:paraId="643744A3" w14:textId="7D75B461" w:rsidR="00143D89" w:rsidRPr="001F4507" w:rsidRDefault="00143D89" w:rsidP="001F4507">
            <w:pPr>
              <w:pStyle w:val="TableText"/>
              <w:jc w:val="right"/>
              <w:rPr>
                <w:sz w:val="18"/>
              </w:rPr>
            </w:pPr>
            <w:r w:rsidRPr="001F4507">
              <w:rPr>
                <w:sz w:val="18"/>
              </w:rPr>
              <w:t xml:space="preserve">168 </w:t>
            </w:r>
          </w:p>
        </w:tc>
        <w:tc>
          <w:tcPr>
            <w:tcW w:w="1134" w:type="dxa"/>
            <w:gridSpan w:val="2"/>
            <w:tcBorders>
              <w:top w:val="nil"/>
              <w:left w:val="nil"/>
              <w:bottom w:val="nil"/>
              <w:right w:val="nil"/>
            </w:tcBorders>
            <w:shd w:val="clear" w:color="auto" w:fill="auto"/>
            <w:noWrap/>
            <w:hideMark/>
          </w:tcPr>
          <w:p w14:paraId="37511355" w14:textId="2795F53C" w:rsidR="00143D89" w:rsidRPr="001F4507" w:rsidRDefault="00143D89" w:rsidP="001F4507">
            <w:pPr>
              <w:pStyle w:val="TableText"/>
              <w:jc w:val="right"/>
              <w:rPr>
                <w:sz w:val="18"/>
              </w:rPr>
            </w:pPr>
            <w:r w:rsidRPr="001F4507">
              <w:rPr>
                <w:sz w:val="18"/>
              </w:rPr>
              <w:t xml:space="preserve">24.0 </w:t>
            </w:r>
          </w:p>
        </w:tc>
        <w:tc>
          <w:tcPr>
            <w:tcW w:w="1134" w:type="dxa"/>
            <w:tcBorders>
              <w:top w:val="nil"/>
              <w:left w:val="nil"/>
              <w:bottom w:val="nil"/>
              <w:right w:val="nil"/>
            </w:tcBorders>
            <w:shd w:val="clear" w:color="auto" w:fill="auto"/>
            <w:noWrap/>
            <w:hideMark/>
          </w:tcPr>
          <w:p w14:paraId="3C5F6FDB" w14:textId="77777777" w:rsidR="00143D89" w:rsidRPr="001F4507" w:rsidRDefault="00143D89" w:rsidP="001F4507">
            <w:pPr>
              <w:pStyle w:val="TableText"/>
              <w:jc w:val="right"/>
              <w:rPr>
                <w:sz w:val="18"/>
              </w:rPr>
            </w:pPr>
            <w:r w:rsidRPr="001F4507">
              <w:rPr>
                <w:sz w:val="18"/>
              </w:rPr>
              <w:t>2.1</w:t>
            </w:r>
          </w:p>
        </w:tc>
      </w:tr>
      <w:tr w:rsidR="00143D89" w:rsidRPr="003C2A16" w14:paraId="63EF2C1D" w14:textId="77777777" w:rsidTr="001F4507">
        <w:trPr>
          <w:cantSplit/>
          <w:trHeight w:val="283"/>
        </w:trPr>
        <w:tc>
          <w:tcPr>
            <w:tcW w:w="2325" w:type="dxa"/>
            <w:tcBorders>
              <w:top w:val="nil"/>
              <w:left w:val="nil"/>
              <w:bottom w:val="nil"/>
              <w:right w:val="nil"/>
            </w:tcBorders>
            <w:shd w:val="clear" w:color="auto" w:fill="auto"/>
            <w:noWrap/>
            <w:hideMark/>
          </w:tcPr>
          <w:p w14:paraId="70049491" w14:textId="77777777" w:rsidR="00143D89" w:rsidRPr="001F4507" w:rsidRDefault="00143D89" w:rsidP="001F4507">
            <w:pPr>
              <w:pStyle w:val="TableText"/>
              <w:rPr>
                <w:sz w:val="18"/>
              </w:rPr>
            </w:pPr>
            <w:r w:rsidRPr="001F4507">
              <w:rPr>
                <w:sz w:val="18"/>
              </w:rPr>
              <w:t xml:space="preserve">     - within 24 weeks</w:t>
            </w:r>
          </w:p>
        </w:tc>
        <w:tc>
          <w:tcPr>
            <w:tcW w:w="1486" w:type="dxa"/>
            <w:tcBorders>
              <w:top w:val="nil"/>
              <w:left w:val="nil"/>
              <w:bottom w:val="nil"/>
              <w:right w:val="nil"/>
            </w:tcBorders>
            <w:shd w:val="clear" w:color="auto" w:fill="auto"/>
            <w:noWrap/>
            <w:hideMark/>
          </w:tcPr>
          <w:p w14:paraId="7AC47AAE" w14:textId="3EEDCC59" w:rsidR="00143D89" w:rsidRPr="001F4507" w:rsidRDefault="00143D89" w:rsidP="001F4507">
            <w:pPr>
              <w:pStyle w:val="TableText"/>
              <w:jc w:val="right"/>
              <w:rPr>
                <w:sz w:val="18"/>
              </w:rPr>
            </w:pPr>
            <w:r w:rsidRPr="001F4507">
              <w:rPr>
                <w:sz w:val="18"/>
              </w:rPr>
              <w:t xml:space="preserve">276 </w:t>
            </w:r>
          </w:p>
        </w:tc>
        <w:tc>
          <w:tcPr>
            <w:tcW w:w="1134" w:type="dxa"/>
            <w:tcBorders>
              <w:top w:val="nil"/>
              <w:left w:val="nil"/>
              <w:bottom w:val="nil"/>
              <w:right w:val="nil"/>
            </w:tcBorders>
            <w:shd w:val="clear" w:color="auto" w:fill="auto"/>
            <w:noWrap/>
            <w:hideMark/>
          </w:tcPr>
          <w:p w14:paraId="5EA356BA" w14:textId="43C54C19" w:rsidR="00143D89" w:rsidRPr="001F4507" w:rsidRDefault="00143D89" w:rsidP="001F4507">
            <w:pPr>
              <w:pStyle w:val="TableText"/>
              <w:jc w:val="right"/>
              <w:rPr>
                <w:sz w:val="18"/>
              </w:rPr>
            </w:pPr>
            <w:r w:rsidRPr="001F4507">
              <w:rPr>
                <w:sz w:val="18"/>
              </w:rPr>
              <w:t xml:space="preserve">55.2 </w:t>
            </w:r>
          </w:p>
        </w:tc>
        <w:tc>
          <w:tcPr>
            <w:tcW w:w="1276" w:type="dxa"/>
            <w:tcBorders>
              <w:top w:val="nil"/>
              <w:left w:val="nil"/>
              <w:bottom w:val="nil"/>
              <w:right w:val="nil"/>
            </w:tcBorders>
            <w:shd w:val="clear" w:color="auto" w:fill="auto"/>
            <w:noWrap/>
            <w:hideMark/>
          </w:tcPr>
          <w:p w14:paraId="3B42FE9A" w14:textId="030525CA" w:rsidR="00143D89" w:rsidRPr="001F4507" w:rsidRDefault="00143D89" w:rsidP="001F4507">
            <w:pPr>
              <w:pStyle w:val="TableText"/>
              <w:jc w:val="right"/>
              <w:rPr>
                <w:sz w:val="18"/>
              </w:rPr>
            </w:pPr>
            <w:r w:rsidRPr="001F4507">
              <w:rPr>
                <w:sz w:val="18"/>
              </w:rPr>
              <w:t xml:space="preserve">296 </w:t>
            </w:r>
          </w:p>
        </w:tc>
        <w:tc>
          <w:tcPr>
            <w:tcW w:w="1134" w:type="dxa"/>
            <w:gridSpan w:val="2"/>
            <w:tcBorders>
              <w:top w:val="nil"/>
              <w:left w:val="nil"/>
              <w:bottom w:val="nil"/>
              <w:right w:val="nil"/>
            </w:tcBorders>
            <w:shd w:val="clear" w:color="auto" w:fill="auto"/>
            <w:noWrap/>
            <w:hideMark/>
          </w:tcPr>
          <w:p w14:paraId="142E3C67" w14:textId="77876D87" w:rsidR="00143D89" w:rsidRPr="001F4507" w:rsidRDefault="00143D89" w:rsidP="001F4507">
            <w:pPr>
              <w:pStyle w:val="TableText"/>
              <w:jc w:val="right"/>
              <w:rPr>
                <w:sz w:val="18"/>
              </w:rPr>
            </w:pPr>
            <w:r w:rsidRPr="001F4507">
              <w:rPr>
                <w:sz w:val="18"/>
              </w:rPr>
              <w:t xml:space="preserve">55.4 </w:t>
            </w:r>
          </w:p>
        </w:tc>
        <w:tc>
          <w:tcPr>
            <w:tcW w:w="1134" w:type="dxa"/>
            <w:tcBorders>
              <w:top w:val="nil"/>
              <w:left w:val="nil"/>
              <w:bottom w:val="nil"/>
              <w:right w:val="nil"/>
            </w:tcBorders>
            <w:shd w:val="clear" w:color="auto" w:fill="auto"/>
            <w:noWrap/>
            <w:hideMark/>
          </w:tcPr>
          <w:p w14:paraId="4CD008D2" w14:textId="77777777" w:rsidR="00143D89" w:rsidRPr="001F4507" w:rsidRDefault="00143D89" w:rsidP="001F4507">
            <w:pPr>
              <w:pStyle w:val="TableText"/>
              <w:jc w:val="right"/>
              <w:rPr>
                <w:sz w:val="18"/>
              </w:rPr>
            </w:pPr>
            <w:r w:rsidRPr="001F4507">
              <w:rPr>
                <w:sz w:val="18"/>
              </w:rPr>
              <w:t>-0.2</w:t>
            </w:r>
          </w:p>
        </w:tc>
      </w:tr>
      <w:tr w:rsidR="005862C9" w:rsidRPr="003C2A16" w14:paraId="30318662" w14:textId="77777777" w:rsidTr="001F4507">
        <w:trPr>
          <w:cantSplit/>
          <w:trHeight w:val="283"/>
        </w:trPr>
        <w:tc>
          <w:tcPr>
            <w:tcW w:w="2325" w:type="dxa"/>
            <w:tcBorders>
              <w:top w:val="nil"/>
              <w:left w:val="nil"/>
              <w:bottom w:val="nil"/>
              <w:right w:val="nil"/>
            </w:tcBorders>
            <w:shd w:val="clear" w:color="auto" w:fill="auto"/>
            <w:noWrap/>
          </w:tcPr>
          <w:p w14:paraId="7848B170" w14:textId="075EAF91" w:rsidR="005862C9" w:rsidRPr="001F4507" w:rsidRDefault="005862C9" w:rsidP="00456B7A">
            <w:pPr>
              <w:pStyle w:val="TableText"/>
              <w:rPr>
                <w:b/>
                <w:bCs w:val="0"/>
                <w:sz w:val="18"/>
              </w:rPr>
            </w:pPr>
            <w:r w:rsidRPr="001F4507">
              <w:rPr>
                <w:b/>
                <w:bCs w:val="0"/>
                <w:i/>
                <w:iCs/>
                <w:sz w:val="18"/>
              </w:rPr>
              <w:t>Age 30 to 49 years</w:t>
            </w:r>
          </w:p>
        </w:tc>
        <w:tc>
          <w:tcPr>
            <w:tcW w:w="1486" w:type="dxa"/>
            <w:tcBorders>
              <w:top w:val="nil"/>
              <w:left w:val="nil"/>
              <w:bottom w:val="nil"/>
              <w:right w:val="nil"/>
            </w:tcBorders>
            <w:shd w:val="clear" w:color="auto" w:fill="auto"/>
            <w:noWrap/>
          </w:tcPr>
          <w:p w14:paraId="17CC12BF" w14:textId="77777777" w:rsidR="005862C9" w:rsidRPr="001F4507" w:rsidDel="00456B7A" w:rsidRDefault="005862C9" w:rsidP="00456B7A">
            <w:pPr>
              <w:pStyle w:val="TableText"/>
              <w:jc w:val="right"/>
              <w:rPr>
                <w:sz w:val="18"/>
              </w:rPr>
            </w:pPr>
          </w:p>
        </w:tc>
        <w:tc>
          <w:tcPr>
            <w:tcW w:w="1134" w:type="dxa"/>
            <w:tcBorders>
              <w:top w:val="nil"/>
              <w:left w:val="nil"/>
              <w:bottom w:val="nil"/>
              <w:right w:val="nil"/>
            </w:tcBorders>
            <w:shd w:val="clear" w:color="auto" w:fill="auto"/>
            <w:noWrap/>
          </w:tcPr>
          <w:p w14:paraId="0AF7E303" w14:textId="77777777" w:rsidR="005862C9" w:rsidRPr="001F4507" w:rsidDel="00456B7A" w:rsidRDefault="005862C9" w:rsidP="00456B7A">
            <w:pPr>
              <w:pStyle w:val="TableText"/>
              <w:jc w:val="right"/>
              <w:rPr>
                <w:sz w:val="18"/>
              </w:rPr>
            </w:pPr>
          </w:p>
        </w:tc>
        <w:tc>
          <w:tcPr>
            <w:tcW w:w="1276" w:type="dxa"/>
            <w:tcBorders>
              <w:top w:val="nil"/>
              <w:left w:val="nil"/>
              <w:bottom w:val="nil"/>
              <w:right w:val="nil"/>
            </w:tcBorders>
            <w:shd w:val="clear" w:color="auto" w:fill="auto"/>
            <w:noWrap/>
          </w:tcPr>
          <w:p w14:paraId="62CC915A" w14:textId="77777777" w:rsidR="005862C9" w:rsidRPr="001F4507" w:rsidDel="00456B7A" w:rsidRDefault="005862C9" w:rsidP="00456B7A">
            <w:pPr>
              <w:pStyle w:val="TableText"/>
              <w:jc w:val="right"/>
              <w:rPr>
                <w:sz w:val="18"/>
              </w:rPr>
            </w:pPr>
          </w:p>
        </w:tc>
        <w:tc>
          <w:tcPr>
            <w:tcW w:w="1134" w:type="dxa"/>
            <w:gridSpan w:val="2"/>
            <w:tcBorders>
              <w:top w:val="nil"/>
              <w:left w:val="nil"/>
              <w:bottom w:val="nil"/>
              <w:right w:val="nil"/>
            </w:tcBorders>
            <w:shd w:val="clear" w:color="auto" w:fill="auto"/>
            <w:noWrap/>
          </w:tcPr>
          <w:p w14:paraId="5CF10A6D" w14:textId="77777777" w:rsidR="005862C9" w:rsidRPr="001F4507" w:rsidDel="00456B7A" w:rsidRDefault="005862C9" w:rsidP="00456B7A">
            <w:pPr>
              <w:pStyle w:val="TableText"/>
              <w:jc w:val="right"/>
              <w:rPr>
                <w:sz w:val="18"/>
              </w:rPr>
            </w:pPr>
          </w:p>
        </w:tc>
        <w:tc>
          <w:tcPr>
            <w:tcW w:w="1134" w:type="dxa"/>
            <w:tcBorders>
              <w:top w:val="nil"/>
              <w:left w:val="nil"/>
              <w:bottom w:val="nil"/>
              <w:right w:val="nil"/>
            </w:tcBorders>
            <w:shd w:val="clear" w:color="auto" w:fill="auto"/>
            <w:noWrap/>
          </w:tcPr>
          <w:p w14:paraId="2629E48C" w14:textId="77777777" w:rsidR="005862C9" w:rsidRPr="001F4507" w:rsidRDefault="005862C9" w:rsidP="00456B7A">
            <w:pPr>
              <w:pStyle w:val="TableText"/>
              <w:jc w:val="right"/>
              <w:rPr>
                <w:sz w:val="18"/>
              </w:rPr>
            </w:pPr>
          </w:p>
        </w:tc>
      </w:tr>
      <w:tr w:rsidR="00143D89" w:rsidRPr="003C2A16" w14:paraId="2DF40425" w14:textId="77777777" w:rsidTr="001F4507">
        <w:trPr>
          <w:cantSplit/>
          <w:trHeight w:val="283"/>
        </w:trPr>
        <w:tc>
          <w:tcPr>
            <w:tcW w:w="2325" w:type="dxa"/>
            <w:tcBorders>
              <w:top w:val="nil"/>
              <w:left w:val="nil"/>
              <w:bottom w:val="nil"/>
              <w:right w:val="nil"/>
            </w:tcBorders>
            <w:shd w:val="clear" w:color="auto" w:fill="auto"/>
            <w:noWrap/>
            <w:hideMark/>
          </w:tcPr>
          <w:p w14:paraId="648CD07E" w14:textId="77777777" w:rsidR="00143D89" w:rsidRPr="001F4507" w:rsidRDefault="00143D89" w:rsidP="001F4507">
            <w:pPr>
              <w:pStyle w:val="TableText"/>
              <w:rPr>
                <w:sz w:val="18"/>
              </w:rPr>
            </w:pPr>
            <w:r w:rsidRPr="001F4507">
              <w:rPr>
                <w:sz w:val="18"/>
              </w:rPr>
              <w:t xml:space="preserve">     - within 4 weeks</w:t>
            </w:r>
          </w:p>
        </w:tc>
        <w:tc>
          <w:tcPr>
            <w:tcW w:w="1486" w:type="dxa"/>
            <w:tcBorders>
              <w:top w:val="nil"/>
              <w:left w:val="nil"/>
              <w:bottom w:val="nil"/>
              <w:right w:val="nil"/>
            </w:tcBorders>
            <w:shd w:val="clear" w:color="auto" w:fill="auto"/>
            <w:noWrap/>
            <w:hideMark/>
          </w:tcPr>
          <w:p w14:paraId="09274EFD" w14:textId="0AEC7242" w:rsidR="00143D89" w:rsidRPr="001F4507" w:rsidRDefault="00143D89" w:rsidP="001F4507">
            <w:pPr>
              <w:pStyle w:val="TableText"/>
              <w:jc w:val="right"/>
              <w:rPr>
                <w:sz w:val="18"/>
              </w:rPr>
            </w:pPr>
            <w:r w:rsidRPr="001F4507">
              <w:rPr>
                <w:sz w:val="18"/>
              </w:rPr>
              <w:t>21</w:t>
            </w:r>
          </w:p>
        </w:tc>
        <w:tc>
          <w:tcPr>
            <w:tcW w:w="1134" w:type="dxa"/>
            <w:tcBorders>
              <w:top w:val="nil"/>
              <w:left w:val="nil"/>
              <w:bottom w:val="nil"/>
              <w:right w:val="nil"/>
            </w:tcBorders>
            <w:shd w:val="clear" w:color="auto" w:fill="auto"/>
            <w:noWrap/>
            <w:hideMark/>
          </w:tcPr>
          <w:p w14:paraId="440DF1E3" w14:textId="7E3374D1" w:rsidR="00143D89" w:rsidRPr="001F4507" w:rsidRDefault="00143D89" w:rsidP="001F4507">
            <w:pPr>
              <w:pStyle w:val="TableText"/>
              <w:jc w:val="right"/>
              <w:rPr>
                <w:sz w:val="18"/>
              </w:rPr>
            </w:pPr>
            <w:r w:rsidRPr="001F4507">
              <w:rPr>
                <w:sz w:val="18"/>
              </w:rPr>
              <w:t>1.7</w:t>
            </w:r>
          </w:p>
        </w:tc>
        <w:tc>
          <w:tcPr>
            <w:tcW w:w="1276" w:type="dxa"/>
            <w:tcBorders>
              <w:top w:val="nil"/>
              <w:left w:val="nil"/>
              <w:bottom w:val="nil"/>
              <w:right w:val="nil"/>
            </w:tcBorders>
            <w:shd w:val="clear" w:color="auto" w:fill="auto"/>
            <w:noWrap/>
            <w:hideMark/>
          </w:tcPr>
          <w:p w14:paraId="66057139" w14:textId="17158258" w:rsidR="00143D89" w:rsidRPr="001F4507" w:rsidRDefault="00143D89" w:rsidP="001F4507">
            <w:pPr>
              <w:pStyle w:val="TableText"/>
              <w:jc w:val="right"/>
              <w:rPr>
                <w:sz w:val="18"/>
              </w:rPr>
            </w:pPr>
            <w:r w:rsidRPr="001F4507">
              <w:rPr>
                <w:sz w:val="18"/>
              </w:rPr>
              <w:t xml:space="preserve">## </w:t>
            </w:r>
          </w:p>
        </w:tc>
        <w:tc>
          <w:tcPr>
            <w:tcW w:w="1134" w:type="dxa"/>
            <w:gridSpan w:val="2"/>
            <w:tcBorders>
              <w:top w:val="nil"/>
              <w:left w:val="nil"/>
              <w:bottom w:val="nil"/>
              <w:right w:val="nil"/>
            </w:tcBorders>
            <w:shd w:val="clear" w:color="auto" w:fill="auto"/>
            <w:noWrap/>
            <w:hideMark/>
          </w:tcPr>
          <w:p w14:paraId="79D576CA" w14:textId="2F362CBB" w:rsidR="00143D89" w:rsidRPr="001F4507" w:rsidRDefault="00143D89" w:rsidP="001F4507">
            <w:pPr>
              <w:pStyle w:val="TableText"/>
              <w:jc w:val="right"/>
              <w:rPr>
                <w:sz w:val="18"/>
              </w:rPr>
            </w:pPr>
            <w:r w:rsidRPr="001F4507">
              <w:rPr>
                <w:sz w:val="18"/>
              </w:rPr>
              <w:t xml:space="preserve">1.3 </w:t>
            </w:r>
          </w:p>
        </w:tc>
        <w:tc>
          <w:tcPr>
            <w:tcW w:w="1134" w:type="dxa"/>
            <w:tcBorders>
              <w:top w:val="nil"/>
              <w:left w:val="nil"/>
              <w:bottom w:val="nil"/>
              <w:right w:val="nil"/>
            </w:tcBorders>
            <w:shd w:val="clear" w:color="auto" w:fill="auto"/>
            <w:noWrap/>
            <w:hideMark/>
          </w:tcPr>
          <w:p w14:paraId="0D3B107B" w14:textId="77777777" w:rsidR="00143D89" w:rsidRPr="001F4507" w:rsidRDefault="00143D89" w:rsidP="001F4507">
            <w:pPr>
              <w:pStyle w:val="TableText"/>
              <w:jc w:val="right"/>
              <w:rPr>
                <w:sz w:val="18"/>
              </w:rPr>
            </w:pPr>
            <w:r w:rsidRPr="001F4507">
              <w:rPr>
                <w:sz w:val="18"/>
              </w:rPr>
              <w:t>0.4</w:t>
            </w:r>
          </w:p>
        </w:tc>
      </w:tr>
      <w:tr w:rsidR="00143D89" w:rsidRPr="003C2A16" w14:paraId="5926395A" w14:textId="77777777" w:rsidTr="001F4507">
        <w:trPr>
          <w:cantSplit/>
          <w:trHeight w:val="283"/>
        </w:trPr>
        <w:tc>
          <w:tcPr>
            <w:tcW w:w="2325" w:type="dxa"/>
            <w:tcBorders>
              <w:top w:val="nil"/>
              <w:left w:val="nil"/>
              <w:bottom w:val="nil"/>
              <w:right w:val="nil"/>
            </w:tcBorders>
            <w:shd w:val="clear" w:color="auto" w:fill="auto"/>
            <w:noWrap/>
            <w:hideMark/>
          </w:tcPr>
          <w:p w14:paraId="054FC188" w14:textId="77777777" w:rsidR="00143D89" w:rsidRPr="001F4507" w:rsidRDefault="00143D89" w:rsidP="001F4507">
            <w:pPr>
              <w:pStyle w:val="TableText"/>
              <w:rPr>
                <w:sz w:val="18"/>
              </w:rPr>
            </w:pPr>
            <w:r w:rsidRPr="001F4507">
              <w:rPr>
                <w:sz w:val="18"/>
              </w:rPr>
              <w:t xml:space="preserve">     - within 12 weeks</w:t>
            </w:r>
          </w:p>
        </w:tc>
        <w:tc>
          <w:tcPr>
            <w:tcW w:w="1486" w:type="dxa"/>
            <w:tcBorders>
              <w:top w:val="nil"/>
              <w:left w:val="nil"/>
              <w:bottom w:val="nil"/>
              <w:right w:val="nil"/>
            </w:tcBorders>
            <w:shd w:val="clear" w:color="auto" w:fill="auto"/>
            <w:noWrap/>
            <w:hideMark/>
          </w:tcPr>
          <w:p w14:paraId="5FC039D3" w14:textId="4C5ED5B4" w:rsidR="00143D89" w:rsidRPr="001F4507" w:rsidRDefault="00143D89" w:rsidP="001F4507">
            <w:pPr>
              <w:pStyle w:val="TableText"/>
              <w:jc w:val="right"/>
              <w:rPr>
                <w:sz w:val="18"/>
              </w:rPr>
            </w:pPr>
            <w:r w:rsidRPr="001F4507">
              <w:rPr>
                <w:sz w:val="18"/>
              </w:rPr>
              <w:t>215</w:t>
            </w:r>
          </w:p>
        </w:tc>
        <w:tc>
          <w:tcPr>
            <w:tcW w:w="1134" w:type="dxa"/>
            <w:tcBorders>
              <w:top w:val="nil"/>
              <w:left w:val="nil"/>
              <w:bottom w:val="nil"/>
              <w:right w:val="nil"/>
            </w:tcBorders>
            <w:shd w:val="clear" w:color="auto" w:fill="auto"/>
            <w:noWrap/>
            <w:hideMark/>
          </w:tcPr>
          <w:p w14:paraId="6C772F10" w14:textId="6D393713" w:rsidR="00143D89" w:rsidRPr="001F4507" w:rsidRDefault="00143D89" w:rsidP="001F4507">
            <w:pPr>
              <w:pStyle w:val="TableText"/>
              <w:jc w:val="right"/>
              <w:rPr>
                <w:sz w:val="18"/>
              </w:rPr>
            </w:pPr>
            <w:r w:rsidRPr="001F4507">
              <w:rPr>
                <w:sz w:val="18"/>
              </w:rPr>
              <w:t>22.8</w:t>
            </w:r>
          </w:p>
        </w:tc>
        <w:tc>
          <w:tcPr>
            <w:tcW w:w="1276" w:type="dxa"/>
            <w:tcBorders>
              <w:top w:val="nil"/>
              <w:left w:val="nil"/>
              <w:bottom w:val="nil"/>
              <w:right w:val="nil"/>
            </w:tcBorders>
            <w:shd w:val="clear" w:color="auto" w:fill="auto"/>
            <w:noWrap/>
            <w:hideMark/>
          </w:tcPr>
          <w:p w14:paraId="335569BB" w14:textId="4702C831" w:rsidR="00143D89" w:rsidRPr="001F4507" w:rsidRDefault="00143D89" w:rsidP="001F4507">
            <w:pPr>
              <w:pStyle w:val="TableText"/>
              <w:jc w:val="right"/>
              <w:rPr>
                <w:sz w:val="18"/>
              </w:rPr>
            </w:pPr>
            <w:r w:rsidRPr="001F4507">
              <w:rPr>
                <w:sz w:val="18"/>
              </w:rPr>
              <w:t>179</w:t>
            </w:r>
          </w:p>
        </w:tc>
        <w:tc>
          <w:tcPr>
            <w:tcW w:w="1134" w:type="dxa"/>
            <w:gridSpan w:val="2"/>
            <w:tcBorders>
              <w:top w:val="nil"/>
              <w:left w:val="nil"/>
              <w:bottom w:val="nil"/>
              <w:right w:val="nil"/>
            </w:tcBorders>
            <w:shd w:val="clear" w:color="auto" w:fill="auto"/>
            <w:noWrap/>
            <w:hideMark/>
          </w:tcPr>
          <w:p w14:paraId="6EC5FA94" w14:textId="50C6D60B" w:rsidR="00143D89" w:rsidRPr="001F4507" w:rsidRDefault="00143D89" w:rsidP="001F4507">
            <w:pPr>
              <w:pStyle w:val="TableText"/>
              <w:jc w:val="right"/>
              <w:rPr>
                <w:sz w:val="18"/>
              </w:rPr>
            </w:pPr>
            <w:r w:rsidRPr="001F4507">
              <w:rPr>
                <w:sz w:val="18"/>
              </w:rPr>
              <w:t>19.0</w:t>
            </w:r>
          </w:p>
        </w:tc>
        <w:tc>
          <w:tcPr>
            <w:tcW w:w="1134" w:type="dxa"/>
            <w:tcBorders>
              <w:top w:val="nil"/>
              <w:left w:val="nil"/>
              <w:bottom w:val="nil"/>
              <w:right w:val="nil"/>
            </w:tcBorders>
            <w:shd w:val="clear" w:color="auto" w:fill="auto"/>
            <w:noWrap/>
            <w:hideMark/>
          </w:tcPr>
          <w:p w14:paraId="3C2B0331" w14:textId="77777777" w:rsidR="00143D89" w:rsidRPr="001F4507" w:rsidRDefault="00143D89" w:rsidP="001F4507">
            <w:pPr>
              <w:pStyle w:val="TableText"/>
              <w:jc w:val="right"/>
              <w:rPr>
                <w:sz w:val="18"/>
              </w:rPr>
            </w:pPr>
            <w:r w:rsidRPr="001F4507">
              <w:rPr>
                <w:sz w:val="18"/>
              </w:rPr>
              <w:t>3.8*</w:t>
            </w:r>
          </w:p>
        </w:tc>
      </w:tr>
      <w:tr w:rsidR="00143D89" w:rsidRPr="003C2A16" w14:paraId="2E475C70" w14:textId="77777777" w:rsidTr="001F4507">
        <w:trPr>
          <w:cantSplit/>
          <w:trHeight w:val="283"/>
        </w:trPr>
        <w:tc>
          <w:tcPr>
            <w:tcW w:w="2325" w:type="dxa"/>
            <w:tcBorders>
              <w:top w:val="nil"/>
              <w:left w:val="nil"/>
              <w:bottom w:val="nil"/>
              <w:right w:val="nil"/>
            </w:tcBorders>
            <w:shd w:val="clear" w:color="auto" w:fill="auto"/>
            <w:noWrap/>
            <w:hideMark/>
          </w:tcPr>
          <w:p w14:paraId="2A7327A2" w14:textId="77777777" w:rsidR="00143D89" w:rsidRPr="001F4507" w:rsidRDefault="00143D89" w:rsidP="001F4507">
            <w:pPr>
              <w:pStyle w:val="TableText"/>
              <w:rPr>
                <w:sz w:val="18"/>
              </w:rPr>
            </w:pPr>
            <w:r w:rsidRPr="001F4507">
              <w:rPr>
                <w:sz w:val="18"/>
              </w:rPr>
              <w:t xml:space="preserve">     - within 24 weeks</w:t>
            </w:r>
          </w:p>
        </w:tc>
        <w:tc>
          <w:tcPr>
            <w:tcW w:w="1486" w:type="dxa"/>
            <w:tcBorders>
              <w:top w:val="nil"/>
              <w:left w:val="nil"/>
              <w:bottom w:val="nil"/>
              <w:right w:val="nil"/>
            </w:tcBorders>
            <w:shd w:val="clear" w:color="auto" w:fill="auto"/>
            <w:noWrap/>
            <w:hideMark/>
          </w:tcPr>
          <w:p w14:paraId="1EC447F2" w14:textId="770E4074" w:rsidR="00143D89" w:rsidRPr="001F4507" w:rsidRDefault="00143D89" w:rsidP="001F4507">
            <w:pPr>
              <w:pStyle w:val="TableText"/>
              <w:jc w:val="right"/>
              <w:rPr>
                <w:sz w:val="18"/>
              </w:rPr>
            </w:pPr>
            <w:r w:rsidRPr="001F4507">
              <w:rPr>
                <w:sz w:val="18"/>
              </w:rPr>
              <w:t>300</w:t>
            </w:r>
          </w:p>
        </w:tc>
        <w:tc>
          <w:tcPr>
            <w:tcW w:w="1134" w:type="dxa"/>
            <w:tcBorders>
              <w:top w:val="nil"/>
              <w:left w:val="nil"/>
              <w:bottom w:val="nil"/>
              <w:right w:val="nil"/>
            </w:tcBorders>
            <w:shd w:val="clear" w:color="auto" w:fill="auto"/>
            <w:noWrap/>
            <w:hideMark/>
          </w:tcPr>
          <w:p w14:paraId="6B08DD70" w14:textId="78CBA7E2" w:rsidR="00143D89" w:rsidRPr="001F4507" w:rsidRDefault="00143D89" w:rsidP="001F4507">
            <w:pPr>
              <w:pStyle w:val="TableText"/>
              <w:jc w:val="right"/>
              <w:rPr>
                <w:sz w:val="18"/>
              </w:rPr>
            </w:pPr>
            <w:r w:rsidRPr="001F4507">
              <w:rPr>
                <w:sz w:val="18"/>
              </w:rPr>
              <w:t>50.6</w:t>
            </w:r>
          </w:p>
        </w:tc>
        <w:tc>
          <w:tcPr>
            <w:tcW w:w="1276" w:type="dxa"/>
            <w:tcBorders>
              <w:top w:val="nil"/>
              <w:left w:val="nil"/>
              <w:bottom w:val="nil"/>
              <w:right w:val="nil"/>
            </w:tcBorders>
            <w:shd w:val="clear" w:color="auto" w:fill="auto"/>
            <w:noWrap/>
            <w:hideMark/>
          </w:tcPr>
          <w:p w14:paraId="4E23F950" w14:textId="77777777" w:rsidR="00143D89" w:rsidRPr="001F4507" w:rsidRDefault="00143D89" w:rsidP="001F4507">
            <w:pPr>
              <w:pStyle w:val="TableText"/>
              <w:jc w:val="right"/>
              <w:rPr>
                <w:sz w:val="18"/>
              </w:rPr>
            </w:pPr>
            <w:r w:rsidRPr="001F4507">
              <w:rPr>
                <w:sz w:val="18"/>
              </w:rPr>
              <w:t xml:space="preserve">287 </w:t>
            </w:r>
          </w:p>
        </w:tc>
        <w:tc>
          <w:tcPr>
            <w:tcW w:w="1134" w:type="dxa"/>
            <w:gridSpan w:val="2"/>
            <w:tcBorders>
              <w:top w:val="nil"/>
              <w:left w:val="nil"/>
              <w:bottom w:val="nil"/>
              <w:right w:val="nil"/>
            </w:tcBorders>
            <w:shd w:val="clear" w:color="auto" w:fill="auto"/>
            <w:noWrap/>
            <w:hideMark/>
          </w:tcPr>
          <w:p w14:paraId="552053FE" w14:textId="77777777" w:rsidR="00143D89" w:rsidRPr="001F4507" w:rsidRDefault="00143D89" w:rsidP="001F4507">
            <w:pPr>
              <w:pStyle w:val="TableText"/>
              <w:jc w:val="right"/>
              <w:rPr>
                <w:sz w:val="18"/>
              </w:rPr>
            </w:pPr>
            <w:r w:rsidRPr="001F4507">
              <w:rPr>
                <w:sz w:val="18"/>
              </w:rPr>
              <w:t xml:space="preserve">48.3 </w:t>
            </w:r>
          </w:p>
        </w:tc>
        <w:tc>
          <w:tcPr>
            <w:tcW w:w="1134" w:type="dxa"/>
            <w:tcBorders>
              <w:top w:val="nil"/>
              <w:left w:val="nil"/>
              <w:bottom w:val="nil"/>
              <w:right w:val="nil"/>
            </w:tcBorders>
            <w:shd w:val="clear" w:color="auto" w:fill="auto"/>
            <w:noWrap/>
            <w:hideMark/>
          </w:tcPr>
          <w:p w14:paraId="5443209F" w14:textId="77777777" w:rsidR="00143D89" w:rsidRPr="001F4507" w:rsidRDefault="00143D89" w:rsidP="001F4507">
            <w:pPr>
              <w:pStyle w:val="TableText"/>
              <w:jc w:val="right"/>
              <w:rPr>
                <w:sz w:val="18"/>
              </w:rPr>
            </w:pPr>
            <w:r w:rsidRPr="001F4507">
              <w:rPr>
                <w:sz w:val="18"/>
              </w:rPr>
              <w:t>2.3</w:t>
            </w:r>
          </w:p>
        </w:tc>
      </w:tr>
      <w:tr w:rsidR="005862C9" w:rsidRPr="003C2A16" w14:paraId="237E0533" w14:textId="77777777" w:rsidTr="001F4507">
        <w:trPr>
          <w:cantSplit/>
          <w:trHeight w:val="283"/>
        </w:trPr>
        <w:tc>
          <w:tcPr>
            <w:tcW w:w="2325" w:type="dxa"/>
            <w:tcBorders>
              <w:top w:val="nil"/>
              <w:left w:val="nil"/>
              <w:bottom w:val="nil"/>
              <w:right w:val="nil"/>
            </w:tcBorders>
            <w:shd w:val="clear" w:color="auto" w:fill="auto"/>
            <w:noWrap/>
            <w:hideMark/>
          </w:tcPr>
          <w:p w14:paraId="02B20504" w14:textId="37F49225" w:rsidR="005862C9" w:rsidRPr="001F4507" w:rsidRDefault="005862C9" w:rsidP="001F4507">
            <w:pPr>
              <w:pStyle w:val="TableText"/>
              <w:rPr>
                <w:b/>
                <w:i/>
                <w:iCs/>
                <w:sz w:val="18"/>
              </w:rPr>
            </w:pPr>
            <w:r w:rsidRPr="001F4507">
              <w:rPr>
                <w:b/>
                <w:bCs w:val="0"/>
                <w:i/>
                <w:iCs/>
                <w:sz w:val="18"/>
              </w:rPr>
              <w:lastRenderedPageBreak/>
              <w:t>Age 50 years and over</w:t>
            </w:r>
          </w:p>
        </w:tc>
        <w:tc>
          <w:tcPr>
            <w:tcW w:w="1486" w:type="dxa"/>
            <w:tcBorders>
              <w:top w:val="nil"/>
              <w:left w:val="nil"/>
              <w:bottom w:val="nil"/>
              <w:right w:val="nil"/>
            </w:tcBorders>
            <w:shd w:val="clear" w:color="auto" w:fill="auto"/>
            <w:noWrap/>
            <w:hideMark/>
          </w:tcPr>
          <w:p w14:paraId="02771325" w14:textId="464E3810" w:rsidR="005862C9" w:rsidRPr="001F4507" w:rsidRDefault="005862C9" w:rsidP="001F4507">
            <w:pPr>
              <w:pStyle w:val="TableText"/>
              <w:jc w:val="right"/>
              <w:rPr>
                <w:i/>
                <w:iCs/>
                <w:sz w:val="18"/>
              </w:rPr>
            </w:pPr>
            <w:r w:rsidRPr="001F4507">
              <w:rPr>
                <w:i/>
                <w:iCs/>
                <w:color w:val="FFFFFF" w:themeColor="background1"/>
                <w:sz w:val="18"/>
              </w:rPr>
              <w:t>——</w:t>
            </w:r>
          </w:p>
        </w:tc>
        <w:tc>
          <w:tcPr>
            <w:tcW w:w="1134" w:type="dxa"/>
            <w:tcBorders>
              <w:top w:val="nil"/>
              <w:left w:val="nil"/>
              <w:bottom w:val="nil"/>
              <w:right w:val="nil"/>
            </w:tcBorders>
            <w:shd w:val="clear" w:color="auto" w:fill="auto"/>
            <w:noWrap/>
            <w:hideMark/>
          </w:tcPr>
          <w:p w14:paraId="2D2617C2" w14:textId="3108565B" w:rsidR="005862C9" w:rsidRPr="001F4507" w:rsidRDefault="005862C9" w:rsidP="001F4507">
            <w:pPr>
              <w:pStyle w:val="TableText"/>
              <w:jc w:val="right"/>
              <w:rPr>
                <w:rFonts w:ascii="Times New Roman" w:hAnsi="Times New Roman"/>
                <w:sz w:val="18"/>
              </w:rPr>
            </w:pPr>
            <w:r w:rsidRPr="001F4507">
              <w:rPr>
                <w:i/>
                <w:iCs/>
                <w:color w:val="FFFFFF" w:themeColor="background1"/>
                <w:sz w:val="18"/>
              </w:rPr>
              <w:t>—</w:t>
            </w:r>
          </w:p>
        </w:tc>
        <w:tc>
          <w:tcPr>
            <w:tcW w:w="1276" w:type="dxa"/>
            <w:tcBorders>
              <w:top w:val="nil"/>
              <w:left w:val="nil"/>
              <w:bottom w:val="nil"/>
              <w:right w:val="nil"/>
            </w:tcBorders>
            <w:shd w:val="clear" w:color="auto" w:fill="auto"/>
            <w:noWrap/>
            <w:hideMark/>
          </w:tcPr>
          <w:p w14:paraId="296A497C" w14:textId="33C41547" w:rsidR="005862C9" w:rsidRPr="001F4507" w:rsidRDefault="005862C9" w:rsidP="001F4507">
            <w:pPr>
              <w:pStyle w:val="TableText"/>
              <w:jc w:val="right"/>
              <w:rPr>
                <w:rFonts w:ascii="Times New Roman" w:hAnsi="Times New Roman"/>
                <w:sz w:val="18"/>
              </w:rPr>
            </w:pPr>
            <w:r w:rsidRPr="001F4507">
              <w:rPr>
                <w:i/>
                <w:iCs/>
                <w:color w:val="FFFFFF" w:themeColor="background1"/>
                <w:sz w:val="18"/>
              </w:rPr>
              <w:t>—</w:t>
            </w:r>
          </w:p>
        </w:tc>
        <w:tc>
          <w:tcPr>
            <w:tcW w:w="1134" w:type="dxa"/>
            <w:gridSpan w:val="2"/>
            <w:tcBorders>
              <w:top w:val="nil"/>
              <w:left w:val="nil"/>
              <w:bottom w:val="nil"/>
              <w:right w:val="nil"/>
            </w:tcBorders>
            <w:shd w:val="clear" w:color="auto" w:fill="auto"/>
            <w:noWrap/>
            <w:hideMark/>
          </w:tcPr>
          <w:p w14:paraId="6D91EE57" w14:textId="02F5FB6C" w:rsidR="005862C9" w:rsidRPr="001F4507" w:rsidRDefault="005862C9" w:rsidP="001F4507">
            <w:pPr>
              <w:pStyle w:val="TableText"/>
              <w:jc w:val="right"/>
              <w:rPr>
                <w:rFonts w:ascii="Times New Roman" w:hAnsi="Times New Roman"/>
                <w:sz w:val="18"/>
              </w:rPr>
            </w:pPr>
            <w:r w:rsidRPr="001F4507">
              <w:rPr>
                <w:i/>
                <w:iCs/>
                <w:color w:val="FFFFFF" w:themeColor="background1"/>
                <w:sz w:val="18"/>
              </w:rPr>
              <w:t>—</w:t>
            </w:r>
          </w:p>
        </w:tc>
        <w:tc>
          <w:tcPr>
            <w:tcW w:w="1134" w:type="dxa"/>
            <w:tcBorders>
              <w:top w:val="nil"/>
              <w:left w:val="nil"/>
              <w:bottom w:val="nil"/>
              <w:right w:val="nil"/>
            </w:tcBorders>
            <w:shd w:val="clear" w:color="auto" w:fill="auto"/>
            <w:noWrap/>
            <w:hideMark/>
          </w:tcPr>
          <w:p w14:paraId="127166B6" w14:textId="3C9777D3" w:rsidR="005862C9" w:rsidRPr="001F4507" w:rsidRDefault="005862C9" w:rsidP="001F4507">
            <w:pPr>
              <w:pStyle w:val="TableText"/>
              <w:jc w:val="right"/>
              <w:rPr>
                <w:sz w:val="18"/>
              </w:rPr>
            </w:pPr>
            <w:r w:rsidRPr="001F4507">
              <w:rPr>
                <w:i/>
                <w:iCs/>
                <w:color w:val="FFFFFF" w:themeColor="background1"/>
                <w:sz w:val="18"/>
              </w:rPr>
              <w:t>—</w:t>
            </w:r>
          </w:p>
        </w:tc>
      </w:tr>
      <w:tr w:rsidR="00143D89" w:rsidRPr="003C2A16" w14:paraId="57F2612C" w14:textId="77777777" w:rsidTr="001F4507">
        <w:trPr>
          <w:cantSplit/>
          <w:trHeight w:val="283"/>
        </w:trPr>
        <w:tc>
          <w:tcPr>
            <w:tcW w:w="2325" w:type="dxa"/>
            <w:tcBorders>
              <w:top w:val="nil"/>
              <w:left w:val="nil"/>
              <w:bottom w:val="nil"/>
              <w:right w:val="nil"/>
            </w:tcBorders>
            <w:shd w:val="clear" w:color="auto" w:fill="auto"/>
            <w:noWrap/>
            <w:hideMark/>
          </w:tcPr>
          <w:p w14:paraId="349A2808" w14:textId="77777777" w:rsidR="00143D89" w:rsidRPr="001F4507" w:rsidRDefault="00143D89" w:rsidP="001F4507">
            <w:pPr>
              <w:pStyle w:val="TableText"/>
              <w:rPr>
                <w:sz w:val="18"/>
              </w:rPr>
            </w:pPr>
            <w:r w:rsidRPr="001F4507">
              <w:rPr>
                <w:sz w:val="18"/>
              </w:rPr>
              <w:t xml:space="preserve">     - within 4 weeks</w:t>
            </w:r>
          </w:p>
        </w:tc>
        <w:tc>
          <w:tcPr>
            <w:tcW w:w="1486" w:type="dxa"/>
            <w:tcBorders>
              <w:top w:val="nil"/>
              <w:left w:val="nil"/>
              <w:bottom w:val="nil"/>
              <w:right w:val="nil"/>
            </w:tcBorders>
            <w:shd w:val="clear" w:color="auto" w:fill="auto"/>
            <w:noWrap/>
            <w:hideMark/>
          </w:tcPr>
          <w:p w14:paraId="18FE7EB8" w14:textId="3FF63BF1" w:rsidR="00143D89" w:rsidRPr="001F4507" w:rsidRDefault="00143D89" w:rsidP="001F4507">
            <w:pPr>
              <w:pStyle w:val="TableText"/>
              <w:jc w:val="right"/>
              <w:rPr>
                <w:color w:val="000000" w:themeColor="text1"/>
                <w:sz w:val="18"/>
              </w:rPr>
            </w:pPr>
            <w:r w:rsidRPr="001F4507">
              <w:rPr>
                <w:color w:val="000000" w:themeColor="text1"/>
                <w:sz w:val="18"/>
              </w:rPr>
              <w:t>##</w:t>
            </w:r>
          </w:p>
        </w:tc>
        <w:tc>
          <w:tcPr>
            <w:tcW w:w="1134" w:type="dxa"/>
            <w:tcBorders>
              <w:top w:val="nil"/>
              <w:left w:val="nil"/>
              <w:bottom w:val="nil"/>
              <w:right w:val="nil"/>
            </w:tcBorders>
            <w:shd w:val="clear" w:color="auto" w:fill="auto"/>
            <w:noWrap/>
            <w:hideMark/>
          </w:tcPr>
          <w:p w14:paraId="76501B14" w14:textId="64665F1F" w:rsidR="00143D89" w:rsidRPr="001F4507" w:rsidRDefault="00143D89" w:rsidP="001F4507">
            <w:pPr>
              <w:pStyle w:val="TableText"/>
              <w:jc w:val="right"/>
              <w:rPr>
                <w:color w:val="000000" w:themeColor="text1"/>
                <w:sz w:val="18"/>
              </w:rPr>
            </w:pPr>
            <w:r w:rsidRPr="001F4507">
              <w:rPr>
                <w:color w:val="000000" w:themeColor="text1"/>
                <w:sz w:val="18"/>
              </w:rPr>
              <w:t xml:space="preserve">2.7 </w:t>
            </w:r>
          </w:p>
        </w:tc>
        <w:tc>
          <w:tcPr>
            <w:tcW w:w="1276" w:type="dxa"/>
            <w:tcBorders>
              <w:top w:val="nil"/>
              <w:left w:val="nil"/>
              <w:bottom w:val="nil"/>
              <w:right w:val="nil"/>
            </w:tcBorders>
            <w:shd w:val="clear" w:color="auto" w:fill="auto"/>
            <w:noWrap/>
            <w:hideMark/>
          </w:tcPr>
          <w:p w14:paraId="7A2BBDFB" w14:textId="53C0A5FF" w:rsidR="00143D89" w:rsidRPr="001F4507" w:rsidRDefault="00143D89" w:rsidP="001F4507">
            <w:pPr>
              <w:pStyle w:val="TableText"/>
              <w:jc w:val="right"/>
              <w:rPr>
                <w:color w:val="000000" w:themeColor="text1"/>
                <w:sz w:val="18"/>
              </w:rPr>
            </w:pPr>
            <w:r w:rsidRPr="001F4507">
              <w:rPr>
                <w:color w:val="000000" w:themeColor="text1"/>
                <w:sz w:val="18"/>
              </w:rPr>
              <w:t>##</w:t>
            </w:r>
          </w:p>
        </w:tc>
        <w:tc>
          <w:tcPr>
            <w:tcW w:w="1134" w:type="dxa"/>
            <w:gridSpan w:val="2"/>
            <w:tcBorders>
              <w:top w:val="nil"/>
              <w:left w:val="nil"/>
              <w:bottom w:val="nil"/>
              <w:right w:val="nil"/>
            </w:tcBorders>
            <w:shd w:val="clear" w:color="auto" w:fill="auto"/>
            <w:noWrap/>
            <w:hideMark/>
          </w:tcPr>
          <w:p w14:paraId="7B243FCA" w14:textId="26AE878C" w:rsidR="00143D89" w:rsidRPr="001F4507" w:rsidRDefault="00143D89" w:rsidP="001F4507">
            <w:pPr>
              <w:pStyle w:val="TableText"/>
              <w:jc w:val="right"/>
              <w:rPr>
                <w:color w:val="000000" w:themeColor="text1"/>
                <w:sz w:val="18"/>
              </w:rPr>
            </w:pPr>
            <w:r w:rsidRPr="001F4507">
              <w:rPr>
                <w:color w:val="000000" w:themeColor="text1"/>
                <w:sz w:val="18"/>
              </w:rPr>
              <w:t>0.7</w:t>
            </w:r>
          </w:p>
        </w:tc>
        <w:tc>
          <w:tcPr>
            <w:tcW w:w="1134" w:type="dxa"/>
            <w:tcBorders>
              <w:top w:val="nil"/>
              <w:left w:val="nil"/>
              <w:bottom w:val="nil"/>
              <w:right w:val="nil"/>
            </w:tcBorders>
            <w:shd w:val="clear" w:color="auto" w:fill="auto"/>
            <w:noWrap/>
            <w:hideMark/>
          </w:tcPr>
          <w:p w14:paraId="38B02118" w14:textId="77777777" w:rsidR="00143D89" w:rsidRPr="001F4507" w:rsidRDefault="00143D89" w:rsidP="001F4507">
            <w:pPr>
              <w:pStyle w:val="TableText"/>
              <w:jc w:val="right"/>
              <w:rPr>
                <w:sz w:val="18"/>
              </w:rPr>
            </w:pPr>
            <w:r w:rsidRPr="001F4507">
              <w:rPr>
                <w:sz w:val="18"/>
              </w:rPr>
              <w:t>2.0*</w:t>
            </w:r>
          </w:p>
        </w:tc>
      </w:tr>
      <w:tr w:rsidR="00143D89" w:rsidRPr="003C2A16" w14:paraId="43FEC3E7" w14:textId="77777777" w:rsidTr="001F4507">
        <w:trPr>
          <w:cantSplit/>
          <w:trHeight w:val="283"/>
        </w:trPr>
        <w:tc>
          <w:tcPr>
            <w:tcW w:w="2325" w:type="dxa"/>
            <w:tcBorders>
              <w:top w:val="nil"/>
              <w:left w:val="nil"/>
              <w:bottom w:val="nil"/>
              <w:right w:val="nil"/>
            </w:tcBorders>
            <w:shd w:val="clear" w:color="auto" w:fill="auto"/>
            <w:noWrap/>
            <w:hideMark/>
          </w:tcPr>
          <w:p w14:paraId="0886AB75" w14:textId="77777777" w:rsidR="00143D89" w:rsidRPr="001F4507" w:rsidRDefault="00143D89" w:rsidP="001F4507">
            <w:pPr>
              <w:pStyle w:val="TableText"/>
              <w:rPr>
                <w:sz w:val="18"/>
              </w:rPr>
            </w:pPr>
            <w:r w:rsidRPr="001F4507">
              <w:rPr>
                <w:sz w:val="18"/>
              </w:rPr>
              <w:t xml:space="preserve">     - within 12 weeks</w:t>
            </w:r>
          </w:p>
        </w:tc>
        <w:tc>
          <w:tcPr>
            <w:tcW w:w="1486" w:type="dxa"/>
            <w:tcBorders>
              <w:top w:val="nil"/>
              <w:left w:val="nil"/>
              <w:bottom w:val="nil"/>
              <w:right w:val="nil"/>
            </w:tcBorders>
            <w:shd w:val="clear" w:color="auto" w:fill="auto"/>
            <w:noWrap/>
            <w:hideMark/>
          </w:tcPr>
          <w:p w14:paraId="316C4C25" w14:textId="1092D5A9" w:rsidR="00143D89" w:rsidRPr="001F4507" w:rsidRDefault="00143D89" w:rsidP="001F4507">
            <w:pPr>
              <w:pStyle w:val="TableText"/>
              <w:jc w:val="right"/>
              <w:rPr>
                <w:sz w:val="18"/>
              </w:rPr>
            </w:pPr>
            <w:r w:rsidRPr="001F4507">
              <w:rPr>
                <w:sz w:val="18"/>
              </w:rPr>
              <w:t xml:space="preserve">85 </w:t>
            </w:r>
          </w:p>
        </w:tc>
        <w:tc>
          <w:tcPr>
            <w:tcW w:w="1134" w:type="dxa"/>
            <w:tcBorders>
              <w:top w:val="nil"/>
              <w:left w:val="nil"/>
              <w:bottom w:val="nil"/>
              <w:right w:val="nil"/>
            </w:tcBorders>
            <w:shd w:val="clear" w:color="auto" w:fill="auto"/>
            <w:noWrap/>
            <w:hideMark/>
          </w:tcPr>
          <w:p w14:paraId="22B1FA77" w14:textId="77777777" w:rsidR="00143D89" w:rsidRPr="001F4507" w:rsidRDefault="00143D89" w:rsidP="001F4507">
            <w:pPr>
              <w:pStyle w:val="TableText"/>
              <w:jc w:val="right"/>
              <w:rPr>
                <w:sz w:val="18"/>
              </w:rPr>
            </w:pPr>
            <w:r w:rsidRPr="001F4507">
              <w:rPr>
                <w:sz w:val="18"/>
              </w:rPr>
              <w:t xml:space="preserve">20.1 </w:t>
            </w:r>
          </w:p>
        </w:tc>
        <w:tc>
          <w:tcPr>
            <w:tcW w:w="1276" w:type="dxa"/>
            <w:tcBorders>
              <w:top w:val="nil"/>
              <w:left w:val="nil"/>
              <w:bottom w:val="nil"/>
              <w:right w:val="nil"/>
            </w:tcBorders>
            <w:shd w:val="clear" w:color="auto" w:fill="auto"/>
            <w:noWrap/>
            <w:hideMark/>
          </w:tcPr>
          <w:p w14:paraId="20E26499" w14:textId="6C1B7907" w:rsidR="00143D89" w:rsidRPr="001F4507" w:rsidRDefault="00143D89" w:rsidP="001F4507">
            <w:pPr>
              <w:pStyle w:val="TableText"/>
              <w:jc w:val="right"/>
              <w:rPr>
                <w:sz w:val="18"/>
              </w:rPr>
            </w:pPr>
            <w:r w:rsidRPr="001F4507">
              <w:rPr>
                <w:sz w:val="18"/>
              </w:rPr>
              <w:t xml:space="preserve">62 </w:t>
            </w:r>
          </w:p>
        </w:tc>
        <w:tc>
          <w:tcPr>
            <w:tcW w:w="1134" w:type="dxa"/>
            <w:gridSpan w:val="2"/>
            <w:tcBorders>
              <w:top w:val="nil"/>
              <w:left w:val="nil"/>
              <w:bottom w:val="nil"/>
              <w:right w:val="nil"/>
            </w:tcBorders>
            <w:shd w:val="clear" w:color="auto" w:fill="auto"/>
            <w:noWrap/>
            <w:hideMark/>
          </w:tcPr>
          <w:p w14:paraId="283A125B" w14:textId="77777777" w:rsidR="00143D89" w:rsidRPr="001F4507" w:rsidRDefault="00143D89" w:rsidP="001F4507">
            <w:pPr>
              <w:pStyle w:val="TableText"/>
              <w:jc w:val="right"/>
              <w:rPr>
                <w:sz w:val="18"/>
              </w:rPr>
            </w:pPr>
            <w:r w:rsidRPr="001F4507">
              <w:rPr>
                <w:sz w:val="18"/>
              </w:rPr>
              <w:t xml:space="preserve">14.6 </w:t>
            </w:r>
          </w:p>
        </w:tc>
        <w:tc>
          <w:tcPr>
            <w:tcW w:w="1134" w:type="dxa"/>
            <w:tcBorders>
              <w:top w:val="nil"/>
              <w:left w:val="nil"/>
              <w:bottom w:val="nil"/>
              <w:right w:val="nil"/>
            </w:tcBorders>
            <w:shd w:val="clear" w:color="auto" w:fill="auto"/>
            <w:noWrap/>
            <w:hideMark/>
          </w:tcPr>
          <w:p w14:paraId="56DEFF8E" w14:textId="77777777" w:rsidR="00143D89" w:rsidRPr="001F4507" w:rsidRDefault="00143D89" w:rsidP="001F4507">
            <w:pPr>
              <w:pStyle w:val="TableText"/>
              <w:jc w:val="right"/>
              <w:rPr>
                <w:sz w:val="18"/>
              </w:rPr>
            </w:pPr>
            <w:r w:rsidRPr="001F4507">
              <w:rPr>
                <w:sz w:val="18"/>
              </w:rPr>
              <w:t>5.5*</w:t>
            </w:r>
          </w:p>
        </w:tc>
      </w:tr>
      <w:tr w:rsidR="00143D89" w:rsidRPr="003C2A16" w14:paraId="2DD28317" w14:textId="77777777" w:rsidTr="001F4507">
        <w:trPr>
          <w:cantSplit/>
          <w:trHeight w:val="283"/>
        </w:trPr>
        <w:tc>
          <w:tcPr>
            <w:tcW w:w="2325" w:type="dxa"/>
            <w:tcBorders>
              <w:top w:val="nil"/>
              <w:left w:val="nil"/>
              <w:bottom w:val="single" w:sz="8" w:space="0" w:color="auto"/>
              <w:right w:val="nil"/>
            </w:tcBorders>
            <w:shd w:val="clear" w:color="auto" w:fill="auto"/>
            <w:noWrap/>
            <w:hideMark/>
          </w:tcPr>
          <w:p w14:paraId="1FAE3C2D" w14:textId="77777777" w:rsidR="00143D89" w:rsidRPr="001F4507" w:rsidRDefault="00143D89" w:rsidP="001F4507">
            <w:pPr>
              <w:pStyle w:val="TableText"/>
              <w:rPr>
                <w:sz w:val="18"/>
              </w:rPr>
            </w:pPr>
            <w:r w:rsidRPr="001F4507">
              <w:rPr>
                <w:sz w:val="18"/>
              </w:rPr>
              <w:t xml:space="preserve">     - within 24 weeks</w:t>
            </w:r>
          </w:p>
        </w:tc>
        <w:tc>
          <w:tcPr>
            <w:tcW w:w="1486" w:type="dxa"/>
            <w:tcBorders>
              <w:top w:val="nil"/>
              <w:left w:val="nil"/>
              <w:bottom w:val="single" w:sz="8" w:space="0" w:color="auto"/>
              <w:right w:val="nil"/>
            </w:tcBorders>
            <w:shd w:val="clear" w:color="auto" w:fill="auto"/>
            <w:noWrap/>
            <w:hideMark/>
          </w:tcPr>
          <w:p w14:paraId="7A475A38" w14:textId="77777777" w:rsidR="00143D89" w:rsidRPr="001F4507" w:rsidRDefault="00143D89" w:rsidP="001F4507">
            <w:pPr>
              <w:pStyle w:val="TableText"/>
              <w:jc w:val="right"/>
              <w:rPr>
                <w:sz w:val="18"/>
              </w:rPr>
            </w:pPr>
            <w:r w:rsidRPr="001F4507">
              <w:rPr>
                <w:sz w:val="18"/>
              </w:rPr>
              <w:t xml:space="preserve">106 </w:t>
            </w:r>
          </w:p>
        </w:tc>
        <w:tc>
          <w:tcPr>
            <w:tcW w:w="1134" w:type="dxa"/>
            <w:tcBorders>
              <w:top w:val="nil"/>
              <w:left w:val="nil"/>
              <w:bottom w:val="single" w:sz="8" w:space="0" w:color="auto"/>
              <w:right w:val="nil"/>
            </w:tcBorders>
            <w:shd w:val="clear" w:color="auto" w:fill="auto"/>
            <w:noWrap/>
            <w:hideMark/>
          </w:tcPr>
          <w:p w14:paraId="1E5D0850" w14:textId="77777777" w:rsidR="00143D89" w:rsidRPr="001F4507" w:rsidRDefault="00143D89" w:rsidP="001F4507">
            <w:pPr>
              <w:pStyle w:val="TableText"/>
              <w:jc w:val="right"/>
              <w:rPr>
                <w:sz w:val="18"/>
              </w:rPr>
            </w:pPr>
            <w:r w:rsidRPr="001F4507">
              <w:rPr>
                <w:sz w:val="18"/>
              </w:rPr>
              <w:t xml:space="preserve">40.0 </w:t>
            </w:r>
          </w:p>
        </w:tc>
        <w:tc>
          <w:tcPr>
            <w:tcW w:w="1276" w:type="dxa"/>
            <w:tcBorders>
              <w:top w:val="nil"/>
              <w:left w:val="nil"/>
              <w:bottom w:val="single" w:sz="8" w:space="0" w:color="auto"/>
              <w:right w:val="nil"/>
            </w:tcBorders>
            <w:shd w:val="clear" w:color="auto" w:fill="auto"/>
            <w:noWrap/>
            <w:hideMark/>
          </w:tcPr>
          <w:p w14:paraId="7214A32D" w14:textId="77777777" w:rsidR="00143D89" w:rsidRPr="001F4507" w:rsidRDefault="00143D89" w:rsidP="001F4507">
            <w:pPr>
              <w:pStyle w:val="TableText"/>
              <w:jc w:val="right"/>
              <w:rPr>
                <w:sz w:val="18"/>
              </w:rPr>
            </w:pPr>
            <w:r w:rsidRPr="001F4507">
              <w:rPr>
                <w:sz w:val="18"/>
              </w:rPr>
              <w:t xml:space="preserve">110 </w:t>
            </w:r>
          </w:p>
        </w:tc>
        <w:tc>
          <w:tcPr>
            <w:tcW w:w="1134" w:type="dxa"/>
            <w:gridSpan w:val="2"/>
            <w:tcBorders>
              <w:top w:val="nil"/>
              <w:left w:val="nil"/>
              <w:bottom w:val="single" w:sz="8" w:space="0" w:color="auto"/>
              <w:right w:val="nil"/>
            </w:tcBorders>
            <w:shd w:val="clear" w:color="auto" w:fill="auto"/>
            <w:noWrap/>
            <w:hideMark/>
          </w:tcPr>
          <w:p w14:paraId="1CC4E571" w14:textId="74FEEA11" w:rsidR="00143D89" w:rsidRPr="001F4507" w:rsidRDefault="00143D89" w:rsidP="001F4507">
            <w:pPr>
              <w:pStyle w:val="TableText"/>
              <w:jc w:val="right"/>
              <w:rPr>
                <w:sz w:val="18"/>
              </w:rPr>
            </w:pPr>
            <w:r w:rsidRPr="001F4507">
              <w:rPr>
                <w:sz w:val="18"/>
              </w:rPr>
              <w:t>41.7</w:t>
            </w:r>
          </w:p>
        </w:tc>
        <w:tc>
          <w:tcPr>
            <w:tcW w:w="1134" w:type="dxa"/>
            <w:tcBorders>
              <w:top w:val="nil"/>
              <w:left w:val="nil"/>
              <w:bottom w:val="single" w:sz="8" w:space="0" w:color="auto"/>
              <w:right w:val="nil"/>
            </w:tcBorders>
            <w:shd w:val="clear" w:color="auto" w:fill="auto"/>
            <w:noWrap/>
            <w:hideMark/>
          </w:tcPr>
          <w:p w14:paraId="48A2EFB3" w14:textId="77777777" w:rsidR="00143D89" w:rsidRPr="001F4507" w:rsidRDefault="00143D89" w:rsidP="001F4507">
            <w:pPr>
              <w:pStyle w:val="TableText"/>
              <w:jc w:val="right"/>
              <w:rPr>
                <w:sz w:val="18"/>
              </w:rPr>
            </w:pPr>
            <w:r w:rsidRPr="001F4507">
              <w:rPr>
                <w:sz w:val="18"/>
              </w:rPr>
              <w:t>-1.7</w:t>
            </w:r>
          </w:p>
        </w:tc>
      </w:tr>
    </w:tbl>
    <w:p w14:paraId="6027D34B" w14:textId="41139629" w:rsidR="00DC744E" w:rsidRPr="00F71A22" w:rsidRDefault="00143D89" w:rsidP="001F4507">
      <w:pPr>
        <w:pStyle w:val="Source"/>
        <w:contextualSpacing/>
        <w:rPr>
          <w:rFonts w:ascii="Calibri" w:eastAsiaTheme="majorEastAsia" w:hAnsi="Calibri" w:cstheme="majorBidi"/>
          <w:color w:val="008276"/>
          <w:sz w:val="28"/>
          <w:szCs w:val="24"/>
        </w:rPr>
      </w:pPr>
      <w:r w:rsidRPr="00F71A22">
        <w:rPr>
          <w:b/>
          <w:bCs/>
        </w:rPr>
        <w:t>Source</w:t>
      </w:r>
      <w:r w:rsidRPr="00F71A22">
        <w:t xml:space="preserve">: DESE </w:t>
      </w:r>
      <w:r w:rsidR="00DA1E0C">
        <w:t>a</w:t>
      </w:r>
      <w:r w:rsidRPr="00F71A22">
        <w:t xml:space="preserve">dministrative </w:t>
      </w:r>
      <w:r w:rsidR="00DA1E0C">
        <w:t>d</w:t>
      </w:r>
      <w:r w:rsidRPr="00F71A22">
        <w:t>ata</w:t>
      </w:r>
      <w:r w:rsidR="00281087">
        <w:br/>
      </w:r>
      <w:r w:rsidRPr="001F4507">
        <w:rPr>
          <w:b/>
          <w:bCs/>
        </w:rPr>
        <w:t>Note</w:t>
      </w:r>
      <w:r w:rsidRPr="00F71A22">
        <w:t>:</w:t>
      </w:r>
      <w:r w:rsidR="00281087">
        <w:br/>
      </w:r>
      <w:r w:rsidRPr="00F71A22">
        <w:rPr>
          <w:szCs w:val="18"/>
        </w:rPr>
        <w:t>* indicates statistically significant difference between groups at p &lt; 0.05</w:t>
      </w:r>
      <w:bookmarkStart w:id="247" w:name="_Hlk52968574"/>
      <w:bookmarkEnd w:id="244"/>
      <w:r w:rsidR="00281087">
        <w:rPr>
          <w:szCs w:val="18"/>
        </w:rPr>
        <w:br/>
      </w:r>
      <w:r w:rsidRPr="00F71A22">
        <w:rPr>
          <w:szCs w:val="18"/>
        </w:rPr>
        <w:t>## indicates values lower than 20</w:t>
      </w:r>
      <w:bookmarkEnd w:id="247"/>
      <w:r w:rsidR="00DC744E" w:rsidRPr="00F71A22">
        <w:br w:type="page"/>
      </w:r>
    </w:p>
    <w:p w14:paraId="72E1CF77" w14:textId="7579CF91" w:rsidR="00DC744E" w:rsidRPr="00F71A22" w:rsidRDefault="00DC744E" w:rsidP="00DC744E">
      <w:pPr>
        <w:pStyle w:val="Heading3"/>
      </w:pPr>
      <w:bookmarkStart w:id="248" w:name="_Toc67042654"/>
      <w:r w:rsidRPr="00F71A22">
        <w:lastRenderedPageBreak/>
        <w:t>Location</w:t>
      </w:r>
      <w:bookmarkEnd w:id="245"/>
      <w:bookmarkEnd w:id="246"/>
      <w:bookmarkEnd w:id="248"/>
    </w:p>
    <w:p w14:paraId="1D3C9808" w14:textId="0848AA34" w:rsidR="00143D89" w:rsidRPr="0006562C" w:rsidRDefault="00143D89" w:rsidP="0006562C">
      <w:pPr>
        <w:pStyle w:val="TableCaption"/>
      </w:pPr>
      <w:bookmarkStart w:id="249" w:name="_Ref448260"/>
      <w:bookmarkStart w:id="250" w:name="_Ref448273"/>
      <w:bookmarkStart w:id="251" w:name="_Toc1475165"/>
      <w:bookmarkStart w:id="252" w:name="_Toc1475780"/>
      <w:bookmarkStart w:id="253" w:name="_Toc51144059"/>
      <w:bookmarkStart w:id="254" w:name="_Toc67042668"/>
      <w:bookmarkStart w:id="255" w:name="_Toc47520165"/>
      <w:bookmarkStart w:id="256" w:name="_Toc49871075"/>
      <w:r w:rsidRPr="0006562C">
        <w:t>Table</w:t>
      </w:r>
      <w:bookmarkEnd w:id="249"/>
      <w:r w:rsidRPr="001F4507">
        <w:t xml:space="preserve"> E2</w:t>
      </w:r>
      <w:r w:rsidRPr="0006562C">
        <w:t xml:space="preserve"> </w:t>
      </w:r>
      <w:bookmarkEnd w:id="250"/>
      <w:bookmarkEnd w:id="251"/>
      <w:bookmarkEnd w:id="252"/>
      <w:r w:rsidRPr="001F4507">
        <w:t>Exits by remoteness</w:t>
      </w:r>
      <w:bookmarkEnd w:id="253"/>
      <w:bookmarkEnd w:id="254"/>
    </w:p>
    <w:tbl>
      <w:tblPr>
        <w:tblW w:w="9013" w:type="dxa"/>
        <w:tblLook w:val="04A0" w:firstRow="1" w:lastRow="0" w:firstColumn="1" w:lastColumn="0" w:noHBand="0" w:noVBand="1"/>
      </w:tblPr>
      <w:tblGrid>
        <w:gridCol w:w="2200"/>
        <w:gridCol w:w="1486"/>
        <w:gridCol w:w="1417"/>
        <w:gridCol w:w="1642"/>
        <w:gridCol w:w="851"/>
        <w:gridCol w:w="1417"/>
      </w:tblGrid>
      <w:tr w:rsidR="00143D89" w:rsidRPr="00F71A22" w14:paraId="612658F7" w14:textId="77777777" w:rsidTr="007A36BA">
        <w:trPr>
          <w:cantSplit/>
          <w:trHeight w:val="536"/>
          <w:tblHeader/>
        </w:trPr>
        <w:tc>
          <w:tcPr>
            <w:tcW w:w="2200" w:type="dxa"/>
            <w:tcBorders>
              <w:top w:val="single" w:sz="4" w:space="0" w:color="auto"/>
              <w:left w:val="nil"/>
              <w:bottom w:val="single" w:sz="8" w:space="0" w:color="auto"/>
              <w:right w:val="nil"/>
            </w:tcBorders>
            <w:shd w:val="clear" w:color="auto" w:fill="002D3F"/>
            <w:vAlign w:val="center"/>
            <w:hideMark/>
          </w:tcPr>
          <w:p w14:paraId="38A13A1B"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Exits</w:t>
            </w:r>
          </w:p>
        </w:tc>
        <w:tc>
          <w:tcPr>
            <w:tcW w:w="1486" w:type="dxa"/>
            <w:tcBorders>
              <w:top w:val="single" w:sz="4" w:space="0" w:color="auto"/>
              <w:left w:val="nil"/>
              <w:bottom w:val="single" w:sz="8" w:space="0" w:color="auto"/>
              <w:right w:val="nil"/>
            </w:tcBorders>
            <w:shd w:val="clear" w:color="auto" w:fill="002D3F"/>
            <w:vAlign w:val="center"/>
            <w:hideMark/>
          </w:tcPr>
          <w:p w14:paraId="1C3EF76D"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OEST participants</w:t>
            </w:r>
          </w:p>
        </w:tc>
        <w:tc>
          <w:tcPr>
            <w:tcW w:w="1417" w:type="dxa"/>
            <w:tcBorders>
              <w:top w:val="single" w:sz="4" w:space="0" w:color="auto"/>
              <w:left w:val="nil"/>
              <w:bottom w:val="single" w:sz="8" w:space="0" w:color="auto"/>
              <w:right w:val="nil"/>
            </w:tcBorders>
            <w:shd w:val="clear" w:color="auto" w:fill="002D3F"/>
            <w:vAlign w:val="center"/>
            <w:hideMark/>
          </w:tcPr>
          <w:p w14:paraId="36A6CD5E"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642" w:type="dxa"/>
            <w:tcBorders>
              <w:top w:val="single" w:sz="4" w:space="0" w:color="auto"/>
              <w:left w:val="nil"/>
              <w:bottom w:val="single" w:sz="8" w:space="0" w:color="auto"/>
              <w:right w:val="nil"/>
            </w:tcBorders>
            <w:shd w:val="clear" w:color="auto" w:fill="002D3F"/>
            <w:vAlign w:val="center"/>
            <w:hideMark/>
          </w:tcPr>
          <w:p w14:paraId="38214E8A"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comparison group</w:t>
            </w:r>
          </w:p>
        </w:tc>
        <w:tc>
          <w:tcPr>
            <w:tcW w:w="851" w:type="dxa"/>
            <w:tcBorders>
              <w:top w:val="single" w:sz="4" w:space="0" w:color="auto"/>
              <w:left w:val="nil"/>
              <w:bottom w:val="single" w:sz="8" w:space="0" w:color="auto"/>
              <w:right w:val="nil"/>
            </w:tcBorders>
            <w:shd w:val="clear" w:color="auto" w:fill="002D3F"/>
            <w:vAlign w:val="center"/>
            <w:hideMark/>
          </w:tcPr>
          <w:p w14:paraId="70CED13B"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417" w:type="dxa"/>
            <w:tcBorders>
              <w:top w:val="single" w:sz="4" w:space="0" w:color="auto"/>
              <w:left w:val="nil"/>
              <w:bottom w:val="single" w:sz="8" w:space="0" w:color="auto"/>
              <w:right w:val="nil"/>
            </w:tcBorders>
            <w:shd w:val="clear" w:color="auto" w:fill="002D3F"/>
            <w:vAlign w:val="center"/>
            <w:hideMark/>
          </w:tcPr>
          <w:p w14:paraId="493DC11D"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 cent difference</w:t>
            </w:r>
          </w:p>
        </w:tc>
      </w:tr>
      <w:tr w:rsidR="00EB3AB7" w:rsidRPr="00F71A22" w14:paraId="41B6B836" w14:textId="77777777" w:rsidTr="001F4507">
        <w:trPr>
          <w:trHeight w:val="283"/>
        </w:trPr>
        <w:tc>
          <w:tcPr>
            <w:tcW w:w="2200" w:type="dxa"/>
            <w:tcBorders>
              <w:top w:val="nil"/>
              <w:left w:val="nil"/>
              <w:bottom w:val="nil"/>
              <w:right w:val="nil"/>
            </w:tcBorders>
            <w:shd w:val="clear" w:color="auto" w:fill="auto"/>
            <w:noWrap/>
            <w:vAlign w:val="bottom"/>
          </w:tcPr>
          <w:p w14:paraId="202CE9CA" w14:textId="2DC8470C"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income support</w:t>
            </w:r>
          </w:p>
        </w:tc>
        <w:tc>
          <w:tcPr>
            <w:tcW w:w="1486" w:type="dxa"/>
            <w:tcBorders>
              <w:top w:val="nil"/>
              <w:left w:val="nil"/>
              <w:bottom w:val="nil"/>
              <w:right w:val="nil"/>
            </w:tcBorders>
            <w:shd w:val="clear" w:color="auto" w:fill="auto"/>
            <w:noWrap/>
            <w:vAlign w:val="bottom"/>
          </w:tcPr>
          <w:p w14:paraId="7611A25A" w14:textId="482ACEB6"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1F4507">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tcPr>
          <w:p w14:paraId="1D8E4AD6" w14:textId="47CA2512"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AE4DBD">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tcPr>
          <w:p w14:paraId="76D9BC32" w14:textId="30FD0F36"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AE4DBD">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tcPr>
          <w:p w14:paraId="1A15BCCF" w14:textId="773D6521"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AE4DBD">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tcPr>
          <w:p w14:paraId="4EF90161" w14:textId="095D8D04"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AE4DBD">
              <w:rPr>
                <w:rFonts w:ascii="Calibri" w:eastAsia="Times New Roman" w:hAnsi="Calibri" w:cs="Times New Roman"/>
                <w:b/>
                <w:bCs/>
                <w:i/>
                <w:iCs/>
                <w:color w:val="FFFFFF" w:themeColor="background1"/>
                <w:sz w:val="18"/>
                <w:szCs w:val="18"/>
                <w:lang w:eastAsia="en-AU"/>
              </w:rPr>
              <w:t>—</w:t>
            </w:r>
          </w:p>
        </w:tc>
      </w:tr>
      <w:tr w:rsidR="00EB3AB7" w:rsidRPr="00F71A22" w14:paraId="06F75747" w14:textId="77777777" w:rsidTr="001F4507">
        <w:trPr>
          <w:trHeight w:val="283"/>
        </w:trPr>
        <w:tc>
          <w:tcPr>
            <w:tcW w:w="2200" w:type="dxa"/>
            <w:tcBorders>
              <w:top w:val="nil"/>
              <w:left w:val="nil"/>
              <w:bottom w:val="nil"/>
              <w:right w:val="nil"/>
            </w:tcBorders>
            <w:shd w:val="clear" w:color="auto" w:fill="auto"/>
            <w:noWrap/>
            <w:vAlign w:val="bottom"/>
            <w:hideMark/>
          </w:tcPr>
          <w:p w14:paraId="3C69C683" w14:textId="66B644C9"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Major cities</w:t>
            </w:r>
          </w:p>
        </w:tc>
        <w:tc>
          <w:tcPr>
            <w:tcW w:w="1486" w:type="dxa"/>
            <w:tcBorders>
              <w:top w:val="nil"/>
              <w:left w:val="nil"/>
              <w:bottom w:val="nil"/>
              <w:right w:val="nil"/>
            </w:tcBorders>
            <w:shd w:val="clear" w:color="auto" w:fill="auto"/>
            <w:noWrap/>
            <w:hideMark/>
          </w:tcPr>
          <w:p w14:paraId="40F175CB" w14:textId="42DE4E1D"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EC6261">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0A40BD4C" w14:textId="65678214"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EC6261">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hideMark/>
          </w:tcPr>
          <w:p w14:paraId="70AACA33" w14:textId="4EF62769"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EC6261">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hideMark/>
          </w:tcPr>
          <w:p w14:paraId="631BEC34" w14:textId="5452C16F"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EC6261">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41417376" w14:textId="05D39472"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EC6261">
              <w:rPr>
                <w:rFonts w:ascii="Calibri" w:eastAsia="Times New Roman" w:hAnsi="Calibri" w:cs="Times New Roman"/>
                <w:b/>
                <w:bCs/>
                <w:i/>
                <w:iCs/>
                <w:color w:val="FFFFFF" w:themeColor="background1"/>
                <w:sz w:val="18"/>
                <w:szCs w:val="18"/>
                <w:lang w:eastAsia="en-AU"/>
              </w:rPr>
              <w:t>—</w:t>
            </w:r>
          </w:p>
        </w:tc>
      </w:tr>
      <w:tr w:rsidR="00143D89" w:rsidRPr="00F71A22" w14:paraId="3281CB7D" w14:textId="77777777" w:rsidTr="001F4507">
        <w:trPr>
          <w:trHeight w:val="283"/>
        </w:trPr>
        <w:tc>
          <w:tcPr>
            <w:tcW w:w="2200" w:type="dxa"/>
            <w:tcBorders>
              <w:top w:val="nil"/>
              <w:left w:val="nil"/>
              <w:bottom w:val="nil"/>
              <w:right w:val="nil"/>
            </w:tcBorders>
            <w:shd w:val="clear" w:color="auto" w:fill="auto"/>
            <w:noWrap/>
            <w:vAlign w:val="bottom"/>
            <w:hideMark/>
          </w:tcPr>
          <w:p w14:paraId="59DBF75D"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86" w:type="dxa"/>
            <w:tcBorders>
              <w:top w:val="nil"/>
              <w:left w:val="nil"/>
              <w:bottom w:val="nil"/>
              <w:right w:val="nil"/>
            </w:tcBorders>
            <w:shd w:val="clear" w:color="auto" w:fill="auto"/>
            <w:noWrap/>
            <w:vAlign w:val="bottom"/>
            <w:hideMark/>
          </w:tcPr>
          <w:p w14:paraId="66AD89F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491 </w:t>
            </w:r>
          </w:p>
        </w:tc>
        <w:tc>
          <w:tcPr>
            <w:tcW w:w="1417" w:type="dxa"/>
            <w:tcBorders>
              <w:top w:val="nil"/>
              <w:left w:val="nil"/>
              <w:bottom w:val="nil"/>
              <w:right w:val="nil"/>
            </w:tcBorders>
            <w:shd w:val="clear" w:color="auto" w:fill="auto"/>
            <w:noWrap/>
            <w:vAlign w:val="bottom"/>
            <w:hideMark/>
          </w:tcPr>
          <w:p w14:paraId="2A91D69E" w14:textId="5542B92E"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9.9 </w:t>
            </w:r>
          </w:p>
        </w:tc>
        <w:tc>
          <w:tcPr>
            <w:tcW w:w="1642" w:type="dxa"/>
            <w:tcBorders>
              <w:top w:val="nil"/>
              <w:left w:val="nil"/>
              <w:bottom w:val="nil"/>
              <w:right w:val="nil"/>
            </w:tcBorders>
            <w:shd w:val="clear" w:color="auto" w:fill="auto"/>
            <w:noWrap/>
            <w:vAlign w:val="bottom"/>
            <w:hideMark/>
          </w:tcPr>
          <w:p w14:paraId="37E32CB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383 </w:t>
            </w:r>
          </w:p>
        </w:tc>
        <w:tc>
          <w:tcPr>
            <w:tcW w:w="851" w:type="dxa"/>
            <w:tcBorders>
              <w:top w:val="nil"/>
              <w:left w:val="nil"/>
              <w:bottom w:val="nil"/>
              <w:right w:val="nil"/>
            </w:tcBorders>
            <w:shd w:val="clear" w:color="auto" w:fill="auto"/>
            <w:noWrap/>
            <w:vAlign w:val="bottom"/>
            <w:hideMark/>
          </w:tcPr>
          <w:p w14:paraId="21381120" w14:textId="19356883"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7.7 </w:t>
            </w:r>
          </w:p>
        </w:tc>
        <w:tc>
          <w:tcPr>
            <w:tcW w:w="1417" w:type="dxa"/>
            <w:tcBorders>
              <w:top w:val="nil"/>
              <w:left w:val="nil"/>
              <w:bottom w:val="nil"/>
              <w:right w:val="nil"/>
            </w:tcBorders>
            <w:shd w:val="clear" w:color="auto" w:fill="auto"/>
            <w:noWrap/>
            <w:vAlign w:val="bottom"/>
            <w:hideMark/>
          </w:tcPr>
          <w:p w14:paraId="7EF5B08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2.2*</w:t>
            </w:r>
          </w:p>
        </w:tc>
      </w:tr>
      <w:tr w:rsidR="00143D89" w:rsidRPr="00F71A22" w14:paraId="2349A701" w14:textId="77777777" w:rsidTr="001F4507">
        <w:trPr>
          <w:trHeight w:val="283"/>
        </w:trPr>
        <w:tc>
          <w:tcPr>
            <w:tcW w:w="2200" w:type="dxa"/>
            <w:tcBorders>
              <w:top w:val="nil"/>
              <w:left w:val="nil"/>
              <w:bottom w:val="nil"/>
              <w:right w:val="nil"/>
            </w:tcBorders>
            <w:shd w:val="clear" w:color="auto" w:fill="auto"/>
            <w:noWrap/>
            <w:vAlign w:val="bottom"/>
            <w:hideMark/>
          </w:tcPr>
          <w:p w14:paraId="386846EA"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86" w:type="dxa"/>
            <w:tcBorders>
              <w:top w:val="nil"/>
              <w:left w:val="nil"/>
              <w:bottom w:val="nil"/>
              <w:right w:val="nil"/>
            </w:tcBorders>
            <w:shd w:val="clear" w:color="auto" w:fill="auto"/>
            <w:noWrap/>
            <w:vAlign w:val="bottom"/>
            <w:hideMark/>
          </w:tcPr>
          <w:p w14:paraId="137543F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1,304 </w:t>
            </w:r>
          </w:p>
        </w:tc>
        <w:tc>
          <w:tcPr>
            <w:tcW w:w="1417" w:type="dxa"/>
            <w:tcBorders>
              <w:top w:val="nil"/>
              <w:left w:val="nil"/>
              <w:bottom w:val="nil"/>
              <w:right w:val="nil"/>
            </w:tcBorders>
            <w:shd w:val="clear" w:color="auto" w:fill="auto"/>
            <w:noWrap/>
            <w:vAlign w:val="bottom"/>
            <w:hideMark/>
          </w:tcPr>
          <w:p w14:paraId="14BC529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32.7 </w:t>
            </w:r>
          </w:p>
        </w:tc>
        <w:tc>
          <w:tcPr>
            <w:tcW w:w="1642" w:type="dxa"/>
            <w:tcBorders>
              <w:top w:val="nil"/>
              <w:left w:val="nil"/>
              <w:bottom w:val="nil"/>
              <w:right w:val="nil"/>
            </w:tcBorders>
            <w:shd w:val="clear" w:color="auto" w:fill="auto"/>
            <w:noWrap/>
            <w:vAlign w:val="bottom"/>
            <w:hideMark/>
          </w:tcPr>
          <w:p w14:paraId="17B91CC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1,216 </w:t>
            </w:r>
          </w:p>
        </w:tc>
        <w:tc>
          <w:tcPr>
            <w:tcW w:w="851" w:type="dxa"/>
            <w:tcBorders>
              <w:top w:val="nil"/>
              <w:left w:val="nil"/>
              <w:bottom w:val="nil"/>
              <w:right w:val="nil"/>
            </w:tcBorders>
            <w:shd w:val="clear" w:color="auto" w:fill="auto"/>
            <w:noWrap/>
            <w:vAlign w:val="bottom"/>
            <w:hideMark/>
          </w:tcPr>
          <w:p w14:paraId="3391174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30.4 </w:t>
            </w:r>
          </w:p>
        </w:tc>
        <w:tc>
          <w:tcPr>
            <w:tcW w:w="1417" w:type="dxa"/>
            <w:tcBorders>
              <w:top w:val="nil"/>
              <w:left w:val="nil"/>
              <w:bottom w:val="nil"/>
              <w:right w:val="nil"/>
            </w:tcBorders>
            <w:shd w:val="clear" w:color="auto" w:fill="auto"/>
            <w:noWrap/>
            <w:vAlign w:val="bottom"/>
            <w:hideMark/>
          </w:tcPr>
          <w:p w14:paraId="60366EE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2.3*</w:t>
            </w:r>
          </w:p>
        </w:tc>
      </w:tr>
      <w:tr w:rsidR="00143D89" w:rsidRPr="00F71A22" w14:paraId="5D9D1D92" w14:textId="77777777" w:rsidTr="001F4507">
        <w:trPr>
          <w:trHeight w:val="283"/>
        </w:trPr>
        <w:tc>
          <w:tcPr>
            <w:tcW w:w="2200" w:type="dxa"/>
            <w:tcBorders>
              <w:top w:val="nil"/>
              <w:left w:val="nil"/>
              <w:bottom w:val="nil"/>
              <w:right w:val="nil"/>
            </w:tcBorders>
            <w:shd w:val="clear" w:color="auto" w:fill="auto"/>
            <w:noWrap/>
            <w:vAlign w:val="bottom"/>
            <w:hideMark/>
          </w:tcPr>
          <w:p w14:paraId="5B989A5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86" w:type="dxa"/>
            <w:tcBorders>
              <w:top w:val="nil"/>
              <w:left w:val="nil"/>
              <w:bottom w:val="nil"/>
              <w:right w:val="nil"/>
            </w:tcBorders>
            <w:shd w:val="clear" w:color="auto" w:fill="auto"/>
            <w:noWrap/>
            <w:vAlign w:val="bottom"/>
            <w:hideMark/>
          </w:tcPr>
          <w:p w14:paraId="0865F8A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1,400 </w:t>
            </w:r>
          </w:p>
        </w:tc>
        <w:tc>
          <w:tcPr>
            <w:tcW w:w="1417" w:type="dxa"/>
            <w:tcBorders>
              <w:top w:val="nil"/>
              <w:left w:val="nil"/>
              <w:bottom w:val="nil"/>
              <w:right w:val="nil"/>
            </w:tcBorders>
            <w:shd w:val="clear" w:color="auto" w:fill="auto"/>
            <w:noWrap/>
            <w:vAlign w:val="bottom"/>
            <w:hideMark/>
          </w:tcPr>
          <w:p w14:paraId="4B014B4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50.5 </w:t>
            </w:r>
          </w:p>
        </w:tc>
        <w:tc>
          <w:tcPr>
            <w:tcW w:w="1642" w:type="dxa"/>
            <w:tcBorders>
              <w:top w:val="nil"/>
              <w:left w:val="nil"/>
              <w:bottom w:val="nil"/>
              <w:right w:val="nil"/>
            </w:tcBorders>
            <w:shd w:val="clear" w:color="auto" w:fill="auto"/>
            <w:noWrap/>
            <w:vAlign w:val="bottom"/>
            <w:hideMark/>
          </w:tcPr>
          <w:p w14:paraId="0BB2B5F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1,471 </w:t>
            </w:r>
          </w:p>
        </w:tc>
        <w:tc>
          <w:tcPr>
            <w:tcW w:w="851" w:type="dxa"/>
            <w:tcBorders>
              <w:top w:val="nil"/>
              <w:left w:val="nil"/>
              <w:bottom w:val="nil"/>
              <w:right w:val="nil"/>
            </w:tcBorders>
            <w:shd w:val="clear" w:color="auto" w:fill="auto"/>
            <w:noWrap/>
            <w:vAlign w:val="bottom"/>
            <w:hideMark/>
          </w:tcPr>
          <w:p w14:paraId="61FCB62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53.2 </w:t>
            </w:r>
          </w:p>
        </w:tc>
        <w:tc>
          <w:tcPr>
            <w:tcW w:w="1417" w:type="dxa"/>
            <w:tcBorders>
              <w:top w:val="nil"/>
              <w:left w:val="nil"/>
              <w:bottom w:val="nil"/>
              <w:right w:val="nil"/>
            </w:tcBorders>
            <w:shd w:val="clear" w:color="auto" w:fill="auto"/>
            <w:noWrap/>
            <w:vAlign w:val="bottom"/>
            <w:hideMark/>
          </w:tcPr>
          <w:p w14:paraId="36E3D63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-2.7</w:t>
            </w:r>
          </w:p>
        </w:tc>
      </w:tr>
      <w:tr w:rsidR="00EB3AB7" w:rsidRPr="00F71A22" w14:paraId="558E3275" w14:textId="77777777" w:rsidTr="001F4507">
        <w:trPr>
          <w:trHeight w:val="283"/>
        </w:trPr>
        <w:tc>
          <w:tcPr>
            <w:tcW w:w="2200" w:type="dxa"/>
            <w:tcBorders>
              <w:top w:val="nil"/>
              <w:left w:val="nil"/>
              <w:bottom w:val="nil"/>
              <w:right w:val="nil"/>
            </w:tcBorders>
            <w:shd w:val="clear" w:color="auto" w:fill="auto"/>
            <w:noWrap/>
            <w:vAlign w:val="bottom"/>
            <w:hideMark/>
          </w:tcPr>
          <w:p w14:paraId="6F8448F8" w14:textId="7979C030"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Inner regional</w:t>
            </w:r>
          </w:p>
        </w:tc>
        <w:tc>
          <w:tcPr>
            <w:tcW w:w="1486" w:type="dxa"/>
            <w:tcBorders>
              <w:top w:val="nil"/>
              <w:left w:val="nil"/>
              <w:bottom w:val="nil"/>
              <w:right w:val="nil"/>
            </w:tcBorders>
            <w:shd w:val="clear" w:color="auto" w:fill="auto"/>
            <w:noWrap/>
            <w:hideMark/>
          </w:tcPr>
          <w:p w14:paraId="40F0579E" w14:textId="4B5B411B"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CD0D5F">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5F5E163F" w14:textId="06DD7949"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D0D5F">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hideMark/>
          </w:tcPr>
          <w:p w14:paraId="37886486" w14:textId="79829C24"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D0D5F">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hideMark/>
          </w:tcPr>
          <w:p w14:paraId="06854944" w14:textId="22ACFAE1"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D0D5F">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42586E59" w14:textId="61214F7F"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D0D5F">
              <w:rPr>
                <w:rFonts w:ascii="Calibri" w:eastAsia="Times New Roman" w:hAnsi="Calibri" w:cs="Times New Roman"/>
                <w:b/>
                <w:bCs/>
                <w:i/>
                <w:iCs/>
                <w:color w:val="FFFFFF" w:themeColor="background1"/>
                <w:sz w:val="18"/>
                <w:szCs w:val="18"/>
                <w:lang w:eastAsia="en-AU"/>
              </w:rPr>
              <w:t>—</w:t>
            </w:r>
          </w:p>
        </w:tc>
      </w:tr>
      <w:tr w:rsidR="00143D89" w:rsidRPr="00F71A22" w14:paraId="746BAA7A" w14:textId="77777777" w:rsidTr="001F4507">
        <w:trPr>
          <w:trHeight w:val="283"/>
        </w:trPr>
        <w:tc>
          <w:tcPr>
            <w:tcW w:w="2200" w:type="dxa"/>
            <w:tcBorders>
              <w:top w:val="nil"/>
              <w:left w:val="nil"/>
              <w:bottom w:val="nil"/>
              <w:right w:val="nil"/>
            </w:tcBorders>
            <w:shd w:val="clear" w:color="auto" w:fill="auto"/>
            <w:noWrap/>
            <w:vAlign w:val="bottom"/>
            <w:hideMark/>
          </w:tcPr>
          <w:p w14:paraId="4B32A272"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86" w:type="dxa"/>
            <w:tcBorders>
              <w:top w:val="nil"/>
              <w:left w:val="nil"/>
              <w:bottom w:val="nil"/>
              <w:right w:val="nil"/>
            </w:tcBorders>
            <w:shd w:val="clear" w:color="auto" w:fill="auto"/>
            <w:noWrap/>
            <w:vAlign w:val="bottom"/>
            <w:hideMark/>
          </w:tcPr>
          <w:p w14:paraId="708ED77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137 </w:t>
            </w:r>
          </w:p>
        </w:tc>
        <w:tc>
          <w:tcPr>
            <w:tcW w:w="1417" w:type="dxa"/>
            <w:tcBorders>
              <w:top w:val="nil"/>
              <w:left w:val="nil"/>
              <w:bottom w:val="nil"/>
              <w:right w:val="nil"/>
            </w:tcBorders>
            <w:shd w:val="clear" w:color="auto" w:fill="auto"/>
            <w:noWrap/>
            <w:vAlign w:val="bottom"/>
            <w:hideMark/>
          </w:tcPr>
          <w:p w14:paraId="32EDBBB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10.5 </w:t>
            </w:r>
          </w:p>
        </w:tc>
        <w:tc>
          <w:tcPr>
            <w:tcW w:w="1642" w:type="dxa"/>
            <w:tcBorders>
              <w:top w:val="nil"/>
              <w:left w:val="nil"/>
              <w:bottom w:val="nil"/>
              <w:right w:val="nil"/>
            </w:tcBorders>
            <w:shd w:val="clear" w:color="auto" w:fill="auto"/>
            <w:noWrap/>
            <w:vAlign w:val="bottom"/>
            <w:hideMark/>
          </w:tcPr>
          <w:p w14:paraId="6547252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103 </w:t>
            </w:r>
          </w:p>
        </w:tc>
        <w:tc>
          <w:tcPr>
            <w:tcW w:w="851" w:type="dxa"/>
            <w:tcBorders>
              <w:top w:val="nil"/>
              <w:left w:val="nil"/>
              <w:bottom w:val="nil"/>
              <w:right w:val="nil"/>
            </w:tcBorders>
            <w:shd w:val="clear" w:color="auto" w:fill="auto"/>
            <w:noWrap/>
            <w:vAlign w:val="bottom"/>
            <w:hideMark/>
          </w:tcPr>
          <w:p w14:paraId="7568786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7.9 </w:t>
            </w:r>
          </w:p>
        </w:tc>
        <w:tc>
          <w:tcPr>
            <w:tcW w:w="1417" w:type="dxa"/>
            <w:tcBorders>
              <w:top w:val="nil"/>
              <w:left w:val="nil"/>
              <w:bottom w:val="nil"/>
              <w:right w:val="nil"/>
            </w:tcBorders>
            <w:shd w:val="clear" w:color="auto" w:fill="auto"/>
            <w:noWrap/>
            <w:vAlign w:val="bottom"/>
            <w:hideMark/>
          </w:tcPr>
          <w:p w14:paraId="43DF9BE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2.6*</w:t>
            </w:r>
          </w:p>
        </w:tc>
      </w:tr>
      <w:tr w:rsidR="00143D89" w:rsidRPr="00F71A22" w14:paraId="7CE19310" w14:textId="77777777" w:rsidTr="001F4507">
        <w:trPr>
          <w:trHeight w:val="283"/>
        </w:trPr>
        <w:tc>
          <w:tcPr>
            <w:tcW w:w="2200" w:type="dxa"/>
            <w:tcBorders>
              <w:top w:val="nil"/>
              <w:left w:val="nil"/>
              <w:bottom w:val="nil"/>
              <w:right w:val="nil"/>
            </w:tcBorders>
            <w:shd w:val="clear" w:color="auto" w:fill="auto"/>
            <w:noWrap/>
            <w:vAlign w:val="bottom"/>
            <w:hideMark/>
          </w:tcPr>
          <w:p w14:paraId="6177FCCF"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86" w:type="dxa"/>
            <w:tcBorders>
              <w:top w:val="nil"/>
              <w:left w:val="nil"/>
              <w:bottom w:val="nil"/>
              <w:right w:val="nil"/>
            </w:tcBorders>
            <w:shd w:val="clear" w:color="auto" w:fill="auto"/>
            <w:noWrap/>
            <w:vAlign w:val="bottom"/>
            <w:hideMark/>
          </w:tcPr>
          <w:p w14:paraId="532A800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338 </w:t>
            </w:r>
          </w:p>
        </w:tc>
        <w:tc>
          <w:tcPr>
            <w:tcW w:w="1417" w:type="dxa"/>
            <w:tcBorders>
              <w:top w:val="nil"/>
              <w:left w:val="nil"/>
              <w:bottom w:val="nil"/>
              <w:right w:val="nil"/>
            </w:tcBorders>
            <w:shd w:val="clear" w:color="auto" w:fill="auto"/>
            <w:noWrap/>
            <w:vAlign w:val="bottom"/>
            <w:hideMark/>
          </w:tcPr>
          <w:p w14:paraId="207E0C1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31.4 </w:t>
            </w:r>
          </w:p>
        </w:tc>
        <w:tc>
          <w:tcPr>
            <w:tcW w:w="1642" w:type="dxa"/>
            <w:tcBorders>
              <w:top w:val="nil"/>
              <w:left w:val="nil"/>
              <w:bottom w:val="nil"/>
              <w:right w:val="nil"/>
            </w:tcBorders>
            <w:shd w:val="clear" w:color="auto" w:fill="auto"/>
            <w:noWrap/>
            <w:vAlign w:val="bottom"/>
            <w:hideMark/>
          </w:tcPr>
          <w:p w14:paraId="1EA2CB1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286 </w:t>
            </w:r>
          </w:p>
        </w:tc>
        <w:tc>
          <w:tcPr>
            <w:tcW w:w="851" w:type="dxa"/>
            <w:tcBorders>
              <w:top w:val="nil"/>
              <w:left w:val="nil"/>
              <w:bottom w:val="nil"/>
              <w:right w:val="nil"/>
            </w:tcBorders>
            <w:shd w:val="clear" w:color="auto" w:fill="auto"/>
            <w:noWrap/>
            <w:vAlign w:val="bottom"/>
            <w:hideMark/>
          </w:tcPr>
          <w:p w14:paraId="6656DB9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27.0 </w:t>
            </w:r>
          </w:p>
        </w:tc>
        <w:tc>
          <w:tcPr>
            <w:tcW w:w="1417" w:type="dxa"/>
            <w:tcBorders>
              <w:top w:val="nil"/>
              <w:left w:val="nil"/>
              <w:bottom w:val="nil"/>
              <w:right w:val="nil"/>
            </w:tcBorders>
            <w:shd w:val="clear" w:color="auto" w:fill="auto"/>
            <w:noWrap/>
            <w:vAlign w:val="bottom"/>
            <w:hideMark/>
          </w:tcPr>
          <w:p w14:paraId="2D32472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4.4*</w:t>
            </w:r>
          </w:p>
        </w:tc>
      </w:tr>
      <w:tr w:rsidR="00143D89" w:rsidRPr="00F71A22" w14:paraId="1C7D2CB0" w14:textId="77777777" w:rsidTr="001F4507">
        <w:trPr>
          <w:trHeight w:val="283"/>
        </w:trPr>
        <w:tc>
          <w:tcPr>
            <w:tcW w:w="2200" w:type="dxa"/>
            <w:tcBorders>
              <w:top w:val="nil"/>
              <w:left w:val="nil"/>
              <w:bottom w:val="nil"/>
              <w:right w:val="nil"/>
            </w:tcBorders>
            <w:shd w:val="clear" w:color="auto" w:fill="auto"/>
            <w:noWrap/>
            <w:vAlign w:val="bottom"/>
            <w:hideMark/>
          </w:tcPr>
          <w:p w14:paraId="74D3C77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86" w:type="dxa"/>
            <w:tcBorders>
              <w:top w:val="nil"/>
              <w:left w:val="nil"/>
              <w:bottom w:val="nil"/>
              <w:right w:val="nil"/>
            </w:tcBorders>
            <w:shd w:val="clear" w:color="auto" w:fill="auto"/>
            <w:noWrap/>
            <w:vAlign w:val="bottom"/>
            <w:hideMark/>
          </w:tcPr>
          <w:p w14:paraId="7B982DC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343 </w:t>
            </w:r>
          </w:p>
        </w:tc>
        <w:tc>
          <w:tcPr>
            <w:tcW w:w="1417" w:type="dxa"/>
            <w:tcBorders>
              <w:top w:val="nil"/>
              <w:left w:val="nil"/>
              <w:bottom w:val="nil"/>
              <w:right w:val="nil"/>
            </w:tcBorders>
            <w:shd w:val="clear" w:color="auto" w:fill="auto"/>
            <w:noWrap/>
            <w:vAlign w:val="bottom"/>
            <w:hideMark/>
          </w:tcPr>
          <w:p w14:paraId="1820BD0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47.2 </w:t>
            </w:r>
          </w:p>
        </w:tc>
        <w:tc>
          <w:tcPr>
            <w:tcW w:w="1642" w:type="dxa"/>
            <w:tcBorders>
              <w:top w:val="nil"/>
              <w:left w:val="nil"/>
              <w:bottom w:val="nil"/>
              <w:right w:val="nil"/>
            </w:tcBorders>
            <w:shd w:val="clear" w:color="auto" w:fill="auto"/>
            <w:noWrap/>
            <w:vAlign w:val="bottom"/>
            <w:hideMark/>
          </w:tcPr>
          <w:p w14:paraId="3B01778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331 </w:t>
            </w:r>
          </w:p>
        </w:tc>
        <w:tc>
          <w:tcPr>
            <w:tcW w:w="851" w:type="dxa"/>
            <w:tcBorders>
              <w:top w:val="nil"/>
              <w:left w:val="nil"/>
              <w:bottom w:val="nil"/>
              <w:right w:val="nil"/>
            </w:tcBorders>
            <w:shd w:val="clear" w:color="auto" w:fill="auto"/>
            <w:noWrap/>
            <w:vAlign w:val="bottom"/>
            <w:hideMark/>
          </w:tcPr>
          <w:p w14:paraId="4252A39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46.0 </w:t>
            </w:r>
          </w:p>
        </w:tc>
        <w:tc>
          <w:tcPr>
            <w:tcW w:w="1417" w:type="dxa"/>
            <w:tcBorders>
              <w:top w:val="nil"/>
              <w:left w:val="nil"/>
              <w:bottom w:val="nil"/>
              <w:right w:val="nil"/>
            </w:tcBorders>
            <w:shd w:val="clear" w:color="auto" w:fill="auto"/>
            <w:noWrap/>
            <w:vAlign w:val="bottom"/>
            <w:hideMark/>
          </w:tcPr>
          <w:p w14:paraId="775BEC1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1.2</w:t>
            </w:r>
          </w:p>
        </w:tc>
      </w:tr>
      <w:tr w:rsidR="00EB3AB7" w:rsidRPr="00F71A22" w14:paraId="21B4BD5F" w14:textId="77777777" w:rsidTr="001F4507">
        <w:trPr>
          <w:trHeight w:val="283"/>
        </w:trPr>
        <w:tc>
          <w:tcPr>
            <w:tcW w:w="2200" w:type="dxa"/>
            <w:tcBorders>
              <w:top w:val="nil"/>
              <w:left w:val="nil"/>
              <w:bottom w:val="nil"/>
              <w:right w:val="nil"/>
            </w:tcBorders>
            <w:shd w:val="clear" w:color="auto" w:fill="auto"/>
            <w:noWrap/>
            <w:vAlign w:val="bottom"/>
            <w:hideMark/>
          </w:tcPr>
          <w:p w14:paraId="09281902" w14:textId="4ECEE43A"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Outer regional</w:t>
            </w:r>
          </w:p>
        </w:tc>
        <w:tc>
          <w:tcPr>
            <w:tcW w:w="1486" w:type="dxa"/>
            <w:tcBorders>
              <w:top w:val="nil"/>
              <w:left w:val="nil"/>
              <w:bottom w:val="nil"/>
              <w:right w:val="nil"/>
            </w:tcBorders>
            <w:shd w:val="clear" w:color="auto" w:fill="auto"/>
            <w:noWrap/>
            <w:hideMark/>
          </w:tcPr>
          <w:p w14:paraId="625416A0" w14:textId="763F064B"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B707C5">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4EF4DB1B" w14:textId="6AE16899"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B707C5">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hideMark/>
          </w:tcPr>
          <w:p w14:paraId="228672A0" w14:textId="6476B170"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B707C5">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hideMark/>
          </w:tcPr>
          <w:p w14:paraId="1AE83979" w14:textId="3881F945"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B707C5">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59F18629" w14:textId="6D448EE6"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B707C5">
              <w:rPr>
                <w:rFonts w:ascii="Calibri" w:eastAsia="Times New Roman" w:hAnsi="Calibri" w:cs="Times New Roman"/>
                <w:b/>
                <w:bCs/>
                <w:i/>
                <w:iCs/>
                <w:color w:val="FFFFFF" w:themeColor="background1"/>
                <w:sz w:val="18"/>
                <w:szCs w:val="18"/>
                <w:lang w:eastAsia="en-AU"/>
              </w:rPr>
              <w:t>—</w:t>
            </w:r>
          </w:p>
        </w:tc>
      </w:tr>
      <w:tr w:rsidR="00143D89" w:rsidRPr="00F71A22" w14:paraId="70A851C1" w14:textId="77777777" w:rsidTr="001F4507">
        <w:trPr>
          <w:trHeight w:val="283"/>
        </w:trPr>
        <w:tc>
          <w:tcPr>
            <w:tcW w:w="2200" w:type="dxa"/>
            <w:tcBorders>
              <w:top w:val="nil"/>
              <w:left w:val="nil"/>
              <w:bottom w:val="nil"/>
              <w:right w:val="nil"/>
            </w:tcBorders>
            <w:shd w:val="clear" w:color="auto" w:fill="auto"/>
            <w:noWrap/>
            <w:vAlign w:val="bottom"/>
            <w:hideMark/>
          </w:tcPr>
          <w:p w14:paraId="2DD19D43"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86" w:type="dxa"/>
            <w:tcBorders>
              <w:top w:val="nil"/>
              <w:left w:val="nil"/>
              <w:bottom w:val="nil"/>
              <w:right w:val="nil"/>
            </w:tcBorders>
            <w:shd w:val="clear" w:color="auto" w:fill="auto"/>
            <w:noWrap/>
            <w:vAlign w:val="bottom"/>
            <w:hideMark/>
          </w:tcPr>
          <w:p w14:paraId="5D8ACC35" w14:textId="13E09E51"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49 </w:t>
            </w:r>
          </w:p>
        </w:tc>
        <w:tc>
          <w:tcPr>
            <w:tcW w:w="1417" w:type="dxa"/>
            <w:tcBorders>
              <w:top w:val="nil"/>
              <w:left w:val="nil"/>
              <w:bottom w:val="nil"/>
              <w:right w:val="nil"/>
            </w:tcBorders>
            <w:shd w:val="clear" w:color="auto" w:fill="auto"/>
            <w:noWrap/>
            <w:vAlign w:val="bottom"/>
            <w:hideMark/>
          </w:tcPr>
          <w:p w14:paraId="30C9084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12.0 </w:t>
            </w:r>
          </w:p>
        </w:tc>
        <w:tc>
          <w:tcPr>
            <w:tcW w:w="1642" w:type="dxa"/>
            <w:tcBorders>
              <w:top w:val="nil"/>
              <w:left w:val="nil"/>
              <w:bottom w:val="nil"/>
              <w:right w:val="nil"/>
            </w:tcBorders>
            <w:shd w:val="clear" w:color="auto" w:fill="auto"/>
            <w:noWrap/>
            <w:vAlign w:val="bottom"/>
            <w:hideMark/>
          </w:tcPr>
          <w:p w14:paraId="2B4FBC1A" w14:textId="2A01AD7D"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34 </w:t>
            </w:r>
          </w:p>
        </w:tc>
        <w:tc>
          <w:tcPr>
            <w:tcW w:w="851" w:type="dxa"/>
            <w:tcBorders>
              <w:top w:val="nil"/>
              <w:left w:val="nil"/>
              <w:bottom w:val="nil"/>
              <w:right w:val="nil"/>
            </w:tcBorders>
            <w:shd w:val="clear" w:color="auto" w:fill="auto"/>
            <w:noWrap/>
            <w:vAlign w:val="bottom"/>
            <w:hideMark/>
          </w:tcPr>
          <w:p w14:paraId="2CEFF448" w14:textId="6E1C7CEC"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8.3 </w:t>
            </w:r>
          </w:p>
        </w:tc>
        <w:tc>
          <w:tcPr>
            <w:tcW w:w="1417" w:type="dxa"/>
            <w:tcBorders>
              <w:top w:val="nil"/>
              <w:left w:val="nil"/>
              <w:bottom w:val="nil"/>
              <w:right w:val="nil"/>
            </w:tcBorders>
            <w:shd w:val="clear" w:color="auto" w:fill="auto"/>
            <w:noWrap/>
            <w:vAlign w:val="bottom"/>
            <w:hideMark/>
          </w:tcPr>
          <w:p w14:paraId="0C7B48E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3.6</w:t>
            </w:r>
          </w:p>
        </w:tc>
      </w:tr>
      <w:tr w:rsidR="00143D89" w:rsidRPr="00F71A22" w14:paraId="21BFFC18" w14:textId="77777777" w:rsidTr="001F4507">
        <w:trPr>
          <w:trHeight w:val="283"/>
        </w:trPr>
        <w:tc>
          <w:tcPr>
            <w:tcW w:w="2200" w:type="dxa"/>
            <w:tcBorders>
              <w:top w:val="nil"/>
              <w:left w:val="nil"/>
              <w:bottom w:val="nil"/>
              <w:right w:val="nil"/>
            </w:tcBorders>
            <w:shd w:val="clear" w:color="auto" w:fill="auto"/>
            <w:noWrap/>
            <w:vAlign w:val="bottom"/>
            <w:hideMark/>
          </w:tcPr>
          <w:p w14:paraId="04554DC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86" w:type="dxa"/>
            <w:tcBorders>
              <w:top w:val="nil"/>
              <w:left w:val="nil"/>
              <w:bottom w:val="nil"/>
              <w:right w:val="nil"/>
            </w:tcBorders>
            <w:shd w:val="clear" w:color="auto" w:fill="auto"/>
            <w:noWrap/>
            <w:vAlign w:val="bottom"/>
            <w:hideMark/>
          </w:tcPr>
          <w:p w14:paraId="57959E1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115 </w:t>
            </w:r>
          </w:p>
        </w:tc>
        <w:tc>
          <w:tcPr>
            <w:tcW w:w="1417" w:type="dxa"/>
            <w:tcBorders>
              <w:top w:val="nil"/>
              <w:left w:val="nil"/>
              <w:bottom w:val="nil"/>
              <w:right w:val="nil"/>
            </w:tcBorders>
            <w:shd w:val="clear" w:color="auto" w:fill="auto"/>
            <w:noWrap/>
            <w:vAlign w:val="bottom"/>
            <w:hideMark/>
          </w:tcPr>
          <w:p w14:paraId="21DEA72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35.0 </w:t>
            </w:r>
          </w:p>
        </w:tc>
        <w:tc>
          <w:tcPr>
            <w:tcW w:w="1642" w:type="dxa"/>
            <w:tcBorders>
              <w:top w:val="nil"/>
              <w:left w:val="nil"/>
              <w:bottom w:val="nil"/>
              <w:right w:val="nil"/>
            </w:tcBorders>
            <w:shd w:val="clear" w:color="auto" w:fill="auto"/>
            <w:noWrap/>
            <w:vAlign w:val="bottom"/>
            <w:hideMark/>
          </w:tcPr>
          <w:p w14:paraId="75C06CD8" w14:textId="7502C335"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96 </w:t>
            </w:r>
          </w:p>
        </w:tc>
        <w:tc>
          <w:tcPr>
            <w:tcW w:w="851" w:type="dxa"/>
            <w:tcBorders>
              <w:top w:val="nil"/>
              <w:left w:val="nil"/>
              <w:bottom w:val="nil"/>
              <w:right w:val="nil"/>
            </w:tcBorders>
            <w:shd w:val="clear" w:color="auto" w:fill="auto"/>
            <w:noWrap/>
            <w:vAlign w:val="bottom"/>
            <w:hideMark/>
          </w:tcPr>
          <w:p w14:paraId="721C923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29.3 </w:t>
            </w:r>
          </w:p>
        </w:tc>
        <w:tc>
          <w:tcPr>
            <w:tcW w:w="1417" w:type="dxa"/>
            <w:tcBorders>
              <w:top w:val="nil"/>
              <w:left w:val="nil"/>
              <w:bottom w:val="nil"/>
              <w:right w:val="nil"/>
            </w:tcBorders>
            <w:shd w:val="clear" w:color="auto" w:fill="auto"/>
            <w:noWrap/>
            <w:vAlign w:val="bottom"/>
            <w:hideMark/>
          </w:tcPr>
          <w:p w14:paraId="4D21B8E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5.7</w:t>
            </w:r>
          </w:p>
        </w:tc>
      </w:tr>
      <w:tr w:rsidR="00143D89" w:rsidRPr="00F71A22" w14:paraId="6A5A9B59" w14:textId="77777777" w:rsidTr="001F4507">
        <w:trPr>
          <w:trHeight w:val="283"/>
        </w:trPr>
        <w:tc>
          <w:tcPr>
            <w:tcW w:w="2200" w:type="dxa"/>
            <w:tcBorders>
              <w:top w:val="nil"/>
              <w:left w:val="nil"/>
              <w:bottom w:val="nil"/>
              <w:right w:val="nil"/>
            </w:tcBorders>
            <w:shd w:val="clear" w:color="auto" w:fill="auto"/>
            <w:noWrap/>
            <w:vAlign w:val="bottom"/>
            <w:hideMark/>
          </w:tcPr>
          <w:p w14:paraId="5D36EDB3"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86" w:type="dxa"/>
            <w:tcBorders>
              <w:top w:val="nil"/>
              <w:left w:val="nil"/>
              <w:bottom w:val="nil"/>
              <w:right w:val="nil"/>
            </w:tcBorders>
            <w:shd w:val="clear" w:color="auto" w:fill="auto"/>
            <w:noWrap/>
            <w:vAlign w:val="bottom"/>
            <w:hideMark/>
          </w:tcPr>
          <w:p w14:paraId="1F49C2B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113 </w:t>
            </w:r>
          </w:p>
        </w:tc>
        <w:tc>
          <w:tcPr>
            <w:tcW w:w="1417" w:type="dxa"/>
            <w:tcBorders>
              <w:top w:val="nil"/>
              <w:left w:val="nil"/>
              <w:bottom w:val="nil"/>
              <w:right w:val="nil"/>
            </w:tcBorders>
            <w:shd w:val="clear" w:color="auto" w:fill="auto"/>
            <w:noWrap/>
            <w:vAlign w:val="bottom"/>
            <w:hideMark/>
          </w:tcPr>
          <w:p w14:paraId="6BBFECC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48.5 </w:t>
            </w:r>
          </w:p>
        </w:tc>
        <w:tc>
          <w:tcPr>
            <w:tcW w:w="1642" w:type="dxa"/>
            <w:tcBorders>
              <w:top w:val="nil"/>
              <w:left w:val="nil"/>
              <w:bottom w:val="nil"/>
              <w:right w:val="nil"/>
            </w:tcBorders>
            <w:shd w:val="clear" w:color="auto" w:fill="auto"/>
            <w:noWrap/>
            <w:vAlign w:val="bottom"/>
            <w:hideMark/>
          </w:tcPr>
          <w:p w14:paraId="3CEA6EC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116 </w:t>
            </w:r>
          </w:p>
        </w:tc>
        <w:tc>
          <w:tcPr>
            <w:tcW w:w="851" w:type="dxa"/>
            <w:tcBorders>
              <w:top w:val="nil"/>
              <w:left w:val="nil"/>
              <w:bottom w:val="nil"/>
              <w:right w:val="nil"/>
            </w:tcBorders>
            <w:shd w:val="clear" w:color="auto" w:fill="auto"/>
            <w:noWrap/>
            <w:vAlign w:val="bottom"/>
            <w:hideMark/>
          </w:tcPr>
          <w:p w14:paraId="08A8608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50.4 </w:t>
            </w:r>
          </w:p>
        </w:tc>
        <w:tc>
          <w:tcPr>
            <w:tcW w:w="1417" w:type="dxa"/>
            <w:tcBorders>
              <w:top w:val="nil"/>
              <w:left w:val="nil"/>
              <w:bottom w:val="nil"/>
              <w:right w:val="nil"/>
            </w:tcBorders>
            <w:shd w:val="clear" w:color="auto" w:fill="auto"/>
            <w:noWrap/>
            <w:vAlign w:val="bottom"/>
            <w:hideMark/>
          </w:tcPr>
          <w:p w14:paraId="3E8AB55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-1.9</w:t>
            </w:r>
          </w:p>
        </w:tc>
      </w:tr>
      <w:tr w:rsidR="00EB3AB7" w:rsidRPr="00F71A22" w14:paraId="3937B412" w14:textId="77777777" w:rsidTr="001F4507">
        <w:trPr>
          <w:trHeight w:val="283"/>
        </w:trPr>
        <w:tc>
          <w:tcPr>
            <w:tcW w:w="2200" w:type="dxa"/>
            <w:tcBorders>
              <w:top w:val="nil"/>
              <w:left w:val="nil"/>
              <w:bottom w:val="nil"/>
              <w:right w:val="nil"/>
            </w:tcBorders>
            <w:shd w:val="clear" w:color="auto" w:fill="auto"/>
            <w:noWrap/>
            <w:vAlign w:val="bottom"/>
          </w:tcPr>
          <w:p w14:paraId="17C64520" w14:textId="755B40EE"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employment services</w:t>
            </w:r>
          </w:p>
        </w:tc>
        <w:tc>
          <w:tcPr>
            <w:tcW w:w="1486" w:type="dxa"/>
            <w:tcBorders>
              <w:top w:val="nil"/>
              <w:left w:val="nil"/>
              <w:bottom w:val="nil"/>
              <w:right w:val="nil"/>
            </w:tcBorders>
            <w:shd w:val="clear" w:color="auto" w:fill="auto"/>
            <w:noWrap/>
          </w:tcPr>
          <w:p w14:paraId="2C56A887" w14:textId="51715FA0"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tcPr>
          <w:p w14:paraId="138C1CF6" w14:textId="788BEB0D"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tcPr>
          <w:p w14:paraId="013FBBA6" w14:textId="6BDCA5C3"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tcPr>
          <w:p w14:paraId="050E7E37" w14:textId="6A29D05F"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tcPr>
          <w:p w14:paraId="180CAC39" w14:textId="650F200B"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r>
      <w:tr w:rsidR="00EB3AB7" w:rsidRPr="00F71A22" w14:paraId="19609FCD" w14:textId="77777777" w:rsidTr="001F4507">
        <w:trPr>
          <w:trHeight w:val="283"/>
        </w:trPr>
        <w:tc>
          <w:tcPr>
            <w:tcW w:w="2200" w:type="dxa"/>
            <w:tcBorders>
              <w:top w:val="nil"/>
              <w:left w:val="nil"/>
              <w:bottom w:val="nil"/>
              <w:right w:val="nil"/>
            </w:tcBorders>
            <w:shd w:val="clear" w:color="auto" w:fill="auto"/>
            <w:noWrap/>
            <w:vAlign w:val="bottom"/>
            <w:hideMark/>
          </w:tcPr>
          <w:p w14:paraId="778FFED1" w14:textId="72166966"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Major cities</w:t>
            </w:r>
          </w:p>
        </w:tc>
        <w:tc>
          <w:tcPr>
            <w:tcW w:w="1486" w:type="dxa"/>
            <w:tcBorders>
              <w:top w:val="nil"/>
              <w:left w:val="nil"/>
              <w:bottom w:val="nil"/>
              <w:right w:val="nil"/>
            </w:tcBorders>
            <w:shd w:val="clear" w:color="auto" w:fill="auto"/>
            <w:noWrap/>
            <w:hideMark/>
          </w:tcPr>
          <w:p w14:paraId="6A2F7F66" w14:textId="056E6E58"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3B37666A" w14:textId="2AC53DB2"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hideMark/>
          </w:tcPr>
          <w:p w14:paraId="5760BBBC" w14:textId="0AD00A5A"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hideMark/>
          </w:tcPr>
          <w:p w14:paraId="350F0339" w14:textId="612BB6C2"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1BFB7913" w14:textId="104D3199"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D76086">
              <w:rPr>
                <w:rFonts w:ascii="Calibri" w:eastAsia="Times New Roman" w:hAnsi="Calibri" w:cs="Times New Roman"/>
                <w:b/>
                <w:bCs/>
                <w:i/>
                <w:iCs/>
                <w:color w:val="FFFFFF" w:themeColor="background1"/>
                <w:sz w:val="18"/>
                <w:szCs w:val="18"/>
                <w:lang w:eastAsia="en-AU"/>
              </w:rPr>
              <w:t>—</w:t>
            </w:r>
          </w:p>
        </w:tc>
      </w:tr>
      <w:tr w:rsidR="00143D89" w:rsidRPr="00F71A22" w14:paraId="7B23F824" w14:textId="77777777" w:rsidTr="001F4507">
        <w:trPr>
          <w:trHeight w:val="283"/>
        </w:trPr>
        <w:tc>
          <w:tcPr>
            <w:tcW w:w="2200" w:type="dxa"/>
            <w:tcBorders>
              <w:top w:val="nil"/>
              <w:left w:val="nil"/>
              <w:bottom w:val="nil"/>
              <w:right w:val="nil"/>
            </w:tcBorders>
            <w:shd w:val="clear" w:color="auto" w:fill="auto"/>
            <w:noWrap/>
            <w:vAlign w:val="bottom"/>
            <w:hideMark/>
          </w:tcPr>
          <w:p w14:paraId="2ADF436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86" w:type="dxa"/>
            <w:tcBorders>
              <w:top w:val="nil"/>
              <w:left w:val="nil"/>
              <w:bottom w:val="nil"/>
              <w:right w:val="nil"/>
            </w:tcBorders>
            <w:shd w:val="clear" w:color="auto" w:fill="auto"/>
            <w:noWrap/>
            <w:vAlign w:val="bottom"/>
            <w:hideMark/>
          </w:tcPr>
          <w:p w14:paraId="5229AEA4" w14:textId="2D0AF9BD"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86 </w:t>
            </w:r>
          </w:p>
        </w:tc>
        <w:tc>
          <w:tcPr>
            <w:tcW w:w="1417" w:type="dxa"/>
            <w:tcBorders>
              <w:top w:val="nil"/>
              <w:left w:val="nil"/>
              <w:bottom w:val="nil"/>
              <w:right w:val="nil"/>
            </w:tcBorders>
            <w:shd w:val="clear" w:color="auto" w:fill="auto"/>
            <w:noWrap/>
            <w:vAlign w:val="bottom"/>
            <w:hideMark/>
          </w:tcPr>
          <w:p w14:paraId="241DBCD2" w14:textId="5004ABBA"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 </w:t>
            </w:r>
          </w:p>
        </w:tc>
        <w:tc>
          <w:tcPr>
            <w:tcW w:w="1642" w:type="dxa"/>
            <w:tcBorders>
              <w:top w:val="nil"/>
              <w:left w:val="nil"/>
              <w:bottom w:val="nil"/>
              <w:right w:val="nil"/>
            </w:tcBorders>
            <w:shd w:val="clear" w:color="auto" w:fill="auto"/>
            <w:noWrap/>
            <w:vAlign w:val="bottom"/>
            <w:hideMark/>
          </w:tcPr>
          <w:p w14:paraId="23E185B4" w14:textId="5BAECB5C"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77 </w:t>
            </w:r>
          </w:p>
        </w:tc>
        <w:tc>
          <w:tcPr>
            <w:tcW w:w="851" w:type="dxa"/>
            <w:tcBorders>
              <w:top w:val="nil"/>
              <w:left w:val="nil"/>
              <w:bottom w:val="nil"/>
              <w:right w:val="nil"/>
            </w:tcBorders>
            <w:shd w:val="clear" w:color="auto" w:fill="auto"/>
            <w:noWrap/>
            <w:vAlign w:val="bottom"/>
            <w:hideMark/>
          </w:tcPr>
          <w:p w14:paraId="1DD313D3" w14:textId="650F9624"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 </w:t>
            </w:r>
          </w:p>
        </w:tc>
        <w:tc>
          <w:tcPr>
            <w:tcW w:w="1417" w:type="dxa"/>
            <w:tcBorders>
              <w:top w:val="nil"/>
              <w:left w:val="nil"/>
              <w:bottom w:val="nil"/>
              <w:right w:val="nil"/>
            </w:tcBorders>
            <w:shd w:val="clear" w:color="auto" w:fill="auto"/>
            <w:noWrap/>
            <w:vAlign w:val="bottom"/>
            <w:hideMark/>
          </w:tcPr>
          <w:p w14:paraId="45AC396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0.2</w:t>
            </w:r>
          </w:p>
        </w:tc>
      </w:tr>
      <w:tr w:rsidR="00143D89" w:rsidRPr="00F71A22" w14:paraId="14E16447" w14:textId="77777777" w:rsidTr="001F4507">
        <w:trPr>
          <w:trHeight w:val="283"/>
        </w:trPr>
        <w:tc>
          <w:tcPr>
            <w:tcW w:w="2200" w:type="dxa"/>
            <w:tcBorders>
              <w:top w:val="nil"/>
              <w:left w:val="nil"/>
              <w:bottom w:val="nil"/>
              <w:right w:val="nil"/>
            </w:tcBorders>
            <w:shd w:val="clear" w:color="auto" w:fill="auto"/>
            <w:noWrap/>
            <w:vAlign w:val="bottom"/>
            <w:hideMark/>
          </w:tcPr>
          <w:p w14:paraId="2DF36C59"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86" w:type="dxa"/>
            <w:tcBorders>
              <w:top w:val="nil"/>
              <w:left w:val="nil"/>
              <w:bottom w:val="nil"/>
              <w:right w:val="nil"/>
            </w:tcBorders>
            <w:shd w:val="clear" w:color="auto" w:fill="auto"/>
            <w:noWrap/>
            <w:vAlign w:val="bottom"/>
            <w:hideMark/>
          </w:tcPr>
          <w:p w14:paraId="6E90622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842 </w:t>
            </w:r>
          </w:p>
        </w:tc>
        <w:tc>
          <w:tcPr>
            <w:tcW w:w="1417" w:type="dxa"/>
            <w:tcBorders>
              <w:top w:val="nil"/>
              <w:left w:val="nil"/>
              <w:bottom w:val="nil"/>
              <w:right w:val="nil"/>
            </w:tcBorders>
            <w:shd w:val="clear" w:color="auto" w:fill="auto"/>
            <w:noWrap/>
            <w:vAlign w:val="bottom"/>
            <w:hideMark/>
          </w:tcPr>
          <w:p w14:paraId="341176F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21.1 </w:t>
            </w:r>
          </w:p>
        </w:tc>
        <w:tc>
          <w:tcPr>
            <w:tcW w:w="1642" w:type="dxa"/>
            <w:tcBorders>
              <w:top w:val="nil"/>
              <w:left w:val="nil"/>
              <w:bottom w:val="nil"/>
              <w:right w:val="nil"/>
            </w:tcBorders>
            <w:shd w:val="clear" w:color="auto" w:fill="auto"/>
            <w:noWrap/>
            <w:vAlign w:val="bottom"/>
            <w:hideMark/>
          </w:tcPr>
          <w:p w14:paraId="1D0E8A1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756 </w:t>
            </w:r>
          </w:p>
        </w:tc>
        <w:tc>
          <w:tcPr>
            <w:tcW w:w="851" w:type="dxa"/>
            <w:tcBorders>
              <w:top w:val="nil"/>
              <w:left w:val="nil"/>
              <w:bottom w:val="nil"/>
              <w:right w:val="nil"/>
            </w:tcBorders>
            <w:shd w:val="clear" w:color="auto" w:fill="auto"/>
            <w:noWrap/>
            <w:vAlign w:val="bottom"/>
            <w:hideMark/>
          </w:tcPr>
          <w:p w14:paraId="51D3BD4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18.9 </w:t>
            </w:r>
          </w:p>
        </w:tc>
        <w:tc>
          <w:tcPr>
            <w:tcW w:w="1417" w:type="dxa"/>
            <w:tcBorders>
              <w:top w:val="nil"/>
              <w:left w:val="nil"/>
              <w:bottom w:val="nil"/>
              <w:right w:val="nil"/>
            </w:tcBorders>
            <w:shd w:val="clear" w:color="auto" w:fill="auto"/>
            <w:noWrap/>
            <w:vAlign w:val="bottom"/>
            <w:hideMark/>
          </w:tcPr>
          <w:p w14:paraId="4311972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2.2*</w:t>
            </w:r>
          </w:p>
        </w:tc>
      </w:tr>
      <w:tr w:rsidR="00143D89" w:rsidRPr="00F71A22" w14:paraId="1382D0F0" w14:textId="77777777" w:rsidTr="001F4507">
        <w:trPr>
          <w:trHeight w:val="283"/>
        </w:trPr>
        <w:tc>
          <w:tcPr>
            <w:tcW w:w="2200" w:type="dxa"/>
            <w:tcBorders>
              <w:top w:val="nil"/>
              <w:left w:val="nil"/>
              <w:bottom w:val="nil"/>
              <w:right w:val="nil"/>
            </w:tcBorders>
            <w:shd w:val="clear" w:color="auto" w:fill="auto"/>
            <w:noWrap/>
            <w:vAlign w:val="bottom"/>
            <w:hideMark/>
          </w:tcPr>
          <w:p w14:paraId="25D0C3D9"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86" w:type="dxa"/>
            <w:tcBorders>
              <w:top w:val="nil"/>
              <w:left w:val="nil"/>
              <w:bottom w:val="nil"/>
              <w:right w:val="nil"/>
            </w:tcBorders>
            <w:shd w:val="clear" w:color="auto" w:fill="auto"/>
            <w:noWrap/>
            <w:vAlign w:val="bottom"/>
            <w:hideMark/>
          </w:tcPr>
          <w:p w14:paraId="54F61D5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1,300 </w:t>
            </w:r>
          </w:p>
        </w:tc>
        <w:tc>
          <w:tcPr>
            <w:tcW w:w="1417" w:type="dxa"/>
            <w:tcBorders>
              <w:top w:val="nil"/>
              <w:left w:val="nil"/>
              <w:bottom w:val="nil"/>
              <w:right w:val="nil"/>
            </w:tcBorders>
            <w:shd w:val="clear" w:color="auto" w:fill="auto"/>
            <w:noWrap/>
            <w:vAlign w:val="bottom"/>
            <w:hideMark/>
          </w:tcPr>
          <w:p w14:paraId="00CFA33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46.9 </w:t>
            </w:r>
          </w:p>
        </w:tc>
        <w:tc>
          <w:tcPr>
            <w:tcW w:w="1642" w:type="dxa"/>
            <w:tcBorders>
              <w:top w:val="nil"/>
              <w:left w:val="nil"/>
              <w:bottom w:val="nil"/>
              <w:right w:val="nil"/>
            </w:tcBorders>
            <w:shd w:val="clear" w:color="auto" w:fill="auto"/>
            <w:noWrap/>
            <w:vAlign w:val="bottom"/>
            <w:hideMark/>
          </w:tcPr>
          <w:p w14:paraId="38B43E7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1,358 </w:t>
            </w:r>
          </w:p>
        </w:tc>
        <w:tc>
          <w:tcPr>
            <w:tcW w:w="851" w:type="dxa"/>
            <w:tcBorders>
              <w:top w:val="nil"/>
              <w:left w:val="nil"/>
              <w:bottom w:val="nil"/>
              <w:right w:val="nil"/>
            </w:tcBorders>
            <w:shd w:val="clear" w:color="auto" w:fill="auto"/>
            <w:noWrap/>
            <w:vAlign w:val="bottom"/>
            <w:hideMark/>
          </w:tcPr>
          <w:p w14:paraId="75CCD60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49.1 </w:t>
            </w:r>
          </w:p>
        </w:tc>
        <w:tc>
          <w:tcPr>
            <w:tcW w:w="1417" w:type="dxa"/>
            <w:tcBorders>
              <w:top w:val="nil"/>
              <w:left w:val="nil"/>
              <w:bottom w:val="nil"/>
              <w:right w:val="nil"/>
            </w:tcBorders>
            <w:shd w:val="clear" w:color="auto" w:fill="auto"/>
            <w:noWrap/>
            <w:vAlign w:val="bottom"/>
            <w:hideMark/>
          </w:tcPr>
          <w:p w14:paraId="4E3CF4A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-2.2</w:t>
            </w:r>
          </w:p>
        </w:tc>
      </w:tr>
      <w:tr w:rsidR="00EB3AB7" w:rsidRPr="00F71A22" w14:paraId="6003E760" w14:textId="77777777" w:rsidTr="001F4507">
        <w:trPr>
          <w:trHeight w:val="283"/>
        </w:trPr>
        <w:tc>
          <w:tcPr>
            <w:tcW w:w="2200" w:type="dxa"/>
            <w:tcBorders>
              <w:top w:val="nil"/>
              <w:left w:val="nil"/>
              <w:bottom w:val="nil"/>
              <w:right w:val="nil"/>
            </w:tcBorders>
            <w:shd w:val="clear" w:color="auto" w:fill="auto"/>
            <w:noWrap/>
            <w:vAlign w:val="bottom"/>
            <w:hideMark/>
          </w:tcPr>
          <w:p w14:paraId="1C963CFD" w14:textId="60D65036"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Inner regional</w:t>
            </w:r>
          </w:p>
        </w:tc>
        <w:tc>
          <w:tcPr>
            <w:tcW w:w="1486" w:type="dxa"/>
            <w:tcBorders>
              <w:top w:val="nil"/>
              <w:left w:val="nil"/>
              <w:bottom w:val="nil"/>
              <w:right w:val="nil"/>
            </w:tcBorders>
            <w:shd w:val="clear" w:color="auto" w:fill="auto"/>
            <w:noWrap/>
            <w:hideMark/>
          </w:tcPr>
          <w:p w14:paraId="4AAE796C" w14:textId="6AC96BCB"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950FC7">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2274F0F7" w14:textId="4C393718"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950FC7">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hideMark/>
          </w:tcPr>
          <w:p w14:paraId="7B4CE734" w14:textId="4A03605F"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950FC7">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hideMark/>
          </w:tcPr>
          <w:p w14:paraId="504EADED" w14:textId="7E94EF61"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950FC7">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757336A2" w14:textId="32B05865"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950FC7">
              <w:rPr>
                <w:rFonts w:ascii="Calibri" w:eastAsia="Times New Roman" w:hAnsi="Calibri" w:cs="Times New Roman"/>
                <w:b/>
                <w:bCs/>
                <w:i/>
                <w:iCs/>
                <w:color w:val="FFFFFF" w:themeColor="background1"/>
                <w:sz w:val="18"/>
                <w:szCs w:val="18"/>
                <w:lang w:eastAsia="en-AU"/>
              </w:rPr>
              <w:t>—</w:t>
            </w:r>
          </w:p>
        </w:tc>
      </w:tr>
      <w:tr w:rsidR="00143D89" w:rsidRPr="00F71A22" w14:paraId="4000BA7B" w14:textId="77777777" w:rsidTr="001F4507">
        <w:trPr>
          <w:trHeight w:val="283"/>
        </w:trPr>
        <w:tc>
          <w:tcPr>
            <w:tcW w:w="2200" w:type="dxa"/>
            <w:tcBorders>
              <w:top w:val="nil"/>
              <w:left w:val="nil"/>
              <w:bottom w:val="nil"/>
              <w:right w:val="nil"/>
            </w:tcBorders>
            <w:shd w:val="clear" w:color="auto" w:fill="auto"/>
            <w:noWrap/>
            <w:vAlign w:val="bottom"/>
            <w:hideMark/>
          </w:tcPr>
          <w:p w14:paraId="10D037E7"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86" w:type="dxa"/>
            <w:tcBorders>
              <w:top w:val="nil"/>
              <w:left w:val="nil"/>
              <w:bottom w:val="nil"/>
              <w:right w:val="nil"/>
            </w:tcBorders>
            <w:shd w:val="clear" w:color="auto" w:fill="auto"/>
            <w:noWrap/>
            <w:vAlign w:val="bottom"/>
            <w:hideMark/>
          </w:tcPr>
          <w:p w14:paraId="1EFD4D38" w14:textId="7BE8A506"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26 </w:t>
            </w:r>
          </w:p>
        </w:tc>
        <w:tc>
          <w:tcPr>
            <w:tcW w:w="1417" w:type="dxa"/>
            <w:tcBorders>
              <w:top w:val="nil"/>
              <w:left w:val="nil"/>
              <w:bottom w:val="nil"/>
              <w:right w:val="nil"/>
            </w:tcBorders>
            <w:shd w:val="clear" w:color="auto" w:fill="auto"/>
            <w:noWrap/>
            <w:vAlign w:val="bottom"/>
            <w:hideMark/>
          </w:tcPr>
          <w:p w14:paraId="76882EF0" w14:textId="26CF1074"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2.0 </w:t>
            </w:r>
          </w:p>
        </w:tc>
        <w:tc>
          <w:tcPr>
            <w:tcW w:w="1642" w:type="dxa"/>
            <w:tcBorders>
              <w:top w:val="nil"/>
              <w:left w:val="nil"/>
              <w:bottom w:val="nil"/>
              <w:right w:val="nil"/>
            </w:tcBorders>
            <w:shd w:val="clear" w:color="auto" w:fill="auto"/>
            <w:noWrap/>
            <w:vAlign w:val="bottom"/>
            <w:hideMark/>
          </w:tcPr>
          <w:p w14:paraId="617DA5F8" w14:textId="164549E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851" w:type="dxa"/>
            <w:tcBorders>
              <w:top w:val="nil"/>
              <w:left w:val="nil"/>
              <w:bottom w:val="nil"/>
              <w:right w:val="nil"/>
            </w:tcBorders>
            <w:shd w:val="clear" w:color="auto" w:fill="auto"/>
            <w:noWrap/>
            <w:vAlign w:val="bottom"/>
            <w:hideMark/>
          </w:tcPr>
          <w:p w14:paraId="2C5513CE" w14:textId="4B6A6BD3"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 </w:t>
            </w:r>
          </w:p>
        </w:tc>
        <w:tc>
          <w:tcPr>
            <w:tcW w:w="1417" w:type="dxa"/>
            <w:tcBorders>
              <w:top w:val="nil"/>
              <w:left w:val="nil"/>
              <w:bottom w:val="nil"/>
              <w:right w:val="nil"/>
            </w:tcBorders>
            <w:shd w:val="clear" w:color="auto" w:fill="auto"/>
            <w:noWrap/>
            <w:vAlign w:val="bottom"/>
            <w:hideMark/>
          </w:tcPr>
          <w:p w14:paraId="56E5913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1.0*</w:t>
            </w:r>
          </w:p>
        </w:tc>
      </w:tr>
      <w:tr w:rsidR="00143D89" w:rsidRPr="00F71A22" w14:paraId="4E779465" w14:textId="77777777" w:rsidTr="001F4507">
        <w:trPr>
          <w:trHeight w:val="283"/>
        </w:trPr>
        <w:tc>
          <w:tcPr>
            <w:tcW w:w="2200" w:type="dxa"/>
            <w:tcBorders>
              <w:top w:val="nil"/>
              <w:left w:val="nil"/>
              <w:bottom w:val="nil"/>
              <w:right w:val="nil"/>
            </w:tcBorders>
            <w:shd w:val="clear" w:color="auto" w:fill="auto"/>
            <w:noWrap/>
            <w:vAlign w:val="bottom"/>
            <w:hideMark/>
          </w:tcPr>
          <w:p w14:paraId="76FECFCE"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86" w:type="dxa"/>
            <w:tcBorders>
              <w:top w:val="nil"/>
              <w:left w:val="nil"/>
              <w:bottom w:val="nil"/>
              <w:right w:val="nil"/>
            </w:tcBorders>
            <w:shd w:val="clear" w:color="auto" w:fill="auto"/>
            <w:noWrap/>
            <w:vAlign w:val="bottom"/>
            <w:hideMark/>
          </w:tcPr>
          <w:p w14:paraId="28770AD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237 </w:t>
            </w:r>
          </w:p>
        </w:tc>
        <w:tc>
          <w:tcPr>
            <w:tcW w:w="1417" w:type="dxa"/>
            <w:tcBorders>
              <w:top w:val="nil"/>
              <w:left w:val="nil"/>
              <w:bottom w:val="nil"/>
              <w:right w:val="nil"/>
            </w:tcBorders>
            <w:shd w:val="clear" w:color="auto" w:fill="auto"/>
            <w:noWrap/>
            <w:vAlign w:val="bottom"/>
            <w:hideMark/>
          </w:tcPr>
          <w:p w14:paraId="79E7E7C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22.0 </w:t>
            </w:r>
          </w:p>
        </w:tc>
        <w:tc>
          <w:tcPr>
            <w:tcW w:w="1642" w:type="dxa"/>
            <w:tcBorders>
              <w:top w:val="nil"/>
              <w:left w:val="nil"/>
              <w:bottom w:val="nil"/>
              <w:right w:val="nil"/>
            </w:tcBorders>
            <w:shd w:val="clear" w:color="auto" w:fill="auto"/>
            <w:noWrap/>
            <w:vAlign w:val="bottom"/>
            <w:hideMark/>
          </w:tcPr>
          <w:p w14:paraId="50B4431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175 </w:t>
            </w:r>
          </w:p>
        </w:tc>
        <w:tc>
          <w:tcPr>
            <w:tcW w:w="851" w:type="dxa"/>
            <w:tcBorders>
              <w:top w:val="nil"/>
              <w:left w:val="nil"/>
              <w:bottom w:val="nil"/>
              <w:right w:val="nil"/>
            </w:tcBorders>
            <w:shd w:val="clear" w:color="auto" w:fill="auto"/>
            <w:noWrap/>
            <w:vAlign w:val="bottom"/>
            <w:hideMark/>
          </w:tcPr>
          <w:p w14:paraId="2E7EBC5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16.5 </w:t>
            </w:r>
          </w:p>
        </w:tc>
        <w:tc>
          <w:tcPr>
            <w:tcW w:w="1417" w:type="dxa"/>
            <w:tcBorders>
              <w:top w:val="nil"/>
              <w:left w:val="nil"/>
              <w:bottom w:val="nil"/>
              <w:right w:val="nil"/>
            </w:tcBorders>
            <w:shd w:val="clear" w:color="auto" w:fill="auto"/>
            <w:noWrap/>
            <w:vAlign w:val="bottom"/>
            <w:hideMark/>
          </w:tcPr>
          <w:p w14:paraId="4F0D5B6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5.5*</w:t>
            </w:r>
          </w:p>
        </w:tc>
      </w:tr>
      <w:tr w:rsidR="00143D89" w:rsidRPr="00F71A22" w14:paraId="3494B43C" w14:textId="77777777" w:rsidTr="001F4507">
        <w:trPr>
          <w:trHeight w:val="283"/>
        </w:trPr>
        <w:tc>
          <w:tcPr>
            <w:tcW w:w="2200" w:type="dxa"/>
            <w:tcBorders>
              <w:top w:val="nil"/>
              <w:left w:val="nil"/>
              <w:bottom w:val="nil"/>
              <w:right w:val="nil"/>
            </w:tcBorders>
            <w:shd w:val="clear" w:color="auto" w:fill="auto"/>
            <w:noWrap/>
            <w:vAlign w:val="bottom"/>
            <w:hideMark/>
          </w:tcPr>
          <w:p w14:paraId="5C84BFB4"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86" w:type="dxa"/>
            <w:tcBorders>
              <w:top w:val="nil"/>
              <w:left w:val="nil"/>
              <w:bottom w:val="nil"/>
              <w:right w:val="nil"/>
            </w:tcBorders>
            <w:shd w:val="clear" w:color="auto" w:fill="auto"/>
            <w:noWrap/>
            <w:vAlign w:val="bottom"/>
            <w:hideMark/>
          </w:tcPr>
          <w:p w14:paraId="6BBB548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341 </w:t>
            </w:r>
          </w:p>
        </w:tc>
        <w:tc>
          <w:tcPr>
            <w:tcW w:w="1417" w:type="dxa"/>
            <w:tcBorders>
              <w:top w:val="nil"/>
              <w:left w:val="nil"/>
              <w:bottom w:val="nil"/>
              <w:right w:val="nil"/>
            </w:tcBorders>
            <w:shd w:val="clear" w:color="auto" w:fill="auto"/>
            <w:noWrap/>
            <w:vAlign w:val="bottom"/>
            <w:hideMark/>
          </w:tcPr>
          <w:p w14:paraId="0CA592D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46.9 </w:t>
            </w:r>
          </w:p>
        </w:tc>
        <w:tc>
          <w:tcPr>
            <w:tcW w:w="1642" w:type="dxa"/>
            <w:tcBorders>
              <w:top w:val="nil"/>
              <w:left w:val="nil"/>
              <w:bottom w:val="nil"/>
              <w:right w:val="nil"/>
            </w:tcBorders>
            <w:shd w:val="clear" w:color="auto" w:fill="auto"/>
            <w:noWrap/>
            <w:vAlign w:val="bottom"/>
            <w:hideMark/>
          </w:tcPr>
          <w:p w14:paraId="46FFCC2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304 </w:t>
            </w:r>
          </w:p>
        </w:tc>
        <w:tc>
          <w:tcPr>
            <w:tcW w:w="851" w:type="dxa"/>
            <w:tcBorders>
              <w:top w:val="nil"/>
              <w:left w:val="nil"/>
              <w:bottom w:val="nil"/>
              <w:right w:val="nil"/>
            </w:tcBorders>
            <w:shd w:val="clear" w:color="auto" w:fill="auto"/>
            <w:noWrap/>
            <w:vAlign w:val="bottom"/>
            <w:hideMark/>
          </w:tcPr>
          <w:p w14:paraId="5E48B46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42.2 </w:t>
            </w:r>
          </w:p>
        </w:tc>
        <w:tc>
          <w:tcPr>
            <w:tcW w:w="1417" w:type="dxa"/>
            <w:tcBorders>
              <w:top w:val="nil"/>
              <w:left w:val="nil"/>
              <w:bottom w:val="nil"/>
              <w:right w:val="nil"/>
            </w:tcBorders>
            <w:shd w:val="clear" w:color="auto" w:fill="auto"/>
            <w:noWrap/>
            <w:vAlign w:val="bottom"/>
            <w:hideMark/>
          </w:tcPr>
          <w:p w14:paraId="263E06B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4.7</w:t>
            </w:r>
          </w:p>
        </w:tc>
      </w:tr>
      <w:tr w:rsidR="00EB3AB7" w:rsidRPr="00F71A22" w14:paraId="603E358A" w14:textId="77777777" w:rsidTr="001F4507">
        <w:trPr>
          <w:trHeight w:val="283"/>
        </w:trPr>
        <w:tc>
          <w:tcPr>
            <w:tcW w:w="2200" w:type="dxa"/>
            <w:tcBorders>
              <w:top w:val="nil"/>
              <w:left w:val="nil"/>
              <w:bottom w:val="nil"/>
              <w:right w:val="nil"/>
            </w:tcBorders>
            <w:shd w:val="clear" w:color="auto" w:fill="auto"/>
            <w:noWrap/>
            <w:vAlign w:val="bottom"/>
            <w:hideMark/>
          </w:tcPr>
          <w:p w14:paraId="47D33125" w14:textId="18CFFFA9"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Outer regional</w:t>
            </w:r>
          </w:p>
        </w:tc>
        <w:tc>
          <w:tcPr>
            <w:tcW w:w="1486" w:type="dxa"/>
            <w:tcBorders>
              <w:top w:val="nil"/>
              <w:left w:val="nil"/>
              <w:bottom w:val="nil"/>
              <w:right w:val="nil"/>
            </w:tcBorders>
            <w:shd w:val="clear" w:color="auto" w:fill="auto"/>
            <w:noWrap/>
            <w:hideMark/>
          </w:tcPr>
          <w:p w14:paraId="0C113FFF" w14:textId="687546B0"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27737F">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0CD0CE2A" w14:textId="7625BF4D"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27737F">
              <w:rPr>
                <w:rFonts w:ascii="Calibri" w:eastAsia="Times New Roman" w:hAnsi="Calibri" w:cs="Times New Roman"/>
                <w:b/>
                <w:bCs/>
                <w:i/>
                <w:iCs/>
                <w:color w:val="FFFFFF" w:themeColor="background1"/>
                <w:sz w:val="18"/>
                <w:szCs w:val="18"/>
                <w:lang w:eastAsia="en-AU"/>
              </w:rPr>
              <w:t>—</w:t>
            </w:r>
          </w:p>
        </w:tc>
        <w:tc>
          <w:tcPr>
            <w:tcW w:w="1642" w:type="dxa"/>
            <w:tcBorders>
              <w:top w:val="nil"/>
              <w:left w:val="nil"/>
              <w:bottom w:val="nil"/>
              <w:right w:val="nil"/>
            </w:tcBorders>
            <w:shd w:val="clear" w:color="auto" w:fill="auto"/>
            <w:noWrap/>
            <w:hideMark/>
          </w:tcPr>
          <w:p w14:paraId="4181E166" w14:textId="2128E65C"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27737F">
              <w:rPr>
                <w:rFonts w:ascii="Calibri" w:eastAsia="Times New Roman" w:hAnsi="Calibri" w:cs="Times New Roman"/>
                <w:b/>
                <w:bCs/>
                <w:i/>
                <w:iCs/>
                <w:color w:val="FFFFFF" w:themeColor="background1"/>
                <w:sz w:val="18"/>
                <w:szCs w:val="18"/>
                <w:lang w:eastAsia="en-AU"/>
              </w:rPr>
              <w:t>—</w:t>
            </w:r>
          </w:p>
        </w:tc>
        <w:tc>
          <w:tcPr>
            <w:tcW w:w="851" w:type="dxa"/>
            <w:tcBorders>
              <w:top w:val="nil"/>
              <w:left w:val="nil"/>
              <w:bottom w:val="nil"/>
              <w:right w:val="nil"/>
            </w:tcBorders>
            <w:shd w:val="clear" w:color="auto" w:fill="auto"/>
            <w:noWrap/>
            <w:hideMark/>
          </w:tcPr>
          <w:p w14:paraId="2EB0CC1D" w14:textId="391A14CA"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27737F">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4F934801" w14:textId="389C5A28"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27737F">
              <w:rPr>
                <w:rFonts w:ascii="Calibri" w:eastAsia="Times New Roman" w:hAnsi="Calibri" w:cs="Times New Roman"/>
                <w:b/>
                <w:bCs/>
                <w:i/>
                <w:iCs/>
                <w:color w:val="FFFFFF" w:themeColor="background1"/>
                <w:sz w:val="18"/>
                <w:szCs w:val="18"/>
                <w:lang w:eastAsia="en-AU"/>
              </w:rPr>
              <w:t>—</w:t>
            </w:r>
          </w:p>
        </w:tc>
      </w:tr>
      <w:tr w:rsidR="00143D89" w:rsidRPr="00F71A22" w14:paraId="12F06278" w14:textId="77777777" w:rsidTr="001F4507">
        <w:trPr>
          <w:trHeight w:val="283"/>
        </w:trPr>
        <w:tc>
          <w:tcPr>
            <w:tcW w:w="2200" w:type="dxa"/>
            <w:tcBorders>
              <w:top w:val="nil"/>
              <w:left w:val="nil"/>
              <w:bottom w:val="nil"/>
              <w:right w:val="nil"/>
            </w:tcBorders>
            <w:shd w:val="clear" w:color="auto" w:fill="auto"/>
            <w:noWrap/>
            <w:vAlign w:val="bottom"/>
            <w:hideMark/>
          </w:tcPr>
          <w:p w14:paraId="4D98CD8B"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86" w:type="dxa"/>
            <w:tcBorders>
              <w:top w:val="nil"/>
              <w:left w:val="nil"/>
              <w:bottom w:val="nil"/>
              <w:right w:val="nil"/>
            </w:tcBorders>
            <w:shd w:val="clear" w:color="auto" w:fill="auto"/>
            <w:noWrap/>
            <w:vAlign w:val="bottom"/>
            <w:hideMark/>
          </w:tcPr>
          <w:p w14:paraId="7A12223D" w14:textId="4CB74BCD"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1417" w:type="dxa"/>
            <w:tcBorders>
              <w:top w:val="nil"/>
              <w:left w:val="nil"/>
              <w:bottom w:val="nil"/>
              <w:right w:val="nil"/>
            </w:tcBorders>
            <w:shd w:val="clear" w:color="auto" w:fill="auto"/>
            <w:noWrap/>
            <w:vAlign w:val="bottom"/>
            <w:hideMark/>
          </w:tcPr>
          <w:p w14:paraId="24B868B6" w14:textId="7779BDDB"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1.5 </w:t>
            </w:r>
          </w:p>
        </w:tc>
        <w:tc>
          <w:tcPr>
            <w:tcW w:w="1642" w:type="dxa"/>
            <w:tcBorders>
              <w:top w:val="nil"/>
              <w:left w:val="nil"/>
              <w:bottom w:val="nil"/>
              <w:right w:val="nil"/>
            </w:tcBorders>
            <w:shd w:val="clear" w:color="auto" w:fill="auto"/>
            <w:noWrap/>
            <w:vAlign w:val="bottom"/>
            <w:hideMark/>
          </w:tcPr>
          <w:p w14:paraId="5195CCFB" w14:textId="1475816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851" w:type="dxa"/>
            <w:tcBorders>
              <w:top w:val="nil"/>
              <w:left w:val="nil"/>
              <w:bottom w:val="nil"/>
              <w:right w:val="nil"/>
            </w:tcBorders>
            <w:shd w:val="clear" w:color="auto" w:fill="auto"/>
            <w:noWrap/>
            <w:vAlign w:val="bottom"/>
            <w:hideMark/>
          </w:tcPr>
          <w:p w14:paraId="7AE5A23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1.2 </w:t>
            </w:r>
          </w:p>
        </w:tc>
        <w:tc>
          <w:tcPr>
            <w:tcW w:w="1417" w:type="dxa"/>
            <w:tcBorders>
              <w:top w:val="nil"/>
              <w:left w:val="nil"/>
              <w:bottom w:val="nil"/>
              <w:right w:val="nil"/>
            </w:tcBorders>
            <w:shd w:val="clear" w:color="auto" w:fill="auto"/>
            <w:noWrap/>
            <w:vAlign w:val="bottom"/>
            <w:hideMark/>
          </w:tcPr>
          <w:p w14:paraId="568DA49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0.2</w:t>
            </w:r>
          </w:p>
        </w:tc>
      </w:tr>
      <w:tr w:rsidR="00143D89" w:rsidRPr="00F71A22" w14:paraId="2C3DE02F" w14:textId="77777777" w:rsidTr="001F4507">
        <w:trPr>
          <w:trHeight w:val="283"/>
        </w:trPr>
        <w:tc>
          <w:tcPr>
            <w:tcW w:w="2200" w:type="dxa"/>
            <w:tcBorders>
              <w:top w:val="nil"/>
              <w:left w:val="nil"/>
              <w:right w:val="nil"/>
            </w:tcBorders>
            <w:shd w:val="clear" w:color="auto" w:fill="auto"/>
            <w:noWrap/>
            <w:vAlign w:val="bottom"/>
            <w:hideMark/>
          </w:tcPr>
          <w:p w14:paraId="2AFE43C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86" w:type="dxa"/>
            <w:tcBorders>
              <w:top w:val="nil"/>
              <w:left w:val="nil"/>
              <w:right w:val="nil"/>
            </w:tcBorders>
            <w:shd w:val="clear" w:color="auto" w:fill="auto"/>
            <w:noWrap/>
            <w:vAlign w:val="bottom"/>
            <w:hideMark/>
          </w:tcPr>
          <w:p w14:paraId="7779F264" w14:textId="2EE3E29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81 </w:t>
            </w:r>
          </w:p>
        </w:tc>
        <w:tc>
          <w:tcPr>
            <w:tcW w:w="1417" w:type="dxa"/>
            <w:tcBorders>
              <w:top w:val="nil"/>
              <w:left w:val="nil"/>
              <w:right w:val="nil"/>
            </w:tcBorders>
            <w:shd w:val="clear" w:color="auto" w:fill="auto"/>
            <w:noWrap/>
            <w:vAlign w:val="bottom"/>
            <w:hideMark/>
          </w:tcPr>
          <w:p w14:paraId="1C54D7C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24.6 </w:t>
            </w:r>
          </w:p>
        </w:tc>
        <w:tc>
          <w:tcPr>
            <w:tcW w:w="1642" w:type="dxa"/>
            <w:tcBorders>
              <w:top w:val="nil"/>
              <w:left w:val="nil"/>
              <w:right w:val="nil"/>
            </w:tcBorders>
            <w:shd w:val="clear" w:color="auto" w:fill="auto"/>
            <w:noWrap/>
            <w:vAlign w:val="bottom"/>
            <w:hideMark/>
          </w:tcPr>
          <w:p w14:paraId="7DE67AB4" w14:textId="7AF33100"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54 </w:t>
            </w:r>
          </w:p>
        </w:tc>
        <w:tc>
          <w:tcPr>
            <w:tcW w:w="851" w:type="dxa"/>
            <w:tcBorders>
              <w:top w:val="nil"/>
              <w:left w:val="nil"/>
              <w:right w:val="nil"/>
            </w:tcBorders>
            <w:shd w:val="clear" w:color="auto" w:fill="auto"/>
            <w:noWrap/>
            <w:vAlign w:val="bottom"/>
            <w:hideMark/>
          </w:tcPr>
          <w:p w14:paraId="0DFE38F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16.5 </w:t>
            </w:r>
          </w:p>
        </w:tc>
        <w:tc>
          <w:tcPr>
            <w:tcW w:w="1417" w:type="dxa"/>
            <w:tcBorders>
              <w:top w:val="nil"/>
              <w:left w:val="nil"/>
              <w:right w:val="nil"/>
            </w:tcBorders>
            <w:shd w:val="clear" w:color="auto" w:fill="auto"/>
            <w:noWrap/>
            <w:vAlign w:val="bottom"/>
            <w:hideMark/>
          </w:tcPr>
          <w:p w14:paraId="6CDB183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8.2*</w:t>
            </w:r>
          </w:p>
        </w:tc>
      </w:tr>
      <w:tr w:rsidR="00143D89" w:rsidRPr="00F71A22" w14:paraId="131937A1" w14:textId="77777777" w:rsidTr="001F4507">
        <w:trPr>
          <w:trHeight w:val="283"/>
        </w:trPr>
        <w:tc>
          <w:tcPr>
            <w:tcW w:w="2200" w:type="dxa"/>
            <w:tcBorders>
              <w:top w:val="nil"/>
              <w:left w:val="nil"/>
              <w:bottom w:val="single" w:sz="8" w:space="0" w:color="auto"/>
              <w:right w:val="nil"/>
            </w:tcBorders>
            <w:shd w:val="clear" w:color="auto" w:fill="auto"/>
            <w:noWrap/>
            <w:vAlign w:val="bottom"/>
            <w:hideMark/>
          </w:tcPr>
          <w:p w14:paraId="5CCE4703"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86" w:type="dxa"/>
            <w:tcBorders>
              <w:top w:val="nil"/>
              <w:left w:val="nil"/>
              <w:bottom w:val="single" w:sz="8" w:space="0" w:color="auto"/>
              <w:right w:val="nil"/>
            </w:tcBorders>
            <w:shd w:val="clear" w:color="auto" w:fill="auto"/>
            <w:noWrap/>
            <w:vAlign w:val="bottom"/>
            <w:hideMark/>
          </w:tcPr>
          <w:p w14:paraId="7087130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114 </w:t>
            </w:r>
          </w:p>
        </w:tc>
        <w:tc>
          <w:tcPr>
            <w:tcW w:w="1417" w:type="dxa"/>
            <w:tcBorders>
              <w:top w:val="nil"/>
              <w:left w:val="nil"/>
              <w:bottom w:val="single" w:sz="8" w:space="0" w:color="auto"/>
              <w:right w:val="nil"/>
            </w:tcBorders>
            <w:shd w:val="clear" w:color="auto" w:fill="auto"/>
            <w:noWrap/>
            <w:vAlign w:val="bottom"/>
            <w:hideMark/>
          </w:tcPr>
          <w:p w14:paraId="08F2FF8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48.9 </w:t>
            </w:r>
          </w:p>
        </w:tc>
        <w:tc>
          <w:tcPr>
            <w:tcW w:w="1642" w:type="dxa"/>
            <w:tcBorders>
              <w:top w:val="nil"/>
              <w:left w:val="nil"/>
              <w:bottom w:val="single" w:sz="8" w:space="0" w:color="auto"/>
              <w:right w:val="nil"/>
            </w:tcBorders>
            <w:shd w:val="clear" w:color="auto" w:fill="auto"/>
            <w:noWrap/>
            <w:vAlign w:val="bottom"/>
            <w:hideMark/>
          </w:tcPr>
          <w:p w14:paraId="6D4229E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100 </w:t>
            </w:r>
          </w:p>
        </w:tc>
        <w:tc>
          <w:tcPr>
            <w:tcW w:w="851" w:type="dxa"/>
            <w:tcBorders>
              <w:top w:val="nil"/>
              <w:left w:val="nil"/>
              <w:bottom w:val="single" w:sz="8" w:space="0" w:color="auto"/>
              <w:right w:val="nil"/>
            </w:tcBorders>
            <w:shd w:val="clear" w:color="auto" w:fill="auto"/>
            <w:noWrap/>
            <w:vAlign w:val="bottom"/>
            <w:hideMark/>
          </w:tcPr>
          <w:p w14:paraId="1E4F25F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43.5 </w:t>
            </w:r>
          </w:p>
        </w:tc>
        <w:tc>
          <w:tcPr>
            <w:tcW w:w="1417" w:type="dxa"/>
            <w:tcBorders>
              <w:top w:val="nil"/>
              <w:left w:val="nil"/>
              <w:bottom w:val="single" w:sz="8" w:space="0" w:color="auto"/>
              <w:right w:val="nil"/>
            </w:tcBorders>
            <w:shd w:val="clear" w:color="auto" w:fill="auto"/>
            <w:noWrap/>
            <w:vAlign w:val="bottom"/>
            <w:hideMark/>
          </w:tcPr>
          <w:p w14:paraId="5D6F54E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5.5</w:t>
            </w:r>
          </w:p>
        </w:tc>
      </w:tr>
    </w:tbl>
    <w:p w14:paraId="13D2F0D6" w14:textId="4FD1DA77" w:rsidR="00143D89" w:rsidRPr="00F71A22" w:rsidRDefault="00143D89" w:rsidP="001F4507">
      <w:pPr>
        <w:pStyle w:val="Source"/>
        <w:contextualSpacing/>
      </w:pPr>
      <w:r w:rsidRPr="00F71A22">
        <w:rPr>
          <w:b/>
          <w:bCs/>
        </w:rPr>
        <w:t>Source</w:t>
      </w:r>
      <w:r w:rsidRPr="00F71A22">
        <w:t xml:space="preserve">: DESE </w:t>
      </w:r>
      <w:r w:rsidR="00DA1E0C">
        <w:t>a</w:t>
      </w:r>
      <w:r w:rsidRPr="00F71A22">
        <w:t xml:space="preserve">dministrative </w:t>
      </w:r>
      <w:r w:rsidR="00EE3C8D">
        <w:t>d</w:t>
      </w:r>
      <w:r w:rsidRPr="00F71A22">
        <w:t>ata</w:t>
      </w:r>
      <w:r w:rsidR="00281087">
        <w:br/>
      </w:r>
      <w:r w:rsidRPr="001F4507">
        <w:rPr>
          <w:b/>
          <w:bCs/>
        </w:rPr>
        <w:t>Note</w:t>
      </w:r>
      <w:r w:rsidRPr="00F71A22">
        <w:t>:</w:t>
      </w:r>
      <w:r w:rsidR="00281087">
        <w:br/>
      </w:r>
      <w:r w:rsidRPr="00F71A22">
        <w:t>* indicates statistically significant difference between groups at p &lt; 0.05</w:t>
      </w:r>
      <w:r w:rsidR="00281087">
        <w:br/>
      </w:r>
      <w:r w:rsidRPr="00F71A22">
        <w:t>## indicates values lower than 20</w:t>
      </w:r>
    </w:p>
    <w:p w14:paraId="6213D3F7" w14:textId="77777777" w:rsidR="00DC744E" w:rsidRPr="00F71A22" w:rsidRDefault="00DC744E" w:rsidP="00DC744E">
      <w:pPr>
        <w:spacing w:before="0" w:after="160" w:line="259" w:lineRule="auto"/>
        <w:rPr>
          <w:rFonts w:ascii="Calibri" w:eastAsiaTheme="majorEastAsia" w:hAnsi="Calibri" w:cstheme="majorBidi"/>
          <w:color w:val="008276"/>
          <w:sz w:val="28"/>
          <w:szCs w:val="24"/>
        </w:rPr>
      </w:pPr>
      <w:r w:rsidRPr="00F71A22">
        <w:br w:type="page"/>
      </w:r>
    </w:p>
    <w:p w14:paraId="4C1B3A0E" w14:textId="5773A5F5" w:rsidR="00143D89" w:rsidRPr="00F71A22" w:rsidRDefault="00143D89" w:rsidP="00143D89">
      <w:pPr>
        <w:pStyle w:val="Heading3"/>
      </w:pPr>
      <w:bookmarkStart w:id="257" w:name="_Toc67042655"/>
      <w:bookmarkEnd w:id="255"/>
      <w:bookmarkEnd w:id="256"/>
      <w:r w:rsidRPr="00F71A22">
        <w:lastRenderedPageBreak/>
        <w:t>Gender</w:t>
      </w:r>
      <w:bookmarkEnd w:id="257"/>
    </w:p>
    <w:p w14:paraId="4B8F0E84" w14:textId="35CEB20C" w:rsidR="00143D89" w:rsidRPr="0006562C" w:rsidRDefault="00143D89" w:rsidP="0006562C">
      <w:pPr>
        <w:pStyle w:val="TableCaption"/>
      </w:pPr>
      <w:bookmarkStart w:id="258" w:name="_Toc67042669"/>
      <w:r w:rsidRPr="0006562C">
        <w:t>Table E3 Exits by gender</w:t>
      </w:r>
      <w:bookmarkEnd w:id="258"/>
    </w:p>
    <w:tbl>
      <w:tblPr>
        <w:tblW w:w="9015" w:type="dxa"/>
        <w:tblLook w:val="04A0" w:firstRow="1" w:lastRow="0" w:firstColumn="1" w:lastColumn="0" w:noHBand="0" w:noVBand="1"/>
      </w:tblPr>
      <w:tblGrid>
        <w:gridCol w:w="1958"/>
        <w:gridCol w:w="1476"/>
        <w:gridCol w:w="1288"/>
        <w:gridCol w:w="1717"/>
        <w:gridCol w:w="1001"/>
        <w:gridCol w:w="1575"/>
      </w:tblGrid>
      <w:tr w:rsidR="00143D89" w:rsidRPr="00F71A22" w14:paraId="228CEDBF" w14:textId="77777777" w:rsidTr="001F4507">
        <w:trPr>
          <w:cantSplit/>
          <w:trHeight w:val="563"/>
          <w:tblHeader/>
        </w:trPr>
        <w:tc>
          <w:tcPr>
            <w:tcW w:w="1940" w:type="dxa"/>
            <w:tcBorders>
              <w:top w:val="single" w:sz="4" w:space="0" w:color="auto"/>
              <w:left w:val="nil"/>
              <w:bottom w:val="single" w:sz="8" w:space="0" w:color="auto"/>
              <w:right w:val="nil"/>
            </w:tcBorders>
            <w:shd w:val="clear" w:color="auto" w:fill="002D3F"/>
            <w:vAlign w:val="center"/>
            <w:hideMark/>
          </w:tcPr>
          <w:p w14:paraId="4A2CB937"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Exits</w:t>
            </w:r>
          </w:p>
        </w:tc>
        <w:tc>
          <w:tcPr>
            <w:tcW w:w="1462" w:type="dxa"/>
            <w:tcBorders>
              <w:top w:val="single" w:sz="4" w:space="0" w:color="auto"/>
              <w:left w:val="nil"/>
              <w:bottom w:val="single" w:sz="8" w:space="0" w:color="auto"/>
              <w:right w:val="nil"/>
            </w:tcBorders>
            <w:shd w:val="clear" w:color="auto" w:fill="002D3F"/>
            <w:vAlign w:val="center"/>
            <w:hideMark/>
          </w:tcPr>
          <w:p w14:paraId="30CA55F6"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OEST participants</w:t>
            </w:r>
          </w:p>
        </w:tc>
        <w:tc>
          <w:tcPr>
            <w:tcW w:w="1276" w:type="dxa"/>
            <w:tcBorders>
              <w:top w:val="single" w:sz="4" w:space="0" w:color="auto"/>
              <w:left w:val="nil"/>
              <w:bottom w:val="single" w:sz="8" w:space="0" w:color="auto"/>
              <w:right w:val="nil"/>
            </w:tcBorders>
            <w:shd w:val="clear" w:color="auto" w:fill="002D3F"/>
            <w:vAlign w:val="center"/>
            <w:hideMark/>
          </w:tcPr>
          <w:p w14:paraId="5D50962F"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701" w:type="dxa"/>
            <w:tcBorders>
              <w:top w:val="single" w:sz="4" w:space="0" w:color="auto"/>
              <w:left w:val="nil"/>
              <w:bottom w:val="single" w:sz="8" w:space="0" w:color="auto"/>
              <w:right w:val="nil"/>
            </w:tcBorders>
            <w:shd w:val="clear" w:color="auto" w:fill="002D3F"/>
            <w:vAlign w:val="center"/>
            <w:hideMark/>
          </w:tcPr>
          <w:p w14:paraId="779E5E6A"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comparison group</w:t>
            </w:r>
          </w:p>
        </w:tc>
        <w:tc>
          <w:tcPr>
            <w:tcW w:w="992" w:type="dxa"/>
            <w:tcBorders>
              <w:top w:val="single" w:sz="4" w:space="0" w:color="auto"/>
              <w:left w:val="nil"/>
              <w:bottom w:val="single" w:sz="8" w:space="0" w:color="auto"/>
              <w:right w:val="nil"/>
            </w:tcBorders>
            <w:shd w:val="clear" w:color="auto" w:fill="002D3F"/>
            <w:vAlign w:val="center"/>
            <w:hideMark/>
          </w:tcPr>
          <w:p w14:paraId="11990471"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560" w:type="dxa"/>
            <w:tcBorders>
              <w:top w:val="single" w:sz="4" w:space="0" w:color="auto"/>
              <w:left w:val="nil"/>
              <w:bottom w:val="single" w:sz="8" w:space="0" w:color="auto"/>
              <w:right w:val="nil"/>
            </w:tcBorders>
            <w:shd w:val="clear" w:color="auto" w:fill="002D3F"/>
            <w:vAlign w:val="center"/>
            <w:hideMark/>
          </w:tcPr>
          <w:p w14:paraId="364C2750"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 cent difference</w:t>
            </w:r>
          </w:p>
        </w:tc>
      </w:tr>
      <w:tr w:rsidR="00EB3AB7" w:rsidRPr="00F71A22" w14:paraId="097FCC38" w14:textId="77777777" w:rsidTr="001F4507">
        <w:trPr>
          <w:trHeight w:val="283"/>
        </w:trPr>
        <w:tc>
          <w:tcPr>
            <w:tcW w:w="1940" w:type="dxa"/>
            <w:tcBorders>
              <w:top w:val="nil"/>
              <w:left w:val="nil"/>
              <w:bottom w:val="nil"/>
              <w:right w:val="nil"/>
            </w:tcBorders>
            <w:shd w:val="clear" w:color="auto" w:fill="auto"/>
            <w:noWrap/>
            <w:vAlign w:val="bottom"/>
          </w:tcPr>
          <w:p w14:paraId="047D0C43" w14:textId="54E3AE6C"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income support</w:t>
            </w:r>
          </w:p>
        </w:tc>
        <w:tc>
          <w:tcPr>
            <w:tcW w:w="1462" w:type="dxa"/>
            <w:tcBorders>
              <w:top w:val="nil"/>
              <w:left w:val="nil"/>
              <w:bottom w:val="nil"/>
              <w:right w:val="nil"/>
            </w:tcBorders>
            <w:shd w:val="clear" w:color="auto" w:fill="auto"/>
            <w:noWrap/>
            <w:vAlign w:val="bottom"/>
          </w:tcPr>
          <w:p w14:paraId="4C4C0FA0" w14:textId="7F0EEDA7"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1F4507">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tcPr>
          <w:p w14:paraId="1D004A30" w14:textId="7C92661F"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FD5333">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2F2ADDD8" w14:textId="1764A8AD"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FD5333">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tcPr>
          <w:p w14:paraId="1A8D691C" w14:textId="0BA7C09B"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FD5333">
              <w:rPr>
                <w:rFonts w:ascii="Calibri" w:eastAsia="Times New Roman" w:hAnsi="Calibri" w:cs="Times New Roman"/>
                <w:b/>
                <w:bCs/>
                <w:i/>
                <w:iCs/>
                <w:color w:val="FFFFFF" w:themeColor="background1"/>
                <w:sz w:val="18"/>
                <w:szCs w:val="18"/>
                <w:lang w:eastAsia="en-AU"/>
              </w:rPr>
              <w:t>—</w:t>
            </w:r>
          </w:p>
        </w:tc>
        <w:tc>
          <w:tcPr>
            <w:tcW w:w="1560" w:type="dxa"/>
            <w:tcBorders>
              <w:top w:val="nil"/>
              <w:left w:val="nil"/>
              <w:bottom w:val="nil"/>
              <w:right w:val="nil"/>
            </w:tcBorders>
            <w:shd w:val="clear" w:color="auto" w:fill="auto"/>
            <w:noWrap/>
          </w:tcPr>
          <w:p w14:paraId="3E060F25" w14:textId="3D949FEC"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FD5333">
              <w:rPr>
                <w:rFonts w:ascii="Calibri" w:eastAsia="Times New Roman" w:hAnsi="Calibri" w:cs="Times New Roman"/>
                <w:b/>
                <w:bCs/>
                <w:i/>
                <w:iCs/>
                <w:color w:val="FFFFFF" w:themeColor="background1"/>
                <w:sz w:val="18"/>
                <w:szCs w:val="18"/>
                <w:lang w:eastAsia="en-AU"/>
              </w:rPr>
              <w:t>—</w:t>
            </w:r>
          </w:p>
        </w:tc>
      </w:tr>
      <w:tr w:rsidR="00EB3AB7" w:rsidRPr="00F71A22" w14:paraId="26B6AF73" w14:textId="77777777" w:rsidTr="001F4507">
        <w:trPr>
          <w:trHeight w:val="283"/>
        </w:trPr>
        <w:tc>
          <w:tcPr>
            <w:tcW w:w="1940" w:type="dxa"/>
            <w:tcBorders>
              <w:top w:val="nil"/>
              <w:left w:val="nil"/>
              <w:bottom w:val="nil"/>
              <w:right w:val="nil"/>
            </w:tcBorders>
            <w:shd w:val="clear" w:color="auto" w:fill="auto"/>
            <w:noWrap/>
            <w:vAlign w:val="bottom"/>
            <w:hideMark/>
          </w:tcPr>
          <w:p w14:paraId="4621C9E9" w14:textId="0887FB55"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Female</w:t>
            </w:r>
          </w:p>
        </w:tc>
        <w:tc>
          <w:tcPr>
            <w:tcW w:w="1462" w:type="dxa"/>
            <w:tcBorders>
              <w:top w:val="nil"/>
              <w:left w:val="nil"/>
              <w:bottom w:val="nil"/>
              <w:right w:val="nil"/>
            </w:tcBorders>
            <w:shd w:val="clear" w:color="auto" w:fill="auto"/>
            <w:noWrap/>
            <w:hideMark/>
          </w:tcPr>
          <w:p w14:paraId="194BD0FB" w14:textId="68D6F867"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5D6405">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0C9CDECA" w14:textId="1A04751E"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5D6405">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791BA84C" w14:textId="380DB061"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5D6405">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35145F4D" w14:textId="003440B9"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5D6405">
              <w:rPr>
                <w:rFonts w:ascii="Calibri" w:eastAsia="Times New Roman" w:hAnsi="Calibri" w:cs="Times New Roman"/>
                <w:b/>
                <w:bCs/>
                <w:i/>
                <w:iCs/>
                <w:color w:val="FFFFFF" w:themeColor="background1"/>
                <w:sz w:val="18"/>
                <w:szCs w:val="18"/>
                <w:lang w:eastAsia="en-AU"/>
              </w:rPr>
              <w:t>—</w:t>
            </w:r>
          </w:p>
        </w:tc>
        <w:tc>
          <w:tcPr>
            <w:tcW w:w="1560" w:type="dxa"/>
            <w:tcBorders>
              <w:top w:val="nil"/>
              <w:left w:val="nil"/>
              <w:bottom w:val="nil"/>
              <w:right w:val="nil"/>
            </w:tcBorders>
            <w:shd w:val="clear" w:color="auto" w:fill="auto"/>
            <w:noWrap/>
            <w:hideMark/>
          </w:tcPr>
          <w:p w14:paraId="6998D1D4" w14:textId="6FA3B79F"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5D6405">
              <w:rPr>
                <w:rFonts w:ascii="Calibri" w:eastAsia="Times New Roman" w:hAnsi="Calibri" w:cs="Times New Roman"/>
                <w:b/>
                <w:bCs/>
                <w:i/>
                <w:iCs/>
                <w:color w:val="FFFFFF" w:themeColor="background1"/>
                <w:sz w:val="18"/>
                <w:szCs w:val="18"/>
                <w:lang w:eastAsia="en-AU"/>
              </w:rPr>
              <w:t>—</w:t>
            </w:r>
          </w:p>
        </w:tc>
      </w:tr>
      <w:tr w:rsidR="00143D89" w:rsidRPr="00F71A22" w14:paraId="22AAF5B8" w14:textId="77777777" w:rsidTr="001F4507">
        <w:trPr>
          <w:trHeight w:val="283"/>
        </w:trPr>
        <w:tc>
          <w:tcPr>
            <w:tcW w:w="1940" w:type="dxa"/>
            <w:tcBorders>
              <w:top w:val="nil"/>
              <w:left w:val="nil"/>
              <w:bottom w:val="nil"/>
              <w:right w:val="nil"/>
            </w:tcBorders>
            <w:shd w:val="clear" w:color="auto" w:fill="auto"/>
            <w:noWrap/>
            <w:vAlign w:val="bottom"/>
            <w:hideMark/>
          </w:tcPr>
          <w:p w14:paraId="497584CD"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62" w:type="dxa"/>
            <w:tcBorders>
              <w:top w:val="nil"/>
              <w:left w:val="nil"/>
              <w:bottom w:val="nil"/>
              <w:right w:val="nil"/>
            </w:tcBorders>
            <w:shd w:val="clear" w:color="auto" w:fill="auto"/>
            <w:noWrap/>
            <w:vAlign w:val="bottom"/>
            <w:hideMark/>
          </w:tcPr>
          <w:p w14:paraId="3C7484E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290 </w:t>
            </w:r>
          </w:p>
        </w:tc>
        <w:tc>
          <w:tcPr>
            <w:tcW w:w="1276" w:type="dxa"/>
            <w:tcBorders>
              <w:top w:val="nil"/>
              <w:left w:val="nil"/>
              <w:bottom w:val="nil"/>
              <w:right w:val="nil"/>
            </w:tcBorders>
            <w:shd w:val="clear" w:color="auto" w:fill="auto"/>
            <w:noWrap/>
            <w:vAlign w:val="bottom"/>
            <w:hideMark/>
          </w:tcPr>
          <w:p w14:paraId="5D1ADF3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10.1 </w:t>
            </w:r>
          </w:p>
        </w:tc>
        <w:tc>
          <w:tcPr>
            <w:tcW w:w="1701" w:type="dxa"/>
            <w:tcBorders>
              <w:top w:val="nil"/>
              <w:left w:val="nil"/>
              <w:bottom w:val="nil"/>
              <w:right w:val="nil"/>
            </w:tcBorders>
            <w:shd w:val="clear" w:color="auto" w:fill="auto"/>
            <w:noWrap/>
            <w:vAlign w:val="bottom"/>
            <w:hideMark/>
          </w:tcPr>
          <w:p w14:paraId="6AF135C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218 </w:t>
            </w:r>
          </w:p>
        </w:tc>
        <w:tc>
          <w:tcPr>
            <w:tcW w:w="992" w:type="dxa"/>
            <w:tcBorders>
              <w:top w:val="nil"/>
              <w:left w:val="nil"/>
              <w:bottom w:val="nil"/>
              <w:right w:val="nil"/>
            </w:tcBorders>
            <w:shd w:val="clear" w:color="auto" w:fill="auto"/>
            <w:noWrap/>
            <w:vAlign w:val="bottom"/>
            <w:hideMark/>
          </w:tcPr>
          <w:p w14:paraId="42A8674F" w14:textId="7CA1DB9A"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7.6 </w:t>
            </w:r>
          </w:p>
        </w:tc>
        <w:tc>
          <w:tcPr>
            <w:tcW w:w="1560" w:type="dxa"/>
            <w:tcBorders>
              <w:top w:val="nil"/>
              <w:left w:val="nil"/>
              <w:bottom w:val="nil"/>
              <w:right w:val="nil"/>
            </w:tcBorders>
            <w:shd w:val="clear" w:color="auto" w:fill="auto"/>
            <w:noWrap/>
            <w:vAlign w:val="bottom"/>
            <w:hideMark/>
          </w:tcPr>
          <w:p w14:paraId="51902A1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2.5*</w:t>
            </w:r>
          </w:p>
        </w:tc>
      </w:tr>
      <w:tr w:rsidR="00143D89" w:rsidRPr="00F71A22" w14:paraId="1048AAFF" w14:textId="77777777" w:rsidTr="001F4507">
        <w:trPr>
          <w:trHeight w:val="283"/>
        </w:trPr>
        <w:tc>
          <w:tcPr>
            <w:tcW w:w="1940" w:type="dxa"/>
            <w:tcBorders>
              <w:top w:val="nil"/>
              <w:left w:val="nil"/>
              <w:bottom w:val="nil"/>
              <w:right w:val="nil"/>
            </w:tcBorders>
            <w:shd w:val="clear" w:color="auto" w:fill="auto"/>
            <w:noWrap/>
            <w:vAlign w:val="bottom"/>
            <w:hideMark/>
          </w:tcPr>
          <w:p w14:paraId="13A14D04"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62" w:type="dxa"/>
            <w:tcBorders>
              <w:top w:val="nil"/>
              <w:left w:val="nil"/>
              <w:bottom w:val="nil"/>
              <w:right w:val="nil"/>
            </w:tcBorders>
            <w:shd w:val="clear" w:color="auto" w:fill="auto"/>
            <w:noWrap/>
            <w:vAlign w:val="bottom"/>
            <w:hideMark/>
          </w:tcPr>
          <w:p w14:paraId="2E145CA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788 </w:t>
            </w:r>
          </w:p>
        </w:tc>
        <w:tc>
          <w:tcPr>
            <w:tcW w:w="1276" w:type="dxa"/>
            <w:tcBorders>
              <w:top w:val="nil"/>
              <w:left w:val="nil"/>
              <w:bottom w:val="nil"/>
              <w:right w:val="nil"/>
            </w:tcBorders>
            <w:shd w:val="clear" w:color="auto" w:fill="auto"/>
            <w:noWrap/>
            <w:vAlign w:val="bottom"/>
            <w:hideMark/>
          </w:tcPr>
          <w:p w14:paraId="5E3285F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34.0 </w:t>
            </w:r>
          </w:p>
        </w:tc>
        <w:tc>
          <w:tcPr>
            <w:tcW w:w="1701" w:type="dxa"/>
            <w:tcBorders>
              <w:top w:val="nil"/>
              <w:left w:val="nil"/>
              <w:bottom w:val="nil"/>
              <w:right w:val="nil"/>
            </w:tcBorders>
            <w:shd w:val="clear" w:color="auto" w:fill="auto"/>
            <w:noWrap/>
            <w:vAlign w:val="bottom"/>
            <w:hideMark/>
          </w:tcPr>
          <w:p w14:paraId="53497F9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677 </w:t>
            </w:r>
          </w:p>
        </w:tc>
        <w:tc>
          <w:tcPr>
            <w:tcW w:w="992" w:type="dxa"/>
            <w:tcBorders>
              <w:top w:val="nil"/>
              <w:left w:val="nil"/>
              <w:bottom w:val="nil"/>
              <w:right w:val="nil"/>
            </w:tcBorders>
            <w:shd w:val="clear" w:color="auto" w:fill="auto"/>
            <w:noWrap/>
            <w:vAlign w:val="bottom"/>
            <w:hideMark/>
          </w:tcPr>
          <w:p w14:paraId="45B176B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29.2 </w:t>
            </w:r>
          </w:p>
        </w:tc>
        <w:tc>
          <w:tcPr>
            <w:tcW w:w="1560" w:type="dxa"/>
            <w:tcBorders>
              <w:top w:val="nil"/>
              <w:left w:val="nil"/>
              <w:bottom w:val="nil"/>
              <w:right w:val="nil"/>
            </w:tcBorders>
            <w:shd w:val="clear" w:color="auto" w:fill="auto"/>
            <w:noWrap/>
            <w:vAlign w:val="bottom"/>
            <w:hideMark/>
          </w:tcPr>
          <w:p w14:paraId="442310C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4.8*</w:t>
            </w:r>
          </w:p>
        </w:tc>
      </w:tr>
      <w:tr w:rsidR="00143D89" w:rsidRPr="00F71A22" w14:paraId="55E28F45" w14:textId="77777777" w:rsidTr="001F4507">
        <w:trPr>
          <w:trHeight w:val="283"/>
        </w:trPr>
        <w:tc>
          <w:tcPr>
            <w:tcW w:w="1940" w:type="dxa"/>
            <w:tcBorders>
              <w:top w:val="nil"/>
              <w:left w:val="nil"/>
              <w:bottom w:val="nil"/>
              <w:right w:val="nil"/>
            </w:tcBorders>
            <w:shd w:val="clear" w:color="auto" w:fill="auto"/>
            <w:noWrap/>
            <w:vAlign w:val="bottom"/>
            <w:hideMark/>
          </w:tcPr>
          <w:p w14:paraId="4ED4AB4A"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62" w:type="dxa"/>
            <w:tcBorders>
              <w:top w:val="nil"/>
              <w:left w:val="nil"/>
              <w:bottom w:val="nil"/>
              <w:right w:val="nil"/>
            </w:tcBorders>
            <w:shd w:val="clear" w:color="auto" w:fill="auto"/>
            <w:noWrap/>
            <w:vAlign w:val="bottom"/>
            <w:hideMark/>
          </w:tcPr>
          <w:p w14:paraId="4FBC07A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826 </w:t>
            </w:r>
          </w:p>
        </w:tc>
        <w:tc>
          <w:tcPr>
            <w:tcW w:w="1276" w:type="dxa"/>
            <w:tcBorders>
              <w:top w:val="nil"/>
              <w:left w:val="nil"/>
              <w:bottom w:val="nil"/>
              <w:right w:val="nil"/>
            </w:tcBorders>
            <w:shd w:val="clear" w:color="auto" w:fill="auto"/>
            <w:noWrap/>
            <w:vAlign w:val="bottom"/>
            <w:hideMark/>
          </w:tcPr>
          <w:p w14:paraId="7B7D8BD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51.5 </w:t>
            </w:r>
          </w:p>
        </w:tc>
        <w:tc>
          <w:tcPr>
            <w:tcW w:w="1701" w:type="dxa"/>
            <w:tcBorders>
              <w:top w:val="nil"/>
              <w:left w:val="nil"/>
              <w:bottom w:val="nil"/>
              <w:right w:val="nil"/>
            </w:tcBorders>
            <w:shd w:val="clear" w:color="auto" w:fill="auto"/>
            <w:noWrap/>
            <w:vAlign w:val="bottom"/>
            <w:hideMark/>
          </w:tcPr>
          <w:p w14:paraId="1A6ACDF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822 </w:t>
            </w:r>
          </w:p>
        </w:tc>
        <w:tc>
          <w:tcPr>
            <w:tcW w:w="992" w:type="dxa"/>
            <w:tcBorders>
              <w:top w:val="nil"/>
              <w:left w:val="nil"/>
              <w:bottom w:val="nil"/>
              <w:right w:val="nil"/>
            </w:tcBorders>
            <w:shd w:val="clear" w:color="auto" w:fill="auto"/>
            <w:noWrap/>
            <w:vAlign w:val="bottom"/>
            <w:hideMark/>
          </w:tcPr>
          <w:p w14:paraId="0E6B3C6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51.8 </w:t>
            </w:r>
          </w:p>
        </w:tc>
        <w:tc>
          <w:tcPr>
            <w:tcW w:w="1560" w:type="dxa"/>
            <w:tcBorders>
              <w:top w:val="nil"/>
              <w:left w:val="nil"/>
              <w:bottom w:val="nil"/>
              <w:right w:val="nil"/>
            </w:tcBorders>
            <w:shd w:val="clear" w:color="auto" w:fill="auto"/>
            <w:noWrap/>
            <w:vAlign w:val="bottom"/>
            <w:hideMark/>
          </w:tcPr>
          <w:p w14:paraId="42F897C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-0.3</w:t>
            </w:r>
          </w:p>
        </w:tc>
      </w:tr>
      <w:tr w:rsidR="00EB3AB7" w:rsidRPr="00F71A22" w14:paraId="37601AF0" w14:textId="77777777" w:rsidTr="001F4507">
        <w:trPr>
          <w:trHeight w:val="283"/>
        </w:trPr>
        <w:tc>
          <w:tcPr>
            <w:tcW w:w="1940" w:type="dxa"/>
            <w:tcBorders>
              <w:top w:val="nil"/>
              <w:left w:val="nil"/>
              <w:bottom w:val="nil"/>
              <w:right w:val="nil"/>
            </w:tcBorders>
            <w:shd w:val="clear" w:color="auto" w:fill="auto"/>
            <w:noWrap/>
            <w:vAlign w:val="bottom"/>
            <w:hideMark/>
          </w:tcPr>
          <w:p w14:paraId="6F9F20D5" w14:textId="63C1A353"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Male</w:t>
            </w:r>
          </w:p>
        </w:tc>
        <w:tc>
          <w:tcPr>
            <w:tcW w:w="1462" w:type="dxa"/>
            <w:tcBorders>
              <w:top w:val="nil"/>
              <w:left w:val="nil"/>
              <w:bottom w:val="nil"/>
              <w:right w:val="nil"/>
            </w:tcBorders>
            <w:shd w:val="clear" w:color="auto" w:fill="auto"/>
            <w:noWrap/>
            <w:hideMark/>
          </w:tcPr>
          <w:p w14:paraId="46BB7241" w14:textId="51C9E3F1"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32715A">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201B1097" w14:textId="493A81DF"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32715A">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495836B0" w14:textId="64952260"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32715A">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5836E2DD" w14:textId="485498F6"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32715A">
              <w:rPr>
                <w:rFonts w:ascii="Calibri" w:eastAsia="Times New Roman" w:hAnsi="Calibri" w:cs="Times New Roman"/>
                <w:b/>
                <w:bCs/>
                <w:i/>
                <w:iCs/>
                <w:color w:val="FFFFFF" w:themeColor="background1"/>
                <w:sz w:val="18"/>
                <w:szCs w:val="18"/>
                <w:lang w:eastAsia="en-AU"/>
              </w:rPr>
              <w:t>—</w:t>
            </w:r>
          </w:p>
        </w:tc>
        <w:tc>
          <w:tcPr>
            <w:tcW w:w="1560" w:type="dxa"/>
            <w:tcBorders>
              <w:top w:val="nil"/>
              <w:left w:val="nil"/>
              <w:bottom w:val="nil"/>
              <w:right w:val="nil"/>
            </w:tcBorders>
            <w:shd w:val="clear" w:color="auto" w:fill="auto"/>
            <w:noWrap/>
            <w:hideMark/>
          </w:tcPr>
          <w:p w14:paraId="4CAA2BD3" w14:textId="707CF845"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32715A">
              <w:rPr>
                <w:rFonts w:ascii="Calibri" w:eastAsia="Times New Roman" w:hAnsi="Calibri" w:cs="Times New Roman"/>
                <w:b/>
                <w:bCs/>
                <w:i/>
                <w:iCs/>
                <w:color w:val="FFFFFF" w:themeColor="background1"/>
                <w:sz w:val="18"/>
                <w:szCs w:val="18"/>
                <w:lang w:eastAsia="en-AU"/>
              </w:rPr>
              <w:t>—</w:t>
            </w:r>
          </w:p>
        </w:tc>
      </w:tr>
      <w:tr w:rsidR="00143D89" w:rsidRPr="00F71A22" w14:paraId="7C83E692" w14:textId="77777777" w:rsidTr="001F4507">
        <w:trPr>
          <w:trHeight w:val="283"/>
        </w:trPr>
        <w:tc>
          <w:tcPr>
            <w:tcW w:w="1940" w:type="dxa"/>
            <w:tcBorders>
              <w:top w:val="nil"/>
              <w:left w:val="nil"/>
              <w:bottom w:val="nil"/>
              <w:right w:val="nil"/>
            </w:tcBorders>
            <w:shd w:val="clear" w:color="auto" w:fill="auto"/>
            <w:noWrap/>
            <w:vAlign w:val="bottom"/>
            <w:hideMark/>
          </w:tcPr>
          <w:p w14:paraId="7CF6487E"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62" w:type="dxa"/>
            <w:tcBorders>
              <w:top w:val="nil"/>
              <w:left w:val="nil"/>
              <w:bottom w:val="nil"/>
              <w:right w:val="nil"/>
            </w:tcBorders>
            <w:shd w:val="clear" w:color="auto" w:fill="auto"/>
            <w:noWrap/>
            <w:vAlign w:val="bottom"/>
            <w:hideMark/>
          </w:tcPr>
          <w:p w14:paraId="0F480BC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387 </w:t>
            </w:r>
          </w:p>
        </w:tc>
        <w:tc>
          <w:tcPr>
            <w:tcW w:w="1276" w:type="dxa"/>
            <w:tcBorders>
              <w:top w:val="nil"/>
              <w:left w:val="nil"/>
              <w:bottom w:val="nil"/>
              <w:right w:val="nil"/>
            </w:tcBorders>
            <w:shd w:val="clear" w:color="auto" w:fill="auto"/>
            <w:noWrap/>
            <w:vAlign w:val="bottom"/>
            <w:hideMark/>
          </w:tcPr>
          <w:p w14:paraId="59F88A7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10.1 </w:t>
            </w:r>
          </w:p>
        </w:tc>
        <w:tc>
          <w:tcPr>
            <w:tcW w:w="1701" w:type="dxa"/>
            <w:tcBorders>
              <w:top w:val="nil"/>
              <w:left w:val="nil"/>
              <w:bottom w:val="nil"/>
              <w:right w:val="nil"/>
            </w:tcBorders>
            <w:shd w:val="clear" w:color="auto" w:fill="auto"/>
            <w:noWrap/>
            <w:vAlign w:val="bottom"/>
            <w:hideMark/>
          </w:tcPr>
          <w:p w14:paraId="2EE4C16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302 </w:t>
            </w:r>
          </w:p>
        </w:tc>
        <w:tc>
          <w:tcPr>
            <w:tcW w:w="992" w:type="dxa"/>
            <w:tcBorders>
              <w:top w:val="nil"/>
              <w:left w:val="nil"/>
              <w:bottom w:val="nil"/>
              <w:right w:val="nil"/>
            </w:tcBorders>
            <w:shd w:val="clear" w:color="auto" w:fill="auto"/>
            <w:noWrap/>
            <w:vAlign w:val="bottom"/>
            <w:hideMark/>
          </w:tcPr>
          <w:p w14:paraId="18DCAC3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7.9 </w:t>
            </w:r>
          </w:p>
        </w:tc>
        <w:tc>
          <w:tcPr>
            <w:tcW w:w="1560" w:type="dxa"/>
            <w:tcBorders>
              <w:top w:val="nil"/>
              <w:left w:val="nil"/>
              <w:bottom w:val="nil"/>
              <w:right w:val="nil"/>
            </w:tcBorders>
            <w:shd w:val="clear" w:color="auto" w:fill="auto"/>
            <w:noWrap/>
            <w:vAlign w:val="bottom"/>
            <w:hideMark/>
          </w:tcPr>
          <w:p w14:paraId="64C88AD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2.2*</w:t>
            </w:r>
          </w:p>
        </w:tc>
      </w:tr>
      <w:tr w:rsidR="00143D89" w:rsidRPr="00F71A22" w14:paraId="6222D41E" w14:textId="77777777" w:rsidTr="001F4507">
        <w:trPr>
          <w:trHeight w:val="283"/>
        </w:trPr>
        <w:tc>
          <w:tcPr>
            <w:tcW w:w="1940" w:type="dxa"/>
            <w:tcBorders>
              <w:top w:val="nil"/>
              <w:left w:val="nil"/>
              <w:bottom w:val="nil"/>
              <w:right w:val="nil"/>
            </w:tcBorders>
            <w:shd w:val="clear" w:color="auto" w:fill="auto"/>
            <w:noWrap/>
            <w:vAlign w:val="bottom"/>
            <w:hideMark/>
          </w:tcPr>
          <w:p w14:paraId="6B316845"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62" w:type="dxa"/>
            <w:tcBorders>
              <w:top w:val="nil"/>
              <w:left w:val="nil"/>
              <w:bottom w:val="nil"/>
              <w:right w:val="nil"/>
            </w:tcBorders>
            <w:shd w:val="clear" w:color="auto" w:fill="auto"/>
            <w:noWrap/>
            <w:vAlign w:val="bottom"/>
            <w:hideMark/>
          </w:tcPr>
          <w:p w14:paraId="617A1B5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969 </w:t>
            </w:r>
          </w:p>
        </w:tc>
        <w:tc>
          <w:tcPr>
            <w:tcW w:w="1276" w:type="dxa"/>
            <w:tcBorders>
              <w:top w:val="nil"/>
              <w:left w:val="nil"/>
              <w:bottom w:val="nil"/>
              <w:right w:val="nil"/>
            </w:tcBorders>
            <w:shd w:val="clear" w:color="auto" w:fill="auto"/>
            <w:noWrap/>
            <w:vAlign w:val="bottom"/>
            <w:hideMark/>
          </w:tcPr>
          <w:p w14:paraId="2478F28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31.5 </w:t>
            </w:r>
          </w:p>
        </w:tc>
        <w:tc>
          <w:tcPr>
            <w:tcW w:w="1701" w:type="dxa"/>
            <w:tcBorders>
              <w:top w:val="nil"/>
              <w:left w:val="nil"/>
              <w:bottom w:val="nil"/>
              <w:right w:val="nil"/>
            </w:tcBorders>
            <w:shd w:val="clear" w:color="auto" w:fill="auto"/>
            <w:noWrap/>
            <w:vAlign w:val="bottom"/>
            <w:hideMark/>
          </w:tcPr>
          <w:p w14:paraId="4EFD689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921 </w:t>
            </w:r>
          </w:p>
        </w:tc>
        <w:tc>
          <w:tcPr>
            <w:tcW w:w="992" w:type="dxa"/>
            <w:tcBorders>
              <w:top w:val="nil"/>
              <w:left w:val="nil"/>
              <w:bottom w:val="nil"/>
              <w:right w:val="nil"/>
            </w:tcBorders>
            <w:shd w:val="clear" w:color="auto" w:fill="auto"/>
            <w:noWrap/>
            <w:vAlign w:val="bottom"/>
            <w:hideMark/>
          </w:tcPr>
          <w:p w14:paraId="6AA2DF4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30.0 </w:t>
            </w:r>
          </w:p>
        </w:tc>
        <w:tc>
          <w:tcPr>
            <w:tcW w:w="1560" w:type="dxa"/>
            <w:tcBorders>
              <w:top w:val="nil"/>
              <w:left w:val="nil"/>
              <w:bottom w:val="nil"/>
              <w:right w:val="nil"/>
            </w:tcBorders>
            <w:shd w:val="clear" w:color="auto" w:fill="auto"/>
            <w:noWrap/>
            <w:vAlign w:val="bottom"/>
            <w:hideMark/>
          </w:tcPr>
          <w:p w14:paraId="055D2A0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1.5</w:t>
            </w:r>
          </w:p>
        </w:tc>
      </w:tr>
      <w:tr w:rsidR="00143D89" w:rsidRPr="00F71A22" w14:paraId="667916C4" w14:textId="77777777" w:rsidTr="001F4507">
        <w:trPr>
          <w:trHeight w:val="283"/>
        </w:trPr>
        <w:tc>
          <w:tcPr>
            <w:tcW w:w="1940" w:type="dxa"/>
            <w:tcBorders>
              <w:top w:val="nil"/>
              <w:left w:val="nil"/>
              <w:bottom w:val="nil"/>
              <w:right w:val="nil"/>
            </w:tcBorders>
            <w:shd w:val="clear" w:color="auto" w:fill="auto"/>
            <w:noWrap/>
            <w:vAlign w:val="bottom"/>
            <w:hideMark/>
          </w:tcPr>
          <w:p w14:paraId="6D3060DB"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62" w:type="dxa"/>
            <w:tcBorders>
              <w:top w:val="nil"/>
              <w:left w:val="nil"/>
              <w:bottom w:val="nil"/>
              <w:right w:val="nil"/>
            </w:tcBorders>
            <w:shd w:val="clear" w:color="auto" w:fill="auto"/>
            <w:noWrap/>
            <w:vAlign w:val="bottom"/>
            <w:hideMark/>
          </w:tcPr>
          <w:p w14:paraId="7400A93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1,030 </w:t>
            </w:r>
          </w:p>
        </w:tc>
        <w:tc>
          <w:tcPr>
            <w:tcW w:w="1276" w:type="dxa"/>
            <w:tcBorders>
              <w:top w:val="nil"/>
              <w:left w:val="nil"/>
              <w:bottom w:val="nil"/>
              <w:right w:val="nil"/>
            </w:tcBorders>
            <w:shd w:val="clear" w:color="auto" w:fill="auto"/>
            <w:noWrap/>
            <w:vAlign w:val="bottom"/>
            <w:hideMark/>
          </w:tcPr>
          <w:p w14:paraId="5868A65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48.4 </w:t>
            </w:r>
          </w:p>
        </w:tc>
        <w:tc>
          <w:tcPr>
            <w:tcW w:w="1701" w:type="dxa"/>
            <w:tcBorders>
              <w:top w:val="nil"/>
              <w:left w:val="nil"/>
              <w:bottom w:val="nil"/>
              <w:right w:val="nil"/>
            </w:tcBorders>
            <w:shd w:val="clear" w:color="auto" w:fill="auto"/>
            <w:noWrap/>
            <w:vAlign w:val="bottom"/>
            <w:hideMark/>
          </w:tcPr>
          <w:p w14:paraId="41C1CE6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1,096 </w:t>
            </w:r>
          </w:p>
        </w:tc>
        <w:tc>
          <w:tcPr>
            <w:tcW w:w="992" w:type="dxa"/>
            <w:tcBorders>
              <w:top w:val="nil"/>
              <w:left w:val="nil"/>
              <w:bottom w:val="nil"/>
              <w:right w:val="nil"/>
            </w:tcBorders>
            <w:shd w:val="clear" w:color="auto" w:fill="auto"/>
            <w:noWrap/>
            <w:vAlign w:val="bottom"/>
            <w:hideMark/>
          </w:tcPr>
          <w:p w14:paraId="43179F0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51.5 </w:t>
            </w:r>
          </w:p>
        </w:tc>
        <w:tc>
          <w:tcPr>
            <w:tcW w:w="1560" w:type="dxa"/>
            <w:tcBorders>
              <w:top w:val="nil"/>
              <w:left w:val="nil"/>
              <w:bottom w:val="nil"/>
              <w:right w:val="nil"/>
            </w:tcBorders>
            <w:shd w:val="clear" w:color="auto" w:fill="auto"/>
            <w:noWrap/>
            <w:vAlign w:val="bottom"/>
            <w:hideMark/>
          </w:tcPr>
          <w:p w14:paraId="7C3DB5E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-3.1*</w:t>
            </w:r>
          </w:p>
        </w:tc>
      </w:tr>
      <w:tr w:rsidR="00EB3AB7" w:rsidRPr="00F71A22" w14:paraId="63EA0C4C" w14:textId="77777777" w:rsidTr="001F4507">
        <w:trPr>
          <w:trHeight w:val="283"/>
        </w:trPr>
        <w:tc>
          <w:tcPr>
            <w:tcW w:w="1940" w:type="dxa"/>
            <w:tcBorders>
              <w:top w:val="nil"/>
              <w:left w:val="nil"/>
              <w:bottom w:val="nil"/>
              <w:right w:val="nil"/>
            </w:tcBorders>
            <w:shd w:val="clear" w:color="auto" w:fill="auto"/>
            <w:noWrap/>
            <w:vAlign w:val="bottom"/>
          </w:tcPr>
          <w:p w14:paraId="68DC3679" w14:textId="6BDF6240"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employment services</w:t>
            </w:r>
          </w:p>
        </w:tc>
        <w:tc>
          <w:tcPr>
            <w:tcW w:w="1462" w:type="dxa"/>
            <w:tcBorders>
              <w:top w:val="nil"/>
              <w:left w:val="nil"/>
              <w:bottom w:val="nil"/>
              <w:right w:val="nil"/>
            </w:tcBorders>
            <w:shd w:val="clear" w:color="auto" w:fill="auto"/>
            <w:noWrap/>
          </w:tcPr>
          <w:p w14:paraId="6322A4A9" w14:textId="088E672F"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4243FD">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tcPr>
          <w:p w14:paraId="4313C607" w14:textId="5A192700"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4243FD">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68A0E431" w14:textId="11FA1C4B"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4243FD">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tcPr>
          <w:p w14:paraId="7F5F09FB" w14:textId="431C354C"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4243FD">
              <w:rPr>
                <w:rFonts w:ascii="Calibri" w:eastAsia="Times New Roman" w:hAnsi="Calibri" w:cs="Times New Roman"/>
                <w:b/>
                <w:bCs/>
                <w:i/>
                <w:iCs/>
                <w:color w:val="FFFFFF" w:themeColor="background1"/>
                <w:sz w:val="18"/>
                <w:szCs w:val="18"/>
                <w:lang w:eastAsia="en-AU"/>
              </w:rPr>
              <w:t>—</w:t>
            </w:r>
          </w:p>
        </w:tc>
        <w:tc>
          <w:tcPr>
            <w:tcW w:w="1560" w:type="dxa"/>
            <w:tcBorders>
              <w:top w:val="nil"/>
              <w:left w:val="nil"/>
              <w:bottom w:val="nil"/>
              <w:right w:val="nil"/>
            </w:tcBorders>
            <w:shd w:val="clear" w:color="auto" w:fill="auto"/>
            <w:noWrap/>
          </w:tcPr>
          <w:p w14:paraId="7C0EEEBF" w14:textId="2C358C76"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4243FD">
              <w:rPr>
                <w:rFonts w:ascii="Calibri" w:eastAsia="Times New Roman" w:hAnsi="Calibri" w:cs="Times New Roman"/>
                <w:b/>
                <w:bCs/>
                <w:i/>
                <w:iCs/>
                <w:color w:val="FFFFFF" w:themeColor="background1"/>
                <w:sz w:val="18"/>
                <w:szCs w:val="18"/>
                <w:lang w:eastAsia="en-AU"/>
              </w:rPr>
              <w:t>—</w:t>
            </w:r>
          </w:p>
        </w:tc>
      </w:tr>
      <w:tr w:rsidR="00EB3AB7" w:rsidRPr="00F71A22" w14:paraId="05F1461E" w14:textId="77777777" w:rsidTr="001F4507">
        <w:trPr>
          <w:trHeight w:val="283"/>
        </w:trPr>
        <w:tc>
          <w:tcPr>
            <w:tcW w:w="1940" w:type="dxa"/>
            <w:tcBorders>
              <w:top w:val="nil"/>
              <w:left w:val="nil"/>
              <w:bottom w:val="nil"/>
              <w:right w:val="nil"/>
            </w:tcBorders>
            <w:shd w:val="clear" w:color="auto" w:fill="auto"/>
            <w:noWrap/>
            <w:vAlign w:val="bottom"/>
            <w:hideMark/>
          </w:tcPr>
          <w:p w14:paraId="1270C2AA" w14:textId="16A390E1"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Female</w:t>
            </w:r>
          </w:p>
        </w:tc>
        <w:tc>
          <w:tcPr>
            <w:tcW w:w="1462" w:type="dxa"/>
            <w:tcBorders>
              <w:top w:val="nil"/>
              <w:left w:val="nil"/>
              <w:bottom w:val="nil"/>
              <w:right w:val="nil"/>
            </w:tcBorders>
            <w:shd w:val="clear" w:color="auto" w:fill="auto"/>
            <w:noWrap/>
            <w:hideMark/>
          </w:tcPr>
          <w:p w14:paraId="0AE8A6CA" w14:textId="3E452796"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8A653D">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1A533B3F" w14:textId="7E0C6A33"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8A653D">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0614ABA5" w14:textId="3D531605"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8A653D">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62097E8E" w14:textId="3780A272"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8A653D">
              <w:rPr>
                <w:rFonts w:ascii="Calibri" w:eastAsia="Times New Roman" w:hAnsi="Calibri" w:cs="Times New Roman"/>
                <w:b/>
                <w:bCs/>
                <w:i/>
                <w:iCs/>
                <w:color w:val="FFFFFF" w:themeColor="background1"/>
                <w:sz w:val="18"/>
                <w:szCs w:val="18"/>
                <w:lang w:eastAsia="en-AU"/>
              </w:rPr>
              <w:t>—</w:t>
            </w:r>
          </w:p>
        </w:tc>
        <w:tc>
          <w:tcPr>
            <w:tcW w:w="1560" w:type="dxa"/>
            <w:tcBorders>
              <w:top w:val="nil"/>
              <w:left w:val="nil"/>
              <w:bottom w:val="nil"/>
              <w:right w:val="nil"/>
            </w:tcBorders>
            <w:shd w:val="clear" w:color="auto" w:fill="auto"/>
            <w:noWrap/>
            <w:hideMark/>
          </w:tcPr>
          <w:p w14:paraId="2148EE78" w14:textId="5CE4C714"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8A653D">
              <w:rPr>
                <w:rFonts w:ascii="Calibri" w:eastAsia="Times New Roman" w:hAnsi="Calibri" w:cs="Times New Roman"/>
                <w:b/>
                <w:bCs/>
                <w:i/>
                <w:iCs/>
                <w:color w:val="FFFFFF" w:themeColor="background1"/>
                <w:sz w:val="18"/>
                <w:szCs w:val="18"/>
                <w:lang w:eastAsia="en-AU"/>
              </w:rPr>
              <w:t>—</w:t>
            </w:r>
          </w:p>
        </w:tc>
      </w:tr>
      <w:tr w:rsidR="00143D89" w:rsidRPr="00F71A22" w14:paraId="26E10F72" w14:textId="77777777" w:rsidTr="001F4507">
        <w:trPr>
          <w:trHeight w:val="283"/>
        </w:trPr>
        <w:tc>
          <w:tcPr>
            <w:tcW w:w="1940" w:type="dxa"/>
            <w:tcBorders>
              <w:top w:val="nil"/>
              <w:left w:val="nil"/>
              <w:bottom w:val="nil"/>
              <w:right w:val="nil"/>
            </w:tcBorders>
            <w:shd w:val="clear" w:color="auto" w:fill="auto"/>
            <w:noWrap/>
            <w:vAlign w:val="bottom"/>
            <w:hideMark/>
          </w:tcPr>
          <w:p w14:paraId="141B9C2E"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62" w:type="dxa"/>
            <w:tcBorders>
              <w:top w:val="nil"/>
              <w:left w:val="nil"/>
              <w:bottom w:val="nil"/>
              <w:right w:val="nil"/>
            </w:tcBorders>
            <w:shd w:val="clear" w:color="auto" w:fill="auto"/>
            <w:noWrap/>
            <w:vAlign w:val="bottom"/>
            <w:hideMark/>
          </w:tcPr>
          <w:p w14:paraId="02435BCB" w14:textId="1B2EA32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62 </w:t>
            </w:r>
          </w:p>
        </w:tc>
        <w:tc>
          <w:tcPr>
            <w:tcW w:w="1276" w:type="dxa"/>
            <w:tcBorders>
              <w:top w:val="nil"/>
              <w:left w:val="nil"/>
              <w:bottom w:val="nil"/>
              <w:right w:val="nil"/>
            </w:tcBorders>
            <w:shd w:val="clear" w:color="auto" w:fill="auto"/>
            <w:noWrap/>
            <w:vAlign w:val="bottom"/>
            <w:hideMark/>
          </w:tcPr>
          <w:p w14:paraId="6D252E5F" w14:textId="45FD8B49"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2.2 </w:t>
            </w:r>
          </w:p>
        </w:tc>
        <w:tc>
          <w:tcPr>
            <w:tcW w:w="1701" w:type="dxa"/>
            <w:tcBorders>
              <w:top w:val="nil"/>
              <w:left w:val="nil"/>
              <w:bottom w:val="nil"/>
              <w:right w:val="nil"/>
            </w:tcBorders>
            <w:shd w:val="clear" w:color="auto" w:fill="auto"/>
            <w:noWrap/>
            <w:vAlign w:val="bottom"/>
            <w:hideMark/>
          </w:tcPr>
          <w:p w14:paraId="4670D21F" w14:textId="6BDA9A61"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38 </w:t>
            </w:r>
          </w:p>
        </w:tc>
        <w:tc>
          <w:tcPr>
            <w:tcW w:w="992" w:type="dxa"/>
            <w:tcBorders>
              <w:top w:val="nil"/>
              <w:left w:val="nil"/>
              <w:bottom w:val="nil"/>
              <w:right w:val="nil"/>
            </w:tcBorders>
            <w:shd w:val="clear" w:color="auto" w:fill="auto"/>
            <w:noWrap/>
            <w:vAlign w:val="bottom"/>
            <w:hideMark/>
          </w:tcPr>
          <w:p w14:paraId="7139D77C" w14:textId="0100644A"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1.3 </w:t>
            </w:r>
          </w:p>
        </w:tc>
        <w:tc>
          <w:tcPr>
            <w:tcW w:w="1560" w:type="dxa"/>
            <w:tcBorders>
              <w:top w:val="nil"/>
              <w:left w:val="nil"/>
              <w:bottom w:val="nil"/>
              <w:right w:val="nil"/>
            </w:tcBorders>
            <w:shd w:val="clear" w:color="auto" w:fill="auto"/>
            <w:noWrap/>
            <w:vAlign w:val="bottom"/>
            <w:hideMark/>
          </w:tcPr>
          <w:p w14:paraId="530CA34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0.8*</w:t>
            </w:r>
          </w:p>
        </w:tc>
      </w:tr>
      <w:tr w:rsidR="00143D89" w:rsidRPr="00F71A22" w14:paraId="0353AB80" w14:textId="77777777" w:rsidTr="001F4507">
        <w:trPr>
          <w:trHeight w:val="283"/>
        </w:trPr>
        <w:tc>
          <w:tcPr>
            <w:tcW w:w="1940" w:type="dxa"/>
            <w:tcBorders>
              <w:top w:val="nil"/>
              <w:left w:val="nil"/>
              <w:bottom w:val="nil"/>
              <w:right w:val="nil"/>
            </w:tcBorders>
            <w:shd w:val="clear" w:color="auto" w:fill="auto"/>
            <w:noWrap/>
            <w:vAlign w:val="bottom"/>
            <w:hideMark/>
          </w:tcPr>
          <w:p w14:paraId="231A5FC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62" w:type="dxa"/>
            <w:tcBorders>
              <w:top w:val="nil"/>
              <w:left w:val="nil"/>
              <w:bottom w:val="nil"/>
              <w:right w:val="nil"/>
            </w:tcBorders>
            <w:shd w:val="clear" w:color="auto" w:fill="auto"/>
            <w:noWrap/>
            <w:vAlign w:val="bottom"/>
            <w:hideMark/>
          </w:tcPr>
          <w:p w14:paraId="45D94D8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518 </w:t>
            </w:r>
          </w:p>
        </w:tc>
        <w:tc>
          <w:tcPr>
            <w:tcW w:w="1276" w:type="dxa"/>
            <w:tcBorders>
              <w:top w:val="nil"/>
              <w:left w:val="nil"/>
              <w:bottom w:val="nil"/>
              <w:right w:val="nil"/>
            </w:tcBorders>
            <w:shd w:val="clear" w:color="auto" w:fill="auto"/>
            <w:noWrap/>
            <w:vAlign w:val="bottom"/>
            <w:hideMark/>
          </w:tcPr>
          <w:p w14:paraId="3C81088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22.4 </w:t>
            </w:r>
          </w:p>
        </w:tc>
        <w:tc>
          <w:tcPr>
            <w:tcW w:w="1701" w:type="dxa"/>
            <w:tcBorders>
              <w:top w:val="nil"/>
              <w:left w:val="nil"/>
              <w:bottom w:val="nil"/>
              <w:right w:val="nil"/>
            </w:tcBorders>
            <w:shd w:val="clear" w:color="auto" w:fill="auto"/>
            <w:noWrap/>
            <w:vAlign w:val="bottom"/>
            <w:hideMark/>
          </w:tcPr>
          <w:p w14:paraId="3D30982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423 </w:t>
            </w:r>
          </w:p>
        </w:tc>
        <w:tc>
          <w:tcPr>
            <w:tcW w:w="992" w:type="dxa"/>
            <w:tcBorders>
              <w:top w:val="nil"/>
              <w:left w:val="nil"/>
              <w:bottom w:val="nil"/>
              <w:right w:val="nil"/>
            </w:tcBorders>
            <w:shd w:val="clear" w:color="auto" w:fill="auto"/>
            <w:noWrap/>
            <w:vAlign w:val="bottom"/>
            <w:hideMark/>
          </w:tcPr>
          <w:p w14:paraId="0C4AE99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18.2 </w:t>
            </w:r>
          </w:p>
        </w:tc>
        <w:tc>
          <w:tcPr>
            <w:tcW w:w="1560" w:type="dxa"/>
            <w:tcBorders>
              <w:top w:val="nil"/>
              <w:left w:val="nil"/>
              <w:bottom w:val="nil"/>
              <w:right w:val="nil"/>
            </w:tcBorders>
            <w:shd w:val="clear" w:color="auto" w:fill="auto"/>
            <w:noWrap/>
            <w:vAlign w:val="bottom"/>
            <w:hideMark/>
          </w:tcPr>
          <w:p w14:paraId="30F0074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4.1*</w:t>
            </w:r>
          </w:p>
        </w:tc>
      </w:tr>
      <w:tr w:rsidR="00143D89" w:rsidRPr="00F71A22" w14:paraId="4F44878F" w14:textId="77777777" w:rsidTr="001F4507">
        <w:trPr>
          <w:trHeight w:val="283"/>
        </w:trPr>
        <w:tc>
          <w:tcPr>
            <w:tcW w:w="1940" w:type="dxa"/>
            <w:tcBorders>
              <w:top w:val="nil"/>
              <w:left w:val="nil"/>
              <w:bottom w:val="nil"/>
              <w:right w:val="nil"/>
            </w:tcBorders>
            <w:shd w:val="clear" w:color="auto" w:fill="auto"/>
            <w:noWrap/>
            <w:vAlign w:val="bottom"/>
            <w:hideMark/>
          </w:tcPr>
          <w:p w14:paraId="3BE70147"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62" w:type="dxa"/>
            <w:tcBorders>
              <w:top w:val="nil"/>
              <w:left w:val="nil"/>
              <w:bottom w:val="nil"/>
              <w:right w:val="nil"/>
            </w:tcBorders>
            <w:shd w:val="clear" w:color="auto" w:fill="auto"/>
            <w:noWrap/>
            <w:vAlign w:val="bottom"/>
            <w:hideMark/>
          </w:tcPr>
          <w:p w14:paraId="2828C7F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787 </w:t>
            </w:r>
          </w:p>
        </w:tc>
        <w:tc>
          <w:tcPr>
            <w:tcW w:w="1276" w:type="dxa"/>
            <w:tcBorders>
              <w:top w:val="nil"/>
              <w:left w:val="nil"/>
              <w:bottom w:val="nil"/>
              <w:right w:val="nil"/>
            </w:tcBorders>
            <w:shd w:val="clear" w:color="auto" w:fill="auto"/>
            <w:noWrap/>
            <w:vAlign w:val="bottom"/>
            <w:hideMark/>
          </w:tcPr>
          <w:p w14:paraId="3F8CA1B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49.1 </w:t>
            </w:r>
          </w:p>
        </w:tc>
        <w:tc>
          <w:tcPr>
            <w:tcW w:w="1701" w:type="dxa"/>
            <w:tcBorders>
              <w:top w:val="nil"/>
              <w:left w:val="nil"/>
              <w:bottom w:val="nil"/>
              <w:right w:val="nil"/>
            </w:tcBorders>
            <w:shd w:val="clear" w:color="auto" w:fill="auto"/>
            <w:noWrap/>
            <w:vAlign w:val="bottom"/>
            <w:hideMark/>
          </w:tcPr>
          <w:p w14:paraId="1125499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764 </w:t>
            </w:r>
          </w:p>
        </w:tc>
        <w:tc>
          <w:tcPr>
            <w:tcW w:w="992" w:type="dxa"/>
            <w:tcBorders>
              <w:top w:val="nil"/>
              <w:left w:val="nil"/>
              <w:bottom w:val="nil"/>
              <w:right w:val="nil"/>
            </w:tcBorders>
            <w:shd w:val="clear" w:color="auto" w:fill="auto"/>
            <w:noWrap/>
            <w:vAlign w:val="bottom"/>
            <w:hideMark/>
          </w:tcPr>
          <w:p w14:paraId="5E850AB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48.1 </w:t>
            </w:r>
          </w:p>
        </w:tc>
        <w:tc>
          <w:tcPr>
            <w:tcW w:w="1560" w:type="dxa"/>
            <w:tcBorders>
              <w:top w:val="nil"/>
              <w:left w:val="nil"/>
              <w:bottom w:val="nil"/>
              <w:right w:val="nil"/>
            </w:tcBorders>
            <w:shd w:val="clear" w:color="auto" w:fill="auto"/>
            <w:noWrap/>
            <w:vAlign w:val="bottom"/>
            <w:hideMark/>
          </w:tcPr>
          <w:p w14:paraId="30F8AE5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0.9</w:t>
            </w:r>
          </w:p>
        </w:tc>
      </w:tr>
      <w:tr w:rsidR="00EB3AB7" w:rsidRPr="00F71A22" w14:paraId="483D487A" w14:textId="77777777" w:rsidTr="001F4507">
        <w:trPr>
          <w:trHeight w:val="283"/>
        </w:trPr>
        <w:tc>
          <w:tcPr>
            <w:tcW w:w="1940" w:type="dxa"/>
            <w:tcBorders>
              <w:top w:val="nil"/>
              <w:left w:val="nil"/>
              <w:bottom w:val="nil"/>
              <w:right w:val="nil"/>
            </w:tcBorders>
            <w:shd w:val="clear" w:color="auto" w:fill="auto"/>
            <w:noWrap/>
            <w:vAlign w:val="bottom"/>
            <w:hideMark/>
          </w:tcPr>
          <w:p w14:paraId="131157E3" w14:textId="1BF9C688"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Male</w:t>
            </w:r>
          </w:p>
        </w:tc>
        <w:tc>
          <w:tcPr>
            <w:tcW w:w="1462" w:type="dxa"/>
            <w:tcBorders>
              <w:top w:val="nil"/>
              <w:left w:val="nil"/>
              <w:bottom w:val="nil"/>
              <w:right w:val="nil"/>
            </w:tcBorders>
            <w:shd w:val="clear" w:color="auto" w:fill="auto"/>
            <w:noWrap/>
            <w:hideMark/>
          </w:tcPr>
          <w:p w14:paraId="1B655843" w14:textId="49BAF7BE" w:rsidR="00EB3AB7" w:rsidRPr="00F71A22" w:rsidRDefault="00EB3AB7" w:rsidP="00EB3AB7">
            <w:pPr>
              <w:spacing w:before="0" w:after="0" w:line="240" w:lineRule="auto"/>
              <w:rPr>
                <w:rFonts w:ascii="Calibri" w:eastAsia="Times New Roman" w:hAnsi="Calibri" w:cs="Times New Roman"/>
                <w:b/>
                <w:bCs/>
                <w:i/>
                <w:iCs/>
                <w:color w:val="000000"/>
                <w:sz w:val="18"/>
                <w:szCs w:val="18"/>
                <w:lang w:eastAsia="en-AU"/>
              </w:rPr>
            </w:pPr>
            <w:r w:rsidRPr="00CC247D">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19F7D00B" w14:textId="24BF0061"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C247D">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52F4F755" w14:textId="4E7E403C"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C247D">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1AC160B5" w14:textId="5C732413"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C247D">
              <w:rPr>
                <w:rFonts w:ascii="Calibri" w:eastAsia="Times New Roman" w:hAnsi="Calibri" w:cs="Times New Roman"/>
                <w:b/>
                <w:bCs/>
                <w:i/>
                <w:iCs/>
                <w:color w:val="FFFFFF" w:themeColor="background1"/>
                <w:sz w:val="18"/>
                <w:szCs w:val="18"/>
                <w:lang w:eastAsia="en-AU"/>
              </w:rPr>
              <w:t>—</w:t>
            </w:r>
          </w:p>
        </w:tc>
        <w:tc>
          <w:tcPr>
            <w:tcW w:w="1560" w:type="dxa"/>
            <w:tcBorders>
              <w:top w:val="nil"/>
              <w:left w:val="nil"/>
              <w:bottom w:val="nil"/>
              <w:right w:val="nil"/>
            </w:tcBorders>
            <w:shd w:val="clear" w:color="auto" w:fill="auto"/>
            <w:noWrap/>
            <w:hideMark/>
          </w:tcPr>
          <w:p w14:paraId="07A7B7A7" w14:textId="483BC46B" w:rsidR="00EB3AB7" w:rsidRPr="00F71A22" w:rsidRDefault="00EB3AB7" w:rsidP="00EB3AB7">
            <w:pPr>
              <w:spacing w:before="0" w:after="0" w:line="240" w:lineRule="auto"/>
              <w:rPr>
                <w:rFonts w:ascii="Times New Roman" w:eastAsia="Times New Roman" w:hAnsi="Times New Roman" w:cs="Times New Roman"/>
                <w:sz w:val="18"/>
                <w:szCs w:val="18"/>
                <w:lang w:eastAsia="en-AU"/>
              </w:rPr>
            </w:pPr>
            <w:r w:rsidRPr="00CC247D">
              <w:rPr>
                <w:rFonts w:ascii="Calibri" w:eastAsia="Times New Roman" w:hAnsi="Calibri" w:cs="Times New Roman"/>
                <w:b/>
                <w:bCs/>
                <w:i/>
                <w:iCs/>
                <w:color w:val="FFFFFF" w:themeColor="background1"/>
                <w:sz w:val="18"/>
                <w:szCs w:val="18"/>
                <w:lang w:eastAsia="en-AU"/>
              </w:rPr>
              <w:t>—</w:t>
            </w:r>
          </w:p>
        </w:tc>
      </w:tr>
      <w:tr w:rsidR="00143D89" w:rsidRPr="00F71A22" w14:paraId="32D5E5C1" w14:textId="77777777" w:rsidTr="001F4507">
        <w:trPr>
          <w:trHeight w:val="283"/>
        </w:trPr>
        <w:tc>
          <w:tcPr>
            <w:tcW w:w="1940" w:type="dxa"/>
            <w:tcBorders>
              <w:top w:val="nil"/>
              <w:left w:val="nil"/>
              <w:bottom w:val="nil"/>
              <w:right w:val="nil"/>
            </w:tcBorders>
            <w:shd w:val="clear" w:color="auto" w:fill="auto"/>
            <w:noWrap/>
            <w:vAlign w:val="bottom"/>
            <w:hideMark/>
          </w:tcPr>
          <w:p w14:paraId="72123CBF"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462" w:type="dxa"/>
            <w:tcBorders>
              <w:top w:val="nil"/>
              <w:left w:val="nil"/>
              <w:bottom w:val="nil"/>
              <w:right w:val="nil"/>
            </w:tcBorders>
            <w:shd w:val="clear" w:color="auto" w:fill="auto"/>
            <w:noWrap/>
            <w:vAlign w:val="bottom"/>
            <w:hideMark/>
          </w:tcPr>
          <w:p w14:paraId="40B14FB7" w14:textId="454ED4C8"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56 </w:t>
            </w:r>
          </w:p>
        </w:tc>
        <w:tc>
          <w:tcPr>
            <w:tcW w:w="1276" w:type="dxa"/>
            <w:tcBorders>
              <w:top w:val="nil"/>
              <w:left w:val="nil"/>
              <w:bottom w:val="nil"/>
              <w:right w:val="nil"/>
            </w:tcBorders>
            <w:shd w:val="clear" w:color="auto" w:fill="auto"/>
            <w:noWrap/>
            <w:vAlign w:val="bottom"/>
            <w:hideMark/>
          </w:tcPr>
          <w:p w14:paraId="6D4C01B6" w14:textId="20AE0BFB"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1.5 </w:t>
            </w:r>
          </w:p>
        </w:tc>
        <w:tc>
          <w:tcPr>
            <w:tcW w:w="1701" w:type="dxa"/>
            <w:tcBorders>
              <w:top w:val="nil"/>
              <w:left w:val="nil"/>
              <w:bottom w:val="nil"/>
              <w:right w:val="nil"/>
            </w:tcBorders>
            <w:shd w:val="clear" w:color="auto" w:fill="auto"/>
            <w:noWrap/>
            <w:vAlign w:val="bottom"/>
            <w:hideMark/>
          </w:tcPr>
          <w:p w14:paraId="17EA81FB" w14:textId="7C10F97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57 </w:t>
            </w:r>
          </w:p>
        </w:tc>
        <w:tc>
          <w:tcPr>
            <w:tcW w:w="992" w:type="dxa"/>
            <w:tcBorders>
              <w:top w:val="nil"/>
              <w:left w:val="nil"/>
              <w:bottom w:val="nil"/>
              <w:right w:val="nil"/>
            </w:tcBorders>
            <w:shd w:val="clear" w:color="auto" w:fill="auto"/>
            <w:noWrap/>
            <w:vAlign w:val="bottom"/>
            <w:hideMark/>
          </w:tcPr>
          <w:p w14:paraId="1A892C2A" w14:textId="71120D62"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1.5 </w:t>
            </w:r>
          </w:p>
        </w:tc>
        <w:tc>
          <w:tcPr>
            <w:tcW w:w="1560" w:type="dxa"/>
            <w:tcBorders>
              <w:top w:val="nil"/>
              <w:left w:val="nil"/>
              <w:bottom w:val="nil"/>
              <w:right w:val="nil"/>
            </w:tcBorders>
            <w:shd w:val="clear" w:color="auto" w:fill="auto"/>
            <w:noWrap/>
            <w:vAlign w:val="bottom"/>
            <w:hideMark/>
          </w:tcPr>
          <w:p w14:paraId="1B7000A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0.0</w:t>
            </w:r>
          </w:p>
        </w:tc>
      </w:tr>
      <w:tr w:rsidR="00143D89" w:rsidRPr="00F71A22" w14:paraId="0D564874" w14:textId="77777777" w:rsidTr="001F4507">
        <w:trPr>
          <w:trHeight w:val="283"/>
        </w:trPr>
        <w:tc>
          <w:tcPr>
            <w:tcW w:w="1940" w:type="dxa"/>
            <w:tcBorders>
              <w:top w:val="nil"/>
              <w:left w:val="nil"/>
              <w:bottom w:val="nil"/>
              <w:right w:val="nil"/>
            </w:tcBorders>
            <w:shd w:val="clear" w:color="auto" w:fill="auto"/>
            <w:noWrap/>
            <w:vAlign w:val="bottom"/>
            <w:hideMark/>
          </w:tcPr>
          <w:p w14:paraId="52DBE3D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462" w:type="dxa"/>
            <w:tcBorders>
              <w:top w:val="nil"/>
              <w:left w:val="nil"/>
              <w:bottom w:val="nil"/>
              <w:right w:val="nil"/>
            </w:tcBorders>
            <w:shd w:val="clear" w:color="auto" w:fill="auto"/>
            <w:noWrap/>
            <w:vAlign w:val="bottom"/>
            <w:hideMark/>
          </w:tcPr>
          <w:p w14:paraId="58C0C14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642 </w:t>
            </w:r>
          </w:p>
        </w:tc>
        <w:tc>
          <w:tcPr>
            <w:tcW w:w="1276" w:type="dxa"/>
            <w:tcBorders>
              <w:top w:val="nil"/>
              <w:left w:val="nil"/>
              <w:bottom w:val="nil"/>
              <w:right w:val="nil"/>
            </w:tcBorders>
            <w:shd w:val="clear" w:color="auto" w:fill="auto"/>
            <w:noWrap/>
            <w:vAlign w:val="bottom"/>
            <w:hideMark/>
          </w:tcPr>
          <w:p w14:paraId="75C41C5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20.9 </w:t>
            </w:r>
          </w:p>
        </w:tc>
        <w:tc>
          <w:tcPr>
            <w:tcW w:w="1701" w:type="dxa"/>
            <w:tcBorders>
              <w:top w:val="nil"/>
              <w:left w:val="nil"/>
              <w:bottom w:val="nil"/>
              <w:right w:val="nil"/>
            </w:tcBorders>
            <w:shd w:val="clear" w:color="auto" w:fill="auto"/>
            <w:noWrap/>
            <w:vAlign w:val="bottom"/>
            <w:hideMark/>
          </w:tcPr>
          <w:p w14:paraId="7F7FCAA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562 </w:t>
            </w:r>
          </w:p>
        </w:tc>
        <w:tc>
          <w:tcPr>
            <w:tcW w:w="992" w:type="dxa"/>
            <w:tcBorders>
              <w:top w:val="nil"/>
              <w:left w:val="nil"/>
              <w:bottom w:val="nil"/>
              <w:right w:val="nil"/>
            </w:tcBorders>
            <w:shd w:val="clear" w:color="auto" w:fill="auto"/>
            <w:noWrap/>
            <w:vAlign w:val="bottom"/>
            <w:hideMark/>
          </w:tcPr>
          <w:p w14:paraId="648E90E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18.3 </w:t>
            </w:r>
          </w:p>
        </w:tc>
        <w:tc>
          <w:tcPr>
            <w:tcW w:w="1560" w:type="dxa"/>
            <w:tcBorders>
              <w:top w:val="nil"/>
              <w:left w:val="nil"/>
              <w:bottom w:val="nil"/>
              <w:right w:val="nil"/>
            </w:tcBorders>
            <w:shd w:val="clear" w:color="auto" w:fill="auto"/>
            <w:noWrap/>
            <w:vAlign w:val="bottom"/>
            <w:hideMark/>
          </w:tcPr>
          <w:p w14:paraId="4C58FFB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2.6*</w:t>
            </w:r>
          </w:p>
        </w:tc>
      </w:tr>
      <w:tr w:rsidR="00143D89" w:rsidRPr="00F71A22" w14:paraId="0A9A5D3C" w14:textId="77777777" w:rsidTr="001F4507">
        <w:trPr>
          <w:trHeight w:val="283"/>
        </w:trPr>
        <w:tc>
          <w:tcPr>
            <w:tcW w:w="1940" w:type="dxa"/>
            <w:tcBorders>
              <w:top w:val="nil"/>
              <w:left w:val="nil"/>
              <w:bottom w:val="single" w:sz="8" w:space="0" w:color="auto"/>
              <w:right w:val="nil"/>
            </w:tcBorders>
            <w:shd w:val="clear" w:color="auto" w:fill="auto"/>
            <w:noWrap/>
            <w:vAlign w:val="bottom"/>
            <w:hideMark/>
          </w:tcPr>
          <w:p w14:paraId="4226362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462" w:type="dxa"/>
            <w:tcBorders>
              <w:top w:val="nil"/>
              <w:left w:val="nil"/>
              <w:bottom w:val="single" w:sz="8" w:space="0" w:color="auto"/>
              <w:right w:val="nil"/>
            </w:tcBorders>
            <w:shd w:val="clear" w:color="auto" w:fill="auto"/>
            <w:noWrap/>
            <w:vAlign w:val="bottom"/>
            <w:hideMark/>
          </w:tcPr>
          <w:p w14:paraId="4EF7350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968 </w:t>
            </w:r>
          </w:p>
        </w:tc>
        <w:tc>
          <w:tcPr>
            <w:tcW w:w="1276" w:type="dxa"/>
            <w:tcBorders>
              <w:top w:val="nil"/>
              <w:left w:val="nil"/>
              <w:bottom w:val="single" w:sz="8" w:space="0" w:color="auto"/>
              <w:right w:val="nil"/>
            </w:tcBorders>
            <w:shd w:val="clear" w:color="auto" w:fill="auto"/>
            <w:noWrap/>
            <w:vAlign w:val="bottom"/>
            <w:hideMark/>
          </w:tcPr>
          <w:p w14:paraId="7CB936D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45.5 </w:t>
            </w:r>
          </w:p>
        </w:tc>
        <w:tc>
          <w:tcPr>
            <w:tcW w:w="1701" w:type="dxa"/>
            <w:tcBorders>
              <w:top w:val="nil"/>
              <w:left w:val="nil"/>
              <w:bottom w:val="single" w:sz="8" w:space="0" w:color="auto"/>
              <w:right w:val="nil"/>
            </w:tcBorders>
            <w:shd w:val="clear" w:color="auto" w:fill="auto"/>
            <w:noWrap/>
            <w:vAlign w:val="bottom"/>
            <w:hideMark/>
          </w:tcPr>
          <w:p w14:paraId="687A8B6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998 </w:t>
            </w:r>
          </w:p>
        </w:tc>
        <w:tc>
          <w:tcPr>
            <w:tcW w:w="992" w:type="dxa"/>
            <w:tcBorders>
              <w:top w:val="nil"/>
              <w:left w:val="nil"/>
              <w:bottom w:val="single" w:sz="8" w:space="0" w:color="auto"/>
              <w:right w:val="nil"/>
            </w:tcBorders>
            <w:shd w:val="clear" w:color="auto" w:fill="auto"/>
            <w:noWrap/>
            <w:vAlign w:val="bottom"/>
            <w:hideMark/>
          </w:tcPr>
          <w:p w14:paraId="40430DC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46.9 </w:t>
            </w:r>
          </w:p>
        </w:tc>
        <w:tc>
          <w:tcPr>
            <w:tcW w:w="1560" w:type="dxa"/>
            <w:tcBorders>
              <w:top w:val="nil"/>
              <w:left w:val="nil"/>
              <w:bottom w:val="single" w:sz="8" w:space="0" w:color="auto"/>
              <w:right w:val="nil"/>
            </w:tcBorders>
            <w:shd w:val="clear" w:color="auto" w:fill="auto"/>
            <w:noWrap/>
            <w:vAlign w:val="bottom"/>
            <w:hideMark/>
          </w:tcPr>
          <w:p w14:paraId="6774E5A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-1.4</w:t>
            </w:r>
          </w:p>
        </w:tc>
      </w:tr>
    </w:tbl>
    <w:p w14:paraId="55B91102" w14:textId="0379C458" w:rsidR="00143D89" w:rsidRPr="00F71A22" w:rsidRDefault="00143D89" w:rsidP="001F4507">
      <w:pPr>
        <w:pStyle w:val="Source"/>
        <w:contextualSpacing/>
      </w:pPr>
      <w:r w:rsidRPr="00F71A22">
        <w:rPr>
          <w:b/>
          <w:bCs/>
        </w:rPr>
        <w:t>Source</w:t>
      </w:r>
      <w:r w:rsidRPr="00F71A22">
        <w:t xml:space="preserve">: DESE </w:t>
      </w:r>
      <w:r w:rsidR="00DA1E0C">
        <w:t>a</w:t>
      </w:r>
      <w:r w:rsidRPr="00F71A22">
        <w:t xml:space="preserve">dministrative </w:t>
      </w:r>
      <w:r w:rsidR="00DA1E0C">
        <w:t>d</w:t>
      </w:r>
      <w:r w:rsidRPr="00F71A22">
        <w:t>ata</w:t>
      </w:r>
      <w:r w:rsidR="00281087">
        <w:br/>
      </w:r>
      <w:r w:rsidRPr="00F71A22">
        <w:rPr>
          <w:b/>
          <w:bCs/>
        </w:rPr>
        <w:t>Note</w:t>
      </w:r>
      <w:r w:rsidRPr="00F71A22">
        <w:t>:</w:t>
      </w:r>
      <w:r w:rsidR="00281087">
        <w:br/>
      </w:r>
      <w:r w:rsidRPr="00F71A22">
        <w:t>* indicates statistically significant difference between groups at p &lt; 0.05</w:t>
      </w:r>
      <w:r w:rsidR="00281087">
        <w:br/>
      </w:r>
      <w:r w:rsidRPr="00F71A22">
        <w:t>## indicates values lower than 20</w:t>
      </w:r>
    </w:p>
    <w:p w14:paraId="37CE5B49" w14:textId="77777777" w:rsidR="00143D89" w:rsidRPr="00F71A22" w:rsidRDefault="00143D89" w:rsidP="00143D89">
      <w:pPr>
        <w:spacing w:before="0" w:after="160" w:line="259" w:lineRule="auto"/>
        <w:rPr>
          <w:rFonts w:ascii="Calibri" w:eastAsiaTheme="majorEastAsia" w:hAnsi="Calibri" w:cstheme="majorBidi"/>
          <w:color w:val="008276"/>
          <w:sz w:val="28"/>
          <w:szCs w:val="24"/>
        </w:rPr>
      </w:pPr>
      <w:bookmarkStart w:id="259" w:name="_Toc47520166"/>
      <w:bookmarkStart w:id="260" w:name="_Toc49871076"/>
      <w:r w:rsidRPr="00F71A22">
        <w:br w:type="page"/>
      </w:r>
    </w:p>
    <w:p w14:paraId="0290C608" w14:textId="77777777" w:rsidR="00143D89" w:rsidRPr="00F71A22" w:rsidRDefault="00143D89" w:rsidP="00143D89">
      <w:pPr>
        <w:pStyle w:val="Heading3"/>
      </w:pPr>
      <w:bookmarkStart w:id="261" w:name="_Toc67042656"/>
      <w:r w:rsidRPr="00F71A22">
        <w:lastRenderedPageBreak/>
        <w:t>Education</w:t>
      </w:r>
      <w:bookmarkEnd w:id="259"/>
      <w:bookmarkEnd w:id="260"/>
      <w:bookmarkEnd w:id="261"/>
    </w:p>
    <w:p w14:paraId="0709D177" w14:textId="40F4BA03" w:rsidR="00143D89" w:rsidRPr="0006562C" w:rsidRDefault="00143D89" w:rsidP="0006562C">
      <w:pPr>
        <w:pStyle w:val="TableCaption"/>
      </w:pPr>
      <w:bookmarkStart w:id="262" w:name="_Toc51144061"/>
      <w:bookmarkStart w:id="263" w:name="_Toc67042670"/>
      <w:r w:rsidRPr="0006562C">
        <w:t>Table E4 Exits by education</w:t>
      </w:r>
      <w:bookmarkEnd w:id="262"/>
      <w:bookmarkEnd w:id="263"/>
    </w:p>
    <w:tbl>
      <w:tblPr>
        <w:tblW w:w="9015" w:type="dxa"/>
        <w:tblLook w:val="04A0" w:firstRow="1" w:lastRow="0" w:firstColumn="1" w:lastColumn="0" w:noHBand="0" w:noVBand="1"/>
      </w:tblPr>
      <w:tblGrid>
        <w:gridCol w:w="2181"/>
        <w:gridCol w:w="1744"/>
        <w:gridCol w:w="1018"/>
        <w:gridCol w:w="1745"/>
        <w:gridCol w:w="1018"/>
        <w:gridCol w:w="1309"/>
      </w:tblGrid>
      <w:tr w:rsidR="00143D89" w:rsidRPr="00F71A22" w14:paraId="3D319914" w14:textId="77777777" w:rsidTr="001F4507">
        <w:trPr>
          <w:cantSplit/>
          <w:trHeight w:val="593"/>
          <w:tblHeader/>
        </w:trPr>
        <w:tc>
          <w:tcPr>
            <w:tcW w:w="2127" w:type="dxa"/>
            <w:tcBorders>
              <w:top w:val="single" w:sz="4" w:space="0" w:color="auto"/>
              <w:left w:val="nil"/>
              <w:bottom w:val="single" w:sz="8" w:space="0" w:color="auto"/>
              <w:right w:val="nil"/>
            </w:tcBorders>
            <w:shd w:val="clear" w:color="auto" w:fill="002D3F"/>
            <w:vAlign w:val="center"/>
            <w:hideMark/>
          </w:tcPr>
          <w:p w14:paraId="1EB56A52"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Exits</w:t>
            </w:r>
          </w:p>
        </w:tc>
        <w:tc>
          <w:tcPr>
            <w:tcW w:w="1701" w:type="dxa"/>
            <w:tcBorders>
              <w:top w:val="single" w:sz="4" w:space="0" w:color="auto"/>
              <w:left w:val="nil"/>
              <w:bottom w:val="single" w:sz="8" w:space="0" w:color="auto"/>
              <w:right w:val="nil"/>
            </w:tcBorders>
            <w:shd w:val="clear" w:color="auto" w:fill="002D3F"/>
            <w:vAlign w:val="center"/>
            <w:hideMark/>
          </w:tcPr>
          <w:p w14:paraId="30BC9D14"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OEST participants</w:t>
            </w:r>
          </w:p>
        </w:tc>
        <w:tc>
          <w:tcPr>
            <w:tcW w:w="992" w:type="dxa"/>
            <w:tcBorders>
              <w:top w:val="single" w:sz="4" w:space="0" w:color="auto"/>
              <w:left w:val="nil"/>
              <w:bottom w:val="single" w:sz="8" w:space="0" w:color="auto"/>
              <w:right w:val="nil"/>
            </w:tcBorders>
            <w:shd w:val="clear" w:color="auto" w:fill="002D3F"/>
            <w:vAlign w:val="center"/>
            <w:hideMark/>
          </w:tcPr>
          <w:p w14:paraId="4EE2D5EE"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701" w:type="dxa"/>
            <w:tcBorders>
              <w:top w:val="single" w:sz="4" w:space="0" w:color="auto"/>
              <w:left w:val="nil"/>
              <w:bottom w:val="single" w:sz="8" w:space="0" w:color="auto"/>
              <w:right w:val="nil"/>
            </w:tcBorders>
            <w:shd w:val="clear" w:color="auto" w:fill="002D3F"/>
            <w:vAlign w:val="center"/>
            <w:hideMark/>
          </w:tcPr>
          <w:p w14:paraId="6F35DC7E"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comparison group</w:t>
            </w:r>
          </w:p>
        </w:tc>
        <w:tc>
          <w:tcPr>
            <w:tcW w:w="992" w:type="dxa"/>
            <w:tcBorders>
              <w:top w:val="single" w:sz="4" w:space="0" w:color="auto"/>
              <w:left w:val="nil"/>
              <w:bottom w:val="single" w:sz="8" w:space="0" w:color="auto"/>
              <w:right w:val="nil"/>
            </w:tcBorders>
            <w:shd w:val="clear" w:color="auto" w:fill="002D3F"/>
            <w:vAlign w:val="center"/>
            <w:hideMark/>
          </w:tcPr>
          <w:p w14:paraId="0058CBCF"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276" w:type="dxa"/>
            <w:tcBorders>
              <w:top w:val="single" w:sz="4" w:space="0" w:color="auto"/>
              <w:left w:val="nil"/>
              <w:bottom w:val="single" w:sz="8" w:space="0" w:color="auto"/>
              <w:right w:val="nil"/>
            </w:tcBorders>
            <w:shd w:val="clear" w:color="auto" w:fill="002D3F"/>
            <w:vAlign w:val="center"/>
            <w:hideMark/>
          </w:tcPr>
          <w:p w14:paraId="698F6564"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 cent difference</w:t>
            </w:r>
          </w:p>
        </w:tc>
      </w:tr>
      <w:tr w:rsidR="006B3DCB" w:rsidRPr="00F71A22" w14:paraId="015F4ABF" w14:textId="77777777" w:rsidTr="001F4507">
        <w:trPr>
          <w:trHeight w:val="283"/>
        </w:trPr>
        <w:tc>
          <w:tcPr>
            <w:tcW w:w="2127" w:type="dxa"/>
            <w:tcBorders>
              <w:top w:val="nil"/>
              <w:left w:val="nil"/>
              <w:bottom w:val="nil"/>
              <w:right w:val="nil"/>
            </w:tcBorders>
            <w:shd w:val="clear" w:color="auto" w:fill="auto"/>
            <w:noWrap/>
            <w:vAlign w:val="bottom"/>
          </w:tcPr>
          <w:p w14:paraId="4C414893" w14:textId="7D134C6C"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income support</w:t>
            </w:r>
          </w:p>
        </w:tc>
        <w:tc>
          <w:tcPr>
            <w:tcW w:w="1701" w:type="dxa"/>
            <w:tcBorders>
              <w:top w:val="nil"/>
              <w:left w:val="nil"/>
              <w:bottom w:val="nil"/>
              <w:right w:val="nil"/>
            </w:tcBorders>
            <w:shd w:val="clear" w:color="auto" w:fill="auto"/>
            <w:noWrap/>
            <w:vAlign w:val="bottom"/>
          </w:tcPr>
          <w:p w14:paraId="7F8A15C0" w14:textId="0959F361"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1F4507">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tcPr>
          <w:p w14:paraId="6F716B98" w14:textId="312A977A"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340BB4">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6D39A85E" w14:textId="4A01F451"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340BB4">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tcPr>
          <w:p w14:paraId="57FD0B9E" w14:textId="4806AED4"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340BB4">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tcPr>
          <w:p w14:paraId="21B394C7" w14:textId="436DC7F8"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340BB4">
              <w:rPr>
                <w:rFonts w:ascii="Calibri" w:eastAsia="Times New Roman" w:hAnsi="Calibri" w:cs="Times New Roman"/>
                <w:b/>
                <w:bCs/>
                <w:i/>
                <w:iCs/>
                <w:color w:val="FFFFFF" w:themeColor="background1"/>
                <w:sz w:val="18"/>
                <w:szCs w:val="18"/>
                <w:lang w:eastAsia="en-AU"/>
              </w:rPr>
              <w:t>—</w:t>
            </w:r>
          </w:p>
        </w:tc>
      </w:tr>
      <w:tr w:rsidR="006B3DCB" w:rsidRPr="00F71A22" w14:paraId="6A300DF4" w14:textId="77777777" w:rsidTr="001F4507">
        <w:trPr>
          <w:trHeight w:val="283"/>
        </w:trPr>
        <w:tc>
          <w:tcPr>
            <w:tcW w:w="2127" w:type="dxa"/>
            <w:tcBorders>
              <w:top w:val="nil"/>
              <w:left w:val="nil"/>
              <w:bottom w:val="nil"/>
              <w:right w:val="nil"/>
            </w:tcBorders>
            <w:shd w:val="clear" w:color="auto" w:fill="auto"/>
            <w:noWrap/>
            <w:vAlign w:val="bottom"/>
            <w:hideMark/>
          </w:tcPr>
          <w:p w14:paraId="5FF5EAFE" w14:textId="54E21C29"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Under Year 12</w:t>
            </w:r>
          </w:p>
        </w:tc>
        <w:tc>
          <w:tcPr>
            <w:tcW w:w="1701" w:type="dxa"/>
            <w:tcBorders>
              <w:top w:val="nil"/>
              <w:left w:val="nil"/>
              <w:bottom w:val="nil"/>
              <w:right w:val="nil"/>
            </w:tcBorders>
            <w:shd w:val="clear" w:color="auto" w:fill="auto"/>
            <w:noWrap/>
            <w:hideMark/>
          </w:tcPr>
          <w:p w14:paraId="7844E9C9" w14:textId="2BD7B6CF"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D77A71">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06C9CA38" w14:textId="0D8CE79D"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77A71">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065F861D" w14:textId="719E2ACA"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77A71">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19A8A9C1" w14:textId="5BDC8B25"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77A71">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768512D3" w14:textId="36D2E122"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77A71">
              <w:rPr>
                <w:rFonts w:ascii="Calibri" w:eastAsia="Times New Roman" w:hAnsi="Calibri" w:cs="Times New Roman"/>
                <w:b/>
                <w:bCs/>
                <w:i/>
                <w:iCs/>
                <w:color w:val="FFFFFF" w:themeColor="background1"/>
                <w:sz w:val="18"/>
                <w:szCs w:val="18"/>
                <w:lang w:eastAsia="en-AU"/>
              </w:rPr>
              <w:t>—</w:t>
            </w:r>
          </w:p>
        </w:tc>
      </w:tr>
      <w:tr w:rsidR="00143D89" w:rsidRPr="00F71A22" w14:paraId="2A067CD9" w14:textId="77777777" w:rsidTr="001F4507">
        <w:trPr>
          <w:trHeight w:val="283"/>
        </w:trPr>
        <w:tc>
          <w:tcPr>
            <w:tcW w:w="2127" w:type="dxa"/>
            <w:tcBorders>
              <w:top w:val="nil"/>
              <w:left w:val="nil"/>
              <w:bottom w:val="nil"/>
              <w:right w:val="nil"/>
            </w:tcBorders>
            <w:shd w:val="clear" w:color="auto" w:fill="auto"/>
            <w:noWrap/>
            <w:vAlign w:val="bottom"/>
            <w:hideMark/>
          </w:tcPr>
          <w:p w14:paraId="509439A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701" w:type="dxa"/>
            <w:tcBorders>
              <w:top w:val="nil"/>
              <w:left w:val="nil"/>
              <w:bottom w:val="nil"/>
              <w:right w:val="nil"/>
            </w:tcBorders>
            <w:shd w:val="clear" w:color="auto" w:fill="auto"/>
            <w:noWrap/>
            <w:vAlign w:val="bottom"/>
            <w:hideMark/>
          </w:tcPr>
          <w:p w14:paraId="6174D113" w14:textId="2D034BC8"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63 </w:t>
            </w:r>
          </w:p>
        </w:tc>
        <w:tc>
          <w:tcPr>
            <w:tcW w:w="992" w:type="dxa"/>
            <w:tcBorders>
              <w:top w:val="nil"/>
              <w:left w:val="nil"/>
              <w:bottom w:val="nil"/>
              <w:right w:val="nil"/>
            </w:tcBorders>
            <w:shd w:val="clear" w:color="auto" w:fill="auto"/>
            <w:noWrap/>
            <w:vAlign w:val="bottom"/>
            <w:hideMark/>
          </w:tcPr>
          <w:p w14:paraId="5985A71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11.2 </w:t>
            </w:r>
          </w:p>
        </w:tc>
        <w:tc>
          <w:tcPr>
            <w:tcW w:w="1701" w:type="dxa"/>
            <w:tcBorders>
              <w:top w:val="nil"/>
              <w:left w:val="nil"/>
              <w:bottom w:val="nil"/>
              <w:right w:val="nil"/>
            </w:tcBorders>
            <w:shd w:val="clear" w:color="auto" w:fill="auto"/>
            <w:noWrap/>
            <w:vAlign w:val="bottom"/>
            <w:hideMark/>
          </w:tcPr>
          <w:p w14:paraId="7767C105" w14:textId="6D808CAB"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41 </w:t>
            </w:r>
          </w:p>
        </w:tc>
        <w:tc>
          <w:tcPr>
            <w:tcW w:w="992" w:type="dxa"/>
            <w:tcBorders>
              <w:top w:val="nil"/>
              <w:left w:val="nil"/>
              <w:bottom w:val="nil"/>
              <w:right w:val="nil"/>
            </w:tcBorders>
            <w:shd w:val="clear" w:color="auto" w:fill="auto"/>
            <w:noWrap/>
            <w:vAlign w:val="bottom"/>
            <w:hideMark/>
          </w:tcPr>
          <w:p w14:paraId="6264C856" w14:textId="062610C4"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7.3 </w:t>
            </w:r>
          </w:p>
        </w:tc>
        <w:tc>
          <w:tcPr>
            <w:tcW w:w="1276" w:type="dxa"/>
            <w:tcBorders>
              <w:top w:val="nil"/>
              <w:left w:val="nil"/>
              <w:bottom w:val="nil"/>
              <w:right w:val="nil"/>
            </w:tcBorders>
            <w:shd w:val="clear" w:color="auto" w:fill="auto"/>
            <w:noWrap/>
            <w:vAlign w:val="bottom"/>
            <w:hideMark/>
          </w:tcPr>
          <w:p w14:paraId="4F667E4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3.9*</w:t>
            </w:r>
          </w:p>
        </w:tc>
      </w:tr>
      <w:tr w:rsidR="00143D89" w:rsidRPr="00F71A22" w14:paraId="18AC1107" w14:textId="77777777" w:rsidTr="001F4507">
        <w:trPr>
          <w:trHeight w:val="283"/>
        </w:trPr>
        <w:tc>
          <w:tcPr>
            <w:tcW w:w="2127" w:type="dxa"/>
            <w:tcBorders>
              <w:top w:val="nil"/>
              <w:left w:val="nil"/>
              <w:bottom w:val="nil"/>
              <w:right w:val="nil"/>
            </w:tcBorders>
            <w:shd w:val="clear" w:color="auto" w:fill="auto"/>
            <w:noWrap/>
            <w:vAlign w:val="bottom"/>
            <w:hideMark/>
          </w:tcPr>
          <w:p w14:paraId="55F066A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701" w:type="dxa"/>
            <w:tcBorders>
              <w:top w:val="nil"/>
              <w:left w:val="nil"/>
              <w:bottom w:val="nil"/>
              <w:right w:val="nil"/>
            </w:tcBorders>
            <w:shd w:val="clear" w:color="auto" w:fill="auto"/>
            <w:noWrap/>
            <w:vAlign w:val="bottom"/>
            <w:hideMark/>
          </w:tcPr>
          <w:p w14:paraId="029DE12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124 </w:t>
            </w:r>
          </w:p>
        </w:tc>
        <w:tc>
          <w:tcPr>
            <w:tcW w:w="992" w:type="dxa"/>
            <w:tcBorders>
              <w:top w:val="nil"/>
              <w:left w:val="nil"/>
              <w:bottom w:val="nil"/>
              <w:right w:val="nil"/>
            </w:tcBorders>
            <w:shd w:val="clear" w:color="auto" w:fill="auto"/>
            <w:noWrap/>
            <w:vAlign w:val="bottom"/>
            <w:hideMark/>
          </w:tcPr>
          <w:p w14:paraId="7DD2F3D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27.5 </w:t>
            </w:r>
          </w:p>
        </w:tc>
        <w:tc>
          <w:tcPr>
            <w:tcW w:w="1701" w:type="dxa"/>
            <w:tcBorders>
              <w:top w:val="nil"/>
              <w:left w:val="nil"/>
              <w:bottom w:val="nil"/>
              <w:right w:val="nil"/>
            </w:tcBorders>
            <w:shd w:val="clear" w:color="auto" w:fill="auto"/>
            <w:noWrap/>
            <w:vAlign w:val="bottom"/>
            <w:hideMark/>
          </w:tcPr>
          <w:p w14:paraId="20E0C60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101 </w:t>
            </w:r>
          </w:p>
        </w:tc>
        <w:tc>
          <w:tcPr>
            <w:tcW w:w="992" w:type="dxa"/>
            <w:tcBorders>
              <w:top w:val="nil"/>
              <w:left w:val="nil"/>
              <w:bottom w:val="nil"/>
              <w:right w:val="nil"/>
            </w:tcBorders>
            <w:shd w:val="clear" w:color="auto" w:fill="auto"/>
            <w:noWrap/>
            <w:vAlign w:val="bottom"/>
            <w:hideMark/>
          </w:tcPr>
          <w:p w14:paraId="6A19424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22.8 </w:t>
            </w:r>
          </w:p>
        </w:tc>
        <w:tc>
          <w:tcPr>
            <w:tcW w:w="1276" w:type="dxa"/>
            <w:tcBorders>
              <w:top w:val="nil"/>
              <w:left w:val="nil"/>
              <w:bottom w:val="nil"/>
              <w:right w:val="nil"/>
            </w:tcBorders>
            <w:shd w:val="clear" w:color="auto" w:fill="auto"/>
            <w:noWrap/>
            <w:vAlign w:val="bottom"/>
            <w:hideMark/>
          </w:tcPr>
          <w:p w14:paraId="6610417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4.7</w:t>
            </w:r>
          </w:p>
        </w:tc>
      </w:tr>
      <w:tr w:rsidR="00143D89" w:rsidRPr="00F71A22" w14:paraId="6A517137" w14:textId="77777777" w:rsidTr="001F4507">
        <w:trPr>
          <w:trHeight w:val="283"/>
        </w:trPr>
        <w:tc>
          <w:tcPr>
            <w:tcW w:w="2127" w:type="dxa"/>
            <w:tcBorders>
              <w:top w:val="nil"/>
              <w:left w:val="nil"/>
              <w:bottom w:val="nil"/>
              <w:right w:val="nil"/>
            </w:tcBorders>
            <w:shd w:val="clear" w:color="auto" w:fill="auto"/>
            <w:noWrap/>
            <w:vAlign w:val="bottom"/>
            <w:hideMark/>
          </w:tcPr>
          <w:p w14:paraId="1C16061F"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701" w:type="dxa"/>
            <w:tcBorders>
              <w:top w:val="nil"/>
              <w:left w:val="nil"/>
              <w:bottom w:val="nil"/>
              <w:right w:val="nil"/>
            </w:tcBorders>
            <w:shd w:val="clear" w:color="auto" w:fill="auto"/>
            <w:noWrap/>
            <w:vAlign w:val="bottom"/>
            <w:hideMark/>
          </w:tcPr>
          <w:p w14:paraId="13F59F2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123 </w:t>
            </w:r>
          </w:p>
        </w:tc>
        <w:tc>
          <w:tcPr>
            <w:tcW w:w="992" w:type="dxa"/>
            <w:tcBorders>
              <w:top w:val="nil"/>
              <w:left w:val="nil"/>
              <w:bottom w:val="nil"/>
              <w:right w:val="nil"/>
            </w:tcBorders>
            <w:shd w:val="clear" w:color="auto" w:fill="auto"/>
            <w:noWrap/>
            <w:vAlign w:val="bottom"/>
            <w:hideMark/>
          </w:tcPr>
          <w:p w14:paraId="50E7E82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40.5 </w:t>
            </w:r>
          </w:p>
        </w:tc>
        <w:tc>
          <w:tcPr>
            <w:tcW w:w="1701" w:type="dxa"/>
            <w:tcBorders>
              <w:top w:val="nil"/>
              <w:left w:val="nil"/>
              <w:bottom w:val="nil"/>
              <w:right w:val="nil"/>
            </w:tcBorders>
            <w:shd w:val="clear" w:color="auto" w:fill="auto"/>
            <w:noWrap/>
            <w:vAlign w:val="bottom"/>
            <w:hideMark/>
          </w:tcPr>
          <w:p w14:paraId="6BC2B89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122 </w:t>
            </w:r>
          </w:p>
        </w:tc>
        <w:tc>
          <w:tcPr>
            <w:tcW w:w="992" w:type="dxa"/>
            <w:tcBorders>
              <w:top w:val="nil"/>
              <w:left w:val="nil"/>
              <w:bottom w:val="nil"/>
              <w:right w:val="nil"/>
            </w:tcBorders>
            <w:shd w:val="clear" w:color="auto" w:fill="auto"/>
            <w:noWrap/>
            <w:vAlign w:val="bottom"/>
            <w:hideMark/>
          </w:tcPr>
          <w:p w14:paraId="2831A76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41.1 </w:t>
            </w:r>
          </w:p>
        </w:tc>
        <w:tc>
          <w:tcPr>
            <w:tcW w:w="1276" w:type="dxa"/>
            <w:tcBorders>
              <w:top w:val="nil"/>
              <w:left w:val="nil"/>
              <w:bottom w:val="nil"/>
              <w:right w:val="nil"/>
            </w:tcBorders>
            <w:shd w:val="clear" w:color="auto" w:fill="auto"/>
            <w:noWrap/>
            <w:vAlign w:val="bottom"/>
            <w:hideMark/>
          </w:tcPr>
          <w:p w14:paraId="13EF9C7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-0.6</w:t>
            </w:r>
          </w:p>
        </w:tc>
      </w:tr>
      <w:tr w:rsidR="006B3DCB" w:rsidRPr="00F71A22" w14:paraId="7A686D33" w14:textId="77777777" w:rsidTr="001F4507">
        <w:trPr>
          <w:trHeight w:val="283"/>
        </w:trPr>
        <w:tc>
          <w:tcPr>
            <w:tcW w:w="2127" w:type="dxa"/>
            <w:tcBorders>
              <w:top w:val="nil"/>
              <w:left w:val="nil"/>
              <w:bottom w:val="nil"/>
              <w:right w:val="nil"/>
            </w:tcBorders>
            <w:shd w:val="clear" w:color="auto" w:fill="auto"/>
            <w:noWrap/>
            <w:vAlign w:val="bottom"/>
            <w:hideMark/>
          </w:tcPr>
          <w:p w14:paraId="517146D6" w14:textId="015F2857"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Year 12 and above</w:t>
            </w:r>
          </w:p>
        </w:tc>
        <w:tc>
          <w:tcPr>
            <w:tcW w:w="1701" w:type="dxa"/>
            <w:tcBorders>
              <w:top w:val="nil"/>
              <w:left w:val="nil"/>
              <w:bottom w:val="nil"/>
              <w:right w:val="nil"/>
            </w:tcBorders>
            <w:shd w:val="clear" w:color="auto" w:fill="auto"/>
            <w:noWrap/>
            <w:hideMark/>
          </w:tcPr>
          <w:p w14:paraId="01B76340" w14:textId="18E3F6F8"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7612F6">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73674A1D" w14:textId="7C864861"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612F6">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5C933FC2" w14:textId="4693AB99"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612F6">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1801E4BF" w14:textId="2A2AD7E3"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612F6">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1BB1431D" w14:textId="48A8E7FF"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612F6">
              <w:rPr>
                <w:rFonts w:ascii="Calibri" w:eastAsia="Times New Roman" w:hAnsi="Calibri" w:cs="Times New Roman"/>
                <w:b/>
                <w:bCs/>
                <w:i/>
                <w:iCs/>
                <w:color w:val="FFFFFF" w:themeColor="background1"/>
                <w:sz w:val="18"/>
                <w:szCs w:val="18"/>
                <w:lang w:eastAsia="en-AU"/>
              </w:rPr>
              <w:t>—</w:t>
            </w:r>
          </w:p>
        </w:tc>
      </w:tr>
      <w:tr w:rsidR="00143D89" w:rsidRPr="00F71A22" w14:paraId="08AE9D03" w14:textId="77777777" w:rsidTr="001F4507">
        <w:trPr>
          <w:trHeight w:val="283"/>
        </w:trPr>
        <w:tc>
          <w:tcPr>
            <w:tcW w:w="2127" w:type="dxa"/>
            <w:tcBorders>
              <w:top w:val="nil"/>
              <w:left w:val="nil"/>
              <w:bottom w:val="nil"/>
              <w:right w:val="nil"/>
            </w:tcBorders>
            <w:shd w:val="clear" w:color="auto" w:fill="auto"/>
            <w:noWrap/>
            <w:vAlign w:val="bottom"/>
            <w:hideMark/>
          </w:tcPr>
          <w:p w14:paraId="13322A2D"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701" w:type="dxa"/>
            <w:tcBorders>
              <w:top w:val="nil"/>
              <w:left w:val="nil"/>
              <w:bottom w:val="nil"/>
              <w:right w:val="nil"/>
            </w:tcBorders>
            <w:shd w:val="clear" w:color="auto" w:fill="auto"/>
            <w:noWrap/>
            <w:vAlign w:val="bottom"/>
            <w:hideMark/>
          </w:tcPr>
          <w:p w14:paraId="0688C28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614 </w:t>
            </w:r>
          </w:p>
        </w:tc>
        <w:tc>
          <w:tcPr>
            <w:tcW w:w="992" w:type="dxa"/>
            <w:tcBorders>
              <w:top w:val="nil"/>
              <w:left w:val="nil"/>
              <w:bottom w:val="nil"/>
              <w:right w:val="nil"/>
            </w:tcBorders>
            <w:shd w:val="clear" w:color="auto" w:fill="auto"/>
            <w:noWrap/>
            <w:vAlign w:val="bottom"/>
            <w:hideMark/>
          </w:tcPr>
          <w:p w14:paraId="479ADDF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10.0 </w:t>
            </w:r>
          </w:p>
        </w:tc>
        <w:tc>
          <w:tcPr>
            <w:tcW w:w="1701" w:type="dxa"/>
            <w:tcBorders>
              <w:top w:val="nil"/>
              <w:left w:val="nil"/>
              <w:bottom w:val="nil"/>
              <w:right w:val="nil"/>
            </w:tcBorders>
            <w:shd w:val="clear" w:color="auto" w:fill="auto"/>
            <w:noWrap/>
            <w:vAlign w:val="bottom"/>
            <w:hideMark/>
          </w:tcPr>
          <w:p w14:paraId="1B42971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479 </w:t>
            </w:r>
          </w:p>
        </w:tc>
        <w:tc>
          <w:tcPr>
            <w:tcW w:w="992" w:type="dxa"/>
            <w:tcBorders>
              <w:top w:val="nil"/>
              <w:left w:val="nil"/>
              <w:bottom w:val="nil"/>
              <w:right w:val="nil"/>
            </w:tcBorders>
            <w:shd w:val="clear" w:color="auto" w:fill="auto"/>
            <w:noWrap/>
            <w:vAlign w:val="bottom"/>
            <w:hideMark/>
          </w:tcPr>
          <w:p w14:paraId="64ABFE76" w14:textId="173DEE55"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7.8 </w:t>
            </w:r>
          </w:p>
        </w:tc>
        <w:tc>
          <w:tcPr>
            <w:tcW w:w="1276" w:type="dxa"/>
            <w:tcBorders>
              <w:top w:val="nil"/>
              <w:left w:val="nil"/>
              <w:bottom w:val="nil"/>
              <w:right w:val="nil"/>
            </w:tcBorders>
            <w:shd w:val="clear" w:color="auto" w:fill="auto"/>
            <w:noWrap/>
            <w:vAlign w:val="bottom"/>
            <w:hideMark/>
          </w:tcPr>
          <w:p w14:paraId="354DE74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2.2*</w:t>
            </w:r>
          </w:p>
        </w:tc>
      </w:tr>
      <w:tr w:rsidR="00143D89" w:rsidRPr="00F71A22" w14:paraId="1955E9F2" w14:textId="77777777" w:rsidTr="001F4507">
        <w:trPr>
          <w:trHeight w:val="283"/>
        </w:trPr>
        <w:tc>
          <w:tcPr>
            <w:tcW w:w="2127" w:type="dxa"/>
            <w:tcBorders>
              <w:top w:val="nil"/>
              <w:left w:val="nil"/>
              <w:bottom w:val="nil"/>
              <w:right w:val="nil"/>
            </w:tcBorders>
            <w:shd w:val="clear" w:color="auto" w:fill="auto"/>
            <w:noWrap/>
            <w:vAlign w:val="bottom"/>
            <w:hideMark/>
          </w:tcPr>
          <w:p w14:paraId="2DCA262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701" w:type="dxa"/>
            <w:tcBorders>
              <w:top w:val="nil"/>
              <w:left w:val="nil"/>
              <w:bottom w:val="nil"/>
              <w:right w:val="nil"/>
            </w:tcBorders>
            <w:shd w:val="clear" w:color="auto" w:fill="auto"/>
            <w:noWrap/>
            <w:vAlign w:val="bottom"/>
            <w:hideMark/>
          </w:tcPr>
          <w:p w14:paraId="3F256FA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1,633 </w:t>
            </w:r>
          </w:p>
        </w:tc>
        <w:tc>
          <w:tcPr>
            <w:tcW w:w="992" w:type="dxa"/>
            <w:tcBorders>
              <w:top w:val="nil"/>
              <w:left w:val="nil"/>
              <w:bottom w:val="nil"/>
              <w:right w:val="nil"/>
            </w:tcBorders>
            <w:shd w:val="clear" w:color="auto" w:fill="auto"/>
            <w:noWrap/>
            <w:vAlign w:val="bottom"/>
            <w:hideMark/>
          </w:tcPr>
          <w:p w14:paraId="1A38D48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33.0 </w:t>
            </w:r>
          </w:p>
        </w:tc>
        <w:tc>
          <w:tcPr>
            <w:tcW w:w="1701" w:type="dxa"/>
            <w:tcBorders>
              <w:top w:val="nil"/>
              <w:left w:val="nil"/>
              <w:bottom w:val="nil"/>
              <w:right w:val="nil"/>
            </w:tcBorders>
            <w:shd w:val="clear" w:color="auto" w:fill="auto"/>
            <w:noWrap/>
            <w:vAlign w:val="bottom"/>
            <w:hideMark/>
          </w:tcPr>
          <w:p w14:paraId="113CF7E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1,497 </w:t>
            </w:r>
          </w:p>
        </w:tc>
        <w:tc>
          <w:tcPr>
            <w:tcW w:w="992" w:type="dxa"/>
            <w:tcBorders>
              <w:top w:val="nil"/>
              <w:left w:val="nil"/>
              <w:bottom w:val="nil"/>
              <w:right w:val="nil"/>
            </w:tcBorders>
            <w:shd w:val="clear" w:color="auto" w:fill="auto"/>
            <w:noWrap/>
            <w:vAlign w:val="bottom"/>
            <w:hideMark/>
          </w:tcPr>
          <w:p w14:paraId="6AFE7A9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30.3 </w:t>
            </w:r>
          </w:p>
        </w:tc>
        <w:tc>
          <w:tcPr>
            <w:tcW w:w="1276" w:type="dxa"/>
            <w:tcBorders>
              <w:top w:val="nil"/>
              <w:left w:val="nil"/>
              <w:bottom w:val="nil"/>
              <w:right w:val="nil"/>
            </w:tcBorders>
            <w:shd w:val="clear" w:color="auto" w:fill="auto"/>
            <w:noWrap/>
            <w:vAlign w:val="bottom"/>
            <w:hideMark/>
          </w:tcPr>
          <w:p w14:paraId="3FB18C0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2.8*</w:t>
            </w:r>
          </w:p>
        </w:tc>
      </w:tr>
      <w:tr w:rsidR="00143D89" w:rsidRPr="00F71A22" w14:paraId="06906EBD" w14:textId="77777777" w:rsidTr="001F4507">
        <w:trPr>
          <w:trHeight w:val="283"/>
        </w:trPr>
        <w:tc>
          <w:tcPr>
            <w:tcW w:w="2127" w:type="dxa"/>
            <w:tcBorders>
              <w:top w:val="nil"/>
              <w:left w:val="nil"/>
              <w:bottom w:val="nil"/>
              <w:right w:val="nil"/>
            </w:tcBorders>
            <w:shd w:val="clear" w:color="auto" w:fill="auto"/>
            <w:noWrap/>
            <w:vAlign w:val="bottom"/>
            <w:hideMark/>
          </w:tcPr>
          <w:p w14:paraId="0FFCB6FE"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701" w:type="dxa"/>
            <w:tcBorders>
              <w:top w:val="nil"/>
              <w:left w:val="nil"/>
              <w:bottom w:val="nil"/>
              <w:right w:val="nil"/>
            </w:tcBorders>
            <w:shd w:val="clear" w:color="auto" w:fill="auto"/>
            <w:noWrap/>
            <w:vAlign w:val="bottom"/>
            <w:hideMark/>
          </w:tcPr>
          <w:p w14:paraId="6D04EC1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1,733 </w:t>
            </w:r>
          </w:p>
        </w:tc>
        <w:tc>
          <w:tcPr>
            <w:tcW w:w="992" w:type="dxa"/>
            <w:tcBorders>
              <w:top w:val="nil"/>
              <w:left w:val="nil"/>
              <w:bottom w:val="nil"/>
              <w:right w:val="nil"/>
            </w:tcBorders>
            <w:shd w:val="clear" w:color="auto" w:fill="auto"/>
            <w:noWrap/>
            <w:vAlign w:val="bottom"/>
            <w:hideMark/>
          </w:tcPr>
          <w:p w14:paraId="70E2029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50.6 </w:t>
            </w:r>
          </w:p>
        </w:tc>
        <w:tc>
          <w:tcPr>
            <w:tcW w:w="1701" w:type="dxa"/>
            <w:tcBorders>
              <w:top w:val="nil"/>
              <w:left w:val="nil"/>
              <w:bottom w:val="nil"/>
              <w:right w:val="nil"/>
            </w:tcBorders>
            <w:shd w:val="clear" w:color="auto" w:fill="auto"/>
            <w:noWrap/>
            <w:vAlign w:val="bottom"/>
            <w:hideMark/>
          </w:tcPr>
          <w:p w14:paraId="2989A18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1,796 </w:t>
            </w:r>
          </w:p>
        </w:tc>
        <w:tc>
          <w:tcPr>
            <w:tcW w:w="992" w:type="dxa"/>
            <w:tcBorders>
              <w:top w:val="nil"/>
              <w:left w:val="nil"/>
              <w:bottom w:val="nil"/>
              <w:right w:val="nil"/>
            </w:tcBorders>
            <w:shd w:val="clear" w:color="auto" w:fill="auto"/>
            <w:noWrap/>
            <w:vAlign w:val="bottom"/>
            <w:hideMark/>
          </w:tcPr>
          <w:p w14:paraId="2006E06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52.5 </w:t>
            </w:r>
          </w:p>
        </w:tc>
        <w:tc>
          <w:tcPr>
            <w:tcW w:w="1276" w:type="dxa"/>
            <w:tcBorders>
              <w:top w:val="nil"/>
              <w:left w:val="nil"/>
              <w:bottom w:val="nil"/>
              <w:right w:val="nil"/>
            </w:tcBorders>
            <w:shd w:val="clear" w:color="auto" w:fill="auto"/>
            <w:noWrap/>
            <w:vAlign w:val="bottom"/>
            <w:hideMark/>
          </w:tcPr>
          <w:p w14:paraId="42DBD53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-2.0</w:t>
            </w:r>
          </w:p>
        </w:tc>
      </w:tr>
      <w:tr w:rsidR="006B3DCB" w:rsidRPr="00F71A22" w14:paraId="7A0E22D7" w14:textId="77777777" w:rsidTr="001F4507">
        <w:trPr>
          <w:trHeight w:val="283"/>
        </w:trPr>
        <w:tc>
          <w:tcPr>
            <w:tcW w:w="2127" w:type="dxa"/>
            <w:tcBorders>
              <w:top w:val="nil"/>
              <w:left w:val="nil"/>
              <w:bottom w:val="nil"/>
              <w:right w:val="nil"/>
            </w:tcBorders>
            <w:shd w:val="clear" w:color="auto" w:fill="auto"/>
            <w:noWrap/>
            <w:vAlign w:val="bottom"/>
          </w:tcPr>
          <w:p w14:paraId="1763C3DA" w14:textId="52B5B41B"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employment services</w:t>
            </w:r>
          </w:p>
        </w:tc>
        <w:tc>
          <w:tcPr>
            <w:tcW w:w="1701" w:type="dxa"/>
            <w:tcBorders>
              <w:top w:val="nil"/>
              <w:left w:val="nil"/>
              <w:bottom w:val="nil"/>
              <w:right w:val="nil"/>
            </w:tcBorders>
            <w:shd w:val="clear" w:color="auto" w:fill="auto"/>
            <w:noWrap/>
          </w:tcPr>
          <w:p w14:paraId="695D4900" w14:textId="1140FA2D"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AB1433">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tcPr>
          <w:p w14:paraId="3AC677CA" w14:textId="04CA5942"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AB1433">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6AEE64B6" w14:textId="61CEE256"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AB1433">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tcPr>
          <w:p w14:paraId="569A7C46" w14:textId="58CDE145"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AB1433">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tcPr>
          <w:p w14:paraId="7F9E6178" w14:textId="6D4800B6"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AB1433">
              <w:rPr>
                <w:rFonts w:ascii="Calibri" w:eastAsia="Times New Roman" w:hAnsi="Calibri" w:cs="Times New Roman"/>
                <w:b/>
                <w:bCs/>
                <w:i/>
                <w:iCs/>
                <w:color w:val="FFFFFF" w:themeColor="background1"/>
                <w:sz w:val="18"/>
                <w:szCs w:val="18"/>
                <w:lang w:eastAsia="en-AU"/>
              </w:rPr>
              <w:t>—</w:t>
            </w:r>
          </w:p>
        </w:tc>
      </w:tr>
      <w:tr w:rsidR="006B3DCB" w:rsidRPr="00F71A22" w14:paraId="7D5F7325" w14:textId="77777777" w:rsidTr="001F4507">
        <w:trPr>
          <w:trHeight w:val="283"/>
        </w:trPr>
        <w:tc>
          <w:tcPr>
            <w:tcW w:w="2127" w:type="dxa"/>
            <w:tcBorders>
              <w:top w:val="nil"/>
              <w:left w:val="nil"/>
              <w:bottom w:val="nil"/>
              <w:right w:val="nil"/>
            </w:tcBorders>
            <w:shd w:val="clear" w:color="auto" w:fill="auto"/>
            <w:noWrap/>
            <w:vAlign w:val="bottom"/>
            <w:hideMark/>
          </w:tcPr>
          <w:p w14:paraId="726E3FE2" w14:textId="3A9B441C"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Under Year 12</w:t>
            </w:r>
          </w:p>
        </w:tc>
        <w:tc>
          <w:tcPr>
            <w:tcW w:w="1701" w:type="dxa"/>
            <w:tcBorders>
              <w:top w:val="nil"/>
              <w:left w:val="nil"/>
              <w:bottom w:val="nil"/>
              <w:right w:val="nil"/>
            </w:tcBorders>
            <w:shd w:val="clear" w:color="auto" w:fill="auto"/>
            <w:noWrap/>
            <w:hideMark/>
          </w:tcPr>
          <w:p w14:paraId="0A95A9A1" w14:textId="6048F1EA"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7E27C2">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2A9947F4" w14:textId="69758F5F"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E27C2">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556A1389" w14:textId="5E0A28E5"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E27C2">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617C5BF0" w14:textId="46CFBCEC"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E27C2">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7ADFF8F9" w14:textId="2A8F7A82"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7E27C2">
              <w:rPr>
                <w:rFonts w:ascii="Calibri" w:eastAsia="Times New Roman" w:hAnsi="Calibri" w:cs="Times New Roman"/>
                <w:b/>
                <w:bCs/>
                <w:i/>
                <w:iCs/>
                <w:color w:val="FFFFFF" w:themeColor="background1"/>
                <w:sz w:val="18"/>
                <w:szCs w:val="18"/>
                <w:lang w:eastAsia="en-AU"/>
              </w:rPr>
              <w:t>—</w:t>
            </w:r>
          </w:p>
        </w:tc>
      </w:tr>
      <w:tr w:rsidR="00143D89" w:rsidRPr="00F71A22" w14:paraId="499D7E90" w14:textId="77777777" w:rsidTr="001F4507">
        <w:trPr>
          <w:trHeight w:val="283"/>
        </w:trPr>
        <w:tc>
          <w:tcPr>
            <w:tcW w:w="2127" w:type="dxa"/>
            <w:tcBorders>
              <w:top w:val="nil"/>
              <w:left w:val="nil"/>
              <w:bottom w:val="nil"/>
              <w:right w:val="nil"/>
            </w:tcBorders>
            <w:shd w:val="clear" w:color="auto" w:fill="auto"/>
            <w:noWrap/>
            <w:vAlign w:val="bottom"/>
            <w:hideMark/>
          </w:tcPr>
          <w:p w14:paraId="51D15B09"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701" w:type="dxa"/>
            <w:tcBorders>
              <w:top w:val="nil"/>
              <w:left w:val="nil"/>
              <w:bottom w:val="nil"/>
              <w:right w:val="nil"/>
            </w:tcBorders>
            <w:shd w:val="clear" w:color="auto" w:fill="auto"/>
            <w:noWrap/>
            <w:vAlign w:val="bottom"/>
            <w:hideMark/>
          </w:tcPr>
          <w:p w14:paraId="679E4734" w14:textId="69E6E3C3"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992" w:type="dxa"/>
            <w:tcBorders>
              <w:top w:val="nil"/>
              <w:left w:val="nil"/>
              <w:bottom w:val="nil"/>
              <w:right w:val="nil"/>
            </w:tcBorders>
            <w:shd w:val="clear" w:color="auto" w:fill="auto"/>
            <w:noWrap/>
            <w:vAlign w:val="bottom"/>
            <w:hideMark/>
          </w:tcPr>
          <w:p w14:paraId="3E1E750D" w14:textId="36334DB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2.5 </w:t>
            </w:r>
          </w:p>
        </w:tc>
        <w:tc>
          <w:tcPr>
            <w:tcW w:w="1701" w:type="dxa"/>
            <w:tcBorders>
              <w:top w:val="nil"/>
              <w:left w:val="nil"/>
              <w:bottom w:val="nil"/>
              <w:right w:val="nil"/>
            </w:tcBorders>
            <w:shd w:val="clear" w:color="auto" w:fill="auto"/>
            <w:noWrap/>
            <w:vAlign w:val="bottom"/>
            <w:hideMark/>
          </w:tcPr>
          <w:p w14:paraId="317D416D" w14:textId="258CEA56"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992" w:type="dxa"/>
            <w:tcBorders>
              <w:top w:val="nil"/>
              <w:left w:val="nil"/>
              <w:bottom w:val="nil"/>
              <w:right w:val="nil"/>
            </w:tcBorders>
            <w:shd w:val="clear" w:color="auto" w:fill="auto"/>
            <w:noWrap/>
            <w:vAlign w:val="bottom"/>
            <w:hideMark/>
          </w:tcPr>
          <w:p w14:paraId="2D43B3F0" w14:textId="5F30F910"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 </w:t>
            </w:r>
          </w:p>
        </w:tc>
        <w:tc>
          <w:tcPr>
            <w:tcW w:w="1276" w:type="dxa"/>
            <w:tcBorders>
              <w:top w:val="nil"/>
              <w:left w:val="nil"/>
              <w:bottom w:val="nil"/>
              <w:right w:val="nil"/>
            </w:tcBorders>
            <w:shd w:val="clear" w:color="auto" w:fill="auto"/>
            <w:noWrap/>
            <w:vAlign w:val="bottom"/>
            <w:hideMark/>
          </w:tcPr>
          <w:p w14:paraId="195AC0A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0.7</w:t>
            </w:r>
          </w:p>
        </w:tc>
      </w:tr>
      <w:tr w:rsidR="00143D89" w:rsidRPr="00F71A22" w14:paraId="25392B8F" w14:textId="77777777" w:rsidTr="001F4507">
        <w:trPr>
          <w:trHeight w:val="283"/>
        </w:trPr>
        <w:tc>
          <w:tcPr>
            <w:tcW w:w="2127" w:type="dxa"/>
            <w:tcBorders>
              <w:top w:val="nil"/>
              <w:left w:val="nil"/>
              <w:bottom w:val="nil"/>
              <w:right w:val="nil"/>
            </w:tcBorders>
            <w:shd w:val="clear" w:color="auto" w:fill="auto"/>
            <w:noWrap/>
            <w:vAlign w:val="bottom"/>
            <w:hideMark/>
          </w:tcPr>
          <w:p w14:paraId="3A0D477C"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701" w:type="dxa"/>
            <w:tcBorders>
              <w:top w:val="nil"/>
              <w:left w:val="nil"/>
              <w:bottom w:val="nil"/>
              <w:right w:val="nil"/>
            </w:tcBorders>
            <w:shd w:val="clear" w:color="auto" w:fill="auto"/>
            <w:noWrap/>
            <w:vAlign w:val="bottom"/>
            <w:hideMark/>
          </w:tcPr>
          <w:p w14:paraId="2A7C2C7A" w14:textId="72A97606"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89 </w:t>
            </w:r>
          </w:p>
        </w:tc>
        <w:tc>
          <w:tcPr>
            <w:tcW w:w="992" w:type="dxa"/>
            <w:tcBorders>
              <w:top w:val="nil"/>
              <w:left w:val="nil"/>
              <w:bottom w:val="nil"/>
              <w:right w:val="nil"/>
            </w:tcBorders>
            <w:shd w:val="clear" w:color="auto" w:fill="auto"/>
            <w:noWrap/>
            <w:vAlign w:val="bottom"/>
            <w:hideMark/>
          </w:tcPr>
          <w:p w14:paraId="78C3024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19.7 </w:t>
            </w:r>
          </w:p>
        </w:tc>
        <w:tc>
          <w:tcPr>
            <w:tcW w:w="1701" w:type="dxa"/>
            <w:tcBorders>
              <w:top w:val="nil"/>
              <w:left w:val="nil"/>
              <w:bottom w:val="nil"/>
              <w:right w:val="nil"/>
            </w:tcBorders>
            <w:shd w:val="clear" w:color="auto" w:fill="auto"/>
            <w:noWrap/>
            <w:vAlign w:val="bottom"/>
            <w:hideMark/>
          </w:tcPr>
          <w:p w14:paraId="6C3B8CAC" w14:textId="4E7D4D1B"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58 </w:t>
            </w:r>
          </w:p>
        </w:tc>
        <w:tc>
          <w:tcPr>
            <w:tcW w:w="992" w:type="dxa"/>
            <w:tcBorders>
              <w:top w:val="nil"/>
              <w:left w:val="nil"/>
              <w:bottom w:val="nil"/>
              <w:right w:val="nil"/>
            </w:tcBorders>
            <w:shd w:val="clear" w:color="auto" w:fill="auto"/>
            <w:noWrap/>
            <w:vAlign w:val="bottom"/>
            <w:hideMark/>
          </w:tcPr>
          <w:p w14:paraId="4390A0E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13.1 </w:t>
            </w:r>
          </w:p>
        </w:tc>
        <w:tc>
          <w:tcPr>
            <w:tcW w:w="1276" w:type="dxa"/>
            <w:tcBorders>
              <w:top w:val="nil"/>
              <w:left w:val="nil"/>
              <w:bottom w:val="nil"/>
              <w:right w:val="nil"/>
            </w:tcBorders>
            <w:shd w:val="clear" w:color="auto" w:fill="auto"/>
            <w:noWrap/>
            <w:vAlign w:val="bottom"/>
            <w:hideMark/>
          </w:tcPr>
          <w:p w14:paraId="1E790EC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6.7*</w:t>
            </w:r>
          </w:p>
        </w:tc>
      </w:tr>
      <w:tr w:rsidR="00143D89" w:rsidRPr="00F71A22" w14:paraId="79A7FF00" w14:textId="77777777" w:rsidTr="001F4507">
        <w:trPr>
          <w:trHeight w:val="283"/>
        </w:trPr>
        <w:tc>
          <w:tcPr>
            <w:tcW w:w="2127" w:type="dxa"/>
            <w:tcBorders>
              <w:top w:val="nil"/>
              <w:left w:val="nil"/>
              <w:bottom w:val="nil"/>
              <w:right w:val="nil"/>
            </w:tcBorders>
            <w:shd w:val="clear" w:color="auto" w:fill="auto"/>
            <w:noWrap/>
            <w:vAlign w:val="bottom"/>
            <w:hideMark/>
          </w:tcPr>
          <w:p w14:paraId="1D48CE1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701" w:type="dxa"/>
            <w:tcBorders>
              <w:top w:val="nil"/>
              <w:left w:val="nil"/>
              <w:bottom w:val="nil"/>
              <w:right w:val="nil"/>
            </w:tcBorders>
            <w:shd w:val="clear" w:color="auto" w:fill="auto"/>
            <w:noWrap/>
            <w:vAlign w:val="bottom"/>
            <w:hideMark/>
          </w:tcPr>
          <w:p w14:paraId="0D160FB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120 </w:t>
            </w:r>
          </w:p>
        </w:tc>
        <w:tc>
          <w:tcPr>
            <w:tcW w:w="992" w:type="dxa"/>
            <w:tcBorders>
              <w:top w:val="nil"/>
              <w:left w:val="nil"/>
              <w:bottom w:val="nil"/>
              <w:right w:val="nil"/>
            </w:tcBorders>
            <w:shd w:val="clear" w:color="auto" w:fill="auto"/>
            <w:noWrap/>
            <w:vAlign w:val="bottom"/>
            <w:hideMark/>
          </w:tcPr>
          <w:p w14:paraId="2266638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39.5 </w:t>
            </w:r>
          </w:p>
        </w:tc>
        <w:tc>
          <w:tcPr>
            <w:tcW w:w="1701" w:type="dxa"/>
            <w:tcBorders>
              <w:top w:val="nil"/>
              <w:left w:val="nil"/>
              <w:bottom w:val="nil"/>
              <w:right w:val="nil"/>
            </w:tcBorders>
            <w:shd w:val="clear" w:color="auto" w:fill="auto"/>
            <w:noWrap/>
            <w:vAlign w:val="bottom"/>
            <w:hideMark/>
          </w:tcPr>
          <w:p w14:paraId="4D062AA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105 </w:t>
            </w:r>
          </w:p>
        </w:tc>
        <w:tc>
          <w:tcPr>
            <w:tcW w:w="992" w:type="dxa"/>
            <w:tcBorders>
              <w:top w:val="nil"/>
              <w:left w:val="nil"/>
              <w:bottom w:val="nil"/>
              <w:right w:val="nil"/>
            </w:tcBorders>
            <w:shd w:val="clear" w:color="auto" w:fill="auto"/>
            <w:noWrap/>
            <w:vAlign w:val="bottom"/>
            <w:hideMark/>
          </w:tcPr>
          <w:p w14:paraId="009E5FD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35.4 </w:t>
            </w:r>
          </w:p>
        </w:tc>
        <w:tc>
          <w:tcPr>
            <w:tcW w:w="1276" w:type="dxa"/>
            <w:tcBorders>
              <w:top w:val="nil"/>
              <w:left w:val="nil"/>
              <w:bottom w:val="nil"/>
              <w:right w:val="nil"/>
            </w:tcBorders>
            <w:shd w:val="clear" w:color="auto" w:fill="auto"/>
            <w:noWrap/>
            <w:vAlign w:val="bottom"/>
            <w:hideMark/>
          </w:tcPr>
          <w:p w14:paraId="56CFB6E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4.1</w:t>
            </w:r>
          </w:p>
        </w:tc>
      </w:tr>
      <w:tr w:rsidR="006B3DCB" w:rsidRPr="00F71A22" w14:paraId="24DBC778" w14:textId="77777777" w:rsidTr="001F4507">
        <w:trPr>
          <w:trHeight w:val="283"/>
        </w:trPr>
        <w:tc>
          <w:tcPr>
            <w:tcW w:w="2127" w:type="dxa"/>
            <w:tcBorders>
              <w:top w:val="nil"/>
              <w:left w:val="nil"/>
              <w:bottom w:val="nil"/>
              <w:right w:val="nil"/>
            </w:tcBorders>
            <w:shd w:val="clear" w:color="auto" w:fill="auto"/>
            <w:noWrap/>
            <w:vAlign w:val="bottom"/>
            <w:hideMark/>
          </w:tcPr>
          <w:p w14:paraId="3CEE94D1" w14:textId="7190A9FB"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Year 12 and above</w:t>
            </w:r>
          </w:p>
        </w:tc>
        <w:tc>
          <w:tcPr>
            <w:tcW w:w="1701" w:type="dxa"/>
            <w:tcBorders>
              <w:top w:val="nil"/>
              <w:left w:val="nil"/>
              <w:bottom w:val="nil"/>
              <w:right w:val="nil"/>
            </w:tcBorders>
            <w:shd w:val="clear" w:color="auto" w:fill="auto"/>
            <w:noWrap/>
            <w:hideMark/>
          </w:tcPr>
          <w:p w14:paraId="27CFEC78" w14:textId="5E6F834D"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DC7F48">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6EAF8990" w14:textId="770CFF4E"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C7F48">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5F3D4E93" w14:textId="48AB4779"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C7F48">
              <w:rPr>
                <w:rFonts w:ascii="Calibri" w:eastAsia="Times New Roman" w:hAnsi="Calibri" w:cs="Times New Roman"/>
                <w:b/>
                <w:bCs/>
                <w:i/>
                <w:iCs/>
                <w:color w:val="FFFFFF" w:themeColor="background1"/>
                <w:sz w:val="18"/>
                <w:szCs w:val="18"/>
                <w:lang w:eastAsia="en-AU"/>
              </w:rPr>
              <w:t>—</w:t>
            </w:r>
          </w:p>
        </w:tc>
        <w:tc>
          <w:tcPr>
            <w:tcW w:w="992" w:type="dxa"/>
            <w:tcBorders>
              <w:top w:val="nil"/>
              <w:left w:val="nil"/>
              <w:bottom w:val="nil"/>
              <w:right w:val="nil"/>
            </w:tcBorders>
            <w:shd w:val="clear" w:color="auto" w:fill="auto"/>
            <w:noWrap/>
            <w:hideMark/>
          </w:tcPr>
          <w:p w14:paraId="4DFC4195" w14:textId="6DE1DBC6"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C7F48">
              <w:rPr>
                <w:rFonts w:ascii="Calibri" w:eastAsia="Times New Roman" w:hAnsi="Calibri" w:cs="Times New Roman"/>
                <w:b/>
                <w:bCs/>
                <w:i/>
                <w:iCs/>
                <w:color w:val="FFFFFF" w:themeColor="background1"/>
                <w:sz w:val="18"/>
                <w:szCs w:val="18"/>
                <w:lang w:eastAsia="en-AU"/>
              </w:rPr>
              <w:t>—</w:t>
            </w:r>
          </w:p>
        </w:tc>
        <w:tc>
          <w:tcPr>
            <w:tcW w:w="1276" w:type="dxa"/>
            <w:tcBorders>
              <w:top w:val="nil"/>
              <w:left w:val="nil"/>
              <w:bottom w:val="nil"/>
              <w:right w:val="nil"/>
            </w:tcBorders>
            <w:shd w:val="clear" w:color="auto" w:fill="auto"/>
            <w:noWrap/>
            <w:hideMark/>
          </w:tcPr>
          <w:p w14:paraId="616CC559" w14:textId="0CB92D93"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DC7F48">
              <w:rPr>
                <w:rFonts w:ascii="Calibri" w:eastAsia="Times New Roman" w:hAnsi="Calibri" w:cs="Times New Roman"/>
                <w:b/>
                <w:bCs/>
                <w:i/>
                <w:iCs/>
                <w:color w:val="FFFFFF" w:themeColor="background1"/>
                <w:sz w:val="18"/>
                <w:szCs w:val="18"/>
                <w:lang w:eastAsia="en-AU"/>
              </w:rPr>
              <w:t>—</w:t>
            </w:r>
          </w:p>
        </w:tc>
      </w:tr>
      <w:tr w:rsidR="00143D89" w:rsidRPr="00F71A22" w14:paraId="73B8578E" w14:textId="77777777" w:rsidTr="001F4507">
        <w:trPr>
          <w:trHeight w:val="283"/>
        </w:trPr>
        <w:tc>
          <w:tcPr>
            <w:tcW w:w="2127" w:type="dxa"/>
            <w:tcBorders>
              <w:top w:val="nil"/>
              <w:left w:val="nil"/>
              <w:bottom w:val="nil"/>
              <w:right w:val="nil"/>
            </w:tcBorders>
            <w:shd w:val="clear" w:color="auto" w:fill="auto"/>
            <w:noWrap/>
            <w:vAlign w:val="bottom"/>
            <w:hideMark/>
          </w:tcPr>
          <w:p w14:paraId="1E7FFBCC"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701" w:type="dxa"/>
            <w:tcBorders>
              <w:top w:val="nil"/>
              <w:left w:val="nil"/>
              <w:bottom w:val="nil"/>
              <w:right w:val="nil"/>
            </w:tcBorders>
            <w:shd w:val="clear" w:color="auto" w:fill="auto"/>
            <w:noWrap/>
            <w:vAlign w:val="bottom"/>
            <w:hideMark/>
          </w:tcPr>
          <w:p w14:paraId="2EEB733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104 </w:t>
            </w:r>
          </w:p>
        </w:tc>
        <w:tc>
          <w:tcPr>
            <w:tcW w:w="992" w:type="dxa"/>
            <w:tcBorders>
              <w:top w:val="nil"/>
              <w:left w:val="nil"/>
              <w:bottom w:val="nil"/>
              <w:right w:val="nil"/>
            </w:tcBorders>
            <w:shd w:val="clear" w:color="auto" w:fill="auto"/>
            <w:noWrap/>
            <w:vAlign w:val="bottom"/>
            <w:hideMark/>
          </w:tcPr>
          <w:p w14:paraId="19B0B27F" w14:textId="183F6C10"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 </w:t>
            </w:r>
          </w:p>
        </w:tc>
        <w:tc>
          <w:tcPr>
            <w:tcW w:w="1701" w:type="dxa"/>
            <w:tcBorders>
              <w:top w:val="nil"/>
              <w:left w:val="nil"/>
              <w:bottom w:val="nil"/>
              <w:right w:val="nil"/>
            </w:tcBorders>
            <w:shd w:val="clear" w:color="auto" w:fill="auto"/>
            <w:noWrap/>
            <w:vAlign w:val="bottom"/>
            <w:hideMark/>
          </w:tcPr>
          <w:p w14:paraId="2ABC629E" w14:textId="512461ED"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85 </w:t>
            </w:r>
          </w:p>
        </w:tc>
        <w:tc>
          <w:tcPr>
            <w:tcW w:w="992" w:type="dxa"/>
            <w:tcBorders>
              <w:top w:val="nil"/>
              <w:left w:val="nil"/>
              <w:bottom w:val="nil"/>
              <w:right w:val="nil"/>
            </w:tcBorders>
            <w:shd w:val="clear" w:color="auto" w:fill="auto"/>
            <w:noWrap/>
            <w:vAlign w:val="bottom"/>
            <w:hideMark/>
          </w:tcPr>
          <w:p w14:paraId="18200EE2" w14:textId="1F69F731"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1.4 </w:t>
            </w:r>
          </w:p>
        </w:tc>
        <w:tc>
          <w:tcPr>
            <w:tcW w:w="1276" w:type="dxa"/>
            <w:tcBorders>
              <w:top w:val="nil"/>
              <w:left w:val="nil"/>
              <w:bottom w:val="nil"/>
              <w:right w:val="nil"/>
            </w:tcBorders>
            <w:shd w:val="clear" w:color="auto" w:fill="auto"/>
            <w:noWrap/>
            <w:vAlign w:val="bottom"/>
            <w:hideMark/>
          </w:tcPr>
          <w:p w14:paraId="20E7B28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0.3</w:t>
            </w:r>
          </w:p>
        </w:tc>
      </w:tr>
      <w:tr w:rsidR="00143D89" w:rsidRPr="00F71A22" w14:paraId="65798824" w14:textId="77777777" w:rsidTr="001F4507">
        <w:trPr>
          <w:trHeight w:val="283"/>
        </w:trPr>
        <w:tc>
          <w:tcPr>
            <w:tcW w:w="2127" w:type="dxa"/>
            <w:tcBorders>
              <w:top w:val="nil"/>
              <w:left w:val="nil"/>
              <w:bottom w:val="nil"/>
              <w:right w:val="nil"/>
            </w:tcBorders>
            <w:shd w:val="clear" w:color="auto" w:fill="auto"/>
            <w:noWrap/>
            <w:vAlign w:val="bottom"/>
            <w:hideMark/>
          </w:tcPr>
          <w:p w14:paraId="0203C81E"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701" w:type="dxa"/>
            <w:tcBorders>
              <w:top w:val="nil"/>
              <w:left w:val="nil"/>
              <w:bottom w:val="nil"/>
              <w:right w:val="nil"/>
            </w:tcBorders>
            <w:shd w:val="clear" w:color="auto" w:fill="auto"/>
            <w:noWrap/>
            <w:vAlign w:val="bottom"/>
            <w:hideMark/>
          </w:tcPr>
          <w:p w14:paraId="6620DF2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1,071 </w:t>
            </w:r>
          </w:p>
        </w:tc>
        <w:tc>
          <w:tcPr>
            <w:tcW w:w="992" w:type="dxa"/>
            <w:tcBorders>
              <w:top w:val="nil"/>
              <w:left w:val="nil"/>
              <w:bottom w:val="nil"/>
              <w:right w:val="nil"/>
            </w:tcBorders>
            <w:shd w:val="clear" w:color="auto" w:fill="auto"/>
            <w:noWrap/>
            <w:vAlign w:val="bottom"/>
            <w:hideMark/>
          </w:tcPr>
          <w:p w14:paraId="161E5E4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21.7 </w:t>
            </w:r>
          </w:p>
        </w:tc>
        <w:tc>
          <w:tcPr>
            <w:tcW w:w="1701" w:type="dxa"/>
            <w:tcBorders>
              <w:top w:val="nil"/>
              <w:left w:val="nil"/>
              <w:bottom w:val="nil"/>
              <w:right w:val="nil"/>
            </w:tcBorders>
            <w:shd w:val="clear" w:color="auto" w:fill="auto"/>
            <w:noWrap/>
            <w:vAlign w:val="bottom"/>
            <w:hideMark/>
          </w:tcPr>
          <w:p w14:paraId="2613724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927 </w:t>
            </w:r>
          </w:p>
        </w:tc>
        <w:tc>
          <w:tcPr>
            <w:tcW w:w="992" w:type="dxa"/>
            <w:tcBorders>
              <w:top w:val="nil"/>
              <w:left w:val="nil"/>
              <w:bottom w:val="nil"/>
              <w:right w:val="nil"/>
            </w:tcBorders>
            <w:shd w:val="clear" w:color="auto" w:fill="auto"/>
            <w:noWrap/>
            <w:vAlign w:val="bottom"/>
            <w:hideMark/>
          </w:tcPr>
          <w:p w14:paraId="531304C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18.7 </w:t>
            </w:r>
          </w:p>
        </w:tc>
        <w:tc>
          <w:tcPr>
            <w:tcW w:w="1276" w:type="dxa"/>
            <w:tcBorders>
              <w:top w:val="nil"/>
              <w:left w:val="nil"/>
              <w:bottom w:val="nil"/>
              <w:right w:val="nil"/>
            </w:tcBorders>
            <w:shd w:val="clear" w:color="auto" w:fill="auto"/>
            <w:noWrap/>
            <w:vAlign w:val="bottom"/>
            <w:hideMark/>
          </w:tcPr>
          <w:p w14:paraId="1BAA0B2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2.9*</w:t>
            </w:r>
          </w:p>
        </w:tc>
      </w:tr>
      <w:tr w:rsidR="00143D89" w:rsidRPr="00F71A22" w14:paraId="5DE980BB" w14:textId="77777777" w:rsidTr="001F4507">
        <w:trPr>
          <w:trHeight w:val="283"/>
        </w:trPr>
        <w:tc>
          <w:tcPr>
            <w:tcW w:w="2127" w:type="dxa"/>
            <w:tcBorders>
              <w:top w:val="nil"/>
              <w:left w:val="nil"/>
              <w:bottom w:val="single" w:sz="8" w:space="0" w:color="auto"/>
              <w:right w:val="nil"/>
            </w:tcBorders>
            <w:shd w:val="clear" w:color="auto" w:fill="auto"/>
            <w:noWrap/>
            <w:vAlign w:val="bottom"/>
            <w:hideMark/>
          </w:tcPr>
          <w:p w14:paraId="0268ABCB"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701" w:type="dxa"/>
            <w:tcBorders>
              <w:top w:val="nil"/>
              <w:left w:val="nil"/>
              <w:bottom w:val="single" w:sz="8" w:space="0" w:color="auto"/>
              <w:right w:val="nil"/>
            </w:tcBorders>
            <w:shd w:val="clear" w:color="auto" w:fill="auto"/>
            <w:noWrap/>
            <w:vAlign w:val="bottom"/>
            <w:hideMark/>
          </w:tcPr>
          <w:p w14:paraId="04932EA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1,635 </w:t>
            </w:r>
          </w:p>
        </w:tc>
        <w:tc>
          <w:tcPr>
            <w:tcW w:w="992" w:type="dxa"/>
            <w:tcBorders>
              <w:top w:val="nil"/>
              <w:left w:val="nil"/>
              <w:bottom w:val="single" w:sz="8" w:space="0" w:color="auto"/>
              <w:right w:val="nil"/>
            </w:tcBorders>
            <w:shd w:val="clear" w:color="auto" w:fill="auto"/>
            <w:noWrap/>
            <w:vAlign w:val="bottom"/>
            <w:hideMark/>
          </w:tcPr>
          <w:p w14:paraId="1D70FD4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47.7 </w:t>
            </w:r>
          </w:p>
        </w:tc>
        <w:tc>
          <w:tcPr>
            <w:tcW w:w="1701" w:type="dxa"/>
            <w:tcBorders>
              <w:top w:val="nil"/>
              <w:left w:val="nil"/>
              <w:bottom w:val="single" w:sz="8" w:space="0" w:color="auto"/>
              <w:right w:val="nil"/>
            </w:tcBorders>
            <w:shd w:val="clear" w:color="auto" w:fill="auto"/>
            <w:noWrap/>
            <w:vAlign w:val="bottom"/>
            <w:hideMark/>
          </w:tcPr>
          <w:p w14:paraId="12B18A5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1,657 </w:t>
            </w:r>
          </w:p>
        </w:tc>
        <w:tc>
          <w:tcPr>
            <w:tcW w:w="992" w:type="dxa"/>
            <w:tcBorders>
              <w:top w:val="nil"/>
              <w:left w:val="nil"/>
              <w:bottom w:val="single" w:sz="8" w:space="0" w:color="auto"/>
              <w:right w:val="nil"/>
            </w:tcBorders>
            <w:shd w:val="clear" w:color="auto" w:fill="auto"/>
            <w:noWrap/>
            <w:vAlign w:val="bottom"/>
            <w:hideMark/>
          </w:tcPr>
          <w:p w14:paraId="4015ECD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48.5 </w:t>
            </w:r>
          </w:p>
        </w:tc>
        <w:tc>
          <w:tcPr>
            <w:tcW w:w="1276" w:type="dxa"/>
            <w:tcBorders>
              <w:top w:val="nil"/>
              <w:left w:val="nil"/>
              <w:bottom w:val="single" w:sz="8" w:space="0" w:color="auto"/>
              <w:right w:val="nil"/>
            </w:tcBorders>
            <w:shd w:val="clear" w:color="auto" w:fill="auto"/>
            <w:noWrap/>
            <w:vAlign w:val="bottom"/>
            <w:hideMark/>
          </w:tcPr>
          <w:p w14:paraId="242C98A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-0.8</w:t>
            </w:r>
          </w:p>
        </w:tc>
      </w:tr>
    </w:tbl>
    <w:p w14:paraId="2C8822DC" w14:textId="3DD0E41E" w:rsidR="00143D89" w:rsidRPr="00F71A22" w:rsidRDefault="00143D89" w:rsidP="001F4507">
      <w:pPr>
        <w:pStyle w:val="Source"/>
        <w:contextualSpacing/>
      </w:pPr>
      <w:r w:rsidRPr="00F71A22">
        <w:rPr>
          <w:b/>
          <w:bCs/>
        </w:rPr>
        <w:t>Source</w:t>
      </w:r>
      <w:r w:rsidRPr="00F71A22">
        <w:t xml:space="preserve">: DESE </w:t>
      </w:r>
      <w:r w:rsidR="00DA1E0C">
        <w:t>a</w:t>
      </w:r>
      <w:r w:rsidRPr="00F71A22">
        <w:t xml:space="preserve">dministrative </w:t>
      </w:r>
      <w:r w:rsidR="00DA1E0C">
        <w:t>d</w:t>
      </w:r>
      <w:r w:rsidRPr="00F71A22">
        <w:t>ata</w:t>
      </w:r>
      <w:r w:rsidR="00281087">
        <w:br/>
      </w:r>
      <w:r w:rsidRPr="00F71A22">
        <w:rPr>
          <w:b/>
          <w:bCs/>
        </w:rPr>
        <w:t>Note</w:t>
      </w:r>
      <w:r w:rsidRPr="00F71A22">
        <w:t>:</w:t>
      </w:r>
      <w:r w:rsidR="00281087">
        <w:br/>
      </w:r>
      <w:r w:rsidRPr="00F71A22">
        <w:t>* indicates statistically significant difference between groups at p &lt; 0.05</w:t>
      </w:r>
      <w:r w:rsidR="00281087">
        <w:br/>
      </w:r>
      <w:r w:rsidRPr="00F71A22">
        <w:t>## indicates values lower than 20</w:t>
      </w:r>
    </w:p>
    <w:p w14:paraId="7DAE102F" w14:textId="77777777" w:rsidR="00143D89" w:rsidRPr="00F71A22" w:rsidRDefault="00143D89" w:rsidP="00143D89">
      <w:pPr>
        <w:spacing w:before="0" w:after="160" w:line="259" w:lineRule="auto"/>
        <w:rPr>
          <w:rFonts w:ascii="Calibri" w:eastAsiaTheme="majorEastAsia" w:hAnsi="Calibri" w:cstheme="majorBidi"/>
          <w:color w:val="008276"/>
          <w:sz w:val="28"/>
          <w:szCs w:val="24"/>
        </w:rPr>
      </w:pPr>
      <w:bookmarkStart w:id="264" w:name="_Toc47520167"/>
      <w:bookmarkStart w:id="265" w:name="_Toc49871077"/>
      <w:r w:rsidRPr="00F71A22">
        <w:br w:type="page"/>
      </w:r>
    </w:p>
    <w:p w14:paraId="19AFD91B" w14:textId="77777777" w:rsidR="00143D89" w:rsidRPr="00F71A22" w:rsidRDefault="00143D89" w:rsidP="00143D89">
      <w:pPr>
        <w:pStyle w:val="Heading3"/>
      </w:pPr>
      <w:bookmarkStart w:id="266" w:name="_Toc67042657"/>
      <w:r w:rsidRPr="00F71A22">
        <w:lastRenderedPageBreak/>
        <w:t>CALD</w:t>
      </w:r>
      <w:bookmarkEnd w:id="264"/>
      <w:bookmarkEnd w:id="265"/>
      <w:bookmarkEnd w:id="266"/>
    </w:p>
    <w:p w14:paraId="0A28A85E" w14:textId="462F3020" w:rsidR="00143D89" w:rsidRPr="001F4507" w:rsidRDefault="00143D89" w:rsidP="0006562C">
      <w:pPr>
        <w:pStyle w:val="TableCaption"/>
      </w:pPr>
      <w:bookmarkStart w:id="267" w:name="_Toc51144062"/>
      <w:bookmarkStart w:id="268" w:name="_Toc67042671"/>
      <w:r w:rsidRPr="001F4507">
        <w:t>Table E5 Exit by CALD status</w:t>
      </w:r>
      <w:bookmarkEnd w:id="267"/>
      <w:bookmarkEnd w:id="268"/>
    </w:p>
    <w:tbl>
      <w:tblPr>
        <w:tblW w:w="9015" w:type="dxa"/>
        <w:tblLook w:val="04A0" w:firstRow="1" w:lastRow="0" w:firstColumn="1" w:lastColumn="0" w:noHBand="0" w:noVBand="1"/>
      </w:tblPr>
      <w:tblGrid>
        <w:gridCol w:w="1982"/>
        <w:gridCol w:w="1155"/>
        <w:gridCol w:w="707"/>
        <w:gridCol w:w="886"/>
        <w:gridCol w:w="1773"/>
        <w:gridCol w:w="1035"/>
        <w:gridCol w:w="1477"/>
      </w:tblGrid>
      <w:tr w:rsidR="00143D89" w:rsidRPr="00F71A22" w14:paraId="1EEFE5CA" w14:textId="77777777" w:rsidTr="001F4507">
        <w:trPr>
          <w:cantSplit/>
          <w:trHeight w:val="592"/>
          <w:tblHeader/>
        </w:trPr>
        <w:tc>
          <w:tcPr>
            <w:tcW w:w="1900" w:type="dxa"/>
            <w:tcBorders>
              <w:top w:val="single" w:sz="4" w:space="0" w:color="auto"/>
              <w:left w:val="nil"/>
              <w:bottom w:val="single" w:sz="8" w:space="0" w:color="auto"/>
              <w:right w:val="nil"/>
            </w:tcBorders>
            <w:shd w:val="clear" w:color="auto" w:fill="002D3F"/>
            <w:vAlign w:val="center"/>
            <w:hideMark/>
          </w:tcPr>
          <w:p w14:paraId="54CFE388"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Exits</w:t>
            </w:r>
          </w:p>
        </w:tc>
        <w:tc>
          <w:tcPr>
            <w:tcW w:w="1786" w:type="dxa"/>
            <w:gridSpan w:val="2"/>
            <w:tcBorders>
              <w:top w:val="single" w:sz="4" w:space="0" w:color="auto"/>
              <w:left w:val="nil"/>
              <w:bottom w:val="single" w:sz="8" w:space="0" w:color="auto"/>
              <w:right w:val="nil"/>
            </w:tcBorders>
            <w:shd w:val="clear" w:color="auto" w:fill="002D3F"/>
            <w:vAlign w:val="center"/>
            <w:hideMark/>
          </w:tcPr>
          <w:p w14:paraId="4658B9E3"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OEST participants</w:t>
            </w:r>
          </w:p>
        </w:tc>
        <w:tc>
          <w:tcPr>
            <w:tcW w:w="850" w:type="dxa"/>
            <w:tcBorders>
              <w:top w:val="single" w:sz="4" w:space="0" w:color="auto"/>
              <w:left w:val="nil"/>
              <w:bottom w:val="single" w:sz="8" w:space="0" w:color="auto"/>
              <w:right w:val="nil"/>
            </w:tcBorders>
            <w:shd w:val="clear" w:color="auto" w:fill="002D3F"/>
            <w:vAlign w:val="center"/>
            <w:hideMark/>
          </w:tcPr>
          <w:p w14:paraId="54E01F5E"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701" w:type="dxa"/>
            <w:tcBorders>
              <w:top w:val="single" w:sz="4" w:space="0" w:color="auto"/>
              <w:left w:val="nil"/>
              <w:bottom w:val="single" w:sz="8" w:space="0" w:color="auto"/>
              <w:right w:val="nil"/>
            </w:tcBorders>
            <w:shd w:val="clear" w:color="auto" w:fill="002D3F"/>
            <w:vAlign w:val="center"/>
            <w:hideMark/>
          </w:tcPr>
          <w:p w14:paraId="35203430"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comparison group</w:t>
            </w:r>
          </w:p>
        </w:tc>
        <w:tc>
          <w:tcPr>
            <w:tcW w:w="993" w:type="dxa"/>
            <w:tcBorders>
              <w:top w:val="single" w:sz="4" w:space="0" w:color="auto"/>
              <w:left w:val="nil"/>
              <w:bottom w:val="single" w:sz="8" w:space="0" w:color="auto"/>
              <w:right w:val="nil"/>
            </w:tcBorders>
            <w:shd w:val="clear" w:color="auto" w:fill="002D3F"/>
            <w:vAlign w:val="center"/>
            <w:hideMark/>
          </w:tcPr>
          <w:p w14:paraId="2F7EE384"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417" w:type="dxa"/>
            <w:tcBorders>
              <w:top w:val="single" w:sz="4" w:space="0" w:color="auto"/>
              <w:left w:val="nil"/>
              <w:bottom w:val="single" w:sz="8" w:space="0" w:color="auto"/>
              <w:right w:val="nil"/>
            </w:tcBorders>
            <w:shd w:val="clear" w:color="auto" w:fill="002D3F"/>
            <w:vAlign w:val="center"/>
            <w:hideMark/>
          </w:tcPr>
          <w:p w14:paraId="31EAFCC5"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 cent difference</w:t>
            </w:r>
          </w:p>
        </w:tc>
      </w:tr>
      <w:tr w:rsidR="006B3DCB" w:rsidRPr="00F71A22" w14:paraId="6B86D5E1" w14:textId="77777777" w:rsidTr="001F4507">
        <w:trPr>
          <w:trHeight w:val="283"/>
        </w:trPr>
        <w:tc>
          <w:tcPr>
            <w:tcW w:w="1900" w:type="dxa"/>
            <w:tcBorders>
              <w:top w:val="nil"/>
              <w:left w:val="nil"/>
              <w:bottom w:val="nil"/>
              <w:right w:val="nil"/>
            </w:tcBorders>
            <w:shd w:val="clear" w:color="auto" w:fill="auto"/>
            <w:noWrap/>
            <w:vAlign w:val="bottom"/>
          </w:tcPr>
          <w:p w14:paraId="7575C26B" w14:textId="6AF6F339"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income support</w:t>
            </w:r>
          </w:p>
        </w:tc>
        <w:tc>
          <w:tcPr>
            <w:tcW w:w="1108" w:type="dxa"/>
            <w:tcBorders>
              <w:top w:val="nil"/>
              <w:left w:val="nil"/>
              <w:bottom w:val="nil"/>
              <w:right w:val="nil"/>
            </w:tcBorders>
            <w:shd w:val="clear" w:color="auto" w:fill="auto"/>
            <w:noWrap/>
            <w:vAlign w:val="bottom"/>
          </w:tcPr>
          <w:p w14:paraId="41B0853F" w14:textId="77371BBB"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1F4507">
              <w:rPr>
                <w:rFonts w:ascii="Calibri" w:eastAsia="Times New Roman" w:hAnsi="Calibri" w:cs="Times New Roman"/>
                <w:b/>
                <w:bCs/>
                <w:i/>
                <w:iCs/>
                <w:color w:val="FFFFFF" w:themeColor="background1"/>
                <w:sz w:val="18"/>
                <w:szCs w:val="18"/>
                <w:lang w:eastAsia="en-AU"/>
              </w:rPr>
              <w:t>—</w:t>
            </w:r>
          </w:p>
        </w:tc>
        <w:tc>
          <w:tcPr>
            <w:tcW w:w="1528" w:type="dxa"/>
            <w:gridSpan w:val="2"/>
            <w:tcBorders>
              <w:top w:val="nil"/>
              <w:left w:val="nil"/>
              <w:bottom w:val="nil"/>
              <w:right w:val="nil"/>
            </w:tcBorders>
            <w:shd w:val="clear" w:color="auto" w:fill="auto"/>
            <w:noWrap/>
          </w:tcPr>
          <w:p w14:paraId="2BF49DD3" w14:textId="0751EC31"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A2A2C">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62577C9F" w14:textId="6CDEB943"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A2A2C">
              <w:rPr>
                <w:rFonts w:ascii="Calibri" w:eastAsia="Times New Roman" w:hAnsi="Calibri" w:cs="Times New Roman"/>
                <w:b/>
                <w:bCs/>
                <w:i/>
                <w:iCs/>
                <w:color w:val="FFFFFF" w:themeColor="background1"/>
                <w:sz w:val="18"/>
                <w:szCs w:val="18"/>
                <w:lang w:eastAsia="en-AU"/>
              </w:rPr>
              <w:t>—</w:t>
            </w:r>
          </w:p>
        </w:tc>
        <w:tc>
          <w:tcPr>
            <w:tcW w:w="993" w:type="dxa"/>
            <w:tcBorders>
              <w:top w:val="nil"/>
              <w:left w:val="nil"/>
              <w:bottom w:val="nil"/>
              <w:right w:val="nil"/>
            </w:tcBorders>
            <w:shd w:val="clear" w:color="auto" w:fill="auto"/>
            <w:noWrap/>
          </w:tcPr>
          <w:p w14:paraId="5154B8DA" w14:textId="377638A6"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A2A2C">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tcPr>
          <w:p w14:paraId="3A445BE9" w14:textId="4D681524"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A2A2C">
              <w:rPr>
                <w:rFonts w:ascii="Calibri" w:eastAsia="Times New Roman" w:hAnsi="Calibri" w:cs="Times New Roman"/>
                <w:b/>
                <w:bCs/>
                <w:i/>
                <w:iCs/>
                <w:color w:val="FFFFFF" w:themeColor="background1"/>
                <w:sz w:val="18"/>
                <w:szCs w:val="18"/>
                <w:lang w:eastAsia="en-AU"/>
              </w:rPr>
              <w:t>—</w:t>
            </w:r>
          </w:p>
        </w:tc>
      </w:tr>
      <w:tr w:rsidR="006B3DCB" w:rsidRPr="00F71A22" w14:paraId="2C4B8F6A" w14:textId="77777777" w:rsidTr="001F4507">
        <w:trPr>
          <w:trHeight w:val="283"/>
        </w:trPr>
        <w:tc>
          <w:tcPr>
            <w:tcW w:w="1900" w:type="dxa"/>
            <w:tcBorders>
              <w:top w:val="nil"/>
              <w:left w:val="nil"/>
              <w:bottom w:val="nil"/>
              <w:right w:val="nil"/>
            </w:tcBorders>
            <w:shd w:val="clear" w:color="auto" w:fill="auto"/>
            <w:noWrap/>
            <w:vAlign w:val="bottom"/>
            <w:hideMark/>
          </w:tcPr>
          <w:p w14:paraId="58ED9A71" w14:textId="5E93CC8D"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CALD</w:t>
            </w:r>
          </w:p>
        </w:tc>
        <w:tc>
          <w:tcPr>
            <w:tcW w:w="1108" w:type="dxa"/>
            <w:tcBorders>
              <w:top w:val="nil"/>
              <w:left w:val="nil"/>
              <w:bottom w:val="nil"/>
              <w:right w:val="nil"/>
            </w:tcBorders>
            <w:shd w:val="clear" w:color="auto" w:fill="auto"/>
            <w:noWrap/>
            <w:hideMark/>
          </w:tcPr>
          <w:p w14:paraId="2E4AC3CF" w14:textId="1D70D6E9"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CD09D9">
              <w:rPr>
                <w:rFonts w:ascii="Calibri" w:eastAsia="Times New Roman" w:hAnsi="Calibri" w:cs="Times New Roman"/>
                <w:b/>
                <w:bCs/>
                <w:i/>
                <w:iCs/>
                <w:color w:val="FFFFFF" w:themeColor="background1"/>
                <w:sz w:val="18"/>
                <w:szCs w:val="18"/>
                <w:lang w:eastAsia="en-AU"/>
              </w:rPr>
              <w:t>—</w:t>
            </w:r>
          </w:p>
        </w:tc>
        <w:tc>
          <w:tcPr>
            <w:tcW w:w="1528" w:type="dxa"/>
            <w:gridSpan w:val="2"/>
            <w:tcBorders>
              <w:top w:val="nil"/>
              <w:left w:val="nil"/>
              <w:bottom w:val="nil"/>
              <w:right w:val="nil"/>
            </w:tcBorders>
            <w:shd w:val="clear" w:color="auto" w:fill="auto"/>
            <w:noWrap/>
            <w:hideMark/>
          </w:tcPr>
          <w:p w14:paraId="05469F1D" w14:textId="0CF157B4"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D09D9">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0152D6E2" w14:textId="21BE4A91"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D09D9">
              <w:rPr>
                <w:rFonts w:ascii="Calibri" w:eastAsia="Times New Roman" w:hAnsi="Calibri" w:cs="Times New Roman"/>
                <w:b/>
                <w:bCs/>
                <w:i/>
                <w:iCs/>
                <w:color w:val="FFFFFF" w:themeColor="background1"/>
                <w:sz w:val="18"/>
                <w:szCs w:val="18"/>
                <w:lang w:eastAsia="en-AU"/>
              </w:rPr>
              <w:t>—</w:t>
            </w:r>
          </w:p>
        </w:tc>
        <w:tc>
          <w:tcPr>
            <w:tcW w:w="993" w:type="dxa"/>
            <w:tcBorders>
              <w:top w:val="nil"/>
              <w:left w:val="nil"/>
              <w:bottom w:val="nil"/>
              <w:right w:val="nil"/>
            </w:tcBorders>
            <w:shd w:val="clear" w:color="auto" w:fill="auto"/>
            <w:noWrap/>
            <w:hideMark/>
          </w:tcPr>
          <w:p w14:paraId="620A4A2E" w14:textId="1C3F5CAB"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D09D9">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3FCCBBC0" w14:textId="45D2C43E"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D09D9">
              <w:rPr>
                <w:rFonts w:ascii="Calibri" w:eastAsia="Times New Roman" w:hAnsi="Calibri" w:cs="Times New Roman"/>
                <w:b/>
                <w:bCs/>
                <w:i/>
                <w:iCs/>
                <w:color w:val="FFFFFF" w:themeColor="background1"/>
                <w:sz w:val="18"/>
                <w:szCs w:val="18"/>
                <w:lang w:eastAsia="en-AU"/>
              </w:rPr>
              <w:t>—</w:t>
            </w:r>
          </w:p>
        </w:tc>
      </w:tr>
      <w:tr w:rsidR="00143D89" w:rsidRPr="00F71A22" w14:paraId="72E2A10A" w14:textId="77777777" w:rsidTr="001F4507">
        <w:trPr>
          <w:trHeight w:val="283"/>
        </w:trPr>
        <w:tc>
          <w:tcPr>
            <w:tcW w:w="1900" w:type="dxa"/>
            <w:tcBorders>
              <w:top w:val="nil"/>
              <w:left w:val="nil"/>
              <w:bottom w:val="nil"/>
              <w:right w:val="nil"/>
            </w:tcBorders>
            <w:shd w:val="clear" w:color="auto" w:fill="auto"/>
            <w:noWrap/>
            <w:vAlign w:val="bottom"/>
            <w:hideMark/>
          </w:tcPr>
          <w:p w14:paraId="69C9A71A"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108" w:type="dxa"/>
            <w:tcBorders>
              <w:top w:val="nil"/>
              <w:left w:val="nil"/>
              <w:bottom w:val="nil"/>
              <w:right w:val="nil"/>
            </w:tcBorders>
            <w:shd w:val="clear" w:color="auto" w:fill="auto"/>
            <w:noWrap/>
            <w:vAlign w:val="bottom"/>
            <w:hideMark/>
          </w:tcPr>
          <w:p w14:paraId="781C893A" w14:textId="24532C83"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68 </w:t>
            </w:r>
          </w:p>
        </w:tc>
        <w:tc>
          <w:tcPr>
            <w:tcW w:w="1528" w:type="dxa"/>
            <w:gridSpan w:val="2"/>
            <w:tcBorders>
              <w:top w:val="nil"/>
              <w:left w:val="nil"/>
              <w:bottom w:val="nil"/>
              <w:right w:val="nil"/>
            </w:tcBorders>
            <w:shd w:val="clear" w:color="auto" w:fill="auto"/>
            <w:noWrap/>
            <w:vAlign w:val="bottom"/>
            <w:hideMark/>
          </w:tcPr>
          <w:p w14:paraId="79C96EC7" w14:textId="05551269"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8.5 </w:t>
            </w:r>
          </w:p>
        </w:tc>
        <w:tc>
          <w:tcPr>
            <w:tcW w:w="1701" w:type="dxa"/>
            <w:tcBorders>
              <w:top w:val="nil"/>
              <w:left w:val="nil"/>
              <w:bottom w:val="nil"/>
              <w:right w:val="nil"/>
            </w:tcBorders>
            <w:shd w:val="clear" w:color="auto" w:fill="auto"/>
            <w:noWrap/>
            <w:vAlign w:val="bottom"/>
            <w:hideMark/>
          </w:tcPr>
          <w:p w14:paraId="3FABBA1C" w14:textId="0CA25552"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54 </w:t>
            </w:r>
          </w:p>
        </w:tc>
        <w:tc>
          <w:tcPr>
            <w:tcW w:w="993" w:type="dxa"/>
            <w:tcBorders>
              <w:top w:val="nil"/>
              <w:left w:val="nil"/>
              <w:bottom w:val="nil"/>
              <w:right w:val="nil"/>
            </w:tcBorders>
            <w:shd w:val="clear" w:color="auto" w:fill="auto"/>
            <w:noWrap/>
            <w:vAlign w:val="bottom"/>
            <w:hideMark/>
          </w:tcPr>
          <w:p w14:paraId="3A0F9AB7" w14:textId="58A6A019"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6.7 </w:t>
            </w:r>
          </w:p>
        </w:tc>
        <w:tc>
          <w:tcPr>
            <w:tcW w:w="1417" w:type="dxa"/>
            <w:tcBorders>
              <w:top w:val="nil"/>
              <w:left w:val="nil"/>
              <w:bottom w:val="nil"/>
              <w:right w:val="nil"/>
            </w:tcBorders>
            <w:shd w:val="clear" w:color="auto" w:fill="auto"/>
            <w:noWrap/>
            <w:vAlign w:val="bottom"/>
            <w:hideMark/>
          </w:tcPr>
          <w:p w14:paraId="03AF307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1.7</w:t>
            </w:r>
          </w:p>
        </w:tc>
      </w:tr>
      <w:tr w:rsidR="00143D89" w:rsidRPr="00F71A22" w14:paraId="21CAF698" w14:textId="77777777" w:rsidTr="001F4507">
        <w:trPr>
          <w:trHeight w:val="283"/>
        </w:trPr>
        <w:tc>
          <w:tcPr>
            <w:tcW w:w="1900" w:type="dxa"/>
            <w:tcBorders>
              <w:top w:val="nil"/>
              <w:left w:val="nil"/>
              <w:bottom w:val="nil"/>
              <w:right w:val="nil"/>
            </w:tcBorders>
            <w:shd w:val="clear" w:color="auto" w:fill="auto"/>
            <w:noWrap/>
            <w:vAlign w:val="bottom"/>
            <w:hideMark/>
          </w:tcPr>
          <w:p w14:paraId="7B48E0BC"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108" w:type="dxa"/>
            <w:tcBorders>
              <w:top w:val="nil"/>
              <w:left w:val="nil"/>
              <w:bottom w:val="nil"/>
              <w:right w:val="nil"/>
            </w:tcBorders>
            <w:shd w:val="clear" w:color="auto" w:fill="auto"/>
            <w:noWrap/>
            <w:vAlign w:val="bottom"/>
            <w:hideMark/>
          </w:tcPr>
          <w:p w14:paraId="35E27FE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200 </w:t>
            </w:r>
          </w:p>
        </w:tc>
        <w:tc>
          <w:tcPr>
            <w:tcW w:w="1528" w:type="dxa"/>
            <w:gridSpan w:val="2"/>
            <w:tcBorders>
              <w:top w:val="nil"/>
              <w:left w:val="nil"/>
              <w:bottom w:val="nil"/>
              <w:right w:val="nil"/>
            </w:tcBorders>
            <w:shd w:val="clear" w:color="auto" w:fill="auto"/>
            <w:noWrap/>
            <w:vAlign w:val="bottom"/>
            <w:hideMark/>
          </w:tcPr>
          <w:p w14:paraId="4D51F1F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31.3 </w:t>
            </w:r>
          </w:p>
        </w:tc>
        <w:tc>
          <w:tcPr>
            <w:tcW w:w="1701" w:type="dxa"/>
            <w:tcBorders>
              <w:top w:val="nil"/>
              <w:left w:val="nil"/>
              <w:bottom w:val="nil"/>
              <w:right w:val="nil"/>
            </w:tcBorders>
            <w:shd w:val="clear" w:color="auto" w:fill="auto"/>
            <w:noWrap/>
            <w:vAlign w:val="bottom"/>
            <w:hideMark/>
          </w:tcPr>
          <w:p w14:paraId="5BBCBF9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175 </w:t>
            </w:r>
          </w:p>
        </w:tc>
        <w:tc>
          <w:tcPr>
            <w:tcW w:w="993" w:type="dxa"/>
            <w:tcBorders>
              <w:top w:val="nil"/>
              <w:left w:val="nil"/>
              <w:bottom w:val="nil"/>
              <w:right w:val="nil"/>
            </w:tcBorders>
            <w:shd w:val="clear" w:color="auto" w:fill="auto"/>
            <w:noWrap/>
            <w:vAlign w:val="bottom"/>
            <w:hideMark/>
          </w:tcPr>
          <w:p w14:paraId="730FC1E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27.3 </w:t>
            </w:r>
          </w:p>
        </w:tc>
        <w:tc>
          <w:tcPr>
            <w:tcW w:w="1417" w:type="dxa"/>
            <w:tcBorders>
              <w:top w:val="nil"/>
              <w:left w:val="nil"/>
              <w:bottom w:val="nil"/>
              <w:right w:val="nil"/>
            </w:tcBorders>
            <w:shd w:val="clear" w:color="auto" w:fill="auto"/>
            <w:noWrap/>
            <w:vAlign w:val="bottom"/>
            <w:hideMark/>
          </w:tcPr>
          <w:p w14:paraId="3E8F7D6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4.0</w:t>
            </w:r>
          </w:p>
        </w:tc>
      </w:tr>
      <w:tr w:rsidR="00143D89" w:rsidRPr="00F71A22" w14:paraId="3BF242D0" w14:textId="77777777" w:rsidTr="001F4507">
        <w:trPr>
          <w:trHeight w:val="283"/>
        </w:trPr>
        <w:tc>
          <w:tcPr>
            <w:tcW w:w="1900" w:type="dxa"/>
            <w:tcBorders>
              <w:top w:val="nil"/>
              <w:left w:val="nil"/>
              <w:bottom w:val="nil"/>
              <w:right w:val="nil"/>
            </w:tcBorders>
            <w:shd w:val="clear" w:color="auto" w:fill="auto"/>
            <w:noWrap/>
            <w:vAlign w:val="bottom"/>
            <w:hideMark/>
          </w:tcPr>
          <w:p w14:paraId="0262E9B5" w14:textId="0FBDF98E"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r w:rsidR="00617219">
              <w:rPr>
                <w:rFonts w:ascii="Calibri" w:eastAsia="Times New Roman" w:hAnsi="Calibri" w:cs="Times New Roman"/>
                <w:color w:val="000000"/>
                <w:sz w:val="18"/>
                <w:szCs w:val="18"/>
                <w:lang w:eastAsia="en-AU"/>
              </w:rPr>
              <w:t xml:space="preserve"> </w:t>
            </w:r>
            <w:r w:rsidRPr="00F71A22">
              <w:rPr>
                <w:rFonts w:ascii="Calibri" w:eastAsia="Times New Roman" w:hAnsi="Calibri" w:cs="Times New Roman"/>
                <w:color w:val="000000"/>
                <w:sz w:val="18"/>
                <w:szCs w:val="18"/>
                <w:lang w:eastAsia="en-AU"/>
              </w:rPr>
              <w:t>- within 24 weeks</w:t>
            </w:r>
          </w:p>
        </w:tc>
        <w:tc>
          <w:tcPr>
            <w:tcW w:w="1108" w:type="dxa"/>
            <w:tcBorders>
              <w:top w:val="nil"/>
              <w:left w:val="nil"/>
              <w:bottom w:val="nil"/>
              <w:right w:val="nil"/>
            </w:tcBorders>
            <w:shd w:val="clear" w:color="auto" w:fill="auto"/>
            <w:noWrap/>
            <w:vAlign w:val="bottom"/>
            <w:hideMark/>
          </w:tcPr>
          <w:p w14:paraId="27AC78F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225 </w:t>
            </w:r>
          </w:p>
        </w:tc>
        <w:tc>
          <w:tcPr>
            <w:tcW w:w="1528" w:type="dxa"/>
            <w:gridSpan w:val="2"/>
            <w:tcBorders>
              <w:top w:val="nil"/>
              <w:left w:val="nil"/>
              <w:bottom w:val="nil"/>
              <w:right w:val="nil"/>
            </w:tcBorders>
            <w:shd w:val="clear" w:color="auto" w:fill="auto"/>
            <w:noWrap/>
            <w:vAlign w:val="bottom"/>
            <w:hideMark/>
          </w:tcPr>
          <w:p w14:paraId="1EA9FFD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51.0 </w:t>
            </w:r>
          </w:p>
        </w:tc>
        <w:tc>
          <w:tcPr>
            <w:tcW w:w="1701" w:type="dxa"/>
            <w:tcBorders>
              <w:top w:val="nil"/>
              <w:left w:val="nil"/>
              <w:bottom w:val="nil"/>
              <w:right w:val="nil"/>
            </w:tcBorders>
            <w:shd w:val="clear" w:color="auto" w:fill="auto"/>
            <w:noWrap/>
            <w:vAlign w:val="bottom"/>
            <w:hideMark/>
          </w:tcPr>
          <w:p w14:paraId="7AC7BC1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226 </w:t>
            </w:r>
          </w:p>
        </w:tc>
        <w:tc>
          <w:tcPr>
            <w:tcW w:w="993" w:type="dxa"/>
            <w:tcBorders>
              <w:top w:val="nil"/>
              <w:left w:val="nil"/>
              <w:bottom w:val="nil"/>
              <w:right w:val="nil"/>
            </w:tcBorders>
            <w:shd w:val="clear" w:color="auto" w:fill="auto"/>
            <w:noWrap/>
            <w:vAlign w:val="bottom"/>
            <w:hideMark/>
          </w:tcPr>
          <w:p w14:paraId="5B88471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51.0 </w:t>
            </w:r>
          </w:p>
        </w:tc>
        <w:tc>
          <w:tcPr>
            <w:tcW w:w="1417" w:type="dxa"/>
            <w:tcBorders>
              <w:top w:val="nil"/>
              <w:left w:val="nil"/>
              <w:bottom w:val="nil"/>
              <w:right w:val="nil"/>
            </w:tcBorders>
            <w:shd w:val="clear" w:color="auto" w:fill="auto"/>
            <w:noWrap/>
            <w:vAlign w:val="bottom"/>
            <w:hideMark/>
          </w:tcPr>
          <w:p w14:paraId="161B9A1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0.0</w:t>
            </w:r>
          </w:p>
        </w:tc>
      </w:tr>
      <w:tr w:rsidR="006B3DCB" w:rsidRPr="00F71A22" w14:paraId="39A6787F" w14:textId="77777777" w:rsidTr="001F4507">
        <w:trPr>
          <w:trHeight w:val="283"/>
        </w:trPr>
        <w:tc>
          <w:tcPr>
            <w:tcW w:w="1900" w:type="dxa"/>
            <w:tcBorders>
              <w:top w:val="nil"/>
              <w:left w:val="nil"/>
              <w:bottom w:val="nil"/>
              <w:right w:val="nil"/>
            </w:tcBorders>
            <w:shd w:val="clear" w:color="auto" w:fill="auto"/>
            <w:noWrap/>
            <w:vAlign w:val="bottom"/>
            <w:hideMark/>
          </w:tcPr>
          <w:p w14:paraId="57F9E7B9" w14:textId="671B2F1D"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Non CALD</w:t>
            </w:r>
          </w:p>
        </w:tc>
        <w:tc>
          <w:tcPr>
            <w:tcW w:w="1108" w:type="dxa"/>
            <w:tcBorders>
              <w:top w:val="nil"/>
              <w:left w:val="nil"/>
              <w:bottom w:val="nil"/>
              <w:right w:val="nil"/>
            </w:tcBorders>
            <w:shd w:val="clear" w:color="auto" w:fill="auto"/>
            <w:noWrap/>
            <w:hideMark/>
          </w:tcPr>
          <w:p w14:paraId="293B8CF5" w14:textId="0F9DCDEA"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901F0D">
              <w:rPr>
                <w:rFonts w:ascii="Calibri" w:eastAsia="Times New Roman" w:hAnsi="Calibri" w:cs="Times New Roman"/>
                <w:b/>
                <w:bCs/>
                <w:i/>
                <w:iCs/>
                <w:color w:val="FFFFFF" w:themeColor="background1"/>
                <w:sz w:val="18"/>
                <w:szCs w:val="18"/>
                <w:lang w:eastAsia="en-AU"/>
              </w:rPr>
              <w:t>—</w:t>
            </w:r>
          </w:p>
        </w:tc>
        <w:tc>
          <w:tcPr>
            <w:tcW w:w="1528" w:type="dxa"/>
            <w:gridSpan w:val="2"/>
            <w:tcBorders>
              <w:top w:val="nil"/>
              <w:left w:val="nil"/>
              <w:bottom w:val="nil"/>
              <w:right w:val="nil"/>
            </w:tcBorders>
            <w:shd w:val="clear" w:color="auto" w:fill="auto"/>
            <w:noWrap/>
            <w:hideMark/>
          </w:tcPr>
          <w:p w14:paraId="6C9B6A4B" w14:textId="33F15430"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901F0D">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2149B08A" w14:textId="4C378888"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901F0D">
              <w:rPr>
                <w:rFonts w:ascii="Calibri" w:eastAsia="Times New Roman" w:hAnsi="Calibri" w:cs="Times New Roman"/>
                <w:b/>
                <w:bCs/>
                <w:i/>
                <w:iCs/>
                <w:color w:val="FFFFFF" w:themeColor="background1"/>
                <w:sz w:val="18"/>
                <w:szCs w:val="18"/>
                <w:lang w:eastAsia="en-AU"/>
              </w:rPr>
              <w:t>—</w:t>
            </w:r>
          </w:p>
        </w:tc>
        <w:tc>
          <w:tcPr>
            <w:tcW w:w="993" w:type="dxa"/>
            <w:tcBorders>
              <w:top w:val="nil"/>
              <w:left w:val="nil"/>
              <w:bottom w:val="nil"/>
              <w:right w:val="nil"/>
            </w:tcBorders>
            <w:shd w:val="clear" w:color="auto" w:fill="auto"/>
            <w:noWrap/>
            <w:hideMark/>
          </w:tcPr>
          <w:p w14:paraId="23066A30" w14:textId="097DB41C"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901F0D">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482474ED" w14:textId="36733C76"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901F0D">
              <w:rPr>
                <w:rFonts w:ascii="Calibri" w:eastAsia="Times New Roman" w:hAnsi="Calibri" w:cs="Times New Roman"/>
                <w:b/>
                <w:bCs/>
                <w:i/>
                <w:iCs/>
                <w:color w:val="FFFFFF" w:themeColor="background1"/>
                <w:sz w:val="18"/>
                <w:szCs w:val="18"/>
                <w:lang w:eastAsia="en-AU"/>
              </w:rPr>
              <w:t>—</w:t>
            </w:r>
          </w:p>
        </w:tc>
      </w:tr>
      <w:tr w:rsidR="00143D89" w:rsidRPr="00F71A22" w14:paraId="6CFAC9C8" w14:textId="77777777" w:rsidTr="001F4507">
        <w:trPr>
          <w:trHeight w:val="283"/>
        </w:trPr>
        <w:tc>
          <w:tcPr>
            <w:tcW w:w="1900" w:type="dxa"/>
            <w:tcBorders>
              <w:top w:val="nil"/>
              <w:left w:val="nil"/>
              <w:bottom w:val="nil"/>
              <w:right w:val="nil"/>
            </w:tcBorders>
            <w:shd w:val="clear" w:color="auto" w:fill="auto"/>
            <w:noWrap/>
            <w:vAlign w:val="bottom"/>
            <w:hideMark/>
          </w:tcPr>
          <w:p w14:paraId="4269762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108" w:type="dxa"/>
            <w:tcBorders>
              <w:top w:val="nil"/>
              <w:left w:val="nil"/>
              <w:bottom w:val="nil"/>
              <w:right w:val="nil"/>
            </w:tcBorders>
            <w:shd w:val="clear" w:color="auto" w:fill="auto"/>
            <w:noWrap/>
            <w:vAlign w:val="bottom"/>
            <w:hideMark/>
          </w:tcPr>
          <w:p w14:paraId="62E6A41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609 </w:t>
            </w:r>
          </w:p>
        </w:tc>
        <w:tc>
          <w:tcPr>
            <w:tcW w:w="1528" w:type="dxa"/>
            <w:gridSpan w:val="2"/>
            <w:tcBorders>
              <w:top w:val="nil"/>
              <w:left w:val="nil"/>
              <w:bottom w:val="nil"/>
              <w:right w:val="nil"/>
            </w:tcBorders>
            <w:shd w:val="clear" w:color="auto" w:fill="auto"/>
            <w:noWrap/>
            <w:vAlign w:val="bottom"/>
            <w:hideMark/>
          </w:tcPr>
          <w:p w14:paraId="4531CBB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10.4 </w:t>
            </w:r>
          </w:p>
        </w:tc>
        <w:tc>
          <w:tcPr>
            <w:tcW w:w="1701" w:type="dxa"/>
            <w:tcBorders>
              <w:top w:val="nil"/>
              <w:left w:val="nil"/>
              <w:bottom w:val="nil"/>
              <w:right w:val="nil"/>
            </w:tcBorders>
            <w:shd w:val="clear" w:color="auto" w:fill="auto"/>
            <w:noWrap/>
            <w:vAlign w:val="bottom"/>
            <w:hideMark/>
          </w:tcPr>
          <w:p w14:paraId="2261F32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466 </w:t>
            </w:r>
          </w:p>
        </w:tc>
        <w:tc>
          <w:tcPr>
            <w:tcW w:w="993" w:type="dxa"/>
            <w:tcBorders>
              <w:top w:val="nil"/>
              <w:left w:val="nil"/>
              <w:bottom w:val="nil"/>
              <w:right w:val="nil"/>
            </w:tcBorders>
            <w:shd w:val="clear" w:color="auto" w:fill="auto"/>
            <w:noWrap/>
            <w:vAlign w:val="bottom"/>
            <w:hideMark/>
          </w:tcPr>
          <w:p w14:paraId="22B991FC" w14:textId="6661BFE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7.9 </w:t>
            </w:r>
          </w:p>
        </w:tc>
        <w:tc>
          <w:tcPr>
            <w:tcW w:w="1417" w:type="dxa"/>
            <w:tcBorders>
              <w:top w:val="nil"/>
              <w:left w:val="nil"/>
              <w:bottom w:val="nil"/>
              <w:right w:val="nil"/>
            </w:tcBorders>
            <w:shd w:val="clear" w:color="auto" w:fill="auto"/>
            <w:noWrap/>
            <w:vAlign w:val="bottom"/>
            <w:hideMark/>
          </w:tcPr>
          <w:p w14:paraId="4422253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2.5*</w:t>
            </w:r>
          </w:p>
        </w:tc>
      </w:tr>
      <w:tr w:rsidR="00143D89" w:rsidRPr="00F71A22" w14:paraId="2AD6D31C" w14:textId="77777777" w:rsidTr="001F4507">
        <w:trPr>
          <w:trHeight w:val="283"/>
        </w:trPr>
        <w:tc>
          <w:tcPr>
            <w:tcW w:w="1900" w:type="dxa"/>
            <w:tcBorders>
              <w:top w:val="nil"/>
              <w:left w:val="nil"/>
              <w:bottom w:val="nil"/>
              <w:right w:val="nil"/>
            </w:tcBorders>
            <w:shd w:val="clear" w:color="auto" w:fill="auto"/>
            <w:noWrap/>
            <w:vAlign w:val="bottom"/>
            <w:hideMark/>
          </w:tcPr>
          <w:p w14:paraId="6C1BE1D5"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108" w:type="dxa"/>
            <w:tcBorders>
              <w:top w:val="nil"/>
              <w:left w:val="nil"/>
              <w:bottom w:val="nil"/>
              <w:right w:val="nil"/>
            </w:tcBorders>
            <w:shd w:val="clear" w:color="auto" w:fill="auto"/>
            <w:noWrap/>
            <w:vAlign w:val="bottom"/>
            <w:hideMark/>
          </w:tcPr>
          <w:p w14:paraId="04B3A30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1,557 </w:t>
            </w:r>
          </w:p>
        </w:tc>
        <w:tc>
          <w:tcPr>
            <w:tcW w:w="1528" w:type="dxa"/>
            <w:gridSpan w:val="2"/>
            <w:tcBorders>
              <w:top w:val="nil"/>
              <w:left w:val="nil"/>
              <w:bottom w:val="nil"/>
              <w:right w:val="nil"/>
            </w:tcBorders>
            <w:shd w:val="clear" w:color="auto" w:fill="auto"/>
            <w:noWrap/>
            <w:vAlign w:val="bottom"/>
            <w:hideMark/>
          </w:tcPr>
          <w:p w14:paraId="7A82777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32.7 </w:t>
            </w:r>
          </w:p>
        </w:tc>
        <w:tc>
          <w:tcPr>
            <w:tcW w:w="1701" w:type="dxa"/>
            <w:tcBorders>
              <w:top w:val="nil"/>
              <w:left w:val="nil"/>
              <w:bottom w:val="nil"/>
              <w:right w:val="nil"/>
            </w:tcBorders>
            <w:shd w:val="clear" w:color="auto" w:fill="auto"/>
            <w:noWrap/>
            <w:vAlign w:val="bottom"/>
            <w:hideMark/>
          </w:tcPr>
          <w:p w14:paraId="7A2D2ED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1,423 </w:t>
            </w:r>
          </w:p>
        </w:tc>
        <w:tc>
          <w:tcPr>
            <w:tcW w:w="993" w:type="dxa"/>
            <w:tcBorders>
              <w:top w:val="nil"/>
              <w:left w:val="nil"/>
              <w:bottom w:val="nil"/>
              <w:right w:val="nil"/>
            </w:tcBorders>
            <w:shd w:val="clear" w:color="auto" w:fill="auto"/>
            <w:noWrap/>
            <w:vAlign w:val="bottom"/>
            <w:hideMark/>
          </w:tcPr>
          <w:p w14:paraId="326A296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30.0 </w:t>
            </w:r>
          </w:p>
        </w:tc>
        <w:tc>
          <w:tcPr>
            <w:tcW w:w="1417" w:type="dxa"/>
            <w:tcBorders>
              <w:top w:val="nil"/>
              <w:left w:val="nil"/>
              <w:bottom w:val="nil"/>
              <w:right w:val="nil"/>
            </w:tcBorders>
            <w:shd w:val="clear" w:color="auto" w:fill="auto"/>
            <w:noWrap/>
            <w:vAlign w:val="bottom"/>
            <w:hideMark/>
          </w:tcPr>
          <w:p w14:paraId="2DC2F25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2.8*</w:t>
            </w:r>
          </w:p>
        </w:tc>
      </w:tr>
      <w:tr w:rsidR="00143D89" w:rsidRPr="00F71A22" w14:paraId="55766DAB" w14:textId="77777777" w:rsidTr="001F4507">
        <w:trPr>
          <w:trHeight w:val="283"/>
        </w:trPr>
        <w:tc>
          <w:tcPr>
            <w:tcW w:w="1900" w:type="dxa"/>
            <w:tcBorders>
              <w:top w:val="nil"/>
              <w:left w:val="nil"/>
              <w:bottom w:val="nil"/>
              <w:right w:val="nil"/>
            </w:tcBorders>
            <w:shd w:val="clear" w:color="auto" w:fill="auto"/>
            <w:noWrap/>
            <w:vAlign w:val="bottom"/>
            <w:hideMark/>
          </w:tcPr>
          <w:p w14:paraId="0E6DB02B"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108" w:type="dxa"/>
            <w:tcBorders>
              <w:top w:val="nil"/>
              <w:left w:val="nil"/>
              <w:bottom w:val="nil"/>
              <w:right w:val="nil"/>
            </w:tcBorders>
            <w:shd w:val="clear" w:color="auto" w:fill="auto"/>
            <w:noWrap/>
            <w:vAlign w:val="bottom"/>
            <w:hideMark/>
          </w:tcPr>
          <w:p w14:paraId="210C10A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1,631 </w:t>
            </w:r>
          </w:p>
        </w:tc>
        <w:tc>
          <w:tcPr>
            <w:tcW w:w="1528" w:type="dxa"/>
            <w:gridSpan w:val="2"/>
            <w:tcBorders>
              <w:top w:val="nil"/>
              <w:left w:val="nil"/>
              <w:bottom w:val="nil"/>
              <w:right w:val="nil"/>
            </w:tcBorders>
            <w:shd w:val="clear" w:color="auto" w:fill="auto"/>
            <w:noWrap/>
            <w:vAlign w:val="bottom"/>
            <w:hideMark/>
          </w:tcPr>
          <w:p w14:paraId="66E8996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49.6 </w:t>
            </w:r>
          </w:p>
        </w:tc>
        <w:tc>
          <w:tcPr>
            <w:tcW w:w="1701" w:type="dxa"/>
            <w:tcBorders>
              <w:top w:val="nil"/>
              <w:left w:val="nil"/>
              <w:bottom w:val="nil"/>
              <w:right w:val="nil"/>
            </w:tcBorders>
            <w:shd w:val="clear" w:color="auto" w:fill="auto"/>
            <w:noWrap/>
            <w:vAlign w:val="bottom"/>
            <w:hideMark/>
          </w:tcPr>
          <w:p w14:paraId="04512AF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1,692 </w:t>
            </w:r>
          </w:p>
        </w:tc>
        <w:tc>
          <w:tcPr>
            <w:tcW w:w="993" w:type="dxa"/>
            <w:tcBorders>
              <w:top w:val="nil"/>
              <w:left w:val="nil"/>
              <w:bottom w:val="nil"/>
              <w:right w:val="nil"/>
            </w:tcBorders>
            <w:shd w:val="clear" w:color="auto" w:fill="auto"/>
            <w:noWrap/>
            <w:vAlign w:val="bottom"/>
            <w:hideMark/>
          </w:tcPr>
          <w:p w14:paraId="38E9B12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51.7 </w:t>
            </w:r>
          </w:p>
        </w:tc>
        <w:tc>
          <w:tcPr>
            <w:tcW w:w="1417" w:type="dxa"/>
            <w:tcBorders>
              <w:top w:val="nil"/>
              <w:left w:val="nil"/>
              <w:bottom w:val="nil"/>
              <w:right w:val="nil"/>
            </w:tcBorders>
            <w:shd w:val="clear" w:color="auto" w:fill="auto"/>
            <w:noWrap/>
            <w:vAlign w:val="bottom"/>
            <w:hideMark/>
          </w:tcPr>
          <w:p w14:paraId="783CF45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-2.1</w:t>
            </w:r>
          </w:p>
        </w:tc>
      </w:tr>
      <w:tr w:rsidR="006B3DCB" w:rsidRPr="00F71A22" w14:paraId="5432ECEE" w14:textId="77777777" w:rsidTr="001F4507">
        <w:trPr>
          <w:trHeight w:val="283"/>
        </w:trPr>
        <w:tc>
          <w:tcPr>
            <w:tcW w:w="1900" w:type="dxa"/>
            <w:tcBorders>
              <w:top w:val="nil"/>
              <w:left w:val="nil"/>
              <w:bottom w:val="nil"/>
              <w:right w:val="nil"/>
            </w:tcBorders>
            <w:shd w:val="clear" w:color="auto" w:fill="auto"/>
            <w:noWrap/>
            <w:vAlign w:val="bottom"/>
          </w:tcPr>
          <w:p w14:paraId="5404EDEE" w14:textId="0207C69A"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employment services</w:t>
            </w:r>
          </w:p>
        </w:tc>
        <w:tc>
          <w:tcPr>
            <w:tcW w:w="1108" w:type="dxa"/>
            <w:tcBorders>
              <w:top w:val="nil"/>
              <w:left w:val="nil"/>
              <w:bottom w:val="nil"/>
              <w:right w:val="nil"/>
            </w:tcBorders>
            <w:shd w:val="clear" w:color="auto" w:fill="auto"/>
            <w:noWrap/>
          </w:tcPr>
          <w:p w14:paraId="5C289F3F" w14:textId="6E17DB09"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510044">
              <w:rPr>
                <w:rFonts w:ascii="Calibri" w:eastAsia="Times New Roman" w:hAnsi="Calibri" w:cs="Times New Roman"/>
                <w:b/>
                <w:bCs/>
                <w:i/>
                <w:iCs/>
                <w:color w:val="FFFFFF" w:themeColor="background1"/>
                <w:sz w:val="18"/>
                <w:szCs w:val="18"/>
                <w:lang w:eastAsia="en-AU"/>
              </w:rPr>
              <w:t>—</w:t>
            </w:r>
          </w:p>
        </w:tc>
        <w:tc>
          <w:tcPr>
            <w:tcW w:w="1528" w:type="dxa"/>
            <w:gridSpan w:val="2"/>
            <w:tcBorders>
              <w:top w:val="nil"/>
              <w:left w:val="nil"/>
              <w:bottom w:val="nil"/>
              <w:right w:val="nil"/>
            </w:tcBorders>
            <w:shd w:val="clear" w:color="auto" w:fill="auto"/>
            <w:noWrap/>
          </w:tcPr>
          <w:p w14:paraId="1D722149" w14:textId="243AD4B1"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510044">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3E73A87D" w14:textId="7FFE5DD8"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510044">
              <w:rPr>
                <w:rFonts w:ascii="Calibri" w:eastAsia="Times New Roman" w:hAnsi="Calibri" w:cs="Times New Roman"/>
                <w:b/>
                <w:bCs/>
                <w:i/>
                <w:iCs/>
                <w:color w:val="FFFFFF" w:themeColor="background1"/>
                <w:sz w:val="18"/>
                <w:szCs w:val="18"/>
                <w:lang w:eastAsia="en-AU"/>
              </w:rPr>
              <w:t>—</w:t>
            </w:r>
          </w:p>
        </w:tc>
        <w:tc>
          <w:tcPr>
            <w:tcW w:w="993" w:type="dxa"/>
            <w:tcBorders>
              <w:top w:val="nil"/>
              <w:left w:val="nil"/>
              <w:bottom w:val="nil"/>
              <w:right w:val="nil"/>
            </w:tcBorders>
            <w:shd w:val="clear" w:color="auto" w:fill="auto"/>
            <w:noWrap/>
          </w:tcPr>
          <w:p w14:paraId="76139B5F" w14:textId="5C63159D"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510044">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tcPr>
          <w:p w14:paraId="693C9527" w14:textId="60410279"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510044">
              <w:rPr>
                <w:rFonts w:ascii="Calibri" w:eastAsia="Times New Roman" w:hAnsi="Calibri" w:cs="Times New Roman"/>
                <w:b/>
                <w:bCs/>
                <w:i/>
                <w:iCs/>
                <w:color w:val="FFFFFF" w:themeColor="background1"/>
                <w:sz w:val="18"/>
                <w:szCs w:val="18"/>
                <w:lang w:eastAsia="en-AU"/>
              </w:rPr>
              <w:t>—</w:t>
            </w:r>
          </w:p>
        </w:tc>
      </w:tr>
      <w:tr w:rsidR="006B3DCB" w:rsidRPr="00F71A22" w14:paraId="726CB7A3" w14:textId="77777777" w:rsidTr="001F4507">
        <w:trPr>
          <w:trHeight w:val="283"/>
        </w:trPr>
        <w:tc>
          <w:tcPr>
            <w:tcW w:w="1900" w:type="dxa"/>
            <w:tcBorders>
              <w:top w:val="nil"/>
              <w:left w:val="nil"/>
              <w:bottom w:val="nil"/>
              <w:right w:val="nil"/>
            </w:tcBorders>
            <w:shd w:val="clear" w:color="auto" w:fill="auto"/>
            <w:noWrap/>
            <w:vAlign w:val="bottom"/>
            <w:hideMark/>
          </w:tcPr>
          <w:p w14:paraId="6D30F026" w14:textId="18EB48F9"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CALD</w:t>
            </w:r>
          </w:p>
        </w:tc>
        <w:tc>
          <w:tcPr>
            <w:tcW w:w="1108" w:type="dxa"/>
            <w:tcBorders>
              <w:top w:val="nil"/>
              <w:left w:val="nil"/>
              <w:bottom w:val="nil"/>
              <w:right w:val="nil"/>
            </w:tcBorders>
            <w:shd w:val="clear" w:color="auto" w:fill="auto"/>
            <w:noWrap/>
            <w:hideMark/>
          </w:tcPr>
          <w:p w14:paraId="0979DA5E" w14:textId="42E4CA3B"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EB3E2E">
              <w:rPr>
                <w:rFonts w:ascii="Calibri" w:eastAsia="Times New Roman" w:hAnsi="Calibri" w:cs="Times New Roman"/>
                <w:b/>
                <w:bCs/>
                <w:i/>
                <w:iCs/>
                <w:color w:val="FFFFFF" w:themeColor="background1"/>
                <w:sz w:val="18"/>
                <w:szCs w:val="18"/>
                <w:lang w:eastAsia="en-AU"/>
              </w:rPr>
              <w:t>—</w:t>
            </w:r>
          </w:p>
        </w:tc>
        <w:tc>
          <w:tcPr>
            <w:tcW w:w="1528" w:type="dxa"/>
            <w:gridSpan w:val="2"/>
            <w:tcBorders>
              <w:top w:val="nil"/>
              <w:left w:val="nil"/>
              <w:bottom w:val="nil"/>
              <w:right w:val="nil"/>
            </w:tcBorders>
            <w:shd w:val="clear" w:color="auto" w:fill="auto"/>
            <w:noWrap/>
            <w:hideMark/>
          </w:tcPr>
          <w:p w14:paraId="22BB05AB" w14:textId="5E2F0110"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B3E2E">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7BD52977" w14:textId="4C48B587"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B3E2E">
              <w:rPr>
                <w:rFonts w:ascii="Calibri" w:eastAsia="Times New Roman" w:hAnsi="Calibri" w:cs="Times New Roman"/>
                <w:b/>
                <w:bCs/>
                <w:i/>
                <w:iCs/>
                <w:color w:val="FFFFFF" w:themeColor="background1"/>
                <w:sz w:val="18"/>
                <w:szCs w:val="18"/>
                <w:lang w:eastAsia="en-AU"/>
              </w:rPr>
              <w:t>—</w:t>
            </w:r>
          </w:p>
        </w:tc>
        <w:tc>
          <w:tcPr>
            <w:tcW w:w="993" w:type="dxa"/>
            <w:tcBorders>
              <w:top w:val="nil"/>
              <w:left w:val="nil"/>
              <w:bottom w:val="nil"/>
              <w:right w:val="nil"/>
            </w:tcBorders>
            <w:shd w:val="clear" w:color="auto" w:fill="auto"/>
            <w:noWrap/>
            <w:hideMark/>
          </w:tcPr>
          <w:p w14:paraId="3BA4AAD9" w14:textId="1C68D968"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B3E2E">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373B20F9" w14:textId="7D692AB1"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EB3E2E">
              <w:rPr>
                <w:rFonts w:ascii="Calibri" w:eastAsia="Times New Roman" w:hAnsi="Calibri" w:cs="Times New Roman"/>
                <w:b/>
                <w:bCs/>
                <w:i/>
                <w:iCs/>
                <w:color w:val="FFFFFF" w:themeColor="background1"/>
                <w:sz w:val="18"/>
                <w:szCs w:val="18"/>
                <w:lang w:eastAsia="en-AU"/>
              </w:rPr>
              <w:t>—</w:t>
            </w:r>
          </w:p>
        </w:tc>
      </w:tr>
      <w:tr w:rsidR="00143D89" w:rsidRPr="00F71A22" w14:paraId="67714AB1" w14:textId="77777777" w:rsidTr="001F4507">
        <w:trPr>
          <w:trHeight w:val="283"/>
        </w:trPr>
        <w:tc>
          <w:tcPr>
            <w:tcW w:w="1900" w:type="dxa"/>
            <w:tcBorders>
              <w:top w:val="nil"/>
              <w:left w:val="nil"/>
              <w:bottom w:val="nil"/>
              <w:right w:val="nil"/>
            </w:tcBorders>
            <w:shd w:val="clear" w:color="auto" w:fill="auto"/>
            <w:noWrap/>
            <w:vAlign w:val="bottom"/>
            <w:hideMark/>
          </w:tcPr>
          <w:p w14:paraId="4FCDD77C"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108" w:type="dxa"/>
            <w:tcBorders>
              <w:top w:val="nil"/>
              <w:left w:val="nil"/>
              <w:bottom w:val="nil"/>
              <w:right w:val="nil"/>
            </w:tcBorders>
            <w:shd w:val="clear" w:color="auto" w:fill="auto"/>
            <w:noWrap/>
            <w:vAlign w:val="bottom"/>
            <w:hideMark/>
          </w:tcPr>
          <w:p w14:paraId="26D07FD9" w14:textId="4A1B06C5"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1528" w:type="dxa"/>
            <w:gridSpan w:val="2"/>
            <w:tcBorders>
              <w:top w:val="nil"/>
              <w:left w:val="nil"/>
              <w:bottom w:val="nil"/>
              <w:right w:val="nil"/>
            </w:tcBorders>
            <w:shd w:val="clear" w:color="auto" w:fill="auto"/>
            <w:noWrap/>
            <w:vAlign w:val="bottom"/>
            <w:hideMark/>
          </w:tcPr>
          <w:p w14:paraId="27C56C78" w14:textId="630C6040"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1.9 </w:t>
            </w:r>
          </w:p>
        </w:tc>
        <w:tc>
          <w:tcPr>
            <w:tcW w:w="1701" w:type="dxa"/>
            <w:tcBorders>
              <w:top w:val="nil"/>
              <w:left w:val="nil"/>
              <w:bottom w:val="nil"/>
              <w:right w:val="nil"/>
            </w:tcBorders>
            <w:shd w:val="clear" w:color="auto" w:fill="auto"/>
            <w:noWrap/>
            <w:vAlign w:val="bottom"/>
            <w:hideMark/>
          </w:tcPr>
          <w:p w14:paraId="5BDEF9C1" w14:textId="352D138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w:t>
            </w:r>
          </w:p>
        </w:tc>
        <w:tc>
          <w:tcPr>
            <w:tcW w:w="993" w:type="dxa"/>
            <w:tcBorders>
              <w:top w:val="nil"/>
              <w:left w:val="nil"/>
              <w:bottom w:val="nil"/>
              <w:right w:val="nil"/>
            </w:tcBorders>
            <w:shd w:val="clear" w:color="auto" w:fill="auto"/>
            <w:noWrap/>
            <w:vAlign w:val="bottom"/>
            <w:hideMark/>
          </w:tcPr>
          <w:p w14:paraId="142049DE" w14:textId="4209A7C1"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1.9 </w:t>
            </w:r>
          </w:p>
        </w:tc>
        <w:tc>
          <w:tcPr>
            <w:tcW w:w="1417" w:type="dxa"/>
            <w:tcBorders>
              <w:top w:val="nil"/>
              <w:left w:val="nil"/>
              <w:bottom w:val="nil"/>
              <w:right w:val="nil"/>
            </w:tcBorders>
            <w:shd w:val="clear" w:color="auto" w:fill="auto"/>
            <w:noWrap/>
            <w:vAlign w:val="bottom"/>
            <w:hideMark/>
          </w:tcPr>
          <w:p w14:paraId="35BE7A9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0.0</w:t>
            </w:r>
          </w:p>
        </w:tc>
      </w:tr>
      <w:tr w:rsidR="00143D89" w:rsidRPr="00F71A22" w14:paraId="1170175C" w14:textId="77777777" w:rsidTr="001F4507">
        <w:trPr>
          <w:trHeight w:val="283"/>
        </w:trPr>
        <w:tc>
          <w:tcPr>
            <w:tcW w:w="1900" w:type="dxa"/>
            <w:tcBorders>
              <w:top w:val="nil"/>
              <w:left w:val="nil"/>
              <w:bottom w:val="nil"/>
              <w:right w:val="nil"/>
            </w:tcBorders>
            <w:shd w:val="clear" w:color="auto" w:fill="auto"/>
            <w:noWrap/>
            <w:vAlign w:val="bottom"/>
            <w:hideMark/>
          </w:tcPr>
          <w:p w14:paraId="004B5AB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108" w:type="dxa"/>
            <w:tcBorders>
              <w:top w:val="nil"/>
              <w:left w:val="nil"/>
              <w:bottom w:val="nil"/>
              <w:right w:val="nil"/>
            </w:tcBorders>
            <w:shd w:val="clear" w:color="auto" w:fill="auto"/>
            <w:noWrap/>
            <w:vAlign w:val="bottom"/>
            <w:hideMark/>
          </w:tcPr>
          <w:p w14:paraId="65E4065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129 </w:t>
            </w:r>
          </w:p>
        </w:tc>
        <w:tc>
          <w:tcPr>
            <w:tcW w:w="1528" w:type="dxa"/>
            <w:gridSpan w:val="2"/>
            <w:tcBorders>
              <w:top w:val="nil"/>
              <w:left w:val="nil"/>
              <w:bottom w:val="nil"/>
              <w:right w:val="nil"/>
            </w:tcBorders>
            <w:shd w:val="clear" w:color="auto" w:fill="auto"/>
            <w:noWrap/>
            <w:vAlign w:val="bottom"/>
            <w:hideMark/>
          </w:tcPr>
          <w:p w14:paraId="77D3BB4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20.2 </w:t>
            </w:r>
          </w:p>
        </w:tc>
        <w:tc>
          <w:tcPr>
            <w:tcW w:w="1701" w:type="dxa"/>
            <w:tcBorders>
              <w:top w:val="nil"/>
              <w:left w:val="nil"/>
              <w:bottom w:val="nil"/>
              <w:right w:val="nil"/>
            </w:tcBorders>
            <w:shd w:val="clear" w:color="auto" w:fill="auto"/>
            <w:noWrap/>
            <w:vAlign w:val="bottom"/>
            <w:hideMark/>
          </w:tcPr>
          <w:p w14:paraId="10C4773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105 </w:t>
            </w:r>
          </w:p>
        </w:tc>
        <w:tc>
          <w:tcPr>
            <w:tcW w:w="993" w:type="dxa"/>
            <w:tcBorders>
              <w:top w:val="nil"/>
              <w:left w:val="nil"/>
              <w:bottom w:val="nil"/>
              <w:right w:val="nil"/>
            </w:tcBorders>
            <w:shd w:val="clear" w:color="auto" w:fill="auto"/>
            <w:noWrap/>
            <w:vAlign w:val="bottom"/>
            <w:hideMark/>
          </w:tcPr>
          <w:p w14:paraId="5C1DA24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16.4 </w:t>
            </w:r>
          </w:p>
        </w:tc>
        <w:tc>
          <w:tcPr>
            <w:tcW w:w="1417" w:type="dxa"/>
            <w:tcBorders>
              <w:top w:val="nil"/>
              <w:left w:val="nil"/>
              <w:bottom w:val="nil"/>
              <w:right w:val="nil"/>
            </w:tcBorders>
            <w:shd w:val="clear" w:color="auto" w:fill="auto"/>
            <w:noWrap/>
            <w:vAlign w:val="bottom"/>
            <w:hideMark/>
          </w:tcPr>
          <w:p w14:paraId="77E7C4A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3.8</w:t>
            </w:r>
          </w:p>
        </w:tc>
      </w:tr>
      <w:tr w:rsidR="00143D89" w:rsidRPr="00F71A22" w14:paraId="14307540" w14:textId="77777777" w:rsidTr="001F4507">
        <w:trPr>
          <w:trHeight w:val="283"/>
        </w:trPr>
        <w:tc>
          <w:tcPr>
            <w:tcW w:w="1900" w:type="dxa"/>
            <w:tcBorders>
              <w:top w:val="nil"/>
              <w:left w:val="nil"/>
              <w:bottom w:val="nil"/>
              <w:right w:val="nil"/>
            </w:tcBorders>
            <w:shd w:val="clear" w:color="auto" w:fill="auto"/>
            <w:noWrap/>
            <w:vAlign w:val="bottom"/>
            <w:hideMark/>
          </w:tcPr>
          <w:p w14:paraId="143CCC1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108" w:type="dxa"/>
            <w:tcBorders>
              <w:top w:val="nil"/>
              <w:left w:val="nil"/>
              <w:bottom w:val="nil"/>
              <w:right w:val="nil"/>
            </w:tcBorders>
            <w:shd w:val="clear" w:color="auto" w:fill="auto"/>
            <w:noWrap/>
            <w:vAlign w:val="bottom"/>
            <w:hideMark/>
          </w:tcPr>
          <w:p w14:paraId="7B6D38A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193 </w:t>
            </w:r>
          </w:p>
        </w:tc>
        <w:tc>
          <w:tcPr>
            <w:tcW w:w="1528" w:type="dxa"/>
            <w:gridSpan w:val="2"/>
            <w:tcBorders>
              <w:top w:val="nil"/>
              <w:left w:val="nil"/>
              <w:bottom w:val="nil"/>
              <w:right w:val="nil"/>
            </w:tcBorders>
            <w:shd w:val="clear" w:color="auto" w:fill="auto"/>
            <w:noWrap/>
            <w:vAlign w:val="bottom"/>
            <w:hideMark/>
          </w:tcPr>
          <w:p w14:paraId="282383B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43.8 </w:t>
            </w:r>
          </w:p>
        </w:tc>
        <w:tc>
          <w:tcPr>
            <w:tcW w:w="1701" w:type="dxa"/>
            <w:tcBorders>
              <w:top w:val="nil"/>
              <w:left w:val="nil"/>
              <w:bottom w:val="nil"/>
              <w:right w:val="nil"/>
            </w:tcBorders>
            <w:shd w:val="clear" w:color="auto" w:fill="auto"/>
            <w:noWrap/>
            <w:vAlign w:val="bottom"/>
            <w:hideMark/>
          </w:tcPr>
          <w:p w14:paraId="7581A32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202 </w:t>
            </w:r>
          </w:p>
        </w:tc>
        <w:tc>
          <w:tcPr>
            <w:tcW w:w="993" w:type="dxa"/>
            <w:tcBorders>
              <w:top w:val="nil"/>
              <w:left w:val="nil"/>
              <w:bottom w:val="nil"/>
              <w:right w:val="nil"/>
            </w:tcBorders>
            <w:shd w:val="clear" w:color="auto" w:fill="auto"/>
            <w:noWrap/>
            <w:vAlign w:val="bottom"/>
            <w:hideMark/>
          </w:tcPr>
          <w:p w14:paraId="095C0F0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45.6 </w:t>
            </w:r>
          </w:p>
        </w:tc>
        <w:tc>
          <w:tcPr>
            <w:tcW w:w="1417" w:type="dxa"/>
            <w:tcBorders>
              <w:top w:val="nil"/>
              <w:left w:val="nil"/>
              <w:bottom w:val="nil"/>
              <w:right w:val="nil"/>
            </w:tcBorders>
            <w:shd w:val="clear" w:color="auto" w:fill="auto"/>
            <w:noWrap/>
            <w:vAlign w:val="bottom"/>
            <w:hideMark/>
          </w:tcPr>
          <w:p w14:paraId="2BB9DBC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-1.8</w:t>
            </w:r>
          </w:p>
        </w:tc>
      </w:tr>
      <w:tr w:rsidR="006B3DCB" w:rsidRPr="00F71A22" w14:paraId="5B8DBBBE" w14:textId="77777777" w:rsidTr="001F4507">
        <w:trPr>
          <w:trHeight w:val="283"/>
        </w:trPr>
        <w:tc>
          <w:tcPr>
            <w:tcW w:w="1900" w:type="dxa"/>
            <w:tcBorders>
              <w:top w:val="nil"/>
              <w:left w:val="nil"/>
              <w:bottom w:val="nil"/>
              <w:right w:val="nil"/>
            </w:tcBorders>
            <w:shd w:val="clear" w:color="auto" w:fill="auto"/>
            <w:noWrap/>
            <w:vAlign w:val="bottom"/>
            <w:hideMark/>
          </w:tcPr>
          <w:p w14:paraId="220ECE93" w14:textId="155B3F58"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i/>
                <w:iCs/>
                <w:color w:val="000000"/>
                <w:sz w:val="18"/>
                <w:szCs w:val="18"/>
                <w:lang w:eastAsia="en-AU"/>
              </w:rPr>
              <w:t>Non CALD</w:t>
            </w:r>
          </w:p>
        </w:tc>
        <w:tc>
          <w:tcPr>
            <w:tcW w:w="1108" w:type="dxa"/>
            <w:tcBorders>
              <w:top w:val="nil"/>
              <w:left w:val="nil"/>
              <w:bottom w:val="nil"/>
              <w:right w:val="nil"/>
            </w:tcBorders>
            <w:shd w:val="clear" w:color="auto" w:fill="auto"/>
            <w:noWrap/>
            <w:hideMark/>
          </w:tcPr>
          <w:p w14:paraId="2D17AB54" w14:textId="2C9B68B5" w:rsidR="006B3DCB" w:rsidRPr="00F71A22" w:rsidRDefault="006B3DCB" w:rsidP="006B3DCB">
            <w:pPr>
              <w:spacing w:before="0" w:after="0" w:line="240" w:lineRule="auto"/>
              <w:rPr>
                <w:rFonts w:ascii="Calibri" w:eastAsia="Times New Roman" w:hAnsi="Calibri" w:cs="Times New Roman"/>
                <w:b/>
                <w:bCs/>
                <w:i/>
                <w:iCs/>
                <w:color w:val="000000"/>
                <w:sz w:val="18"/>
                <w:szCs w:val="18"/>
                <w:lang w:eastAsia="en-AU"/>
              </w:rPr>
            </w:pPr>
            <w:r w:rsidRPr="00C033DD">
              <w:rPr>
                <w:rFonts w:ascii="Calibri" w:eastAsia="Times New Roman" w:hAnsi="Calibri" w:cs="Times New Roman"/>
                <w:b/>
                <w:bCs/>
                <w:i/>
                <w:iCs/>
                <w:color w:val="FFFFFF" w:themeColor="background1"/>
                <w:sz w:val="18"/>
                <w:szCs w:val="18"/>
                <w:lang w:eastAsia="en-AU"/>
              </w:rPr>
              <w:t>—</w:t>
            </w:r>
          </w:p>
        </w:tc>
        <w:tc>
          <w:tcPr>
            <w:tcW w:w="1528" w:type="dxa"/>
            <w:gridSpan w:val="2"/>
            <w:tcBorders>
              <w:top w:val="nil"/>
              <w:left w:val="nil"/>
              <w:bottom w:val="nil"/>
              <w:right w:val="nil"/>
            </w:tcBorders>
            <w:shd w:val="clear" w:color="auto" w:fill="auto"/>
            <w:noWrap/>
            <w:hideMark/>
          </w:tcPr>
          <w:p w14:paraId="00148BC3" w14:textId="610CA63E"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033DD">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2F426DF0" w14:textId="3D528518"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033DD">
              <w:rPr>
                <w:rFonts w:ascii="Calibri" w:eastAsia="Times New Roman" w:hAnsi="Calibri" w:cs="Times New Roman"/>
                <w:b/>
                <w:bCs/>
                <w:i/>
                <w:iCs/>
                <w:color w:val="FFFFFF" w:themeColor="background1"/>
                <w:sz w:val="18"/>
                <w:szCs w:val="18"/>
                <w:lang w:eastAsia="en-AU"/>
              </w:rPr>
              <w:t>—</w:t>
            </w:r>
          </w:p>
        </w:tc>
        <w:tc>
          <w:tcPr>
            <w:tcW w:w="993" w:type="dxa"/>
            <w:tcBorders>
              <w:top w:val="nil"/>
              <w:left w:val="nil"/>
              <w:bottom w:val="nil"/>
              <w:right w:val="nil"/>
            </w:tcBorders>
            <w:shd w:val="clear" w:color="auto" w:fill="auto"/>
            <w:noWrap/>
            <w:hideMark/>
          </w:tcPr>
          <w:p w14:paraId="22806F93" w14:textId="21C8CB21"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033DD">
              <w:rPr>
                <w:rFonts w:ascii="Calibri" w:eastAsia="Times New Roman" w:hAnsi="Calibri" w:cs="Times New Roman"/>
                <w:b/>
                <w:bCs/>
                <w:i/>
                <w:iCs/>
                <w:color w:val="FFFFFF" w:themeColor="background1"/>
                <w:sz w:val="18"/>
                <w:szCs w:val="18"/>
                <w:lang w:eastAsia="en-AU"/>
              </w:rPr>
              <w:t>—</w:t>
            </w:r>
          </w:p>
        </w:tc>
        <w:tc>
          <w:tcPr>
            <w:tcW w:w="1417" w:type="dxa"/>
            <w:tcBorders>
              <w:top w:val="nil"/>
              <w:left w:val="nil"/>
              <w:bottom w:val="nil"/>
              <w:right w:val="nil"/>
            </w:tcBorders>
            <w:shd w:val="clear" w:color="auto" w:fill="auto"/>
            <w:noWrap/>
            <w:hideMark/>
          </w:tcPr>
          <w:p w14:paraId="34452448" w14:textId="2F25698F"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C033DD">
              <w:rPr>
                <w:rFonts w:ascii="Calibri" w:eastAsia="Times New Roman" w:hAnsi="Calibri" w:cs="Times New Roman"/>
                <w:b/>
                <w:bCs/>
                <w:i/>
                <w:iCs/>
                <w:color w:val="FFFFFF" w:themeColor="background1"/>
                <w:sz w:val="18"/>
                <w:szCs w:val="18"/>
                <w:lang w:eastAsia="en-AU"/>
              </w:rPr>
              <w:t>—</w:t>
            </w:r>
          </w:p>
        </w:tc>
      </w:tr>
      <w:tr w:rsidR="00143D89" w:rsidRPr="00F71A22" w14:paraId="17E7BC7B" w14:textId="77777777" w:rsidTr="001F4507">
        <w:trPr>
          <w:trHeight w:val="283"/>
        </w:trPr>
        <w:tc>
          <w:tcPr>
            <w:tcW w:w="1900" w:type="dxa"/>
            <w:tcBorders>
              <w:top w:val="nil"/>
              <w:left w:val="nil"/>
              <w:bottom w:val="nil"/>
              <w:right w:val="nil"/>
            </w:tcBorders>
            <w:shd w:val="clear" w:color="auto" w:fill="auto"/>
            <w:noWrap/>
            <w:vAlign w:val="bottom"/>
            <w:hideMark/>
          </w:tcPr>
          <w:p w14:paraId="67683CD7"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108" w:type="dxa"/>
            <w:tcBorders>
              <w:top w:val="nil"/>
              <w:left w:val="nil"/>
              <w:bottom w:val="nil"/>
              <w:right w:val="nil"/>
            </w:tcBorders>
            <w:shd w:val="clear" w:color="auto" w:fill="auto"/>
            <w:noWrap/>
            <w:vAlign w:val="bottom"/>
            <w:hideMark/>
          </w:tcPr>
          <w:p w14:paraId="24F2F5A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103 </w:t>
            </w:r>
          </w:p>
        </w:tc>
        <w:tc>
          <w:tcPr>
            <w:tcW w:w="1528" w:type="dxa"/>
            <w:gridSpan w:val="2"/>
            <w:tcBorders>
              <w:top w:val="nil"/>
              <w:left w:val="nil"/>
              <w:bottom w:val="nil"/>
              <w:right w:val="nil"/>
            </w:tcBorders>
            <w:shd w:val="clear" w:color="auto" w:fill="auto"/>
            <w:noWrap/>
            <w:vAlign w:val="bottom"/>
            <w:hideMark/>
          </w:tcPr>
          <w:p w14:paraId="17C5B5B9" w14:textId="3D16CDDC"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 </w:t>
            </w:r>
          </w:p>
        </w:tc>
        <w:tc>
          <w:tcPr>
            <w:tcW w:w="1701" w:type="dxa"/>
            <w:tcBorders>
              <w:top w:val="nil"/>
              <w:left w:val="nil"/>
              <w:bottom w:val="nil"/>
              <w:right w:val="nil"/>
            </w:tcBorders>
            <w:shd w:val="clear" w:color="auto" w:fill="auto"/>
            <w:noWrap/>
            <w:vAlign w:val="bottom"/>
            <w:hideMark/>
          </w:tcPr>
          <w:p w14:paraId="16D92F56" w14:textId="6C54804D"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80 </w:t>
            </w:r>
          </w:p>
        </w:tc>
        <w:tc>
          <w:tcPr>
            <w:tcW w:w="993" w:type="dxa"/>
            <w:tcBorders>
              <w:top w:val="nil"/>
              <w:left w:val="nil"/>
              <w:bottom w:val="nil"/>
              <w:right w:val="nil"/>
            </w:tcBorders>
            <w:shd w:val="clear" w:color="auto" w:fill="auto"/>
            <w:noWrap/>
            <w:vAlign w:val="bottom"/>
            <w:hideMark/>
          </w:tcPr>
          <w:p w14:paraId="24F9A167" w14:textId="08916F41"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1.4 </w:t>
            </w:r>
          </w:p>
        </w:tc>
        <w:tc>
          <w:tcPr>
            <w:tcW w:w="1417" w:type="dxa"/>
            <w:tcBorders>
              <w:top w:val="nil"/>
              <w:left w:val="nil"/>
              <w:bottom w:val="nil"/>
              <w:right w:val="nil"/>
            </w:tcBorders>
            <w:shd w:val="clear" w:color="auto" w:fill="auto"/>
            <w:noWrap/>
            <w:vAlign w:val="bottom"/>
            <w:hideMark/>
          </w:tcPr>
          <w:p w14:paraId="17B1B7E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0.4</w:t>
            </w:r>
          </w:p>
        </w:tc>
      </w:tr>
      <w:tr w:rsidR="00143D89" w:rsidRPr="00F71A22" w14:paraId="7965CABF" w14:textId="77777777" w:rsidTr="001F4507">
        <w:trPr>
          <w:trHeight w:val="283"/>
        </w:trPr>
        <w:tc>
          <w:tcPr>
            <w:tcW w:w="1900" w:type="dxa"/>
            <w:tcBorders>
              <w:top w:val="nil"/>
              <w:left w:val="nil"/>
              <w:bottom w:val="nil"/>
              <w:right w:val="nil"/>
            </w:tcBorders>
            <w:shd w:val="clear" w:color="auto" w:fill="auto"/>
            <w:noWrap/>
            <w:vAlign w:val="bottom"/>
            <w:hideMark/>
          </w:tcPr>
          <w:p w14:paraId="303685B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108" w:type="dxa"/>
            <w:tcBorders>
              <w:top w:val="nil"/>
              <w:left w:val="nil"/>
              <w:bottom w:val="nil"/>
              <w:right w:val="nil"/>
            </w:tcBorders>
            <w:shd w:val="clear" w:color="auto" w:fill="auto"/>
            <w:noWrap/>
            <w:vAlign w:val="bottom"/>
            <w:hideMark/>
          </w:tcPr>
          <w:p w14:paraId="36B383F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1,031 </w:t>
            </w:r>
          </w:p>
        </w:tc>
        <w:tc>
          <w:tcPr>
            <w:tcW w:w="1528" w:type="dxa"/>
            <w:gridSpan w:val="2"/>
            <w:tcBorders>
              <w:top w:val="nil"/>
              <w:left w:val="nil"/>
              <w:bottom w:val="nil"/>
              <w:right w:val="nil"/>
            </w:tcBorders>
            <w:shd w:val="clear" w:color="auto" w:fill="auto"/>
            <w:noWrap/>
            <w:vAlign w:val="bottom"/>
            <w:hideMark/>
          </w:tcPr>
          <w:p w14:paraId="1FDA31B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21.7 </w:t>
            </w:r>
          </w:p>
        </w:tc>
        <w:tc>
          <w:tcPr>
            <w:tcW w:w="1701" w:type="dxa"/>
            <w:tcBorders>
              <w:top w:val="nil"/>
              <w:left w:val="nil"/>
              <w:bottom w:val="nil"/>
              <w:right w:val="nil"/>
            </w:tcBorders>
            <w:shd w:val="clear" w:color="auto" w:fill="auto"/>
            <w:noWrap/>
            <w:vAlign w:val="bottom"/>
            <w:hideMark/>
          </w:tcPr>
          <w:p w14:paraId="10B2CA1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880 </w:t>
            </w:r>
          </w:p>
        </w:tc>
        <w:tc>
          <w:tcPr>
            <w:tcW w:w="993" w:type="dxa"/>
            <w:tcBorders>
              <w:top w:val="nil"/>
              <w:left w:val="nil"/>
              <w:bottom w:val="nil"/>
              <w:right w:val="nil"/>
            </w:tcBorders>
            <w:shd w:val="clear" w:color="auto" w:fill="auto"/>
            <w:noWrap/>
            <w:vAlign w:val="bottom"/>
            <w:hideMark/>
          </w:tcPr>
          <w:p w14:paraId="35FEE70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18.5 </w:t>
            </w:r>
          </w:p>
        </w:tc>
        <w:tc>
          <w:tcPr>
            <w:tcW w:w="1417" w:type="dxa"/>
            <w:tcBorders>
              <w:top w:val="nil"/>
              <w:left w:val="nil"/>
              <w:bottom w:val="nil"/>
              <w:right w:val="nil"/>
            </w:tcBorders>
            <w:shd w:val="clear" w:color="auto" w:fill="auto"/>
            <w:noWrap/>
            <w:vAlign w:val="bottom"/>
            <w:hideMark/>
          </w:tcPr>
          <w:p w14:paraId="0EF21D9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3.1*</w:t>
            </w:r>
          </w:p>
        </w:tc>
      </w:tr>
      <w:tr w:rsidR="00143D89" w:rsidRPr="00F71A22" w14:paraId="61703D6B" w14:textId="77777777" w:rsidTr="001F4507">
        <w:trPr>
          <w:trHeight w:val="283"/>
        </w:trPr>
        <w:tc>
          <w:tcPr>
            <w:tcW w:w="1900" w:type="dxa"/>
            <w:tcBorders>
              <w:top w:val="nil"/>
              <w:left w:val="nil"/>
              <w:bottom w:val="single" w:sz="8" w:space="0" w:color="auto"/>
              <w:right w:val="nil"/>
            </w:tcBorders>
            <w:shd w:val="clear" w:color="auto" w:fill="auto"/>
            <w:noWrap/>
            <w:vAlign w:val="bottom"/>
            <w:hideMark/>
          </w:tcPr>
          <w:p w14:paraId="511FF79F"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108" w:type="dxa"/>
            <w:tcBorders>
              <w:top w:val="nil"/>
              <w:left w:val="nil"/>
              <w:bottom w:val="single" w:sz="8" w:space="0" w:color="auto"/>
              <w:right w:val="nil"/>
            </w:tcBorders>
            <w:shd w:val="clear" w:color="auto" w:fill="auto"/>
            <w:noWrap/>
            <w:vAlign w:val="bottom"/>
            <w:hideMark/>
          </w:tcPr>
          <w:p w14:paraId="526B80E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1,562 </w:t>
            </w:r>
          </w:p>
        </w:tc>
        <w:tc>
          <w:tcPr>
            <w:tcW w:w="1528" w:type="dxa"/>
            <w:gridSpan w:val="2"/>
            <w:tcBorders>
              <w:top w:val="nil"/>
              <w:left w:val="nil"/>
              <w:bottom w:val="single" w:sz="8" w:space="0" w:color="auto"/>
              <w:right w:val="nil"/>
            </w:tcBorders>
            <w:shd w:val="clear" w:color="auto" w:fill="auto"/>
            <w:noWrap/>
            <w:vAlign w:val="bottom"/>
            <w:hideMark/>
          </w:tcPr>
          <w:p w14:paraId="013C03B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47.5 </w:t>
            </w:r>
          </w:p>
        </w:tc>
        <w:tc>
          <w:tcPr>
            <w:tcW w:w="1701" w:type="dxa"/>
            <w:tcBorders>
              <w:top w:val="nil"/>
              <w:left w:val="nil"/>
              <w:bottom w:val="single" w:sz="8" w:space="0" w:color="auto"/>
              <w:right w:val="nil"/>
            </w:tcBorders>
            <w:shd w:val="clear" w:color="auto" w:fill="auto"/>
            <w:noWrap/>
            <w:vAlign w:val="bottom"/>
            <w:hideMark/>
          </w:tcPr>
          <w:p w14:paraId="7667645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1,560 </w:t>
            </w:r>
          </w:p>
        </w:tc>
        <w:tc>
          <w:tcPr>
            <w:tcW w:w="993" w:type="dxa"/>
            <w:tcBorders>
              <w:top w:val="nil"/>
              <w:left w:val="nil"/>
              <w:bottom w:val="single" w:sz="8" w:space="0" w:color="auto"/>
              <w:right w:val="nil"/>
            </w:tcBorders>
            <w:shd w:val="clear" w:color="auto" w:fill="auto"/>
            <w:noWrap/>
            <w:vAlign w:val="bottom"/>
            <w:hideMark/>
          </w:tcPr>
          <w:p w14:paraId="7782184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47.7 </w:t>
            </w:r>
          </w:p>
        </w:tc>
        <w:tc>
          <w:tcPr>
            <w:tcW w:w="1417" w:type="dxa"/>
            <w:tcBorders>
              <w:top w:val="nil"/>
              <w:left w:val="nil"/>
              <w:bottom w:val="single" w:sz="8" w:space="0" w:color="auto"/>
              <w:right w:val="nil"/>
            </w:tcBorders>
            <w:shd w:val="clear" w:color="auto" w:fill="auto"/>
            <w:noWrap/>
            <w:vAlign w:val="bottom"/>
            <w:hideMark/>
          </w:tcPr>
          <w:p w14:paraId="54EB498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-0.2</w:t>
            </w:r>
          </w:p>
        </w:tc>
      </w:tr>
    </w:tbl>
    <w:p w14:paraId="29F1245D" w14:textId="066637E0" w:rsidR="00143D89" w:rsidRPr="00F71A22" w:rsidRDefault="00143D89" w:rsidP="001F4507">
      <w:pPr>
        <w:pStyle w:val="Source"/>
        <w:contextualSpacing/>
      </w:pPr>
      <w:r w:rsidRPr="00F71A22">
        <w:rPr>
          <w:b/>
          <w:bCs/>
        </w:rPr>
        <w:t>Source</w:t>
      </w:r>
      <w:r w:rsidRPr="00F71A22">
        <w:t xml:space="preserve">: DESE </w:t>
      </w:r>
      <w:r w:rsidR="00DA1E0C">
        <w:t>a</w:t>
      </w:r>
      <w:r w:rsidRPr="00F71A22">
        <w:t xml:space="preserve">dministrative </w:t>
      </w:r>
      <w:r w:rsidR="00DA1E0C">
        <w:t>d</w:t>
      </w:r>
      <w:r w:rsidRPr="00F71A22">
        <w:t>ata</w:t>
      </w:r>
    </w:p>
    <w:p w14:paraId="5BC6C49A" w14:textId="77777777" w:rsidR="00EE3C8D" w:rsidRDefault="00143D89" w:rsidP="001F4507">
      <w:pPr>
        <w:pStyle w:val="Source"/>
        <w:contextualSpacing/>
      </w:pPr>
      <w:r w:rsidRPr="00F71A22">
        <w:rPr>
          <w:b/>
          <w:bCs/>
        </w:rPr>
        <w:t>Note</w:t>
      </w:r>
      <w:r w:rsidRPr="00F71A22">
        <w:t>:</w:t>
      </w:r>
    </w:p>
    <w:p w14:paraId="3869435A" w14:textId="6D67A035" w:rsidR="00EE3C8D" w:rsidRDefault="00143D89" w:rsidP="001F4507">
      <w:pPr>
        <w:pStyle w:val="Source"/>
        <w:contextualSpacing/>
      </w:pPr>
      <w:r w:rsidRPr="00F71A22">
        <w:t>* indicates statistically significant difference between groups at p &lt; 0.05</w:t>
      </w:r>
    </w:p>
    <w:p w14:paraId="230CCC3E" w14:textId="410D5B02" w:rsidR="00143D89" w:rsidRPr="00F71A22" w:rsidRDefault="00143D89" w:rsidP="001F4507">
      <w:pPr>
        <w:pStyle w:val="Source"/>
        <w:contextualSpacing/>
      </w:pPr>
      <w:r w:rsidRPr="00F71A22">
        <w:t>## indicates values lower than 20</w:t>
      </w:r>
    </w:p>
    <w:p w14:paraId="3D0432CD" w14:textId="77777777" w:rsidR="00143D89" w:rsidRPr="00F71A22" w:rsidRDefault="00143D89" w:rsidP="00143D89">
      <w:pPr>
        <w:spacing w:before="0" w:after="160" w:line="259" w:lineRule="auto"/>
        <w:rPr>
          <w:rFonts w:ascii="Calibri" w:eastAsia="Times New Roman" w:hAnsi="Calibri" w:cstheme="majorBidi"/>
          <w:color w:val="008276"/>
          <w:sz w:val="28"/>
          <w:szCs w:val="24"/>
          <w:lang w:eastAsia="en-AU"/>
        </w:rPr>
      </w:pPr>
      <w:bookmarkStart w:id="269" w:name="_Toc47520168"/>
      <w:bookmarkStart w:id="270" w:name="_Toc49871078"/>
      <w:r w:rsidRPr="00F71A22">
        <w:rPr>
          <w:rFonts w:eastAsia="Times New Roman"/>
          <w:lang w:eastAsia="en-AU"/>
        </w:rPr>
        <w:br w:type="page"/>
      </w:r>
    </w:p>
    <w:p w14:paraId="651DB8DD" w14:textId="77777777" w:rsidR="00143D89" w:rsidRPr="00F71A22" w:rsidRDefault="00143D89" w:rsidP="00143D89">
      <w:pPr>
        <w:pStyle w:val="Heading3"/>
        <w:rPr>
          <w:rFonts w:eastAsia="Times New Roman"/>
          <w:lang w:eastAsia="en-AU"/>
        </w:rPr>
      </w:pPr>
      <w:bookmarkStart w:id="271" w:name="_Toc67042658"/>
      <w:r w:rsidRPr="00F71A22">
        <w:rPr>
          <w:rFonts w:eastAsia="Times New Roman"/>
          <w:lang w:eastAsia="en-AU"/>
        </w:rPr>
        <w:lastRenderedPageBreak/>
        <w:t>Previous experience of income support</w:t>
      </w:r>
      <w:bookmarkEnd w:id="269"/>
      <w:bookmarkEnd w:id="270"/>
      <w:bookmarkEnd w:id="271"/>
    </w:p>
    <w:p w14:paraId="4049E0AF" w14:textId="01457FDF" w:rsidR="00143D89" w:rsidRPr="001F4507" w:rsidRDefault="00143D89" w:rsidP="0006562C">
      <w:pPr>
        <w:pStyle w:val="TableCaption"/>
      </w:pPr>
      <w:bookmarkStart w:id="272" w:name="_Toc51144063"/>
      <w:bookmarkStart w:id="273" w:name="_Toc67042672"/>
      <w:r w:rsidRPr="001F4507">
        <w:t>Table E6 Exits by previous experience of income support</w:t>
      </w:r>
      <w:bookmarkEnd w:id="272"/>
      <w:bookmarkEnd w:id="273"/>
    </w:p>
    <w:tbl>
      <w:tblPr>
        <w:tblW w:w="9015" w:type="dxa"/>
        <w:tblLook w:val="04A0" w:firstRow="1" w:lastRow="0" w:firstColumn="1" w:lastColumn="0" w:noHBand="0" w:noVBand="1"/>
      </w:tblPr>
      <w:tblGrid>
        <w:gridCol w:w="2410"/>
        <w:gridCol w:w="1284"/>
        <w:gridCol w:w="64"/>
        <w:gridCol w:w="1178"/>
        <w:gridCol w:w="1643"/>
        <w:gridCol w:w="1098"/>
        <w:gridCol w:w="1371"/>
      </w:tblGrid>
      <w:tr w:rsidR="00143D89" w:rsidRPr="00F71A22" w14:paraId="710216C6" w14:textId="77777777" w:rsidTr="001F4507">
        <w:trPr>
          <w:cantSplit/>
          <w:trHeight w:val="975"/>
          <w:tblHeader/>
        </w:trPr>
        <w:tc>
          <w:tcPr>
            <w:tcW w:w="2500" w:type="dxa"/>
            <w:tcBorders>
              <w:top w:val="single" w:sz="4" w:space="0" w:color="auto"/>
              <w:left w:val="nil"/>
              <w:bottom w:val="single" w:sz="8" w:space="0" w:color="auto"/>
              <w:right w:val="nil"/>
            </w:tcBorders>
            <w:shd w:val="clear" w:color="auto" w:fill="002D3F"/>
            <w:vAlign w:val="center"/>
            <w:hideMark/>
          </w:tcPr>
          <w:p w14:paraId="6D3D70B7"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Exits</w:t>
            </w:r>
          </w:p>
        </w:tc>
        <w:tc>
          <w:tcPr>
            <w:tcW w:w="1386" w:type="dxa"/>
            <w:gridSpan w:val="2"/>
            <w:tcBorders>
              <w:top w:val="single" w:sz="4" w:space="0" w:color="auto"/>
              <w:left w:val="nil"/>
              <w:bottom w:val="single" w:sz="8" w:space="0" w:color="auto"/>
              <w:right w:val="nil"/>
            </w:tcBorders>
            <w:shd w:val="clear" w:color="auto" w:fill="002D3F"/>
            <w:vAlign w:val="center"/>
            <w:hideMark/>
          </w:tcPr>
          <w:p w14:paraId="6919FFD5"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OEST participants</w:t>
            </w:r>
          </w:p>
        </w:tc>
        <w:tc>
          <w:tcPr>
            <w:tcW w:w="1217" w:type="dxa"/>
            <w:tcBorders>
              <w:top w:val="single" w:sz="4" w:space="0" w:color="auto"/>
              <w:left w:val="nil"/>
              <w:bottom w:val="single" w:sz="8" w:space="0" w:color="auto"/>
              <w:right w:val="nil"/>
            </w:tcBorders>
            <w:shd w:val="clear" w:color="auto" w:fill="002D3F"/>
            <w:vAlign w:val="center"/>
            <w:hideMark/>
          </w:tcPr>
          <w:p w14:paraId="25788930"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701" w:type="dxa"/>
            <w:tcBorders>
              <w:top w:val="single" w:sz="4" w:space="0" w:color="auto"/>
              <w:left w:val="nil"/>
              <w:bottom w:val="single" w:sz="8" w:space="0" w:color="auto"/>
              <w:right w:val="nil"/>
            </w:tcBorders>
            <w:shd w:val="clear" w:color="auto" w:fill="002D3F"/>
            <w:vAlign w:val="center"/>
            <w:hideMark/>
          </w:tcPr>
          <w:p w14:paraId="1C33C51D"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comparison group</w:t>
            </w:r>
          </w:p>
        </w:tc>
        <w:tc>
          <w:tcPr>
            <w:tcW w:w="1134" w:type="dxa"/>
            <w:tcBorders>
              <w:top w:val="single" w:sz="4" w:space="0" w:color="auto"/>
              <w:left w:val="nil"/>
              <w:bottom w:val="single" w:sz="8" w:space="0" w:color="auto"/>
              <w:right w:val="nil"/>
            </w:tcBorders>
            <w:shd w:val="clear" w:color="auto" w:fill="002D3F"/>
            <w:vAlign w:val="center"/>
            <w:hideMark/>
          </w:tcPr>
          <w:p w14:paraId="091DB8BD"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w:t>
            </w:r>
          </w:p>
        </w:tc>
        <w:tc>
          <w:tcPr>
            <w:tcW w:w="1418" w:type="dxa"/>
            <w:tcBorders>
              <w:top w:val="single" w:sz="4" w:space="0" w:color="auto"/>
              <w:left w:val="nil"/>
              <w:bottom w:val="single" w:sz="8" w:space="0" w:color="auto"/>
              <w:right w:val="nil"/>
            </w:tcBorders>
            <w:shd w:val="clear" w:color="auto" w:fill="002D3F"/>
            <w:vAlign w:val="center"/>
            <w:hideMark/>
          </w:tcPr>
          <w:p w14:paraId="5444DDE9"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 cent difference</w:t>
            </w:r>
          </w:p>
        </w:tc>
      </w:tr>
      <w:tr w:rsidR="006B3DCB" w:rsidRPr="00F71A22" w14:paraId="5195FC6D" w14:textId="77777777" w:rsidTr="001F4507">
        <w:trPr>
          <w:trHeight w:val="283"/>
        </w:trPr>
        <w:tc>
          <w:tcPr>
            <w:tcW w:w="2500" w:type="dxa"/>
            <w:tcBorders>
              <w:top w:val="nil"/>
              <w:left w:val="nil"/>
              <w:bottom w:val="nil"/>
              <w:right w:val="nil"/>
            </w:tcBorders>
            <w:shd w:val="clear" w:color="auto" w:fill="auto"/>
            <w:noWrap/>
            <w:vAlign w:val="bottom"/>
            <w:hideMark/>
          </w:tcPr>
          <w:p w14:paraId="78308FAE" w14:textId="77777777" w:rsidR="006B3DCB" w:rsidRPr="00F71A22" w:rsidRDefault="006B3DCB" w:rsidP="006B3DCB">
            <w:pPr>
              <w:spacing w:before="0" w:after="0" w:line="240" w:lineRule="auto"/>
              <w:rPr>
                <w:rFonts w:ascii="Calibri" w:eastAsia="Times New Roman" w:hAnsi="Calibri" w:cs="Times New Roman"/>
                <w:b/>
                <w:bCs/>
                <w:color w:val="000000"/>
                <w:sz w:val="18"/>
                <w:szCs w:val="18"/>
                <w:lang w:eastAsia="en-AU"/>
              </w:rPr>
            </w:pPr>
            <w:r w:rsidRPr="00F71A22">
              <w:rPr>
                <w:rFonts w:ascii="Calibri" w:eastAsia="Times New Roman" w:hAnsi="Calibri" w:cs="Times New Roman"/>
                <w:b/>
                <w:bCs/>
                <w:color w:val="000000"/>
                <w:sz w:val="18"/>
                <w:szCs w:val="18"/>
                <w:lang w:eastAsia="en-AU"/>
              </w:rPr>
              <w:t>Exits from income support</w:t>
            </w:r>
          </w:p>
        </w:tc>
        <w:tc>
          <w:tcPr>
            <w:tcW w:w="1328" w:type="dxa"/>
            <w:tcBorders>
              <w:top w:val="nil"/>
              <w:left w:val="nil"/>
              <w:bottom w:val="nil"/>
              <w:right w:val="nil"/>
            </w:tcBorders>
            <w:shd w:val="clear" w:color="auto" w:fill="auto"/>
            <w:noWrap/>
            <w:hideMark/>
          </w:tcPr>
          <w:p w14:paraId="7A04F9D2" w14:textId="739BC28E" w:rsidR="006B3DCB" w:rsidRPr="00F71A22" w:rsidRDefault="006B3DCB" w:rsidP="006B3DCB">
            <w:pPr>
              <w:spacing w:before="0" w:after="0" w:line="240" w:lineRule="auto"/>
              <w:rPr>
                <w:rFonts w:ascii="Calibri" w:eastAsia="Times New Roman" w:hAnsi="Calibri" w:cs="Times New Roman"/>
                <w:b/>
                <w:bCs/>
                <w:color w:val="000000"/>
                <w:sz w:val="18"/>
                <w:szCs w:val="18"/>
                <w:lang w:eastAsia="en-AU"/>
              </w:rPr>
            </w:pPr>
            <w:r w:rsidRPr="00BF5E5F">
              <w:rPr>
                <w:rFonts w:ascii="Calibri" w:eastAsia="Times New Roman" w:hAnsi="Calibri" w:cs="Times New Roman"/>
                <w:b/>
                <w:bCs/>
                <w:i/>
                <w:i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hideMark/>
          </w:tcPr>
          <w:p w14:paraId="2BF0F7FC" w14:textId="3983C503"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BF5E5F">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56663A6A" w14:textId="0F29CEA6"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BF5E5F">
              <w:rPr>
                <w:rFonts w:ascii="Calibri" w:eastAsia="Times New Roman" w:hAnsi="Calibri" w:cs="Times New Roman"/>
                <w:b/>
                <w:bCs/>
                <w:i/>
                <w:iCs/>
                <w:color w:val="FFFFFF" w:themeColor="background1"/>
                <w:sz w:val="18"/>
                <w:szCs w:val="18"/>
                <w:lang w:eastAsia="en-AU"/>
              </w:rPr>
              <w:t>—</w:t>
            </w:r>
          </w:p>
        </w:tc>
        <w:tc>
          <w:tcPr>
            <w:tcW w:w="1134" w:type="dxa"/>
            <w:tcBorders>
              <w:top w:val="nil"/>
              <w:left w:val="nil"/>
              <w:bottom w:val="nil"/>
              <w:right w:val="nil"/>
            </w:tcBorders>
            <w:shd w:val="clear" w:color="auto" w:fill="auto"/>
            <w:noWrap/>
            <w:hideMark/>
          </w:tcPr>
          <w:p w14:paraId="2ADBD35E" w14:textId="51E95F84"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BF5E5F">
              <w:rPr>
                <w:rFonts w:ascii="Calibri" w:eastAsia="Times New Roman" w:hAnsi="Calibri" w:cs="Times New Roman"/>
                <w:b/>
                <w:bCs/>
                <w:i/>
                <w:iCs/>
                <w:color w:val="FFFFFF" w:themeColor="background1"/>
                <w:sz w:val="18"/>
                <w:szCs w:val="18"/>
                <w:lang w:eastAsia="en-AU"/>
              </w:rPr>
              <w:t>—</w:t>
            </w:r>
          </w:p>
        </w:tc>
        <w:tc>
          <w:tcPr>
            <w:tcW w:w="1418" w:type="dxa"/>
            <w:tcBorders>
              <w:top w:val="nil"/>
              <w:left w:val="nil"/>
              <w:bottom w:val="nil"/>
              <w:right w:val="nil"/>
            </w:tcBorders>
            <w:shd w:val="clear" w:color="auto" w:fill="auto"/>
            <w:noWrap/>
            <w:hideMark/>
          </w:tcPr>
          <w:p w14:paraId="4E489557" w14:textId="0102210D" w:rsidR="006B3DCB" w:rsidRPr="00F71A22" w:rsidRDefault="006B3DCB" w:rsidP="006B3DCB">
            <w:pPr>
              <w:spacing w:before="0" w:after="0" w:line="240" w:lineRule="auto"/>
              <w:rPr>
                <w:rFonts w:ascii="Times New Roman" w:eastAsia="Times New Roman" w:hAnsi="Times New Roman" w:cs="Times New Roman"/>
                <w:sz w:val="18"/>
                <w:szCs w:val="18"/>
                <w:lang w:eastAsia="en-AU"/>
              </w:rPr>
            </w:pPr>
            <w:r w:rsidRPr="00BF5E5F">
              <w:rPr>
                <w:rFonts w:ascii="Calibri" w:eastAsia="Times New Roman" w:hAnsi="Calibri" w:cs="Times New Roman"/>
                <w:b/>
                <w:bCs/>
                <w:i/>
                <w:iCs/>
                <w:color w:val="FFFFFF" w:themeColor="background1"/>
                <w:sz w:val="18"/>
                <w:szCs w:val="18"/>
                <w:lang w:eastAsia="en-AU"/>
              </w:rPr>
              <w:t>—</w:t>
            </w:r>
          </w:p>
        </w:tc>
      </w:tr>
      <w:tr w:rsidR="006B3DCB" w:rsidRPr="00F71A22" w14:paraId="3ED3675F" w14:textId="77777777" w:rsidTr="001F4507">
        <w:trPr>
          <w:trHeight w:val="283"/>
        </w:trPr>
        <w:tc>
          <w:tcPr>
            <w:tcW w:w="2500" w:type="dxa"/>
            <w:tcBorders>
              <w:top w:val="nil"/>
              <w:left w:val="nil"/>
              <w:bottom w:val="nil"/>
              <w:right w:val="nil"/>
            </w:tcBorders>
            <w:shd w:val="clear" w:color="auto" w:fill="auto"/>
            <w:noWrap/>
            <w:vAlign w:val="bottom"/>
          </w:tcPr>
          <w:p w14:paraId="4E08C85C" w14:textId="51F2A1F4" w:rsidR="006B3DCB" w:rsidRPr="00F71A22" w:rsidRDefault="006B3DCB" w:rsidP="006B3DCB">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 previous income support within 2 years prior</w:t>
            </w:r>
          </w:p>
        </w:tc>
        <w:tc>
          <w:tcPr>
            <w:tcW w:w="1328" w:type="dxa"/>
            <w:tcBorders>
              <w:top w:val="nil"/>
              <w:left w:val="nil"/>
              <w:bottom w:val="nil"/>
              <w:right w:val="nil"/>
            </w:tcBorders>
            <w:shd w:val="clear" w:color="auto" w:fill="auto"/>
            <w:noWrap/>
          </w:tcPr>
          <w:p w14:paraId="41FB4AE3" w14:textId="092FE494"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62859">
              <w:rPr>
                <w:rFonts w:ascii="Calibri" w:eastAsia="Times New Roman" w:hAnsi="Calibri" w:cs="Times New Roman"/>
                <w:b/>
                <w:bCs/>
                <w:i/>
                <w:i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6074BBA8" w14:textId="0D60BE29"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62859">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79500A06" w14:textId="536BEDCE"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62859">
              <w:rPr>
                <w:rFonts w:ascii="Calibri" w:eastAsia="Times New Roman" w:hAnsi="Calibri" w:cs="Times New Roman"/>
                <w:b/>
                <w:bCs/>
                <w:i/>
                <w:i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0E9D7AE6" w14:textId="6E8ED98A"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62859">
              <w:rPr>
                <w:rFonts w:ascii="Calibri" w:eastAsia="Times New Roman" w:hAnsi="Calibri" w:cs="Times New Roman"/>
                <w:b/>
                <w:bCs/>
                <w:i/>
                <w:i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4A8080A0" w14:textId="793C7DF0"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62859">
              <w:rPr>
                <w:rFonts w:ascii="Calibri" w:eastAsia="Times New Roman" w:hAnsi="Calibri" w:cs="Times New Roman"/>
                <w:b/>
                <w:bCs/>
                <w:i/>
                <w:iCs/>
                <w:color w:val="FFFFFF" w:themeColor="background1"/>
                <w:sz w:val="18"/>
                <w:szCs w:val="18"/>
                <w:lang w:eastAsia="en-AU"/>
              </w:rPr>
              <w:t>—</w:t>
            </w:r>
          </w:p>
        </w:tc>
      </w:tr>
      <w:tr w:rsidR="00143D89" w:rsidRPr="00F71A22" w14:paraId="228BCF5D" w14:textId="77777777" w:rsidTr="001F4507">
        <w:trPr>
          <w:trHeight w:val="283"/>
        </w:trPr>
        <w:tc>
          <w:tcPr>
            <w:tcW w:w="2500" w:type="dxa"/>
            <w:tcBorders>
              <w:top w:val="nil"/>
              <w:left w:val="nil"/>
              <w:bottom w:val="nil"/>
              <w:right w:val="nil"/>
            </w:tcBorders>
            <w:shd w:val="clear" w:color="auto" w:fill="auto"/>
            <w:noWrap/>
            <w:vAlign w:val="bottom"/>
            <w:hideMark/>
          </w:tcPr>
          <w:p w14:paraId="7B14C34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6694A03C" w14:textId="2227C6F2"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1275" w:type="dxa"/>
            <w:gridSpan w:val="2"/>
            <w:tcBorders>
              <w:top w:val="nil"/>
              <w:left w:val="nil"/>
              <w:bottom w:val="nil"/>
              <w:right w:val="nil"/>
            </w:tcBorders>
            <w:shd w:val="clear" w:color="auto" w:fill="auto"/>
            <w:noWrap/>
            <w:vAlign w:val="bottom"/>
            <w:hideMark/>
          </w:tcPr>
          <w:p w14:paraId="6ED3FA08" w14:textId="2AE0A904"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4.4 </w:t>
            </w:r>
          </w:p>
        </w:tc>
        <w:tc>
          <w:tcPr>
            <w:tcW w:w="1701" w:type="dxa"/>
            <w:tcBorders>
              <w:top w:val="nil"/>
              <w:left w:val="nil"/>
              <w:bottom w:val="nil"/>
              <w:right w:val="nil"/>
            </w:tcBorders>
            <w:shd w:val="clear" w:color="auto" w:fill="auto"/>
            <w:noWrap/>
            <w:vAlign w:val="bottom"/>
            <w:hideMark/>
          </w:tcPr>
          <w:p w14:paraId="552BF5BF" w14:textId="5460D611"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w:t>
            </w:r>
          </w:p>
        </w:tc>
        <w:tc>
          <w:tcPr>
            <w:tcW w:w="1134" w:type="dxa"/>
            <w:tcBorders>
              <w:top w:val="nil"/>
              <w:left w:val="nil"/>
              <w:bottom w:val="nil"/>
              <w:right w:val="nil"/>
            </w:tcBorders>
            <w:shd w:val="clear" w:color="auto" w:fill="auto"/>
            <w:noWrap/>
            <w:vAlign w:val="bottom"/>
            <w:hideMark/>
          </w:tcPr>
          <w:p w14:paraId="127F8F82" w14:textId="22B54945"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 </w:t>
            </w:r>
          </w:p>
        </w:tc>
        <w:tc>
          <w:tcPr>
            <w:tcW w:w="1418" w:type="dxa"/>
            <w:tcBorders>
              <w:top w:val="nil"/>
              <w:left w:val="nil"/>
              <w:bottom w:val="nil"/>
              <w:right w:val="nil"/>
            </w:tcBorders>
            <w:shd w:val="clear" w:color="auto" w:fill="auto"/>
            <w:noWrap/>
            <w:vAlign w:val="bottom"/>
            <w:hideMark/>
          </w:tcPr>
          <w:p w14:paraId="42B1300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-0.7</w:t>
            </w:r>
          </w:p>
        </w:tc>
      </w:tr>
      <w:tr w:rsidR="00143D89" w:rsidRPr="00F71A22" w14:paraId="04C44A04" w14:textId="77777777" w:rsidTr="001F4507">
        <w:trPr>
          <w:trHeight w:val="283"/>
        </w:trPr>
        <w:tc>
          <w:tcPr>
            <w:tcW w:w="2500" w:type="dxa"/>
            <w:tcBorders>
              <w:top w:val="nil"/>
              <w:left w:val="nil"/>
              <w:bottom w:val="nil"/>
              <w:right w:val="nil"/>
            </w:tcBorders>
            <w:shd w:val="clear" w:color="auto" w:fill="auto"/>
            <w:noWrap/>
            <w:vAlign w:val="bottom"/>
            <w:hideMark/>
          </w:tcPr>
          <w:p w14:paraId="689EE851"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33435AD8" w14:textId="1B6E7F54"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52 </w:t>
            </w:r>
          </w:p>
        </w:tc>
        <w:tc>
          <w:tcPr>
            <w:tcW w:w="1275" w:type="dxa"/>
            <w:gridSpan w:val="2"/>
            <w:tcBorders>
              <w:top w:val="nil"/>
              <w:left w:val="nil"/>
              <w:bottom w:val="nil"/>
              <w:right w:val="nil"/>
            </w:tcBorders>
            <w:shd w:val="clear" w:color="auto" w:fill="auto"/>
            <w:noWrap/>
            <w:vAlign w:val="bottom"/>
            <w:hideMark/>
          </w:tcPr>
          <w:p w14:paraId="3A00EE2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23.5 </w:t>
            </w:r>
          </w:p>
        </w:tc>
        <w:tc>
          <w:tcPr>
            <w:tcW w:w="1701" w:type="dxa"/>
            <w:tcBorders>
              <w:top w:val="nil"/>
              <w:left w:val="nil"/>
              <w:bottom w:val="nil"/>
              <w:right w:val="nil"/>
            </w:tcBorders>
            <w:shd w:val="clear" w:color="auto" w:fill="auto"/>
            <w:noWrap/>
            <w:vAlign w:val="bottom"/>
            <w:hideMark/>
          </w:tcPr>
          <w:p w14:paraId="50BC43C6" w14:textId="11F9A6BE"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55 </w:t>
            </w:r>
          </w:p>
        </w:tc>
        <w:tc>
          <w:tcPr>
            <w:tcW w:w="1134" w:type="dxa"/>
            <w:tcBorders>
              <w:top w:val="nil"/>
              <w:left w:val="nil"/>
              <w:bottom w:val="nil"/>
              <w:right w:val="nil"/>
            </w:tcBorders>
            <w:shd w:val="clear" w:color="auto" w:fill="auto"/>
            <w:noWrap/>
            <w:vAlign w:val="bottom"/>
            <w:hideMark/>
          </w:tcPr>
          <w:p w14:paraId="6180F05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24.6 </w:t>
            </w:r>
          </w:p>
        </w:tc>
        <w:tc>
          <w:tcPr>
            <w:tcW w:w="1418" w:type="dxa"/>
            <w:tcBorders>
              <w:top w:val="nil"/>
              <w:left w:val="nil"/>
              <w:bottom w:val="nil"/>
              <w:right w:val="nil"/>
            </w:tcBorders>
            <w:shd w:val="clear" w:color="auto" w:fill="auto"/>
            <w:noWrap/>
            <w:vAlign w:val="bottom"/>
            <w:hideMark/>
          </w:tcPr>
          <w:p w14:paraId="2A90817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-1.0</w:t>
            </w:r>
          </w:p>
        </w:tc>
      </w:tr>
      <w:tr w:rsidR="00143D89" w:rsidRPr="00F71A22" w14:paraId="496D90F3" w14:textId="77777777" w:rsidTr="001F4507">
        <w:trPr>
          <w:trHeight w:val="283"/>
        </w:trPr>
        <w:tc>
          <w:tcPr>
            <w:tcW w:w="2500" w:type="dxa"/>
            <w:tcBorders>
              <w:top w:val="nil"/>
              <w:left w:val="nil"/>
              <w:bottom w:val="nil"/>
              <w:right w:val="nil"/>
            </w:tcBorders>
            <w:shd w:val="clear" w:color="auto" w:fill="auto"/>
            <w:noWrap/>
            <w:vAlign w:val="bottom"/>
            <w:hideMark/>
          </w:tcPr>
          <w:p w14:paraId="7958385E"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nil"/>
              <w:right w:val="nil"/>
            </w:tcBorders>
            <w:shd w:val="clear" w:color="auto" w:fill="auto"/>
            <w:noWrap/>
            <w:vAlign w:val="bottom"/>
            <w:hideMark/>
          </w:tcPr>
          <w:p w14:paraId="487761D6" w14:textId="791767E5"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 </w:t>
            </w:r>
          </w:p>
        </w:tc>
        <w:tc>
          <w:tcPr>
            <w:tcW w:w="1275" w:type="dxa"/>
            <w:gridSpan w:val="2"/>
            <w:tcBorders>
              <w:top w:val="nil"/>
              <w:left w:val="nil"/>
              <w:bottom w:val="nil"/>
              <w:right w:val="nil"/>
            </w:tcBorders>
            <w:shd w:val="clear" w:color="auto" w:fill="auto"/>
            <w:noWrap/>
            <w:vAlign w:val="bottom"/>
            <w:hideMark/>
          </w:tcPr>
          <w:p w14:paraId="26F139F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34.2 </w:t>
            </w:r>
          </w:p>
        </w:tc>
        <w:tc>
          <w:tcPr>
            <w:tcW w:w="1701" w:type="dxa"/>
            <w:tcBorders>
              <w:top w:val="nil"/>
              <w:left w:val="nil"/>
              <w:bottom w:val="nil"/>
              <w:right w:val="nil"/>
            </w:tcBorders>
            <w:shd w:val="clear" w:color="auto" w:fill="auto"/>
            <w:noWrap/>
            <w:vAlign w:val="bottom"/>
            <w:hideMark/>
          </w:tcPr>
          <w:p w14:paraId="0F498FCD" w14:textId="317E85E4"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68 </w:t>
            </w:r>
          </w:p>
        </w:tc>
        <w:tc>
          <w:tcPr>
            <w:tcW w:w="1134" w:type="dxa"/>
            <w:tcBorders>
              <w:top w:val="nil"/>
              <w:left w:val="nil"/>
              <w:bottom w:val="nil"/>
              <w:right w:val="nil"/>
            </w:tcBorders>
            <w:shd w:val="clear" w:color="auto" w:fill="auto"/>
            <w:noWrap/>
            <w:vAlign w:val="bottom"/>
            <w:hideMark/>
          </w:tcPr>
          <w:p w14:paraId="141E618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44.4 </w:t>
            </w:r>
          </w:p>
        </w:tc>
        <w:tc>
          <w:tcPr>
            <w:tcW w:w="1418" w:type="dxa"/>
            <w:tcBorders>
              <w:top w:val="nil"/>
              <w:left w:val="nil"/>
              <w:bottom w:val="nil"/>
              <w:right w:val="nil"/>
            </w:tcBorders>
            <w:shd w:val="clear" w:color="auto" w:fill="auto"/>
            <w:noWrap/>
            <w:vAlign w:val="bottom"/>
            <w:hideMark/>
          </w:tcPr>
          <w:p w14:paraId="6C8F1D8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-10.2</w:t>
            </w:r>
          </w:p>
        </w:tc>
      </w:tr>
      <w:tr w:rsidR="006B3DCB" w:rsidRPr="00F71A22" w14:paraId="6460081C" w14:textId="77777777" w:rsidTr="001F4507">
        <w:trPr>
          <w:trHeight w:val="283"/>
        </w:trPr>
        <w:tc>
          <w:tcPr>
            <w:tcW w:w="2500" w:type="dxa"/>
            <w:tcBorders>
              <w:top w:val="nil"/>
              <w:left w:val="nil"/>
              <w:bottom w:val="nil"/>
              <w:right w:val="nil"/>
            </w:tcBorders>
            <w:shd w:val="clear" w:color="auto" w:fill="auto"/>
            <w:noWrap/>
            <w:vAlign w:val="bottom"/>
          </w:tcPr>
          <w:p w14:paraId="338B3CC1" w14:textId="101BDF7F" w:rsidR="006B3DCB" w:rsidRPr="00F71A22" w:rsidRDefault="006B3DCB" w:rsidP="006B3DCB">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Without previous income support within 2 years prior</w:t>
            </w:r>
          </w:p>
        </w:tc>
        <w:tc>
          <w:tcPr>
            <w:tcW w:w="1328" w:type="dxa"/>
            <w:tcBorders>
              <w:top w:val="nil"/>
              <w:left w:val="nil"/>
              <w:bottom w:val="nil"/>
              <w:right w:val="nil"/>
            </w:tcBorders>
            <w:shd w:val="clear" w:color="auto" w:fill="auto"/>
            <w:noWrap/>
          </w:tcPr>
          <w:p w14:paraId="7FA67879" w14:textId="3EF5C4AD"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F334E3">
              <w:rPr>
                <w:rFonts w:ascii="Calibri" w:eastAsia="Times New Roman" w:hAnsi="Calibri" w:cs="Times New Roman"/>
                <w:b/>
                <w:bCs/>
                <w:i/>
                <w:i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3068BB49" w14:textId="7586F2D1"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F334E3">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3CE5A6C7" w14:textId="551E3130"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F334E3">
              <w:rPr>
                <w:rFonts w:ascii="Calibri" w:eastAsia="Times New Roman" w:hAnsi="Calibri" w:cs="Times New Roman"/>
                <w:b/>
                <w:bCs/>
                <w:i/>
                <w:i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513BF02A" w14:textId="0251E29F"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F334E3">
              <w:rPr>
                <w:rFonts w:ascii="Calibri" w:eastAsia="Times New Roman" w:hAnsi="Calibri" w:cs="Times New Roman"/>
                <w:b/>
                <w:bCs/>
                <w:i/>
                <w:i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03796D3A" w14:textId="1A6F9B9F"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F334E3">
              <w:rPr>
                <w:rFonts w:ascii="Calibri" w:eastAsia="Times New Roman" w:hAnsi="Calibri" w:cs="Times New Roman"/>
                <w:b/>
                <w:bCs/>
                <w:i/>
                <w:iCs/>
                <w:color w:val="FFFFFF" w:themeColor="background1"/>
                <w:sz w:val="18"/>
                <w:szCs w:val="18"/>
                <w:lang w:eastAsia="en-AU"/>
              </w:rPr>
              <w:t>—</w:t>
            </w:r>
          </w:p>
        </w:tc>
      </w:tr>
      <w:tr w:rsidR="00143D89" w:rsidRPr="00F71A22" w14:paraId="240C153E" w14:textId="77777777" w:rsidTr="001F4507">
        <w:trPr>
          <w:trHeight w:val="283"/>
        </w:trPr>
        <w:tc>
          <w:tcPr>
            <w:tcW w:w="2500" w:type="dxa"/>
            <w:tcBorders>
              <w:top w:val="nil"/>
              <w:left w:val="nil"/>
              <w:bottom w:val="nil"/>
              <w:right w:val="nil"/>
            </w:tcBorders>
            <w:shd w:val="clear" w:color="auto" w:fill="auto"/>
            <w:noWrap/>
            <w:vAlign w:val="bottom"/>
            <w:hideMark/>
          </w:tcPr>
          <w:p w14:paraId="42F0C31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29794B4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665 </w:t>
            </w:r>
          </w:p>
        </w:tc>
        <w:tc>
          <w:tcPr>
            <w:tcW w:w="1275" w:type="dxa"/>
            <w:gridSpan w:val="2"/>
            <w:tcBorders>
              <w:top w:val="nil"/>
              <w:left w:val="nil"/>
              <w:bottom w:val="nil"/>
              <w:right w:val="nil"/>
            </w:tcBorders>
            <w:shd w:val="clear" w:color="auto" w:fill="auto"/>
            <w:noWrap/>
            <w:vAlign w:val="bottom"/>
            <w:hideMark/>
          </w:tcPr>
          <w:p w14:paraId="2D49E1A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10.4 </w:t>
            </w:r>
          </w:p>
        </w:tc>
        <w:tc>
          <w:tcPr>
            <w:tcW w:w="1701" w:type="dxa"/>
            <w:tcBorders>
              <w:top w:val="nil"/>
              <w:left w:val="nil"/>
              <w:bottom w:val="nil"/>
              <w:right w:val="nil"/>
            </w:tcBorders>
            <w:shd w:val="clear" w:color="auto" w:fill="auto"/>
            <w:noWrap/>
            <w:vAlign w:val="bottom"/>
            <w:hideMark/>
          </w:tcPr>
          <w:p w14:paraId="066264A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506 </w:t>
            </w:r>
          </w:p>
        </w:tc>
        <w:tc>
          <w:tcPr>
            <w:tcW w:w="1134" w:type="dxa"/>
            <w:tcBorders>
              <w:top w:val="nil"/>
              <w:left w:val="nil"/>
              <w:bottom w:val="nil"/>
              <w:right w:val="nil"/>
            </w:tcBorders>
            <w:shd w:val="clear" w:color="auto" w:fill="auto"/>
            <w:noWrap/>
            <w:vAlign w:val="bottom"/>
            <w:hideMark/>
          </w:tcPr>
          <w:p w14:paraId="07BB980F" w14:textId="71E21AC0"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7.9 </w:t>
            </w:r>
          </w:p>
        </w:tc>
        <w:tc>
          <w:tcPr>
            <w:tcW w:w="1418" w:type="dxa"/>
            <w:tcBorders>
              <w:top w:val="nil"/>
              <w:left w:val="nil"/>
              <w:bottom w:val="nil"/>
              <w:right w:val="nil"/>
            </w:tcBorders>
            <w:shd w:val="clear" w:color="auto" w:fill="auto"/>
            <w:noWrap/>
            <w:vAlign w:val="bottom"/>
            <w:hideMark/>
          </w:tcPr>
          <w:p w14:paraId="42C53EE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2.5*</w:t>
            </w:r>
          </w:p>
        </w:tc>
      </w:tr>
      <w:tr w:rsidR="00143D89" w:rsidRPr="00F71A22" w14:paraId="33B912A6" w14:textId="77777777" w:rsidTr="001F4507">
        <w:trPr>
          <w:trHeight w:val="283"/>
        </w:trPr>
        <w:tc>
          <w:tcPr>
            <w:tcW w:w="2500" w:type="dxa"/>
            <w:tcBorders>
              <w:top w:val="nil"/>
              <w:left w:val="nil"/>
              <w:bottom w:val="nil"/>
              <w:right w:val="nil"/>
            </w:tcBorders>
            <w:shd w:val="clear" w:color="auto" w:fill="auto"/>
            <w:noWrap/>
            <w:vAlign w:val="bottom"/>
            <w:hideMark/>
          </w:tcPr>
          <w:p w14:paraId="7E97AAC2"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1B7EE05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1,705 </w:t>
            </w:r>
          </w:p>
        </w:tc>
        <w:tc>
          <w:tcPr>
            <w:tcW w:w="1275" w:type="dxa"/>
            <w:gridSpan w:val="2"/>
            <w:tcBorders>
              <w:top w:val="nil"/>
              <w:left w:val="nil"/>
              <w:bottom w:val="nil"/>
              <w:right w:val="nil"/>
            </w:tcBorders>
            <w:shd w:val="clear" w:color="auto" w:fill="auto"/>
            <w:noWrap/>
            <w:vAlign w:val="bottom"/>
            <w:hideMark/>
          </w:tcPr>
          <w:p w14:paraId="6D7254C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32.9 </w:t>
            </w:r>
          </w:p>
        </w:tc>
        <w:tc>
          <w:tcPr>
            <w:tcW w:w="1701" w:type="dxa"/>
            <w:tcBorders>
              <w:top w:val="nil"/>
              <w:left w:val="nil"/>
              <w:bottom w:val="nil"/>
              <w:right w:val="nil"/>
            </w:tcBorders>
            <w:shd w:val="clear" w:color="auto" w:fill="auto"/>
            <w:noWrap/>
            <w:vAlign w:val="bottom"/>
            <w:hideMark/>
          </w:tcPr>
          <w:p w14:paraId="562B664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1,543 </w:t>
            </w:r>
          </w:p>
        </w:tc>
        <w:tc>
          <w:tcPr>
            <w:tcW w:w="1134" w:type="dxa"/>
            <w:tcBorders>
              <w:top w:val="nil"/>
              <w:left w:val="nil"/>
              <w:bottom w:val="nil"/>
              <w:right w:val="nil"/>
            </w:tcBorders>
            <w:shd w:val="clear" w:color="auto" w:fill="auto"/>
            <w:noWrap/>
            <w:vAlign w:val="bottom"/>
            <w:hideMark/>
          </w:tcPr>
          <w:p w14:paraId="5A009CA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29.9 </w:t>
            </w:r>
          </w:p>
        </w:tc>
        <w:tc>
          <w:tcPr>
            <w:tcW w:w="1418" w:type="dxa"/>
            <w:tcBorders>
              <w:top w:val="nil"/>
              <w:left w:val="nil"/>
              <w:bottom w:val="nil"/>
              <w:right w:val="nil"/>
            </w:tcBorders>
            <w:shd w:val="clear" w:color="auto" w:fill="auto"/>
            <w:noWrap/>
            <w:vAlign w:val="bottom"/>
            <w:hideMark/>
          </w:tcPr>
          <w:p w14:paraId="6487404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3.1*</w:t>
            </w:r>
          </w:p>
        </w:tc>
      </w:tr>
      <w:tr w:rsidR="00143D89" w:rsidRPr="00F71A22" w14:paraId="013CB111" w14:textId="77777777" w:rsidTr="001F4507">
        <w:trPr>
          <w:trHeight w:val="283"/>
        </w:trPr>
        <w:tc>
          <w:tcPr>
            <w:tcW w:w="2500" w:type="dxa"/>
            <w:tcBorders>
              <w:top w:val="nil"/>
              <w:left w:val="nil"/>
              <w:bottom w:val="nil"/>
              <w:right w:val="nil"/>
            </w:tcBorders>
            <w:shd w:val="clear" w:color="auto" w:fill="auto"/>
            <w:noWrap/>
            <w:vAlign w:val="bottom"/>
            <w:hideMark/>
          </w:tcPr>
          <w:p w14:paraId="5E0D28A5"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nil"/>
              <w:right w:val="nil"/>
            </w:tcBorders>
            <w:shd w:val="clear" w:color="auto" w:fill="auto"/>
            <w:noWrap/>
            <w:vAlign w:val="bottom"/>
            <w:hideMark/>
          </w:tcPr>
          <w:p w14:paraId="39DD209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1,805 </w:t>
            </w:r>
          </w:p>
        </w:tc>
        <w:tc>
          <w:tcPr>
            <w:tcW w:w="1275" w:type="dxa"/>
            <w:gridSpan w:val="2"/>
            <w:tcBorders>
              <w:top w:val="nil"/>
              <w:left w:val="nil"/>
              <w:bottom w:val="nil"/>
              <w:right w:val="nil"/>
            </w:tcBorders>
            <w:shd w:val="clear" w:color="auto" w:fill="auto"/>
            <w:noWrap/>
            <w:vAlign w:val="bottom"/>
            <w:hideMark/>
          </w:tcPr>
          <w:p w14:paraId="7337910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50.4 </w:t>
            </w:r>
          </w:p>
        </w:tc>
        <w:tc>
          <w:tcPr>
            <w:tcW w:w="1701" w:type="dxa"/>
            <w:tcBorders>
              <w:top w:val="nil"/>
              <w:left w:val="nil"/>
              <w:bottom w:val="nil"/>
              <w:right w:val="nil"/>
            </w:tcBorders>
            <w:shd w:val="clear" w:color="auto" w:fill="auto"/>
            <w:noWrap/>
            <w:vAlign w:val="bottom"/>
            <w:hideMark/>
          </w:tcPr>
          <w:p w14:paraId="35C47DE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1,850 </w:t>
            </w:r>
          </w:p>
        </w:tc>
        <w:tc>
          <w:tcPr>
            <w:tcW w:w="1134" w:type="dxa"/>
            <w:tcBorders>
              <w:top w:val="nil"/>
              <w:left w:val="nil"/>
              <w:bottom w:val="nil"/>
              <w:right w:val="nil"/>
            </w:tcBorders>
            <w:shd w:val="clear" w:color="auto" w:fill="auto"/>
            <w:noWrap/>
            <w:vAlign w:val="bottom"/>
            <w:hideMark/>
          </w:tcPr>
          <w:p w14:paraId="4E1F138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51.9 </w:t>
            </w:r>
          </w:p>
        </w:tc>
        <w:tc>
          <w:tcPr>
            <w:tcW w:w="1418" w:type="dxa"/>
            <w:tcBorders>
              <w:top w:val="nil"/>
              <w:left w:val="nil"/>
              <w:bottom w:val="nil"/>
              <w:right w:val="nil"/>
            </w:tcBorders>
            <w:shd w:val="clear" w:color="auto" w:fill="auto"/>
            <w:noWrap/>
            <w:vAlign w:val="bottom"/>
            <w:hideMark/>
          </w:tcPr>
          <w:p w14:paraId="193E2C7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-1.5</w:t>
            </w:r>
          </w:p>
        </w:tc>
      </w:tr>
      <w:tr w:rsidR="000001B9" w:rsidRPr="00F71A22" w14:paraId="79313BD2" w14:textId="77777777" w:rsidTr="001F4507">
        <w:trPr>
          <w:trHeight w:val="283"/>
        </w:trPr>
        <w:tc>
          <w:tcPr>
            <w:tcW w:w="2500" w:type="dxa"/>
            <w:tcBorders>
              <w:top w:val="nil"/>
              <w:left w:val="nil"/>
              <w:bottom w:val="nil"/>
              <w:right w:val="nil"/>
            </w:tcBorders>
            <w:shd w:val="clear" w:color="auto" w:fill="auto"/>
            <w:noWrap/>
            <w:vAlign w:val="bottom"/>
          </w:tcPr>
          <w:p w14:paraId="11C04BD0" w14:textId="7F3585B1" w:rsidR="000001B9" w:rsidRPr="00F71A22" w:rsidRDefault="000001B9" w:rsidP="000001B9">
            <w:pPr>
              <w:spacing w:before="0" w:after="0" w:line="240" w:lineRule="auto"/>
              <w:rPr>
                <w:rFonts w:ascii="Calibri" w:eastAsia="Times New Roman" w:hAnsi="Calibri" w:cs="Times New Roman"/>
                <w:b/>
                <w:bCs/>
                <w:i/>
                <w:iCs/>
                <w:color w:val="000000"/>
                <w:sz w:val="18"/>
                <w:szCs w:val="18"/>
                <w:lang w:eastAsia="en-AU"/>
              </w:rPr>
            </w:pPr>
            <w:r w:rsidRPr="00F71A22">
              <w:rPr>
                <w:rFonts w:ascii="Calibri" w:eastAsia="Times New Roman" w:hAnsi="Calibri" w:cs="Times New Roman"/>
                <w:b/>
                <w:bCs/>
                <w:color w:val="000000"/>
                <w:sz w:val="18"/>
                <w:szCs w:val="18"/>
                <w:lang w:eastAsia="en-AU"/>
              </w:rPr>
              <w:t>Exits from employment services</w:t>
            </w:r>
          </w:p>
        </w:tc>
        <w:tc>
          <w:tcPr>
            <w:tcW w:w="1328" w:type="dxa"/>
            <w:tcBorders>
              <w:top w:val="nil"/>
              <w:left w:val="nil"/>
              <w:bottom w:val="nil"/>
              <w:right w:val="nil"/>
            </w:tcBorders>
            <w:shd w:val="clear" w:color="auto" w:fill="auto"/>
            <w:noWrap/>
          </w:tcPr>
          <w:p w14:paraId="19292A67" w14:textId="4574ABD3" w:rsidR="000001B9" w:rsidRPr="00B06AC7" w:rsidRDefault="000001B9" w:rsidP="000001B9">
            <w:pPr>
              <w:spacing w:before="0" w:after="0" w:line="240" w:lineRule="auto"/>
              <w:jc w:val="right"/>
              <w:rPr>
                <w:rFonts w:ascii="Calibri" w:eastAsia="Times New Roman" w:hAnsi="Calibri" w:cs="Times New Roman"/>
                <w:b/>
                <w:bCs/>
                <w:i/>
                <w:iCs/>
                <w:color w:val="FFFFFF" w:themeColor="background1"/>
                <w:sz w:val="18"/>
                <w:szCs w:val="18"/>
                <w:lang w:eastAsia="en-AU"/>
              </w:rPr>
            </w:pPr>
            <w:r w:rsidRPr="00AC3025">
              <w:rPr>
                <w:rFonts w:ascii="Calibri" w:eastAsia="Times New Roman" w:hAnsi="Calibri" w:cs="Times New Roman"/>
                <w:b/>
                <w:bCs/>
                <w:i/>
                <w:i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5B4C81F7" w14:textId="27F0891B" w:rsidR="000001B9" w:rsidRPr="00B06AC7" w:rsidRDefault="000001B9" w:rsidP="000001B9">
            <w:pPr>
              <w:spacing w:before="0" w:after="0" w:line="240" w:lineRule="auto"/>
              <w:jc w:val="right"/>
              <w:rPr>
                <w:rFonts w:ascii="Calibri" w:eastAsia="Times New Roman" w:hAnsi="Calibri" w:cs="Times New Roman"/>
                <w:b/>
                <w:bCs/>
                <w:i/>
                <w:iCs/>
                <w:color w:val="FFFFFF" w:themeColor="background1"/>
                <w:sz w:val="18"/>
                <w:szCs w:val="18"/>
                <w:lang w:eastAsia="en-AU"/>
              </w:rPr>
            </w:pPr>
            <w:r w:rsidRPr="00AC3025">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2122C4B0" w14:textId="51C8A746" w:rsidR="000001B9" w:rsidRPr="00B06AC7" w:rsidRDefault="000001B9" w:rsidP="000001B9">
            <w:pPr>
              <w:spacing w:before="0" w:after="0" w:line="240" w:lineRule="auto"/>
              <w:jc w:val="right"/>
              <w:rPr>
                <w:rFonts w:ascii="Calibri" w:eastAsia="Times New Roman" w:hAnsi="Calibri" w:cs="Times New Roman"/>
                <w:b/>
                <w:bCs/>
                <w:i/>
                <w:iCs/>
                <w:color w:val="FFFFFF" w:themeColor="background1"/>
                <w:sz w:val="18"/>
                <w:szCs w:val="18"/>
                <w:lang w:eastAsia="en-AU"/>
              </w:rPr>
            </w:pPr>
            <w:r w:rsidRPr="00AC3025">
              <w:rPr>
                <w:rFonts w:ascii="Calibri" w:eastAsia="Times New Roman" w:hAnsi="Calibri" w:cs="Times New Roman"/>
                <w:b/>
                <w:bCs/>
                <w:i/>
                <w:i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4DE05340" w14:textId="19C619CD" w:rsidR="000001B9" w:rsidRPr="00B06AC7" w:rsidRDefault="000001B9" w:rsidP="000001B9">
            <w:pPr>
              <w:spacing w:before="0" w:after="0" w:line="240" w:lineRule="auto"/>
              <w:jc w:val="right"/>
              <w:rPr>
                <w:rFonts w:ascii="Calibri" w:eastAsia="Times New Roman" w:hAnsi="Calibri" w:cs="Times New Roman"/>
                <w:b/>
                <w:bCs/>
                <w:i/>
                <w:iCs/>
                <w:color w:val="FFFFFF" w:themeColor="background1"/>
                <w:sz w:val="18"/>
                <w:szCs w:val="18"/>
                <w:lang w:eastAsia="en-AU"/>
              </w:rPr>
            </w:pPr>
            <w:r w:rsidRPr="00AC3025">
              <w:rPr>
                <w:rFonts w:ascii="Calibri" w:eastAsia="Times New Roman" w:hAnsi="Calibri" w:cs="Times New Roman"/>
                <w:b/>
                <w:bCs/>
                <w:i/>
                <w:i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31E6AABF" w14:textId="5FD87A21" w:rsidR="000001B9" w:rsidRPr="00B06AC7" w:rsidRDefault="000001B9" w:rsidP="000001B9">
            <w:pPr>
              <w:spacing w:before="0" w:after="0" w:line="240" w:lineRule="auto"/>
              <w:jc w:val="right"/>
              <w:rPr>
                <w:rFonts w:ascii="Calibri" w:eastAsia="Times New Roman" w:hAnsi="Calibri" w:cs="Times New Roman"/>
                <w:b/>
                <w:bCs/>
                <w:i/>
                <w:iCs/>
                <w:color w:val="FFFFFF" w:themeColor="background1"/>
                <w:sz w:val="18"/>
                <w:szCs w:val="18"/>
                <w:lang w:eastAsia="en-AU"/>
              </w:rPr>
            </w:pPr>
            <w:r w:rsidRPr="00AC3025">
              <w:rPr>
                <w:rFonts w:ascii="Calibri" w:eastAsia="Times New Roman" w:hAnsi="Calibri" w:cs="Times New Roman"/>
                <w:b/>
                <w:bCs/>
                <w:i/>
                <w:iCs/>
                <w:color w:val="FFFFFF" w:themeColor="background1"/>
                <w:sz w:val="18"/>
                <w:szCs w:val="18"/>
                <w:lang w:eastAsia="en-AU"/>
              </w:rPr>
              <w:t>—</w:t>
            </w:r>
          </w:p>
        </w:tc>
      </w:tr>
      <w:tr w:rsidR="006B3DCB" w:rsidRPr="00F71A22" w14:paraId="0A6A1333" w14:textId="77777777" w:rsidTr="001F4507">
        <w:trPr>
          <w:trHeight w:val="283"/>
        </w:trPr>
        <w:tc>
          <w:tcPr>
            <w:tcW w:w="2500" w:type="dxa"/>
            <w:tcBorders>
              <w:top w:val="nil"/>
              <w:left w:val="nil"/>
              <w:bottom w:val="nil"/>
              <w:right w:val="nil"/>
            </w:tcBorders>
            <w:shd w:val="clear" w:color="auto" w:fill="auto"/>
            <w:noWrap/>
            <w:vAlign w:val="bottom"/>
          </w:tcPr>
          <w:p w14:paraId="3EB34BEB" w14:textId="61BEBD09" w:rsidR="006B3DCB" w:rsidRPr="00F71A22" w:rsidRDefault="006B3DCB" w:rsidP="006B3DCB">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 previous income support within 2 years prior</w:t>
            </w:r>
          </w:p>
        </w:tc>
        <w:tc>
          <w:tcPr>
            <w:tcW w:w="1328" w:type="dxa"/>
            <w:tcBorders>
              <w:top w:val="nil"/>
              <w:left w:val="nil"/>
              <w:bottom w:val="nil"/>
              <w:right w:val="nil"/>
            </w:tcBorders>
            <w:shd w:val="clear" w:color="auto" w:fill="auto"/>
            <w:noWrap/>
          </w:tcPr>
          <w:p w14:paraId="7F7454DA" w14:textId="0C592829"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06AC7">
              <w:rPr>
                <w:rFonts w:ascii="Calibri" w:eastAsia="Times New Roman" w:hAnsi="Calibri" w:cs="Times New Roman"/>
                <w:b/>
                <w:bCs/>
                <w:i/>
                <w:i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2CE83146" w14:textId="53666AA2"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06AC7">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62B70A7E" w14:textId="1B15BC78"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06AC7">
              <w:rPr>
                <w:rFonts w:ascii="Calibri" w:eastAsia="Times New Roman" w:hAnsi="Calibri" w:cs="Times New Roman"/>
                <w:b/>
                <w:bCs/>
                <w:i/>
                <w:i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231A693A" w14:textId="2BEC057C"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06AC7">
              <w:rPr>
                <w:rFonts w:ascii="Calibri" w:eastAsia="Times New Roman" w:hAnsi="Calibri" w:cs="Times New Roman"/>
                <w:b/>
                <w:bCs/>
                <w:i/>
                <w:i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4743ADA9" w14:textId="189B413D"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06AC7">
              <w:rPr>
                <w:rFonts w:ascii="Calibri" w:eastAsia="Times New Roman" w:hAnsi="Calibri" w:cs="Times New Roman"/>
                <w:b/>
                <w:bCs/>
                <w:i/>
                <w:iCs/>
                <w:color w:val="FFFFFF" w:themeColor="background1"/>
                <w:sz w:val="18"/>
                <w:szCs w:val="18"/>
                <w:lang w:eastAsia="en-AU"/>
              </w:rPr>
              <w:t>—</w:t>
            </w:r>
          </w:p>
        </w:tc>
      </w:tr>
      <w:tr w:rsidR="00143D89" w:rsidRPr="00F71A22" w14:paraId="120D5DFE" w14:textId="77777777" w:rsidTr="001F4507">
        <w:trPr>
          <w:trHeight w:val="283"/>
        </w:trPr>
        <w:tc>
          <w:tcPr>
            <w:tcW w:w="2500" w:type="dxa"/>
            <w:tcBorders>
              <w:top w:val="nil"/>
              <w:left w:val="nil"/>
              <w:bottom w:val="nil"/>
              <w:right w:val="nil"/>
            </w:tcBorders>
            <w:shd w:val="clear" w:color="auto" w:fill="auto"/>
            <w:noWrap/>
            <w:vAlign w:val="bottom"/>
            <w:hideMark/>
          </w:tcPr>
          <w:p w14:paraId="02CD3579"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15891CF5" w14:textId="0A293EED"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w:t>
            </w:r>
          </w:p>
        </w:tc>
        <w:tc>
          <w:tcPr>
            <w:tcW w:w="1275" w:type="dxa"/>
            <w:gridSpan w:val="2"/>
            <w:tcBorders>
              <w:top w:val="nil"/>
              <w:left w:val="nil"/>
              <w:bottom w:val="nil"/>
              <w:right w:val="nil"/>
            </w:tcBorders>
            <w:shd w:val="clear" w:color="auto" w:fill="auto"/>
            <w:noWrap/>
            <w:vAlign w:val="bottom"/>
            <w:hideMark/>
          </w:tcPr>
          <w:p w14:paraId="48289DBE" w14:textId="7D87165F"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 </w:t>
            </w:r>
          </w:p>
        </w:tc>
        <w:tc>
          <w:tcPr>
            <w:tcW w:w="1701" w:type="dxa"/>
            <w:tcBorders>
              <w:top w:val="nil"/>
              <w:left w:val="nil"/>
              <w:bottom w:val="nil"/>
              <w:right w:val="nil"/>
            </w:tcBorders>
            <w:shd w:val="clear" w:color="auto" w:fill="auto"/>
            <w:noWrap/>
            <w:vAlign w:val="bottom"/>
            <w:hideMark/>
          </w:tcPr>
          <w:p w14:paraId="593863D3" w14:textId="427225F6"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w:t>
            </w:r>
          </w:p>
        </w:tc>
        <w:tc>
          <w:tcPr>
            <w:tcW w:w="1134" w:type="dxa"/>
            <w:tcBorders>
              <w:top w:val="nil"/>
              <w:left w:val="nil"/>
              <w:bottom w:val="nil"/>
              <w:right w:val="nil"/>
            </w:tcBorders>
            <w:shd w:val="clear" w:color="auto" w:fill="auto"/>
            <w:noWrap/>
            <w:vAlign w:val="bottom"/>
            <w:hideMark/>
          </w:tcPr>
          <w:p w14:paraId="635A6932" w14:textId="241664CB"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 </w:t>
            </w:r>
          </w:p>
        </w:tc>
        <w:tc>
          <w:tcPr>
            <w:tcW w:w="1418" w:type="dxa"/>
            <w:tcBorders>
              <w:top w:val="nil"/>
              <w:left w:val="nil"/>
              <w:bottom w:val="nil"/>
              <w:right w:val="nil"/>
            </w:tcBorders>
            <w:shd w:val="clear" w:color="auto" w:fill="auto"/>
            <w:noWrap/>
            <w:vAlign w:val="bottom"/>
            <w:hideMark/>
          </w:tcPr>
          <w:p w14:paraId="1E82915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-0.7</w:t>
            </w:r>
          </w:p>
        </w:tc>
      </w:tr>
      <w:tr w:rsidR="00143D89" w:rsidRPr="00F71A22" w14:paraId="1CDD1DAC" w14:textId="77777777" w:rsidTr="001F4507">
        <w:trPr>
          <w:trHeight w:val="283"/>
        </w:trPr>
        <w:tc>
          <w:tcPr>
            <w:tcW w:w="2500" w:type="dxa"/>
            <w:tcBorders>
              <w:top w:val="nil"/>
              <w:left w:val="nil"/>
              <w:bottom w:val="nil"/>
              <w:right w:val="nil"/>
            </w:tcBorders>
            <w:shd w:val="clear" w:color="auto" w:fill="auto"/>
            <w:noWrap/>
            <w:vAlign w:val="bottom"/>
            <w:hideMark/>
          </w:tcPr>
          <w:p w14:paraId="25DB880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71FE5B91" w14:textId="6B5FB148"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29 </w:t>
            </w:r>
          </w:p>
        </w:tc>
        <w:tc>
          <w:tcPr>
            <w:tcW w:w="1275" w:type="dxa"/>
            <w:gridSpan w:val="2"/>
            <w:tcBorders>
              <w:top w:val="nil"/>
              <w:left w:val="nil"/>
              <w:bottom w:val="nil"/>
              <w:right w:val="nil"/>
            </w:tcBorders>
            <w:shd w:val="clear" w:color="auto" w:fill="auto"/>
            <w:noWrap/>
            <w:vAlign w:val="bottom"/>
            <w:hideMark/>
          </w:tcPr>
          <w:p w14:paraId="460BC08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13.1 </w:t>
            </w:r>
          </w:p>
        </w:tc>
        <w:tc>
          <w:tcPr>
            <w:tcW w:w="1701" w:type="dxa"/>
            <w:tcBorders>
              <w:top w:val="nil"/>
              <w:left w:val="nil"/>
              <w:bottom w:val="nil"/>
              <w:right w:val="nil"/>
            </w:tcBorders>
            <w:shd w:val="clear" w:color="auto" w:fill="auto"/>
            <w:noWrap/>
            <w:vAlign w:val="bottom"/>
            <w:hideMark/>
          </w:tcPr>
          <w:p w14:paraId="4BE53EBA" w14:textId="30271420"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25 </w:t>
            </w:r>
          </w:p>
        </w:tc>
        <w:tc>
          <w:tcPr>
            <w:tcW w:w="1134" w:type="dxa"/>
            <w:tcBorders>
              <w:top w:val="nil"/>
              <w:left w:val="nil"/>
              <w:bottom w:val="nil"/>
              <w:right w:val="nil"/>
            </w:tcBorders>
            <w:shd w:val="clear" w:color="auto" w:fill="auto"/>
            <w:noWrap/>
            <w:vAlign w:val="bottom"/>
            <w:hideMark/>
          </w:tcPr>
          <w:p w14:paraId="34A436F2"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11.2 </w:t>
            </w:r>
          </w:p>
        </w:tc>
        <w:tc>
          <w:tcPr>
            <w:tcW w:w="1418" w:type="dxa"/>
            <w:tcBorders>
              <w:top w:val="nil"/>
              <w:left w:val="nil"/>
              <w:bottom w:val="nil"/>
              <w:right w:val="nil"/>
            </w:tcBorders>
            <w:shd w:val="clear" w:color="auto" w:fill="auto"/>
            <w:noWrap/>
            <w:vAlign w:val="bottom"/>
            <w:hideMark/>
          </w:tcPr>
          <w:p w14:paraId="1ADC9F6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2.0</w:t>
            </w:r>
          </w:p>
        </w:tc>
      </w:tr>
      <w:tr w:rsidR="00143D89" w:rsidRPr="00F71A22" w14:paraId="3D356139" w14:textId="77777777" w:rsidTr="001F4507">
        <w:trPr>
          <w:trHeight w:val="283"/>
        </w:trPr>
        <w:tc>
          <w:tcPr>
            <w:tcW w:w="2500" w:type="dxa"/>
            <w:tcBorders>
              <w:top w:val="nil"/>
              <w:left w:val="nil"/>
              <w:bottom w:val="nil"/>
              <w:right w:val="nil"/>
            </w:tcBorders>
            <w:shd w:val="clear" w:color="auto" w:fill="auto"/>
            <w:noWrap/>
            <w:vAlign w:val="bottom"/>
            <w:hideMark/>
          </w:tcPr>
          <w:p w14:paraId="69C819BC"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nil"/>
              <w:right w:val="nil"/>
            </w:tcBorders>
            <w:shd w:val="clear" w:color="auto" w:fill="auto"/>
            <w:noWrap/>
            <w:vAlign w:val="bottom"/>
            <w:hideMark/>
          </w:tcPr>
          <w:p w14:paraId="3C9041B9" w14:textId="51211748"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48 </w:t>
            </w:r>
          </w:p>
        </w:tc>
        <w:tc>
          <w:tcPr>
            <w:tcW w:w="1275" w:type="dxa"/>
            <w:gridSpan w:val="2"/>
            <w:tcBorders>
              <w:top w:val="nil"/>
              <w:left w:val="nil"/>
              <w:bottom w:val="nil"/>
              <w:right w:val="nil"/>
            </w:tcBorders>
            <w:shd w:val="clear" w:color="auto" w:fill="auto"/>
            <w:noWrap/>
            <w:vAlign w:val="bottom"/>
            <w:hideMark/>
          </w:tcPr>
          <w:p w14:paraId="05363CC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32.2 </w:t>
            </w:r>
          </w:p>
        </w:tc>
        <w:tc>
          <w:tcPr>
            <w:tcW w:w="1701" w:type="dxa"/>
            <w:tcBorders>
              <w:top w:val="nil"/>
              <w:left w:val="nil"/>
              <w:bottom w:val="nil"/>
              <w:right w:val="nil"/>
            </w:tcBorders>
            <w:shd w:val="clear" w:color="auto" w:fill="auto"/>
            <w:noWrap/>
            <w:vAlign w:val="bottom"/>
            <w:hideMark/>
          </w:tcPr>
          <w:p w14:paraId="0CC6B80D" w14:textId="663BED95"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57 </w:t>
            </w:r>
          </w:p>
        </w:tc>
        <w:tc>
          <w:tcPr>
            <w:tcW w:w="1134" w:type="dxa"/>
            <w:tcBorders>
              <w:top w:val="nil"/>
              <w:left w:val="nil"/>
              <w:bottom w:val="nil"/>
              <w:right w:val="nil"/>
            </w:tcBorders>
            <w:shd w:val="clear" w:color="auto" w:fill="auto"/>
            <w:noWrap/>
            <w:vAlign w:val="bottom"/>
            <w:hideMark/>
          </w:tcPr>
          <w:p w14:paraId="3E8F73B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37.3 </w:t>
            </w:r>
          </w:p>
        </w:tc>
        <w:tc>
          <w:tcPr>
            <w:tcW w:w="1418" w:type="dxa"/>
            <w:tcBorders>
              <w:top w:val="nil"/>
              <w:left w:val="nil"/>
              <w:bottom w:val="nil"/>
              <w:right w:val="nil"/>
            </w:tcBorders>
            <w:shd w:val="clear" w:color="auto" w:fill="auto"/>
            <w:noWrap/>
            <w:vAlign w:val="bottom"/>
            <w:hideMark/>
          </w:tcPr>
          <w:p w14:paraId="2056CE4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-5.0</w:t>
            </w:r>
          </w:p>
        </w:tc>
      </w:tr>
      <w:tr w:rsidR="006B3DCB" w:rsidRPr="00F71A22" w14:paraId="5ED5E6B1" w14:textId="77777777" w:rsidTr="001F4507">
        <w:trPr>
          <w:trHeight w:val="283"/>
        </w:trPr>
        <w:tc>
          <w:tcPr>
            <w:tcW w:w="2500" w:type="dxa"/>
            <w:tcBorders>
              <w:top w:val="nil"/>
              <w:left w:val="nil"/>
              <w:bottom w:val="nil"/>
              <w:right w:val="nil"/>
            </w:tcBorders>
            <w:shd w:val="clear" w:color="auto" w:fill="auto"/>
            <w:noWrap/>
            <w:vAlign w:val="bottom"/>
          </w:tcPr>
          <w:p w14:paraId="60271006" w14:textId="09DE7687" w:rsidR="006B3DCB" w:rsidRPr="00F71A22" w:rsidRDefault="006B3DCB" w:rsidP="006B3DCB">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Without previous income support within 2 years prior</w:t>
            </w:r>
          </w:p>
        </w:tc>
        <w:tc>
          <w:tcPr>
            <w:tcW w:w="1328" w:type="dxa"/>
            <w:tcBorders>
              <w:top w:val="nil"/>
              <w:left w:val="nil"/>
              <w:bottom w:val="nil"/>
              <w:right w:val="nil"/>
            </w:tcBorders>
            <w:shd w:val="clear" w:color="auto" w:fill="auto"/>
            <w:noWrap/>
          </w:tcPr>
          <w:p w14:paraId="559E9B2F" w14:textId="5B1EC927"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E218C">
              <w:rPr>
                <w:rFonts w:ascii="Calibri" w:eastAsia="Times New Roman" w:hAnsi="Calibri" w:cs="Times New Roman"/>
                <w:b/>
                <w:bCs/>
                <w:i/>
                <w:i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40B42E38" w14:textId="4717C11F"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E218C">
              <w:rPr>
                <w:rFonts w:ascii="Calibri" w:eastAsia="Times New Roman" w:hAnsi="Calibri" w:cs="Times New Roman"/>
                <w:b/>
                <w:bCs/>
                <w:i/>
                <w:i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5B5DF382" w14:textId="7558A7F0"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E218C">
              <w:rPr>
                <w:rFonts w:ascii="Calibri" w:eastAsia="Times New Roman" w:hAnsi="Calibri" w:cs="Times New Roman"/>
                <w:b/>
                <w:bCs/>
                <w:i/>
                <w:i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3E53A1E9" w14:textId="652F8EAF"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E218C">
              <w:rPr>
                <w:rFonts w:ascii="Calibri" w:eastAsia="Times New Roman" w:hAnsi="Calibri" w:cs="Times New Roman"/>
                <w:b/>
                <w:bCs/>
                <w:i/>
                <w:i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29773FC3" w14:textId="6C81AA03" w:rsidR="006B3DCB" w:rsidRPr="00F71A22" w:rsidRDefault="006B3DCB" w:rsidP="006B3DCB">
            <w:pPr>
              <w:spacing w:before="0" w:after="0" w:line="240" w:lineRule="auto"/>
              <w:jc w:val="right"/>
              <w:rPr>
                <w:rFonts w:ascii="Calibri" w:eastAsia="Times New Roman" w:hAnsi="Calibri" w:cs="Times New Roman"/>
                <w:color w:val="000000"/>
                <w:sz w:val="18"/>
                <w:szCs w:val="18"/>
                <w:lang w:eastAsia="en-AU"/>
              </w:rPr>
            </w:pPr>
            <w:r w:rsidRPr="00BE218C">
              <w:rPr>
                <w:rFonts w:ascii="Calibri" w:eastAsia="Times New Roman" w:hAnsi="Calibri" w:cs="Times New Roman"/>
                <w:b/>
                <w:bCs/>
                <w:i/>
                <w:iCs/>
                <w:color w:val="FFFFFF" w:themeColor="background1"/>
                <w:sz w:val="18"/>
                <w:szCs w:val="18"/>
                <w:lang w:eastAsia="en-AU"/>
              </w:rPr>
              <w:t>—</w:t>
            </w:r>
          </w:p>
        </w:tc>
      </w:tr>
      <w:tr w:rsidR="00143D89" w:rsidRPr="00F71A22" w14:paraId="79C6B4B6" w14:textId="77777777" w:rsidTr="001F4507">
        <w:trPr>
          <w:trHeight w:val="283"/>
        </w:trPr>
        <w:tc>
          <w:tcPr>
            <w:tcW w:w="2500" w:type="dxa"/>
            <w:tcBorders>
              <w:top w:val="nil"/>
              <w:left w:val="nil"/>
              <w:bottom w:val="nil"/>
              <w:right w:val="nil"/>
            </w:tcBorders>
            <w:shd w:val="clear" w:color="auto" w:fill="auto"/>
            <w:noWrap/>
            <w:vAlign w:val="bottom"/>
            <w:hideMark/>
          </w:tcPr>
          <w:p w14:paraId="7B9A7318"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6F3E529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115 </w:t>
            </w:r>
          </w:p>
        </w:tc>
        <w:tc>
          <w:tcPr>
            <w:tcW w:w="1275" w:type="dxa"/>
            <w:gridSpan w:val="2"/>
            <w:tcBorders>
              <w:top w:val="nil"/>
              <w:left w:val="nil"/>
              <w:bottom w:val="nil"/>
              <w:right w:val="nil"/>
            </w:tcBorders>
            <w:shd w:val="clear" w:color="auto" w:fill="auto"/>
            <w:noWrap/>
            <w:vAlign w:val="bottom"/>
            <w:hideMark/>
          </w:tcPr>
          <w:p w14:paraId="44F3098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1.8 </w:t>
            </w:r>
          </w:p>
        </w:tc>
        <w:tc>
          <w:tcPr>
            <w:tcW w:w="1701" w:type="dxa"/>
            <w:tcBorders>
              <w:top w:val="nil"/>
              <w:left w:val="nil"/>
              <w:bottom w:val="nil"/>
              <w:right w:val="nil"/>
            </w:tcBorders>
            <w:shd w:val="clear" w:color="auto" w:fill="auto"/>
            <w:noWrap/>
            <w:vAlign w:val="bottom"/>
            <w:hideMark/>
          </w:tcPr>
          <w:p w14:paraId="3AC05894" w14:textId="0A25764C"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90 </w:t>
            </w:r>
          </w:p>
        </w:tc>
        <w:tc>
          <w:tcPr>
            <w:tcW w:w="1134" w:type="dxa"/>
            <w:tcBorders>
              <w:top w:val="nil"/>
              <w:left w:val="nil"/>
              <w:bottom w:val="nil"/>
              <w:right w:val="nil"/>
            </w:tcBorders>
            <w:shd w:val="clear" w:color="auto" w:fill="auto"/>
            <w:noWrap/>
            <w:vAlign w:val="bottom"/>
            <w:hideMark/>
          </w:tcPr>
          <w:p w14:paraId="001300E2" w14:textId="5A37FE13"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1.4 </w:t>
            </w:r>
          </w:p>
        </w:tc>
        <w:tc>
          <w:tcPr>
            <w:tcW w:w="1418" w:type="dxa"/>
            <w:tcBorders>
              <w:top w:val="nil"/>
              <w:left w:val="nil"/>
              <w:bottom w:val="nil"/>
              <w:right w:val="nil"/>
            </w:tcBorders>
            <w:shd w:val="clear" w:color="auto" w:fill="auto"/>
            <w:noWrap/>
            <w:vAlign w:val="bottom"/>
            <w:hideMark/>
          </w:tcPr>
          <w:p w14:paraId="74158CC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0.4</w:t>
            </w:r>
          </w:p>
        </w:tc>
      </w:tr>
      <w:tr w:rsidR="00143D89" w:rsidRPr="00F71A22" w14:paraId="52FB1EC4" w14:textId="77777777" w:rsidTr="001F4507">
        <w:trPr>
          <w:trHeight w:val="283"/>
        </w:trPr>
        <w:tc>
          <w:tcPr>
            <w:tcW w:w="2500" w:type="dxa"/>
            <w:tcBorders>
              <w:top w:val="nil"/>
              <w:left w:val="nil"/>
              <w:bottom w:val="nil"/>
              <w:right w:val="nil"/>
            </w:tcBorders>
            <w:shd w:val="clear" w:color="auto" w:fill="auto"/>
            <w:noWrap/>
            <w:vAlign w:val="bottom"/>
            <w:hideMark/>
          </w:tcPr>
          <w:p w14:paraId="570FB2DC"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104D8EC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1,131 </w:t>
            </w:r>
          </w:p>
        </w:tc>
        <w:tc>
          <w:tcPr>
            <w:tcW w:w="1275" w:type="dxa"/>
            <w:gridSpan w:val="2"/>
            <w:tcBorders>
              <w:top w:val="nil"/>
              <w:left w:val="nil"/>
              <w:bottom w:val="nil"/>
              <w:right w:val="nil"/>
            </w:tcBorders>
            <w:shd w:val="clear" w:color="auto" w:fill="auto"/>
            <w:noWrap/>
            <w:vAlign w:val="bottom"/>
            <w:hideMark/>
          </w:tcPr>
          <w:p w14:paraId="0A6BD8A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21.9 </w:t>
            </w:r>
          </w:p>
        </w:tc>
        <w:tc>
          <w:tcPr>
            <w:tcW w:w="1701" w:type="dxa"/>
            <w:tcBorders>
              <w:top w:val="nil"/>
              <w:left w:val="nil"/>
              <w:bottom w:val="nil"/>
              <w:right w:val="nil"/>
            </w:tcBorders>
            <w:shd w:val="clear" w:color="auto" w:fill="auto"/>
            <w:noWrap/>
            <w:vAlign w:val="bottom"/>
            <w:hideMark/>
          </w:tcPr>
          <w:p w14:paraId="6663C03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960 </w:t>
            </w:r>
          </w:p>
        </w:tc>
        <w:tc>
          <w:tcPr>
            <w:tcW w:w="1134" w:type="dxa"/>
            <w:tcBorders>
              <w:top w:val="nil"/>
              <w:left w:val="nil"/>
              <w:bottom w:val="nil"/>
              <w:right w:val="nil"/>
            </w:tcBorders>
            <w:shd w:val="clear" w:color="auto" w:fill="auto"/>
            <w:noWrap/>
            <w:vAlign w:val="bottom"/>
            <w:hideMark/>
          </w:tcPr>
          <w:p w14:paraId="1BD191E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18.6 </w:t>
            </w:r>
          </w:p>
        </w:tc>
        <w:tc>
          <w:tcPr>
            <w:tcW w:w="1418" w:type="dxa"/>
            <w:tcBorders>
              <w:top w:val="nil"/>
              <w:left w:val="nil"/>
              <w:bottom w:val="nil"/>
              <w:right w:val="nil"/>
            </w:tcBorders>
            <w:shd w:val="clear" w:color="auto" w:fill="auto"/>
            <w:noWrap/>
            <w:vAlign w:val="bottom"/>
            <w:hideMark/>
          </w:tcPr>
          <w:p w14:paraId="51D77D9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3.3*</w:t>
            </w:r>
          </w:p>
        </w:tc>
      </w:tr>
      <w:tr w:rsidR="00143D89" w:rsidRPr="00F71A22" w14:paraId="112F2EA9" w14:textId="77777777" w:rsidTr="001F4507">
        <w:trPr>
          <w:trHeight w:val="283"/>
        </w:trPr>
        <w:tc>
          <w:tcPr>
            <w:tcW w:w="2500" w:type="dxa"/>
            <w:tcBorders>
              <w:top w:val="nil"/>
              <w:left w:val="nil"/>
              <w:bottom w:val="single" w:sz="8" w:space="0" w:color="auto"/>
              <w:right w:val="nil"/>
            </w:tcBorders>
            <w:shd w:val="clear" w:color="auto" w:fill="auto"/>
            <w:noWrap/>
            <w:vAlign w:val="bottom"/>
            <w:hideMark/>
          </w:tcPr>
          <w:p w14:paraId="06D83586"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single" w:sz="8" w:space="0" w:color="auto"/>
              <w:right w:val="nil"/>
            </w:tcBorders>
            <w:shd w:val="clear" w:color="auto" w:fill="auto"/>
            <w:noWrap/>
            <w:vAlign w:val="bottom"/>
            <w:hideMark/>
          </w:tcPr>
          <w:p w14:paraId="2F8A13D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1,707 </w:t>
            </w:r>
          </w:p>
        </w:tc>
        <w:tc>
          <w:tcPr>
            <w:tcW w:w="1275" w:type="dxa"/>
            <w:gridSpan w:val="2"/>
            <w:tcBorders>
              <w:top w:val="nil"/>
              <w:left w:val="nil"/>
              <w:bottom w:val="single" w:sz="8" w:space="0" w:color="auto"/>
              <w:right w:val="nil"/>
            </w:tcBorders>
            <w:shd w:val="clear" w:color="auto" w:fill="auto"/>
            <w:noWrap/>
            <w:vAlign w:val="bottom"/>
            <w:hideMark/>
          </w:tcPr>
          <w:p w14:paraId="5F2922B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47.6 </w:t>
            </w:r>
          </w:p>
        </w:tc>
        <w:tc>
          <w:tcPr>
            <w:tcW w:w="1701" w:type="dxa"/>
            <w:tcBorders>
              <w:top w:val="nil"/>
              <w:left w:val="nil"/>
              <w:bottom w:val="single" w:sz="8" w:space="0" w:color="auto"/>
              <w:right w:val="nil"/>
            </w:tcBorders>
            <w:shd w:val="clear" w:color="auto" w:fill="auto"/>
            <w:noWrap/>
            <w:vAlign w:val="bottom"/>
            <w:hideMark/>
          </w:tcPr>
          <w:p w14:paraId="48256BA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1,705 </w:t>
            </w:r>
          </w:p>
        </w:tc>
        <w:tc>
          <w:tcPr>
            <w:tcW w:w="1134" w:type="dxa"/>
            <w:tcBorders>
              <w:top w:val="nil"/>
              <w:left w:val="nil"/>
              <w:bottom w:val="single" w:sz="8" w:space="0" w:color="auto"/>
              <w:right w:val="nil"/>
            </w:tcBorders>
            <w:shd w:val="clear" w:color="auto" w:fill="auto"/>
            <w:noWrap/>
            <w:vAlign w:val="bottom"/>
            <w:hideMark/>
          </w:tcPr>
          <w:p w14:paraId="5E9F766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47.8 </w:t>
            </w:r>
          </w:p>
        </w:tc>
        <w:tc>
          <w:tcPr>
            <w:tcW w:w="1418" w:type="dxa"/>
            <w:tcBorders>
              <w:top w:val="nil"/>
              <w:left w:val="nil"/>
              <w:bottom w:val="single" w:sz="8" w:space="0" w:color="auto"/>
              <w:right w:val="nil"/>
            </w:tcBorders>
            <w:shd w:val="clear" w:color="auto" w:fill="auto"/>
            <w:noWrap/>
            <w:vAlign w:val="bottom"/>
            <w:hideMark/>
          </w:tcPr>
          <w:p w14:paraId="268D2E1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-0.2</w:t>
            </w:r>
          </w:p>
        </w:tc>
      </w:tr>
    </w:tbl>
    <w:p w14:paraId="5A1DC33D" w14:textId="54DB7D12" w:rsidR="00143D89" w:rsidRPr="00435C46" w:rsidRDefault="00143D89" w:rsidP="001F4507">
      <w:pPr>
        <w:pStyle w:val="Source"/>
        <w:contextualSpacing/>
      </w:pPr>
      <w:r w:rsidRPr="00D03487">
        <w:rPr>
          <w:b/>
          <w:bCs/>
        </w:rPr>
        <w:t>Source</w:t>
      </w:r>
      <w:r w:rsidRPr="002F1941">
        <w:t xml:space="preserve">: DESE </w:t>
      </w:r>
      <w:r w:rsidR="00DA1E0C" w:rsidRPr="002F1941">
        <w:t>a</w:t>
      </w:r>
      <w:r w:rsidRPr="00435C46">
        <w:t xml:space="preserve">dministrative </w:t>
      </w:r>
      <w:r w:rsidR="00DA1E0C" w:rsidRPr="00435C46">
        <w:t>d</w:t>
      </w:r>
      <w:r w:rsidRPr="00435C46">
        <w:t>ata</w:t>
      </w:r>
    </w:p>
    <w:p w14:paraId="352919A4" w14:textId="62473319" w:rsidR="00EE3C8D" w:rsidRDefault="00143D89" w:rsidP="00EE3C8D">
      <w:pPr>
        <w:pStyle w:val="Source"/>
        <w:contextualSpacing/>
      </w:pPr>
      <w:r w:rsidRPr="00EE3C8D">
        <w:rPr>
          <w:b/>
          <w:bCs/>
        </w:rPr>
        <w:t>Note</w:t>
      </w:r>
      <w:r w:rsidRPr="00EE3C8D">
        <w:t>:</w:t>
      </w:r>
    </w:p>
    <w:p w14:paraId="29783E23" w14:textId="608042E9" w:rsidR="00EE3C8D" w:rsidRDefault="00143D89" w:rsidP="00EE3C8D">
      <w:pPr>
        <w:pStyle w:val="Source"/>
        <w:contextualSpacing/>
      </w:pPr>
      <w:r w:rsidRPr="00EE3C8D">
        <w:t>* indicates statistically significant difference between groups at p &lt; 0.05</w:t>
      </w:r>
    </w:p>
    <w:p w14:paraId="42D7DDB1" w14:textId="4098300D" w:rsidR="00143D89" w:rsidRPr="002F1941" w:rsidRDefault="00143D89" w:rsidP="001F4507">
      <w:pPr>
        <w:pStyle w:val="Source"/>
        <w:contextualSpacing/>
      </w:pPr>
      <w:r w:rsidRPr="00D03487">
        <w:t>## indicates values lower than 20</w:t>
      </w:r>
    </w:p>
    <w:p w14:paraId="6E60A3AB" w14:textId="77777777" w:rsidR="00143D89" w:rsidRPr="00F71A22" w:rsidRDefault="00143D89" w:rsidP="00143D89">
      <w:pPr>
        <w:spacing w:before="0" w:after="160" w:line="259" w:lineRule="auto"/>
        <w:rPr>
          <w:rFonts w:ascii="Calibri" w:eastAsiaTheme="majorEastAsia" w:hAnsi="Calibri" w:cstheme="majorBidi"/>
          <w:color w:val="287DB2" w:themeColor="accent6"/>
          <w:sz w:val="30"/>
          <w:szCs w:val="26"/>
        </w:rPr>
      </w:pPr>
      <w:r w:rsidRPr="00F71A22">
        <w:rPr>
          <w:b/>
        </w:rPr>
        <w:br w:type="page"/>
      </w:r>
    </w:p>
    <w:p w14:paraId="0C73C532" w14:textId="77777777" w:rsidR="00143D89" w:rsidRPr="00F71A22" w:rsidRDefault="00143D89" w:rsidP="00143D89">
      <w:pPr>
        <w:pStyle w:val="Heading3"/>
        <w:rPr>
          <w:rFonts w:eastAsia="Times New Roman"/>
          <w:lang w:eastAsia="en-AU"/>
        </w:rPr>
      </w:pPr>
      <w:bookmarkStart w:id="274" w:name="_Toc67042659"/>
      <w:r w:rsidRPr="00F71A22">
        <w:rPr>
          <w:rFonts w:eastAsia="Times New Roman"/>
          <w:lang w:eastAsia="en-AU"/>
        </w:rPr>
        <w:lastRenderedPageBreak/>
        <w:t>Previous experience of jobactive services</w:t>
      </w:r>
      <w:bookmarkEnd w:id="274"/>
    </w:p>
    <w:p w14:paraId="5060BC32" w14:textId="69BF3C02" w:rsidR="00143D89" w:rsidRPr="001F4507" w:rsidRDefault="00143D89" w:rsidP="0006562C">
      <w:pPr>
        <w:pStyle w:val="TableCaption"/>
      </w:pPr>
      <w:bookmarkStart w:id="275" w:name="_Toc67042673"/>
      <w:r w:rsidRPr="001F4507">
        <w:t>Table E7 Exits by previous experience of jobactive services</w:t>
      </w:r>
      <w:bookmarkEnd w:id="275"/>
    </w:p>
    <w:tbl>
      <w:tblPr>
        <w:tblW w:w="9015" w:type="dxa"/>
        <w:tblLook w:val="04A0" w:firstRow="1" w:lastRow="0" w:firstColumn="1" w:lastColumn="0" w:noHBand="0" w:noVBand="1"/>
      </w:tblPr>
      <w:tblGrid>
        <w:gridCol w:w="2410"/>
        <w:gridCol w:w="1284"/>
        <w:gridCol w:w="64"/>
        <w:gridCol w:w="1178"/>
        <w:gridCol w:w="1643"/>
        <w:gridCol w:w="1098"/>
        <w:gridCol w:w="1371"/>
      </w:tblGrid>
      <w:tr w:rsidR="00143D89" w:rsidRPr="00F71A22" w14:paraId="2E6755A2" w14:textId="77777777" w:rsidTr="001F4507">
        <w:trPr>
          <w:cantSplit/>
          <w:trHeight w:val="975"/>
          <w:tblHeader/>
        </w:trPr>
        <w:tc>
          <w:tcPr>
            <w:tcW w:w="2500" w:type="dxa"/>
            <w:tcBorders>
              <w:top w:val="single" w:sz="4" w:space="0" w:color="auto"/>
              <w:left w:val="nil"/>
              <w:bottom w:val="single" w:sz="8" w:space="0" w:color="auto"/>
              <w:right w:val="nil"/>
            </w:tcBorders>
            <w:shd w:val="clear" w:color="auto" w:fill="002D3F"/>
            <w:vAlign w:val="center"/>
            <w:hideMark/>
          </w:tcPr>
          <w:p w14:paraId="2A20AA60"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Exits</w:t>
            </w:r>
          </w:p>
        </w:tc>
        <w:tc>
          <w:tcPr>
            <w:tcW w:w="1386" w:type="dxa"/>
            <w:gridSpan w:val="2"/>
            <w:tcBorders>
              <w:top w:val="single" w:sz="4" w:space="0" w:color="auto"/>
              <w:left w:val="nil"/>
              <w:bottom w:val="single" w:sz="8" w:space="0" w:color="auto"/>
              <w:right w:val="nil"/>
            </w:tcBorders>
            <w:shd w:val="clear" w:color="auto" w:fill="002D3F"/>
            <w:vAlign w:val="center"/>
            <w:hideMark/>
          </w:tcPr>
          <w:p w14:paraId="4234E10B"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OEST participants</w:t>
            </w:r>
          </w:p>
        </w:tc>
        <w:tc>
          <w:tcPr>
            <w:tcW w:w="1217" w:type="dxa"/>
            <w:tcBorders>
              <w:top w:val="single" w:sz="4" w:space="0" w:color="auto"/>
              <w:left w:val="nil"/>
              <w:bottom w:val="single" w:sz="8" w:space="0" w:color="auto"/>
              <w:right w:val="nil"/>
            </w:tcBorders>
            <w:shd w:val="clear" w:color="auto" w:fill="002D3F"/>
            <w:vAlign w:val="center"/>
            <w:hideMark/>
          </w:tcPr>
          <w:p w14:paraId="01AA375F" w14:textId="311174A9"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w:t>
            </w:r>
            <w:r w:rsidR="003977C0">
              <w:rPr>
                <w:rFonts w:ascii="Calibri" w:eastAsia="Times New Roman" w:hAnsi="Calibri" w:cs="Times New Roman"/>
                <w:b/>
                <w:bCs/>
                <w:color w:val="FFFFFF"/>
                <w:sz w:val="18"/>
                <w:szCs w:val="18"/>
                <w:lang w:eastAsia="en-AU"/>
              </w:rPr>
              <w:t xml:space="preserve"> </w:t>
            </w:r>
            <w:r w:rsidRPr="00F71A22">
              <w:rPr>
                <w:rFonts w:ascii="Calibri" w:eastAsia="Times New Roman" w:hAnsi="Calibri" w:cs="Times New Roman"/>
                <w:b/>
                <w:bCs/>
                <w:color w:val="FFFFFF"/>
                <w:sz w:val="18"/>
                <w:szCs w:val="18"/>
                <w:lang w:eastAsia="en-AU"/>
              </w:rPr>
              <w:t>cent</w:t>
            </w:r>
          </w:p>
        </w:tc>
        <w:tc>
          <w:tcPr>
            <w:tcW w:w="1701" w:type="dxa"/>
            <w:tcBorders>
              <w:top w:val="single" w:sz="4" w:space="0" w:color="auto"/>
              <w:left w:val="nil"/>
              <w:bottom w:val="single" w:sz="8" w:space="0" w:color="auto"/>
              <w:right w:val="nil"/>
            </w:tcBorders>
            <w:shd w:val="clear" w:color="auto" w:fill="002D3F"/>
            <w:vAlign w:val="center"/>
            <w:hideMark/>
          </w:tcPr>
          <w:p w14:paraId="7A1AD8DA" w14:textId="77777777"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Number of comparison group</w:t>
            </w:r>
          </w:p>
        </w:tc>
        <w:tc>
          <w:tcPr>
            <w:tcW w:w="1134" w:type="dxa"/>
            <w:tcBorders>
              <w:top w:val="single" w:sz="4" w:space="0" w:color="auto"/>
              <w:left w:val="nil"/>
              <w:bottom w:val="single" w:sz="8" w:space="0" w:color="auto"/>
              <w:right w:val="nil"/>
            </w:tcBorders>
            <w:shd w:val="clear" w:color="auto" w:fill="002D3F"/>
            <w:vAlign w:val="center"/>
            <w:hideMark/>
          </w:tcPr>
          <w:p w14:paraId="72FE1CE1" w14:textId="05B555BC"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w:t>
            </w:r>
            <w:r w:rsidR="003977C0">
              <w:rPr>
                <w:rFonts w:ascii="Calibri" w:eastAsia="Times New Roman" w:hAnsi="Calibri" w:cs="Times New Roman"/>
                <w:b/>
                <w:bCs/>
                <w:color w:val="FFFFFF"/>
                <w:sz w:val="18"/>
                <w:szCs w:val="18"/>
                <w:lang w:eastAsia="en-AU"/>
              </w:rPr>
              <w:t xml:space="preserve"> </w:t>
            </w:r>
            <w:r w:rsidRPr="00F71A22">
              <w:rPr>
                <w:rFonts w:ascii="Calibri" w:eastAsia="Times New Roman" w:hAnsi="Calibri" w:cs="Times New Roman"/>
                <w:b/>
                <w:bCs/>
                <w:color w:val="FFFFFF"/>
                <w:sz w:val="18"/>
                <w:szCs w:val="18"/>
                <w:lang w:eastAsia="en-AU"/>
              </w:rPr>
              <w:t>cent</w:t>
            </w:r>
          </w:p>
        </w:tc>
        <w:tc>
          <w:tcPr>
            <w:tcW w:w="1418" w:type="dxa"/>
            <w:tcBorders>
              <w:top w:val="single" w:sz="4" w:space="0" w:color="auto"/>
              <w:left w:val="nil"/>
              <w:bottom w:val="single" w:sz="8" w:space="0" w:color="auto"/>
              <w:right w:val="nil"/>
            </w:tcBorders>
            <w:shd w:val="clear" w:color="auto" w:fill="002D3F"/>
            <w:vAlign w:val="center"/>
            <w:hideMark/>
          </w:tcPr>
          <w:p w14:paraId="19A6C885" w14:textId="18A6B4B6" w:rsidR="00143D89" w:rsidRPr="00F71A22" w:rsidRDefault="00143D89" w:rsidP="00143D89">
            <w:pPr>
              <w:spacing w:before="0" w:after="0" w:line="240" w:lineRule="auto"/>
              <w:jc w:val="center"/>
              <w:rPr>
                <w:rFonts w:ascii="Calibri" w:eastAsia="Times New Roman" w:hAnsi="Calibri" w:cs="Times New Roman"/>
                <w:b/>
                <w:bCs/>
                <w:color w:val="FFFFFF"/>
                <w:sz w:val="18"/>
                <w:szCs w:val="18"/>
                <w:lang w:eastAsia="en-AU"/>
              </w:rPr>
            </w:pPr>
            <w:r w:rsidRPr="00F71A22">
              <w:rPr>
                <w:rFonts w:ascii="Calibri" w:eastAsia="Times New Roman" w:hAnsi="Calibri" w:cs="Times New Roman"/>
                <w:b/>
                <w:bCs/>
                <w:color w:val="FFFFFF"/>
                <w:sz w:val="18"/>
                <w:szCs w:val="18"/>
                <w:lang w:eastAsia="en-AU"/>
              </w:rPr>
              <w:t>Per</w:t>
            </w:r>
            <w:r w:rsidR="003977C0">
              <w:rPr>
                <w:rFonts w:ascii="Calibri" w:eastAsia="Times New Roman" w:hAnsi="Calibri" w:cs="Times New Roman"/>
                <w:b/>
                <w:bCs/>
                <w:color w:val="FFFFFF"/>
                <w:sz w:val="18"/>
                <w:szCs w:val="18"/>
                <w:lang w:eastAsia="en-AU"/>
              </w:rPr>
              <w:t xml:space="preserve"> </w:t>
            </w:r>
            <w:r w:rsidRPr="00F71A22">
              <w:rPr>
                <w:rFonts w:ascii="Calibri" w:eastAsia="Times New Roman" w:hAnsi="Calibri" w:cs="Times New Roman"/>
                <w:b/>
                <w:bCs/>
                <w:color w:val="FFFFFF"/>
                <w:sz w:val="18"/>
                <w:szCs w:val="18"/>
                <w:lang w:eastAsia="en-AU"/>
              </w:rPr>
              <w:t>cent difference</w:t>
            </w:r>
          </w:p>
        </w:tc>
      </w:tr>
      <w:tr w:rsidR="000001B9" w:rsidRPr="00F71A22" w14:paraId="445B99E9" w14:textId="77777777" w:rsidTr="001F4507">
        <w:trPr>
          <w:trHeight w:val="300"/>
        </w:trPr>
        <w:tc>
          <w:tcPr>
            <w:tcW w:w="2500" w:type="dxa"/>
            <w:tcBorders>
              <w:top w:val="nil"/>
              <w:left w:val="nil"/>
              <w:bottom w:val="nil"/>
              <w:right w:val="nil"/>
            </w:tcBorders>
            <w:shd w:val="clear" w:color="auto" w:fill="auto"/>
            <w:noWrap/>
            <w:vAlign w:val="bottom"/>
            <w:hideMark/>
          </w:tcPr>
          <w:p w14:paraId="4D4CEDFC" w14:textId="77777777" w:rsidR="000001B9" w:rsidRPr="00F71A22" w:rsidRDefault="000001B9" w:rsidP="000001B9">
            <w:pPr>
              <w:spacing w:before="0" w:after="0" w:line="240" w:lineRule="auto"/>
              <w:rPr>
                <w:rFonts w:ascii="Calibri" w:eastAsia="Times New Roman" w:hAnsi="Calibri" w:cs="Times New Roman"/>
                <w:b/>
                <w:bCs/>
                <w:color w:val="000000"/>
                <w:sz w:val="18"/>
                <w:szCs w:val="18"/>
                <w:lang w:eastAsia="en-AU"/>
              </w:rPr>
            </w:pPr>
            <w:r w:rsidRPr="00F71A22">
              <w:rPr>
                <w:rFonts w:ascii="Calibri" w:eastAsia="Times New Roman" w:hAnsi="Calibri" w:cs="Times New Roman"/>
                <w:b/>
                <w:bCs/>
                <w:color w:val="000000"/>
                <w:sz w:val="18"/>
                <w:szCs w:val="18"/>
                <w:lang w:eastAsia="en-AU"/>
              </w:rPr>
              <w:t>Exits from income support</w:t>
            </w:r>
          </w:p>
        </w:tc>
        <w:tc>
          <w:tcPr>
            <w:tcW w:w="1328" w:type="dxa"/>
            <w:tcBorders>
              <w:top w:val="nil"/>
              <w:left w:val="nil"/>
              <w:bottom w:val="nil"/>
              <w:right w:val="nil"/>
            </w:tcBorders>
            <w:shd w:val="clear" w:color="auto" w:fill="auto"/>
            <w:noWrap/>
            <w:vAlign w:val="bottom"/>
            <w:hideMark/>
          </w:tcPr>
          <w:p w14:paraId="1B52B6FD" w14:textId="4F441081" w:rsidR="000001B9" w:rsidRPr="00F71A22" w:rsidRDefault="000001B9" w:rsidP="000001B9">
            <w:pPr>
              <w:spacing w:before="0" w:after="0" w:line="240" w:lineRule="auto"/>
              <w:rPr>
                <w:rFonts w:ascii="Calibri" w:eastAsia="Times New Roman" w:hAnsi="Calibri" w:cs="Times New Roman"/>
                <w:b/>
                <w:bCs/>
                <w:color w:val="000000"/>
                <w:sz w:val="18"/>
                <w:szCs w:val="18"/>
                <w:lang w:eastAsia="en-AU"/>
              </w:rPr>
            </w:pPr>
            <w:r w:rsidRPr="001F4507">
              <w:rPr>
                <w:rFonts w:ascii="Calibri" w:eastAsia="Times New Roman" w:hAnsi="Calibri" w:cs="Times New Roman"/>
                <w:b/>
                <w:b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hideMark/>
          </w:tcPr>
          <w:p w14:paraId="4F42C49A" w14:textId="527D77B9" w:rsidR="000001B9" w:rsidRPr="00F71A22" w:rsidRDefault="000001B9" w:rsidP="000001B9">
            <w:pPr>
              <w:spacing w:before="0" w:after="0" w:line="240" w:lineRule="auto"/>
              <w:rPr>
                <w:rFonts w:ascii="Times New Roman" w:eastAsia="Times New Roman" w:hAnsi="Times New Roman" w:cs="Times New Roman"/>
                <w:sz w:val="18"/>
                <w:szCs w:val="18"/>
                <w:lang w:eastAsia="en-AU"/>
              </w:rPr>
            </w:pPr>
            <w:r w:rsidRPr="00FD2C2F">
              <w:rPr>
                <w:rFonts w:ascii="Calibri" w:eastAsia="Times New Roman" w:hAnsi="Calibri" w:cs="Times New Roman"/>
                <w:b/>
                <w:bCs/>
                <w:color w:val="FFFFFF" w:themeColor="background1"/>
                <w:sz w:val="18"/>
                <w:szCs w:val="18"/>
                <w:lang w:eastAsia="en-AU"/>
              </w:rPr>
              <w:t>—</w:t>
            </w:r>
          </w:p>
        </w:tc>
        <w:tc>
          <w:tcPr>
            <w:tcW w:w="1701" w:type="dxa"/>
            <w:tcBorders>
              <w:top w:val="nil"/>
              <w:left w:val="nil"/>
              <w:bottom w:val="nil"/>
              <w:right w:val="nil"/>
            </w:tcBorders>
            <w:shd w:val="clear" w:color="auto" w:fill="auto"/>
            <w:noWrap/>
            <w:hideMark/>
          </w:tcPr>
          <w:p w14:paraId="4F7D26BB" w14:textId="3266CDF9" w:rsidR="000001B9" w:rsidRPr="00F71A22" w:rsidRDefault="000001B9" w:rsidP="000001B9">
            <w:pPr>
              <w:spacing w:before="0" w:after="0" w:line="240" w:lineRule="auto"/>
              <w:rPr>
                <w:rFonts w:ascii="Times New Roman" w:eastAsia="Times New Roman" w:hAnsi="Times New Roman" w:cs="Times New Roman"/>
                <w:sz w:val="18"/>
                <w:szCs w:val="18"/>
                <w:lang w:eastAsia="en-AU"/>
              </w:rPr>
            </w:pPr>
            <w:r w:rsidRPr="00FD2C2F">
              <w:rPr>
                <w:rFonts w:ascii="Calibri" w:eastAsia="Times New Roman" w:hAnsi="Calibri" w:cs="Times New Roman"/>
                <w:b/>
                <w:bCs/>
                <w:color w:val="FFFFFF" w:themeColor="background1"/>
                <w:sz w:val="18"/>
                <w:szCs w:val="18"/>
                <w:lang w:eastAsia="en-AU"/>
              </w:rPr>
              <w:t>—</w:t>
            </w:r>
          </w:p>
        </w:tc>
        <w:tc>
          <w:tcPr>
            <w:tcW w:w="1134" w:type="dxa"/>
            <w:tcBorders>
              <w:top w:val="nil"/>
              <w:left w:val="nil"/>
              <w:bottom w:val="nil"/>
              <w:right w:val="nil"/>
            </w:tcBorders>
            <w:shd w:val="clear" w:color="auto" w:fill="auto"/>
            <w:noWrap/>
            <w:hideMark/>
          </w:tcPr>
          <w:p w14:paraId="0F43A529" w14:textId="2CF89429" w:rsidR="000001B9" w:rsidRPr="00F71A22" w:rsidRDefault="000001B9" w:rsidP="000001B9">
            <w:pPr>
              <w:spacing w:before="0" w:after="0" w:line="240" w:lineRule="auto"/>
              <w:rPr>
                <w:rFonts w:ascii="Times New Roman" w:eastAsia="Times New Roman" w:hAnsi="Times New Roman" w:cs="Times New Roman"/>
                <w:sz w:val="18"/>
                <w:szCs w:val="18"/>
                <w:lang w:eastAsia="en-AU"/>
              </w:rPr>
            </w:pPr>
            <w:r w:rsidRPr="00FD2C2F">
              <w:rPr>
                <w:rFonts w:ascii="Calibri" w:eastAsia="Times New Roman" w:hAnsi="Calibri" w:cs="Times New Roman"/>
                <w:b/>
                <w:bCs/>
                <w:color w:val="FFFFFF" w:themeColor="background1"/>
                <w:sz w:val="18"/>
                <w:szCs w:val="18"/>
                <w:lang w:eastAsia="en-AU"/>
              </w:rPr>
              <w:t>—</w:t>
            </w:r>
          </w:p>
        </w:tc>
        <w:tc>
          <w:tcPr>
            <w:tcW w:w="1418" w:type="dxa"/>
            <w:tcBorders>
              <w:top w:val="nil"/>
              <w:left w:val="nil"/>
              <w:bottom w:val="nil"/>
              <w:right w:val="nil"/>
            </w:tcBorders>
            <w:shd w:val="clear" w:color="auto" w:fill="auto"/>
            <w:noWrap/>
            <w:hideMark/>
          </w:tcPr>
          <w:p w14:paraId="3123C57A" w14:textId="5758C667" w:rsidR="000001B9" w:rsidRPr="00F71A22" w:rsidRDefault="000001B9" w:rsidP="000001B9">
            <w:pPr>
              <w:spacing w:before="0" w:after="0" w:line="240" w:lineRule="auto"/>
              <w:rPr>
                <w:rFonts w:ascii="Times New Roman" w:eastAsia="Times New Roman" w:hAnsi="Times New Roman" w:cs="Times New Roman"/>
                <w:sz w:val="18"/>
                <w:szCs w:val="18"/>
                <w:lang w:eastAsia="en-AU"/>
              </w:rPr>
            </w:pPr>
            <w:r w:rsidRPr="00FD2C2F">
              <w:rPr>
                <w:rFonts w:ascii="Calibri" w:eastAsia="Times New Roman" w:hAnsi="Calibri" w:cs="Times New Roman"/>
                <w:b/>
                <w:bCs/>
                <w:color w:val="FFFFFF" w:themeColor="background1"/>
                <w:sz w:val="18"/>
                <w:szCs w:val="18"/>
                <w:lang w:eastAsia="en-AU"/>
              </w:rPr>
              <w:t>—</w:t>
            </w:r>
          </w:p>
        </w:tc>
      </w:tr>
      <w:tr w:rsidR="000001B9" w:rsidRPr="00F71A22" w14:paraId="136C3712" w14:textId="77777777" w:rsidTr="001F4507">
        <w:trPr>
          <w:trHeight w:val="300"/>
        </w:trPr>
        <w:tc>
          <w:tcPr>
            <w:tcW w:w="2500" w:type="dxa"/>
            <w:tcBorders>
              <w:top w:val="nil"/>
              <w:left w:val="nil"/>
              <w:bottom w:val="nil"/>
              <w:right w:val="nil"/>
            </w:tcBorders>
            <w:shd w:val="clear" w:color="auto" w:fill="auto"/>
            <w:noWrap/>
            <w:vAlign w:val="bottom"/>
          </w:tcPr>
          <w:p w14:paraId="4050440F" w14:textId="2411ABE7" w:rsidR="000001B9" w:rsidRPr="00F71A22" w:rsidRDefault="000001B9" w:rsidP="000001B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 previous jobactive experience within 2 years prior</w:t>
            </w:r>
          </w:p>
        </w:tc>
        <w:tc>
          <w:tcPr>
            <w:tcW w:w="1328" w:type="dxa"/>
            <w:tcBorders>
              <w:top w:val="nil"/>
              <w:left w:val="nil"/>
              <w:bottom w:val="nil"/>
              <w:right w:val="nil"/>
            </w:tcBorders>
            <w:shd w:val="clear" w:color="auto" w:fill="auto"/>
            <w:noWrap/>
          </w:tcPr>
          <w:p w14:paraId="624FD8C0" w14:textId="54225555" w:rsidR="000001B9" w:rsidRPr="00F71A22" w:rsidRDefault="000001B9" w:rsidP="000001B9">
            <w:pPr>
              <w:spacing w:before="0" w:after="0" w:line="240" w:lineRule="auto"/>
              <w:jc w:val="right"/>
              <w:rPr>
                <w:rFonts w:ascii="Calibri" w:hAnsi="Calibri" w:cs="Calibri"/>
                <w:color w:val="000000"/>
                <w:sz w:val="18"/>
                <w:szCs w:val="18"/>
              </w:rPr>
            </w:pPr>
            <w:r w:rsidRPr="00824A67">
              <w:rPr>
                <w:rFonts w:ascii="Calibri" w:eastAsia="Times New Roman" w:hAnsi="Calibri" w:cs="Times New Roman"/>
                <w:b/>
                <w:b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2C3B2DC5" w14:textId="44307CAA" w:rsidR="000001B9" w:rsidRPr="00F71A22" w:rsidRDefault="000001B9" w:rsidP="000001B9">
            <w:pPr>
              <w:spacing w:before="0" w:after="0" w:line="240" w:lineRule="auto"/>
              <w:jc w:val="right"/>
              <w:rPr>
                <w:rFonts w:ascii="Calibri" w:hAnsi="Calibri" w:cs="Calibri"/>
                <w:color w:val="000000"/>
                <w:sz w:val="18"/>
                <w:szCs w:val="18"/>
              </w:rPr>
            </w:pPr>
            <w:r w:rsidRPr="00824A67">
              <w:rPr>
                <w:rFonts w:ascii="Calibri" w:eastAsia="Times New Roman" w:hAnsi="Calibri" w:cs="Times New Roman"/>
                <w:b/>
                <w:b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7557A73E" w14:textId="132B56FC" w:rsidR="000001B9" w:rsidRPr="00F71A22" w:rsidRDefault="000001B9" w:rsidP="000001B9">
            <w:pPr>
              <w:spacing w:before="0" w:after="0" w:line="240" w:lineRule="auto"/>
              <w:jc w:val="right"/>
              <w:rPr>
                <w:rFonts w:ascii="Calibri" w:hAnsi="Calibri" w:cs="Calibri"/>
                <w:color w:val="000000"/>
                <w:sz w:val="18"/>
                <w:szCs w:val="18"/>
              </w:rPr>
            </w:pPr>
            <w:r w:rsidRPr="00824A67">
              <w:rPr>
                <w:rFonts w:ascii="Calibri" w:eastAsia="Times New Roman" w:hAnsi="Calibri" w:cs="Times New Roman"/>
                <w:b/>
                <w:b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3EB7FD12" w14:textId="00B4B121" w:rsidR="000001B9" w:rsidRPr="00F71A22" w:rsidRDefault="000001B9" w:rsidP="000001B9">
            <w:pPr>
              <w:spacing w:before="0" w:after="0" w:line="240" w:lineRule="auto"/>
              <w:jc w:val="right"/>
              <w:rPr>
                <w:rFonts w:ascii="Calibri" w:hAnsi="Calibri" w:cs="Calibri"/>
                <w:color w:val="000000"/>
                <w:sz w:val="18"/>
                <w:szCs w:val="18"/>
              </w:rPr>
            </w:pPr>
            <w:r w:rsidRPr="00824A67">
              <w:rPr>
                <w:rFonts w:ascii="Calibri" w:eastAsia="Times New Roman" w:hAnsi="Calibri" w:cs="Times New Roman"/>
                <w:b/>
                <w:b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337465A5" w14:textId="2EFBFF94" w:rsidR="000001B9" w:rsidRPr="00F71A22" w:rsidRDefault="000001B9" w:rsidP="000001B9">
            <w:pPr>
              <w:spacing w:before="0" w:after="0" w:line="240" w:lineRule="auto"/>
              <w:jc w:val="right"/>
              <w:rPr>
                <w:rFonts w:ascii="Calibri" w:hAnsi="Calibri" w:cs="Calibri"/>
                <w:color w:val="000000"/>
                <w:sz w:val="18"/>
                <w:szCs w:val="18"/>
              </w:rPr>
            </w:pPr>
            <w:r w:rsidRPr="00824A67">
              <w:rPr>
                <w:rFonts w:ascii="Calibri" w:eastAsia="Times New Roman" w:hAnsi="Calibri" w:cs="Times New Roman"/>
                <w:b/>
                <w:bCs/>
                <w:color w:val="FFFFFF" w:themeColor="background1"/>
                <w:sz w:val="18"/>
                <w:szCs w:val="18"/>
                <w:lang w:eastAsia="en-AU"/>
              </w:rPr>
              <w:t>—</w:t>
            </w:r>
          </w:p>
        </w:tc>
      </w:tr>
      <w:tr w:rsidR="00143D89" w:rsidRPr="00F71A22" w14:paraId="6749B65F" w14:textId="77777777" w:rsidTr="001F4507">
        <w:trPr>
          <w:trHeight w:val="300"/>
        </w:trPr>
        <w:tc>
          <w:tcPr>
            <w:tcW w:w="2500" w:type="dxa"/>
            <w:tcBorders>
              <w:top w:val="nil"/>
              <w:left w:val="nil"/>
              <w:bottom w:val="nil"/>
              <w:right w:val="nil"/>
            </w:tcBorders>
            <w:shd w:val="clear" w:color="auto" w:fill="auto"/>
            <w:noWrap/>
            <w:vAlign w:val="bottom"/>
            <w:hideMark/>
          </w:tcPr>
          <w:p w14:paraId="17C75B7F"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560DE01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w:t>
            </w:r>
          </w:p>
        </w:tc>
        <w:tc>
          <w:tcPr>
            <w:tcW w:w="1275" w:type="dxa"/>
            <w:gridSpan w:val="2"/>
            <w:tcBorders>
              <w:top w:val="nil"/>
              <w:left w:val="nil"/>
              <w:bottom w:val="nil"/>
              <w:right w:val="nil"/>
            </w:tcBorders>
            <w:shd w:val="clear" w:color="auto" w:fill="auto"/>
            <w:noWrap/>
            <w:vAlign w:val="bottom"/>
            <w:hideMark/>
          </w:tcPr>
          <w:p w14:paraId="6D5BB59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2.5</w:t>
            </w:r>
          </w:p>
        </w:tc>
        <w:tc>
          <w:tcPr>
            <w:tcW w:w="1701" w:type="dxa"/>
            <w:tcBorders>
              <w:top w:val="nil"/>
              <w:left w:val="nil"/>
              <w:bottom w:val="nil"/>
              <w:right w:val="nil"/>
            </w:tcBorders>
            <w:shd w:val="clear" w:color="auto" w:fill="auto"/>
            <w:noWrap/>
            <w:vAlign w:val="bottom"/>
            <w:hideMark/>
          </w:tcPr>
          <w:p w14:paraId="725241C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w:t>
            </w:r>
          </w:p>
        </w:tc>
        <w:tc>
          <w:tcPr>
            <w:tcW w:w="1134" w:type="dxa"/>
            <w:tcBorders>
              <w:top w:val="nil"/>
              <w:left w:val="nil"/>
              <w:bottom w:val="nil"/>
              <w:right w:val="nil"/>
            </w:tcBorders>
            <w:shd w:val="clear" w:color="auto" w:fill="auto"/>
            <w:noWrap/>
            <w:vAlign w:val="bottom"/>
            <w:hideMark/>
          </w:tcPr>
          <w:p w14:paraId="58B1C2D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4.5</w:t>
            </w:r>
          </w:p>
        </w:tc>
        <w:tc>
          <w:tcPr>
            <w:tcW w:w="1418" w:type="dxa"/>
            <w:tcBorders>
              <w:top w:val="nil"/>
              <w:left w:val="nil"/>
              <w:bottom w:val="nil"/>
              <w:right w:val="nil"/>
            </w:tcBorders>
            <w:shd w:val="clear" w:color="auto" w:fill="auto"/>
            <w:noWrap/>
            <w:vAlign w:val="bottom"/>
            <w:hideMark/>
          </w:tcPr>
          <w:p w14:paraId="368D56D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w:t>
            </w:r>
          </w:p>
        </w:tc>
      </w:tr>
      <w:tr w:rsidR="00143D89" w:rsidRPr="00F71A22" w14:paraId="5AE37FCA" w14:textId="77777777" w:rsidTr="001F4507">
        <w:trPr>
          <w:trHeight w:val="300"/>
        </w:trPr>
        <w:tc>
          <w:tcPr>
            <w:tcW w:w="2500" w:type="dxa"/>
            <w:tcBorders>
              <w:top w:val="nil"/>
              <w:left w:val="nil"/>
              <w:bottom w:val="nil"/>
              <w:right w:val="nil"/>
            </w:tcBorders>
            <w:shd w:val="clear" w:color="auto" w:fill="auto"/>
            <w:noWrap/>
            <w:vAlign w:val="bottom"/>
            <w:hideMark/>
          </w:tcPr>
          <w:p w14:paraId="11E637CD"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47F76C6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40</w:t>
            </w:r>
          </w:p>
        </w:tc>
        <w:tc>
          <w:tcPr>
            <w:tcW w:w="1275" w:type="dxa"/>
            <w:gridSpan w:val="2"/>
            <w:tcBorders>
              <w:top w:val="nil"/>
              <w:left w:val="nil"/>
              <w:bottom w:val="nil"/>
              <w:right w:val="nil"/>
            </w:tcBorders>
            <w:shd w:val="clear" w:color="auto" w:fill="auto"/>
            <w:noWrap/>
            <w:vAlign w:val="bottom"/>
            <w:hideMark/>
          </w:tcPr>
          <w:p w14:paraId="7A07208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20.6</w:t>
            </w:r>
          </w:p>
        </w:tc>
        <w:tc>
          <w:tcPr>
            <w:tcW w:w="1701" w:type="dxa"/>
            <w:tcBorders>
              <w:top w:val="nil"/>
              <w:left w:val="nil"/>
              <w:bottom w:val="nil"/>
              <w:right w:val="nil"/>
            </w:tcBorders>
            <w:shd w:val="clear" w:color="auto" w:fill="auto"/>
            <w:noWrap/>
            <w:vAlign w:val="bottom"/>
            <w:hideMark/>
          </w:tcPr>
          <w:p w14:paraId="7E76FAA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39</w:t>
            </w:r>
          </w:p>
        </w:tc>
        <w:tc>
          <w:tcPr>
            <w:tcW w:w="1134" w:type="dxa"/>
            <w:tcBorders>
              <w:top w:val="nil"/>
              <w:left w:val="nil"/>
              <w:bottom w:val="nil"/>
              <w:right w:val="nil"/>
            </w:tcBorders>
            <w:shd w:val="clear" w:color="auto" w:fill="auto"/>
            <w:noWrap/>
            <w:vAlign w:val="bottom"/>
            <w:hideMark/>
          </w:tcPr>
          <w:p w14:paraId="357BF54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19.8</w:t>
            </w:r>
          </w:p>
        </w:tc>
        <w:tc>
          <w:tcPr>
            <w:tcW w:w="1418" w:type="dxa"/>
            <w:tcBorders>
              <w:top w:val="nil"/>
              <w:left w:val="nil"/>
              <w:bottom w:val="nil"/>
              <w:right w:val="nil"/>
            </w:tcBorders>
            <w:shd w:val="clear" w:color="auto" w:fill="auto"/>
            <w:noWrap/>
            <w:vAlign w:val="bottom"/>
            <w:hideMark/>
          </w:tcPr>
          <w:p w14:paraId="6F7E49D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0.8</w:t>
            </w:r>
          </w:p>
        </w:tc>
      </w:tr>
      <w:tr w:rsidR="00143D89" w:rsidRPr="00F71A22" w14:paraId="24BA5488" w14:textId="77777777" w:rsidTr="001F4507">
        <w:trPr>
          <w:trHeight w:val="300"/>
        </w:trPr>
        <w:tc>
          <w:tcPr>
            <w:tcW w:w="2500" w:type="dxa"/>
            <w:tcBorders>
              <w:top w:val="nil"/>
              <w:left w:val="nil"/>
              <w:bottom w:val="nil"/>
              <w:right w:val="nil"/>
            </w:tcBorders>
            <w:shd w:val="clear" w:color="auto" w:fill="auto"/>
            <w:noWrap/>
            <w:vAlign w:val="bottom"/>
            <w:hideMark/>
          </w:tcPr>
          <w:p w14:paraId="64AA5BB2"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nil"/>
              <w:right w:val="nil"/>
            </w:tcBorders>
            <w:shd w:val="clear" w:color="auto" w:fill="auto"/>
            <w:noWrap/>
            <w:vAlign w:val="bottom"/>
            <w:hideMark/>
          </w:tcPr>
          <w:p w14:paraId="768CAA6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36</w:t>
            </w:r>
          </w:p>
        </w:tc>
        <w:tc>
          <w:tcPr>
            <w:tcW w:w="1275" w:type="dxa"/>
            <w:gridSpan w:val="2"/>
            <w:tcBorders>
              <w:top w:val="nil"/>
              <w:left w:val="nil"/>
              <w:bottom w:val="nil"/>
              <w:right w:val="nil"/>
            </w:tcBorders>
            <w:shd w:val="clear" w:color="auto" w:fill="auto"/>
            <w:noWrap/>
            <w:vAlign w:val="bottom"/>
            <w:hideMark/>
          </w:tcPr>
          <w:p w14:paraId="0D72437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28.8</w:t>
            </w:r>
          </w:p>
        </w:tc>
        <w:tc>
          <w:tcPr>
            <w:tcW w:w="1701" w:type="dxa"/>
            <w:tcBorders>
              <w:top w:val="nil"/>
              <w:left w:val="nil"/>
              <w:bottom w:val="nil"/>
              <w:right w:val="nil"/>
            </w:tcBorders>
            <w:shd w:val="clear" w:color="auto" w:fill="auto"/>
            <w:noWrap/>
            <w:vAlign w:val="bottom"/>
            <w:hideMark/>
          </w:tcPr>
          <w:p w14:paraId="739293B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52</w:t>
            </w:r>
          </w:p>
        </w:tc>
        <w:tc>
          <w:tcPr>
            <w:tcW w:w="1134" w:type="dxa"/>
            <w:tcBorders>
              <w:top w:val="nil"/>
              <w:left w:val="nil"/>
              <w:bottom w:val="nil"/>
              <w:right w:val="nil"/>
            </w:tcBorders>
            <w:shd w:val="clear" w:color="auto" w:fill="auto"/>
            <w:noWrap/>
            <w:vAlign w:val="bottom"/>
            <w:hideMark/>
          </w:tcPr>
          <w:p w14:paraId="593A379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38.2</w:t>
            </w:r>
          </w:p>
        </w:tc>
        <w:tc>
          <w:tcPr>
            <w:tcW w:w="1418" w:type="dxa"/>
            <w:tcBorders>
              <w:top w:val="nil"/>
              <w:left w:val="nil"/>
              <w:bottom w:val="nil"/>
              <w:right w:val="nil"/>
            </w:tcBorders>
            <w:shd w:val="clear" w:color="auto" w:fill="auto"/>
            <w:noWrap/>
            <w:vAlign w:val="bottom"/>
            <w:hideMark/>
          </w:tcPr>
          <w:p w14:paraId="297265D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-9.4</w:t>
            </w:r>
          </w:p>
        </w:tc>
      </w:tr>
      <w:tr w:rsidR="000001B9" w:rsidRPr="00F71A22" w14:paraId="49F3DDC5" w14:textId="77777777" w:rsidTr="001F4507">
        <w:trPr>
          <w:trHeight w:val="300"/>
        </w:trPr>
        <w:tc>
          <w:tcPr>
            <w:tcW w:w="2500" w:type="dxa"/>
            <w:tcBorders>
              <w:top w:val="nil"/>
              <w:left w:val="nil"/>
              <w:bottom w:val="nil"/>
              <w:right w:val="nil"/>
            </w:tcBorders>
            <w:shd w:val="clear" w:color="auto" w:fill="auto"/>
            <w:noWrap/>
            <w:vAlign w:val="bottom"/>
          </w:tcPr>
          <w:p w14:paraId="552CD66A" w14:textId="4907962B" w:rsidR="000001B9" w:rsidRPr="00F71A22" w:rsidRDefault="000001B9" w:rsidP="000001B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Without previous jobactive experience within 2 years prior</w:t>
            </w:r>
          </w:p>
        </w:tc>
        <w:tc>
          <w:tcPr>
            <w:tcW w:w="1328" w:type="dxa"/>
            <w:tcBorders>
              <w:top w:val="nil"/>
              <w:left w:val="nil"/>
              <w:bottom w:val="nil"/>
              <w:right w:val="nil"/>
            </w:tcBorders>
            <w:shd w:val="clear" w:color="auto" w:fill="auto"/>
            <w:noWrap/>
          </w:tcPr>
          <w:p w14:paraId="342A8477" w14:textId="38000AB0" w:rsidR="000001B9" w:rsidRPr="00F71A22" w:rsidRDefault="000001B9" w:rsidP="000001B9">
            <w:pPr>
              <w:spacing w:before="0" w:after="0" w:line="240" w:lineRule="auto"/>
              <w:jc w:val="right"/>
              <w:rPr>
                <w:rFonts w:ascii="Calibri" w:hAnsi="Calibri" w:cs="Calibri"/>
                <w:color w:val="000000"/>
                <w:sz w:val="18"/>
                <w:szCs w:val="18"/>
              </w:rPr>
            </w:pPr>
            <w:r w:rsidRPr="007E341E">
              <w:rPr>
                <w:rFonts w:ascii="Calibri" w:eastAsia="Times New Roman" w:hAnsi="Calibri" w:cs="Times New Roman"/>
                <w:b/>
                <w:b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5E28888B" w14:textId="74A6DB53" w:rsidR="000001B9" w:rsidRPr="00F71A22" w:rsidRDefault="000001B9" w:rsidP="000001B9">
            <w:pPr>
              <w:spacing w:before="0" w:after="0" w:line="240" w:lineRule="auto"/>
              <w:jc w:val="right"/>
              <w:rPr>
                <w:rFonts w:ascii="Calibri" w:hAnsi="Calibri" w:cs="Calibri"/>
                <w:color w:val="000000"/>
                <w:sz w:val="18"/>
                <w:szCs w:val="18"/>
              </w:rPr>
            </w:pPr>
            <w:r w:rsidRPr="007E341E">
              <w:rPr>
                <w:rFonts w:ascii="Calibri" w:eastAsia="Times New Roman" w:hAnsi="Calibri" w:cs="Times New Roman"/>
                <w:b/>
                <w:b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540B28FE" w14:textId="4038F3BE" w:rsidR="000001B9" w:rsidRPr="00F71A22" w:rsidRDefault="000001B9" w:rsidP="000001B9">
            <w:pPr>
              <w:spacing w:before="0" w:after="0" w:line="240" w:lineRule="auto"/>
              <w:jc w:val="right"/>
              <w:rPr>
                <w:rFonts w:ascii="Calibri" w:hAnsi="Calibri" w:cs="Calibri"/>
                <w:color w:val="000000"/>
                <w:sz w:val="18"/>
                <w:szCs w:val="18"/>
              </w:rPr>
            </w:pPr>
            <w:r w:rsidRPr="007E341E">
              <w:rPr>
                <w:rFonts w:ascii="Calibri" w:eastAsia="Times New Roman" w:hAnsi="Calibri" w:cs="Times New Roman"/>
                <w:b/>
                <w:b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4B3072B6" w14:textId="63EB8BC6" w:rsidR="000001B9" w:rsidRPr="00F71A22" w:rsidRDefault="000001B9" w:rsidP="000001B9">
            <w:pPr>
              <w:spacing w:before="0" w:after="0" w:line="240" w:lineRule="auto"/>
              <w:jc w:val="right"/>
              <w:rPr>
                <w:rFonts w:ascii="Calibri" w:hAnsi="Calibri" w:cs="Calibri"/>
                <w:color w:val="000000"/>
                <w:sz w:val="18"/>
                <w:szCs w:val="18"/>
              </w:rPr>
            </w:pPr>
            <w:r w:rsidRPr="007E341E">
              <w:rPr>
                <w:rFonts w:ascii="Calibri" w:eastAsia="Times New Roman" w:hAnsi="Calibri" w:cs="Times New Roman"/>
                <w:b/>
                <w:b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1CAD932D" w14:textId="5E5E1D45" w:rsidR="000001B9" w:rsidRPr="00F71A22" w:rsidRDefault="000001B9" w:rsidP="000001B9">
            <w:pPr>
              <w:spacing w:before="0" w:after="0" w:line="240" w:lineRule="auto"/>
              <w:jc w:val="right"/>
              <w:rPr>
                <w:rFonts w:ascii="Calibri" w:hAnsi="Calibri" w:cs="Calibri"/>
                <w:color w:val="000000"/>
                <w:sz w:val="18"/>
                <w:szCs w:val="18"/>
              </w:rPr>
            </w:pPr>
            <w:r w:rsidRPr="007E341E">
              <w:rPr>
                <w:rFonts w:ascii="Calibri" w:eastAsia="Times New Roman" w:hAnsi="Calibri" w:cs="Times New Roman"/>
                <w:b/>
                <w:bCs/>
                <w:color w:val="FFFFFF" w:themeColor="background1"/>
                <w:sz w:val="18"/>
                <w:szCs w:val="18"/>
                <w:lang w:eastAsia="en-AU"/>
              </w:rPr>
              <w:t>—</w:t>
            </w:r>
          </w:p>
        </w:tc>
      </w:tr>
      <w:tr w:rsidR="00143D89" w:rsidRPr="00F71A22" w14:paraId="149A72B5" w14:textId="77777777" w:rsidTr="001F4507">
        <w:trPr>
          <w:trHeight w:val="300"/>
        </w:trPr>
        <w:tc>
          <w:tcPr>
            <w:tcW w:w="2500" w:type="dxa"/>
            <w:tcBorders>
              <w:top w:val="nil"/>
              <w:left w:val="nil"/>
              <w:bottom w:val="nil"/>
              <w:right w:val="nil"/>
            </w:tcBorders>
            <w:shd w:val="clear" w:color="auto" w:fill="auto"/>
            <w:noWrap/>
            <w:vAlign w:val="bottom"/>
            <w:hideMark/>
          </w:tcPr>
          <w:p w14:paraId="3B23D621"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68DA87E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671</w:t>
            </w:r>
          </w:p>
        </w:tc>
        <w:tc>
          <w:tcPr>
            <w:tcW w:w="1275" w:type="dxa"/>
            <w:gridSpan w:val="2"/>
            <w:tcBorders>
              <w:top w:val="nil"/>
              <w:left w:val="nil"/>
              <w:bottom w:val="nil"/>
              <w:right w:val="nil"/>
            </w:tcBorders>
            <w:shd w:val="clear" w:color="auto" w:fill="auto"/>
            <w:noWrap/>
            <w:vAlign w:val="bottom"/>
            <w:hideMark/>
          </w:tcPr>
          <w:p w14:paraId="229B9F0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10.4</w:t>
            </w:r>
          </w:p>
        </w:tc>
        <w:tc>
          <w:tcPr>
            <w:tcW w:w="1701" w:type="dxa"/>
            <w:tcBorders>
              <w:top w:val="nil"/>
              <w:left w:val="nil"/>
              <w:bottom w:val="nil"/>
              <w:right w:val="nil"/>
            </w:tcBorders>
            <w:shd w:val="clear" w:color="auto" w:fill="auto"/>
            <w:noWrap/>
            <w:vAlign w:val="bottom"/>
            <w:hideMark/>
          </w:tcPr>
          <w:p w14:paraId="4731872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509</w:t>
            </w:r>
          </w:p>
        </w:tc>
        <w:tc>
          <w:tcPr>
            <w:tcW w:w="1134" w:type="dxa"/>
            <w:tcBorders>
              <w:top w:val="nil"/>
              <w:left w:val="nil"/>
              <w:bottom w:val="nil"/>
              <w:right w:val="nil"/>
            </w:tcBorders>
            <w:shd w:val="clear" w:color="auto" w:fill="auto"/>
            <w:noWrap/>
            <w:vAlign w:val="bottom"/>
            <w:hideMark/>
          </w:tcPr>
          <w:p w14:paraId="521B677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7.9</w:t>
            </w:r>
          </w:p>
        </w:tc>
        <w:tc>
          <w:tcPr>
            <w:tcW w:w="1418" w:type="dxa"/>
            <w:tcBorders>
              <w:top w:val="nil"/>
              <w:left w:val="nil"/>
              <w:bottom w:val="nil"/>
              <w:right w:val="nil"/>
            </w:tcBorders>
            <w:shd w:val="clear" w:color="auto" w:fill="auto"/>
            <w:noWrap/>
            <w:vAlign w:val="bottom"/>
            <w:hideMark/>
          </w:tcPr>
          <w:p w14:paraId="005D413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2.5*</w:t>
            </w:r>
          </w:p>
        </w:tc>
      </w:tr>
      <w:tr w:rsidR="00143D89" w:rsidRPr="00F71A22" w14:paraId="3DB19D93" w14:textId="77777777" w:rsidTr="001F4507">
        <w:trPr>
          <w:trHeight w:val="315"/>
        </w:trPr>
        <w:tc>
          <w:tcPr>
            <w:tcW w:w="2500" w:type="dxa"/>
            <w:tcBorders>
              <w:top w:val="nil"/>
              <w:left w:val="nil"/>
              <w:bottom w:val="nil"/>
              <w:right w:val="nil"/>
            </w:tcBorders>
            <w:shd w:val="clear" w:color="auto" w:fill="auto"/>
            <w:noWrap/>
            <w:vAlign w:val="bottom"/>
            <w:hideMark/>
          </w:tcPr>
          <w:p w14:paraId="042F39F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22CE662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1,717</w:t>
            </w:r>
          </w:p>
        </w:tc>
        <w:tc>
          <w:tcPr>
            <w:tcW w:w="1275" w:type="dxa"/>
            <w:gridSpan w:val="2"/>
            <w:tcBorders>
              <w:top w:val="nil"/>
              <w:left w:val="nil"/>
              <w:bottom w:val="nil"/>
              <w:right w:val="nil"/>
            </w:tcBorders>
            <w:shd w:val="clear" w:color="auto" w:fill="auto"/>
            <w:noWrap/>
            <w:vAlign w:val="bottom"/>
            <w:hideMark/>
          </w:tcPr>
          <w:p w14:paraId="63322B3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33.0</w:t>
            </w:r>
          </w:p>
        </w:tc>
        <w:tc>
          <w:tcPr>
            <w:tcW w:w="1701" w:type="dxa"/>
            <w:tcBorders>
              <w:top w:val="nil"/>
              <w:left w:val="nil"/>
              <w:bottom w:val="nil"/>
              <w:right w:val="nil"/>
            </w:tcBorders>
            <w:shd w:val="clear" w:color="auto" w:fill="auto"/>
            <w:noWrap/>
            <w:vAlign w:val="bottom"/>
            <w:hideMark/>
          </w:tcPr>
          <w:p w14:paraId="16B08D6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1,559</w:t>
            </w:r>
          </w:p>
        </w:tc>
        <w:tc>
          <w:tcPr>
            <w:tcW w:w="1134" w:type="dxa"/>
            <w:tcBorders>
              <w:top w:val="nil"/>
              <w:left w:val="nil"/>
              <w:bottom w:val="nil"/>
              <w:right w:val="nil"/>
            </w:tcBorders>
            <w:shd w:val="clear" w:color="auto" w:fill="auto"/>
            <w:noWrap/>
            <w:vAlign w:val="bottom"/>
            <w:hideMark/>
          </w:tcPr>
          <w:p w14:paraId="0E2CCF7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30.0</w:t>
            </w:r>
          </w:p>
        </w:tc>
        <w:tc>
          <w:tcPr>
            <w:tcW w:w="1418" w:type="dxa"/>
            <w:tcBorders>
              <w:top w:val="nil"/>
              <w:left w:val="nil"/>
              <w:bottom w:val="nil"/>
              <w:right w:val="nil"/>
            </w:tcBorders>
            <w:shd w:val="clear" w:color="auto" w:fill="auto"/>
            <w:noWrap/>
            <w:vAlign w:val="bottom"/>
            <w:hideMark/>
          </w:tcPr>
          <w:p w14:paraId="6820643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w:t>
            </w:r>
          </w:p>
        </w:tc>
      </w:tr>
      <w:tr w:rsidR="00143D89" w:rsidRPr="00F71A22" w14:paraId="53B2C276" w14:textId="77777777" w:rsidTr="001F4507">
        <w:trPr>
          <w:trHeight w:val="300"/>
        </w:trPr>
        <w:tc>
          <w:tcPr>
            <w:tcW w:w="2500" w:type="dxa"/>
            <w:tcBorders>
              <w:top w:val="nil"/>
              <w:left w:val="nil"/>
              <w:bottom w:val="nil"/>
              <w:right w:val="nil"/>
            </w:tcBorders>
            <w:shd w:val="clear" w:color="auto" w:fill="auto"/>
            <w:noWrap/>
            <w:vAlign w:val="bottom"/>
            <w:hideMark/>
          </w:tcPr>
          <w:p w14:paraId="61F6D316"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nil"/>
              <w:right w:val="nil"/>
            </w:tcBorders>
            <w:shd w:val="clear" w:color="auto" w:fill="auto"/>
            <w:noWrap/>
            <w:vAlign w:val="bottom"/>
            <w:hideMark/>
          </w:tcPr>
          <w:p w14:paraId="550CE628"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1,820</w:t>
            </w:r>
          </w:p>
        </w:tc>
        <w:tc>
          <w:tcPr>
            <w:tcW w:w="1275" w:type="dxa"/>
            <w:gridSpan w:val="2"/>
            <w:tcBorders>
              <w:top w:val="nil"/>
              <w:left w:val="nil"/>
              <w:bottom w:val="nil"/>
              <w:right w:val="nil"/>
            </w:tcBorders>
            <w:shd w:val="clear" w:color="auto" w:fill="auto"/>
            <w:noWrap/>
            <w:vAlign w:val="bottom"/>
            <w:hideMark/>
          </w:tcPr>
          <w:p w14:paraId="6AE66D5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50.5</w:t>
            </w:r>
          </w:p>
        </w:tc>
        <w:tc>
          <w:tcPr>
            <w:tcW w:w="1701" w:type="dxa"/>
            <w:tcBorders>
              <w:top w:val="nil"/>
              <w:left w:val="nil"/>
              <w:bottom w:val="nil"/>
              <w:right w:val="nil"/>
            </w:tcBorders>
            <w:shd w:val="clear" w:color="auto" w:fill="auto"/>
            <w:noWrap/>
            <w:vAlign w:val="bottom"/>
            <w:hideMark/>
          </w:tcPr>
          <w:p w14:paraId="24FD702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1,866</w:t>
            </w:r>
          </w:p>
        </w:tc>
        <w:tc>
          <w:tcPr>
            <w:tcW w:w="1134" w:type="dxa"/>
            <w:tcBorders>
              <w:top w:val="nil"/>
              <w:left w:val="nil"/>
              <w:bottom w:val="nil"/>
              <w:right w:val="nil"/>
            </w:tcBorders>
            <w:shd w:val="clear" w:color="auto" w:fill="auto"/>
            <w:noWrap/>
            <w:vAlign w:val="bottom"/>
            <w:hideMark/>
          </w:tcPr>
          <w:p w14:paraId="29C4885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52.1</w:t>
            </w:r>
          </w:p>
        </w:tc>
        <w:tc>
          <w:tcPr>
            <w:tcW w:w="1418" w:type="dxa"/>
            <w:tcBorders>
              <w:top w:val="nil"/>
              <w:left w:val="nil"/>
              <w:bottom w:val="nil"/>
              <w:right w:val="nil"/>
            </w:tcBorders>
            <w:shd w:val="clear" w:color="auto" w:fill="auto"/>
            <w:noWrap/>
            <w:vAlign w:val="bottom"/>
            <w:hideMark/>
          </w:tcPr>
          <w:p w14:paraId="73B0762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-1.6</w:t>
            </w:r>
          </w:p>
        </w:tc>
      </w:tr>
      <w:tr w:rsidR="000001B9" w:rsidRPr="00F71A22" w14:paraId="3B69967E" w14:textId="77777777" w:rsidTr="001F4507">
        <w:trPr>
          <w:trHeight w:val="300"/>
        </w:trPr>
        <w:tc>
          <w:tcPr>
            <w:tcW w:w="2500" w:type="dxa"/>
            <w:tcBorders>
              <w:top w:val="nil"/>
              <w:left w:val="nil"/>
              <w:bottom w:val="nil"/>
              <w:right w:val="nil"/>
            </w:tcBorders>
            <w:shd w:val="clear" w:color="auto" w:fill="auto"/>
            <w:noWrap/>
            <w:vAlign w:val="bottom"/>
          </w:tcPr>
          <w:p w14:paraId="3A1E735D" w14:textId="01676F62" w:rsidR="000001B9" w:rsidRPr="00F71A22" w:rsidRDefault="000001B9" w:rsidP="000001B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color w:val="000000"/>
                <w:sz w:val="18"/>
                <w:szCs w:val="18"/>
                <w:lang w:eastAsia="en-AU"/>
              </w:rPr>
              <w:t>Exits from employment services</w:t>
            </w:r>
          </w:p>
        </w:tc>
        <w:tc>
          <w:tcPr>
            <w:tcW w:w="1328" w:type="dxa"/>
            <w:tcBorders>
              <w:top w:val="nil"/>
              <w:left w:val="nil"/>
              <w:bottom w:val="nil"/>
              <w:right w:val="nil"/>
            </w:tcBorders>
            <w:shd w:val="clear" w:color="auto" w:fill="auto"/>
            <w:noWrap/>
          </w:tcPr>
          <w:p w14:paraId="3D3C8D41" w14:textId="29F4BA25" w:rsidR="000001B9" w:rsidRPr="00F71A22" w:rsidRDefault="000001B9" w:rsidP="000001B9">
            <w:pPr>
              <w:spacing w:before="0" w:after="0" w:line="240" w:lineRule="auto"/>
              <w:jc w:val="right"/>
              <w:rPr>
                <w:rFonts w:ascii="Calibri" w:hAnsi="Calibri" w:cs="Calibri"/>
                <w:color w:val="000000"/>
                <w:sz w:val="18"/>
                <w:szCs w:val="18"/>
              </w:rPr>
            </w:pPr>
            <w:r w:rsidRPr="00966993">
              <w:rPr>
                <w:rFonts w:ascii="Calibri" w:eastAsia="Times New Roman" w:hAnsi="Calibri" w:cs="Times New Roman"/>
                <w:b/>
                <w:b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5703C19E" w14:textId="2C95DBEF" w:rsidR="000001B9" w:rsidRPr="00F71A22" w:rsidRDefault="000001B9" w:rsidP="000001B9">
            <w:pPr>
              <w:spacing w:before="0" w:after="0" w:line="240" w:lineRule="auto"/>
              <w:jc w:val="right"/>
              <w:rPr>
                <w:rFonts w:ascii="Calibri" w:hAnsi="Calibri" w:cs="Calibri"/>
                <w:color w:val="000000"/>
                <w:sz w:val="18"/>
                <w:szCs w:val="18"/>
              </w:rPr>
            </w:pPr>
            <w:r w:rsidRPr="00966993">
              <w:rPr>
                <w:rFonts w:ascii="Calibri" w:eastAsia="Times New Roman" w:hAnsi="Calibri" w:cs="Times New Roman"/>
                <w:b/>
                <w:b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46279D6B" w14:textId="0C232609" w:rsidR="000001B9" w:rsidRPr="00F71A22" w:rsidRDefault="000001B9" w:rsidP="000001B9">
            <w:pPr>
              <w:spacing w:before="0" w:after="0" w:line="240" w:lineRule="auto"/>
              <w:jc w:val="right"/>
              <w:rPr>
                <w:rFonts w:ascii="Calibri" w:hAnsi="Calibri" w:cs="Calibri"/>
                <w:color w:val="000000"/>
                <w:sz w:val="18"/>
                <w:szCs w:val="18"/>
              </w:rPr>
            </w:pPr>
            <w:r w:rsidRPr="00966993">
              <w:rPr>
                <w:rFonts w:ascii="Calibri" w:eastAsia="Times New Roman" w:hAnsi="Calibri" w:cs="Times New Roman"/>
                <w:b/>
                <w:b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78CEF599" w14:textId="3B76E250" w:rsidR="000001B9" w:rsidRPr="00F71A22" w:rsidRDefault="000001B9" w:rsidP="000001B9">
            <w:pPr>
              <w:spacing w:before="0" w:after="0" w:line="240" w:lineRule="auto"/>
              <w:jc w:val="right"/>
              <w:rPr>
                <w:rFonts w:ascii="Calibri" w:hAnsi="Calibri" w:cs="Calibri"/>
                <w:color w:val="000000"/>
                <w:sz w:val="18"/>
                <w:szCs w:val="18"/>
              </w:rPr>
            </w:pPr>
            <w:r w:rsidRPr="00966993">
              <w:rPr>
                <w:rFonts w:ascii="Calibri" w:eastAsia="Times New Roman" w:hAnsi="Calibri" w:cs="Times New Roman"/>
                <w:b/>
                <w:b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36B0E5B8" w14:textId="5AD4F5FF" w:rsidR="000001B9" w:rsidRPr="00F71A22" w:rsidRDefault="000001B9" w:rsidP="000001B9">
            <w:pPr>
              <w:spacing w:before="0" w:after="0" w:line="240" w:lineRule="auto"/>
              <w:jc w:val="right"/>
              <w:rPr>
                <w:rFonts w:ascii="Calibri" w:hAnsi="Calibri" w:cs="Calibri"/>
                <w:color w:val="000000"/>
                <w:sz w:val="18"/>
                <w:szCs w:val="18"/>
              </w:rPr>
            </w:pPr>
            <w:r w:rsidRPr="00966993">
              <w:rPr>
                <w:rFonts w:ascii="Calibri" w:eastAsia="Times New Roman" w:hAnsi="Calibri" w:cs="Times New Roman"/>
                <w:b/>
                <w:bCs/>
                <w:color w:val="FFFFFF" w:themeColor="background1"/>
                <w:sz w:val="18"/>
                <w:szCs w:val="18"/>
                <w:lang w:eastAsia="en-AU"/>
              </w:rPr>
              <w:t>—</w:t>
            </w:r>
          </w:p>
        </w:tc>
      </w:tr>
      <w:tr w:rsidR="000001B9" w:rsidRPr="00F71A22" w14:paraId="3A63640F" w14:textId="77777777" w:rsidTr="001F4507">
        <w:trPr>
          <w:trHeight w:val="300"/>
        </w:trPr>
        <w:tc>
          <w:tcPr>
            <w:tcW w:w="2500" w:type="dxa"/>
            <w:tcBorders>
              <w:top w:val="nil"/>
              <w:left w:val="nil"/>
              <w:bottom w:val="nil"/>
              <w:right w:val="nil"/>
            </w:tcBorders>
            <w:shd w:val="clear" w:color="auto" w:fill="auto"/>
            <w:noWrap/>
            <w:vAlign w:val="bottom"/>
          </w:tcPr>
          <w:p w14:paraId="666EE7F1" w14:textId="5C6F4605" w:rsidR="000001B9" w:rsidRPr="00F71A22" w:rsidRDefault="000001B9" w:rsidP="000001B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 previous jobactive experience within 2 years prior</w:t>
            </w:r>
          </w:p>
        </w:tc>
        <w:tc>
          <w:tcPr>
            <w:tcW w:w="1328" w:type="dxa"/>
            <w:tcBorders>
              <w:top w:val="nil"/>
              <w:left w:val="nil"/>
              <w:bottom w:val="nil"/>
              <w:right w:val="nil"/>
            </w:tcBorders>
            <w:shd w:val="clear" w:color="auto" w:fill="auto"/>
            <w:noWrap/>
          </w:tcPr>
          <w:p w14:paraId="47C4EBAE" w14:textId="76E7F082" w:rsidR="000001B9" w:rsidRPr="00F71A22" w:rsidRDefault="000001B9" w:rsidP="000001B9">
            <w:pPr>
              <w:spacing w:before="0" w:after="0" w:line="240" w:lineRule="auto"/>
              <w:jc w:val="right"/>
              <w:rPr>
                <w:rFonts w:ascii="Calibri" w:hAnsi="Calibri" w:cs="Calibri"/>
                <w:color w:val="000000"/>
                <w:sz w:val="18"/>
                <w:szCs w:val="18"/>
              </w:rPr>
            </w:pPr>
            <w:r w:rsidRPr="00E94C9D">
              <w:rPr>
                <w:rFonts w:ascii="Calibri" w:eastAsia="Times New Roman" w:hAnsi="Calibri" w:cs="Times New Roman"/>
                <w:b/>
                <w:b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689257F6" w14:textId="3B029FF7" w:rsidR="000001B9" w:rsidRPr="00F71A22" w:rsidRDefault="000001B9" w:rsidP="000001B9">
            <w:pPr>
              <w:spacing w:before="0" w:after="0" w:line="240" w:lineRule="auto"/>
              <w:jc w:val="right"/>
              <w:rPr>
                <w:rFonts w:ascii="Calibri" w:hAnsi="Calibri" w:cs="Calibri"/>
                <w:color w:val="000000"/>
                <w:sz w:val="18"/>
                <w:szCs w:val="18"/>
              </w:rPr>
            </w:pPr>
            <w:r w:rsidRPr="00E94C9D">
              <w:rPr>
                <w:rFonts w:ascii="Calibri" w:eastAsia="Times New Roman" w:hAnsi="Calibri" w:cs="Times New Roman"/>
                <w:b/>
                <w:b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51456BD5" w14:textId="6EBFA091" w:rsidR="000001B9" w:rsidRPr="00F71A22" w:rsidRDefault="000001B9" w:rsidP="000001B9">
            <w:pPr>
              <w:spacing w:before="0" w:after="0" w:line="240" w:lineRule="auto"/>
              <w:jc w:val="right"/>
              <w:rPr>
                <w:rFonts w:ascii="Calibri" w:hAnsi="Calibri" w:cs="Calibri"/>
                <w:color w:val="000000"/>
                <w:sz w:val="18"/>
                <w:szCs w:val="18"/>
              </w:rPr>
            </w:pPr>
            <w:r w:rsidRPr="00E94C9D">
              <w:rPr>
                <w:rFonts w:ascii="Calibri" w:eastAsia="Times New Roman" w:hAnsi="Calibri" w:cs="Times New Roman"/>
                <w:b/>
                <w:b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6F46A0B2" w14:textId="487FD2B6" w:rsidR="000001B9" w:rsidRPr="00F71A22" w:rsidRDefault="000001B9" w:rsidP="000001B9">
            <w:pPr>
              <w:spacing w:before="0" w:after="0" w:line="240" w:lineRule="auto"/>
              <w:jc w:val="right"/>
              <w:rPr>
                <w:rFonts w:ascii="Calibri" w:hAnsi="Calibri" w:cs="Calibri"/>
                <w:color w:val="000000"/>
                <w:sz w:val="18"/>
                <w:szCs w:val="18"/>
              </w:rPr>
            </w:pPr>
            <w:r w:rsidRPr="00E94C9D">
              <w:rPr>
                <w:rFonts w:ascii="Calibri" w:eastAsia="Times New Roman" w:hAnsi="Calibri" w:cs="Times New Roman"/>
                <w:b/>
                <w:b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038FB019" w14:textId="6AC369A7" w:rsidR="000001B9" w:rsidRPr="00F71A22" w:rsidRDefault="000001B9" w:rsidP="000001B9">
            <w:pPr>
              <w:spacing w:before="0" w:after="0" w:line="240" w:lineRule="auto"/>
              <w:jc w:val="right"/>
              <w:rPr>
                <w:rFonts w:ascii="Calibri" w:hAnsi="Calibri" w:cs="Calibri"/>
                <w:color w:val="000000"/>
                <w:sz w:val="18"/>
                <w:szCs w:val="18"/>
              </w:rPr>
            </w:pPr>
            <w:r w:rsidRPr="00E94C9D">
              <w:rPr>
                <w:rFonts w:ascii="Calibri" w:eastAsia="Times New Roman" w:hAnsi="Calibri" w:cs="Times New Roman"/>
                <w:b/>
                <w:bCs/>
                <w:color w:val="FFFFFF" w:themeColor="background1"/>
                <w:sz w:val="18"/>
                <w:szCs w:val="18"/>
                <w:lang w:eastAsia="en-AU"/>
              </w:rPr>
              <w:t>—</w:t>
            </w:r>
          </w:p>
        </w:tc>
      </w:tr>
      <w:tr w:rsidR="00143D89" w:rsidRPr="00F71A22" w14:paraId="5BCDB3B2" w14:textId="77777777" w:rsidTr="001F4507">
        <w:trPr>
          <w:trHeight w:val="300"/>
        </w:trPr>
        <w:tc>
          <w:tcPr>
            <w:tcW w:w="2500" w:type="dxa"/>
            <w:tcBorders>
              <w:top w:val="nil"/>
              <w:left w:val="nil"/>
              <w:bottom w:val="nil"/>
              <w:right w:val="nil"/>
            </w:tcBorders>
            <w:shd w:val="clear" w:color="auto" w:fill="auto"/>
            <w:noWrap/>
            <w:vAlign w:val="bottom"/>
            <w:hideMark/>
          </w:tcPr>
          <w:p w14:paraId="3363F433"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1C9C26A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w:t>
            </w:r>
          </w:p>
        </w:tc>
        <w:tc>
          <w:tcPr>
            <w:tcW w:w="1275" w:type="dxa"/>
            <w:gridSpan w:val="2"/>
            <w:tcBorders>
              <w:top w:val="nil"/>
              <w:left w:val="nil"/>
              <w:bottom w:val="nil"/>
              <w:right w:val="nil"/>
            </w:tcBorders>
            <w:shd w:val="clear" w:color="auto" w:fill="auto"/>
            <w:noWrap/>
            <w:vAlign w:val="bottom"/>
            <w:hideMark/>
          </w:tcPr>
          <w:p w14:paraId="2D831A7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1.2</w:t>
            </w:r>
          </w:p>
        </w:tc>
        <w:tc>
          <w:tcPr>
            <w:tcW w:w="1701" w:type="dxa"/>
            <w:tcBorders>
              <w:top w:val="nil"/>
              <w:left w:val="nil"/>
              <w:bottom w:val="nil"/>
              <w:right w:val="nil"/>
            </w:tcBorders>
            <w:shd w:val="clear" w:color="auto" w:fill="auto"/>
            <w:noWrap/>
            <w:vAlign w:val="bottom"/>
            <w:hideMark/>
          </w:tcPr>
          <w:p w14:paraId="199A827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w:t>
            </w:r>
          </w:p>
        </w:tc>
        <w:tc>
          <w:tcPr>
            <w:tcW w:w="1134" w:type="dxa"/>
            <w:tcBorders>
              <w:top w:val="nil"/>
              <w:left w:val="nil"/>
              <w:bottom w:val="nil"/>
              <w:right w:val="nil"/>
            </w:tcBorders>
            <w:shd w:val="clear" w:color="auto" w:fill="auto"/>
            <w:noWrap/>
            <w:vAlign w:val="bottom"/>
            <w:hideMark/>
          </w:tcPr>
          <w:p w14:paraId="578B32FE"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2.0</w:t>
            </w:r>
          </w:p>
        </w:tc>
        <w:tc>
          <w:tcPr>
            <w:tcW w:w="1418" w:type="dxa"/>
            <w:tcBorders>
              <w:top w:val="nil"/>
              <w:left w:val="nil"/>
              <w:bottom w:val="nil"/>
              <w:right w:val="nil"/>
            </w:tcBorders>
            <w:shd w:val="clear" w:color="auto" w:fill="auto"/>
            <w:noWrap/>
            <w:vAlign w:val="bottom"/>
            <w:hideMark/>
          </w:tcPr>
          <w:p w14:paraId="1230237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-0.8</w:t>
            </w:r>
          </w:p>
        </w:tc>
      </w:tr>
      <w:tr w:rsidR="00143D89" w:rsidRPr="00F71A22" w14:paraId="7959BE95" w14:textId="77777777" w:rsidTr="001F4507">
        <w:trPr>
          <w:trHeight w:val="300"/>
        </w:trPr>
        <w:tc>
          <w:tcPr>
            <w:tcW w:w="2500" w:type="dxa"/>
            <w:tcBorders>
              <w:top w:val="nil"/>
              <w:left w:val="nil"/>
              <w:bottom w:val="nil"/>
              <w:right w:val="nil"/>
            </w:tcBorders>
            <w:shd w:val="clear" w:color="auto" w:fill="auto"/>
            <w:noWrap/>
            <w:vAlign w:val="bottom"/>
            <w:hideMark/>
          </w:tcPr>
          <w:p w14:paraId="7D738C3A"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54D781B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23</w:t>
            </w:r>
          </w:p>
        </w:tc>
        <w:tc>
          <w:tcPr>
            <w:tcW w:w="1275" w:type="dxa"/>
            <w:gridSpan w:val="2"/>
            <w:tcBorders>
              <w:top w:val="nil"/>
              <w:left w:val="nil"/>
              <w:bottom w:val="nil"/>
              <w:right w:val="nil"/>
            </w:tcBorders>
            <w:shd w:val="clear" w:color="auto" w:fill="auto"/>
            <w:noWrap/>
            <w:vAlign w:val="bottom"/>
            <w:hideMark/>
          </w:tcPr>
          <w:p w14:paraId="6A98DC1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11.9</w:t>
            </w:r>
          </w:p>
        </w:tc>
        <w:tc>
          <w:tcPr>
            <w:tcW w:w="1701" w:type="dxa"/>
            <w:tcBorders>
              <w:top w:val="nil"/>
              <w:left w:val="nil"/>
              <w:bottom w:val="nil"/>
              <w:right w:val="nil"/>
            </w:tcBorders>
            <w:shd w:val="clear" w:color="auto" w:fill="auto"/>
            <w:noWrap/>
            <w:vAlign w:val="bottom"/>
            <w:hideMark/>
          </w:tcPr>
          <w:p w14:paraId="0540538C"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w:t>
            </w:r>
          </w:p>
        </w:tc>
        <w:tc>
          <w:tcPr>
            <w:tcW w:w="1134" w:type="dxa"/>
            <w:tcBorders>
              <w:top w:val="nil"/>
              <w:left w:val="nil"/>
              <w:bottom w:val="nil"/>
              <w:right w:val="nil"/>
            </w:tcBorders>
            <w:shd w:val="clear" w:color="auto" w:fill="auto"/>
            <w:noWrap/>
            <w:vAlign w:val="bottom"/>
            <w:hideMark/>
          </w:tcPr>
          <w:p w14:paraId="0FD1D8A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8.6</w:t>
            </w:r>
          </w:p>
        </w:tc>
        <w:tc>
          <w:tcPr>
            <w:tcW w:w="1418" w:type="dxa"/>
            <w:tcBorders>
              <w:top w:val="nil"/>
              <w:left w:val="nil"/>
              <w:bottom w:val="nil"/>
              <w:right w:val="nil"/>
            </w:tcBorders>
            <w:shd w:val="clear" w:color="auto" w:fill="auto"/>
            <w:noWrap/>
            <w:vAlign w:val="bottom"/>
            <w:hideMark/>
          </w:tcPr>
          <w:p w14:paraId="0070903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3.3</w:t>
            </w:r>
          </w:p>
        </w:tc>
      </w:tr>
      <w:tr w:rsidR="00143D89" w:rsidRPr="00F71A22" w14:paraId="1648E04B" w14:textId="77777777" w:rsidTr="001F4507">
        <w:trPr>
          <w:trHeight w:val="300"/>
        </w:trPr>
        <w:tc>
          <w:tcPr>
            <w:tcW w:w="2500" w:type="dxa"/>
            <w:tcBorders>
              <w:top w:val="nil"/>
              <w:left w:val="nil"/>
              <w:bottom w:val="nil"/>
              <w:right w:val="nil"/>
            </w:tcBorders>
            <w:shd w:val="clear" w:color="auto" w:fill="auto"/>
            <w:noWrap/>
            <w:vAlign w:val="bottom"/>
            <w:hideMark/>
          </w:tcPr>
          <w:p w14:paraId="02F15F35"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nil"/>
              <w:right w:val="nil"/>
            </w:tcBorders>
            <w:shd w:val="clear" w:color="auto" w:fill="auto"/>
            <w:noWrap/>
            <w:vAlign w:val="bottom"/>
            <w:hideMark/>
          </w:tcPr>
          <w:p w14:paraId="00DE23B0"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34</w:t>
            </w:r>
          </w:p>
        </w:tc>
        <w:tc>
          <w:tcPr>
            <w:tcW w:w="1275" w:type="dxa"/>
            <w:gridSpan w:val="2"/>
            <w:tcBorders>
              <w:top w:val="nil"/>
              <w:left w:val="nil"/>
              <w:bottom w:val="nil"/>
              <w:right w:val="nil"/>
            </w:tcBorders>
            <w:shd w:val="clear" w:color="auto" w:fill="auto"/>
            <w:noWrap/>
            <w:vAlign w:val="bottom"/>
            <w:hideMark/>
          </w:tcPr>
          <w:p w14:paraId="650BC99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27.2</w:t>
            </w:r>
          </w:p>
        </w:tc>
        <w:tc>
          <w:tcPr>
            <w:tcW w:w="1701" w:type="dxa"/>
            <w:tcBorders>
              <w:top w:val="nil"/>
              <w:left w:val="nil"/>
              <w:bottom w:val="nil"/>
              <w:right w:val="nil"/>
            </w:tcBorders>
            <w:shd w:val="clear" w:color="auto" w:fill="auto"/>
            <w:noWrap/>
            <w:vAlign w:val="bottom"/>
            <w:hideMark/>
          </w:tcPr>
          <w:p w14:paraId="10418E9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44</w:t>
            </w:r>
          </w:p>
        </w:tc>
        <w:tc>
          <w:tcPr>
            <w:tcW w:w="1134" w:type="dxa"/>
            <w:tcBorders>
              <w:top w:val="nil"/>
              <w:left w:val="nil"/>
              <w:bottom w:val="nil"/>
              <w:right w:val="nil"/>
            </w:tcBorders>
            <w:shd w:val="clear" w:color="auto" w:fill="auto"/>
            <w:noWrap/>
            <w:vAlign w:val="bottom"/>
            <w:hideMark/>
          </w:tcPr>
          <w:p w14:paraId="3E086E2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32.4</w:t>
            </w:r>
          </w:p>
        </w:tc>
        <w:tc>
          <w:tcPr>
            <w:tcW w:w="1418" w:type="dxa"/>
            <w:tcBorders>
              <w:top w:val="nil"/>
              <w:left w:val="nil"/>
              <w:bottom w:val="nil"/>
              <w:right w:val="nil"/>
            </w:tcBorders>
            <w:shd w:val="clear" w:color="auto" w:fill="auto"/>
            <w:noWrap/>
            <w:vAlign w:val="bottom"/>
            <w:hideMark/>
          </w:tcPr>
          <w:p w14:paraId="6475CD11"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-5.2</w:t>
            </w:r>
          </w:p>
        </w:tc>
      </w:tr>
      <w:tr w:rsidR="000001B9" w:rsidRPr="00F71A22" w14:paraId="52B16119" w14:textId="77777777" w:rsidTr="001F4507">
        <w:trPr>
          <w:trHeight w:val="300"/>
        </w:trPr>
        <w:tc>
          <w:tcPr>
            <w:tcW w:w="2500" w:type="dxa"/>
            <w:tcBorders>
              <w:top w:val="nil"/>
              <w:left w:val="nil"/>
              <w:bottom w:val="nil"/>
              <w:right w:val="nil"/>
            </w:tcBorders>
            <w:shd w:val="clear" w:color="auto" w:fill="auto"/>
            <w:noWrap/>
            <w:vAlign w:val="bottom"/>
          </w:tcPr>
          <w:p w14:paraId="3036A5CD" w14:textId="0FFA488D" w:rsidR="000001B9" w:rsidRPr="00F71A22" w:rsidRDefault="000001B9" w:rsidP="000001B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b/>
                <w:bCs/>
                <w:i/>
                <w:iCs/>
                <w:color w:val="000000"/>
                <w:sz w:val="18"/>
                <w:szCs w:val="18"/>
                <w:lang w:eastAsia="en-AU"/>
              </w:rPr>
              <w:t>Without previous jobactive experience within 2 years prior</w:t>
            </w:r>
          </w:p>
        </w:tc>
        <w:tc>
          <w:tcPr>
            <w:tcW w:w="1328" w:type="dxa"/>
            <w:tcBorders>
              <w:top w:val="nil"/>
              <w:left w:val="nil"/>
              <w:bottom w:val="nil"/>
              <w:right w:val="nil"/>
            </w:tcBorders>
            <w:shd w:val="clear" w:color="auto" w:fill="auto"/>
            <w:noWrap/>
          </w:tcPr>
          <w:p w14:paraId="3B836B43" w14:textId="0F72A310" w:rsidR="000001B9" w:rsidRPr="00F71A22" w:rsidRDefault="000001B9" w:rsidP="000001B9">
            <w:pPr>
              <w:spacing w:before="0" w:after="0" w:line="240" w:lineRule="auto"/>
              <w:jc w:val="right"/>
              <w:rPr>
                <w:rFonts w:ascii="Calibri" w:hAnsi="Calibri" w:cs="Calibri"/>
                <w:color w:val="000000"/>
                <w:sz w:val="18"/>
                <w:szCs w:val="18"/>
              </w:rPr>
            </w:pPr>
            <w:r w:rsidRPr="0082001C">
              <w:rPr>
                <w:rFonts w:ascii="Calibri" w:eastAsia="Times New Roman" w:hAnsi="Calibri" w:cs="Times New Roman"/>
                <w:b/>
                <w:bCs/>
                <w:color w:val="FFFFFF" w:themeColor="background1"/>
                <w:sz w:val="18"/>
                <w:szCs w:val="18"/>
                <w:lang w:eastAsia="en-AU"/>
              </w:rPr>
              <w:t>—</w:t>
            </w:r>
          </w:p>
        </w:tc>
        <w:tc>
          <w:tcPr>
            <w:tcW w:w="1275" w:type="dxa"/>
            <w:gridSpan w:val="2"/>
            <w:tcBorders>
              <w:top w:val="nil"/>
              <w:left w:val="nil"/>
              <w:bottom w:val="nil"/>
              <w:right w:val="nil"/>
            </w:tcBorders>
            <w:shd w:val="clear" w:color="auto" w:fill="auto"/>
            <w:noWrap/>
          </w:tcPr>
          <w:p w14:paraId="3BB6AF40" w14:textId="3BE65BFA" w:rsidR="000001B9" w:rsidRPr="00F71A22" w:rsidRDefault="000001B9" w:rsidP="000001B9">
            <w:pPr>
              <w:spacing w:before="0" w:after="0" w:line="240" w:lineRule="auto"/>
              <w:jc w:val="right"/>
              <w:rPr>
                <w:rFonts w:ascii="Calibri" w:hAnsi="Calibri" w:cs="Calibri"/>
                <w:color w:val="000000"/>
                <w:sz w:val="18"/>
                <w:szCs w:val="18"/>
              </w:rPr>
            </w:pPr>
            <w:r w:rsidRPr="0082001C">
              <w:rPr>
                <w:rFonts w:ascii="Calibri" w:eastAsia="Times New Roman" w:hAnsi="Calibri" w:cs="Times New Roman"/>
                <w:b/>
                <w:bCs/>
                <w:color w:val="FFFFFF" w:themeColor="background1"/>
                <w:sz w:val="18"/>
                <w:szCs w:val="18"/>
                <w:lang w:eastAsia="en-AU"/>
              </w:rPr>
              <w:t>—</w:t>
            </w:r>
          </w:p>
        </w:tc>
        <w:tc>
          <w:tcPr>
            <w:tcW w:w="1701" w:type="dxa"/>
            <w:tcBorders>
              <w:top w:val="nil"/>
              <w:left w:val="nil"/>
              <w:bottom w:val="nil"/>
              <w:right w:val="nil"/>
            </w:tcBorders>
            <w:shd w:val="clear" w:color="auto" w:fill="auto"/>
            <w:noWrap/>
          </w:tcPr>
          <w:p w14:paraId="6A6DEFC8" w14:textId="0F636462" w:rsidR="000001B9" w:rsidRPr="00F71A22" w:rsidRDefault="000001B9" w:rsidP="000001B9">
            <w:pPr>
              <w:spacing w:before="0" w:after="0" w:line="240" w:lineRule="auto"/>
              <w:jc w:val="right"/>
              <w:rPr>
                <w:rFonts w:ascii="Calibri" w:hAnsi="Calibri" w:cs="Calibri"/>
                <w:color w:val="000000"/>
                <w:sz w:val="18"/>
                <w:szCs w:val="18"/>
              </w:rPr>
            </w:pPr>
            <w:r w:rsidRPr="0082001C">
              <w:rPr>
                <w:rFonts w:ascii="Calibri" w:eastAsia="Times New Roman" w:hAnsi="Calibri" w:cs="Times New Roman"/>
                <w:b/>
                <w:bCs/>
                <w:color w:val="FFFFFF" w:themeColor="background1"/>
                <w:sz w:val="18"/>
                <w:szCs w:val="18"/>
                <w:lang w:eastAsia="en-AU"/>
              </w:rPr>
              <w:t>—</w:t>
            </w:r>
          </w:p>
        </w:tc>
        <w:tc>
          <w:tcPr>
            <w:tcW w:w="1134" w:type="dxa"/>
            <w:tcBorders>
              <w:top w:val="nil"/>
              <w:left w:val="nil"/>
              <w:bottom w:val="nil"/>
              <w:right w:val="nil"/>
            </w:tcBorders>
            <w:shd w:val="clear" w:color="auto" w:fill="auto"/>
            <w:noWrap/>
          </w:tcPr>
          <w:p w14:paraId="1694BB14" w14:textId="730EBFEB" w:rsidR="000001B9" w:rsidRPr="00F71A22" w:rsidRDefault="000001B9" w:rsidP="000001B9">
            <w:pPr>
              <w:spacing w:before="0" w:after="0" w:line="240" w:lineRule="auto"/>
              <w:jc w:val="right"/>
              <w:rPr>
                <w:rFonts w:ascii="Calibri" w:hAnsi="Calibri" w:cs="Calibri"/>
                <w:color w:val="000000"/>
                <w:sz w:val="18"/>
                <w:szCs w:val="18"/>
              </w:rPr>
            </w:pPr>
            <w:r w:rsidRPr="0082001C">
              <w:rPr>
                <w:rFonts w:ascii="Calibri" w:eastAsia="Times New Roman" w:hAnsi="Calibri" w:cs="Times New Roman"/>
                <w:b/>
                <w:bCs/>
                <w:color w:val="FFFFFF" w:themeColor="background1"/>
                <w:sz w:val="18"/>
                <w:szCs w:val="18"/>
                <w:lang w:eastAsia="en-AU"/>
              </w:rPr>
              <w:t>—</w:t>
            </w:r>
          </w:p>
        </w:tc>
        <w:tc>
          <w:tcPr>
            <w:tcW w:w="1418" w:type="dxa"/>
            <w:tcBorders>
              <w:top w:val="nil"/>
              <w:left w:val="nil"/>
              <w:bottom w:val="nil"/>
              <w:right w:val="nil"/>
            </w:tcBorders>
            <w:shd w:val="clear" w:color="auto" w:fill="auto"/>
            <w:noWrap/>
          </w:tcPr>
          <w:p w14:paraId="62D9A590" w14:textId="17E57CAE" w:rsidR="000001B9" w:rsidRPr="00F71A22" w:rsidRDefault="000001B9" w:rsidP="000001B9">
            <w:pPr>
              <w:spacing w:before="0" w:after="0" w:line="240" w:lineRule="auto"/>
              <w:jc w:val="right"/>
              <w:rPr>
                <w:rFonts w:ascii="Calibri" w:hAnsi="Calibri" w:cs="Calibri"/>
                <w:color w:val="000000"/>
                <w:sz w:val="18"/>
                <w:szCs w:val="18"/>
              </w:rPr>
            </w:pPr>
            <w:r w:rsidRPr="0082001C">
              <w:rPr>
                <w:rFonts w:ascii="Calibri" w:eastAsia="Times New Roman" w:hAnsi="Calibri" w:cs="Times New Roman"/>
                <w:b/>
                <w:bCs/>
                <w:color w:val="FFFFFF" w:themeColor="background1"/>
                <w:sz w:val="18"/>
                <w:szCs w:val="18"/>
                <w:lang w:eastAsia="en-AU"/>
              </w:rPr>
              <w:t>—</w:t>
            </w:r>
          </w:p>
        </w:tc>
      </w:tr>
      <w:tr w:rsidR="00143D89" w:rsidRPr="00F71A22" w14:paraId="2C432E67" w14:textId="77777777" w:rsidTr="001F4507">
        <w:trPr>
          <w:trHeight w:val="315"/>
        </w:trPr>
        <w:tc>
          <w:tcPr>
            <w:tcW w:w="2500" w:type="dxa"/>
            <w:tcBorders>
              <w:top w:val="nil"/>
              <w:left w:val="nil"/>
              <w:bottom w:val="nil"/>
              <w:right w:val="nil"/>
            </w:tcBorders>
            <w:shd w:val="clear" w:color="auto" w:fill="auto"/>
            <w:noWrap/>
            <w:vAlign w:val="bottom"/>
            <w:hideMark/>
          </w:tcPr>
          <w:p w14:paraId="6A1EAD10"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4 weeks</w:t>
            </w:r>
          </w:p>
        </w:tc>
        <w:tc>
          <w:tcPr>
            <w:tcW w:w="1328" w:type="dxa"/>
            <w:tcBorders>
              <w:top w:val="nil"/>
              <w:left w:val="nil"/>
              <w:bottom w:val="nil"/>
              <w:right w:val="nil"/>
            </w:tcBorders>
            <w:shd w:val="clear" w:color="auto" w:fill="auto"/>
            <w:noWrap/>
            <w:vAlign w:val="bottom"/>
            <w:hideMark/>
          </w:tcPr>
          <w:p w14:paraId="35E21C06"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115</w:t>
            </w:r>
          </w:p>
        </w:tc>
        <w:tc>
          <w:tcPr>
            <w:tcW w:w="1275" w:type="dxa"/>
            <w:gridSpan w:val="2"/>
            <w:tcBorders>
              <w:top w:val="nil"/>
              <w:left w:val="nil"/>
              <w:bottom w:val="nil"/>
              <w:right w:val="nil"/>
            </w:tcBorders>
            <w:shd w:val="clear" w:color="auto" w:fill="auto"/>
            <w:noWrap/>
            <w:vAlign w:val="bottom"/>
            <w:hideMark/>
          </w:tcPr>
          <w:p w14:paraId="3E59EA8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1.8</w:t>
            </w:r>
          </w:p>
        </w:tc>
        <w:tc>
          <w:tcPr>
            <w:tcW w:w="1701" w:type="dxa"/>
            <w:tcBorders>
              <w:top w:val="nil"/>
              <w:left w:val="nil"/>
              <w:bottom w:val="nil"/>
              <w:right w:val="nil"/>
            </w:tcBorders>
            <w:shd w:val="clear" w:color="auto" w:fill="auto"/>
            <w:noWrap/>
            <w:vAlign w:val="bottom"/>
            <w:hideMark/>
          </w:tcPr>
          <w:p w14:paraId="1A86D01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90</w:t>
            </w:r>
          </w:p>
        </w:tc>
        <w:tc>
          <w:tcPr>
            <w:tcW w:w="1134" w:type="dxa"/>
            <w:tcBorders>
              <w:top w:val="nil"/>
              <w:left w:val="nil"/>
              <w:bottom w:val="nil"/>
              <w:right w:val="nil"/>
            </w:tcBorders>
            <w:shd w:val="clear" w:color="auto" w:fill="auto"/>
            <w:noWrap/>
            <w:vAlign w:val="bottom"/>
            <w:hideMark/>
          </w:tcPr>
          <w:p w14:paraId="40E947F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1.4</w:t>
            </w:r>
          </w:p>
        </w:tc>
        <w:tc>
          <w:tcPr>
            <w:tcW w:w="1418" w:type="dxa"/>
            <w:tcBorders>
              <w:top w:val="nil"/>
              <w:left w:val="nil"/>
              <w:bottom w:val="nil"/>
              <w:right w:val="nil"/>
            </w:tcBorders>
            <w:shd w:val="clear" w:color="auto" w:fill="auto"/>
            <w:noWrap/>
            <w:vAlign w:val="bottom"/>
            <w:hideMark/>
          </w:tcPr>
          <w:p w14:paraId="507B7BA4"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0.4</w:t>
            </w:r>
          </w:p>
        </w:tc>
      </w:tr>
      <w:tr w:rsidR="00143D89" w:rsidRPr="00F71A22" w14:paraId="6868A4CD" w14:textId="77777777" w:rsidTr="001F4507">
        <w:trPr>
          <w:trHeight w:val="300"/>
        </w:trPr>
        <w:tc>
          <w:tcPr>
            <w:tcW w:w="2500" w:type="dxa"/>
            <w:tcBorders>
              <w:top w:val="nil"/>
              <w:left w:val="nil"/>
              <w:bottom w:val="nil"/>
              <w:right w:val="nil"/>
            </w:tcBorders>
            <w:shd w:val="clear" w:color="auto" w:fill="auto"/>
            <w:noWrap/>
            <w:vAlign w:val="bottom"/>
            <w:hideMark/>
          </w:tcPr>
          <w:p w14:paraId="2857E782"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12 weeks</w:t>
            </w:r>
          </w:p>
        </w:tc>
        <w:tc>
          <w:tcPr>
            <w:tcW w:w="1328" w:type="dxa"/>
            <w:tcBorders>
              <w:top w:val="nil"/>
              <w:left w:val="nil"/>
              <w:bottom w:val="nil"/>
              <w:right w:val="nil"/>
            </w:tcBorders>
            <w:shd w:val="clear" w:color="auto" w:fill="auto"/>
            <w:noWrap/>
            <w:vAlign w:val="bottom"/>
            <w:hideMark/>
          </w:tcPr>
          <w:p w14:paraId="4F5921A5"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1,137</w:t>
            </w:r>
          </w:p>
        </w:tc>
        <w:tc>
          <w:tcPr>
            <w:tcW w:w="1275" w:type="dxa"/>
            <w:gridSpan w:val="2"/>
            <w:tcBorders>
              <w:top w:val="nil"/>
              <w:left w:val="nil"/>
              <w:bottom w:val="nil"/>
              <w:right w:val="nil"/>
            </w:tcBorders>
            <w:shd w:val="clear" w:color="auto" w:fill="auto"/>
            <w:noWrap/>
            <w:vAlign w:val="bottom"/>
            <w:hideMark/>
          </w:tcPr>
          <w:p w14:paraId="296C925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21.9</w:t>
            </w:r>
          </w:p>
        </w:tc>
        <w:tc>
          <w:tcPr>
            <w:tcW w:w="1701" w:type="dxa"/>
            <w:tcBorders>
              <w:top w:val="nil"/>
              <w:left w:val="nil"/>
              <w:bottom w:val="nil"/>
              <w:right w:val="nil"/>
            </w:tcBorders>
            <w:shd w:val="clear" w:color="auto" w:fill="auto"/>
            <w:noWrap/>
            <w:vAlign w:val="bottom"/>
            <w:hideMark/>
          </w:tcPr>
          <w:p w14:paraId="4537779D"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968</w:t>
            </w:r>
          </w:p>
        </w:tc>
        <w:tc>
          <w:tcPr>
            <w:tcW w:w="1134" w:type="dxa"/>
            <w:tcBorders>
              <w:top w:val="nil"/>
              <w:left w:val="nil"/>
              <w:bottom w:val="nil"/>
              <w:right w:val="nil"/>
            </w:tcBorders>
            <w:shd w:val="clear" w:color="auto" w:fill="auto"/>
            <w:noWrap/>
            <w:vAlign w:val="bottom"/>
            <w:hideMark/>
          </w:tcPr>
          <w:p w14:paraId="7BF4919B"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18.6</w:t>
            </w:r>
          </w:p>
        </w:tc>
        <w:tc>
          <w:tcPr>
            <w:tcW w:w="1418" w:type="dxa"/>
            <w:tcBorders>
              <w:top w:val="nil"/>
              <w:left w:val="nil"/>
              <w:bottom w:val="nil"/>
              <w:right w:val="nil"/>
            </w:tcBorders>
            <w:shd w:val="clear" w:color="auto" w:fill="auto"/>
            <w:noWrap/>
            <w:vAlign w:val="bottom"/>
            <w:hideMark/>
          </w:tcPr>
          <w:p w14:paraId="7082E3C3"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3.3*</w:t>
            </w:r>
          </w:p>
        </w:tc>
      </w:tr>
      <w:tr w:rsidR="00143D89" w:rsidRPr="00F71A22" w14:paraId="013F7100" w14:textId="77777777" w:rsidTr="001F4507">
        <w:trPr>
          <w:trHeight w:val="315"/>
        </w:trPr>
        <w:tc>
          <w:tcPr>
            <w:tcW w:w="2500" w:type="dxa"/>
            <w:tcBorders>
              <w:top w:val="nil"/>
              <w:left w:val="nil"/>
              <w:bottom w:val="single" w:sz="8" w:space="0" w:color="auto"/>
              <w:right w:val="nil"/>
            </w:tcBorders>
            <w:shd w:val="clear" w:color="auto" w:fill="auto"/>
            <w:noWrap/>
            <w:vAlign w:val="bottom"/>
            <w:hideMark/>
          </w:tcPr>
          <w:p w14:paraId="11873B25" w14:textId="77777777" w:rsidR="00143D89" w:rsidRPr="00F71A22" w:rsidRDefault="00143D89" w:rsidP="00143D89">
            <w:pPr>
              <w:spacing w:before="0" w:after="0" w:line="240" w:lineRule="auto"/>
              <w:rPr>
                <w:rFonts w:ascii="Calibri" w:eastAsia="Times New Roman" w:hAnsi="Calibri" w:cs="Times New Roman"/>
                <w:color w:val="000000"/>
                <w:sz w:val="18"/>
                <w:szCs w:val="18"/>
                <w:lang w:eastAsia="en-AU"/>
              </w:rPr>
            </w:pPr>
            <w:r w:rsidRPr="00F71A22">
              <w:rPr>
                <w:rFonts w:ascii="Calibri" w:eastAsia="Times New Roman" w:hAnsi="Calibri" w:cs="Times New Roman"/>
                <w:color w:val="000000"/>
                <w:sz w:val="18"/>
                <w:szCs w:val="18"/>
                <w:lang w:eastAsia="en-AU"/>
              </w:rPr>
              <w:t xml:space="preserve">     - within 24 weeks</w:t>
            </w:r>
          </w:p>
        </w:tc>
        <w:tc>
          <w:tcPr>
            <w:tcW w:w="1328" w:type="dxa"/>
            <w:tcBorders>
              <w:top w:val="nil"/>
              <w:left w:val="nil"/>
              <w:bottom w:val="single" w:sz="8" w:space="0" w:color="auto"/>
              <w:right w:val="nil"/>
            </w:tcBorders>
            <w:shd w:val="clear" w:color="auto" w:fill="auto"/>
            <w:noWrap/>
            <w:vAlign w:val="bottom"/>
            <w:hideMark/>
          </w:tcPr>
          <w:p w14:paraId="0BF4B8C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1,721</w:t>
            </w:r>
          </w:p>
        </w:tc>
        <w:tc>
          <w:tcPr>
            <w:tcW w:w="1275" w:type="dxa"/>
            <w:gridSpan w:val="2"/>
            <w:tcBorders>
              <w:top w:val="nil"/>
              <w:left w:val="nil"/>
              <w:bottom w:val="single" w:sz="8" w:space="0" w:color="auto"/>
              <w:right w:val="nil"/>
            </w:tcBorders>
            <w:shd w:val="clear" w:color="auto" w:fill="auto"/>
            <w:noWrap/>
            <w:vAlign w:val="bottom"/>
            <w:hideMark/>
          </w:tcPr>
          <w:p w14:paraId="4661AF4A"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47.7</w:t>
            </w:r>
          </w:p>
        </w:tc>
        <w:tc>
          <w:tcPr>
            <w:tcW w:w="1701" w:type="dxa"/>
            <w:tcBorders>
              <w:top w:val="nil"/>
              <w:left w:val="nil"/>
              <w:bottom w:val="single" w:sz="8" w:space="0" w:color="auto"/>
              <w:right w:val="nil"/>
            </w:tcBorders>
            <w:shd w:val="clear" w:color="auto" w:fill="auto"/>
            <w:noWrap/>
            <w:vAlign w:val="bottom"/>
            <w:hideMark/>
          </w:tcPr>
          <w:p w14:paraId="2C8E9389"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1,718</w:t>
            </w:r>
          </w:p>
        </w:tc>
        <w:tc>
          <w:tcPr>
            <w:tcW w:w="1134" w:type="dxa"/>
            <w:tcBorders>
              <w:top w:val="nil"/>
              <w:left w:val="nil"/>
              <w:bottom w:val="single" w:sz="8" w:space="0" w:color="auto"/>
              <w:right w:val="nil"/>
            </w:tcBorders>
            <w:shd w:val="clear" w:color="auto" w:fill="auto"/>
            <w:noWrap/>
            <w:vAlign w:val="bottom"/>
            <w:hideMark/>
          </w:tcPr>
          <w:p w14:paraId="74BEA697"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48.0</w:t>
            </w:r>
          </w:p>
        </w:tc>
        <w:tc>
          <w:tcPr>
            <w:tcW w:w="1418" w:type="dxa"/>
            <w:tcBorders>
              <w:top w:val="nil"/>
              <w:left w:val="nil"/>
              <w:bottom w:val="single" w:sz="8" w:space="0" w:color="auto"/>
              <w:right w:val="nil"/>
            </w:tcBorders>
            <w:shd w:val="clear" w:color="auto" w:fill="auto"/>
            <w:noWrap/>
            <w:vAlign w:val="bottom"/>
            <w:hideMark/>
          </w:tcPr>
          <w:p w14:paraId="5109D50F" w14:textId="77777777" w:rsidR="00143D89" w:rsidRPr="00F71A22" w:rsidRDefault="00143D89" w:rsidP="00143D89">
            <w:pPr>
              <w:spacing w:before="0" w:after="0" w:line="240" w:lineRule="auto"/>
              <w:jc w:val="right"/>
              <w:rPr>
                <w:rFonts w:ascii="Calibri" w:eastAsia="Times New Roman" w:hAnsi="Calibri" w:cs="Times New Roman"/>
                <w:color w:val="000000"/>
                <w:sz w:val="18"/>
                <w:szCs w:val="18"/>
                <w:lang w:eastAsia="en-AU"/>
              </w:rPr>
            </w:pPr>
            <w:r w:rsidRPr="00F71A22">
              <w:rPr>
                <w:rFonts w:ascii="Calibri" w:hAnsi="Calibri" w:cs="Calibri"/>
                <w:color w:val="000000"/>
                <w:sz w:val="18"/>
                <w:szCs w:val="18"/>
              </w:rPr>
              <w:t>-0.3</w:t>
            </w:r>
          </w:p>
        </w:tc>
      </w:tr>
    </w:tbl>
    <w:p w14:paraId="79DECA96" w14:textId="2681C185" w:rsidR="00143D89" w:rsidRPr="00F71A22" w:rsidRDefault="00143D89" w:rsidP="001F4507">
      <w:pPr>
        <w:pStyle w:val="Source"/>
        <w:contextualSpacing/>
      </w:pPr>
      <w:r w:rsidRPr="00F71A22">
        <w:rPr>
          <w:b/>
          <w:bCs/>
        </w:rPr>
        <w:t>Source</w:t>
      </w:r>
      <w:r w:rsidRPr="00F71A22">
        <w:t xml:space="preserve">: DESE </w:t>
      </w:r>
      <w:r w:rsidR="00DA1E0C">
        <w:t>a</w:t>
      </w:r>
      <w:r w:rsidRPr="00F71A22">
        <w:t xml:space="preserve">dministrative </w:t>
      </w:r>
      <w:r w:rsidR="00DA1E0C">
        <w:t>d</w:t>
      </w:r>
      <w:r w:rsidRPr="00F71A22">
        <w:t>ata</w:t>
      </w:r>
    </w:p>
    <w:p w14:paraId="14788CBF" w14:textId="686E1063" w:rsidR="00F8389D" w:rsidRDefault="00143D89">
      <w:pPr>
        <w:pStyle w:val="Source"/>
        <w:contextualSpacing/>
      </w:pPr>
      <w:r w:rsidRPr="00F71A22">
        <w:rPr>
          <w:b/>
          <w:bCs/>
        </w:rPr>
        <w:t>Note</w:t>
      </w:r>
      <w:r w:rsidRPr="00F71A22">
        <w:t>:</w:t>
      </w:r>
    </w:p>
    <w:p w14:paraId="458220FC" w14:textId="617782E0" w:rsidR="00803324" w:rsidRDefault="00143D89" w:rsidP="001F4507">
      <w:pPr>
        <w:pStyle w:val="Source"/>
        <w:contextualSpacing/>
      </w:pPr>
      <w:r w:rsidRPr="00F71A22">
        <w:t>* indicates statistically significant difference between groups at p &lt; 0.05</w:t>
      </w:r>
    </w:p>
    <w:p w14:paraId="730EE888" w14:textId="0093E9EF" w:rsidR="00143D89" w:rsidRPr="00743827" w:rsidRDefault="00143D89" w:rsidP="001F4507">
      <w:pPr>
        <w:pStyle w:val="Source"/>
        <w:contextualSpacing/>
      </w:pPr>
      <w:r w:rsidRPr="00F71A22">
        <w:t>## indicates values lower than 20</w:t>
      </w:r>
    </w:p>
    <w:p w14:paraId="04CE4EC2" w14:textId="4323FBEB" w:rsidR="008278B1" w:rsidRPr="00803324" w:rsidRDefault="008278B1" w:rsidP="00803324"/>
    <w:sectPr w:rsidR="008278B1" w:rsidRPr="00803324" w:rsidSect="0032316D">
      <w:headerReference w:type="even" r:id="rId74"/>
      <w:headerReference w:type="default" r:id="rId75"/>
      <w:footerReference w:type="default" r:id="rId76"/>
      <w:headerReference w:type="first" r:id="rId77"/>
      <w:type w:val="continuous"/>
      <w:pgSz w:w="11906" w:h="16838"/>
      <w:pgMar w:top="2268" w:right="1418" w:bottom="1418"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6EF33" w14:textId="77777777" w:rsidR="00A82B79" w:rsidRDefault="00A82B79" w:rsidP="0051352E">
      <w:pPr>
        <w:spacing w:after="0" w:line="240" w:lineRule="auto"/>
      </w:pPr>
      <w:r>
        <w:separator/>
      </w:r>
    </w:p>
    <w:p w14:paraId="32636406" w14:textId="77777777" w:rsidR="00A82B79" w:rsidRDefault="00A82B79"/>
  </w:endnote>
  <w:endnote w:type="continuationSeparator" w:id="0">
    <w:p w14:paraId="0680D475" w14:textId="77777777" w:rsidR="00A82B79" w:rsidRDefault="00A82B79" w:rsidP="0051352E">
      <w:pPr>
        <w:spacing w:after="0" w:line="240" w:lineRule="auto"/>
      </w:pPr>
      <w:r>
        <w:continuationSeparator/>
      </w:r>
    </w:p>
    <w:p w14:paraId="176344ED" w14:textId="77777777" w:rsidR="00A82B79" w:rsidRDefault="00A82B79"/>
  </w:endnote>
  <w:endnote w:type="continuationNotice" w:id="1">
    <w:p w14:paraId="0A6A64BC" w14:textId="77777777" w:rsidR="00A82B79" w:rsidRDefault="00A82B79">
      <w:pPr>
        <w:spacing w:after="0" w:line="240" w:lineRule="auto"/>
      </w:pPr>
    </w:p>
    <w:p w14:paraId="2EA740E3" w14:textId="77777777" w:rsidR="00A82B79" w:rsidRDefault="00A82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7994" w14:textId="77777777" w:rsidR="00A82B79" w:rsidRDefault="00A82B79">
    <w:pPr>
      <w:pStyle w:val="Footer"/>
      <w:jc w:val="right"/>
    </w:pPr>
  </w:p>
  <w:p w14:paraId="2D70E06F" w14:textId="77777777" w:rsidR="00A82B79" w:rsidRDefault="00A82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DE5EC" w14:textId="6F00BB09" w:rsidR="00A82B79" w:rsidRDefault="00A82B79">
    <w:pPr>
      <w:pStyle w:val="Footer"/>
      <w:jc w:val="right"/>
    </w:pPr>
    <w:r>
      <w:t xml:space="preserve">Online Employment Services Trial Evaluation|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1B5A619C" w14:textId="77777777" w:rsidR="00A82B79" w:rsidRDefault="00A82B79">
    <w:pPr>
      <w:pStyle w:val="Footer"/>
    </w:pPr>
  </w:p>
  <w:p w14:paraId="54DD7389" w14:textId="77777777" w:rsidR="00A82B79" w:rsidRDefault="00A82B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B344E" w14:textId="77777777" w:rsidR="00A82B79" w:rsidRDefault="00A82B79" w:rsidP="0051352E">
      <w:pPr>
        <w:spacing w:after="0" w:line="240" w:lineRule="auto"/>
      </w:pPr>
      <w:r>
        <w:separator/>
      </w:r>
    </w:p>
  </w:footnote>
  <w:footnote w:type="continuationSeparator" w:id="0">
    <w:p w14:paraId="234A9655" w14:textId="77777777" w:rsidR="00A82B79" w:rsidRDefault="00A82B79" w:rsidP="0051352E">
      <w:pPr>
        <w:spacing w:after="0" w:line="240" w:lineRule="auto"/>
      </w:pPr>
      <w:r>
        <w:continuationSeparator/>
      </w:r>
    </w:p>
    <w:p w14:paraId="7F760C19" w14:textId="77777777" w:rsidR="00A82B79" w:rsidRDefault="00A82B79"/>
  </w:footnote>
  <w:footnote w:type="continuationNotice" w:id="1">
    <w:p w14:paraId="1A7D17FE" w14:textId="77777777" w:rsidR="00A82B79" w:rsidRDefault="00A82B79">
      <w:pPr>
        <w:spacing w:after="0" w:line="240" w:lineRule="auto"/>
      </w:pPr>
    </w:p>
    <w:p w14:paraId="4C0E3BD2" w14:textId="77777777" w:rsidR="00A82B79" w:rsidRDefault="00A82B79"/>
  </w:footnote>
  <w:footnote w:id="2">
    <w:p w14:paraId="6617E499" w14:textId="30B605E0" w:rsidR="00A82B79" w:rsidRDefault="00A82B79" w:rsidP="00BD5333">
      <w:pPr>
        <w:pStyle w:val="Footnote"/>
      </w:pPr>
      <w:r>
        <w:rPr>
          <w:rStyle w:val="FootnoteReference"/>
        </w:rPr>
        <w:footnoteRef/>
      </w:r>
      <w:r>
        <w:t xml:space="preserve"> RapidConnect ceased to operate in April 2020 due to new arrangements required with the advent of COVID-19.</w:t>
      </w:r>
    </w:p>
  </w:footnote>
  <w:footnote w:id="3">
    <w:p w14:paraId="1E2AB87F" w14:textId="1AA86765" w:rsidR="00A82B79" w:rsidRDefault="00A82B79" w:rsidP="00BD5333">
      <w:pPr>
        <w:pStyle w:val="Footnote"/>
      </w:pPr>
      <w:r>
        <w:rPr>
          <w:rStyle w:val="FootnoteReference"/>
        </w:rPr>
        <w:footnoteRef/>
      </w:r>
      <w:r>
        <w:t xml:space="preserve"> jobactive providers were not eligible for an employment outcome payment if OEST participants who transferred from the trial were placed into employment within their first 90 days of the transfer. This is consistent with outcome payment arrangements for Stream A job seekers in jobactive.</w:t>
      </w:r>
    </w:p>
  </w:footnote>
  <w:footnote w:id="4">
    <w:p w14:paraId="02CEF465" w14:textId="33ECA120" w:rsidR="00A82B79" w:rsidRDefault="00A82B79" w:rsidP="00BD5333">
      <w:pPr>
        <w:pStyle w:val="Footnote"/>
      </w:pPr>
      <w:r>
        <w:rPr>
          <w:rStyle w:val="FootnoteReference"/>
        </w:rPr>
        <w:footnoteRef/>
      </w:r>
      <w:r>
        <w:t xml:space="preserve"> The NEST is a parallel trial testing elements of the proposed new employment services model due to commence in July 2022.</w:t>
      </w:r>
    </w:p>
  </w:footnote>
  <w:footnote w:id="5">
    <w:p w14:paraId="659D9A08" w14:textId="51E7772E" w:rsidR="00A82B79" w:rsidRDefault="00A82B79" w:rsidP="00BD5333">
      <w:pPr>
        <w:pStyle w:val="Footnote"/>
      </w:pPr>
      <w:r>
        <w:rPr>
          <w:rStyle w:val="FootnoteReference"/>
        </w:rPr>
        <w:footnoteRef/>
      </w:r>
      <w:r>
        <w:t xml:space="preserve"> RapidConnect ceased to operate in April 2020 due to new arrangements required with the advent of COVID-19.</w:t>
      </w:r>
    </w:p>
  </w:footnote>
  <w:footnote w:id="6">
    <w:p w14:paraId="6E150410" w14:textId="24A523C9" w:rsidR="00A82B79" w:rsidRDefault="00A82B79">
      <w:pPr>
        <w:pStyle w:val="FootnoteText"/>
      </w:pPr>
      <w:r>
        <w:rPr>
          <w:rStyle w:val="FootnoteReference"/>
        </w:rPr>
        <w:footnoteRef/>
      </w:r>
      <w:r>
        <w:t xml:space="preserve"> </w:t>
      </w:r>
      <w:r w:rsidRPr="000D4B3A">
        <w:t>www.dese.gov.au/online-employment-service-guarantee</w:t>
      </w:r>
    </w:p>
  </w:footnote>
  <w:footnote w:id="7">
    <w:p w14:paraId="1673DF61" w14:textId="7C75D895" w:rsidR="00A82B79" w:rsidRDefault="00A82B79">
      <w:pPr>
        <w:pStyle w:val="FootnoteText"/>
      </w:pPr>
      <w:r>
        <w:rPr>
          <w:rStyle w:val="FootnoteReference"/>
        </w:rPr>
        <w:footnoteRef/>
      </w:r>
      <w:r>
        <w:t xml:space="preserve"> www.jobactive.gov.au</w:t>
      </w:r>
    </w:p>
  </w:footnote>
  <w:footnote w:id="8">
    <w:p w14:paraId="6A48EC4C" w14:textId="77777777" w:rsidR="00A82B79" w:rsidRPr="00895E0F" w:rsidRDefault="00A82B79" w:rsidP="003C4508">
      <w:pPr>
        <w:pStyle w:val="Footnote"/>
        <w:rPr>
          <w:lang w:val="en-US"/>
        </w:rPr>
      </w:pPr>
      <w:r>
        <w:rPr>
          <w:rStyle w:val="FootnoteReference"/>
        </w:rPr>
        <w:footnoteRef/>
      </w:r>
      <w:r>
        <w:t xml:space="preserve"> </w:t>
      </w:r>
      <w:r w:rsidRPr="00895E0F">
        <w:t xml:space="preserve">Longitudinal </w:t>
      </w:r>
      <w:r>
        <w:t>job seeker</w:t>
      </w:r>
      <w:r w:rsidRPr="00895E0F">
        <w:t xml:space="preserve">s </w:t>
      </w:r>
      <w:r>
        <w:t>were</w:t>
      </w:r>
      <w:r w:rsidRPr="00895E0F">
        <w:t xml:space="preserve"> </w:t>
      </w:r>
      <w:r>
        <w:t>included in the ‘fresh sample’ response rate calculations only once, based on the first time they completed the survey.</w:t>
      </w:r>
    </w:p>
  </w:footnote>
  <w:footnote w:id="9">
    <w:p w14:paraId="11F6B82E" w14:textId="2DF3D9BE" w:rsidR="00A82B79" w:rsidRDefault="00A82B79" w:rsidP="001F4507">
      <w:pPr>
        <w:pStyle w:val="Footnote"/>
      </w:pPr>
      <w:r>
        <w:rPr>
          <w:rStyle w:val="FootnoteReference"/>
        </w:rPr>
        <w:footnoteRef/>
      </w:r>
      <w:r>
        <w:t xml:space="preserve"> ‘Commencement’ is defined as the date on which a job seeker agrees to a Job Plan.</w:t>
      </w:r>
    </w:p>
  </w:footnote>
  <w:footnote w:id="10">
    <w:p w14:paraId="665EA662" w14:textId="77777777" w:rsidR="00A82B79" w:rsidRDefault="00A82B79" w:rsidP="001F4507">
      <w:pPr>
        <w:pStyle w:val="Footnote"/>
      </w:pPr>
      <w:r>
        <w:rPr>
          <w:rStyle w:val="FootnoteReference"/>
        </w:rPr>
        <w:footnoteRef/>
      </w:r>
      <w:r>
        <w:t xml:space="preserve"> All job seekers have access to the jobactive website.</w:t>
      </w:r>
    </w:p>
  </w:footnote>
  <w:footnote w:id="11">
    <w:p w14:paraId="2D979BA5" w14:textId="1B76F520" w:rsidR="00A82B79" w:rsidRPr="00F4094B" w:rsidRDefault="00A82B79" w:rsidP="00D61CB3">
      <w:pPr>
        <w:pStyle w:val="Footnote"/>
      </w:pPr>
      <w:r w:rsidRPr="004B70A7">
        <w:rPr>
          <w:rStyle w:val="FootnoteReference"/>
        </w:rPr>
        <w:footnoteRef/>
      </w:r>
      <w:r w:rsidRPr="002348DA">
        <w:t xml:space="preserve"> </w:t>
      </w:r>
      <w:r w:rsidRPr="00F4094B">
        <w:t xml:space="preserve">The department’s analysis </w:t>
      </w:r>
      <w:r>
        <w:t>of</w:t>
      </w:r>
      <w:r w:rsidRPr="00F4094B">
        <w:t xml:space="preserve"> compliance rates demerits include</w:t>
      </w:r>
      <w:r>
        <w:t>d</w:t>
      </w:r>
      <w:r w:rsidRPr="00F4094B">
        <w:t xml:space="preserve"> </w:t>
      </w:r>
      <w:r>
        <w:t xml:space="preserve">both </w:t>
      </w:r>
      <w:r w:rsidRPr="00F4094B">
        <w:t xml:space="preserve">the population of </w:t>
      </w:r>
      <w:r>
        <w:t>job seeker</w:t>
      </w:r>
      <w:r w:rsidRPr="00F4094B">
        <w:t xml:space="preserve">s who </w:t>
      </w:r>
      <w:r>
        <w:t>were</w:t>
      </w:r>
      <w:r w:rsidRPr="00F4094B">
        <w:t xml:space="preserve"> not in receipt of income support and </w:t>
      </w:r>
      <w:r>
        <w:t>those who were</w:t>
      </w:r>
      <w:r w:rsidRPr="00F4094B">
        <w:t xml:space="preserve"> in receipt of </w:t>
      </w:r>
      <w:r>
        <w:t>i</w:t>
      </w:r>
      <w:r w:rsidRPr="00F4094B">
        <w:t xml:space="preserve">ncome support within 28 days from </w:t>
      </w:r>
      <w:r>
        <w:t xml:space="preserve">the </w:t>
      </w:r>
      <w:r w:rsidRPr="00F4094B">
        <w:t xml:space="preserve">commencement date. </w:t>
      </w:r>
      <w:r>
        <w:t>The c</w:t>
      </w:r>
      <w:r w:rsidRPr="00F4094B">
        <w:t xml:space="preserve">ommencement date of </w:t>
      </w:r>
      <w:r>
        <w:t>OEST participants</w:t>
      </w:r>
      <w:r w:rsidRPr="00F4094B">
        <w:t xml:space="preserve"> </w:t>
      </w:r>
      <w:r>
        <w:t>was</w:t>
      </w:r>
      <w:r w:rsidRPr="00F4094B">
        <w:t xml:space="preserve"> the date the </w:t>
      </w:r>
      <w:r>
        <w:t>J</w:t>
      </w:r>
      <w:r w:rsidRPr="00F4094B">
        <w:t xml:space="preserve">ob </w:t>
      </w:r>
      <w:r>
        <w:t>P</w:t>
      </w:r>
      <w:r w:rsidRPr="00F4094B">
        <w:t xml:space="preserve">lan </w:t>
      </w:r>
      <w:r>
        <w:t>was</w:t>
      </w:r>
      <w:r w:rsidRPr="00F4094B">
        <w:t xml:space="preserve"> signed. </w:t>
      </w:r>
      <w:r>
        <w:t>The c</w:t>
      </w:r>
      <w:r w:rsidRPr="00F4094B">
        <w:t xml:space="preserve">ommencement date for </w:t>
      </w:r>
      <w:r>
        <w:t>the comparison group</w:t>
      </w:r>
      <w:r w:rsidRPr="00F4094B">
        <w:t xml:space="preserve"> </w:t>
      </w:r>
      <w:r>
        <w:t>was</w:t>
      </w:r>
      <w:r w:rsidRPr="00F4094B">
        <w:t xml:space="preserve"> the da</w:t>
      </w:r>
      <w:r>
        <w:t>te the job seeker</w:t>
      </w:r>
      <w:r w:rsidRPr="00F4094B">
        <w:t xml:space="preserve"> first met with a provider.</w:t>
      </w:r>
    </w:p>
  </w:footnote>
  <w:footnote w:id="12">
    <w:p w14:paraId="34EEC767" w14:textId="035E6B2A" w:rsidR="00A82B79" w:rsidRDefault="00A82B79" w:rsidP="00D259A0">
      <w:pPr>
        <w:pStyle w:val="Footnote"/>
      </w:pPr>
      <w:r w:rsidRPr="004B70A7">
        <w:rPr>
          <w:rStyle w:val="FootnoteReference"/>
          <w:szCs w:val="18"/>
        </w:rPr>
        <w:footnoteRef/>
      </w:r>
      <w:r w:rsidRPr="00AC101D">
        <w:rPr>
          <w:rStyle w:val="FootnoteReference"/>
          <w:szCs w:val="18"/>
          <w:vertAlign w:val="baseline"/>
        </w:rPr>
        <w:t xml:space="preserve"> </w:t>
      </w:r>
      <w:r>
        <w:rPr>
          <w:szCs w:val="18"/>
        </w:rPr>
        <w:t>The department’s analysis of compliance rates demerits included a matched sample of both job seekers who were in receipt and those who were not in receipt of income support within 28 days from the commencement date.</w:t>
      </w:r>
    </w:p>
  </w:footnote>
  <w:footnote w:id="13">
    <w:p w14:paraId="067A6779" w14:textId="38A8A6A1" w:rsidR="00A82B79" w:rsidRDefault="00A82B79" w:rsidP="003E112E">
      <w:pPr>
        <w:pStyle w:val="Footnote"/>
      </w:pPr>
      <w:r>
        <w:rPr>
          <w:rStyle w:val="FootnoteReference"/>
        </w:rPr>
        <w:footnoteRef/>
      </w:r>
      <w:r>
        <w:t xml:space="preserve"> This would have been a direct function of the different requirements of job seekers in the OEST and provider servicing.</w:t>
      </w:r>
    </w:p>
  </w:footnote>
  <w:footnote w:id="14">
    <w:p w14:paraId="6E553F5F" w14:textId="48B5FA96" w:rsidR="00A82B79" w:rsidRDefault="00A82B79" w:rsidP="003E112E">
      <w:pPr>
        <w:pStyle w:val="Footnote"/>
      </w:pPr>
      <w:r>
        <w:rPr>
          <w:rStyle w:val="FootnoteReference"/>
        </w:rPr>
        <w:footnoteRef/>
      </w:r>
      <w:r>
        <w:t xml:space="preserve"> </w:t>
      </w:r>
      <w:r w:rsidRPr="00597219">
        <w:t xml:space="preserve">This approach </w:t>
      </w:r>
      <w:r>
        <w:t>wa</w:t>
      </w:r>
      <w:r w:rsidRPr="00597219">
        <w:t xml:space="preserve">s taken for </w:t>
      </w:r>
      <w:r>
        <w:t>two</w:t>
      </w:r>
      <w:r w:rsidRPr="00597219">
        <w:t xml:space="preserve"> reasons:</w:t>
      </w:r>
      <w:r>
        <w:t xml:space="preserve"> </w:t>
      </w:r>
      <w:r w:rsidRPr="00597219">
        <w:t>t</w:t>
      </w:r>
      <w:r w:rsidRPr="00FB6C1D">
        <w:t>o permit a like-for-like comparison of trial participants and job seekers in provider servicing</w:t>
      </w:r>
      <w:r>
        <w:t xml:space="preserve">, and </w:t>
      </w:r>
      <w:r w:rsidRPr="00597219">
        <w:t xml:space="preserve">because there </w:t>
      </w:r>
      <w:r>
        <w:t>wa</w:t>
      </w:r>
      <w:r w:rsidRPr="00FB6C1D">
        <w:t>s no administrative data available on a job seeker’s employment status (whether participating in OEST or in provider servicing) when they exit</w:t>
      </w:r>
      <w:r>
        <w:t>ed</w:t>
      </w:r>
      <w:r w:rsidRPr="00FB6C1D">
        <w:t xml:space="preserve"> employment services.</w:t>
      </w:r>
      <w:r>
        <w:t xml:space="preserve"> This is because there was no requirement to record a job placement, unless connected to a provider outcome payment.</w:t>
      </w:r>
    </w:p>
  </w:footnote>
  <w:footnote w:id="15">
    <w:p w14:paraId="47E983B2" w14:textId="77777777" w:rsidR="00A82B79" w:rsidRPr="00E15086" w:rsidRDefault="00A82B79" w:rsidP="00001EBB">
      <w:pPr>
        <w:pStyle w:val="Footnote"/>
      </w:pPr>
      <w:r w:rsidRPr="00E15086">
        <w:rPr>
          <w:rStyle w:val="FootnoteReference"/>
          <w:szCs w:val="18"/>
        </w:rPr>
        <w:footnoteRef/>
      </w:r>
      <w:r>
        <w:t xml:space="preserve"> </w:t>
      </w:r>
      <w:r w:rsidRPr="004E17E9">
        <w:t xml:space="preserve">For the purpose of </w:t>
      </w:r>
      <w:r w:rsidRPr="000727EA">
        <w:t>th</w:t>
      </w:r>
      <w:r>
        <w:t>is</w:t>
      </w:r>
      <w:r w:rsidRPr="000727EA">
        <w:t xml:space="preserve"> analysis, exiting from income support </w:t>
      </w:r>
      <w:r>
        <w:t>was</w:t>
      </w:r>
      <w:r w:rsidRPr="000727EA">
        <w:t xml:space="preserve"> defined </w:t>
      </w:r>
      <w:r>
        <w:t>as</w:t>
      </w:r>
      <w:r w:rsidRPr="000727EA">
        <w:t xml:space="preserve"> the last date a job seeker received a non-zero</w:t>
      </w:r>
      <w:r>
        <w:t xml:space="preserve"> rate of</w:t>
      </w:r>
      <w:r w:rsidRPr="000727EA">
        <w:t xml:space="preserve"> income support</w:t>
      </w:r>
      <w:r>
        <w:t xml:space="preserve"> payment</w:t>
      </w:r>
      <w:r w:rsidRPr="000727EA">
        <w:t xml:space="preserve">. Exiting from employment services </w:t>
      </w:r>
      <w:r>
        <w:t>wa</w:t>
      </w:r>
      <w:r w:rsidRPr="000727EA">
        <w:t>s defined</w:t>
      </w:r>
      <w:r w:rsidRPr="004E17E9">
        <w:t xml:space="preserve"> </w:t>
      </w:r>
      <w:r>
        <w:t>as</w:t>
      </w:r>
      <w:r w:rsidRPr="004E17E9">
        <w:t xml:space="preserve"> the date the </w:t>
      </w:r>
      <w:r>
        <w:t>job seeker</w:t>
      </w:r>
      <w:r w:rsidRPr="004E17E9">
        <w:t>’s period of</w:t>
      </w:r>
      <w:r>
        <w:t xml:space="preserve"> </w:t>
      </w:r>
      <w:r w:rsidRPr="004E17E9">
        <w:t xml:space="preserve">assistance ended. Exit rate analyses </w:t>
      </w:r>
      <w:r>
        <w:t>were</w:t>
      </w:r>
      <w:r w:rsidRPr="004E17E9">
        <w:t xml:space="preserve"> calculated only for </w:t>
      </w:r>
      <w:r>
        <w:t>job seeker</w:t>
      </w:r>
      <w:r w:rsidRPr="004E17E9">
        <w:t xml:space="preserve">s who received income support within </w:t>
      </w:r>
      <w:r>
        <w:t>four</w:t>
      </w:r>
      <w:r w:rsidRPr="004E17E9">
        <w:t xml:space="preserve"> weeks of their commencement date.</w:t>
      </w:r>
    </w:p>
  </w:footnote>
  <w:footnote w:id="16">
    <w:p w14:paraId="087D31DE" w14:textId="4BE6408D" w:rsidR="00A82B79" w:rsidRPr="00BE605C" w:rsidRDefault="00A82B79" w:rsidP="009B1F95">
      <w:pPr>
        <w:pStyle w:val="Footnote"/>
      </w:pPr>
      <w:r w:rsidRPr="00BE605C">
        <w:rPr>
          <w:rStyle w:val="FootnoteReference"/>
        </w:rPr>
        <w:footnoteRef/>
      </w:r>
      <w:r w:rsidRPr="00BE605C">
        <w:t xml:space="preserve"> Unless they opted</w:t>
      </w:r>
      <w:r>
        <w:t xml:space="preserve"> </w:t>
      </w:r>
      <w:r w:rsidRPr="00BE605C">
        <w:t>out of the OEST.</w:t>
      </w:r>
    </w:p>
  </w:footnote>
  <w:footnote w:id="17">
    <w:p w14:paraId="45EED755" w14:textId="42308174" w:rsidR="00A82B79" w:rsidRDefault="00A82B79" w:rsidP="009B1F95">
      <w:pPr>
        <w:pStyle w:val="Footnote"/>
      </w:pPr>
      <w:r w:rsidRPr="00BE605C">
        <w:rPr>
          <w:rStyle w:val="FootnoteReference"/>
        </w:rPr>
        <w:footnoteRef/>
      </w:r>
      <w:r w:rsidRPr="00BE605C">
        <w:t xml:space="preserve"> This analysis limits the sample to participants who completed the full six months in the OEST. The earlier analysis does not include this restriction. </w:t>
      </w:r>
      <w:r>
        <w:t>OEST</w:t>
      </w:r>
      <w:r w:rsidRPr="00BE605C">
        <w:t xml:space="preserve"> participants </w:t>
      </w:r>
      <w:r>
        <w:t>were</w:t>
      </w:r>
      <w:r w:rsidRPr="00BE605C">
        <w:t xml:space="preserve"> compared to the </w:t>
      </w:r>
      <w:r>
        <w:t>c</w:t>
      </w:r>
      <w:r w:rsidRPr="00BE605C">
        <w:t xml:space="preserve">omparison group who had spent the whole </w:t>
      </w:r>
      <w:r>
        <w:t>nine</w:t>
      </w:r>
      <w:r w:rsidRPr="00BE605C">
        <w:t xml:space="preserve"> months in provider servicing.</w:t>
      </w:r>
    </w:p>
  </w:footnote>
  <w:footnote w:id="18">
    <w:p w14:paraId="4E7ED417" w14:textId="6B462742" w:rsidR="00A82B79" w:rsidRDefault="00A82B79" w:rsidP="009B1F95">
      <w:pPr>
        <w:pStyle w:val="Footnote"/>
      </w:pPr>
      <w:r w:rsidRPr="00F06E14">
        <w:rPr>
          <w:rStyle w:val="FootnoteReference"/>
        </w:rPr>
        <w:footnoteRef/>
      </w:r>
      <w:r w:rsidRPr="00F06E14">
        <w:t xml:space="preserve"> jobactive providers receive employment outcome payments when job seekers they are servicing achieve employment outcomes that move them off income support or reduce their income support</w:t>
      </w:r>
      <w:r>
        <w:t>. However, job seekers who moved into work during their first 91 days of provider servicing do not attract provider outcome payments.</w:t>
      </w:r>
    </w:p>
  </w:footnote>
  <w:footnote w:id="19">
    <w:p w14:paraId="00681E16" w14:textId="77777777" w:rsidR="00A82B79" w:rsidRDefault="00A82B79" w:rsidP="00EB7DE6">
      <w:pPr>
        <w:pStyle w:val="Footnote"/>
      </w:pPr>
      <w:r>
        <w:rPr>
          <w:rStyle w:val="FootnoteReference"/>
        </w:rPr>
        <w:footnoteRef/>
      </w:r>
      <w:r>
        <w:t xml:space="preserve"> As only 2% of the OEST participants and comparison job seekers were Indigenous, the numbers were too small for a valid analysis of this cohort.</w:t>
      </w:r>
    </w:p>
  </w:footnote>
  <w:footnote w:id="20">
    <w:p w14:paraId="22A1AAC5" w14:textId="3A802255" w:rsidR="00A82B79" w:rsidRDefault="00A82B79" w:rsidP="001F4507">
      <w:pPr>
        <w:pStyle w:val="Footnote"/>
      </w:pPr>
      <w:r>
        <w:rPr>
          <w:rStyle w:val="FootnoteReference"/>
        </w:rPr>
        <w:footnoteRef/>
      </w:r>
      <w:r>
        <w:t xml:space="preserve"> As shown in Figure 4.1, the analysis of departmental administrative data suggests that the exit rates from both income support and employment services were higher among OEST participants than the comparison group.</w:t>
      </w:r>
    </w:p>
  </w:footnote>
  <w:footnote w:id="21">
    <w:p w14:paraId="42D6A32C" w14:textId="0084D8AA" w:rsidR="00A82B79" w:rsidRDefault="00A82B79" w:rsidP="001F4507">
      <w:pPr>
        <w:pStyle w:val="Footnote"/>
      </w:pPr>
      <w:r>
        <w:rPr>
          <w:rStyle w:val="FootnoteReference"/>
        </w:rPr>
        <w:footnoteRef/>
      </w:r>
      <w:r>
        <w:t xml:space="preserve"> The reasons for these patterns of study and training participation require further investigation.</w:t>
      </w:r>
    </w:p>
  </w:footnote>
  <w:footnote w:id="22">
    <w:p w14:paraId="183B626D" w14:textId="45BE77A3" w:rsidR="00A82B79" w:rsidRDefault="00A82B79" w:rsidP="001F4507">
      <w:pPr>
        <w:pStyle w:val="Footnote"/>
      </w:pPr>
      <w:r>
        <w:rPr>
          <w:rStyle w:val="FootnoteReference"/>
        </w:rPr>
        <w:footnoteRef/>
      </w:r>
      <w:r>
        <w:t xml:space="preserve"> Similarly, costs were incurred to establish and maintain the jobactive IT system.</w:t>
      </w:r>
    </w:p>
  </w:footnote>
  <w:footnote w:id="23">
    <w:p w14:paraId="75FF1411" w14:textId="6DD0B3D4" w:rsidR="00A82B79" w:rsidRDefault="00A82B79" w:rsidP="001F4507">
      <w:pPr>
        <w:pStyle w:val="Footnote"/>
      </w:pPr>
      <w:r>
        <w:rPr>
          <w:rStyle w:val="FootnoteReference"/>
        </w:rPr>
        <w:footnoteRef/>
      </w:r>
      <w:r>
        <w:t xml:space="preserve"> For example, see </w:t>
      </w:r>
      <w:r w:rsidRPr="00A15E2F">
        <w:t>P</w:t>
      </w:r>
      <w:r>
        <w:t xml:space="preserve">ortfolio </w:t>
      </w:r>
      <w:r w:rsidRPr="00A15E2F">
        <w:t>A</w:t>
      </w:r>
      <w:r>
        <w:t xml:space="preserve">dditional </w:t>
      </w:r>
      <w:r w:rsidRPr="00A15E2F">
        <w:t>E</w:t>
      </w:r>
      <w:r>
        <w:t xml:space="preserve">stimates </w:t>
      </w:r>
      <w:r w:rsidRPr="00A15E2F">
        <w:t>S</w:t>
      </w:r>
      <w:r>
        <w:t>tatements 2017–18 and Mid-Year Economic and Fiscal Outlook 2018–19.</w:t>
      </w:r>
    </w:p>
  </w:footnote>
  <w:footnote w:id="24">
    <w:p w14:paraId="7CD55AB4" w14:textId="78FC3920" w:rsidR="00A82B79" w:rsidRDefault="00A82B79" w:rsidP="003F158D">
      <w:pPr>
        <w:pStyle w:val="Footnote"/>
      </w:pPr>
      <w:r>
        <w:rPr>
          <w:rStyle w:val="FootnoteReference"/>
        </w:rPr>
        <w:footnoteRef/>
      </w:r>
      <w:r>
        <w:t xml:space="preserve"> The survey asked those who were looking for work about their confidence in keeping a job when they found one and asked those with a job about their confidence in keeping their current job.</w:t>
      </w:r>
    </w:p>
  </w:footnote>
  <w:footnote w:id="25">
    <w:p w14:paraId="5B9B41DA" w14:textId="4F4D9D7D" w:rsidR="00A82B79" w:rsidRDefault="00A82B79" w:rsidP="00FD2AAF">
      <w:pPr>
        <w:pStyle w:val="Footnote"/>
      </w:pPr>
      <w:r>
        <w:rPr>
          <w:rStyle w:val="FootnoteReference"/>
        </w:rPr>
        <w:footnoteRef/>
      </w:r>
      <w:r>
        <w:t xml:space="preserve"> The Digital Assessment is an assessment instrument aimed at identifying job seekers who are potentially unsuitable to self-manage using Online Employment Services (OES) and subsequently encourages them to opt out to a provider.</w:t>
      </w:r>
    </w:p>
  </w:footnote>
  <w:footnote w:id="26">
    <w:p w14:paraId="5264BF36" w14:textId="58225EF5" w:rsidR="00A82B79" w:rsidRDefault="00A82B79" w:rsidP="00552F59">
      <w:pPr>
        <w:pStyle w:val="Footnote"/>
        <w:rPr>
          <w:rFonts w:ascii="Arial" w:hAnsi="Arial" w:cs="Arial"/>
          <w:color w:val="404040"/>
          <w:sz w:val="16"/>
        </w:rPr>
      </w:pPr>
      <w:r>
        <w:rPr>
          <w:rStyle w:val="FootnoteReference"/>
        </w:rPr>
        <w:footnoteRef/>
      </w:r>
      <w:r>
        <w:t xml:space="preserve"> See OECD Digital Government Toolkit, OECD website </w:t>
      </w:r>
      <w:hyperlink r:id="rId1" w:history="1">
        <w:r>
          <w:rPr>
            <w:rStyle w:val="Hyperlink"/>
          </w:rPr>
          <w:t>https://www.oecd.org/governance/digital-government/toolkit/home/</w:t>
        </w:r>
      </w:hyperlink>
    </w:p>
  </w:footnote>
  <w:footnote w:id="27">
    <w:p w14:paraId="36113AF0" w14:textId="39A1C2D5" w:rsidR="00A82B79" w:rsidRDefault="00A82B79" w:rsidP="00B85C4C">
      <w:pPr>
        <w:pStyle w:val="Footnote"/>
      </w:pPr>
      <w:r>
        <w:rPr>
          <w:rStyle w:val="FootnoteReference"/>
        </w:rPr>
        <w:footnoteRef/>
      </w:r>
      <w:r>
        <w:t xml:space="preserve"> </w:t>
      </w:r>
      <w:r w:rsidRPr="008278B1">
        <w:t xml:space="preserve">Percentages </w:t>
      </w:r>
      <w:r>
        <w:t>were</w:t>
      </w:r>
      <w:r w:rsidRPr="008278B1">
        <w:t xml:space="preserve"> based on the total number of valid responses to the question</w:t>
      </w:r>
      <w:r>
        <w:t>s</w:t>
      </w:r>
      <w:r w:rsidRPr="008278B1">
        <w:t xml:space="preserve"> being reported on. Percentages may not sum to 100% due to rounding.</w:t>
      </w:r>
    </w:p>
  </w:footnote>
  <w:footnote w:id="28">
    <w:p w14:paraId="09F32567" w14:textId="7E8F8084" w:rsidR="00A82B79" w:rsidRPr="00895E0F" w:rsidRDefault="00A82B79" w:rsidP="008278B1">
      <w:pPr>
        <w:pStyle w:val="Footnote"/>
        <w:rPr>
          <w:lang w:val="en-US"/>
        </w:rPr>
      </w:pPr>
      <w:r>
        <w:rPr>
          <w:rStyle w:val="FootnoteReference"/>
        </w:rPr>
        <w:footnoteRef/>
      </w:r>
      <w:r>
        <w:t xml:space="preserve"> </w:t>
      </w:r>
      <w:r w:rsidRPr="00895E0F">
        <w:t xml:space="preserve">Longitudinal </w:t>
      </w:r>
      <w:r>
        <w:t>job seeker</w:t>
      </w:r>
      <w:r w:rsidRPr="00895E0F">
        <w:t xml:space="preserve">s </w:t>
      </w:r>
      <w:r>
        <w:t>were</w:t>
      </w:r>
      <w:r w:rsidRPr="00895E0F">
        <w:t xml:space="preserve"> </w:t>
      </w:r>
      <w:r>
        <w:t>included in the ‘fresh sample’ response rate calculations only once, based on the first time they completed the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8937F" w14:textId="28F1B109" w:rsidR="00A82B79" w:rsidRDefault="00A82B79">
    <w:pPr>
      <w:pStyle w:val="Header"/>
    </w:pPr>
  </w:p>
  <w:p w14:paraId="21AD3F2C" w14:textId="77777777" w:rsidR="00A82B79" w:rsidRDefault="00A82B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6694E" w14:textId="5B217086" w:rsidR="00A82B79" w:rsidRDefault="00A82B79">
    <w:pPr>
      <w:pStyle w:val="Header"/>
    </w:pPr>
    <w:r>
      <w:rPr>
        <w:noProof/>
        <w:lang w:eastAsia="en-AU"/>
      </w:rPr>
      <w:drawing>
        <wp:anchor distT="0" distB="0" distL="114300" distR="114300" simplePos="0" relativeHeight="251658240" behindDoc="1" locked="1" layoutInCell="1" allowOverlap="1" wp14:anchorId="549C628F" wp14:editId="0E7DDF18">
          <wp:simplePos x="0" y="0"/>
          <wp:positionH relativeFrom="page">
            <wp:align>right</wp:align>
          </wp:positionH>
          <wp:positionV relativeFrom="page">
            <wp:align>top</wp:align>
          </wp:positionV>
          <wp:extent cx="7783200" cy="1393200"/>
          <wp:effectExtent l="0" t="0" r="8255" b="0"/>
          <wp:wrapNone/>
          <wp:docPr id="20" name="Picture 20"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p w14:paraId="6CBB11F6" w14:textId="77777777" w:rsidR="00A82B79" w:rsidRDefault="00A82B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DB775" w14:textId="1981F070" w:rsidR="00A82B79" w:rsidRDefault="00A82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0CE65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2649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64A1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ACF3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1869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E4F0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1C2A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5264E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0FEB4E77"/>
    <w:multiLevelType w:val="hybridMultilevel"/>
    <w:tmpl w:val="DB90DBF8"/>
    <w:lvl w:ilvl="0" w:tplc="9FBC917E">
      <w:start w:val="1"/>
      <w:numFmt w:val="bullet"/>
      <w:lvlText w:val="•"/>
      <w:lvlJc w:val="left"/>
      <w:pPr>
        <w:tabs>
          <w:tab w:val="num" w:pos="720"/>
        </w:tabs>
        <w:ind w:left="720" w:hanging="360"/>
      </w:pPr>
      <w:rPr>
        <w:rFonts w:ascii="Arial" w:hAnsi="Arial" w:hint="default"/>
      </w:rPr>
    </w:lvl>
    <w:lvl w:ilvl="1" w:tplc="09820580">
      <w:start w:val="1"/>
      <w:numFmt w:val="bullet"/>
      <w:lvlText w:val="•"/>
      <w:lvlJc w:val="left"/>
      <w:pPr>
        <w:tabs>
          <w:tab w:val="num" w:pos="1440"/>
        </w:tabs>
        <w:ind w:left="1440" w:hanging="360"/>
      </w:pPr>
      <w:rPr>
        <w:rFonts w:ascii="Arial" w:hAnsi="Arial" w:hint="default"/>
      </w:rPr>
    </w:lvl>
    <w:lvl w:ilvl="2" w:tplc="37BA31D2">
      <w:start w:val="1"/>
      <w:numFmt w:val="bullet"/>
      <w:lvlText w:val="•"/>
      <w:lvlJc w:val="left"/>
      <w:pPr>
        <w:tabs>
          <w:tab w:val="num" w:pos="2160"/>
        </w:tabs>
        <w:ind w:left="2160" w:hanging="360"/>
      </w:pPr>
      <w:rPr>
        <w:rFonts w:ascii="Arial" w:hAnsi="Arial" w:hint="default"/>
      </w:rPr>
    </w:lvl>
    <w:lvl w:ilvl="3" w:tplc="B6905972" w:tentative="1">
      <w:start w:val="1"/>
      <w:numFmt w:val="bullet"/>
      <w:lvlText w:val="•"/>
      <w:lvlJc w:val="left"/>
      <w:pPr>
        <w:tabs>
          <w:tab w:val="num" w:pos="2880"/>
        </w:tabs>
        <w:ind w:left="2880" w:hanging="360"/>
      </w:pPr>
      <w:rPr>
        <w:rFonts w:ascii="Arial" w:hAnsi="Arial" w:hint="default"/>
      </w:rPr>
    </w:lvl>
    <w:lvl w:ilvl="4" w:tplc="F752A14A" w:tentative="1">
      <w:start w:val="1"/>
      <w:numFmt w:val="bullet"/>
      <w:lvlText w:val="•"/>
      <w:lvlJc w:val="left"/>
      <w:pPr>
        <w:tabs>
          <w:tab w:val="num" w:pos="3600"/>
        </w:tabs>
        <w:ind w:left="3600" w:hanging="360"/>
      </w:pPr>
      <w:rPr>
        <w:rFonts w:ascii="Arial" w:hAnsi="Arial" w:hint="default"/>
      </w:rPr>
    </w:lvl>
    <w:lvl w:ilvl="5" w:tplc="2BD293BA" w:tentative="1">
      <w:start w:val="1"/>
      <w:numFmt w:val="bullet"/>
      <w:lvlText w:val="•"/>
      <w:lvlJc w:val="left"/>
      <w:pPr>
        <w:tabs>
          <w:tab w:val="num" w:pos="4320"/>
        </w:tabs>
        <w:ind w:left="4320" w:hanging="360"/>
      </w:pPr>
      <w:rPr>
        <w:rFonts w:ascii="Arial" w:hAnsi="Arial" w:hint="default"/>
      </w:rPr>
    </w:lvl>
    <w:lvl w:ilvl="6" w:tplc="E7649FF0" w:tentative="1">
      <w:start w:val="1"/>
      <w:numFmt w:val="bullet"/>
      <w:lvlText w:val="•"/>
      <w:lvlJc w:val="left"/>
      <w:pPr>
        <w:tabs>
          <w:tab w:val="num" w:pos="5040"/>
        </w:tabs>
        <w:ind w:left="5040" w:hanging="360"/>
      </w:pPr>
      <w:rPr>
        <w:rFonts w:ascii="Arial" w:hAnsi="Arial" w:hint="default"/>
      </w:rPr>
    </w:lvl>
    <w:lvl w:ilvl="7" w:tplc="5664B87A" w:tentative="1">
      <w:start w:val="1"/>
      <w:numFmt w:val="bullet"/>
      <w:lvlText w:val="•"/>
      <w:lvlJc w:val="left"/>
      <w:pPr>
        <w:tabs>
          <w:tab w:val="num" w:pos="5760"/>
        </w:tabs>
        <w:ind w:left="5760" w:hanging="360"/>
      </w:pPr>
      <w:rPr>
        <w:rFonts w:ascii="Arial" w:hAnsi="Arial" w:hint="default"/>
      </w:rPr>
    </w:lvl>
    <w:lvl w:ilvl="8" w:tplc="C65E8DE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927E2E"/>
    <w:multiLevelType w:val="hybridMultilevel"/>
    <w:tmpl w:val="0938F336"/>
    <w:lvl w:ilvl="0" w:tplc="08249638">
      <w:start w:val="1"/>
      <w:numFmt w:val="bullet"/>
      <w:lvlText w:val="•"/>
      <w:lvlJc w:val="left"/>
      <w:pPr>
        <w:tabs>
          <w:tab w:val="num" w:pos="360"/>
        </w:tabs>
        <w:ind w:left="360" w:hanging="360"/>
      </w:pPr>
      <w:rPr>
        <w:rFonts w:ascii="Arial" w:hAnsi="Arial" w:hint="default"/>
      </w:rPr>
    </w:lvl>
    <w:lvl w:ilvl="1" w:tplc="61BAAFC8">
      <w:start w:val="1"/>
      <w:numFmt w:val="bullet"/>
      <w:lvlText w:val="•"/>
      <w:lvlJc w:val="left"/>
      <w:pPr>
        <w:tabs>
          <w:tab w:val="num" w:pos="1080"/>
        </w:tabs>
        <w:ind w:left="1080" w:hanging="360"/>
      </w:pPr>
      <w:rPr>
        <w:rFonts w:ascii="Arial" w:hAnsi="Arial" w:hint="default"/>
      </w:rPr>
    </w:lvl>
    <w:lvl w:ilvl="2" w:tplc="FFAE3D74">
      <w:start w:val="59"/>
      <w:numFmt w:val="bullet"/>
      <w:lvlText w:val="•"/>
      <w:lvlJc w:val="left"/>
      <w:pPr>
        <w:tabs>
          <w:tab w:val="num" w:pos="1800"/>
        </w:tabs>
        <w:ind w:left="1800" w:hanging="360"/>
      </w:pPr>
      <w:rPr>
        <w:rFonts w:ascii="Arial" w:hAnsi="Arial" w:hint="default"/>
      </w:rPr>
    </w:lvl>
    <w:lvl w:ilvl="3" w:tplc="E1BCA16A" w:tentative="1">
      <w:start w:val="1"/>
      <w:numFmt w:val="bullet"/>
      <w:lvlText w:val="•"/>
      <w:lvlJc w:val="left"/>
      <w:pPr>
        <w:tabs>
          <w:tab w:val="num" w:pos="2520"/>
        </w:tabs>
        <w:ind w:left="2520" w:hanging="360"/>
      </w:pPr>
      <w:rPr>
        <w:rFonts w:ascii="Arial" w:hAnsi="Arial" w:hint="default"/>
      </w:rPr>
    </w:lvl>
    <w:lvl w:ilvl="4" w:tplc="D0F2749C" w:tentative="1">
      <w:start w:val="1"/>
      <w:numFmt w:val="bullet"/>
      <w:lvlText w:val="•"/>
      <w:lvlJc w:val="left"/>
      <w:pPr>
        <w:tabs>
          <w:tab w:val="num" w:pos="3240"/>
        </w:tabs>
        <w:ind w:left="3240" w:hanging="360"/>
      </w:pPr>
      <w:rPr>
        <w:rFonts w:ascii="Arial" w:hAnsi="Arial" w:hint="default"/>
      </w:rPr>
    </w:lvl>
    <w:lvl w:ilvl="5" w:tplc="1D0235DC" w:tentative="1">
      <w:start w:val="1"/>
      <w:numFmt w:val="bullet"/>
      <w:lvlText w:val="•"/>
      <w:lvlJc w:val="left"/>
      <w:pPr>
        <w:tabs>
          <w:tab w:val="num" w:pos="3960"/>
        </w:tabs>
        <w:ind w:left="3960" w:hanging="360"/>
      </w:pPr>
      <w:rPr>
        <w:rFonts w:ascii="Arial" w:hAnsi="Arial" w:hint="default"/>
      </w:rPr>
    </w:lvl>
    <w:lvl w:ilvl="6" w:tplc="A8BA5DBA" w:tentative="1">
      <w:start w:val="1"/>
      <w:numFmt w:val="bullet"/>
      <w:lvlText w:val="•"/>
      <w:lvlJc w:val="left"/>
      <w:pPr>
        <w:tabs>
          <w:tab w:val="num" w:pos="4680"/>
        </w:tabs>
        <w:ind w:left="4680" w:hanging="360"/>
      </w:pPr>
      <w:rPr>
        <w:rFonts w:ascii="Arial" w:hAnsi="Arial" w:hint="default"/>
      </w:rPr>
    </w:lvl>
    <w:lvl w:ilvl="7" w:tplc="02C474EA" w:tentative="1">
      <w:start w:val="1"/>
      <w:numFmt w:val="bullet"/>
      <w:lvlText w:val="•"/>
      <w:lvlJc w:val="left"/>
      <w:pPr>
        <w:tabs>
          <w:tab w:val="num" w:pos="5400"/>
        </w:tabs>
        <w:ind w:left="5400" w:hanging="360"/>
      </w:pPr>
      <w:rPr>
        <w:rFonts w:ascii="Arial" w:hAnsi="Arial" w:hint="default"/>
      </w:rPr>
    </w:lvl>
    <w:lvl w:ilvl="8" w:tplc="B190612C"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141F16FF"/>
    <w:multiLevelType w:val="hybridMultilevel"/>
    <w:tmpl w:val="D6866D66"/>
    <w:lvl w:ilvl="0" w:tplc="0C090001">
      <w:start w:val="1"/>
      <w:numFmt w:val="bullet"/>
      <w:lvlText w:val=""/>
      <w:lvlJc w:val="left"/>
      <w:pPr>
        <w:ind w:left="720" w:hanging="360"/>
      </w:pPr>
      <w:rPr>
        <w:rFonts w:ascii="Symbol" w:hAnsi="Symbol" w:hint="default"/>
      </w:rPr>
    </w:lvl>
    <w:lvl w:ilvl="1" w:tplc="E9FC21A8">
      <w:start w:val="1"/>
      <w:numFmt w:val="bullet"/>
      <w:lvlText w:val="o"/>
      <w:lvlJc w:val="left"/>
      <w:pPr>
        <w:ind w:left="1440" w:hanging="360"/>
      </w:pPr>
      <w:rPr>
        <w:rFonts w:ascii="Courier New" w:hAnsi="Courier New" w:cs="Courier New" w:hint="default"/>
        <w:color w:val="auto"/>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7B1113A"/>
    <w:multiLevelType w:val="hybridMultilevel"/>
    <w:tmpl w:val="340C0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F539C6"/>
    <w:multiLevelType w:val="multilevel"/>
    <w:tmpl w:val="6272159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28E4A18"/>
    <w:multiLevelType w:val="hybridMultilevel"/>
    <w:tmpl w:val="5A12F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9D7F16"/>
    <w:multiLevelType w:val="hybridMultilevel"/>
    <w:tmpl w:val="93FA56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8146DFB6">
      <w:start w:val="2"/>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1CB661F"/>
    <w:multiLevelType w:val="multilevel"/>
    <w:tmpl w:val="785C0840"/>
    <w:styleLink w:val="ReportHeadings"/>
    <w:lvl w:ilvl="0">
      <w:start w:val="1"/>
      <w:numFmt w:val="upperRoman"/>
      <w:lvlText w:val="%1."/>
      <w:lvlJc w:val="left"/>
      <w:pPr>
        <w:ind w:left="567" w:hanging="567"/>
      </w:pPr>
      <w:rPr>
        <w:rFonts w:asciiTheme="minorHAnsi" w:hAnsiTheme="minorHAnsi" w:hint="default"/>
        <w:b/>
        <w:i w:val="0"/>
        <w:strike w:val="0"/>
        <w:dstrike w:val="0"/>
        <w:vanish w:val="0"/>
        <w:color w:val="172983"/>
        <w:sz w:val="40"/>
        <w:vertAlign w:val="baseline"/>
      </w:rPr>
    </w:lvl>
    <w:lvl w:ilvl="1">
      <w:start w:val="1"/>
      <w:numFmt w:val="upperLetter"/>
      <w:lvlText w:val="%2."/>
      <w:lvlJc w:val="left"/>
      <w:pPr>
        <w:ind w:left="567" w:hanging="567"/>
      </w:pPr>
      <w:rPr>
        <w:rFonts w:asciiTheme="minorHAnsi" w:hAnsiTheme="minorHAnsi" w:hint="default"/>
        <w:b/>
        <w:bCs/>
        <w:i w:val="0"/>
        <w:iCs w:val="0"/>
        <w:caps w:val="0"/>
        <w:smallCaps w:val="0"/>
        <w:strike w:val="0"/>
        <w:dstrike w:val="0"/>
        <w:vanish w:val="0"/>
        <w:color w:val="172983"/>
        <w:spacing w:val="0"/>
        <w:kern w:val="0"/>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lowerRoman"/>
      <w:lvlText w:val="%3."/>
      <w:lvlJc w:val="left"/>
      <w:pPr>
        <w:tabs>
          <w:tab w:val="num" w:pos="1106"/>
        </w:tabs>
        <w:ind w:left="567" w:hanging="567"/>
      </w:pPr>
      <w:rPr>
        <w:rFonts w:asciiTheme="minorHAnsi" w:hAnsiTheme="minorHAnsi" w:hint="default"/>
        <w:b/>
        <w:color w:val="172983"/>
        <w:sz w:val="32"/>
      </w:rPr>
    </w:lvl>
    <w:lvl w:ilvl="3">
      <w:start w:val="1"/>
      <w:numFmt w:val="none"/>
      <w:lvlText w:val=""/>
      <w:lvlJc w:val="left"/>
      <w:pPr>
        <w:tabs>
          <w:tab w:val="num" w:pos="284"/>
        </w:tabs>
        <w:ind w:left="284" w:firstLine="0"/>
      </w:pPr>
      <w:rPr>
        <w:rFonts w:asciiTheme="minorHAnsi" w:hAnsiTheme="minorHAnsi" w:hint="default"/>
        <w:i/>
        <w:color w:val="172983"/>
        <w:sz w:val="28"/>
      </w:rPr>
    </w:lvl>
    <w:lvl w:ilvl="4">
      <w:start w:val="1"/>
      <w:numFmt w:val="none"/>
      <w:lvlText w:val=""/>
      <w:lvlJc w:val="left"/>
      <w:pPr>
        <w:tabs>
          <w:tab w:val="num" w:pos="284"/>
        </w:tabs>
        <w:ind w:left="284" w:firstLine="0"/>
      </w:pPr>
      <w:rPr>
        <w:rFonts w:hint="default"/>
      </w:rPr>
    </w:lvl>
    <w:lvl w:ilvl="5">
      <w:start w:val="1"/>
      <w:numFmt w:val="none"/>
      <w:lvlText w:val=""/>
      <w:lvlJc w:val="left"/>
      <w:pPr>
        <w:tabs>
          <w:tab w:val="num" w:pos="284"/>
        </w:tabs>
        <w:ind w:left="284" w:firstLine="0"/>
      </w:pPr>
      <w:rPr>
        <w:rFonts w:hint="default"/>
      </w:rPr>
    </w:lvl>
    <w:lvl w:ilvl="6">
      <w:start w:val="1"/>
      <w:numFmt w:val="none"/>
      <w:lvlText w:val=""/>
      <w:lvlJc w:val="left"/>
      <w:pPr>
        <w:tabs>
          <w:tab w:val="num" w:pos="284"/>
        </w:tabs>
        <w:ind w:left="284" w:firstLine="0"/>
      </w:pPr>
      <w:rPr>
        <w:rFonts w:hint="default"/>
      </w:rPr>
    </w:lvl>
    <w:lvl w:ilvl="7">
      <w:start w:val="1"/>
      <w:numFmt w:val="none"/>
      <w:lvlText w:val=""/>
      <w:lvlJc w:val="left"/>
      <w:pPr>
        <w:tabs>
          <w:tab w:val="num" w:pos="284"/>
        </w:tabs>
        <w:ind w:left="284" w:firstLine="0"/>
      </w:pPr>
      <w:rPr>
        <w:rFonts w:hint="default"/>
      </w:rPr>
    </w:lvl>
    <w:lvl w:ilvl="8">
      <w:start w:val="1"/>
      <w:numFmt w:val="none"/>
      <w:lvlText w:val=""/>
      <w:lvlJc w:val="left"/>
      <w:pPr>
        <w:tabs>
          <w:tab w:val="num" w:pos="284"/>
        </w:tabs>
        <w:ind w:left="284" w:firstLine="0"/>
      </w:pPr>
      <w:rPr>
        <w:rFonts w:hint="default"/>
      </w:rPr>
    </w:lvl>
  </w:abstractNum>
  <w:abstractNum w:abstractNumId="19" w15:restartNumberingAfterBreak="0">
    <w:nsid w:val="335163F3"/>
    <w:multiLevelType w:val="hybridMultilevel"/>
    <w:tmpl w:val="5E926E1A"/>
    <w:lvl w:ilvl="0" w:tplc="6A023A64">
      <w:start w:val="1"/>
      <w:numFmt w:val="bullet"/>
      <w:lvlText w:val=""/>
      <w:lvlJc w:val="left"/>
      <w:pPr>
        <w:ind w:left="720" w:hanging="360"/>
      </w:pPr>
      <w:rPr>
        <w:rFonts w:ascii="Symbol" w:hAnsi="Symbol" w:hint="default"/>
      </w:rPr>
    </w:lvl>
    <w:lvl w:ilvl="1" w:tplc="364432C4">
      <w:start w:val="1"/>
      <w:numFmt w:val="bullet"/>
      <w:pStyle w:val="Bullet2"/>
      <w:lvlText w:val=""/>
      <w:lvlJc w:val="left"/>
      <w:pPr>
        <w:ind w:left="5888" w:hanging="360"/>
      </w:pPr>
      <w:rPr>
        <w:rFonts w:ascii="Symbol" w:hAnsi="Symbol" w:hint="default"/>
        <w:color w:val="auto"/>
      </w:rPr>
    </w:lvl>
    <w:lvl w:ilvl="2" w:tplc="9440D938">
      <w:start w:val="1"/>
      <w:numFmt w:val="bullet"/>
      <w:lvlText w:val="o"/>
      <w:lvlJc w:val="left"/>
      <w:pPr>
        <w:ind w:left="216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5901081"/>
    <w:multiLevelType w:val="hybridMultilevel"/>
    <w:tmpl w:val="FC76D0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B92857"/>
    <w:multiLevelType w:val="hybridMultilevel"/>
    <w:tmpl w:val="9058007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3B4C12DC"/>
    <w:multiLevelType w:val="hybridMultilevel"/>
    <w:tmpl w:val="6F209DF8"/>
    <w:lvl w:ilvl="0" w:tplc="68CCC364">
      <w:start w:val="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61262D"/>
    <w:multiLevelType w:val="hybridMultilevel"/>
    <w:tmpl w:val="67D8252C"/>
    <w:lvl w:ilvl="0" w:tplc="0C090001">
      <w:start w:val="1"/>
      <w:numFmt w:val="bullet"/>
      <w:lvlText w:val=""/>
      <w:lvlJc w:val="left"/>
      <w:pPr>
        <w:ind w:left="720" w:hanging="360"/>
      </w:pPr>
      <w:rPr>
        <w:rFonts w:ascii="Symbol" w:hAnsi="Symbol" w:hint="default"/>
      </w:rPr>
    </w:lvl>
    <w:lvl w:ilvl="1" w:tplc="34E234EE">
      <w:start w:val="1"/>
      <w:numFmt w:val="bullet"/>
      <w:lvlText w:val="o"/>
      <w:lvlJc w:val="left"/>
      <w:pPr>
        <w:ind w:left="1440" w:hanging="360"/>
      </w:pPr>
      <w:rPr>
        <w:rFonts w:ascii="Courier New" w:hAnsi="Courier New" w:cs="Courier New" w:hint="default"/>
      </w:rPr>
    </w:lvl>
    <w:lvl w:ilvl="2" w:tplc="4E6CF8E2">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BEC7E73"/>
    <w:multiLevelType w:val="multilevel"/>
    <w:tmpl w:val="C0C8430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3D8841FF"/>
    <w:multiLevelType w:val="multilevel"/>
    <w:tmpl w:val="A83CA8E6"/>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3DE53A66"/>
    <w:multiLevelType w:val="hybridMultilevel"/>
    <w:tmpl w:val="2B966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9C6DB6"/>
    <w:multiLevelType w:val="multilevel"/>
    <w:tmpl w:val="6BC60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1D40AD"/>
    <w:multiLevelType w:val="multilevel"/>
    <w:tmpl w:val="0CCA1AFA"/>
    <w:lvl w:ilvl="0">
      <w:start w:val="1"/>
      <w:numFmt w:val="decimal"/>
      <w:lvlText w:val="%1"/>
      <w:lvlJc w:val="left"/>
      <w:pPr>
        <w:ind w:left="644" w:hanging="360"/>
      </w:pPr>
    </w:lvl>
    <w:lvl w:ilvl="1">
      <w:start w:val="1"/>
      <w:numFmt w:val="decimal"/>
      <w:lvlText w:val="%2"/>
      <w:lvlJc w:val="left"/>
      <w:pPr>
        <w:ind w:left="716"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Restart w:val="1"/>
      <w:lvlText w:val="%3"/>
      <w:lvlJc w:val="left"/>
      <w:pPr>
        <w:ind w:left="357" w:hanging="357"/>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842612"/>
    <w:multiLevelType w:val="hybridMultilevel"/>
    <w:tmpl w:val="709C8198"/>
    <w:lvl w:ilvl="0" w:tplc="8146DFB6">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CF03A4"/>
    <w:multiLevelType w:val="hybridMultilevel"/>
    <w:tmpl w:val="9F24B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903315"/>
    <w:multiLevelType w:val="hybridMultilevel"/>
    <w:tmpl w:val="E9E46A08"/>
    <w:lvl w:ilvl="0" w:tplc="A3CEC3A0">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AA2AE1"/>
    <w:multiLevelType w:val="hybridMultilevel"/>
    <w:tmpl w:val="66347804"/>
    <w:lvl w:ilvl="0" w:tplc="47EA68B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7C1B00"/>
    <w:multiLevelType w:val="hybridMultilevel"/>
    <w:tmpl w:val="12EAFBDE"/>
    <w:lvl w:ilvl="0" w:tplc="0C090001">
      <w:start w:val="1"/>
      <w:numFmt w:val="bullet"/>
      <w:lvlText w:val=""/>
      <w:lvlJc w:val="left"/>
      <w:pPr>
        <w:ind w:left="1287" w:hanging="360"/>
      </w:pPr>
      <w:rPr>
        <w:rFonts w:ascii="Symbol" w:hAnsi="Symbol" w:hint="default"/>
      </w:rPr>
    </w:lvl>
    <w:lvl w:ilvl="1" w:tplc="21FE62CA">
      <w:numFmt w:val="bullet"/>
      <w:lvlText w:val="•"/>
      <w:lvlJc w:val="left"/>
      <w:pPr>
        <w:ind w:left="3338" w:hanging="927"/>
      </w:pPr>
      <w:rPr>
        <w:rFonts w:asciiTheme="minorHAnsi" w:eastAsiaTheme="minorHAnsi" w:hAnsiTheme="minorHAnsi" w:cstheme="minorBidi" w:hint="default"/>
      </w:rPr>
    </w:lvl>
    <w:lvl w:ilvl="2" w:tplc="3C2A793A">
      <w:numFmt w:val="bullet"/>
      <w:lvlText w:val="-"/>
      <w:lvlJc w:val="left"/>
      <w:pPr>
        <w:ind w:left="2727" w:hanging="360"/>
      </w:pPr>
      <w:rPr>
        <w:rFonts w:ascii="Calibri" w:eastAsiaTheme="minorHAnsi" w:hAnsi="Calibri" w:cs="Calibri" w:hint="default"/>
      </w:rPr>
    </w:lvl>
    <w:lvl w:ilvl="3" w:tplc="0C09000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5DEB52D1"/>
    <w:multiLevelType w:val="hybridMultilevel"/>
    <w:tmpl w:val="DB5C0864"/>
    <w:lvl w:ilvl="0" w:tplc="36C20728">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A44E10"/>
    <w:multiLevelType w:val="hybridMultilevel"/>
    <w:tmpl w:val="0B7E5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E21B5B"/>
    <w:multiLevelType w:val="hybridMultilevel"/>
    <w:tmpl w:val="A6B27FC6"/>
    <w:lvl w:ilvl="0" w:tplc="8006DC6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1527E2"/>
    <w:multiLevelType w:val="hybridMultilevel"/>
    <w:tmpl w:val="8FCAB96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9" w15:restartNumberingAfterBreak="0">
    <w:nsid w:val="65D14E08"/>
    <w:multiLevelType w:val="hybridMultilevel"/>
    <w:tmpl w:val="F62EF882"/>
    <w:lvl w:ilvl="0" w:tplc="C6A40D92">
      <w:start w:val="1"/>
      <w:numFmt w:val="bullet"/>
      <w:lvlText w:val="–"/>
      <w:lvlJc w:val="left"/>
      <w:pPr>
        <w:ind w:left="400" w:hanging="360"/>
      </w:pPr>
      <w:rPr>
        <w:rFonts w:ascii="Calibri" w:eastAsiaTheme="minorHAnsi"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40" w15:restartNumberingAfterBreak="0">
    <w:nsid w:val="666D3B16"/>
    <w:multiLevelType w:val="hybridMultilevel"/>
    <w:tmpl w:val="02C22B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802C34"/>
    <w:multiLevelType w:val="hybridMultilevel"/>
    <w:tmpl w:val="23DE5DA8"/>
    <w:lvl w:ilvl="0" w:tplc="6420AC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0E57A5"/>
    <w:multiLevelType w:val="hybridMultilevel"/>
    <w:tmpl w:val="A514749A"/>
    <w:lvl w:ilvl="0" w:tplc="B7B072DE">
      <w:start w:val="1"/>
      <w:numFmt w:val="bullet"/>
      <w:pStyle w:val="Bullet1"/>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9440D938">
      <w:start w:val="1"/>
      <w:numFmt w:val="bullet"/>
      <w:lvlText w:val="o"/>
      <w:lvlJc w:val="left"/>
      <w:pPr>
        <w:ind w:left="216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4A054F"/>
    <w:multiLevelType w:val="hybridMultilevel"/>
    <w:tmpl w:val="D348F3F4"/>
    <w:lvl w:ilvl="0" w:tplc="0C090001">
      <w:start w:val="1"/>
      <w:numFmt w:val="bullet"/>
      <w:lvlText w:val=""/>
      <w:lvlJc w:val="left"/>
      <w:pPr>
        <w:ind w:left="766" w:hanging="360"/>
      </w:pPr>
      <w:rPr>
        <w:rFonts w:ascii="Symbol" w:hAnsi="Symbol" w:hint="default"/>
      </w:rPr>
    </w:lvl>
    <w:lvl w:ilvl="1" w:tplc="0C090003">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44" w15:restartNumberingAfterBreak="0">
    <w:nsid w:val="71690E2E"/>
    <w:multiLevelType w:val="hybridMultilevel"/>
    <w:tmpl w:val="5A7CCD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924A34"/>
    <w:multiLevelType w:val="hybridMultilevel"/>
    <w:tmpl w:val="C332D1AA"/>
    <w:lvl w:ilvl="0" w:tplc="70BE8D8A">
      <w:start w:val="1"/>
      <w:numFmt w:val="bullet"/>
      <w:lvlText w:val=""/>
      <w:lvlJc w:val="left"/>
      <w:pPr>
        <w:tabs>
          <w:tab w:val="num" w:pos="340"/>
        </w:tabs>
        <w:ind w:left="340" w:hanging="340"/>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9B130B"/>
    <w:multiLevelType w:val="hybridMultilevel"/>
    <w:tmpl w:val="77C06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AB365D3"/>
    <w:multiLevelType w:val="hybridMultilevel"/>
    <w:tmpl w:val="2C1EF3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862BBC"/>
    <w:multiLevelType w:val="hybridMultilevel"/>
    <w:tmpl w:val="67C422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0"/>
  </w:num>
  <w:num w:numId="6">
    <w:abstractNumId w:val="42"/>
  </w:num>
  <w:num w:numId="7">
    <w:abstractNumId w:val="47"/>
  </w:num>
  <w:num w:numId="8">
    <w:abstractNumId w:val="21"/>
  </w:num>
  <w:num w:numId="9">
    <w:abstractNumId w:val="8"/>
  </w:num>
  <w:num w:numId="10">
    <w:abstractNumId w:val="24"/>
  </w:num>
  <w:num w:numId="11">
    <w:abstractNumId w:val="34"/>
  </w:num>
  <w:num w:numId="12">
    <w:abstractNumId w:val="14"/>
  </w:num>
  <w:num w:numId="13">
    <w:abstractNumId w:val="25"/>
  </w:num>
  <w:num w:numId="14">
    <w:abstractNumId w:val="19"/>
  </w:num>
  <w:num w:numId="15">
    <w:abstractNumId w:val="29"/>
  </w:num>
  <w:num w:numId="16">
    <w:abstractNumId w:val="18"/>
  </w:num>
  <w:num w:numId="17">
    <w:abstractNumId w:val="11"/>
  </w:num>
  <w:num w:numId="18">
    <w:abstractNumId w:val="16"/>
  </w:num>
  <w:num w:numId="19">
    <w:abstractNumId w:val="48"/>
  </w:num>
  <w:num w:numId="20">
    <w:abstractNumId w:val="37"/>
  </w:num>
  <w:num w:numId="21">
    <w:abstractNumId w:val="23"/>
  </w:num>
  <w:num w:numId="22">
    <w:abstractNumId w:val="28"/>
  </w:num>
  <w:num w:numId="23">
    <w:abstractNumId w:val="43"/>
  </w:num>
  <w:num w:numId="24">
    <w:abstractNumId w:val="44"/>
  </w:num>
  <w:num w:numId="25">
    <w:abstractNumId w:val="27"/>
  </w:num>
  <w:num w:numId="26">
    <w:abstractNumId w:val="22"/>
  </w:num>
  <w:num w:numId="27">
    <w:abstractNumId w:val="31"/>
  </w:num>
  <w:num w:numId="28">
    <w:abstractNumId w:val="13"/>
  </w:num>
  <w:num w:numId="29">
    <w:abstractNumId w:val="38"/>
  </w:num>
  <w:num w:numId="30">
    <w:abstractNumId w:val="41"/>
  </w:num>
  <w:num w:numId="31">
    <w:abstractNumId w:val="15"/>
  </w:num>
  <w:num w:numId="32">
    <w:abstractNumId w:val="36"/>
  </w:num>
  <w:num w:numId="33">
    <w:abstractNumId w:val="32"/>
  </w:num>
  <w:num w:numId="34">
    <w:abstractNumId w:val="45"/>
  </w:num>
  <w:num w:numId="35">
    <w:abstractNumId w:val="46"/>
  </w:num>
  <w:num w:numId="36">
    <w:abstractNumId w:val="30"/>
  </w:num>
  <w:num w:numId="37">
    <w:abstractNumId w:val="0"/>
  </w:num>
  <w:num w:numId="38">
    <w:abstractNumId w:val="40"/>
  </w:num>
  <w:num w:numId="39">
    <w:abstractNumId w:val="35"/>
  </w:num>
  <w:num w:numId="40">
    <w:abstractNumId w:val="39"/>
  </w:num>
  <w:num w:numId="41">
    <w:abstractNumId w:val="7"/>
  </w:num>
  <w:num w:numId="42">
    <w:abstractNumId w:val="6"/>
  </w:num>
  <w:num w:numId="43">
    <w:abstractNumId w:val="5"/>
  </w:num>
  <w:num w:numId="44">
    <w:abstractNumId w:val="4"/>
  </w:num>
  <w:num w:numId="45">
    <w:abstractNumId w:val="3"/>
  </w:num>
  <w:num w:numId="46">
    <w:abstractNumId w:val="2"/>
  </w:num>
  <w:num w:numId="47">
    <w:abstractNumId w:val="1"/>
  </w:num>
  <w:num w:numId="48">
    <w:abstractNumId w:val="33"/>
  </w:num>
  <w:num w:numId="49">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0CF"/>
    <w:rsid w:val="000000AF"/>
    <w:rsid w:val="00000141"/>
    <w:rsid w:val="000001B9"/>
    <w:rsid w:val="00000CAE"/>
    <w:rsid w:val="00000F9E"/>
    <w:rsid w:val="0000140C"/>
    <w:rsid w:val="000014E5"/>
    <w:rsid w:val="00001710"/>
    <w:rsid w:val="00001D29"/>
    <w:rsid w:val="00001D37"/>
    <w:rsid w:val="00001EBB"/>
    <w:rsid w:val="0000257C"/>
    <w:rsid w:val="0000395B"/>
    <w:rsid w:val="00003CA6"/>
    <w:rsid w:val="0000503A"/>
    <w:rsid w:val="00005063"/>
    <w:rsid w:val="00005111"/>
    <w:rsid w:val="00005736"/>
    <w:rsid w:val="00005794"/>
    <w:rsid w:val="000060B7"/>
    <w:rsid w:val="000061A7"/>
    <w:rsid w:val="00006466"/>
    <w:rsid w:val="0000679D"/>
    <w:rsid w:val="00006E80"/>
    <w:rsid w:val="000072DE"/>
    <w:rsid w:val="00007BEC"/>
    <w:rsid w:val="0001029C"/>
    <w:rsid w:val="00010351"/>
    <w:rsid w:val="0001077A"/>
    <w:rsid w:val="00010DA1"/>
    <w:rsid w:val="000112F3"/>
    <w:rsid w:val="00011342"/>
    <w:rsid w:val="00011953"/>
    <w:rsid w:val="00012046"/>
    <w:rsid w:val="00012270"/>
    <w:rsid w:val="00013364"/>
    <w:rsid w:val="0001336E"/>
    <w:rsid w:val="000133D7"/>
    <w:rsid w:val="000136A2"/>
    <w:rsid w:val="00013A1C"/>
    <w:rsid w:val="00013ED7"/>
    <w:rsid w:val="0001457F"/>
    <w:rsid w:val="000149B6"/>
    <w:rsid w:val="00014C4B"/>
    <w:rsid w:val="00014F75"/>
    <w:rsid w:val="000157DB"/>
    <w:rsid w:val="00016133"/>
    <w:rsid w:val="00016546"/>
    <w:rsid w:val="0001666F"/>
    <w:rsid w:val="00017A9D"/>
    <w:rsid w:val="00017F7C"/>
    <w:rsid w:val="000204CF"/>
    <w:rsid w:val="00020F69"/>
    <w:rsid w:val="00022FD5"/>
    <w:rsid w:val="000230FC"/>
    <w:rsid w:val="000237D0"/>
    <w:rsid w:val="00023A56"/>
    <w:rsid w:val="00023C87"/>
    <w:rsid w:val="00023EAD"/>
    <w:rsid w:val="00023F24"/>
    <w:rsid w:val="00024171"/>
    <w:rsid w:val="00024977"/>
    <w:rsid w:val="00025645"/>
    <w:rsid w:val="000257EA"/>
    <w:rsid w:val="00025D41"/>
    <w:rsid w:val="00025E06"/>
    <w:rsid w:val="0002604B"/>
    <w:rsid w:val="0002606E"/>
    <w:rsid w:val="0002607A"/>
    <w:rsid w:val="00026338"/>
    <w:rsid w:val="0002648C"/>
    <w:rsid w:val="00026A09"/>
    <w:rsid w:val="000271FD"/>
    <w:rsid w:val="000273B4"/>
    <w:rsid w:val="000274BB"/>
    <w:rsid w:val="00030757"/>
    <w:rsid w:val="0003135B"/>
    <w:rsid w:val="00032376"/>
    <w:rsid w:val="00032EF8"/>
    <w:rsid w:val="000330FE"/>
    <w:rsid w:val="00033299"/>
    <w:rsid w:val="0003384A"/>
    <w:rsid w:val="00033C63"/>
    <w:rsid w:val="00034D58"/>
    <w:rsid w:val="00035927"/>
    <w:rsid w:val="00035B4A"/>
    <w:rsid w:val="000361EB"/>
    <w:rsid w:val="000365EB"/>
    <w:rsid w:val="000367FB"/>
    <w:rsid w:val="000368C8"/>
    <w:rsid w:val="00036E03"/>
    <w:rsid w:val="000375A2"/>
    <w:rsid w:val="00037A90"/>
    <w:rsid w:val="00037AA1"/>
    <w:rsid w:val="000405B4"/>
    <w:rsid w:val="0004068E"/>
    <w:rsid w:val="00040E18"/>
    <w:rsid w:val="00041407"/>
    <w:rsid w:val="000417FE"/>
    <w:rsid w:val="00041CB6"/>
    <w:rsid w:val="00041E23"/>
    <w:rsid w:val="00041EFF"/>
    <w:rsid w:val="00042627"/>
    <w:rsid w:val="00042911"/>
    <w:rsid w:val="000434F4"/>
    <w:rsid w:val="00043532"/>
    <w:rsid w:val="00044E57"/>
    <w:rsid w:val="00044EBA"/>
    <w:rsid w:val="00045FC3"/>
    <w:rsid w:val="0004605E"/>
    <w:rsid w:val="00046B99"/>
    <w:rsid w:val="00046FB5"/>
    <w:rsid w:val="00046FE6"/>
    <w:rsid w:val="00047B67"/>
    <w:rsid w:val="00050930"/>
    <w:rsid w:val="00050B45"/>
    <w:rsid w:val="00050B77"/>
    <w:rsid w:val="00050BB6"/>
    <w:rsid w:val="00050D4D"/>
    <w:rsid w:val="00050DAB"/>
    <w:rsid w:val="000516E3"/>
    <w:rsid w:val="00051EB0"/>
    <w:rsid w:val="00051F9E"/>
    <w:rsid w:val="0005217E"/>
    <w:rsid w:val="00052411"/>
    <w:rsid w:val="00052BBC"/>
    <w:rsid w:val="00052E25"/>
    <w:rsid w:val="00052EEE"/>
    <w:rsid w:val="000538E1"/>
    <w:rsid w:val="00053F3C"/>
    <w:rsid w:val="00055AD4"/>
    <w:rsid w:val="00055AD7"/>
    <w:rsid w:val="00055B62"/>
    <w:rsid w:val="00055D33"/>
    <w:rsid w:val="0005603D"/>
    <w:rsid w:val="000568B4"/>
    <w:rsid w:val="00056E44"/>
    <w:rsid w:val="00057045"/>
    <w:rsid w:val="000601CD"/>
    <w:rsid w:val="0006096E"/>
    <w:rsid w:val="00061070"/>
    <w:rsid w:val="000612DB"/>
    <w:rsid w:val="00061C61"/>
    <w:rsid w:val="0006295A"/>
    <w:rsid w:val="00062BB6"/>
    <w:rsid w:val="00063AA3"/>
    <w:rsid w:val="00063D68"/>
    <w:rsid w:val="00063EF2"/>
    <w:rsid w:val="00063F72"/>
    <w:rsid w:val="00064715"/>
    <w:rsid w:val="00064752"/>
    <w:rsid w:val="00064D84"/>
    <w:rsid w:val="0006503B"/>
    <w:rsid w:val="00065117"/>
    <w:rsid w:val="0006562C"/>
    <w:rsid w:val="00065678"/>
    <w:rsid w:val="000659BC"/>
    <w:rsid w:val="0006635C"/>
    <w:rsid w:val="0006637F"/>
    <w:rsid w:val="00067619"/>
    <w:rsid w:val="000676C4"/>
    <w:rsid w:val="00067A87"/>
    <w:rsid w:val="00070550"/>
    <w:rsid w:val="00070594"/>
    <w:rsid w:val="00070993"/>
    <w:rsid w:val="00070E06"/>
    <w:rsid w:val="000727EA"/>
    <w:rsid w:val="00073246"/>
    <w:rsid w:val="0007351B"/>
    <w:rsid w:val="00073AC5"/>
    <w:rsid w:val="00074170"/>
    <w:rsid w:val="000741F7"/>
    <w:rsid w:val="00074215"/>
    <w:rsid w:val="00074510"/>
    <w:rsid w:val="000748C9"/>
    <w:rsid w:val="00074BC4"/>
    <w:rsid w:val="00075283"/>
    <w:rsid w:val="0007545B"/>
    <w:rsid w:val="0007555E"/>
    <w:rsid w:val="000764CA"/>
    <w:rsid w:val="0007733C"/>
    <w:rsid w:val="00077372"/>
    <w:rsid w:val="00077AFB"/>
    <w:rsid w:val="00080206"/>
    <w:rsid w:val="00080358"/>
    <w:rsid w:val="00080622"/>
    <w:rsid w:val="00080B95"/>
    <w:rsid w:val="00081304"/>
    <w:rsid w:val="00081431"/>
    <w:rsid w:val="0008165C"/>
    <w:rsid w:val="000817D0"/>
    <w:rsid w:val="00081BEA"/>
    <w:rsid w:val="00082027"/>
    <w:rsid w:val="000824E0"/>
    <w:rsid w:val="00083066"/>
    <w:rsid w:val="0008335A"/>
    <w:rsid w:val="0008450F"/>
    <w:rsid w:val="00084AF8"/>
    <w:rsid w:val="00084C52"/>
    <w:rsid w:val="00084C9E"/>
    <w:rsid w:val="00084DEE"/>
    <w:rsid w:val="00084E15"/>
    <w:rsid w:val="00084F4F"/>
    <w:rsid w:val="00086BB4"/>
    <w:rsid w:val="00086DD2"/>
    <w:rsid w:val="00087E7F"/>
    <w:rsid w:val="00087FEB"/>
    <w:rsid w:val="000903CC"/>
    <w:rsid w:val="0009061F"/>
    <w:rsid w:val="00090D45"/>
    <w:rsid w:val="0009383F"/>
    <w:rsid w:val="00093B65"/>
    <w:rsid w:val="00093F2E"/>
    <w:rsid w:val="000943BD"/>
    <w:rsid w:val="000943F1"/>
    <w:rsid w:val="00094470"/>
    <w:rsid w:val="000944B0"/>
    <w:rsid w:val="00094883"/>
    <w:rsid w:val="000952CA"/>
    <w:rsid w:val="0009582A"/>
    <w:rsid w:val="00096362"/>
    <w:rsid w:val="00096605"/>
    <w:rsid w:val="000966EB"/>
    <w:rsid w:val="00096BCE"/>
    <w:rsid w:val="00096CBD"/>
    <w:rsid w:val="00096CF2"/>
    <w:rsid w:val="000972D5"/>
    <w:rsid w:val="00097477"/>
    <w:rsid w:val="00097710"/>
    <w:rsid w:val="00097988"/>
    <w:rsid w:val="00097A9E"/>
    <w:rsid w:val="000A01C8"/>
    <w:rsid w:val="000A12C1"/>
    <w:rsid w:val="000A1530"/>
    <w:rsid w:val="000A1920"/>
    <w:rsid w:val="000A19EA"/>
    <w:rsid w:val="000A1AE7"/>
    <w:rsid w:val="000A2071"/>
    <w:rsid w:val="000A247C"/>
    <w:rsid w:val="000A2483"/>
    <w:rsid w:val="000A251F"/>
    <w:rsid w:val="000A25D5"/>
    <w:rsid w:val="000A268F"/>
    <w:rsid w:val="000A3E89"/>
    <w:rsid w:val="000A43EB"/>
    <w:rsid w:val="000A453D"/>
    <w:rsid w:val="000A5133"/>
    <w:rsid w:val="000A540C"/>
    <w:rsid w:val="000A5CA7"/>
    <w:rsid w:val="000A67E7"/>
    <w:rsid w:val="000A6DF7"/>
    <w:rsid w:val="000A724C"/>
    <w:rsid w:val="000B036F"/>
    <w:rsid w:val="000B05B7"/>
    <w:rsid w:val="000B0B74"/>
    <w:rsid w:val="000B0F36"/>
    <w:rsid w:val="000B1397"/>
    <w:rsid w:val="000B2707"/>
    <w:rsid w:val="000B2723"/>
    <w:rsid w:val="000B28A1"/>
    <w:rsid w:val="000B2A6E"/>
    <w:rsid w:val="000B2B92"/>
    <w:rsid w:val="000B3079"/>
    <w:rsid w:val="000B342D"/>
    <w:rsid w:val="000B37AB"/>
    <w:rsid w:val="000B3BDE"/>
    <w:rsid w:val="000B4108"/>
    <w:rsid w:val="000B4748"/>
    <w:rsid w:val="000B4A20"/>
    <w:rsid w:val="000B54E3"/>
    <w:rsid w:val="000B552B"/>
    <w:rsid w:val="000B5B4E"/>
    <w:rsid w:val="000B5F1E"/>
    <w:rsid w:val="000B6AB3"/>
    <w:rsid w:val="000B6F8F"/>
    <w:rsid w:val="000B7C13"/>
    <w:rsid w:val="000B7F43"/>
    <w:rsid w:val="000C0638"/>
    <w:rsid w:val="000C1ADF"/>
    <w:rsid w:val="000C1C20"/>
    <w:rsid w:val="000C24AF"/>
    <w:rsid w:val="000C2D4A"/>
    <w:rsid w:val="000C3827"/>
    <w:rsid w:val="000C39FE"/>
    <w:rsid w:val="000C44C2"/>
    <w:rsid w:val="000C57EC"/>
    <w:rsid w:val="000C60CF"/>
    <w:rsid w:val="000C63A6"/>
    <w:rsid w:val="000C65AE"/>
    <w:rsid w:val="000C6D38"/>
    <w:rsid w:val="000C7188"/>
    <w:rsid w:val="000C7304"/>
    <w:rsid w:val="000C7729"/>
    <w:rsid w:val="000C7AFE"/>
    <w:rsid w:val="000C7D80"/>
    <w:rsid w:val="000D093E"/>
    <w:rsid w:val="000D1388"/>
    <w:rsid w:val="000D1B20"/>
    <w:rsid w:val="000D1F96"/>
    <w:rsid w:val="000D2909"/>
    <w:rsid w:val="000D2C14"/>
    <w:rsid w:val="000D2CAA"/>
    <w:rsid w:val="000D2D9D"/>
    <w:rsid w:val="000D2E87"/>
    <w:rsid w:val="000D305F"/>
    <w:rsid w:val="000D30C7"/>
    <w:rsid w:val="000D33D1"/>
    <w:rsid w:val="000D3C48"/>
    <w:rsid w:val="000D4B3A"/>
    <w:rsid w:val="000D4CE2"/>
    <w:rsid w:val="000D4D2C"/>
    <w:rsid w:val="000D4E51"/>
    <w:rsid w:val="000D5D38"/>
    <w:rsid w:val="000D5FBA"/>
    <w:rsid w:val="000D6373"/>
    <w:rsid w:val="000D6786"/>
    <w:rsid w:val="000D6819"/>
    <w:rsid w:val="000D68C4"/>
    <w:rsid w:val="000D6A43"/>
    <w:rsid w:val="000D6DE7"/>
    <w:rsid w:val="000D6FE8"/>
    <w:rsid w:val="000D7001"/>
    <w:rsid w:val="000D76D8"/>
    <w:rsid w:val="000D77E7"/>
    <w:rsid w:val="000E006C"/>
    <w:rsid w:val="000E083A"/>
    <w:rsid w:val="000E0873"/>
    <w:rsid w:val="000E0882"/>
    <w:rsid w:val="000E1565"/>
    <w:rsid w:val="000E162E"/>
    <w:rsid w:val="000E17EC"/>
    <w:rsid w:val="000E1B69"/>
    <w:rsid w:val="000E2014"/>
    <w:rsid w:val="000E23B9"/>
    <w:rsid w:val="000E2440"/>
    <w:rsid w:val="000E2788"/>
    <w:rsid w:val="000E27AE"/>
    <w:rsid w:val="000E2C17"/>
    <w:rsid w:val="000E3B12"/>
    <w:rsid w:val="000E3CFF"/>
    <w:rsid w:val="000E3D80"/>
    <w:rsid w:val="000E3E13"/>
    <w:rsid w:val="000E4156"/>
    <w:rsid w:val="000E447B"/>
    <w:rsid w:val="000E45CE"/>
    <w:rsid w:val="000E4680"/>
    <w:rsid w:val="000E4780"/>
    <w:rsid w:val="000E4AD1"/>
    <w:rsid w:val="000E547A"/>
    <w:rsid w:val="000E63D3"/>
    <w:rsid w:val="000E6BFF"/>
    <w:rsid w:val="000E721C"/>
    <w:rsid w:val="000E74A2"/>
    <w:rsid w:val="000E7B61"/>
    <w:rsid w:val="000E7F63"/>
    <w:rsid w:val="000F02ED"/>
    <w:rsid w:val="000F18C3"/>
    <w:rsid w:val="000F217B"/>
    <w:rsid w:val="000F33C1"/>
    <w:rsid w:val="000F453C"/>
    <w:rsid w:val="000F525C"/>
    <w:rsid w:val="000F551F"/>
    <w:rsid w:val="000F58CC"/>
    <w:rsid w:val="000F5D5B"/>
    <w:rsid w:val="000F5F3D"/>
    <w:rsid w:val="000F6994"/>
    <w:rsid w:val="000F6D4E"/>
    <w:rsid w:val="000F6FBB"/>
    <w:rsid w:val="000F7AC2"/>
    <w:rsid w:val="0010044E"/>
    <w:rsid w:val="0010073F"/>
    <w:rsid w:val="001017D7"/>
    <w:rsid w:val="00101FBA"/>
    <w:rsid w:val="00102082"/>
    <w:rsid w:val="0010232D"/>
    <w:rsid w:val="00102342"/>
    <w:rsid w:val="0010236F"/>
    <w:rsid w:val="001023FE"/>
    <w:rsid w:val="00102A52"/>
    <w:rsid w:val="00102C6E"/>
    <w:rsid w:val="00102F99"/>
    <w:rsid w:val="00103003"/>
    <w:rsid w:val="001035BB"/>
    <w:rsid w:val="00103D39"/>
    <w:rsid w:val="00104020"/>
    <w:rsid w:val="0010432D"/>
    <w:rsid w:val="00104C72"/>
    <w:rsid w:val="00104C89"/>
    <w:rsid w:val="001050FC"/>
    <w:rsid w:val="001051BA"/>
    <w:rsid w:val="00105618"/>
    <w:rsid w:val="001059B2"/>
    <w:rsid w:val="00105E19"/>
    <w:rsid w:val="00106108"/>
    <w:rsid w:val="001064F6"/>
    <w:rsid w:val="00107689"/>
    <w:rsid w:val="00110D66"/>
    <w:rsid w:val="00111904"/>
    <w:rsid w:val="00112157"/>
    <w:rsid w:val="001121D1"/>
    <w:rsid w:val="0011283F"/>
    <w:rsid w:val="00112A9C"/>
    <w:rsid w:val="00112C8D"/>
    <w:rsid w:val="00112D6E"/>
    <w:rsid w:val="00112DF2"/>
    <w:rsid w:val="00113A8E"/>
    <w:rsid w:val="00113CD5"/>
    <w:rsid w:val="00114786"/>
    <w:rsid w:val="00114AE0"/>
    <w:rsid w:val="00114CFE"/>
    <w:rsid w:val="00115216"/>
    <w:rsid w:val="0011569C"/>
    <w:rsid w:val="00115A3B"/>
    <w:rsid w:val="00116B46"/>
    <w:rsid w:val="001179A2"/>
    <w:rsid w:val="001204FD"/>
    <w:rsid w:val="00120C40"/>
    <w:rsid w:val="00120E1E"/>
    <w:rsid w:val="00122069"/>
    <w:rsid w:val="00122596"/>
    <w:rsid w:val="001225FC"/>
    <w:rsid w:val="00122653"/>
    <w:rsid w:val="00122929"/>
    <w:rsid w:val="00122F0A"/>
    <w:rsid w:val="00123D0F"/>
    <w:rsid w:val="00123EE6"/>
    <w:rsid w:val="0012408A"/>
    <w:rsid w:val="001249C9"/>
    <w:rsid w:val="00125382"/>
    <w:rsid w:val="00125D63"/>
    <w:rsid w:val="00125D70"/>
    <w:rsid w:val="00126151"/>
    <w:rsid w:val="00126883"/>
    <w:rsid w:val="001271B5"/>
    <w:rsid w:val="00130BB2"/>
    <w:rsid w:val="00131423"/>
    <w:rsid w:val="00131821"/>
    <w:rsid w:val="00131842"/>
    <w:rsid w:val="00131B81"/>
    <w:rsid w:val="00132038"/>
    <w:rsid w:val="00132AC6"/>
    <w:rsid w:val="0013322F"/>
    <w:rsid w:val="00133707"/>
    <w:rsid w:val="00133A93"/>
    <w:rsid w:val="00134647"/>
    <w:rsid w:val="00134D42"/>
    <w:rsid w:val="00134E90"/>
    <w:rsid w:val="001351D4"/>
    <w:rsid w:val="0013526F"/>
    <w:rsid w:val="00135332"/>
    <w:rsid w:val="0013534A"/>
    <w:rsid w:val="0013567D"/>
    <w:rsid w:val="00135C93"/>
    <w:rsid w:val="0013616B"/>
    <w:rsid w:val="001377C8"/>
    <w:rsid w:val="001409A6"/>
    <w:rsid w:val="00140A6B"/>
    <w:rsid w:val="00140B5F"/>
    <w:rsid w:val="00140BB3"/>
    <w:rsid w:val="00141241"/>
    <w:rsid w:val="0014135E"/>
    <w:rsid w:val="001419D5"/>
    <w:rsid w:val="00142085"/>
    <w:rsid w:val="00142AA3"/>
    <w:rsid w:val="00142BD7"/>
    <w:rsid w:val="00142D48"/>
    <w:rsid w:val="00142EF1"/>
    <w:rsid w:val="00143271"/>
    <w:rsid w:val="00143D89"/>
    <w:rsid w:val="0014469A"/>
    <w:rsid w:val="001447BB"/>
    <w:rsid w:val="001447ED"/>
    <w:rsid w:val="00144AE4"/>
    <w:rsid w:val="001462E5"/>
    <w:rsid w:val="0014670D"/>
    <w:rsid w:val="00146996"/>
    <w:rsid w:val="001471B1"/>
    <w:rsid w:val="0014787C"/>
    <w:rsid w:val="001479A8"/>
    <w:rsid w:val="00147A78"/>
    <w:rsid w:val="00150409"/>
    <w:rsid w:val="001508A9"/>
    <w:rsid w:val="0015145D"/>
    <w:rsid w:val="0015222F"/>
    <w:rsid w:val="00152367"/>
    <w:rsid w:val="001524F5"/>
    <w:rsid w:val="001526C7"/>
    <w:rsid w:val="00152773"/>
    <w:rsid w:val="00153025"/>
    <w:rsid w:val="00153605"/>
    <w:rsid w:val="00153F18"/>
    <w:rsid w:val="001542B2"/>
    <w:rsid w:val="001543BF"/>
    <w:rsid w:val="0015481F"/>
    <w:rsid w:val="00155A27"/>
    <w:rsid w:val="00155C83"/>
    <w:rsid w:val="001563D0"/>
    <w:rsid w:val="0015655F"/>
    <w:rsid w:val="00156817"/>
    <w:rsid w:val="001568B7"/>
    <w:rsid w:val="0015741D"/>
    <w:rsid w:val="001576FC"/>
    <w:rsid w:val="00157E5E"/>
    <w:rsid w:val="00157F35"/>
    <w:rsid w:val="0016056B"/>
    <w:rsid w:val="0016190A"/>
    <w:rsid w:val="001619B7"/>
    <w:rsid w:val="00161DDE"/>
    <w:rsid w:val="00162492"/>
    <w:rsid w:val="001628D6"/>
    <w:rsid w:val="00162D92"/>
    <w:rsid w:val="00163DB7"/>
    <w:rsid w:val="001646CE"/>
    <w:rsid w:val="0016539A"/>
    <w:rsid w:val="00165726"/>
    <w:rsid w:val="00165E8A"/>
    <w:rsid w:val="001666AC"/>
    <w:rsid w:val="00166F11"/>
    <w:rsid w:val="00167C56"/>
    <w:rsid w:val="00167E23"/>
    <w:rsid w:val="00167F00"/>
    <w:rsid w:val="00170297"/>
    <w:rsid w:val="00170477"/>
    <w:rsid w:val="0017079C"/>
    <w:rsid w:val="00170E70"/>
    <w:rsid w:val="00170F0E"/>
    <w:rsid w:val="00171044"/>
    <w:rsid w:val="00171195"/>
    <w:rsid w:val="0017175E"/>
    <w:rsid w:val="00171D5D"/>
    <w:rsid w:val="00171DF6"/>
    <w:rsid w:val="001721FA"/>
    <w:rsid w:val="0017247A"/>
    <w:rsid w:val="00172A15"/>
    <w:rsid w:val="00172B80"/>
    <w:rsid w:val="00173C5C"/>
    <w:rsid w:val="001740A6"/>
    <w:rsid w:val="00174CF8"/>
    <w:rsid w:val="00175105"/>
    <w:rsid w:val="0017593E"/>
    <w:rsid w:val="00175973"/>
    <w:rsid w:val="00175E58"/>
    <w:rsid w:val="00177345"/>
    <w:rsid w:val="00177412"/>
    <w:rsid w:val="00177591"/>
    <w:rsid w:val="00177B73"/>
    <w:rsid w:val="00180094"/>
    <w:rsid w:val="00180681"/>
    <w:rsid w:val="00180CB6"/>
    <w:rsid w:val="00180EBB"/>
    <w:rsid w:val="0018169C"/>
    <w:rsid w:val="001817A1"/>
    <w:rsid w:val="001817B2"/>
    <w:rsid w:val="00182301"/>
    <w:rsid w:val="00183631"/>
    <w:rsid w:val="00183EE3"/>
    <w:rsid w:val="0018497C"/>
    <w:rsid w:val="00185234"/>
    <w:rsid w:val="001866D0"/>
    <w:rsid w:val="00186A91"/>
    <w:rsid w:val="001870FE"/>
    <w:rsid w:val="0018744A"/>
    <w:rsid w:val="00187B96"/>
    <w:rsid w:val="00187FA7"/>
    <w:rsid w:val="00190665"/>
    <w:rsid w:val="001908A3"/>
    <w:rsid w:val="00190CAC"/>
    <w:rsid w:val="0019106D"/>
    <w:rsid w:val="001913AF"/>
    <w:rsid w:val="001913CE"/>
    <w:rsid w:val="001918F2"/>
    <w:rsid w:val="00191F57"/>
    <w:rsid w:val="0019222F"/>
    <w:rsid w:val="0019265D"/>
    <w:rsid w:val="0019272D"/>
    <w:rsid w:val="00192BE8"/>
    <w:rsid w:val="00192C14"/>
    <w:rsid w:val="001939A4"/>
    <w:rsid w:val="00193BF0"/>
    <w:rsid w:val="0019424A"/>
    <w:rsid w:val="001946D0"/>
    <w:rsid w:val="00194749"/>
    <w:rsid w:val="00194B6E"/>
    <w:rsid w:val="00194DC0"/>
    <w:rsid w:val="00195484"/>
    <w:rsid w:val="00196137"/>
    <w:rsid w:val="001961A4"/>
    <w:rsid w:val="00196A3D"/>
    <w:rsid w:val="00196B30"/>
    <w:rsid w:val="00196BCB"/>
    <w:rsid w:val="00196F32"/>
    <w:rsid w:val="00197036"/>
    <w:rsid w:val="00197069"/>
    <w:rsid w:val="00197296"/>
    <w:rsid w:val="0019729D"/>
    <w:rsid w:val="00197E49"/>
    <w:rsid w:val="001A014A"/>
    <w:rsid w:val="001A021A"/>
    <w:rsid w:val="001A1189"/>
    <w:rsid w:val="001A1849"/>
    <w:rsid w:val="001A1EF0"/>
    <w:rsid w:val="001A2C05"/>
    <w:rsid w:val="001A2DE7"/>
    <w:rsid w:val="001A2E70"/>
    <w:rsid w:val="001A3E3C"/>
    <w:rsid w:val="001A447E"/>
    <w:rsid w:val="001A4C30"/>
    <w:rsid w:val="001A526B"/>
    <w:rsid w:val="001A6D90"/>
    <w:rsid w:val="001A6DC8"/>
    <w:rsid w:val="001A796B"/>
    <w:rsid w:val="001A7B5F"/>
    <w:rsid w:val="001A7C2F"/>
    <w:rsid w:val="001B00AD"/>
    <w:rsid w:val="001B0A9A"/>
    <w:rsid w:val="001B0AB0"/>
    <w:rsid w:val="001B0AE5"/>
    <w:rsid w:val="001B14B5"/>
    <w:rsid w:val="001B1586"/>
    <w:rsid w:val="001B1797"/>
    <w:rsid w:val="001B2070"/>
    <w:rsid w:val="001B2684"/>
    <w:rsid w:val="001B2882"/>
    <w:rsid w:val="001B38CC"/>
    <w:rsid w:val="001B3B76"/>
    <w:rsid w:val="001B3EF2"/>
    <w:rsid w:val="001B4070"/>
    <w:rsid w:val="001B53C5"/>
    <w:rsid w:val="001B5E10"/>
    <w:rsid w:val="001B60AD"/>
    <w:rsid w:val="001B6176"/>
    <w:rsid w:val="001B647F"/>
    <w:rsid w:val="001B6851"/>
    <w:rsid w:val="001B6AAB"/>
    <w:rsid w:val="001B73BA"/>
    <w:rsid w:val="001B74E1"/>
    <w:rsid w:val="001B775E"/>
    <w:rsid w:val="001B7D37"/>
    <w:rsid w:val="001C0214"/>
    <w:rsid w:val="001C0420"/>
    <w:rsid w:val="001C05A3"/>
    <w:rsid w:val="001C119E"/>
    <w:rsid w:val="001C13D7"/>
    <w:rsid w:val="001C14ED"/>
    <w:rsid w:val="001C1644"/>
    <w:rsid w:val="001C18E7"/>
    <w:rsid w:val="001C1F62"/>
    <w:rsid w:val="001C22AC"/>
    <w:rsid w:val="001C27ED"/>
    <w:rsid w:val="001C2965"/>
    <w:rsid w:val="001C2B8B"/>
    <w:rsid w:val="001C2DBC"/>
    <w:rsid w:val="001C3889"/>
    <w:rsid w:val="001C3E4F"/>
    <w:rsid w:val="001C3E54"/>
    <w:rsid w:val="001C4022"/>
    <w:rsid w:val="001C4DE4"/>
    <w:rsid w:val="001C4EAC"/>
    <w:rsid w:val="001C574D"/>
    <w:rsid w:val="001C5D6E"/>
    <w:rsid w:val="001C6541"/>
    <w:rsid w:val="001C6F22"/>
    <w:rsid w:val="001C7ED9"/>
    <w:rsid w:val="001D0A5E"/>
    <w:rsid w:val="001D0F1C"/>
    <w:rsid w:val="001D1F69"/>
    <w:rsid w:val="001D2664"/>
    <w:rsid w:val="001D28D2"/>
    <w:rsid w:val="001D2915"/>
    <w:rsid w:val="001D2973"/>
    <w:rsid w:val="001D2F13"/>
    <w:rsid w:val="001D3726"/>
    <w:rsid w:val="001D451E"/>
    <w:rsid w:val="001D46B5"/>
    <w:rsid w:val="001D47C1"/>
    <w:rsid w:val="001D499D"/>
    <w:rsid w:val="001D4D6E"/>
    <w:rsid w:val="001D58A2"/>
    <w:rsid w:val="001D6172"/>
    <w:rsid w:val="001D657E"/>
    <w:rsid w:val="001D668A"/>
    <w:rsid w:val="001D6A38"/>
    <w:rsid w:val="001D71BB"/>
    <w:rsid w:val="001D72C4"/>
    <w:rsid w:val="001D7F10"/>
    <w:rsid w:val="001E0400"/>
    <w:rsid w:val="001E07D6"/>
    <w:rsid w:val="001E0822"/>
    <w:rsid w:val="001E0B33"/>
    <w:rsid w:val="001E0FD3"/>
    <w:rsid w:val="001E130E"/>
    <w:rsid w:val="001E170C"/>
    <w:rsid w:val="001E1D88"/>
    <w:rsid w:val="001E20C8"/>
    <w:rsid w:val="001E2221"/>
    <w:rsid w:val="001E382E"/>
    <w:rsid w:val="001E3B07"/>
    <w:rsid w:val="001E424A"/>
    <w:rsid w:val="001E4EC3"/>
    <w:rsid w:val="001E512F"/>
    <w:rsid w:val="001E5524"/>
    <w:rsid w:val="001E5BEA"/>
    <w:rsid w:val="001E5F47"/>
    <w:rsid w:val="001E5F90"/>
    <w:rsid w:val="001E64F4"/>
    <w:rsid w:val="001E6A3D"/>
    <w:rsid w:val="001E7056"/>
    <w:rsid w:val="001F0215"/>
    <w:rsid w:val="001F07D2"/>
    <w:rsid w:val="001F0A0D"/>
    <w:rsid w:val="001F0A5F"/>
    <w:rsid w:val="001F0E9C"/>
    <w:rsid w:val="001F0FE4"/>
    <w:rsid w:val="001F1552"/>
    <w:rsid w:val="001F1D1C"/>
    <w:rsid w:val="001F1DA6"/>
    <w:rsid w:val="001F219D"/>
    <w:rsid w:val="001F24B4"/>
    <w:rsid w:val="001F25AA"/>
    <w:rsid w:val="001F2D22"/>
    <w:rsid w:val="001F2E76"/>
    <w:rsid w:val="001F36EA"/>
    <w:rsid w:val="001F3E28"/>
    <w:rsid w:val="001F3EAA"/>
    <w:rsid w:val="001F4507"/>
    <w:rsid w:val="001F47DE"/>
    <w:rsid w:val="001F4B46"/>
    <w:rsid w:val="001F4BCB"/>
    <w:rsid w:val="001F4F44"/>
    <w:rsid w:val="001F50FE"/>
    <w:rsid w:val="001F5AEE"/>
    <w:rsid w:val="001F60BD"/>
    <w:rsid w:val="001F69A7"/>
    <w:rsid w:val="001F6E3E"/>
    <w:rsid w:val="001F79CE"/>
    <w:rsid w:val="001F7A56"/>
    <w:rsid w:val="00200029"/>
    <w:rsid w:val="0020025D"/>
    <w:rsid w:val="00200558"/>
    <w:rsid w:val="002006DB"/>
    <w:rsid w:val="00200937"/>
    <w:rsid w:val="002010CF"/>
    <w:rsid w:val="0020136B"/>
    <w:rsid w:val="00201562"/>
    <w:rsid w:val="002021DE"/>
    <w:rsid w:val="00202D82"/>
    <w:rsid w:val="00202F29"/>
    <w:rsid w:val="002033A5"/>
    <w:rsid w:val="00203A75"/>
    <w:rsid w:val="00203B81"/>
    <w:rsid w:val="00203E79"/>
    <w:rsid w:val="0020479E"/>
    <w:rsid w:val="002049AB"/>
    <w:rsid w:val="0020563D"/>
    <w:rsid w:val="002057C2"/>
    <w:rsid w:val="00205A06"/>
    <w:rsid w:val="00205BC7"/>
    <w:rsid w:val="00205C64"/>
    <w:rsid w:val="002062DF"/>
    <w:rsid w:val="002062E4"/>
    <w:rsid w:val="002066B5"/>
    <w:rsid w:val="00206A2D"/>
    <w:rsid w:val="00206AD6"/>
    <w:rsid w:val="002070A3"/>
    <w:rsid w:val="00207D6A"/>
    <w:rsid w:val="00207F48"/>
    <w:rsid w:val="00210CD1"/>
    <w:rsid w:val="002113E3"/>
    <w:rsid w:val="00211784"/>
    <w:rsid w:val="002117E0"/>
    <w:rsid w:val="00211A98"/>
    <w:rsid w:val="0021221C"/>
    <w:rsid w:val="00212252"/>
    <w:rsid w:val="002123E3"/>
    <w:rsid w:val="00212488"/>
    <w:rsid w:val="00212718"/>
    <w:rsid w:val="00212F00"/>
    <w:rsid w:val="00213A79"/>
    <w:rsid w:val="00213F56"/>
    <w:rsid w:val="002146AA"/>
    <w:rsid w:val="00214779"/>
    <w:rsid w:val="00215E1F"/>
    <w:rsid w:val="002161DD"/>
    <w:rsid w:val="00216C17"/>
    <w:rsid w:val="00217303"/>
    <w:rsid w:val="00217560"/>
    <w:rsid w:val="0021773F"/>
    <w:rsid w:val="00217971"/>
    <w:rsid w:val="00217976"/>
    <w:rsid w:val="00217EAB"/>
    <w:rsid w:val="00220510"/>
    <w:rsid w:val="00221A21"/>
    <w:rsid w:val="0022200E"/>
    <w:rsid w:val="0022204B"/>
    <w:rsid w:val="00222250"/>
    <w:rsid w:val="00222528"/>
    <w:rsid w:val="00222555"/>
    <w:rsid w:val="00222FB9"/>
    <w:rsid w:val="0022322B"/>
    <w:rsid w:val="00223542"/>
    <w:rsid w:val="002235C8"/>
    <w:rsid w:val="00223A68"/>
    <w:rsid w:val="00224678"/>
    <w:rsid w:val="0022498C"/>
    <w:rsid w:val="0022529B"/>
    <w:rsid w:val="00225441"/>
    <w:rsid w:val="002256C5"/>
    <w:rsid w:val="0022686F"/>
    <w:rsid w:val="00227CC7"/>
    <w:rsid w:val="00227EAD"/>
    <w:rsid w:val="00230052"/>
    <w:rsid w:val="00230209"/>
    <w:rsid w:val="002309E3"/>
    <w:rsid w:val="00230F7A"/>
    <w:rsid w:val="00230FAA"/>
    <w:rsid w:val="002312C0"/>
    <w:rsid w:val="0023163B"/>
    <w:rsid w:val="00231799"/>
    <w:rsid w:val="00231C95"/>
    <w:rsid w:val="0023251A"/>
    <w:rsid w:val="00232643"/>
    <w:rsid w:val="00233AC1"/>
    <w:rsid w:val="00233C13"/>
    <w:rsid w:val="002341BE"/>
    <w:rsid w:val="0023482B"/>
    <w:rsid w:val="002348DA"/>
    <w:rsid w:val="00234CAB"/>
    <w:rsid w:val="0023597B"/>
    <w:rsid w:val="002359DB"/>
    <w:rsid w:val="00237807"/>
    <w:rsid w:val="00237C9A"/>
    <w:rsid w:val="00237D88"/>
    <w:rsid w:val="00237FEA"/>
    <w:rsid w:val="002400AA"/>
    <w:rsid w:val="00240D88"/>
    <w:rsid w:val="002413F8"/>
    <w:rsid w:val="00242485"/>
    <w:rsid w:val="00242AA0"/>
    <w:rsid w:val="00242B4E"/>
    <w:rsid w:val="00242BB8"/>
    <w:rsid w:val="00243A73"/>
    <w:rsid w:val="0024431C"/>
    <w:rsid w:val="00244555"/>
    <w:rsid w:val="00244727"/>
    <w:rsid w:val="00244774"/>
    <w:rsid w:val="00244C0A"/>
    <w:rsid w:val="002452C5"/>
    <w:rsid w:val="00245673"/>
    <w:rsid w:val="00245D69"/>
    <w:rsid w:val="00245F67"/>
    <w:rsid w:val="0024667A"/>
    <w:rsid w:val="002471FA"/>
    <w:rsid w:val="00247C65"/>
    <w:rsid w:val="00247D9C"/>
    <w:rsid w:val="00247F33"/>
    <w:rsid w:val="00250A5D"/>
    <w:rsid w:val="00250C52"/>
    <w:rsid w:val="00250CD8"/>
    <w:rsid w:val="00251258"/>
    <w:rsid w:val="00251AF0"/>
    <w:rsid w:val="00251B17"/>
    <w:rsid w:val="00251DC4"/>
    <w:rsid w:val="002529A1"/>
    <w:rsid w:val="00253A39"/>
    <w:rsid w:val="00253BC3"/>
    <w:rsid w:val="00254190"/>
    <w:rsid w:val="002541EF"/>
    <w:rsid w:val="002544DC"/>
    <w:rsid w:val="00254609"/>
    <w:rsid w:val="002547E2"/>
    <w:rsid w:val="00254A8D"/>
    <w:rsid w:val="00254B31"/>
    <w:rsid w:val="00255265"/>
    <w:rsid w:val="00255886"/>
    <w:rsid w:val="00255D89"/>
    <w:rsid w:val="00256164"/>
    <w:rsid w:val="0025630C"/>
    <w:rsid w:val="00256A7B"/>
    <w:rsid w:val="00257A1A"/>
    <w:rsid w:val="00257CD2"/>
    <w:rsid w:val="00257E4A"/>
    <w:rsid w:val="00260F97"/>
    <w:rsid w:val="00261A40"/>
    <w:rsid w:val="00261BC5"/>
    <w:rsid w:val="00261D9C"/>
    <w:rsid w:val="002625E3"/>
    <w:rsid w:val="0026287B"/>
    <w:rsid w:val="002629AF"/>
    <w:rsid w:val="00262AA8"/>
    <w:rsid w:val="00263EC7"/>
    <w:rsid w:val="002647BE"/>
    <w:rsid w:val="00264B00"/>
    <w:rsid w:val="00265B41"/>
    <w:rsid w:val="00265C58"/>
    <w:rsid w:val="00265D65"/>
    <w:rsid w:val="002661EE"/>
    <w:rsid w:val="0026661E"/>
    <w:rsid w:val="002668AF"/>
    <w:rsid w:val="00267396"/>
    <w:rsid w:val="00267524"/>
    <w:rsid w:val="00267BF4"/>
    <w:rsid w:val="00270A99"/>
    <w:rsid w:val="00271525"/>
    <w:rsid w:val="00271E74"/>
    <w:rsid w:val="00271F81"/>
    <w:rsid w:val="002724D0"/>
    <w:rsid w:val="0027271C"/>
    <w:rsid w:val="0027347E"/>
    <w:rsid w:val="00273659"/>
    <w:rsid w:val="002737D7"/>
    <w:rsid w:val="00273B0C"/>
    <w:rsid w:val="00273FE5"/>
    <w:rsid w:val="00274F87"/>
    <w:rsid w:val="00275375"/>
    <w:rsid w:val="002759F6"/>
    <w:rsid w:val="00275BAC"/>
    <w:rsid w:val="002760BF"/>
    <w:rsid w:val="00276582"/>
    <w:rsid w:val="002772DB"/>
    <w:rsid w:val="002776AE"/>
    <w:rsid w:val="00277838"/>
    <w:rsid w:val="00277D4A"/>
    <w:rsid w:val="00277F4A"/>
    <w:rsid w:val="002804CE"/>
    <w:rsid w:val="00281087"/>
    <w:rsid w:val="002810D0"/>
    <w:rsid w:val="00281A18"/>
    <w:rsid w:val="00281E39"/>
    <w:rsid w:val="00282351"/>
    <w:rsid w:val="0028258E"/>
    <w:rsid w:val="00283FA0"/>
    <w:rsid w:val="00284646"/>
    <w:rsid w:val="002849CF"/>
    <w:rsid w:val="00284DE0"/>
    <w:rsid w:val="00284DEF"/>
    <w:rsid w:val="00284EDB"/>
    <w:rsid w:val="00285056"/>
    <w:rsid w:val="002853CB"/>
    <w:rsid w:val="00285B5E"/>
    <w:rsid w:val="00286081"/>
    <w:rsid w:val="002863A5"/>
    <w:rsid w:val="00286520"/>
    <w:rsid w:val="002873ED"/>
    <w:rsid w:val="00290488"/>
    <w:rsid w:val="002906DE"/>
    <w:rsid w:val="00290DFD"/>
    <w:rsid w:val="002911A7"/>
    <w:rsid w:val="00291248"/>
    <w:rsid w:val="002913BE"/>
    <w:rsid w:val="00291828"/>
    <w:rsid w:val="00291D7D"/>
    <w:rsid w:val="00291EEE"/>
    <w:rsid w:val="00292B86"/>
    <w:rsid w:val="00293229"/>
    <w:rsid w:val="0029350C"/>
    <w:rsid w:val="00293955"/>
    <w:rsid w:val="00293C6F"/>
    <w:rsid w:val="00293C80"/>
    <w:rsid w:val="002944AF"/>
    <w:rsid w:val="00294813"/>
    <w:rsid w:val="0029504A"/>
    <w:rsid w:val="00295812"/>
    <w:rsid w:val="00295B2D"/>
    <w:rsid w:val="00295CE1"/>
    <w:rsid w:val="00296877"/>
    <w:rsid w:val="002974DC"/>
    <w:rsid w:val="00297BE9"/>
    <w:rsid w:val="00297EAC"/>
    <w:rsid w:val="002A00AF"/>
    <w:rsid w:val="002A0E97"/>
    <w:rsid w:val="002A1656"/>
    <w:rsid w:val="002A170C"/>
    <w:rsid w:val="002A1A06"/>
    <w:rsid w:val="002A1B27"/>
    <w:rsid w:val="002A1B5A"/>
    <w:rsid w:val="002A25AB"/>
    <w:rsid w:val="002A2A21"/>
    <w:rsid w:val="002A3163"/>
    <w:rsid w:val="002A3990"/>
    <w:rsid w:val="002A3CC4"/>
    <w:rsid w:val="002A42D0"/>
    <w:rsid w:val="002A4614"/>
    <w:rsid w:val="002A4CFE"/>
    <w:rsid w:val="002A5549"/>
    <w:rsid w:val="002A59C9"/>
    <w:rsid w:val="002A5F17"/>
    <w:rsid w:val="002A605F"/>
    <w:rsid w:val="002A64EB"/>
    <w:rsid w:val="002A657F"/>
    <w:rsid w:val="002A69AB"/>
    <w:rsid w:val="002A74E0"/>
    <w:rsid w:val="002A7AF6"/>
    <w:rsid w:val="002A7C0D"/>
    <w:rsid w:val="002A7FB4"/>
    <w:rsid w:val="002B0389"/>
    <w:rsid w:val="002B0B51"/>
    <w:rsid w:val="002B0CAF"/>
    <w:rsid w:val="002B180B"/>
    <w:rsid w:val="002B1B40"/>
    <w:rsid w:val="002B1CE5"/>
    <w:rsid w:val="002B2304"/>
    <w:rsid w:val="002B2833"/>
    <w:rsid w:val="002B28CA"/>
    <w:rsid w:val="002B294D"/>
    <w:rsid w:val="002B2C37"/>
    <w:rsid w:val="002B35EC"/>
    <w:rsid w:val="002B3EA7"/>
    <w:rsid w:val="002B3ECE"/>
    <w:rsid w:val="002B4090"/>
    <w:rsid w:val="002B418A"/>
    <w:rsid w:val="002B448D"/>
    <w:rsid w:val="002B487B"/>
    <w:rsid w:val="002B4A30"/>
    <w:rsid w:val="002B4DFD"/>
    <w:rsid w:val="002B521B"/>
    <w:rsid w:val="002B5EA6"/>
    <w:rsid w:val="002B7152"/>
    <w:rsid w:val="002B7282"/>
    <w:rsid w:val="002C0318"/>
    <w:rsid w:val="002C05F6"/>
    <w:rsid w:val="002C06C4"/>
    <w:rsid w:val="002C06D7"/>
    <w:rsid w:val="002C0BA3"/>
    <w:rsid w:val="002C1308"/>
    <w:rsid w:val="002C198A"/>
    <w:rsid w:val="002C208C"/>
    <w:rsid w:val="002C29EE"/>
    <w:rsid w:val="002C2ACC"/>
    <w:rsid w:val="002C2AF2"/>
    <w:rsid w:val="002C401C"/>
    <w:rsid w:val="002C464D"/>
    <w:rsid w:val="002C5065"/>
    <w:rsid w:val="002C52A5"/>
    <w:rsid w:val="002C58EB"/>
    <w:rsid w:val="002C61BE"/>
    <w:rsid w:val="002C6315"/>
    <w:rsid w:val="002C6DAC"/>
    <w:rsid w:val="002C7257"/>
    <w:rsid w:val="002C7C4E"/>
    <w:rsid w:val="002C7DAB"/>
    <w:rsid w:val="002D37DB"/>
    <w:rsid w:val="002D3A1A"/>
    <w:rsid w:val="002D3B61"/>
    <w:rsid w:val="002D3EB4"/>
    <w:rsid w:val="002D3F91"/>
    <w:rsid w:val="002D3FAC"/>
    <w:rsid w:val="002D4E34"/>
    <w:rsid w:val="002D5657"/>
    <w:rsid w:val="002D5B2D"/>
    <w:rsid w:val="002D5BE6"/>
    <w:rsid w:val="002D66DD"/>
    <w:rsid w:val="002D6A3B"/>
    <w:rsid w:val="002D7423"/>
    <w:rsid w:val="002D7962"/>
    <w:rsid w:val="002E00BE"/>
    <w:rsid w:val="002E037D"/>
    <w:rsid w:val="002E03B2"/>
    <w:rsid w:val="002E114D"/>
    <w:rsid w:val="002E17BC"/>
    <w:rsid w:val="002E21A1"/>
    <w:rsid w:val="002E24DC"/>
    <w:rsid w:val="002E27D8"/>
    <w:rsid w:val="002E2B1B"/>
    <w:rsid w:val="002E327D"/>
    <w:rsid w:val="002E3351"/>
    <w:rsid w:val="002E38A3"/>
    <w:rsid w:val="002E3B1E"/>
    <w:rsid w:val="002E3B6A"/>
    <w:rsid w:val="002E54B4"/>
    <w:rsid w:val="002E5B08"/>
    <w:rsid w:val="002E5C08"/>
    <w:rsid w:val="002E644F"/>
    <w:rsid w:val="002E6602"/>
    <w:rsid w:val="002E6C8D"/>
    <w:rsid w:val="002E7B27"/>
    <w:rsid w:val="002E7B8A"/>
    <w:rsid w:val="002E7CE1"/>
    <w:rsid w:val="002F025A"/>
    <w:rsid w:val="002F0473"/>
    <w:rsid w:val="002F13CE"/>
    <w:rsid w:val="002F1941"/>
    <w:rsid w:val="002F1CA4"/>
    <w:rsid w:val="002F1D24"/>
    <w:rsid w:val="002F21AB"/>
    <w:rsid w:val="002F23EB"/>
    <w:rsid w:val="002F254B"/>
    <w:rsid w:val="002F2663"/>
    <w:rsid w:val="002F3017"/>
    <w:rsid w:val="002F36A9"/>
    <w:rsid w:val="002F3D36"/>
    <w:rsid w:val="002F479E"/>
    <w:rsid w:val="002F4DB3"/>
    <w:rsid w:val="002F58E3"/>
    <w:rsid w:val="002F6C0A"/>
    <w:rsid w:val="002F6EA1"/>
    <w:rsid w:val="002F6FC9"/>
    <w:rsid w:val="002F71D9"/>
    <w:rsid w:val="002F786D"/>
    <w:rsid w:val="002F79AD"/>
    <w:rsid w:val="003005D5"/>
    <w:rsid w:val="003008AB"/>
    <w:rsid w:val="00300DB5"/>
    <w:rsid w:val="00300F2B"/>
    <w:rsid w:val="00301240"/>
    <w:rsid w:val="00301DEB"/>
    <w:rsid w:val="00301F39"/>
    <w:rsid w:val="00301FBF"/>
    <w:rsid w:val="00302137"/>
    <w:rsid w:val="00303070"/>
    <w:rsid w:val="00303276"/>
    <w:rsid w:val="0030428B"/>
    <w:rsid w:val="00305314"/>
    <w:rsid w:val="0030540B"/>
    <w:rsid w:val="003055E7"/>
    <w:rsid w:val="00306214"/>
    <w:rsid w:val="00306648"/>
    <w:rsid w:val="00306AD4"/>
    <w:rsid w:val="00306BEA"/>
    <w:rsid w:val="00306CF2"/>
    <w:rsid w:val="00306D3D"/>
    <w:rsid w:val="003077A5"/>
    <w:rsid w:val="00307A08"/>
    <w:rsid w:val="0031031C"/>
    <w:rsid w:val="003104C0"/>
    <w:rsid w:val="003107A2"/>
    <w:rsid w:val="00310BB3"/>
    <w:rsid w:val="00310C27"/>
    <w:rsid w:val="003114D3"/>
    <w:rsid w:val="00311A0F"/>
    <w:rsid w:val="00311C5D"/>
    <w:rsid w:val="00311EC2"/>
    <w:rsid w:val="00312472"/>
    <w:rsid w:val="003125B1"/>
    <w:rsid w:val="0031288D"/>
    <w:rsid w:val="00312E8E"/>
    <w:rsid w:val="003133F3"/>
    <w:rsid w:val="0031530D"/>
    <w:rsid w:val="003153CB"/>
    <w:rsid w:val="00315532"/>
    <w:rsid w:val="00315B14"/>
    <w:rsid w:val="00315CB6"/>
    <w:rsid w:val="00315DEC"/>
    <w:rsid w:val="0031619A"/>
    <w:rsid w:val="00316C09"/>
    <w:rsid w:val="00316D80"/>
    <w:rsid w:val="00316DF0"/>
    <w:rsid w:val="003174EE"/>
    <w:rsid w:val="00317590"/>
    <w:rsid w:val="00317E8D"/>
    <w:rsid w:val="00317FB4"/>
    <w:rsid w:val="00320465"/>
    <w:rsid w:val="0032055C"/>
    <w:rsid w:val="00320947"/>
    <w:rsid w:val="00321888"/>
    <w:rsid w:val="003219E6"/>
    <w:rsid w:val="0032256D"/>
    <w:rsid w:val="00322949"/>
    <w:rsid w:val="00323030"/>
    <w:rsid w:val="0032316D"/>
    <w:rsid w:val="003234D5"/>
    <w:rsid w:val="003236EF"/>
    <w:rsid w:val="003242F0"/>
    <w:rsid w:val="00324580"/>
    <w:rsid w:val="00324E12"/>
    <w:rsid w:val="00324F56"/>
    <w:rsid w:val="00325E83"/>
    <w:rsid w:val="00325F3E"/>
    <w:rsid w:val="0032602D"/>
    <w:rsid w:val="003266B6"/>
    <w:rsid w:val="003267C4"/>
    <w:rsid w:val="003271BF"/>
    <w:rsid w:val="0032733B"/>
    <w:rsid w:val="0032740F"/>
    <w:rsid w:val="00327F24"/>
    <w:rsid w:val="00330326"/>
    <w:rsid w:val="00330329"/>
    <w:rsid w:val="00330B3A"/>
    <w:rsid w:val="00331194"/>
    <w:rsid w:val="003313B0"/>
    <w:rsid w:val="003313B1"/>
    <w:rsid w:val="00331EB4"/>
    <w:rsid w:val="00332310"/>
    <w:rsid w:val="003323BA"/>
    <w:rsid w:val="003329A7"/>
    <w:rsid w:val="00332B1C"/>
    <w:rsid w:val="00333B2A"/>
    <w:rsid w:val="00333D31"/>
    <w:rsid w:val="00334457"/>
    <w:rsid w:val="003345EA"/>
    <w:rsid w:val="003355D6"/>
    <w:rsid w:val="0033561E"/>
    <w:rsid w:val="00335C3D"/>
    <w:rsid w:val="00335D55"/>
    <w:rsid w:val="00335DA2"/>
    <w:rsid w:val="00336073"/>
    <w:rsid w:val="00336B27"/>
    <w:rsid w:val="00336BAA"/>
    <w:rsid w:val="00336E15"/>
    <w:rsid w:val="00336FD5"/>
    <w:rsid w:val="0033721F"/>
    <w:rsid w:val="0033730F"/>
    <w:rsid w:val="003375A9"/>
    <w:rsid w:val="003379A4"/>
    <w:rsid w:val="00340CF4"/>
    <w:rsid w:val="00340E1B"/>
    <w:rsid w:val="00341342"/>
    <w:rsid w:val="00341824"/>
    <w:rsid w:val="003422D8"/>
    <w:rsid w:val="00342853"/>
    <w:rsid w:val="00342F19"/>
    <w:rsid w:val="003431DD"/>
    <w:rsid w:val="00343370"/>
    <w:rsid w:val="00343511"/>
    <w:rsid w:val="003439F6"/>
    <w:rsid w:val="00343C29"/>
    <w:rsid w:val="00343C85"/>
    <w:rsid w:val="00343E91"/>
    <w:rsid w:val="00344082"/>
    <w:rsid w:val="0034477D"/>
    <w:rsid w:val="00344BAE"/>
    <w:rsid w:val="00344C01"/>
    <w:rsid w:val="00344E6A"/>
    <w:rsid w:val="00345594"/>
    <w:rsid w:val="003456CE"/>
    <w:rsid w:val="0034609B"/>
    <w:rsid w:val="00346932"/>
    <w:rsid w:val="00346B86"/>
    <w:rsid w:val="00346C19"/>
    <w:rsid w:val="00347683"/>
    <w:rsid w:val="0034773C"/>
    <w:rsid w:val="003479E4"/>
    <w:rsid w:val="00347DF0"/>
    <w:rsid w:val="00347EF1"/>
    <w:rsid w:val="00350560"/>
    <w:rsid w:val="0035091A"/>
    <w:rsid w:val="00350949"/>
    <w:rsid w:val="00350C8F"/>
    <w:rsid w:val="00350FFA"/>
    <w:rsid w:val="003512B9"/>
    <w:rsid w:val="00351568"/>
    <w:rsid w:val="00351569"/>
    <w:rsid w:val="003517DC"/>
    <w:rsid w:val="00351D48"/>
    <w:rsid w:val="003520AC"/>
    <w:rsid w:val="00352338"/>
    <w:rsid w:val="003524B5"/>
    <w:rsid w:val="003533E7"/>
    <w:rsid w:val="00354017"/>
    <w:rsid w:val="003543D3"/>
    <w:rsid w:val="00354894"/>
    <w:rsid w:val="003549A3"/>
    <w:rsid w:val="00354D6D"/>
    <w:rsid w:val="0035545E"/>
    <w:rsid w:val="00355C57"/>
    <w:rsid w:val="00356143"/>
    <w:rsid w:val="00356BC4"/>
    <w:rsid w:val="00356C98"/>
    <w:rsid w:val="00360010"/>
    <w:rsid w:val="003600F5"/>
    <w:rsid w:val="00360485"/>
    <w:rsid w:val="00360504"/>
    <w:rsid w:val="0036097D"/>
    <w:rsid w:val="00360B02"/>
    <w:rsid w:val="00360E70"/>
    <w:rsid w:val="003615BE"/>
    <w:rsid w:val="003616F7"/>
    <w:rsid w:val="0036240F"/>
    <w:rsid w:val="00362747"/>
    <w:rsid w:val="003629CF"/>
    <w:rsid w:val="00363426"/>
    <w:rsid w:val="003642E0"/>
    <w:rsid w:val="00364556"/>
    <w:rsid w:val="00364873"/>
    <w:rsid w:val="00364B35"/>
    <w:rsid w:val="00365287"/>
    <w:rsid w:val="00366504"/>
    <w:rsid w:val="003668D1"/>
    <w:rsid w:val="003672DA"/>
    <w:rsid w:val="00367AD7"/>
    <w:rsid w:val="00367C3D"/>
    <w:rsid w:val="00367F41"/>
    <w:rsid w:val="003700F2"/>
    <w:rsid w:val="00370172"/>
    <w:rsid w:val="003705BF"/>
    <w:rsid w:val="00370679"/>
    <w:rsid w:val="003709CB"/>
    <w:rsid w:val="00370FDD"/>
    <w:rsid w:val="003711BC"/>
    <w:rsid w:val="003728EA"/>
    <w:rsid w:val="00372F31"/>
    <w:rsid w:val="00373318"/>
    <w:rsid w:val="00373F7F"/>
    <w:rsid w:val="00374084"/>
    <w:rsid w:val="003749A4"/>
    <w:rsid w:val="00374F83"/>
    <w:rsid w:val="00375050"/>
    <w:rsid w:val="00375065"/>
    <w:rsid w:val="003750C0"/>
    <w:rsid w:val="0037624D"/>
    <w:rsid w:val="00377A11"/>
    <w:rsid w:val="00377BCC"/>
    <w:rsid w:val="00377E52"/>
    <w:rsid w:val="00380782"/>
    <w:rsid w:val="003820E3"/>
    <w:rsid w:val="003822C0"/>
    <w:rsid w:val="00382769"/>
    <w:rsid w:val="00382F07"/>
    <w:rsid w:val="00382FFB"/>
    <w:rsid w:val="003849E9"/>
    <w:rsid w:val="00384F63"/>
    <w:rsid w:val="00385175"/>
    <w:rsid w:val="00385412"/>
    <w:rsid w:val="00385DD5"/>
    <w:rsid w:val="00385F2A"/>
    <w:rsid w:val="00386616"/>
    <w:rsid w:val="00387E67"/>
    <w:rsid w:val="0039107F"/>
    <w:rsid w:val="003911C6"/>
    <w:rsid w:val="00391E1A"/>
    <w:rsid w:val="0039207C"/>
    <w:rsid w:val="00392D71"/>
    <w:rsid w:val="00392E7F"/>
    <w:rsid w:val="00393895"/>
    <w:rsid w:val="003948DF"/>
    <w:rsid w:val="00394B28"/>
    <w:rsid w:val="00395599"/>
    <w:rsid w:val="00395C9F"/>
    <w:rsid w:val="00395D24"/>
    <w:rsid w:val="003960DB"/>
    <w:rsid w:val="003969B5"/>
    <w:rsid w:val="00396BAE"/>
    <w:rsid w:val="003976ED"/>
    <w:rsid w:val="003977C0"/>
    <w:rsid w:val="00397CB7"/>
    <w:rsid w:val="00397E07"/>
    <w:rsid w:val="003A0181"/>
    <w:rsid w:val="003A0375"/>
    <w:rsid w:val="003A10C1"/>
    <w:rsid w:val="003A1623"/>
    <w:rsid w:val="003A1B52"/>
    <w:rsid w:val="003A1F66"/>
    <w:rsid w:val="003A20D9"/>
    <w:rsid w:val="003A2172"/>
    <w:rsid w:val="003A2202"/>
    <w:rsid w:val="003A2638"/>
    <w:rsid w:val="003A2E15"/>
    <w:rsid w:val="003A2E1D"/>
    <w:rsid w:val="003A344E"/>
    <w:rsid w:val="003A35C9"/>
    <w:rsid w:val="003A3A64"/>
    <w:rsid w:val="003A425F"/>
    <w:rsid w:val="003A46F6"/>
    <w:rsid w:val="003A4720"/>
    <w:rsid w:val="003A51DA"/>
    <w:rsid w:val="003A5226"/>
    <w:rsid w:val="003A5731"/>
    <w:rsid w:val="003A574E"/>
    <w:rsid w:val="003A5BD0"/>
    <w:rsid w:val="003A5D9B"/>
    <w:rsid w:val="003A5FCF"/>
    <w:rsid w:val="003A6043"/>
    <w:rsid w:val="003A66DA"/>
    <w:rsid w:val="003A7C84"/>
    <w:rsid w:val="003B0667"/>
    <w:rsid w:val="003B168D"/>
    <w:rsid w:val="003B2F0E"/>
    <w:rsid w:val="003B35D0"/>
    <w:rsid w:val="003B35F7"/>
    <w:rsid w:val="003B3BBE"/>
    <w:rsid w:val="003B3CA6"/>
    <w:rsid w:val="003B4542"/>
    <w:rsid w:val="003B4F37"/>
    <w:rsid w:val="003B55B6"/>
    <w:rsid w:val="003B5603"/>
    <w:rsid w:val="003B595B"/>
    <w:rsid w:val="003B5B4A"/>
    <w:rsid w:val="003B5C3B"/>
    <w:rsid w:val="003B5D2A"/>
    <w:rsid w:val="003B6539"/>
    <w:rsid w:val="003B67CF"/>
    <w:rsid w:val="003B6E35"/>
    <w:rsid w:val="003B71B6"/>
    <w:rsid w:val="003B7771"/>
    <w:rsid w:val="003B78BD"/>
    <w:rsid w:val="003C0276"/>
    <w:rsid w:val="003C0442"/>
    <w:rsid w:val="003C0E46"/>
    <w:rsid w:val="003C0FF3"/>
    <w:rsid w:val="003C0FFA"/>
    <w:rsid w:val="003C11BA"/>
    <w:rsid w:val="003C149F"/>
    <w:rsid w:val="003C1D2E"/>
    <w:rsid w:val="003C2298"/>
    <w:rsid w:val="003C2A16"/>
    <w:rsid w:val="003C326A"/>
    <w:rsid w:val="003C391E"/>
    <w:rsid w:val="003C3BC6"/>
    <w:rsid w:val="003C4508"/>
    <w:rsid w:val="003C4684"/>
    <w:rsid w:val="003C48EE"/>
    <w:rsid w:val="003C4C47"/>
    <w:rsid w:val="003C4C85"/>
    <w:rsid w:val="003C5C52"/>
    <w:rsid w:val="003C5EB9"/>
    <w:rsid w:val="003C6834"/>
    <w:rsid w:val="003C6859"/>
    <w:rsid w:val="003C6971"/>
    <w:rsid w:val="003C750B"/>
    <w:rsid w:val="003C77C5"/>
    <w:rsid w:val="003D014B"/>
    <w:rsid w:val="003D0399"/>
    <w:rsid w:val="003D03E2"/>
    <w:rsid w:val="003D09B3"/>
    <w:rsid w:val="003D0B46"/>
    <w:rsid w:val="003D10D7"/>
    <w:rsid w:val="003D180E"/>
    <w:rsid w:val="003D1C62"/>
    <w:rsid w:val="003D1F2E"/>
    <w:rsid w:val="003D206E"/>
    <w:rsid w:val="003D2B5C"/>
    <w:rsid w:val="003D2D55"/>
    <w:rsid w:val="003D37AE"/>
    <w:rsid w:val="003D4499"/>
    <w:rsid w:val="003D4849"/>
    <w:rsid w:val="003D4E0F"/>
    <w:rsid w:val="003D534A"/>
    <w:rsid w:val="003D6B3E"/>
    <w:rsid w:val="003D6BB4"/>
    <w:rsid w:val="003D6C0C"/>
    <w:rsid w:val="003D6C7B"/>
    <w:rsid w:val="003D728A"/>
    <w:rsid w:val="003D755E"/>
    <w:rsid w:val="003D76BF"/>
    <w:rsid w:val="003D7C2D"/>
    <w:rsid w:val="003D7EF0"/>
    <w:rsid w:val="003E0005"/>
    <w:rsid w:val="003E0429"/>
    <w:rsid w:val="003E063C"/>
    <w:rsid w:val="003E0C77"/>
    <w:rsid w:val="003E1065"/>
    <w:rsid w:val="003E112E"/>
    <w:rsid w:val="003E1148"/>
    <w:rsid w:val="003E13D3"/>
    <w:rsid w:val="003E21BD"/>
    <w:rsid w:val="003E252A"/>
    <w:rsid w:val="003E2E56"/>
    <w:rsid w:val="003E2E77"/>
    <w:rsid w:val="003E3557"/>
    <w:rsid w:val="003E36FB"/>
    <w:rsid w:val="003E3EAB"/>
    <w:rsid w:val="003E4B40"/>
    <w:rsid w:val="003E5086"/>
    <w:rsid w:val="003E5202"/>
    <w:rsid w:val="003E6339"/>
    <w:rsid w:val="003E694F"/>
    <w:rsid w:val="003E6FBB"/>
    <w:rsid w:val="003E719F"/>
    <w:rsid w:val="003E7213"/>
    <w:rsid w:val="003E72C9"/>
    <w:rsid w:val="003E7AA8"/>
    <w:rsid w:val="003F0119"/>
    <w:rsid w:val="003F06F3"/>
    <w:rsid w:val="003F0850"/>
    <w:rsid w:val="003F0B54"/>
    <w:rsid w:val="003F158D"/>
    <w:rsid w:val="003F1963"/>
    <w:rsid w:val="003F1CCD"/>
    <w:rsid w:val="003F21E5"/>
    <w:rsid w:val="003F2363"/>
    <w:rsid w:val="003F26F9"/>
    <w:rsid w:val="003F2982"/>
    <w:rsid w:val="003F2B5E"/>
    <w:rsid w:val="003F2CA4"/>
    <w:rsid w:val="003F3159"/>
    <w:rsid w:val="003F33DA"/>
    <w:rsid w:val="003F36C0"/>
    <w:rsid w:val="003F42D0"/>
    <w:rsid w:val="003F4305"/>
    <w:rsid w:val="003F44FC"/>
    <w:rsid w:val="003F4632"/>
    <w:rsid w:val="003F4AA3"/>
    <w:rsid w:val="003F4D81"/>
    <w:rsid w:val="003F4F74"/>
    <w:rsid w:val="003F52A7"/>
    <w:rsid w:val="003F5BAD"/>
    <w:rsid w:val="003F5DAA"/>
    <w:rsid w:val="003F624C"/>
    <w:rsid w:val="003F66FE"/>
    <w:rsid w:val="003F6921"/>
    <w:rsid w:val="003F7262"/>
    <w:rsid w:val="003F73C7"/>
    <w:rsid w:val="003F78D1"/>
    <w:rsid w:val="003F79EA"/>
    <w:rsid w:val="004002CD"/>
    <w:rsid w:val="004009B3"/>
    <w:rsid w:val="004012BB"/>
    <w:rsid w:val="004012F7"/>
    <w:rsid w:val="00401D83"/>
    <w:rsid w:val="004022A7"/>
    <w:rsid w:val="00402B6D"/>
    <w:rsid w:val="00402E3F"/>
    <w:rsid w:val="00403073"/>
    <w:rsid w:val="004032BC"/>
    <w:rsid w:val="00403680"/>
    <w:rsid w:val="004038E6"/>
    <w:rsid w:val="00403E22"/>
    <w:rsid w:val="00404119"/>
    <w:rsid w:val="00405868"/>
    <w:rsid w:val="00405D55"/>
    <w:rsid w:val="00406142"/>
    <w:rsid w:val="00406770"/>
    <w:rsid w:val="0040719D"/>
    <w:rsid w:val="0040720D"/>
    <w:rsid w:val="004100E3"/>
    <w:rsid w:val="0041146D"/>
    <w:rsid w:val="004118C2"/>
    <w:rsid w:val="00411B1B"/>
    <w:rsid w:val="0041297A"/>
    <w:rsid w:val="004135FC"/>
    <w:rsid w:val="00413FE8"/>
    <w:rsid w:val="00414824"/>
    <w:rsid w:val="0041504E"/>
    <w:rsid w:val="00415178"/>
    <w:rsid w:val="004158E3"/>
    <w:rsid w:val="0041666E"/>
    <w:rsid w:val="004173CA"/>
    <w:rsid w:val="0041775C"/>
    <w:rsid w:val="00417B07"/>
    <w:rsid w:val="00417B99"/>
    <w:rsid w:val="00420DFC"/>
    <w:rsid w:val="00421234"/>
    <w:rsid w:val="00421631"/>
    <w:rsid w:val="00421F39"/>
    <w:rsid w:val="004220F7"/>
    <w:rsid w:val="004223C7"/>
    <w:rsid w:val="004223DA"/>
    <w:rsid w:val="004226F9"/>
    <w:rsid w:val="004227B6"/>
    <w:rsid w:val="004230D0"/>
    <w:rsid w:val="00423224"/>
    <w:rsid w:val="004248A9"/>
    <w:rsid w:val="00424DF6"/>
    <w:rsid w:val="00425529"/>
    <w:rsid w:val="004259A4"/>
    <w:rsid w:val="0042614D"/>
    <w:rsid w:val="00426199"/>
    <w:rsid w:val="0042643B"/>
    <w:rsid w:val="00426C6C"/>
    <w:rsid w:val="00427A02"/>
    <w:rsid w:val="00427F05"/>
    <w:rsid w:val="00427F07"/>
    <w:rsid w:val="00430587"/>
    <w:rsid w:val="004307EE"/>
    <w:rsid w:val="00430AEB"/>
    <w:rsid w:val="00430BDF"/>
    <w:rsid w:val="00430CD0"/>
    <w:rsid w:val="00430D3D"/>
    <w:rsid w:val="00430DA4"/>
    <w:rsid w:val="00430E1E"/>
    <w:rsid w:val="00431007"/>
    <w:rsid w:val="00431204"/>
    <w:rsid w:val="004315CD"/>
    <w:rsid w:val="00431A02"/>
    <w:rsid w:val="00431AAA"/>
    <w:rsid w:val="004326D2"/>
    <w:rsid w:val="00432758"/>
    <w:rsid w:val="00432789"/>
    <w:rsid w:val="00432C61"/>
    <w:rsid w:val="00432CE2"/>
    <w:rsid w:val="004331F0"/>
    <w:rsid w:val="00433297"/>
    <w:rsid w:val="0043351A"/>
    <w:rsid w:val="00433751"/>
    <w:rsid w:val="00433B4A"/>
    <w:rsid w:val="004342F8"/>
    <w:rsid w:val="0043471F"/>
    <w:rsid w:val="00435A52"/>
    <w:rsid w:val="00435C46"/>
    <w:rsid w:val="004364E5"/>
    <w:rsid w:val="00436C50"/>
    <w:rsid w:val="0043726F"/>
    <w:rsid w:val="004374E0"/>
    <w:rsid w:val="00437FEE"/>
    <w:rsid w:val="004401A1"/>
    <w:rsid w:val="00440D4C"/>
    <w:rsid w:val="004416BE"/>
    <w:rsid w:val="00441F4A"/>
    <w:rsid w:val="004423DE"/>
    <w:rsid w:val="00442A34"/>
    <w:rsid w:val="0044319B"/>
    <w:rsid w:val="00443BD3"/>
    <w:rsid w:val="0044418E"/>
    <w:rsid w:val="0044434E"/>
    <w:rsid w:val="004445DE"/>
    <w:rsid w:val="00444CB5"/>
    <w:rsid w:val="00445D7B"/>
    <w:rsid w:val="004460DC"/>
    <w:rsid w:val="00446F36"/>
    <w:rsid w:val="0044733C"/>
    <w:rsid w:val="00447D5D"/>
    <w:rsid w:val="00447D7A"/>
    <w:rsid w:val="00447DCF"/>
    <w:rsid w:val="004500D1"/>
    <w:rsid w:val="004500ED"/>
    <w:rsid w:val="004506DC"/>
    <w:rsid w:val="00450EB4"/>
    <w:rsid w:val="00451F94"/>
    <w:rsid w:val="004520E7"/>
    <w:rsid w:val="00452735"/>
    <w:rsid w:val="00452E71"/>
    <w:rsid w:val="0045360B"/>
    <w:rsid w:val="00453924"/>
    <w:rsid w:val="00453C04"/>
    <w:rsid w:val="00455600"/>
    <w:rsid w:val="00455AAC"/>
    <w:rsid w:val="00455BEA"/>
    <w:rsid w:val="00456474"/>
    <w:rsid w:val="0045667F"/>
    <w:rsid w:val="00456B7A"/>
    <w:rsid w:val="00456CEF"/>
    <w:rsid w:val="004571B5"/>
    <w:rsid w:val="00457518"/>
    <w:rsid w:val="0045760A"/>
    <w:rsid w:val="00460515"/>
    <w:rsid w:val="0046070D"/>
    <w:rsid w:val="0046154F"/>
    <w:rsid w:val="0046186E"/>
    <w:rsid w:val="0046221C"/>
    <w:rsid w:val="00462BE9"/>
    <w:rsid w:val="00462D7A"/>
    <w:rsid w:val="00463E99"/>
    <w:rsid w:val="00464163"/>
    <w:rsid w:val="004641CE"/>
    <w:rsid w:val="0046426D"/>
    <w:rsid w:val="00464490"/>
    <w:rsid w:val="00464803"/>
    <w:rsid w:val="00464C13"/>
    <w:rsid w:val="00466E3E"/>
    <w:rsid w:val="00467356"/>
    <w:rsid w:val="00467E2B"/>
    <w:rsid w:val="004704C4"/>
    <w:rsid w:val="00470D90"/>
    <w:rsid w:val="00470EF2"/>
    <w:rsid w:val="00471A4F"/>
    <w:rsid w:val="00471D6E"/>
    <w:rsid w:val="00472B4C"/>
    <w:rsid w:val="004730F3"/>
    <w:rsid w:val="00473244"/>
    <w:rsid w:val="004734AF"/>
    <w:rsid w:val="00473581"/>
    <w:rsid w:val="004744EC"/>
    <w:rsid w:val="00474543"/>
    <w:rsid w:val="00475371"/>
    <w:rsid w:val="004758DC"/>
    <w:rsid w:val="00476C4F"/>
    <w:rsid w:val="004771B1"/>
    <w:rsid w:val="004775E1"/>
    <w:rsid w:val="0047779E"/>
    <w:rsid w:val="00480574"/>
    <w:rsid w:val="00480A9F"/>
    <w:rsid w:val="00480B8A"/>
    <w:rsid w:val="0048121C"/>
    <w:rsid w:val="0048167C"/>
    <w:rsid w:val="00481896"/>
    <w:rsid w:val="00481FD2"/>
    <w:rsid w:val="0048240E"/>
    <w:rsid w:val="0048240F"/>
    <w:rsid w:val="00482573"/>
    <w:rsid w:val="00482639"/>
    <w:rsid w:val="004828C6"/>
    <w:rsid w:val="00482DAD"/>
    <w:rsid w:val="004831E6"/>
    <w:rsid w:val="00483432"/>
    <w:rsid w:val="00483595"/>
    <w:rsid w:val="004838F1"/>
    <w:rsid w:val="00483A98"/>
    <w:rsid w:val="00483D55"/>
    <w:rsid w:val="00484A7C"/>
    <w:rsid w:val="00484BB1"/>
    <w:rsid w:val="0048513A"/>
    <w:rsid w:val="004854AB"/>
    <w:rsid w:val="00485923"/>
    <w:rsid w:val="00485B15"/>
    <w:rsid w:val="00485D70"/>
    <w:rsid w:val="00485FC2"/>
    <w:rsid w:val="00486594"/>
    <w:rsid w:val="004868DE"/>
    <w:rsid w:val="00486D8F"/>
    <w:rsid w:val="00486E25"/>
    <w:rsid w:val="004873F3"/>
    <w:rsid w:val="00487693"/>
    <w:rsid w:val="0049013B"/>
    <w:rsid w:val="00491586"/>
    <w:rsid w:val="004919AD"/>
    <w:rsid w:val="00492040"/>
    <w:rsid w:val="00492491"/>
    <w:rsid w:val="00492E99"/>
    <w:rsid w:val="00493524"/>
    <w:rsid w:val="00493571"/>
    <w:rsid w:val="00493FC7"/>
    <w:rsid w:val="0049475F"/>
    <w:rsid w:val="00494EBD"/>
    <w:rsid w:val="00494F72"/>
    <w:rsid w:val="00495A34"/>
    <w:rsid w:val="00495CD1"/>
    <w:rsid w:val="00495F92"/>
    <w:rsid w:val="004964E0"/>
    <w:rsid w:val="00497764"/>
    <w:rsid w:val="00497C70"/>
    <w:rsid w:val="004A0108"/>
    <w:rsid w:val="004A045E"/>
    <w:rsid w:val="004A0828"/>
    <w:rsid w:val="004A0F08"/>
    <w:rsid w:val="004A17D0"/>
    <w:rsid w:val="004A1E0A"/>
    <w:rsid w:val="004A2666"/>
    <w:rsid w:val="004A294C"/>
    <w:rsid w:val="004A3F4C"/>
    <w:rsid w:val="004A402E"/>
    <w:rsid w:val="004A4303"/>
    <w:rsid w:val="004A4308"/>
    <w:rsid w:val="004A4381"/>
    <w:rsid w:val="004A4572"/>
    <w:rsid w:val="004A4D4C"/>
    <w:rsid w:val="004A65B5"/>
    <w:rsid w:val="004A66ED"/>
    <w:rsid w:val="004A6703"/>
    <w:rsid w:val="004A6C51"/>
    <w:rsid w:val="004A7A68"/>
    <w:rsid w:val="004A7B8F"/>
    <w:rsid w:val="004A7F6B"/>
    <w:rsid w:val="004B0DFE"/>
    <w:rsid w:val="004B12F3"/>
    <w:rsid w:val="004B18C7"/>
    <w:rsid w:val="004B1ACE"/>
    <w:rsid w:val="004B25B3"/>
    <w:rsid w:val="004B2988"/>
    <w:rsid w:val="004B3298"/>
    <w:rsid w:val="004B365E"/>
    <w:rsid w:val="004B37ED"/>
    <w:rsid w:val="004B3942"/>
    <w:rsid w:val="004B39EF"/>
    <w:rsid w:val="004B3AF6"/>
    <w:rsid w:val="004B4EE3"/>
    <w:rsid w:val="004B4F3F"/>
    <w:rsid w:val="004B58AA"/>
    <w:rsid w:val="004B5FD0"/>
    <w:rsid w:val="004B68DF"/>
    <w:rsid w:val="004B6CC9"/>
    <w:rsid w:val="004B6FC4"/>
    <w:rsid w:val="004B70A7"/>
    <w:rsid w:val="004B70D4"/>
    <w:rsid w:val="004B7B28"/>
    <w:rsid w:val="004C0C62"/>
    <w:rsid w:val="004C1637"/>
    <w:rsid w:val="004C1FC9"/>
    <w:rsid w:val="004C269D"/>
    <w:rsid w:val="004C29BA"/>
    <w:rsid w:val="004C2ED8"/>
    <w:rsid w:val="004C3B6D"/>
    <w:rsid w:val="004C3D09"/>
    <w:rsid w:val="004C4935"/>
    <w:rsid w:val="004C518E"/>
    <w:rsid w:val="004C51CB"/>
    <w:rsid w:val="004C5225"/>
    <w:rsid w:val="004C532D"/>
    <w:rsid w:val="004C548E"/>
    <w:rsid w:val="004C6170"/>
    <w:rsid w:val="004C661E"/>
    <w:rsid w:val="004C6F63"/>
    <w:rsid w:val="004C7F6A"/>
    <w:rsid w:val="004D0439"/>
    <w:rsid w:val="004D0B70"/>
    <w:rsid w:val="004D0F79"/>
    <w:rsid w:val="004D12E5"/>
    <w:rsid w:val="004D1759"/>
    <w:rsid w:val="004D1A7C"/>
    <w:rsid w:val="004D2E9B"/>
    <w:rsid w:val="004D2F79"/>
    <w:rsid w:val="004D33CB"/>
    <w:rsid w:val="004D3CAE"/>
    <w:rsid w:val="004D4A86"/>
    <w:rsid w:val="004D4C9B"/>
    <w:rsid w:val="004D4CDA"/>
    <w:rsid w:val="004D4E81"/>
    <w:rsid w:val="004D4EB7"/>
    <w:rsid w:val="004D53FB"/>
    <w:rsid w:val="004D565E"/>
    <w:rsid w:val="004D58FA"/>
    <w:rsid w:val="004D5999"/>
    <w:rsid w:val="004D5CB0"/>
    <w:rsid w:val="004D6932"/>
    <w:rsid w:val="004D6D17"/>
    <w:rsid w:val="004D714A"/>
    <w:rsid w:val="004D757E"/>
    <w:rsid w:val="004D79DC"/>
    <w:rsid w:val="004D7D73"/>
    <w:rsid w:val="004E0565"/>
    <w:rsid w:val="004E17E9"/>
    <w:rsid w:val="004E2120"/>
    <w:rsid w:val="004E219F"/>
    <w:rsid w:val="004E38E7"/>
    <w:rsid w:val="004E44DF"/>
    <w:rsid w:val="004E4ED3"/>
    <w:rsid w:val="004E53EB"/>
    <w:rsid w:val="004E59C2"/>
    <w:rsid w:val="004E59EC"/>
    <w:rsid w:val="004E5D62"/>
    <w:rsid w:val="004E7B54"/>
    <w:rsid w:val="004E7FDC"/>
    <w:rsid w:val="004F020E"/>
    <w:rsid w:val="004F09E6"/>
    <w:rsid w:val="004F0C6E"/>
    <w:rsid w:val="004F1DA6"/>
    <w:rsid w:val="004F1F7A"/>
    <w:rsid w:val="004F203A"/>
    <w:rsid w:val="004F219E"/>
    <w:rsid w:val="004F2A42"/>
    <w:rsid w:val="004F2B03"/>
    <w:rsid w:val="004F2FA6"/>
    <w:rsid w:val="004F3E08"/>
    <w:rsid w:val="004F45D9"/>
    <w:rsid w:val="004F5570"/>
    <w:rsid w:val="004F65AD"/>
    <w:rsid w:val="004F66CA"/>
    <w:rsid w:val="004F740A"/>
    <w:rsid w:val="004F79BB"/>
    <w:rsid w:val="004F7B9D"/>
    <w:rsid w:val="0050049F"/>
    <w:rsid w:val="00500C64"/>
    <w:rsid w:val="0050109B"/>
    <w:rsid w:val="00501AA5"/>
    <w:rsid w:val="00501AD5"/>
    <w:rsid w:val="00502776"/>
    <w:rsid w:val="00502E4B"/>
    <w:rsid w:val="00503244"/>
    <w:rsid w:val="00503356"/>
    <w:rsid w:val="005034B5"/>
    <w:rsid w:val="005045AF"/>
    <w:rsid w:val="005045C4"/>
    <w:rsid w:val="0050483F"/>
    <w:rsid w:val="00505517"/>
    <w:rsid w:val="005055A4"/>
    <w:rsid w:val="0050582B"/>
    <w:rsid w:val="005060E5"/>
    <w:rsid w:val="00506206"/>
    <w:rsid w:val="00506746"/>
    <w:rsid w:val="005074BA"/>
    <w:rsid w:val="005076C6"/>
    <w:rsid w:val="00507730"/>
    <w:rsid w:val="00507A67"/>
    <w:rsid w:val="00507FE5"/>
    <w:rsid w:val="00510E8A"/>
    <w:rsid w:val="0051127B"/>
    <w:rsid w:val="005113D8"/>
    <w:rsid w:val="00511672"/>
    <w:rsid w:val="005117EC"/>
    <w:rsid w:val="00511913"/>
    <w:rsid w:val="00511EA1"/>
    <w:rsid w:val="00512EDD"/>
    <w:rsid w:val="00512F1C"/>
    <w:rsid w:val="005133BD"/>
    <w:rsid w:val="005134C2"/>
    <w:rsid w:val="0051352E"/>
    <w:rsid w:val="00513660"/>
    <w:rsid w:val="00514051"/>
    <w:rsid w:val="0051408B"/>
    <w:rsid w:val="00514273"/>
    <w:rsid w:val="00514B20"/>
    <w:rsid w:val="00514D40"/>
    <w:rsid w:val="0051524C"/>
    <w:rsid w:val="005156F4"/>
    <w:rsid w:val="0051592E"/>
    <w:rsid w:val="00516229"/>
    <w:rsid w:val="00516320"/>
    <w:rsid w:val="00516611"/>
    <w:rsid w:val="005169FA"/>
    <w:rsid w:val="00516FF3"/>
    <w:rsid w:val="0051711C"/>
    <w:rsid w:val="0051734C"/>
    <w:rsid w:val="005173F3"/>
    <w:rsid w:val="0051747C"/>
    <w:rsid w:val="0051758D"/>
    <w:rsid w:val="0051794D"/>
    <w:rsid w:val="00517A4A"/>
    <w:rsid w:val="00517DA7"/>
    <w:rsid w:val="00517EC1"/>
    <w:rsid w:val="0052075B"/>
    <w:rsid w:val="00520935"/>
    <w:rsid w:val="00520A33"/>
    <w:rsid w:val="005213D6"/>
    <w:rsid w:val="005213E2"/>
    <w:rsid w:val="005219E5"/>
    <w:rsid w:val="00521A6D"/>
    <w:rsid w:val="00521ECF"/>
    <w:rsid w:val="005227A0"/>
    <w:rsid w:val="00522837"/>
    <w:rsid w:val="00523393"/>
    <w:rsid w:val="005242DE"/>
    <w:rsid w:val="005242E0"/>
    <w:rsid w:val="00524444"/>
    <w:rsid w:val="00524C76"/>
    <w:rsid w:val="005252D8"/>
    <w:rsid w:val="00525878"/>
    <w:rsid w:val="005258CB"/>
    <w:rsid w:val="00525A29"/>
    <w:rsid w:val="005265DF"/>
    <w:rsid w:val="0052674D"/>
    <w:rsid w:val="005267D3"/>
    <w:rsid w:val="0052698F"/>
    <w:rsid w:val="005279CE"/>
    <w:rsid w:val="00527AE4"/>
    <w:rsid w:val="0053075C"/>
    <w:rsid w:val="00531169"/>
    <w:rsid w:val="005314E1"/>
    <w:rsid w:val="0053154D"/>
    <w:rsid w:val="00531AF7"/>
    <w:rsid w:val="00531CEF"/>
    <w:rsid w:val="005322EC"/>
    <w:rsid w:val="0053237E"/>
    <w:rsid w:val="00532527"/>
    <w:rsid w:val="00532F95"/>
    <w:rsid w:val="00533100"/>
    <w:rsid w:val="005338BE"/>
    <w:rsid w:val="00533BE7"/>
    <w:rsid w:val="00534165"/>
    <w:rsid w:val="00534BAC"/>
    <w:rsid w:val="00535280"/>
    <w:rsid w:val="005354C8"/>
    <w:rsid w:val="00535658"/>
    <w:rsid w:val="0053572E"/>
    <w:rsid w:val="00535939"/>
    <w:rsid w:val="0053626D"/>
    <w:rsid w:val="00536362"/>
    <w:rsid w:val="005363C4"/>
    <w:rsid w:val="00536431"/>
    <w:rsid w:val="0053710E"/>
    <w:rsid w:val="005375DD"/>
    <w:rsid w:val="0054031A"/>
    <w:rsid w:val="0054031B"/>
    <w:rsid w:val="00540EBB"/>
    <w:rsid w:val="00541216"/>
    <w:rsid w:val="0054135D"/>
    <w:rsid w:val="005418AA"/>
    <w:rsid w:val="00541B37"/>
    <w:rsid w:val="00541BC8"/>
    <w:rsid w:val="00541C2C"/>
    <w:rsid w:val="0054262F"/>
    <w:rsid w:val="005426C9"/>
    <w:rsid w:val="005433B5"/>
    <w:rsid w:val="005438C7"/>
    <w:rsid w:val="00544927"/>
    <w:rsid w:val="0054514B"/>
    <w:rsid w:val="005455D0"/>
    <w:rsid w:val="005455EF"/>
    <w:rsid w:val="00545664"/>
    <w:rsid w:val="00545C7B"/>
    <w:rsid w:val="00546206"/>
    <w:rsid w:val="0054628A"/>
    <w:rsid w:val="005466DD"/>
    <w:rsid w:val="00547169"/>
    <w:rsid w:val="00547653"/>
    <w:rsid w:val="00550117"/>
    <w:rsid w:val="005501C0"/>
    <w:rsid w:val="00550205"/>
    <w:rsid w:val="0055042F"/>
    <w:rsid w:val="00550C84"/>
    <w:rsid w:val="00551055"/>
    <w:rsid w:val="005518D2"/>
    <w:rsid w:val="005519F5"/>
    <w:rsid w:val="00552251"/>
    <w:rsid w:val="005523B2"/>
    <w:rsid w:val="00552F59"/>
    <w:rsid w:val="00553419"/>
    <w:rsid w:val="0055383E"/>
    <w:rsid w:val="00553BCC"/>
    <w:rsid w:val="00553FB6"/>
    <w:rsid w:val="0055445E"/>
    <w:rsid w:val="00554E46"/>
    <w:rsid w:val="00556478"/>
    <w:rsid w:val="0055764C"/>
    <w:rsid w:val="005576EA"/>
    <w:rsid w:val="00560213"/>
    <w:rsid w:val="00560A74"/>
    <w:rsid w:val="00560F24"/>
    <w:rsid w:val="00561800"/>
    <w:rsid w:val="00561CC0"/>
    <w:rsid w:val="00561E1C"/>
    <w:rsid w:val="00562753"/>
    <w:rsid w:val="00562868"/>
    <w:rsid w:val="00562932"/>
    <w:rsid w:val="00563098"/>
    <w:rsid w:val="0056342B"/>
    <w:rsid w:val="00563882"/>
    <w:rsid w:val="00563D00"/>
    <w:rsid w:val="00563FF2"/>
    <w:rsid w:val="005649F5"/>
    <w:rsid w:val="005657F8"/>
    <w:rsid w:val="00565D7B"/>
    <w:rsid w:val="00566127"/>
    <w:rsid w:val="00566284"/>
    <w:rsid w:val="0056692A"/>
    <w:rsid w:val="00570873"/>
    <w:rsid w:val="00570A39"/>
    <w:rsid w:val="00570D45"/>
    <w:rsid w:val="0057109A"/>
    <w:rsid w:val="00572AEB"/>
    <w:rsid w:val="00572E59"/>
    <w:rsid w:val="00572FB3"/>
    <w:rsid w:val="00573A91"/>
    <w:rsid w:val="00573B3E"/>
    <w:rsid w:val="00573D9F"/>
    <w:rsid w:val="00573F87"/>
    <w:rsid w:val="00574D9E"/>
    <w:rsid w:val="00574E34"/>
    <w:rsid w:val="005752AD"/>
    <w:rsid w:val="00575724"/>
    <w:rsid w:val="00575774"/>
    <w:rsid w:val="00575AD9"/>
    <w:rsid w:val="0057618E"/>
    <w:rsid w:val="005765EE"/>
    <w:rsid w:val="00576696"/>
    <w:rsid w:val="005766BC"/>
    <w:rsid w:val="00577871"/>
    <w:rsid w:val="00580170"/>
    <w:rsid w:val="00580D57"/>
    <w:rsid w:val="00581677"/>
    <w:rsid w:val="00581AA1"/>
    <w:rsid w:val="00581E11"/>
    <w:rsid w:val="0058275A"/>
    <w:rsid w:val="00582AB8"/>
    <w:rsid w:val="00582BF2"/>
    <w:rsid w:val="00583320"/>
    <w:rsid w:val="00583431"/>
    <w:rsid w:val="00583510"/>
    <w:rsid w:val="00583710"/>
    <w:rsid w:val="0058396B"/>
    <w:rsid w:val="00583E14"/>
    <w:rsid w:val="0058439A"/>
    <w:rsid w:val="00584881"/>
    <w:rsid w:val="0058516F"/>
    <w:rsid w:val="0058535E"/>
    <w:rsid w:val="00585667"/>
    <w:rsid w:val="00585E1F"/>
    <w:rsid w:val="00586029"/>
    <w:rsid w:val="005862C9"/>
    <w:rsid w:val="00586A5D"/>
    <w:rsid w:val="005875CC"/>
    <w:rsid w:val="0058765B"/>
    <w:rsid w:val="005878E1"/>
    <w:rsid w:val="00587DC7"/>
    <w:rsid w:val="00590260"/>
    <w:rsid w:val="00590353"/>
    <w:rsid w:val="00590861"/>
    <w:rsid w:val="00590E7E"/>
    <w:rsid w:val="005910F8"/>
    <w:rsid w:val="00591C8C"/>
    <w:rsid w:val="00591C9C"/>
    <w:rsid w:val="00591FE7"/>
    <w:rsid w:val="00592C29"/>
    <w:rsid w:val="00592E29"/>
    <w:rsid w:val="00593184"/>
    <w:rsid w:val="00593855"/>
    <w:rsid w:val="00593D0A"/>
    <w:rsid w:val="005942FC"/>
    <w:rsid w:val="005944E6"/>
    <w:rsid w:val="00594602"/>
    <w:rsid w:val="0059468E"/>
    <w:rsid w:val="00594DA7"/>
    <w:rsid w:val="005950BB"/>
    <w:rsid w:val="00595178"/>
    <w:rsid w:val="005951C2"/>
    <w:rsid w:val="00595FD1"/>
    <w:rsid w:val="0059601A"/>
    <w:rsid w:val="005960FA"/>
    <w:rsid w:val="00596874"/>
    <w:rsid w:val="00596C5E"/>
    <w:rsid w:val="00596D12"/>
    <w:rsid w:val="005971BE"/>
    <w:rsid w:val="00597743"/>
    <w:rsid w:val="005A0388"/>
    <w:rsid w:val="005A0BA4"/>
    <w:rsid w:val="005A161F"/>
    <w:rsid w:val="005A16BF"/>
    <w:rsid w:val="005A1EDE"/>
    <w:rsid w:val="005A1F8F"/>
    <w:rsid w:val="005A267B"/>
    <w:rsid w:val="005A2735"/>
    <w:rsid w:val="005A29BB"/>
    <w:rsid w:val="005A2FAC"/>
    <w:rsid w:val="005A3F18"/>
    <w:rsid w:val="005A49B8"/>
    <w:rsid w:val="005A4BE0"/>
    <w:rsid w:val="005A4D7A"/>
    <w:rsid w:val="005A5B4A"/>
    <w:rsid w:val="005A5E00"/>
    <w:rsid w:val="005A603E"/>
    <w:rsid w:val="005A631F"/>
    <w:rsid w:val="005A6331"/>
    <w:rsid w:val="005A640B"/>
    <w:rsid w:val="005A69FD"/>
    <w:rsid w:val="005A6BC0"/>
    <w:rsid w:val="005A76E3"/>
    <w:rsid w:val="005A7705"/>
    <w:rsid w:val="005B05B3"/>
    <w:rsid w:val="005B0683"/>
    <w:rsid w:val="005B0689"/>
    <w:rsid w:val="005B0B45"/>
    <w:rsid w:val="005B12D1"/>
    <w:rsid w:val="005B15B3"/>
    <w:rsid w:val="005B1A8B"/>
    <w:rsid w:val="005B23F1"/>
    <w:rsid w:val="005B25B1"/>
    <w:rsid w:val="005B26AE"/>
    <w:rsid w:val="005B2B6F"/>
    <w:rsid w:val="005B305C"/>
    <w:rsid w:val="005B364A"/>
    <w:rsid w:val="005B3DCA"/>
    <w:rsid w:val="005B45E8"/>
    <w:rsid w:val="005B4902"/>
    <w:rsid w:val="005B498A"/>
    <w:rsid w:val="005B4E32"/>
    <w:rsid w:val="005B51B8"/>
    <w:rsid w:val="005B5A59"/>
    <w:rsid w:val="005B5B3E"/>
    <w:rsid w:val="005B5C29"/>
    <w:rsid w:val="005B5E17"/>
    <w:rsid w:val="005B6410"/>
    <w:rsid w:val="005B6455"/>
    <w:rsid w:val="005B6947"/>
    <w:rsid w:val="005B77AB"/>
    <w:rsid w:val="005B7B11"/>
    <w:rsid w:val="005C014A"/>
    <w:rsid w:val="005C0445"/>
    <w:rsid w:val="005C0486"/>
    <w:rsid w:val="005C0670"/>
    <w:rsid w:val="005C0E9E"/>
    <w:rsid w:val="005C0F57"/>
    <w:rsid w:val="005C138F"/>
    <w:rsid w:val="005C1696"/>
    <w:rsid w:val="005C1A1E"/>
    <w:rsid w:val="005C1CB7"/>
    <w:rsid w:val="005C1E38"/>
    <w:rsid w:val="005C3629"/>
    <w:rsid w:val="005C3CCE"/>
    <w:rsid w:val="005C4209"/>
    <w:rsid w:val="005C4988"/>
    <w:rsid w:val="005C4AD9"/>
    <w:rsid w:val="005C50EE"/>
    <w:rsid w:val="005C51D3"/>
    <w:rsid w:val="005C54E1"/>
    <w:rsid w:val="005C55A9"/>
    <w:rsid w:val="005C572D"/>
    <w:rsid w:val="005C592E"/>
    <w:rsid w:val="005C5D8B"/>
    <w:rsid w:val="005C5EF9"/>
    <w:rsid w:val="005C5FA2"/>
    <w:rsid w:val="005C6501"/>
    <w:rsid w:val="005C72E0"/>
    <w:rsid w:val="005C75B2"/>
    <w:rsid w:val="005C78AB"/>
    <w:rsid w:val="005C7BA9"/>
    <w:rsid w:val="005C7F06"/>
    <w:rsid w:val="005C7F57"/>
    <w:rsid w:val="005D0B2C"/>
    <w:rsid w:val="005D0F94"/>
    <w:rsid w:val="005D150F"/>
    <w:rsid w:val="005D170E"/>
    <w:rsid w:val="005D1C1C"/>
    <w:rsid w:val="005D2086"/>
    <w:rsid w:val="005D20C6"/>
    <w:rsid w:val="005D37E3"/>
    <w:rsid w:val="005D3D27"/>
    <w:rsid w:val="005D4298"/>
    <w:rsid w:val="005D42B4"/>
    <w:rsid w:val="005D4461"/>
    <w:rsid w:val="005D47AA"/>
    <w:rsid w:val="005D48E1"/>
    <w:rsid w:val="005D4F9B"/>
    <w:rsid w:val="005D56AF"/>
    <w:rsid w:val="005D5A7C"/>
    <w:rsid w:val="005D64BB"/>
    <w:rsid w:val="005D690A"/>
    <w:rsid w:val="005D6A28"/>
    <w:rsid w:val="005D6E64"/>
    <w:rsid w:val="005D7372"/>
    <w:rsid w:val="005D786F"/>
    <w:rsid w:val="005E03E5"/>
    <w:rsid w:val="005E0497"/>
    <w:rsid w:val="005E0DB1"/>
    <w:rsid w:val="005E23D0"/>
    <w:rsid w:val="005E2621"/>
    <w:rsid w:val="005E29A6"/>
    <w:rsid w:val="005E318E"/>
    <w:rsid w:val="005E348A"/>
    <w:rsid w:val="005E353E"/>
    <w:rsid w:val="005E35AB"/>
    <w:rsid w:val="005E3A64"/>
    <w:rsid w:val="005E3BAF"/>
    <w:rsid w:val="005E3F06"/>
    <w:rsid w:val="005E4F2B"/>
    <w:rsid w:val="005E5D3A"/>
    <w:rsid w:val="005E60ED"/>
    <w:rsid w:val="005E67BA"/>
    <w:rsid w:val="005E6AD9"/>
    <w:rsid w:val="005E6C1A"/>
    <w:rsid w:val="005E7C42"/>
    <w:rsid w:val="005F087D"/>
    <w:rsid w:val="005F0DC9"/>
    <w:rsid w:val="005F1E8D"/>
    <w:rsid w:val="005F217E"/>
    <w:rsid w:val="005F2DAE"/>
    <w:rsid w:val="005F35C7"/>
    <w:rsid w:val="005F39FF"/>
    <w:rsid w:val="005F3AE7"/>
    <w:rsid w:val="005F4756"/>
    <w:rsid w:val="005F53DB"/>
    <w:rsid w:val="005F54FA"/>
    <w:rsid w:val="005F55BF"/>
    <w:rsid w:val="005F5985"/>
    <w:rsid w:val="005F5AEE"/>
    <w:rsid w:val="005F5DB8"/>
    <w:rsid w:val="005F649E"/>
    <w:rsid w:val="005F6670"/>
    <w:rsid w:val="005F71FF"/>
    <w:rsid w:val="005F7257"/>
    <w:rsid w:val="005F7741"/>
    <w:rsid w:val="005F7D66"/>
    <w:rsid w:val="00600024"/>
    <w:rsid w:val="006001DB"/>
    <w:rsid w:val="00600406"/>
    <w:rsid w:val="00600762"/>
    <w:rsid w:val="00600A72"/>
    <w:rsid w:val="00600F6C"/>
    <w:rsid w:val="0060111E"/>
    <w:rsid w:val="00601C20"/>
    <w:rsid w:val="00602C94"/>
    <w:rsid w:val="00603460"/>
    <w:rsid w:val="00603689"/>
    <w:rsid w:val="00603E47"/>
    <w:rsid w:val="00604A86"/>
    <w:rsid w:val="006050E9"/>
    <w:rsid w:val="006052F1"/>
    <w:rsid w:val="00605860"/>
    <w:rsid w:val="00605A2C"/>
    <w:rsid w:val="00605EAD"/>
    <w:rsid w:val="006064A0"/>
    <w:rsid w:val="00606806"/>
    <w:rsid w:val="00606872"/>
    <w:rsid w:val="00606AFF"/>
    <w:rsid w:val="00607228"/>
    <w:rsid w:val="00607A6F"/>
    <w:rsid w:val="00607AB7"/>
    <w:rsid w:val="00607D59"/>
    <w:rsid w:val="00607F71"/>
    <w:rsid w:val="00607FCD"/>
    <w:rsid w:val="00610106"/>
    <w:rsid w:val="00610A91"/>
    <w:rsid w:val="00610C33"/>
    <w:rsid w:val="00611273"/>
    <w:rsid w:val="0061135C"/>
    <w:rsid w:val="0061183F"/>
    <w:rsid w:val="006120A4"/>
    <w:rsid w:val="00612A27"/>
    <w:rsid w:val="00612DA9"/>
    <w:rsid w:val="00613750"/>
    <w:rsid w:val="00613A3D"/>
    <w:rsid w:val="00613EBE"/>
    <w:rsid w:val="00614081"/>
    <w:rsid w:val="00614739"/>
    <w:rsid w:val="0061493A"/>
    <w:rsid w:val="00615460"/>
    <w:rsid w:val="006155ED"/>
    <w:rsid w:val="006156A3"/>
    <w:rsid w:val="00615D2A"/>
    <w:rsid w:val="00616382"/>
    <w:rsid w:val="00616893"/>
    <w:rsid w:val="00617219"/>
    <w:rsid w:val="006173AB"/>
    <w:rsid w:val="006174B6"/>
    <w:rsid w:val="006177D0"/>
    <w:rsid w:val="006179BA"/>
    <w:rsid w:val="00617A6F"/>
    <w:rsid w:val="00620281"/>
    <w:rsid w:val="006208D9"/>
    <w:rsid w:val="00620B15"/>
    <w:rsid w:val="00621349"/>
    <w:rsid w:val="006214C9"/>
    <w:rsid w:val="00621647"/>
    <w:rsid w:val="00621FAE"/>
    <w:rsid w:val="006223AE"/>
    <w:rsid w:val="0062258F"/>
    <w:rsid w:val="0062286E"/>
    <w:rsid w:val="00622893"/>
    <w:rsid w:val="00622B9D"/>
    <w:rsid w:val="00623BA8"/>
    <w:rsid w:val="00624015"/>
    <w:rsid w:val="006247BD"/>
    <w:rsid w:val="006249A3"/>
    <w:rsid w:val="00625187"/>
    <w:rsid w:val="00626004"/>
    <w:rsid w:val="00626B39"/>
    <w:rsid w:val="00627004"/>
    <w:rsid w:val="00627480"/>
    <w:rsid w:val="006275E8"/>
    <w:rsid w:val="00627602"/>
    <w:rsid w:val="006278A0"/>
    <w:rsid w:val="006279BD"/>
    <w:rsid w:val="00627A06"/>
    <w:rsid w:val="00627B12"/>
    <w:rsid w:val="00627C5F"/>
    <w:rsid w:val="006301B3"/>
    <w:rsid w:val="00630743"/>
    <w:rsid w:val="0063079B"/>
    <w:rsid w:val="00630801"/>
    <w:rsid w:val="00630DDF"/>
    <w:rsid w:val="00631354"/>
    <w:rsid w:val="00631574"/>
    <w:rsid w:val="00631BAD"/>
    <w:rsid w:val="00631E44"/>
    <w:rsid w:val="0063253D"/>
    <w:rsid w:val="0063291F"/>
    <w:rsid w:val="00632A60"/>
    <w:rsid w:val="00632AA5"/>
    <w:rsid w:val="00633151"/>
    <w:rsid w:val="00633403"/>
    <w:rsid w:val="00633669"/>
    <w:rsid w:val="0063371D"/>
    <w:rsid w:val="0063386F"/>
    <w:rsid w:val="006348E1"/>
    <w:rsid w:val="00634912"/>
    <w:rsid w:val="006354F6"/>
    <w:rsid w:val="0063568D"/>
    <w:rsid w:val="00635A96"/>
    <w:rsid w:val="00635EA8"/>
    <w:rsid w:val="0063653D"/>
    <w:rsid w:val="00636BA6"/>
    <w:rsid w:val="00637986"/>
    <w:rsid w:val="0064023F"/>
    <w:rsid w:val="00640318"/>
    <w:rsid w:val="0064153F"/>
    <w:rsid w:val="0064243E"/>
    <w:rsid w:val="006430BD"/>
    <w:rsid w:val="00643E48"/>
    <w:rsid w:val="00643EEE"/>
    <w:rsid w:val="00644499"/>
    <w:rsid w:val="00644797"/>
    <w:rsid w:val="006455EB"/>
    <w:rsid w:val="0064576B"/>
    <w:rsid w:val="00645D88"/>
    <w:rsid w:val="006462F2"/>
    <w:rsid w:val="006464E9"/>
    <w:rsid w:val="00646F6E"/>
    <w:rsid w:val="006473F6"/>
    <w:rsid w:val="0064780B"/>
    <w:rsid w:val="0065037E"/>
    <w:rsid w:val="0065096A"/>
    <w:rsid w:val="00650CDE"/>
    <w:rsid w:val="00650D5C"/>
    <w:rsid w:val="00650DA7"/>
    <w:rsid w:val="00651185"/>
    <w:rsid w:val="00651325"/>
    <w:rsid w:val="00651978"/>
    <w:rsid w:val="00651DBF"/>
    <w:rsid w:val="006522DE"/>
    <w:rsid w:val="00653042"/>
    <w:rsid w:val="00653B9E"/>
    <w:rsid w:val="00653C1D"/>
    <w:rsid w:val="006553A9"/>
    <w:rsid w:val="00656470"/>
    <w:rsid w:val="00656C7B"/>
    <w:rsid w:val="00656E1C"/>
    <w:rsid w:val="0065709C"/>
    <w:rsid w:val="006570D9"/>
    <w:rsid w:val="00657298"/>
    <w:rsid w:val="00657D3D"/>
    <w:rsid w:val="00660064"/>
    <w:rsid w:val="00660198"/>
    <w:rsid w:val="00660250"/>
    <w:rsid w:val="00660B21"/>
    <w:rsid w:val="00660DD8"/>
    <w:rsid w:val="00660DE9"/>
    <w:rsid w:val="006610E4"/>
    <w:rsid w:val="0066190D"/>
    <w:rsid w:val="00661B2E"/>
    <w:rsid w:val="00661CF3"/>
    <w:rsid w:val="00662917"/>
    <w:rsid w:val="00662BAE"/>
    <w:rsid w:val="00662E4B"/>
    <w:rsid w:val="00662F5F"/>
    <w:rsid w:val="006632AF"/>
    <w:rsid w:val="006633F8"/>
    <w:rsid w:val="006635E1"/>
    <w:rsid w:val="00663BA8"/>
    <w:rsid w:val="00663D11"/>
    <w:rsid w:val="006640A8"/>
    <w:rsid w:val="0066422F"/>
    <w:rsid w:val="00664960"/>
    <w:rsid w:val="00664F74"/>
    <w:rsid w:val="0066523D"/>
    <w:rsid w:val="0066575D"/>
    <w:rsid w:val="00665BB4"/>
    <w:rsid w:val="00666156"/>
    <w:rsid w:val="006671C3"/>
    <w:rsid w:val="00667D6E"/>
    <w:rsid w:val="00667ED2"/>
    <w:rsid w:val="006703FD"/>
    <w:rsid w:val="00670D7A"/>
    <w:rsid w:val="00670EEC"/>
    <w:rsid w:val="0067126D"/>
    <w:rsid w:val="006717DD"/>
    <w:rsid w:val="00671B7A"/>
    <w:rsid w:val="00671BB2"/>
    <w:rsid w:val="00671F1E"/>
    <w:rsid w:val="0067258E"/>
    <w:rsid w:val="006728CD"/>
    <w:rsid w:val="00672A95"/>
    <w:rsid w:val="00672C27"/>
    <w:rsid w:val="00672C48"/>
    <w:rsid w:val="00672E35"/>
    <w:rsid w:val="006731F2"/>
    <w:rsid w:val="00673657"/>
    <w:rsid w:val="006736DC"/>
    <w:rsid w:val="0067399B"/>
    <w:rsid w:val="00673D00"/>
    <w:rsid w:val="00673F7F"/>
    <w:rsid w:val="0067492F"/>
    <w:rsid w:val="0067549B"/>
    <w:rsid w:val="00675627"/>
    <w:rsid w:val="0067589A"/>
    <w:rsid w:val="00677089"/>
    <w:rsid w:val="006774F4"/>
    <w:rsid w:val="006776D6"/>
    <w:rsid w:val="006777DD"/>
    <w:rsid w:val="00677FDE"/>
    <w:rsid w:val="00680006"/>
    <w:rsid w:val="00680384"/>
    <w:rsid w:val="006803BC"/>
    <w:rsid w:val="00680AC9"/>
    <w:rsid w:val="0068154F"/>
    <w:rsid w:val="006817F4"/>
    <w:rsid w:val="00681A8C"/>
    <w:rsid w:val="00681D3A"/>
    <w:rsid w:val="00681E3C"/>
    <w:rsid w:val="006823F5"/>
    <w:rsid w:val="00682C31"/>
    <w:rsid w:val="00682FCD"/>
    <w:rsid w:val="00683897"/>
    <w:rsid w:val="00683A7A"/>
    <w:rsid w:val="00683AB9"/>
    <w:rsid w:val="00683B53"/>
    <w:rsid w:val="00684973"/>
    <w:rsid w:val="00684A51"/>
    <w:rsid w:val="00684EB2"/>
    <w:rsid w:val="00685716"/>
    <w:rsid w:val="0068598B"/>
    <w:rsid w:val="00685A29"/>
    <w:rsid w:val="00686196"/>
    <w:rsid w:val="0068683C"/>
    <w:rsid w:val="0068714F"/>
    <w:rsid w:val="00690A6A"/>
    <w:rsid w:val="00690E6D"/>
    <w:rsid w:val="00691484"/>
    <w:rsid w:val="0069182F"/>
    <w:rsid w:val="0069283B"/>
    <w:rsid w:val="00692892"/>
    <w:rsid w:val="0069318A"/>
    <w:rsid w:val="006942A1"/>
    <w:rsid w:val="00694919"/>
    <w:rsid w:val="00694B79"/>
    <w:rsid w:val="00694E74"/>
    <w:rsid w:val="0069576E"/>
    <w:rsid w:val="00696083"/>
    <w:rsid w:val="006961AA"/>
    <w:rsid w:val="00696326"/>
    <w:rsid w:val="00696806"/>
    <w:rsid w:val="00697327"/>
    <w:rsid w:val="00697407"/>
    <w:rsid w:val="00697C2C"/>
    <w:rsid w:val="00697D0B"/>
    <w:rsid w:val="00697E0E"/>
    <w:rsid w:val="006A0090"/>
    <w:rsid w:val="006A01B0"/>
    <w:rsid w:val="006A0918"/>
    <w:rsid w:val="006A09D4"/>
    <w:rsid w:val="006A0AC2"/>
    <w:rsid w:val="006A0F2A"/>
    <w:rsid w:val="006A118D"/>
    <w:rsid w:val="006A1881"/>
    <w:rsid w:val="006A1EEE"/>
    <w:rsid w:val="006A3338"/>
    <w:rsid w:val="006A372F"/>
    <w:rsid w:val="006A38BB"/>
    <w:rsid w:val="006A3C32"/>
    <w:rsid w:val="006A3D84"/>
    <w:rsid w:val="006A42C8"/>
    <w:rsid w:val="006A4487"/>
    <w:rsid w:val="006A5BD0"/>
    <w:rsid w:val="006A6AE6"/>
    <w:rsid w:val="006A6D2B"/>
    <w:rsid w:val="006A6D8D"/>
    <w:rsid w:val="006A78DB"/>
    <w:rsid w:val="006A7A39"/>
    <w:rsid w:val="006B03C7"/>
    <w:rsid w:val="006B0C94"/>
    <w:rsid w:val="006B123B"/>
    <w:rsid w:val="006B1368"/>
    <w:rsid w:val="006B1764"/>
    <w:rsid w:val="006B2434"/>
    <w:rsid w:val="006B2C8A"/>
    <w:rsid w:val="006B2FCD"/>
    <w:rsid w:val="006B343C"/>
    <w:rsid w:val="006B3680"/>
    <w:rsid w:val="006B3CA6"/>
    <w:rsid w:val="006B3DCB"/>
    <w:rsid w:val="006B40B3"/>
    <w:rsid w:val="006B491F"/>
    <w:rsid w:val="006B4E68"/>
    <w:rsid w:val="006B4E95"/>
    <w:rsid w:val="006B50D9"/>
    <w:rsid w:val="006B55A4"/>
    <w:rsid w:val="006B56B3"/>
    <w:rsid w:val="006B5AD5"/>
    <w:rsid w:val="006B5BB8"/>
    <w:rsid w:val="006B5D01"/>
    <w:rsid w:val="006B6008"/>
    <w:rsid w:val="006B6040"/>
    <w:rsid w:val="006B6318"/>
    <w:rsid w:val="006B6897"/>
    <w:rsid w:val="006B6A6F"/>
    <w:rsid w:val="006B6B78"/>
    <w:rsid w:val="006B716B"/>
    <w:rsid w:val="006B7AEF"/>
    <w:rsid w:val="006B7B82"/>
    <w:rsid w:val="006B7BFE"/>
    <w:rsid w:val="006B7E48"/>
    <w:rsid w:val="006C042C"/>
    <w:rsid w:val="006C0F88"/>
    <w:rsid w:val="006C10FD"/>
    <w:rsid w:val="006C1815"/>
    <w:rsid w:val="006C261C"/>
    <w:rsid w:val="006C2E69"/>
    <w:rsid w:val="006C3183"/>
    <w:rsid w:val="006C3F4E"/>
    <w:rsid w:val="006C4188"/>
    <w:rsid w:val="006C462D"/>
    <w:rsid w:val="006C46D3"/>
    <w:rsid w:val="006C59DE"/>
    <w:rsid w:val="006C5A38"/>
    <w:rsid w:val="006C5B84"/>
    <w:rsid w:val="006C6B80"/>
    <w:rsid w:val="006C6C04"/>
    <w:rsid w:val="006C6DCE"/>
    <w:rsid w:val="006C7100"/>
    <w:rsid w:val="006C71FC"/>
    <w:rsid w:val="006C74E0"/>
    <w:rsid w:val="006C74FF"/>
    <w:rsid w:val="006C79DB"/>
    <w:rsid w:val="006C7C4E"/>
    <w:rsid w:val="006C7E12"/>
    <w:rsid w:val="006D049C"/>
    <w:rsid w:val="006D1873"/>
    <w:rsid w:val="006D1F45"/>
    <w:rsid w:val="006D220E"/>
    <w:rsid w:val="006D2428"/>
    <w:rsid w:val="006D26F3"/>
    <w:rsid w:val="006D2EB3"/>
    <w:rsid w:val="006D33E5"/>
    <w:rsid w:val="006D34B6"/>
    <w:rsid w:val="006D42BB"/>
    <w:rsid w:val="006D4783"/>
    <w:rsid w:val="006D4F3F"/>
    <w:rsid w:val="006D51BC"/>
    <w:rsid w:val="006D54A8"/>
    <w:rsid w:val="006D5A62"/>
    <w:rsid w:val="006D5DA4"/>
    <w:rsid w:val="006D60E8"/>
    <w:rsid w:val="006D64E2"/>
    <w:rsid w:val="006D6AB7"/>
    <w:rsid w:val="006D6BE1"/>
    <w:rsid w:val="006D6D01"/>
    <w:rsid w:val="006D7057"/>
    <w:rsid w:val="006D735B"/>
    <w:rsid w:val="006D749B"/>
    <w:rsid w:val="006D7A81"/>
    <w:rsid w:val="006D7F55"/>
    <w:rsid w:val="006E0F48"/>
    <w:rsid w:val="006E1199"/>
    <w:rsid w:val="006E1227"/>
    <w:rsid w:val="006E12E0"/>
    <w:rsid w:val="006E14B3"/>
    <w:rsid w:val="006E1597"/>
    <w:rsid w:val="006E21A9"/>
    <w:rsid w:val="006E21FD"/>
    <w:rsid w:val="006E2F58"/>
    <w:rsid w:val="006E2F72"/>
    <w:rsid w:val="006E3029"/>
    <w:rsid w:val="006E3464"/>
    <w:rsid w:val="006E3E65"/>
    <w:rsid w:val="006E4815"/>
    <w:rsid w:val="006E498C"/>
    <w:rsid w:val="006E57D5"/>
    <w:rsid w:val="006E5D6E"/>
    <w:rsid w:val="006E60BD"/>
    <w:rsid w:val="006E624E"/>
    <w:rsid w:val="006E644B"/>
    <w:rsid w:val="006E6BC0"/>
    <w:rsid w:val="006E7D9A"/>
    <w:rsid w:val="006F03DD"/>
    <w:rsid w:val="006F0854"/>
    <w:rsid w:val="006F1301"/>
    <w:rsid w:val="006F14F5"/>
    <w:rsid w:val="006F2066"/>
    <w:rsid w:val="006F3294"/>
    <w:rsid w:val="006F3AE8"/>
    <w:rsid w:val="006F3DB4"/>
    <w:rsid w:val="006F55ED"/>
    <w:rsid w:val="006F5DBD"/>
    <w:rsid w:val="006F6217"/>
    <w:rsid w:val="006F6CDD"/>
    <w:rsid w:val="006F7564"/>
    <w:rsid w:val="006F75C1"/>
    <w:rsid w:val="006F7860"/>
    <w:rsid w:val="006F791E"/>
    <w:rsid w:val="006F7DBD"/>
    <w:rsid w:val="00700249"/>
    <w:rsid w:val="0070096C"/>
    <w:rsid w:val="00700A1E"/>
    <w:rsid w:val="00700CD2"/>
    <w:rsid w:val="007015A9"/>
    <w:rsid w:val="00701C69"/>
    <w:rsid w:val="007028C6"/>
    <w:rsid w:val="00702E04"/>
    <w:rsid w:val="00703515"/>
    <w:rsid w:val="00703B43"/>
    <w:rsid w:val="00703ED7"/>
    <w:rsid w:val="007043D6"/>
    <w:rsid w:val="0070440D"/>
    <w:rsid w:val="00704582"/>
    <w:rsid w:val="007048D6"/>
    <w:rsid w:val="007048FC"/>
    <w:rsid w:val="00704BB7"/>
    <w:rsid w:val="00704DBE"/>
    <w:rsid w:val="00705002"/>
    <w:rsid w:val="0070617F"/>
    <w:rsid w:val="00706A4F"/>
    <w:rsid w:val="0070720A"/>
    <w:rsid w:val="00707828"/>
    <w:rsid w:val="00707A76"/>
    <w:rsid w:val="00707AC7"/>
    <w:rsid w:val="00707C6B"/>
    <w:rsid w:val="00707DE8"/>
    <w:rsid w:val="00710090"/>
    <w:rsid w:val="0071013A"/>
    <w:rsid w:val="007102DB"/>
    <w:rsid w:val="007104FE"/>
    <w:rsid w:val="007109BE"/>
    <w:rsid w:val="00710BCB"/>
    <w:rsid w:val="00710D5E"/>
    <w:rsid w:val="00710ED3"/>
    <w:rsid w:val="00710F49"/>
    <w:rsid w:val="00710F69"/>
    <w:rsid w:val="00712B89"/>
    <w:rsid w:val="007134B4"/>
    <w:rsid w:val="007134F4"/>
    <w:rsid w:val="00713576"/>
    <w:rsid w:val="007138F3"/>
    <w:rsid w:val="00713B8A"/>
    <w:rsid w:val="00713D92"/>
    <w:rsid w:val="00714277"/>
    <w:rsid w:val="007142FE"/>
    <w:rsid w:val="00714563"/>
    <w:rsid w:val="007152CE"/>
    <w:rsid w:val="007156B4"/>
    <w:rsid w:val="007158E1"/>
    <w:rsid w:val="00715BDF"/>
    <w:rsid w:val="00715D6E"/>
    <w:rsid w:val="00715E21"/>
    <w:rsid w:val="00717195"/>
    <w:rsid w:val="00717E62"/>
    <w:rsid w:val="0072039E"/>
    <w:rsid w:val="0072047B"/>
    <w:rsid w:val="00720D61"/>
    <w:rsid w:val="00721A25"/>
    <w:rsid w:val="00721B03"/>
    <w:rsid w:val="0072214A"/>
    <w:rsid w:val="007224D2"/>
    <w:rsid w:val="00723852"/>
    <w:rsid w:val="007249E4"/>
    <w:rsid w:val="00724F82"/>
    <w:rsid w:val="007252F5"/>
    <w:rsid w:val="007254B9"/>
    <w:rsid w:val="00725660"/>
    <w:rsid w:val="00726B87"/>
    <w:rsid w:val="00726BAD"/>
    <w:rsid w:val="00726EC8"/>
    <w:rsid w:val="007273AB"/>
    <w:rsid w:val="00727D6E"/>
    <w:rsid w:val="007304E5"/>
    <w:rsid w:val="00731CD8"/>
    <w:rsid w:val="007320EA"/>
    <w:rsid w:val="007324C3"/>
    <w:rsid w:val="007329AD"/>
    <w:rsid w:val="00732C36"/>
    <w:rsid w:val="00732E7E"/>
    <w:rsid w:val="0073338C"/>
    <w:rsid w:val="007336FF"/>
    <w:rsid w:val="00733BBF"/>
    <w:rsid w:val="00733BCD"/>
    <w:rsid w:val="007345E8"/>
    <w:rsid w:val="00734DB3"/>
    <w:rsid w:val="00734F0E"/>
    <w:rsid w:val="00735358"/>
    <w:rsid w:val="0073571B"/>
    <w:rsid w:val="007357DF"/>
    <w:rsid w:val="00735D4C"/>
    <w:rsid w:val="007363C8"/>
    <w:rsid w:val="0073774B"/>
    <w:rsid w:val="007377F6"/>
    <w:rsid w:val="00737F62"/>
    <w:rsid w:val="007400BE"/>
    <w:rsid w:val="00740243"/>
    <w:rsid w:val="007402D4"/>
    <w:rsid w:val="00741369"/>
    <w:rsid w:val="007413FB"/>
    <w:rsid w:val="0074182E"/>
    <w:rsid w:val="00741918"/>
    <w:rsid w:val="00741A91"/>
    <w:rsid w:val="007420D2"/>
    <w:rsid w:val="007421B2"/>
    <w:rsid w:val="00742859"/>
    <w:rsid w:val="00742B16"/>
    <w:rsid w:val="00742C12"/>
    <w:rsid w:val="00742EFE"/>
    <w:rsid w:val="007432A5"/>
    <w:rsid w:val="0074337F"/>
    <w:rsid w:val="007434C4"/>
    <w:rsid w:val="00743E0A"/>
    <w:rsid w:val="00743F47"/>
    <w:rsid w:val="0074423B"/>
    <w:rsid w:val="00744529"/>
    <w:rsid w:val="00745B6C"/>
    <w:rsid w:val="00745BD2"/>
    <w:rsid w:val="00746080"/>
    <w:rsid w:val="00746AA6"/>
    <w:rsid w:val="00746F5A"/>
    <w:rsid w:val="00747B3E"/>
    <w:rsid w:val="00750143"/>
    <w:rsid w:val="00750501"/>
    <w:rsid w:val="00750778"/>
    <w:rsid w:val="00750C69"/>
    <w:rsid w:val="00750CEA"/>
    <w:rsid w:val="00750EF4"/>
    <w:rsid w:val="0075165A"/>
    <w:rsid w:val="00752F3E"/>
    <w:rsid w:val="00753208"/>
    <w:rsid w:val="007532AD"/>
    <w:rsid w:val="007534D2"/>
    <w:rsid w:val="00753B21"/>
    <w:rsid w:val="0075426B"/>
    <w:rsid w:val="00754DF4"/>
    <w:rsid w:val="00755033"/>
    <w:rsid w:val="007553FA"/>
    <w:rsid w:val="00755F04"/>
    <w:rsid w:val="007561B2"/>
    <w:rsid w:val="007569E8"/>
    <w:rsid w:val="00756A42"/>
    <w:rsid w:val="00756D2F"/>
    <w:rsid w:val="007573F9"/>
    <w:rsid w:val="00757B9A"/>
    <w:rsid w:val="0076047A"/>
    <w:rsid w:val="00760663"/>
    <w:rsid w:val="00760999"/>
    <w:rsid w:val="00760F20"/>
    <w:rsid w:val="00760F8C"/>
    <w:rsid w:val="00760FB4"/>
    <w:rsid w:val="00762895"/>
    <w:rsid w:val="00762AC2"/>
    <w:rsid w:val="00762E78"/>
    <w:rsid w:val="00764089"/>
    <w:rsid w:val="007640FC"/>
    <w:rsid w:val="00764690"/>
    <w:rsid w:val="00765F83"/>
    <w:rsid w:val="007665C3"/>
    <w:rsid w:val="00766BA2"/>
    <w:rsid w:val="0076788B"/>
    <w:rsid w:val="00767A00"/>
    <w:rsid w:val="00767AE8"/>
    <w:rsid w:val="00770BE7"/>
    <w:rsid w:val="007714A2"/>
    <w:rsid w:val="00771606"/>
    <w:rsid w:val="00771BF5"/>
    <w:rsid w:val="00771E12"/>
    <w:rsid w:val="0077259F"/>
    <w:rsid w:val="007728FB"/>
    <w:rsid w:val="007738B7"/>
    <w:rsid w:val="007740D5"/>
    <w:rsid w:val="00774302"/>
    <w:rsid w:val="007745B6"/>
    <w:rsid w:val="00774DA7"/>
    <w:rsid w:val="007756D7"/>
    <w:rsid w:val="00776314"/>
    <w:rsid w:val="00776519"/>
    <w:rsid w:val="007767F9"/>
    <w:rsid w:val="00777328"/>
    <w:rsid w:val="00777462"/>
    <w:rsid w:val="0077750A"/>
    <w:rsid w:val="00777A41"/>
    <w:rsid w:val="00777CD1"/>
    <w:rsid w:val="00777F43"/>
    <w:rsid w:val="0078067B"/>
    <w:rsid w:val="00780C6E"/>
    <w:rsid w:val="007815CA"/>
    <w:rsid w:val="00781A7A"/>
    <w:rsid w:val="00781B14"/>
    <w:rsid w:val="00781C6D"/>
    <w:rsid w:val="00781DC4"/>
    <w:rsid w:val="007823AA"/>
    <w:rsid w:val="007824BF"/>
    <w:rsid w:val="0078263F"/>
    <w:rsid w:val="007828D9"/>
    <w:rsid w:val="007837F9"/>
    <w:rsid w:val="0078380F"/>
    <w:rsid w:val="00783CC7"/>
    <w:rsid w:val="00784F43"/>
    <w:rsid w:val="00784FEC"/>
    <w:rsid w:val="00785129"/>
    <w:rsid w:val="007855CC"/>
    <w:rsid w:val="00785610"/>
    <w:rsid w:val="00785668"/>
    <w:rsid w:val="007857FF"/>
    <w:rsid w:val="00786096"/>
    <w:rsid w:val="007867FE"/>
    <w:rsid w:val="00786CA6"/>
    <w:rsid w:val="00791400"/>
    <w:rsid w:val="00791EDF"/>
    <w:rsid w:val="007931F1"/>
    <w:rsid w:val="007934D7"/>
    <w:rsid w:val="00793A92"/>
    <w:rsid w:val="0079445E"/>
    <w:rsid w:val="007947F5"/>
    <w:rsid w:val="00794A85"/>
    <w:rsid w:val="00795013"/>
    <w:rsid w:val="00795412"/>
    <w:rsid w:val="00796047"/>
    <w:rsid w:val="007962E2"/>
    <w:rsid w:val="00796920"/>
    <w:rsid w:val="00796B92"/>
    <w:rsid w:val="00796DD7"/>
    <w:rsid w:val="007A05CC"/>
    <w:rsid w:val="007A0ABC"/>
    <w:rsid w:val="007A12E8"/>
    <w:rsid w:val="007A16DC"/>
    <w:rsid w:val="007A1E63"/>
    <w:rsid w:val="007A2E7B"/>
    <w:rsid w:val="007A31DD"/>
    <w:rsid w:val="007A36BA"/>
    <w:rsid w:val="007A37E3"/>
    <w:rsid w:val="007A3D78"/>
    <w:rsid w:val="007A3D95"/>
    <w:rsid w:val="007A4161"/>
    <w:rsid w:val="007A4590"/>
    <w:rsid w:val="007A4B40"/>
    <w:rsid w:val="007A5253"/>
    <w:rsid w:val="007A58DF"/>
    <w:rsid w:val="007A5EDF"/>
    <w:rsid w:val="007A6469"/>
    <w:rsid w:val="007A65D8"/>
    <w:rsid w:val="007A6642"/>
    <w:rsid w:val="007A678E"/>
    <w:rsid w:val="007A69EC"/>
    <w:rsid w:val="007A6C74"/>
    <w:rsid w:val="007A7077"/>
    <w:rsid w:val="007A77F0"/>
    <w:rsid w:val="007A7F9E"/>
    <w:rsid w:val="007B01A8"/>
    <w:rsid w:val="007B02EA"/>
    <w:rsid w:val="007B0316"/>
    <w:rsid w:val="007B0ADF"/>
    <w:rsid w:val="007B0BBA"/>
    <w:rsid w:val="007B0DC4"/>
    <w:rsid w:val="007B0F20"/>
    <w:rsid w:val="007B108E"/>
    <w:rsid w:val="007B1129"/>
    <w:rsid w:val="007B1ABA"/>
    <w:rsid w:val="007B1C30"/>
    <w:rsid w:val="007B1E52"/>
    <w:rsid w:val="007B215D"/>
    <w:rsid w:val="007B234B"/>
    <w:rsid w:val="007B24F5"/>
    <w:rsid w:val="007B2F98"/>
    <w:rsid w:val="007B3413"/>
    <w:rsid w:val="007B3D27"/>
    <w:rsid w:val="007B4F45"/>
    <w:rsid w:val="007B5182"/>
    <w:rsid w:val="007B59F0"/>
    <w:rsid w:val="007B60DA"/>
    <w:rsid w:val="007B6202"/>
    <w:rsid w:val="007B6D51"/>
    <w:rsid w:val="007B72DC"/>
    <w:rsid w:val="007B7367"/>
    <w:rsid w:val="007B74C5"/>
    <w:rsid w:val="007B7D26"/>
    <w:rsid w:val="007B7DC5"/>
    <w:rsid w:val="007B7ECE"/>
    <w:rsid w:val="007C0551"/>
    <w:rsid w:val="007C055F"/>
    <w:rsid w:val="007C1235"/>
    <w:rsid w:val="007C1396"/>
    <w:rsid w:val="007C19FB"/>
    <w:rsid w:val="007C2031"/>
    <w:rsid w:val="007C30E7"/>
    <w:rsid w:val="007C33CE"/>
    <w:rsid w:val="007C34C3"/>
    <w:rsid w:val="007C3A96"/>
    <w:rsid w:val="007C3C20"/>
    <w:rsid w:val="007C41C3"/>
    <w:rsid w:val="007C43BC"/>
    <w:rsid w:val="007C4B79"/>
    <w:rsid w:val="007C4CDA"/>
    <w:rsid w:val="007C593D"/>
    <w:rsid w:val="007C627C"/>
    <w:rsid w:val="007C6803"/>
    <w:rsid w:val="007C69BE"/>
    <w:rsid w:val="007C6E34"/>
    <w:rsid w:val="007C783B"/>
    <w:rsid w:val="007C7D0D"/>
    <w:rsid w:val="007D054A"/>
    <w:rsid w:val="007D0FB0"/>
    <w:rsid w:val="007D24D0"/>
    <w:rsid w:val="007D2731"/>
    <w:rsid w:val="007D2E90"/>
    <w:rsid w:val="007D34CF"/>
    <w:rsid w:val="007D3703"/>
    <w:rsid w:val="007D3B25"/>
    <w:rsid w:val="007D4103"/>
    <w:rsid w:val="007D415D"/>
    <w:rsid w:val="007D4F61"/>
    <w:rsid w:val="007D528F"/>
    <w:rsid w:val="007D5348"/>
    <w:rsid w:val="007D5620"/>
    <w:rsid w:val="007D5748"/>
    <w:rsid w:val="007D5D79"/>
    <w:rsid w:val="007D6059"/>
    <w:rsid w:val="007D63EB"/>
    <w:rsid w:val="007D66DA"/>
    <w:rsid w:val="007D6EC7"/>
    <w:rsid w:val="007D754A"/>
    <w:rsid w:val="007D75E1"/>
    <w:rsid w:val="007D78A3"/>
    <w:rsid w:val="007D7BC1"/>
    <w:rsid w:val="007E0294"/>
    <w:rsid w:val="007E0D4B"/>
    <w:rsid w:val="007E0E22"/>
    <w:rsid w:val="007E1B72"/>
    <w:rsid w:val="007E1EB1"/>
    <w:rsid w:val="007E1EE3"/>
    <w:rsid w:val="007E238D"/>
    <w:rsid w:val="007E24AA"/>
    <w:rsid w:val="007E2B82"/>
    <w:rsid w:val="007E2CD0"/>
    <w:rsid w:val="007E2F32"/>
    <w:rsid w:val="007E34D7"/>
    <w:rsid w:val="007E3BF2"/>
    <w:rsid w:val="007E3F1E"/>
    <w:rsid w:val="007E411B"/>
    <w:rsid w:val="007E433D"/>
    <w:rsid w:val="007E4F5C"/>
    <w:rsid w:val="007E6852"/>
    <w:rsid w:val="007E696B"/>
    <w:rsid w:val="007E6B3F"/>
    <w:rsid w:val="007E6C28"/>
    <w:rsid w:val="007E6E3F"/>
    <w:rsid w:val="007E71F1"/>
    <w:rsid w:val="007E736E"/>
    <w:rsid w:val="007E7384"/>
    <w:rsid w:val="007E76AE"/>
    <w:rsid w:val="007E7835"/>
    <w:rsid w:val="007E7AED"/>
    <w:rsid w:val="007E7BE6"/>
    <w:rsid w:val="007E7BFB"/>
    <w:rsid w:val="007F1692"/>
    <w:rsid w:val="007F240C"/>
    <w:rsid w:val="007F2486"/>
    <w:rsid w:val="007F2F30"/>
    <w:rsid w:val="007F2F81"/>
    <w:rsid w:val="007F4952"/>
    <w:rsid w:val="007F4E28"/>
    <w:rsid w:val="007F50F6"/>
    <w:rsid w:val="007F5AB3"/>
    <w:rsid w:val="007F5CA3"/>
    <w:rsid w:val="007F60C2"/>
    <w:rsid w:val="007F687F"/>
    <w:rsid w:val="007F760D"/>
    <w:rsid w:val="008006A2"/>
    <w:rsid w:val="00801906"/>
    <w:rsid w:val="00801D7D"/>
    <w:rsid w:val="00801FC9"/>
    <w:rsid w:val="0080316F"/>
    <w:rsid w:val="00803324"/>
    <w:rsid w:val="00804BED"/>
    <w:rsid w:val="00804E9D"/>
    <w:rsid w:val="0080550F"/>
    <w:rsid w:val="00805CF1"/>
    <w:rsid w:val="008066FE"/>
    <w:rsid w:val="00806813"/>
    <w:rsid w:val="00806F3E"/>
    <w:rsid w:val="00807BF7"/>
    <w:rsid w:val="0081142E"/>
    <w:rsid w:val="00811899"/>
    <w:rsid w:val="008118F6"/>
    <w:rsid w:val="00811C96"/>
    <w:rsid w:val="00811DBB"/>
    <w:rsid w:val="00811E4F"/>
    <w:rsid w:val="00811FC1"/>
    <w:rsid w:val="0081269E"/>
    <w:rsid w:val="00813736"/>
    <w:rsid w:val="008141DF"/>
    <w:rsid w:val="00814610"/>
    <w:rsid w:val="00814BE2"/>
    <w:rsid w:val="00815826"/>
    <w:rsid w:val="008167FD"/>
    <w:rsid w:val="00817DEA"/>
    <w:rsid w:val="00820230"/>
    <w:rsid w:val="0082154A"/>
    <w:rsid w:val="0082178D"/>
    <w:rsid w:val="008221AA"/>
    <w:rsid w:val="008222AE"/>
    <w:rsid w:val="00822D47"/>
    <w:rsid w:val="00822F15"/>
    <w:rsid w:val="008244D4"/>
    <w:rsid w:val="00824D97"/>
    <w:rsid w:val="00824EA5"/>
    <w:rsid w:val="00825799"/>
    <w:rsid w:val="00825E06"/>
    <w:rsid w:val="008265F8"/>
    <w:rsid w:val="00826C37"/>
    <w:rsid w:val="008270E6"/>
    <w:rsid w:val="008273F2"/>
    <w:rsid w:val="008278B1"/>
    <w:rsid w:val="00831384"/>
    <w:rsid w:val="00831CDD"/>
    <w:rsid w:val="00831E59"/>
    <w:rsid w:val="00832067"/>
    <w:rsid w:val="00832428"/>
    <w:rsid w:val="008337B2"/>
    <w:rsid w:val="00834A53"/>
    <w:rsid w:val="00835314"/>
    <w:rsid w:val="00835451"/>
    <w:rsid w:val="0083595D"/>
    <w:rsid w:val="00835F89"/>
    <w:rsid w:val="00836177"/>
    <w:rsid w:val="00836257"/>
    <w:rsid w:val="00836DEA"/>
    <w:rsid w:val="00836E88"/>
    <w:rsid w:val="00837877"/>
    <w:rsid w:val="008378F4"/>
    <w:rsid w:val="00837A89"/>
    <w:rsid w:val="00837EE1"/>
    <w:rsid w:val="008400B9"/>
    <w:rsid w:val="00840987"/>
    <w:rsid w:val="00840EF3"/>
    <w:rsid w:val="00841885"/>
    <w:rsid w:val="00841B7E"/>
    <w:rsid w:val="00841BB7"/>
    <w:rsid w:val="00841E9F"/>
    <w:rsid w:val="008420F2"/>
    <w:rsid w:val="0084263A"/>
    <w:rsid w:val="00842664"/>
    <w:rsid w:val="00842931"/>
    <w:rsid w:val="00842BBF"/>
    <w:rsid w:val="00842D04"/>
    <w:rsid w:val="0084329A"/>
    <w:rsid w:val="008436EE"/>
    <w:rsid w:val="008437AD"/>
    <w:rsid w:val="00844767"/>
    <w:rsid w:val="0084489E"/>
    <w:rsid w:val="00844D3A"/>
    <w:rsid w:val="00845672"/>
    <w:rsid w:val="0085023F"/>
    <w:rsid w:val="00850270"/>
    <w:rsid w:val="008507C1"/>
    <w:rsid w:val="00850B4E"/>
    <w:rsid w:val="0085103E"/>
    <w:rsid w:val="008515F6"/>
    <w:rsid w:val="00851670"/>
    <w:rsid w:val="00851991"/>
    <w:rsid w:val="008519DA"/>
    <w:rsid w:val="00851F1B"/>
    <w:rsid w:val="00852D66"/>
    <w:rsid w:val="00853894"/>
    <w:rsid w:val="00854AE2"/>
    <w:rsid w:val="00854AFE"/>
    <w:rsid w:val="0085574E"/>
    <w:rsid w:val="00856441"/>
    <w:rsid w:val="008573ED"/>
    <w:rsid w:val="00857584"/>
    <w:rsid w:val="008579DA"/>
    <w:rsid w:val="00857E93"/>
    <w:rsid w:val="0086061C"/>
    <w:rsid w:val="00860AE8"/>
    <w:rsid w:val="00860BE4"/>
    <w:rsid w:val="00861934"/>
    <w:rsid w:val="00861AA3"/>
    <w:rsid w:val="00861F20"/>
    <w:rsid w:val="00861FB1"/>
    <w:rsid w:val="00862086"/>
    <w:rsid w:val="0086211C"/>
    <w:rsid w:val="008625AF"/>
    <w:rsid w:val="00862E08"/>
    <w:rsid w:val="00862F9F"/>
    <w:rsid w:val="0086393A"/>
    <w:rsid w:val="00863958"/>
    <w:rsid w:val="00863ADA"/>
    <w:rsid w:val="00864B00"/>
    <w:rsid w:val="00864CF2"/>
    <w:rsid w:val="00864F0F"/>
    <w:rsid w:val="00864F3C"/>
    <w:rsid w:val="00864FAA"/>
    <w:rsid w:val="0086508E"/>
    <w:rsid w:val="00865AA8"/>
    <w:rsid w:val="00865EDB"/>
    <w:rsid w:val="0086612F"/>
    <w:rsid w:val="00866558"/>
    <w:rsid w:val="00866910"/>
    <w:rsid w:val="0086745C"/>
    <w:rsid w:val="008700D3"/>
    <w:rsid w:val="0087036F"/>
    <w:rsid w:val="008703F1"/>
    <w:rsid w:val="00870755"/>
    <w:rsid w:val="00871314"/>
    <w:rsid w:val="0087179E"/>
    <w:rsid w:val="00872C1D"/>
    <w:rsid w:val="00872DA2"/>
    <w:rsid w:val="00873599"/>
    <w:rsid w:val="00873CB1"/>
    <w:rsid w:val="00873E1A"/>
    <w:rsid w:val="00874124"/>
    <w:rsid w:val="008748EC"/>
    <w:rsid w:val="00875E74"/>
    <w:rsid w:val="00876283"/>
    <w:rsid w:val="0087629A"/>
    <w:rsid w:val="00876329"/>
    <w:rsid w:val="008763C4"/>
    <w:rsid w:val="00876DCD"/>
    <w:rsid w:val="008802A0"/>
    <w:rsid w:val="008809C9"/>
    <w:rsid w:val="00881943"/>
    <w:rsid w:val="008819F8"/>
    <w:rsid w:val="00881A91"/>
    <w:rsid w:val="00881C5A"/>
    <w:rsid w:val="00882493"/>
    <w:rsid w:val="00882A00"/>
    <w:rsid w:val="0088393A"/>
    <w:rsid w:val="00883972"/>
    <w:rsid w:val="0088448E"/>
    <w:rsid w:val="00884A78"/>
    <w:rsid w:val="00884AF2"/>
    <w:rsid w:val="00884E08"/>
    <w:rsid w:val="0088537A"/>
    <w:rsid w:val="00885630"/>
    <w:rsid w:val="00885674"/>
    <w:rsid w:val="00885AC9"/>
    <w:rsid w:val="00885CB2"/>
    <w:rsid w:val="00886C05"/>
    <w:rsid w:val="00886E85"/>
    <w:rsid w:val="00887212"/>
    <w:rsid w:val="0088779E"/>
    <w:rsid w:val="00887B7C"/>
    <w:rsid w:val="00887DE7"/>
    <w:rsid w:val="008923F2"/>
    <w:rsid w:val="008925A5"/>
    <w:rsid w:val="00892A7E"/>
    <w:rsid w:val="00893B6B"/>
    <w:rsid w:val="00894103"/>
    <w:rsid w:val="00894588"/>
    <w:rsid w:val="0089490D"/>
    <w:rsid w:val="008950C7"/>
    <w:rsid w:val="0089535E"/>
    <w:rsid w:val="00895A45"/>
    <w:rsid w:val="00895D96"/>
    <w:rsid w:val="008962A8"/>
    <w:rsid w:val="00896422"/>
    <w:rsid w:val="008970E3"/>
    <w:rsid w:val="0089729D"/>
    <w:rsid w:val="008978D6"/>
    <w:rsid w:val="008A00FA"/>
    <w:rsid w:val="008A0439"/>
    <w:rsid w:val="008A0675"/>
    <w:rsid w:val="008A1B72"/>
    <w:rsid w:val="008A1B77"/>
    <w:rsid w:val="008A1F19"/>
    <w:rsid w:val="008A1F1E"/>
    <w:rsid w:val="008A2413"/>
    <w:rsid w:val="008A2B4B"/>
    <w:rsid w:val="008A302E"/>
    <w:rsid w:val="008A321D"/>
    <w:rsid w:val="008A35CE"/>
    <w:rsid w:val="008A3964"/>
    <w:rsid w:val="008A3AEB"/>
    <w:rsid w:val="008A4194"/>
    <w:rsid w:val="008A4861"/>
    <w:rsid w:val="008A4991"/>
    <w:rsid w:val="008A4EAF"/>
    <w:rsid w:val="008A4EB6"/>
    <w:rsid w:val="008A538E"/>
    <w:rsid w:val="008A597E"/>
    <w:rsid w:val="008A5C8A"/>
    <w:rsid w:val="008A5D60"/>
    <w:rsid w:val="008A5DB9"/>
    <w:rsid w:val="008A61F1"/>
    <w:rsid w:val="008A6365"/>
    <w:rsid w:val="008A76D7"/>
    <w:rsid w:val="008A7A67"/>
    <w:rsid w:val="008B0153"/>
    <w:rsid w:val="008B0B08"/>
    <w:rsid w:val="008B1253"/>
    <w:rsid w:val="008B1EC4"/>
    <w:rsid w:val="008B26F3"/>
    <w:rsid w:val="008B2746"/>
    <w:rsid w:val="008B2EEF"/>
    <w:rsid w:val="008B3338"/>
    <w:rsid w:val="008B3379"/>
    <w:rsid w:val="008B3668"/>
    <w:rsid w:val="008B3CCF"/>
    <w:rsid w:val="008B4636"/>
    <w:rsid w:val="008B4BDF"/>
    <w:rsid w:val="008B4E99"/>
    <w:rsid w:val="008B5E43"/>
    <w:rsid w:val="008B5EC6"/>
    <w:rsid w:val="008B6974"/>
    <w:rsid w:val="008C02B7"/>
    <w:rsid w:val="008C0447"/>
    <w:rsid w:val="008C0680"/>
    <w:rsid w:val="008C1FCB"/>
    <w:rsid w:val="008C2149"/>
    <w:rsid w:val="008C2362"/>
    <w:rsid w:val="008C23E5"/>
    <w:rsid w:val="008C29B3"/>
    <w:rsid w:val="008C2CA5"/>
    <w:rsid w:val="008C30ED"/>
    <w:rsid w:val="008C3184"/>
    <w:rsid w:val="008C343F"/>
    <w:rsid w:val="008C3C36"/>
    <w:rsid w:val="008C4A10"/>
    <w:rsid w:val="008C5035"/>
    <w:rsid w:val="008C5649"/>
    <w:rsid w:val="008C5C32"/>
    <w:rsid w:val="008C5EFA"/>
    <w:rsid w:val="008C639C"/>
    <w:rsid w:val="008C6C8A"/>
    <w:rsid w:val="008C6CC1"/>
    <w:rsid w:val="008C703C"/>
    <w:rsid w:val="008C7416"/>
    <w:rsid w:val="008C76AD"/>
    <w:rsid w:val="008D01DB"/>
    <w:rsid w:val="008D05D6"/>
    <w:rsid w:val="008D0AA7"/>
    <w:rsid w:val="008D0FC2"/>
    <w:rsid w:val="008D2072"/>
    <w:rsid w:val="008D2B23"/>
    <w:rsid w:val="008D3AAD"/>
    <w:rsid w:val="008D3F04"/>
    <w:rsid w:val="008D4353"/>
    <w:rsid w:val="008D449F"/>
    <w:rsid w:val="008D49FD"/>
    <w:rsid w:val="008D4AB0"/>
    <w:rsid w:val="008D4B57"/>
    <w:rsid w:val="008D4C93"/>
    <w:rsid w:val="008D4ECE"/>
    <w:rsid w:val="008D4FF0"/>
    <w:rsid w:val="008D519B"/>
    <w:rsid w:val="008D635F"/>
    <w:rsid w:val="008D66B3"/>
    <w:rsid w:val="008D6F0E"/>
    <w:rsid w:val="008D7012"/>
    <w:rsid w:val="008D7760"/>
    <w:rsid w:val="008D787B"/>
    <w:rsid w:val="008D7B13"/>
    <w:rsid w:val="008D7B24"/>
    <w:rsid w:val="008D7B6D"/>
    <w:rsid w:val="008E002B"/>
    <w:rsid w:val="008E0AF0"/>
    <w:rsid w:val="008E0F3A"/>
    <w:rsid w:val="008E18CC"/>
    <w:rsid w:val="008E2854"/>
    <w:rsid w:val="008E28DF"/>
    <w:rsid w:val="008E291B"/>
    <w:rsid w:val="008E2C5C"/>
    <w:rsid w:val="008E3074"/>
    <w:rsid w:val="008E326D"/>
    <w:rsid w:val="008E387A"/>
    <w:rsid w:val="008E3E73"/>
    <w:rsid w:val="008E4AB6"/>
    <w:rsid w:val="008E564C"/>
    <w:rsid w:val="008E5D5D"/>
    <w:rsid w:val="008E620A"/>
    <w:rsid w:val="008E7318"/>
    <w:rsid w:val="008E7460"/>
    <w:rsid w:val="008E7737"/>
    <w:rsid w:val="008E7E0B"/>
    <w:rsid w:val="008F0032"/>
    <w:rsid w:val="008F0AC9"/>
    <w:rsid w:val="008F0C59"/>
    <w:rsid w:val="008F17FA"/>
    <w:rsid w:val="008F1F34"/>
    <w:rsid w:val="008F26A9"/>
    <w:rsid w:val="008F2930"/>
    <w:rsid w:val="008F3CEE"/>
    <w:rsid w:val="008F3DC1"/>
    <w:rsid w:val="008F58D9"/>
    <w:rsid w:val="008F59F3"/>
    <w:rsid w:val="008F5B7F"/>
    <w:rsid w:val="008F6776"/>
    <w:rsid w:val="008F7912"/>
    <w:rsid w:val="008F7C0E"/>
    <w:rsid w:val="008F7CDF"/>
    <w:rsid w:val="008F7DF2"/>
    <w:rsid w:val="008F7E94"/>
    <w:rsid w:val="00900B08"/>
    <w:rsid w:val="00901B23"/>
    <w:rsid w:val="00901BF9"/>
    <w:rsid w:val="009023B9"/>
    <w:rsid w:val="00902559"/>
    <w:rsid w:val="00902831"/>
    <w:rsid w:val="00902AE2"/>
    <w:rsid w:val="009031F7"/>
    <w:rsid w:val="00903304"/>
    <w:rsid w:val="00903EA6"/>
    <w:rsid w:val="0090428D"/>
    <w:rsid w:val="0090432C"/>
    <w:rsid w:val="00904696"/>
    <w:rsid w:val="009046E4"/>
    <w:rsid w:val="009047FB"/>
    <w:rsid w:val="00904CA8"/>
    <w:rsid w:val="00904EA6"/>
    <w:rsid w:val="00904FD4"/>
    <w:rsid w:val="009050CA"/>
    <w:rsid w:val="0090550E"/>
    <w:rsid w:val="009056CC"/>
    <w:rsid w:val="00905753"/>
    <w:rsid w:val="0090578E"/>
    <w:rsid w:val="00905CD4"/>
    <w:rsid w:val="009063AA"/>
    <w:rsid w:val="00906797"/>
    <w:rsid w:val="00906E40"/>
    <w:rsid w:val="00906E5E"/>
    <w:rsid w:val="00907914"/>
    <w:rsid w:val="00907AA4"/>
    <w:rsid w:val="00907C61"/>
    <w:rsid w:val="00907E62"/>
    <w:rsid w:val="00910478"/>
    <w:rsid w:val="009112C5"/>
    <w:rsid w:val="00911BFA"/>
    <w:rsid w:val="00911DA4"/>
    <w:rsid w:val="00911DAB"/>
    <w:rsid w:val="0091228B"/>
    <w:rsid w:val="009126D6"/>
    <w:rsid w:val="0091379F"/>
    <w:rsid w:val="00913DA1"/>
    <w:rsid w:val="00913F63"/>
    <w:rsid w:val="009147AB"/>
    <w:rsid w:val="00914CA7"/>
    <w:rsid w:val="00914FFD"/>
    <w:rsid w:val="009150CF"/>
    <w:rsid w:val="009166F7"/>
    <w:rsid w:val="00916A5F"/>
    <w:rsid w:val="00916CD8"/>
    <w:rsid w:val="00916F2E"/>
    <w:rsid w:val="009177F1"/>
    <w:rsid w:val="00917AE1"/>
    <w:rsid w:val="00920095"/>
    <w:rsid w:val="009206D9"/>
    <w:rsid w:val="00920B0A"/>
    <w:rsid w:val="00921264"/>
    <w:rsid w:val="0092135B"/>
    <w:rsid w:val="00921CE8"/>
    <w:rsid w:val="00922172"/>
    <w:rsid w:val="009236C3"/>
    <w:rsid w:val="00923B3C"/>
    <w:rsid w:val="00923C83"/>
    <w:rsid w:val="00924022"/>
    <w:rsid w:val="00924298"/>
    <w:rsid w:val="009259B3"/>
    <w:rsid w:val="00926956"/>
    <w:rsid w:val="00927AC6"/>
    <w:rsid w:val="00930652"/>
    <w:rsid w:val="009307B0"/>
    <w:rsid w:val="00930A24"/>
    <w:rsid w:val="00930CDA"/>
    <w:rsid w:val="00930F6F"/>
    <w:rsid w:val="009312F8"/>
    <w:rsid w:val="0093151E"/>
    <w:rsid w:val="00931F2E"/>
    <w:rsid w:val="00932885"/>
    <w:rsid w:val="00932AA4"/>
    <w:rsid w:val="00932C2B"/>
    <w:rsid w:val="00932E31"/>
    <w:rsid w:val="009335D1"/>
    <w:rsid w:val="00933802"/>
    <w:rsid w:val="00933C17"/>
    <w:rsid w:val="009340B3"/>
    <w:rsid w:val="009342E5"/>
    <w:rsid w:val="0093473D"/>
    <w:rsid w:val="00935258"/>
    <w:rsid w:val="00935671"/>
    <w:rsid w:val="00935E7F"/>
    <w:rsid w:val="0093690C"/>
    <w:rsid w:val="0093726E"/>
    <w:rsid w:val="009372E8"/>
    <w:rsid w:val="009373E4"/>
    <w:rsid w:val="0093764A"/>
    <w:rsid w:val="009378CA"/>
    <w:rsid w:val="00940553"/>
    <w:rsid w:val="00940591"/>
    <w:rsid w:val="009407DA"/>
    <w:rsid w:val="00941CA9"/>
    <w:rsid w:val="00941EDB"/>
    <w:rsid w:val="00941F4A"/>
    <w:rsid w:val="0094213F"/>
    <w:rsid w:val="00942835"/>
    <w:rsid w:val="00942A28"/>
    <w:rsid w:val="00942B29"/>
    <w:rsid w:val="00942C5C"/>
    <w:rsid w:val="00943445"/>
    <w:rsid w:val="00943B20"/>
    <w:rsid w:val="00944383"/>
    <w:rsid w:val="0094462B"/>
    <w:rsid w:val="00944E87"/>
    <w:rsid w:val="00944F52"/>
    <w:rsid w:val="00944F55"/>
    <w:rsid w:val="00945715"/>
    <w:rsid w:val="00946443"/>
    <w:rsid w:val="00946693"/>
    <w:rsid w:val="00947D79"/>
    <w:rsid w:val="0095077E"/>
    <w:rsid w:val="00950842"/>
    <w:rsid w:val="0095160D"/>
    <w:rsid w:val="009519E7"/>
    <w:rsid w:val="00951FDB"/>
    <w:rsid w:val="00952148"/>
    <w:rsid w:val="00952759"/>
    <w:rsid w:val="009527E0"/>
    <w:rsid w:val="00952BCA"/>
    <w:rsid w:val="00952DD2"/>
    <w:rsid w:val="00953200"/>
    <w:rsid w:val="009532D7"/>
    <w:rsid w:val="00953BCB"/>
    <w:rsid w:val="00953CE3"/>
    <w:rsid w:val="00953DF5"/>
    <w:rsid w:val="009543C0"/>
    <w:rsid w:val="0095454A"/>
    <w:rsid w:val="00954A2B"/>
    <w:rsid w:val="00954BE7"/>
    <w:rsid w:val="0095505E"/>
    <w:rsid w:val="00955640"/>
    <w:rsid w:val="00955B42"/>
    <w:rsid w:val="00955D99"/>
    <w:rsid w:val="00955EDF"/>
    <w:rsid w:val="00955F84"/>
    <w:rsid w:val="009560A4"/>
    <w:rsid w:val="0095636C"/>
    <w:rsid w:val="0095658B"/>
    <w:rsid w:val="00956960"/>
    <w:rsid w:val="00956B10"/>
    <w:rsid w:val="00956CA0"/>
    <w:rsid w:val="00956F42"/>
    <w:rsid w:val="009603DB"/>
    <w:rsid w:val="009608CA"/>
    <w:rsid w:val="00960A9D"/>
    <w:rsid w:val="009619DD"/>
    <w:rsid w:val="009646FC"/>
    <w:rsid w:val="00964789"/>
    <w:rsid w:val="0096486A"/>
    <w:rsid w:val="00964A40"/>
    <w:rsid w:val="0096508D"/>
    <w:rsid w:val="00965115"/>
    <w:rsid w:val="009655E9"/>
    <w:rsid w:val="00966708"/>
    <w:rsid w:val="009674BC"/>
    <w:rsid w:val="00967596"/>
    <w:rsid w:val="00967CE2"/>
    <w:rsid w:val="00970237"/>
    <w:rsid w:val="009706F9"/>
    <w:rsid w:val="009711D5"/>
    <w:rsid w:val="00971D6F"/>
    <w:rsid w:val="00971DDD"/>
    <w:rsid w:val="00971F1B"/>
    <w:rsid w:val="0097250F"/>
    <w:rsid w:val="00972F57"/>
    <w:rsid w:val="009732D1"/>
    <w:rsid w:val="0097335F"/>
    <w:rsid w:val="00973C4E"/>
    <w:rsid w:val="00974350"/>
    <w:rsid w:val="009744F8"/>
    <w:rsid w:val="0097452E"/>
    <w:rsid w:val="009751A4"/>
    <w:rsid w:val="0097526F"/>
    <w:rsid w:val="009752A8"/>
    <w:rsid w:val="009759E0"/>
    <w:rsid w:val="00975E54"/>
    <w:rsid w:val="00976F32"/>
    <w:rsid w:val="00977228"/>
    <w:rsid w:val="00977393"/>
    <w:rsid w:val="0097776F"/>
    <w:rsid w:val="00977B7B"/>
    <w:rsid w:val="00977EE0"/>
    <w:rsid w:val="009801F4"/>
    <w:rsid w:val="00980E4E"/>
    <w:rsid w:val="0098105C"/>
    <w:rsid w:val="009811F4"/>
    <w:rsid w:val="009814E4"/>
    <w:rsid w:val="00981980"/>
    <w:rsid w:val="009829D2"/>
    <w:rsid w:val="00982A57"/>
    <w:rsid w:val="00982D1A"/>
    <w:rsid w:val="00983138"/>
    <w:rsid w:val="00983459"/>
    <w:rsid w:val="00983DD4"/>
    <w:rsid w:val="00983FC0"/>
    <w:rsid w:val="00984920"/>
    <w:rsid w:val="0098567F"/>
    <w:rsid w:val="0098623B"/>
    <w:rsid w:val="00986E21"/>
    <w:rsid w:val="0098754B"/>
    <w:rsid w:val="009875C6"/>
    <w:rsid w:val="00987819"/>
    <w:rsid w:val="009878EB"/>
    <w:rsid w:val="00990167"/>
    <w:rsid w:val="00990387"/>
    <w:rsid w:val="009903C9"/>
    <w:rsid w:val="009905A5"/>
    <w:rsid w:val="0099148B"/>
    <w:rsid w:val="00991A86"/>
    <w:rsid w:val="00991AFC"/>
    <w:rsid w:val="00991D59"/>
    <w:rsid w:val="00992710"/>
    <w:rsid w:val="0099282A"/>
    <w:rsid w:val="00992D61"/>
    <w:rsid w:val="00993554"/>
    <w:rsid w:val="00993BEF"/>
    <w:rsid w:val="00993C1D"/>
    <w:rsid w:val="009940F4"/>
    <w:rsid w:val="009942CA"/>
    <w:rsid w:val="00994381"/>
    <w:rsid w:val="009946EA"/>
    <w:rsid w:val="00994A76"/>
    <w:rsid w:val="00994D1D"/>
    <w:rsid w:val="00995101"/>
    <w:rsid w:val="00995280"/>
    <w:rsid w:val="00995EEF"/>
    <w:rsid w:val="00996BD2"/>
    <w:rsid w:val="009973E4"/>
    <w:rsid w:val="009974D5"/>
    <w:rsid w:val="00997978"/>
    <w:rsid w:val="009A0339"/>
    <w:rsid w:val="009A0647"/>
    <w:rsid w:val="009A0C98"/>
    <w:rsid w:val="009A10F0"/>
    <w:rsid w:val="009A18D5"/>
    <w:rsid w:val="009A1BED"/>
    <w:rsid w:val="009A1CB6"/>
    <w:rsid w:val="009A1F0B"/>
    <w:rsid w:val="009A20F0"/>
    <w:rsid w:val="009A3245"/>
    <w:rsid w:val="009A3571"/>
    <w:rsid w:val="009A3728"/>
    <w:rsid w:val="009A391A"/>
    <w:rsid w:val="009A3D94"/>
    <w:rsid w:val="009A4087"/>
    <w:rsid w:val="009A4457"/>
    <w:rsid w:val="009A5DCE"/>
    <w:rsid w:val="009A61FF"/>
    <w:rsid w:val="009A7583"/>
    <w:rsid w:val="009A787D"/>
    <w:rsid w:val="009A7A32"/>
    <w:rsid w:val="009B034E"/>
    <w:rsid w:val="009B047A"/>
    <w:rsid w:val="009B0984"/>
    <w:rsid w:val="009B0FFF"/>
    <w:rsid w:val="009B1A1A"/>
    <w:rsid w:val="009B1ECA"/>
    <w:rsid w:val="009B1F95"/>
    <w:rsid w:val="009B2B93"/>
    <w:rsid w:val="009B2E88"/>
    <w:rsid w:val="009B3B5D"/>
    <w:rsid w:val="009B4103"/>
    <w:rsid w:val="009B4E46"/>
    <w:rsid w:val="009B5077"/>
    <w:rsid w:val="009B51D9"/>
    <w:rsid w:val="009B53A4"/>
    <w:rsid w:val="009B5544"/>
    <w:rsid w:val="009B5629"/>
    <w:rsid w:val="009B57F7"/>
    <w:rsid w:val="009B6477"/>
    <w:rsid w:val="009B662F"/>
    <w:rsid w:val="009B666A"/>
    <w:rsid w:val="009B6691"/>
    <w:rsid w:val="009B6D77"/>
    <w:rsid w:val="009B6F63"/>
    <w:rsid w:val="009B7020"/>
    <w:rsid w:val="009B709A"/>
    <w:rsid w:val="009B7131"/>
    <w:rsid w:val="009B7EAA"/>
    <w:rsid w:val="009B7FE7"/>
    <w:rsid w:val="009C0202"/>
    <w:rsid w:val="009C1416"/>
    <w:rsid w:val="009C174F"/>
    <w:rsid w:val="009C1F8C"/>
    <w:rsid w:val="009C2919"/>
    <w:rsid w:val="009C29CE"/>
    <w:rsid w:val="009C2CFD"/>
    <w:rsid w:val="009C3407"/>
    <w:rsid w:val="009C3655"/>
    <w:rsid w:val="009C3A46"/>
    <w:rsid w:val="009C3CDF"/>
    <w:rsid w:val="009C3CE2"/>
    <w:rsid w:val="009C45C1"/>
    <w:rsid w:val="009C4650"/>
    <w:rsid w:val="009C4A3D"/>
    <w:rsid w:val="009C504F"/>
    <w:rsid w:val="009C58D6"/>
    <w:rsid w:val="009C5A58"/>
    <w:rsid w:val="009C5C2A"/>
    <w:rsid w:val="009C6B84"/>
    <w:rsid w:val="009C6C7F"/>
    <w:rsid w:val="009C782A"/>
    <w:rsid w:val="009C79F4"/>
    <w:rsid w:val="009D04D6"/>
    <w:rsid w:val="009D07B1"/>
    <w:rsid w:val="009D1153"/>
    <w:rsid w:val="009D1191"/>
    <w:rsid w:val="009D159C"/>
    <w:rsid w:val="009D198C"/>
    <w:rsid w:val="009D1F8D"/>
    <w:rsid w:val="009D2DDC"/>
    <w:rsid w:val="009D47D8"/>
    <w:rsid w:val="009D60E5"/>
    <w:rsid w:val="009D628F"/>
    <w:rsid w:val="009D6A6A"/>
    <w:rsid w:val="009D6B13"/>
    <w:rsid w:val="009D6BF3"/>
    <w:rsid w:val="009D71AE"/>
    <w:rsid w:val="009D73A3"/>
    <w:rsid w:val="009D75E7"/>
    <w:rsid w:val="009E02C3"/>
    <w:rsid w:val="009E0C97"/>
    <w:rsid w:val="009E1142"/>
    <w:rsid w:val="009E13E0"/>
    <w:rsid w:val="009E191E"/>
    <w:rsid w:val="009E2E11"/>
    <w:rsid w:val="009E3819"/>
    <w:rsid w:val="009E3933"/>
    <w:rsid w:val="009E3BB9"/>
    <w:rsid w:val="009E3CEA"/>
    <w:rsid w:val="009E461C"/>
    <w:rsid w:val="009E477D"/>
    <w:rsid w:val="009E4F2C"/>
    <w:rsid w:val="009E502A"/>
    <w:rsid w:val="009E5536"/>
    <w:rsid w:val="009E6687"/>
    <w:rsid w:val="009E6A2B"/>
    <w:rsid w:val="009E7D82"/>
    <w:rsid w:val="009F09D0"/>
    <w:rsid w:val="009F109E"/>
    <w:rsid w:val="009F11FC"/>
    <w:rsid w:val="009F1345"/>
    <w:rsid w:val="009F2F0B"/>
    <w:rsid w:val="009F340B"/>
    <w:rsid w:val="009F36CD"/>
    <w:rsid w:val="009F41C7"/>
    <w:rsid w:val="009F4277"/>
    <w:rsid w:val="009F4408"/>
    <w:rsid w:val="009F4A97"/>
    <w:rsid w:val="009F5A4B"/>
    <w:rsid w:val="009F5C76"/>
    <w:rsid w:val="009F5DA9"/>
    <w:rsid w:val="009F637F"/>
    <w:rsid w:val="009F657E"/>
    <w:rsid w:val="009F7727"/>
    <w:rsid w:val="00A005B9"/>
    <w:rsid w:val="00A00FA8"/>
    <w:rsid w:val="00A010D5"/>
    <w:rsid w:val="00A01A5A"/>
    <w:rsid w:val="00A01D33"/>
    <w:rsid w:val="00A020C8"/>
    <w:rsid w:val="00A023E3"/>
    <w:rsid w:val="00A02452"/>
    <w:rsid w:val="00A03009"/>
    <w:rsid w:val="00A03158"/>
    <w:rsid w:val="00A0327F"/>
    <w:rsid w:val="00A033E6"/>
    <w:rsid w:val="00A03E76"/>
    <w:rsid w:val="00A044F1"/>
    <w:rsid w:val="00A05311"/>
    <w:rsid w:val="00A05869"/>
    <w:rsid w:val="00A05E19"/>
    <w:rsid w:val="00A060B8"/>
    <w:rsid w:val="00A06394"/>
    <w:rsid w:val="00A063FB"/>
    <w:rsid w:val="00A06FF1"/>
    <w:rsid w:val="00A07289"/>
    <w:rsid w:val="00A07A29"/>
    <w:rsid w:val="00A07FBB"/>
    <w:rsid w:val="00A1028F"/>
    <w:rsid w:val="00A1197E"/>
    <w:rsid w:val="00A1207E"/>
    <w:rsid w:val="00A1232A"/>
    <w:rsid w:val="00A1235C"/>
    <w:rsid w:val="00A1252C"/>
    <w:rsid w:val="00A12A49"/>
    <w:rsid w:val="00A13289"/>
    <w:rsid w:val="00A13341"/>
    <w:rsid w:val="00A137E7"/>
    <w:rsid w:val="00A13D4B"/>
    <w:rsid w:val="00A142CF"/>
    <w:rsid w:val="00A1434A"/>
    <w:rsid w:val="00A14BFB"/>
    <w:rsid w:val="00A15391"/>
    <w:rsid w:val="00A1565F"/>
    <w:rsid w:val="00A15741"/>
    <w:rsid w:val="00A15C44"/>
    <w:rsid w:val="00A15CA7"/>
    <w:rsid w:val="00A1637F"/>
    <w:rsid w:val="00A1728F"/>
    <w:rsid w:val="00A175DB"/>
    <w:rsid w:val="00A17E53"/>
    <w:rsid w:val="00A20407"/>
    <w:rsid w:val="00A2041A"/>
    <w:rsid w:val="00A2043B"/>
    <w:rsid w:val="00A20467"/>
    <w:rsid w:val="00A206D8"/>
    <w:rsid w:val="00A206EA"/>
    <w:rsid w:val="00A20DF5"/>
    <w:rsid w:val="00A20EAE"/>
    <w:rsid w:val="00A21427"/>
    <w:rsid w:val="00A21697"/>
    <w:rsid w:val="00A216AE"/>
    <w:rsid w:val="00A22849"/>
    <w:rsid w:val="00A22884"/>
    <w:rsid w:val="00A22B04"/>
    <w:rsid w:val="00A22B4B"/>
    <w:rsid w:val="00A23D36"/>
    <w:rsid w:val="00A2444E"/>
    <w:rsid w:val="00A2458D"/>
    <w:rsid w:val="00A248FF"/>
    <w:rsid w:val="00A24E6E"/>
    <w:rsid w:val="00A24EA2"/>
    <w:rsid w:val="00A24FFC"/>
    <w:rsid w:val="00A2648A"/>
    <w:rsid w:val="00A26731"/>
    <w:rsid w:val="00A272DB"/>
    <w:rsid w:val="00A278F4"/>
    <w:rsid w:val="00A30393"/>
    <w:rsid w:val="00A31714"/>
    <w:rsid w:val="00A31C1B"/>
    <w:rsid w:val="00A31FDB"/>
    <w:rsid w:val="00A325EC"/>
    <w:rsid w:val="00A32D35"/>
    <w:rsid w:val="00A337F9"/>
    <w:rsid w:val="00A34A66"/>
    <w:rsid w:val="00A34AE9"/>
    <w:rsid w:val="00A34D89"/>
    <w:rsid w:val="00A3563D"/>
    <w:rsid w:val="00A36A40"/>
    <w:rsid w:val="00A36AB0"/>
    <w:rsid w:val="00A36E53"/>
    <w:rsid w:val="00A3761D"/>
    <w:rsid w:val="00A377F0"/>
    <w:rsid w:val="00A40973"/>
    <w:rsid w:val="00A40FF3"/>
    <w:rsid w:val="00A414C3"/>
    <w:rsid w:val="00A41EAB"/>
    <w:rsid w:val="00A42677"/>
    <w:rsid w:val="00A42B6B"/>
    <w:rsid w:val="00A43177"/>
    <w:rsid w:val="00A4330C"/>
    <w:rsid w:val="00A43694"/>
    <w:rsid w:val="00A4403B"/>
    <w:rsid w:val="00A44919"/>
    <w:rsid w:val="00A45480"/>
    <w:rsid w:val="00A45822"/>
    <w:rsid w:val="00A46474"/>
    <w:rsid w:val="00A4727F"/>
    <w:rsid w:val="00A47407"/>
    <w:rsid w:val="00A478D1"/>
    <w:rsid w:val="00A50397"/>
    <w:rsid w:val="00A5058A"/>
    <w:rsid w:val="00A506D5"/>
    <w:rsid w:val="00A50FBB"/>
    <w:rsid w:val="00A51100"/>
    <w:rsid w:val="00A51EEF"/>
    <w:rsid w:val="00A5239F"/>
    <w:rsid w:val="00A52720"/>
    <w:rsid w:val="00A52D03"/>
    <w:rsid w:val="00A53075"/>
    <w:rsid w:val="00A532D9"/>
    <w:rsid w:val="00A53AB5"/>
    <w:rsid w:val="00A53B16"/>
    <w:rsid w:val="00A53B74"/>
    <w:rsid w:val="00A53CCF"/>
    <w:rsid w:val="00A53E94"/>
    <w:rsid w:val="00A546F9"/>
    <w:rsid w:val="00A54B10"/>
    <w:rsid w:val="00A54CE9"/>
    <w:rsid w:val="00A54CF0"/>
    <w:rsid w:val="00A54D9A"/>
    <w:rsid w:val="00A551DA"/>
    <w:rsid w:val="00A555DE"/>
    <w:rsid w:val="00A556D5"/>
    <w:rsid w:val="00A55A98"/>
    <w:rsid w:val="00A56033"/>
    <w:rsid w:val="00A56084"/>
    <w:rsid w:val="00A562ED"/>
    <w:rsid w:val="00A569B0"/>
    <w:rsid w:val="00A56CD6"/>
    <w:rsid w:val="00A56DD4"/>
    <w:rsid w:val="00A56FC7"/>
    <w:rsid w:val="00A57068"/>
    <w:rsid w:val="00A575F1"/>
    <w:rsid w:val="00A606ED"/>
    <w:rsid w:val="00A60E1F"/>
    <w:rsid w:val="00A610EE"/>
    <w:rsid w:val="00A61A8E"/>
    <w:rsid w:val="00A61B70"/>
    <w:rsid w:val="00A61B90"/>
    <w:rsid w:val="00A61CF9"/>
    <w:rsid w:val="00A61DC5"/>
    <w:rsid w:val="00A6233A"/>
    <w:rsid w:val="00A6242E"/>
    <w:rsid w:val="00A626AE"/>
    <w:rsid w:val="00A62CA6"/>
    <w:rsid w:val="00A63143"/>
    <w:rsid w:val="00A63488"/>
    <w:rsid w:val="00A63510"/>
    <w:rsid w:val="00A63CFF"/>
    <w:rsid w:val="00A63EE6"/>
    <w:rsid w:val="00A641F9"/>
    <w:rsid w:val="00A6422C"/>
    <w:rsid w:val="00A64647"/>
    <w:rsid w:val="00A64942"/>
    <w:rsid w:val="00A64E36"/>
    <w:rsid w:val="00A650FB"/>
    <w:rsid w:val="00A651F2"/>
    <w:rsid w:val="00A66046"/>
    <w:rsid w:val="00A6667A"/>
    <w:rsid w:val="00A668B4"/>
    <w:rsid w:val="00A66D08"/>
    <w:rsid w:val="00A67A03"/>
    <w:rsid w:val="00A67CA4"/>
    <w:rsid w:val="00A7224C"/>
    <w:rsid w:val="00A72515"/>
    <w:rsid w:val="00A72575"/>
    <w:rsid w:val="00A72A85"/>
    <w:rsid w:val="00A72BA2"/>
    <w:rsid w:val="00A72C82"/>
    <w:rsid w:val="00A72D29"/>
    <w:rsid w:val="00A72D6A"/>
    <w:rsid w:val="00A72FBF"/>
    <w:rsid w:val="00A73A91"/>
    <w:rsid w:val="00A73CCE"/>
    <w:rsid w:val="00A74071"/>
    <w:rsid w:val="00A74147"/>
    <w:rsid w:val="00A744BB"/>
    <w:rsid w:val="00A75125"/>
    <w:rsid w:val="00A751CA"/>
    <w:rsid w:val="00A75220"/>
    <w:rsid w:val="00A75EEA"/>
    <w:rsid w:val="00A760B9"/>
    <w:rsid w:val="00A7632E"/>
    <w:rsid w:val="00A76EF5"/>
    <w:rsid w:val="00A775A8"/>
    <w:rsid w:val="00A77683"/>
    <w:rsid w:val="00A77782"/>
    <w:rsid w:val="00A77C88"/>
    <w:rsid w:val="00A80290"/>
    <w:rsid w:val="00A8084E"/>
    <w:rsid w:val="00A80948"/>
    <w:rsid w:val="00A80B16"/>
    <w:rsid w:val="00A818BF"/>
    <w:rsid w:val="00A81F81"/>
    <w:rsid w:val="00A82B79"/>
    <w:rsid w:val="00A82DAE"/>
    <w:rsid w:val="00A82FCB"/>
    <w:rsid w:val="00A830C4"/>
    <w:rsid w:val="00A831C0"/>
    <w:rsid w:val="00A835D1"/>
    <w:rsid w:val="00A84A3C"/>
    <w:rsid w:val="00A84DBE"/>
    <w:rsid w:val="00A8504A"/>
    <w:rsid w:val="00A85051"/>
    <w:rsid w:val="00A85422"/>
    <w:rsid w:val="00A859C3"/>
    <w:rsid w:val="00A85E79"/>
    <w:rsid w:val="00A87059"/>
    <w:rsid w:val="00A8707B"/>
    <w:rsid w:val="00A87192"/>
    <w:rsid w:val="00A9000A"/>
    <w:rsid w:val="00A90AB2"/>
    <w:rsid w:val="00A9117A"/>
    <w:rsid w:val="00A91CA1"/>
    <w:rsid w:val="00A91EBE"/>
    <w:rsid w:val="00A92E84"/>
    <w:rsid w:val="00A92F41"/>
    <w:rsid w:val="00A932B4"/>
    <w:rsid w:val="00A93868"/>
    <w:rsid w:val="00A938BD"/>
    <w:rsid w:val="00A93B51"/>
    <w:rsid w:val="00A93E40"/>
    <w:rsid w:val="00A94125"/>
    <w:rsid w:val="00A94633"/>
    <w:rsid w:val="00A94942"/>
    <w:rsid w:val="00A94E60"/>
    <w:rsid w:val="00A951A0"/>
    <w:rsid w:val="00A95218"/>
    <w:rsid w:val="00A965F4"/>
    <w:rsid w:val="00A969DA"/>
    <w:rsid w:val="00A96B2E"/>
    <w:rsid w:val="00A96C8C"/>
    <w:rsid w:val="00A97C5F"/>
    <w:rsid w:val="00A97C65"/>
    <w:rsid w:val="00AA013F"/>
    <w:rsid w:val="00AA09CE"/>
    <w:rsid w:val="00AA0B2E"/>
    <w:rsid w:val="00AA124A"/>
    <w:rsid w:val="00AA14EF"/>
    <w:rsid w:val="00AA1A68"/>
    <w:rsid w:val="00AA2132"/>
    <w:rsid w:val="00AA2144"/>
    <w:rsid w:val="00AA24DD"/>
    <w:rsid w:val="00AA2648"/>
    <w:rsid w:val="00AA28F7"/>
    <w:rsid w:val="00AA2A67"/>
    <w:rsid w:val="00AA2A96"/>
    <w:rsid w:val="00AA2D95"/>
    <w:rsid w:val="00AA35C3"/>
    <w:rsid w:val="00AA37D7"/>
    <w:rsid w:val="00AA3C94"/>
    <w:rsid w:val="00AA43AE"/>
    <w:rsid w:val="00AA53B6"/>
    <w:rsid w:val="00AA5607"/>
    <w:rsid w:val="00AA58CC"/>
    <w:rsid w:val="00AA5A6F"/>
    <w:rsid w:val="00AA5B55"/>
    <w:rsid w:val="00AA5F92"/>
    <w:rsid w:val="00AA61F1"/>
    <w:rsid w:val="00AA6309"/>
    <w:rsid w:val="00AA6460"/>
    <w:rsid w:val="00AA68B7"/>
    <w:rsid w:val="00AA6968"/>
    <w:rsid w:val="00AA7184"/>
    <w:rsid w:val="00AA7299"/>
    <w:rsid w:val="00AA73E8"/>
    <w:rsid w:val="00AA7D3C"/>
    <w:rsid w:val="00AB04B3"/>
    <w:rsid w:val="00AB082C"/>
    <w:rsid w:val="00AB0B37"/>
    <w:rsid w:val="00AB0BB4"/>
    <w:rsid w:val="00AB105E"/>
    <w:rsid w:val="00AB11EE"/>
    <w:rsid w:val="00AB1478"/>
    <w:rsid w:val="00AB1A31"/>
    <w:rsid w:val="00AB2033"/>
    <w:rsid w:val="00AB2966"/>
    <w:rsid w:val="00AB2A00"/>
    <w:rsid w:val="00AB2A60"/>
    <w:rsid w:val="00AB3454"/>
    <w:rsid w:val="00AB349C"/>
    <w:rsid w:val="00AB3647"/>
    <w:rsid w:val="00AB3F67"/>
    <w:rsid w:val="00AB46A8"/>
    <w:rsid w:val="00AB47E0"/>
    <w:rsid w:val="00AB4C06"/>
    <w:rsid w:val="00AB58B8"/>
    <w:rsid w:val="00AB59E4"/>
    <w:rsid w:val="00AB5AE8"/>
    <w:rsid w:val="00AB6120"/>
    <w:rsid w:val="00AB63A5"/>
    <w:rsid w:val="00AB6F68"/>
    <w:rsid w:val="00AB7133"/>
    <w:rsid w:val="00AB7900"/>
    <w:rsid w:val="00AB7954"/>
    <w:rsid w:val="00AB7AC4"/>
    <w:rsid w:val="00AB7CC9"/>
    <w:rsid w:val="00AB7FAD"/>
    <w:rsid w:val="00AC003F"/>
    <w:rsid w:val="00AC057A"/>
    <w:rsid w:val="00AC0841"/>
    <w:rsid w:val="00AC1886"/>
    <w:rsid w:val="00AC1EB4"/>
    <w:rsid w:val="00AC1F26"/>
    <w:rsid w:val="00AC2AC3"/>
    <w:rsid w:val="00AC2CC7"/>
    <w:rsid w:val="00AC33B7"/>
    <w:rsid w:val="00AC35CC"/>
    <w:rsid w:val="00AC380A"/>
    <w:rsid w:val="00AC3816"/>
    <w:rsid w:val="00AC430A"/>
    <w:rsid w:val="00AC4730"/>
    <w:rsid w:val="00AC4925"/>
    <w:rsid w:val="00AC4A7A"/>
    <w:rsid w:val="00AC583B"/>
    <w:rsid w:val="00AC58FD"/>
    <w:rsid w:val="00AC5A2B"/>
    <w:rsid w:val="00AC6473"/>
    <w:rsid w:val="00AC65CC"/>
    <w:rsid w:val="00AC680C"/>
    <w:rsid w:val="00AC6AAF"/>
    <w:rsid w:val="00AC7914"/>
    <w:rsid w:val="00AD0791"/>
    <w:rsid w:val="00AD08BA"/>
    <w:rsid w:val="00AD0EC4"/>
    <w:rsid w:val="00AD14A4"/>
    <w:rsid w:val="00AD180B"/>
    <w:rsid w:val="00AD1881"/>
    <w:rsid w:val="00AD1E4E"/>
    <w:rsid w:val="00AD1FF2"/>
    <w:rsid w:val="00AD233A"/>
    <w:rsid w:val="00AD25A8"/>
    <w:rsid w:val="00AD2F3B"/>
    <w:rsid w:val="00AD32A8"/>
    <w:rsid w:val="00AD345E"/>
    <w:rsid w:val="00AD4459"/>
    <w:rsid w:val="00AD4553"/>
    <w:rsid w:val="00AD4EFA"/>
    <w:rsid w:val="00AD4F43"/>
    <w:rsid w:val="00AD5285"/>
    <w:rsid w:val="00AD6CC1"/>
    <w:rsid w:val="00AD719D"/>
    <w:rsid w:val="00AD7311"/>
    <w:rsid w:val="00AD7659"/>
    <w:rsid w:val="00AE0937"/>
    <w:rsid w:val="00AE09BE"/>
    <w:rsid w:val="00AE0BE6"/>
    <w:rsid w:val="00AE0CE8"/>
    <w:rsid w:val="00AE0DE4"/>
    <w:rsid w:val="00AE115C"/>
    <w:rsid w:val="00AE16C3"/>
    <w:rsid w:val="00AE1D48"/>
    <w:rsid w:val="00AE26B5"/>
    <w:rsid w:val="00AE295F"/>
    <w:rsid w:val="00AE29C2"/>
    <w:rsid w:val="00AE2D32"/>
    <w:rsid w:val="00AE32E3"/>
    <w:rsid w:val="00AE3436"/>
    <w:rsid w:val="00AE4B6B"/>
    <w:rsid w:val="00AE5AAA"/>
    <w:rsid w:val="00AE5CC8"/>
    <w:rsid w:val="00AE61F4"/>
    <w:rsid w:val="00AE63AB"/>
    <w:rsid w:val="00AE6F62"/>
    <w:rsid w:val="00AE74E4"/>
    <w:rsid w:val="00AE78EC"/>
    <w:rsid w:val="00AE7E89"/>
    <w:rsid w:val="00AE7EEA"/>
    <w:rsid w:val="00AF0726"/>
    <w:rsid w:val="00AF143B"/>
    <w:rsid w:val="00AF1A8F"/>
    <w:rsid w:val="00AF1F25"/>
    <w:rsid w:val="00AF26FA"/>
    <w:rsid w:val="00AF2DC3"/>
    <w:rsid w:val="00AF2E76"/>
    <w:rsid w:val="00AF3C09"/>
    <w:rsid w:val="00AF4716"/>
    <w:rsid w:val="00AF4867"/>
    <w:rsid w:val="00AF48A6"/>
    <w:rsid w:val="00AF555E"/>
    <w:rsid w:val="00AF5D20"/>
    <w:rsid w:val="00AF5E10"/>
    <w:rsid w:val="00AF61FF"/>
    <w:rsid w:val="00AF6A6E"/>
    <w:rsid w:val="00AF6AAC"/>
    <w:rsid w:val="00AF7360"/>
    <w:rsid w:val="00B00826"/>
    <w:rsid w:val="00B00F3F"/>
    <w:rsid w:val="00B00F6B"/>
    <w:rsid w:val="00B012D1"/>
    <w:rsid w:val="00B01320"/>
    <w:rsid w:val="00B01E1D"/>
    <w:rsid w:val="00B02038"/>
    <w:rsid w:val="00B0209A"/>
    <w:rsid w:val="00B02385"/>
    <w:rsid w:val="00B02EA2"/>
    <w:rsid w:val="00B033DD"/>
    <w:rsid w:val="00B0356C"/>
    <w:rsid w:val="00B03687"/>
    <w:rsid w:val="00B038D3"/>
    <w:rsid w:val="00B03B85"/>
    <w:rsid w:val="00B04987"/>
    <w:rsid w:val="00B04A1C"/>
    <w:rsid w:val="00B0560B"/>
    <w:rsid w:val="00B0579F"/>
    <w:rsid w:val="00B05A30"/>
    <w:rsid w:val="00B05A9D"/>
    <w:rsid w:val="00B05D82"/>
    <w:rsid w:val="00B06540"/>
    <w:rsid w:val="00B0675A"/>
    <w:rsid w:val="00B071D1"/>
    <w:rsid w:val="00B071DE"/>
    <w:rsid w:val="00B07367"/>
    <w:rsid w:val="00B07BB2"/>
    <w:rsid w:val="00B07D17"/>
    <w:rsid w:val="00B10048"/>
    <w:rsid w:val="00B100CC"/>
    <w:rsid w:val="00B10301"/>
    <w:rsid w:val="00B10C4B"/>
    <w:rsid w:val="00B11DE7"/>
    <w:rsid w:val="00B11F05"/>
    <w:rsid w:val="00B121A9"/>
    <w:rsid w:val="00B121C9"/>
    <w:rsid w:val="00B12596"/>
    <w:rsid w:val="00B126C4"/>
    <w:rsid w:val="00B132DE"/>
    <w:rsid w:val="00B13FFE"/>
    <w:rsid w:val="00B142BD"/>
    <w:rsid w:val="00B14382"/>
    <w:rsid w:val="00B14B2B"/>
    <w:rsid w:val="00B15A74"/>
    <w:rsid w:val="00B15BE4"/>
    <w:rsid w:val="00B15D94"/>
    <w:rsid w:val="00B160DA"/>
    <w:rsid w:val="00B2076D"/>
    <w:rsid w:val="00B208D7"/>
    <w:rsid w:val="00B2121F"/>
    <w:rsid w:val="00B21354"/>
    <w:rsid w:val="00B21454"/>
    <w:rsid w:val="00B21AA5"/>
    <w:rsid w:val="00B21B66"/>
    <w:rsid w:val="00B22050"/>
    <w:rsid w:val="00B2286A"/>
    <w:rsid w:val="00B2415D"/>
    <w:rsid w:val="00B2462C"/>
    <w:rsid w:val="00B24DB4"/>
    <w:rsid w:val="00B25076"/>
    <w:rsid w:val="00B25EEC"/>
    <w:rsid w:val="00B276A5"/>
    <w:rsid w:val="00B27E22"/>
    <w:rsid w:val="00B30342"/>
    <w:rsid w:val="00B30394"/>
    <w:rsid w:val="00B30991"/>
    <w:rsid w:val="00B3124C"/>
    <w:rsid w:val="00B325AF"/>
    <w:rsid w:val="00B32DE0"/>
    <w:rsid w:val="00B330A7"/>
    <w:rsid w:val="00B33188"/>
    <w:rsid w:val="00B337B3"/>
    <w:rsid w:val="00B33AF1"/>
    <w:rsid w:val="00B33BAC"/>
    <w:rsid w:val="00B348F0"/>
    <w:rsid w:val="00B34983"/>
    <w:rsid w:val="00B349FA"/>
    <w:rsid w:val="00B350A0"/>
    <w:rsid w:val="00B356E2"/>
    <w:rsid w:val="00B35CF6"/>
    <w:rsid w:val="00B35D2E"/>
    <w:rsid w:val="00B369C8"/>
    <w:rsid w:val="00B37664"/>
    <w:rsid w:val="00B40038"/>
    <w:rsid w:val="00B40291"/>
    <w:rsid w:val="00B403DB"/>
    <w:rsid w:val="00B41888"/>
    <w:rsid w:val="00B41917"/>
    <w:rsid w:val="00B4226A"/>
    <w:rsid w:val="00B42512"/>
    <w:rsid w:val="00B427FD"/>
    <w:rsid w:val="00B42CC1"/>
    <w:rsid w:val="00B42D55"/>
    <w:rsid w:val="00B43792"/>
    <w:rsid w:val="00B43A3A"/>
    <w:rsid w:val="00B444BC"/>
    <w:rsid w:val="00B44ADB"/>
    <w:rsid w:val="00B454B3"/>
    <w:rsid w:val="00B4563F"/>
    <w:rsid w:val="00B45848"/>
    <w:rsid w:val="00B46460"/>
    <w:rsid w:val="00B47099"/>
    <w:rsid w:val="00B470A4"/>
    <w:rsid w:val="00B47331"/>
    <w:rsid w:val="00B4741A"/>
    <w:rsid w:val="00B477BF"/>
    <w:rsid w:val="00B4795A"/>
    <w:rsid w:val="00B47E67"/>
    <w:rsid w:val="00B50C13"/>
    <w:rsid w:val="00B50DC3"/>
    <w:rsid w:val="00B510B6"/>
    <w:rsid w:val="00B52336"/>
    <w:rsid w:val="00B52C56"/>
    <w:rsid w:val="00B53EE9"/>
    <w:rsid w:val="00B53EFF"/>
    <w:rsid w:val="00B54119"/>
    <w:rsid w:val="00B54B2C"/>
    <w:rsid w:val="00B55C41"/>
    <w:rsid w:val="00B55F26"/>
    <w:rsid w:val="00B56040"/>
    <w:rsid w:val="00B56BB7"/>
    <w:rsid w:val="00B56D94"/>
    <w:rsid w:val="00B56E55"/>
    <w:rsid w:val="00B57555"/>
    <w:rsid w:val="00B57C6C"/>
    <w:rsid w:val="00B606C3"/>
    <w:rsid w:val="00B60F65"/>
    <w:rsid w:val="00B61357"/>
    <w:rsid w:val="00B61642"/>
    <w:rsid w:val="00B6178F"/>
    <w:rsid w:val="00B6204F"/>
    <w:rsid w:val="00B62277"/>
    <w:rsid w:val="00B635BA"/>
    <w:rsid w:val="00B63B1E"/>
    <w:rsid w:val="00B6426B"/>
    <w:rsid w:val="00B6483C"/>
    <w:rsid w:val="00B64D25"/>
    <w:rsid w:val="00B64E66"/>
    <w:rsid w:val="00B655B4"/>
    <w:rsid w:val="00B65E51"/>
    <w:rsid w:val="00B65EA8"/>
    <w:rsid w:val="00B66355"/>
    <w:rsid w:val="00B6689D"/>
    <w:rsid w:val="00B669AC"/>
    <w:rsid w:val="00B66E3E"/>
    <w:rsid w:val="00B702D8"/>
    <w:rsid w:val="00B70B76"/>
    <w:rsid w:val="00B70D43"/>
    <w:rsid w:val="00B711B0"/>
    <w:rsid w:val="00B71471"/>
    <w:rsid w:val="00B71791"/>
    <w:rsid w:val="00B71B9D"/>
    <w:rsid w:val="00B71D0F"/>
    <w:rsid w:val="00B71E38"/>
    <w:rsid w:val="00B72368"/>
    <w:rsid w:val="00B7287F"/>
    <w:rsid w:val="00B7292B"/>
    <w:rsid w:val="00B729BE"/>
    <w:rsid w:val="00B7340F"/>
    <w:rsid w:val="00B742BE"/>
    <w:rsid w:val="00B745F0"/>
    <w:rsid w:val="00B74739"/>
    <w:rsid w:val="00B74D9D"/>
    <w:rsid w:val="00B753F5"/>
    <w:rsid w:val="00B7566B"/>
    <w:rsid w:val="00B75938"/>
    <w:rsid w:val="00B7595E"/>
    <w:rsid w:val="00B75BCD"/>
    <w:rsid w:val="00B766A4"/>
    <w:rsid w:val="00B7689C"/>
    <w:rsid w:val="00B76FC8"/>
    <w:rsid w:val="00B77108"/>
    <w:rsid w:val="00B77580"/>
    <w:rsid w:val="00B77965"/>
    <w:rsid w:val="00B77FAB"/>
    <w:rsid w:val="00B804B3"/>
    <w:rsid w:val="00B809AB"/>
    <w:rsid w:val="00B80B41"/>
    <w:rsid w:val="00B8111C"/>
    <w:rsid w:val="00B817B1"/>
    <w:rsid w:val="00B81C9C"/>
    <w:rsid w:val="00B81D80"/>
    <w:rsid w:val="00B81F6C"/>
    <w:rsid w:val="00B821A5"/>
    <w:rsid w:val="00B825A0"/>
    <w:rsid w:val="00B8328A"/>
    <w:rsid w:val="00B832E5"/>
    <w:rsid w:val="00B83681"/>
    <w:rsid w:val="00B83B7C"/>
    <w:rsid w:val="00B83C19"/>
    <w:rsid w:val="00B84B90"/>
    <w:rsid w:val="00B8535E"/>
    <w:rsid w:val="00B8560C"/>
    <w:rsid w:val="00B856A8"/>
    <w:rsid w:val="00B85C4C"/>
    <w:rsid w:val="00B85ED7"/>
    <w:rsid w:val="00B86020"/>
    <w:rsid w:val="00B87291"/>
    <w:rsid w:val="00B878FE"/>
    <w:rsid w:val="00B87905"/>
    <w:rsid w:val="00B87F1B"/>
    <w:rsid w:val="00B913E3"/>
    <w:rsid w:val="00B91587"/>
    <w:rsid w:val="00B91935"/>
    <w:rsid w:val="00B91E1D"/>
    <w:rsid w:val="00B91EB3"/>
    <w:rsid w:val="00B91FF2"/>
    <w:rsid w:val="00B9262E"/>
    <w:rsid w:val="00B9296F"/>
    <w:rsid w:val="00B93A1F"/>
    <w:rsid w:val="00B93BF9"/>
    <w:rsid w:val="00B93F13"/>
    <w:rsid w:val="00B94153"/>
    <w:rsid w:val="00B946C5"/>
    <w:rsid w:val="00B9483D"/>
    <w:rsid w:val="00B94F7D"/>
    <w:rsid w:val="00B953C4"/>
    <w:rsid w:val="00B95581"/>
    <w:rsid w:val="00B95655"/>
    <w:rsid w:val="00B95DF2"/>
    <w:rsid w:val="00B965B3"/>
    <w:rsid w:val="00B96768"/>
    <w:rsid w:val="00B9685D"/>
    <w:rsid w:val="00B9782E"/>
    <w:rsid w:val="00BA01DF"/>
    <w:rsid w:val="00BA048F"/>
    <w:rsid w:val="00BA073C"/>
    <w:rsid w:val="00BA1100"/>
    <w:rsid w:val="00BA12E6"/>
    <w:rsid w:val="00BA15B8"/>
    <w:rsid w:val="00BA18D3"/>
    <w:rsid w:val="00BA1BD5"/>
    <w:rsid w:val="00BA216B"/>
    <w:rsid w:val="00BA25A2"/>
    <w:rsid w:val="00BA37C2"/>
    <w:rsid w:val="00BA4CCB"/>
    <w:rsid w:val="00BA4CCD"/>
    <w:rsid w:val="00BA4EE0"/>
    <w:rsid w:val="00BA55B7"/>
    <w:rsid w:val="00BA56A3"/>
    <w:rsid w:val="00BA5909"/>
    <w:rsid w:val="00BA5A25"/>
    <w:rsid w:val="00BA609A"/>
    <w:rsid w:val="00BA6274"/>
    <w:rsid w:val="00BA6332"/>
    <w:rsid w:val="00BA655A"/>
    <w:rsid w:val="00BA677B"/>
    <w:rsid w:val="00BA6DE2"/>
    <w:rsid w:val="00BA7020"/>
    <w:rsid w:val="00BA7228"/>
    <w:rsid w:val="00BB044B"/>
    <w:rsid w:val="00BB0B2B"/>
    <w:rsid w:val="00BB1963"/>
    <w:rsid w:val="00BB25E5"/>
    <w:rsid w:val="00BB265C"/>
    <w:rsid w:val="00BB27DC"/>
    <w:rsid w:val="00BB2D75"/>
    <w:rsid w:val="00BB3D23"/>
    <w:rsid w:val="00BB4710"/>
    <w:rsid w:val="00BB482E"/>
    <w:rsid w:val="00BB4BC5"/>
    <w:rsid w:val="00BB56B8"/>
    <w:rsid w:val="00BB58D9"/>
    <w:rsid w:val="00BB6224"/>
    <w:rsid w:val="00BB666D"/>
    <w:rsid w:val="00BB6A70"/>
    <w:rsid w:val="00BB7129"/>
    <w:rsid w:val="00BB7619"/>
    <w:rsid w:val="00BC05DA"/>
    <w:rsid w:val="00BC1625"/>
    <w:rsid w:val="00BC1A45"/>
    <w:rsid w:val="00BC1E9E"/>
    <w:rsid w:val="00BC1F80"/>
    <w:rsid w:val="00BC3393"/>
    <w:rsid w:val="00BC367D"/>
    <w:rsid w:val="00BC36C1"/>
    <w:rsid w:val="00BC3960"/>
    <w:rsid w:val="00BC4318"/>
    <w:rsid w:val="00BC48FA"/>
    <w:rsid w:val="00BC496C"/>
    <w:rsid w:val="00BC5645"/>
    <w:rsid w:val="00BC581A"/>
    <w:rsid w:val="00BC5A09"/>
    <w:rsid w:val="00BC5B60"/>
    <w:rsid w:val="00BC61F4"/>
    <w:rsid w:val="00BC6881"/>
    <w:rsid w:val="00BC6EFF"/>
    <w:rsid w:val="00BC717E"/>
    <w:rsid w:val="00BC7841"/>
    <w:rsid w:val="00BC78D1"/>
    <w:rsid w:val="00BC7CBD"/>
    <w:rsid w:val="00BD042A"/>
    <w:rsid w:val="00BD05B5"/>
    <w:rsid w:val="00BD122D"/>
    <w:rsid w:val="00BD12C0"/>
    <w:rsid w:val="00BD12C3"/>
    <w:rsid w:val="00BD1573"/>
    <w:rsid w:val="00BD1AA0"/>
    <w:rsid w:val="00BD1CBA"/>
    <w:rsid w:val="00BD20CB"/>
    <w:rsid w:val="00BD264A"/>
    <w:rsid w:val="00BD2AC7"/>
    <w:rsid w:val="00BD2F39"/>
    <w:rsid w:val="00BD2FD0"/>
    <w:rsid w:val="00BD3050"/>
    <w:rsid w:val="00BD364A"/>
    <w:rsid w:val="00BD3826"/>
    <w:rsid w:val="00BD3C95"/>
    <w:rsid w:val="00BD3E7D"/>
    <w:rsid w:val="00BD3F14"/>
    <w:rsid w:val="00BD4365"/>
    <w:rsid w:val="00BD46AF"/>
    <w:rsid w:val="00BD4A1B"/>
    <w:rsid w:val="00BD5333"/>
    <w:rsid w:val="00BD53DA"/>
    <w:rsid w:val="00BD59E8"/>
    <w:rsid w:val="00BD5BA5"/>
    <w:rsid w:val="00BD656B"/>
    <w:rsid w:val="00BD66F8"/>
    <w:rsid w:val="00BD712D"/>
    <w:rsid w:val="00BD79B4"/>
    <w:rsid w:val="00BD7D3F"/>
    <w:rsid w:val="00BD7D6A"/>
    <w:rsid w:val="00BD7EEE"/>
    <w:rsid w:val="00BE03D9"/>
    <w:rsid w:val="00BE0DA3"/>
    <w:rsid w:val="00BE1075"/>
    <w:rsid w:val="00BE11CA"/>
    <w:rsid w:val="00BE1B30"/>
    <w:rsid w:val="00BE1FA0"/>
    <w:rsid w:val="00BE294C"/>
    <w:rsid w:val="00BE2A2C"/>
    <w:rsid w:val="00BE30AE"/>
    <w:rsid w:val="00BE3871"/>
    <w:rsid w:val="00BE40DA"/>
    <w:rsid w:val="00BE43AB"/>
    <w:rsid w:val="00BE486D"/>
    <w:rsid w:val="00BE4CFA"/>
    <w:rsid w:val="00BE4D38"/>
    <w:rsid w:val="00BE5072"/>
    <w:rsid w:val="00BE5282"/>
    <w:rsid w:val="00BE5995"/>
    <w:rsid w:val="00BE5FA9"/>
    <w:rsid w:val="00BE605C"/>
    <w:rsid w:val="00BE6293"/>
    <w:rsid w:val="00BE76B2"/>
    <w:rsid w:val="00BE7BB7"/>
    <w:rsid w:val="00BE7E5B"/>
    <w:rsid w:val="00BF0BFF"/>
    <w:rsid w:val="00BF0FE6"/>
    <w:rsid w:val="00BF117B"/>
    <w:rsid w:val="00BF1D0A"/>
    <w:rsid w:val="00BF1FC9"/>
    <w:rsid w:val="00BF22D6"/>
    <w:rsid w:val="00BF2E31"/>
    <w:rsid w:val="00BF2F96"/>
    <w:rsid w:val="00BF373B"/>
    <w:rsid w:val="00BF3AB7"/>
    <w:rsid w:val="00BF3AFA"/>
    <w:rsid w:val="00BF40EF"/>
    <w:rsid w:val="00BF4636"/>
    <w:rsid w:val="00BF4D63"/>
    <w:rsid w:val="00BF516D"/>
    <w:rsid w:val="00BF5494"/>
    <w:rsid w:val="00C00291"/>
    <w:rsid w:val="00C017C4"/>
    <w:rsid w:val="00C01A94"/>
    <w:rsid w:val="00C01C08"/>
    <w:rsid w:val="00C01C0E"/>
    <w:rsid w:val="00C01C0F"/>
    <w:rsid w:val="00C01C4F"/>
    <w:rsid w:val="00C023A1"/>
    <w:rsid w:val="00C02A34"/>
    <w:rsid w:val="00C02CFA"/>
    <w:rsid w:val="00C036BB"/>
    <w:rsid w:val="00C03939"/>
    <w:rsid w:val="00C03DA2"/>
    <w:rsid w:val="00C03E08"/>
    <w:rsid w:val="00C04009"/>
    <w:rsid w:val="00C04779"/>
    <w:rsid w:val="00C04AF3"/>
    <w:rsid w:val="00C0553B"/>
    <w:rsid w:val="00C05D10"/>
    <w:rsid w:val="00C0626A"/>
    <w:rsid w:val="00C06495"/>
    <w:rsid w:val="00C069E7"/>
    <w:rsid w:val="00C06BA0"/>
    <w:rsid w:val="00C06BF3"/>
    <w:rsid w:val="00C06C2D"/>
    <w:rsid w:val="00C06DDE"/>
    <w:rsid w:val="00C07244"/>
    <w:rsid w:val="00C07E66"/>
    <w:rsid w:val="00C10D66"/>
    <w:rsid w:val="00C1178C"/>
    <w:rsid w:val="00C11AA0"/>
    <w:rsid w:val="00C120A1"/>
    <w:rsid w:val="00C127C6"/>
    <w:rsid w:val="00C13323"/>
    <w:rsid w:val="00C13D67"/>
    <w:rsid w:val="00C1417A"/>
    <w:rsid w:val="00C145B8"/>
    <w:rsid w:val="00C14642"/>
    <w:rsid w:val="00C14D93"/>
    <w:rsid w:val="00C15158"/>
    <w:rsid w:val="00C15B67"/>
    <w:rsid w:val="00C1679E"/>
    <w:rsid w:val="00C16DC7"/>
    <w:rsid w:val="00C1772C"/>
    <w:rsid w:val="00C17B53"/>
    <w:rsid w:val="00C17CC1"/>
    <w:rsid w:val="00C17F81"/>
    <w:rsid w:val="00C2016E"/>
    <w:rsid w:val="00C202D3"/>
    <w:rsid w:val="00C20D14"/>
    <w:rsid w:val="00C210DB"/>
    <w:rsid w:val="00C2195F"/>
    <w:rsid w:val="00C21A46"/>
    <w:rsid w:val="00C220FF"/>
    <w:rsid w:val="00C23356"/>
    <w:rsid w:val="00C23F7E"/>
    <w:rsid w:val="00C243A6"/>
    <w:rsid w:val="00C24646"/>
    <w:rsid w:val="00C249FF"/>
    <w:rsid w:val="00C24E77"/>
    <w:rsid w:val="00C25D77"/>
    <w:rsid w:val="00C26324"/>
    <w:rsid w:val="00C26D1B"/>
    <w:rsid w:val="00C26D52"/>
    <w:rsid w:val="00C278B7"/>
    <w:rsid w:val="00C27EF8"/>
    <w:rsid w:val="00C27F9D"/>
    <w:rsid w:val="00C304D4"/>
    <w:rsid w:val="00C30C47"/>
    <w:rsid w:val="00C30D21"/>
    <w:rsid w:val="00C30EB0"/>
    <w:rsid w:val="00C31263"/>
    <w:rsid w:val="00C32A38"/>
    <w:rsid w:val="00C32C52"/>
    <w:rsid w:val="00C333F1"/>
    <w:rsid w:val="00C33EE6"/>
    <w:rsid w:val="00C34375"/>
    <w:rsid w:val="00C346D3"/>
    <w:rsid w:val="00C34925"/>
    <w:rsid w:val="00C35F99"/>
    <w:rsid w:val="00C361AD"/>
    <w:rsid w:val="00C365B0"/>
    <w:rsid w:val="00C370C4"/>
    <w:rsid w:val="00C37861"/>
    <w:rsid w:val="00C378ED"/>
    <w:rsid w:val="00C37CBF"/>
    <w:rsid w:val="00C403FF"/>
    <w:rsid w:val="00C4081B"/>
    <w:rsid w:val="00C4094E"/>
    <w:rsid w:val="00C41598"/>
    <w:rsid w:val="00C42089"/>
    <w:rsid w:val="00C42752"/>
    <w:rsid w:val="00C430FE"/>
    <w:rsid w:val="00C443CA"/>
    <w:rsid w:val="00C44BBA"/>
    <w:rsid w:val="00C44C69"/>
    <w:rsid w:val="00C45528"/>
    <w:rsid w:val="00C458C9"/>
    <w:rsid w:val="00C45BF7"/>
    <w:rsid w:val="00C45F51"/>
    <w:rsid w:val="00C466AE"/>
    <w:rsid w:val="00C46C72"/>
    <w:rsid w:val="00C47049"/>
    <w:rsid w:val="00C47157"/>
    <w:rsid w:val="00C47206"/>
    <w:rsid w:val="00C475D4"/>
    <w:rsid w:val="00C50118"/>
    <w:rsid w:val="00C50458"/>
    <w:rsid w:val="00C506A2"/>
    <w:rsid w:val="00C50AFD"/>
    <w:rsid w:val="00C50B1B"/>
    <w:rsid w:val="00C50E85"/>
    <w:rsid w:val="00C51242"/>
    <w:rsid w:val="00C519C0"/>
    <w:rsid w:val="00C51F0D"/>
    <w:rsid w:val="00C52573"/>
    <w:rsid w:val="00C52D9A"/>
    <w:rsid w:val="00C531B6"/>
    <w:rsid w:val="00C536C3"/>
    <w:rsid w:val="00C53E5F"/>
    <w:rsid w:val="00C5427A"/>
    <w:rsid w:val="00C54D58"/>
    <w:rsid w:val="00C562A6"/>
    <w:rsid w:val="00C573E1"/>
    <w:rsid w:val="00C57433"/>
    <w:rsid w:val="00C574D3"/>
    <w:rsid w:val="00C57747"/>
    <w:rsid w:val="00C57C8D"/>
    <w:rsid w:val="00C57C99"/>
    <w:rsid w:val="00C60009"/>
    <w:rsid w:val="00C60847"/>
    <w:rsid w:val="00C60A0C"/>
    <w:rsid w:val="00C60AAA"/>
    <w:rsid w:val="00C617CB"/>
    <w:rsid w:val="00C61AFD"/>
    <w:rsid w:val="00C61BE7"/>
    <w:rsid w:val="00C620E4"/>
    <w:rsid w:val="00C625C6"/>
    <w:rsid w:val="00C62953"/>
    <w:rsid w:val="00C62A6C"/>
    <w:rsid w:val="00C62ED8"/>
    <w:rsid w:val="00C632F9"/>
    <w:rsid w:val="00C6348C"/>
    <w:rsid w:val="00C6378D"/>
    <w:rsid w:val="00C63B03"/>
    <w:rsid w:val="00C63B33"/>
    <w:rsid w:val="00C64205"/>
    <w:rsid w:val="00C64258"/>
    <w:rsid w:val="00C65178"/>
    <w:rsid w:val="00C6580C"/>
    <w:rsid w:val="00C65B07"/>
    <w:rsid w:val="00C67015"/>
    <w:rsid w:val="00C67185"/>
    <w:rsid w:val="00C67346"/>
    <w:rsid w:val="00C67740"/>
    <w:rsid w:val="00C67792"/>
    <w:rsid w:val="00C70640"/>
    <w:rsid w:val="00C708B7"/>
    <w:rsid w:val="00C70D15"/>
    <w:rsid w:val="00C70DDA"/>
    <w:rsid w:val="00C714CD"/>
    <w:rsid w:val="00C71681"/>
    <w:rsid w:val="00C7186E"/>
    <w:rsid w:val="00C71B39"/>
    <w:rsid w:val="00C71FD2"/>
    <w:rsid w:val="00C7225C"/>
    <w:rsid w:val="00C725AE"/>
    <w:rsid w:val="00C72C0A"/>
    <w:rsid w:val="00C72F73"/>
    <w:rsid w:val="00C733A1"/>
    <w:rsid w:val="00C736B8"/>
    <w:rsid w:val="00C73CCF"/>
    <w:rsid w:val="00C73F9A"/>
    <w:rsid w:val="00C74185"/>
    <w:rsid w:val="00C74516"/>
    <w:rsid w:val="00C74738"/>
    <w:rsid w:val="00C74A01"/>
    <w:rsid w:val="00C75919"/>
    <w:rsid w:val="00C76471"/>
    <w:rsid w:val="00C766D7"/>
    <w:rsid w:val="00C771AB"/>
    <w:rsid w:val="00C77404"/>
    <w:rsid w:val="00C778E2"/>
    <w:rsid w:val="00C7798F"/>
    <w:rsid w:val="00C77D48"/>
    <w:rsid w:val="00C77F61"/>
    <w:rsid w:val="00C8018A"/>
    <w:rsid w:val="00C8146B"/>
    <w:rsid w:val="00C815F0"/>
    <w:rsid w:val="00C81BDB"/>
    <w:rsid w:val="00C81F37"/>
    <w:rsid w:val="00C82539"/>
    <w:rsid w:val="00C82B22"/>
    <w:rsid w:val="00C82EAD"/>
    <w:rsid w:val="00C83AAB"/>
    <w:rsid w:val="00C83D82"/>
    <w:rsid w:val="00C84C66"/>
    <w:rsid w:val="00C84E47"/>
    <w:rsid w:val="00C8524C"/>
    <w:rsid w:val="00C85983"/>
    <w:rsid w:val="00C86247"/>
    <w:rsid w:val="00C86312"/>
    <w:rsid w:val="00C867D5"/>
    <w:rsid w:val="00C86A86"/>
    <w:rsid w:val="00C87607"/>
    <w:rsid w:val="00C87BE7"/>
    <w:rsid w:val="00C87CC3"/>
    <w:rsid w:val="00C903DD"/>
    <w:rsid w:val="00C906A2"/>
    <w:rsid w:val="00C9083C"/>
    <w:rsid w:val="00C911BB"/>
    <w:rsid w:val="00C9126F"/>
    <w:rsid w:val="00C91674"/>
    <w:rsid w:val="00C9273D"/>
    <w:rsid w:val="00C92F0A"/>
    <w:rsid w:val="00C931F4"/>
    <w:rsid w:val="00C942C6"/>
    <w:rsid w:val="00C948E2"/>
    <w:rsid w:val="00C9566C"/>
    <w:rsid w:val="00C95D15"/>
    <w:rsid w:val="00C95DA9"/>
    <w:rsid w:val="00C95DF6"/>
    <w:rsid w:val="00C95F94"/>
    <w:rsid w:val="00C96316"/>
    <w:rsid w:val="00C9660C"/>
    <w:rsid w:val="00C9668E"/>
    <w:rsid w:val="00C96791"/>
    <w:rsid w:val="00C974F3"/>
    <w:rsid w:val="00C97521"/>
    <w:rsid w:val="00C9790F"/>
    <w:rsid w:val="00CA0385"/>
    <w:rsid w:val="00CA05E9"/>
    <w:rsid w:val="00CA1015"/>
    <w:rsid w:val="00CA1BE0"/>
    <w:rsid w:val="00CA2594"/>
    <w:rsid w:val="00CA2C89"/>
    <w:rsid w:val="00CA2CDE"/>
    <w:rsid w:val="00CA2F30"/>
    <w:rsid w:val="00CA2FCF"/>
    <w:rsid w:val="00CA34C1"/>
    <w:rsid w:val="00CA499B"/>
    <w:rsid w:val="00CA4FA1"/>
    <w:rsid w:val="00CA5127"/>
    <w:rsid w:val="00CA5D4D"/>
    <w:rsid w:val="00CA68A6"/>
    <w:rsid w:val="00CA6A33"/>
    <w:rsid w:val="00CA6D4D"/>
    <w:rsid w:val="00CA6ECD"/>
    <w:rsid w:val="00CB0852"/>
    <w:rsid w:val="00CB0EC5"/>
    <w:rsid w:val="00CB1090"/>
    <w:rsid w:val="00CB146F"/>
    <w:rsid w:val="00CB1ED6"/>
    <w:rsid w:val="00CB2549"/>
    <w:rsid w:val="00CB2A70"/>
    <w:rsid w:val="00CB31BC"/>
    <w:rsid w:val="00CB36AC"/>
    <w:rsid w:val="00CB38D8"/>
    <w:rsid w:val="00CB3CBB"/>
    <w:rsid w:val="00CB3CF7"/>
    <w:rsid w:val="00CB4076"/>
    <w:rsid w:val="00CB4128"/>
    <w:rsid w:val="00CB45D0"/>
    <w:rsid w:val="00CB45D1"/>
    <w:rsid w:val="00CB4697"/>
    <w:rsid w:val="00CB4AC7"/>
    <w:rsid w:val="00CB5484"/>
    <w:rsid w:val="00CB5512"/>
    <w:rsid w:val="00CB558F"/>
    <w:rsid w:val="00CB58FE"/>
    <w:rsid w:val="00CB5AD7"/>
    <w:rsid w:val="00CB5CCF"/>
    <w:rsid w:val="00CB61F4"/>
    <w:rsid w:val="00CB6F0A"/>
    <w:rsid w:val="00CB73FB"/>
    <w:rsid w:val="00CB73FC"/>
    <w:rsid w:val="00CB7401"/>
    <w:rsid w:val="00CB75DA"/>
    <w:rsid w:val="00CB7E50"/>
    <w:rsid w:val="00CC052A"/>
    <w:rsid w:val="00CC0C9E"/>
    <w:rsid w:val="00CC15BD"/>
    <w:rsid w:val="00CC1859"/>
    <w:rsid w:val="00CC1FF4"/>
    <w:rsid w:val="00CC21AF"/>
    <w:rsid w:val="00CC2264"/>
    <w:rsid w:val="00CC2710"/>
    <w:rsid w:val="00CC2722"/>
    <w:rsid w:val="00CC2C48"/>
    <w:rsid w:val="00CC2D06"/>
    <w:rsid w:val="00CC34FB"/>
    <w:rsid w:val="00CC4619"/>
    <w:rsid w:val="00CC5453"/>
    <w:rsid w:val="00CC5475"/>
    <w:rsid w:val="00CC5952"/>
    <w:rsid w:val="00CC5DF2"/>
    <w:rsid w:val="00CC5E84"/>
    <w:rsid w:val="00CC60B3"/>
    <w:rsid w:val="00CC64D2"/>
    <w:rsid w:val="00CC6868"/>
    <w:rsid w:val="00CC6BCB"/>
    <w:rsid w:val="00CC7393"/>
    <w:rsid w:val="00CC73D4"/>
    <w:rsid w:val="00CC7946"/>
    <w:rsid w:val="00CC7B48"/>
    <w:rsid w:val="00CD012B"/>
    <w:rsid w:val="00CD0CC6"/>
    <w:rsid w:val="00CD26E5"/>
    <w:rsid w:val="00CD2A4A"/>
    <w:rsid w:val="00CD31F7"/>
    <w:rsid w:val="00CD341D"/>
    <w:rsid w:val="00CD3926"/>
    <w:rsid w:val="00CD395E"/>
    <w:rsid w:val="00CD3E48"/>
    <w:rsid w:val="00CD3EE3"/>
    <w:rsid w:val="00CD493A"/>
    <w:rsid w:val="00CD4B51"/>
    <w:rsid w:val="00CD4B6F"/>
    <w:rsid w:val="00CD4E73"/>
    <w:rsid w:val="00CD5DDD"/>
    <w:rsid w:val="00CD651E"/>
    <w:rsid w:val="00CD7EC5"/>
    <w:rsid w:val="00CD7F84"/>
    <w:rsid w:val="00CE01B6"/>
    <w:rsid w:val="00CE0201"/>
    <w:rsid w:val="00CE0403"/>
    <w:rsid w:val="00CE05AF"/>
    <w:rsid w:val="00CE0976"/>
    <w:rsid w:val="00CE115E"/>
    <w:rsid w:val="00CE120B"/>
    <w:rsid w:val="00CE1CCE"/>
    <w:rsid w:val="00CE1D4C"/>
    <w:rsid w:val="00CE1FFA"/>
    <w:rsid w:val="00CE2252"/>
    <w:rsid w:val="00CE245B"/>
    <w:rsid w:val="00CE2534"/>
    <w:rsid w:val="00CE2DD1"/>
    <w:rsid w:val="00CE3352"/>
    <w:rsid w:val="00CE4180"/>
    <w:rsid w:val="00CE4317"/>
    <w:rsid w:val="00CE4B5A"/>
    <w:rsid w:val="00CE506C"/>
    <w:rsid w:val="00CE60B9"/>
    <w:rsid w:val="00CE621E"/>
    <w:rsid w:val="00CE6418"/>
    <w:rsid w:val="00CE6702"/>
    <w:rsid w:val="00CE6CA9"/>
    <w:rsid w:val="00CE77F4"/>
    <w:rsid w:val="00CF01E0"/>
    <w:rsid w:val="00CF01E2"/>
    <w:rsid w:val="00CF0A3A"/>
    <w:rsid w:val="00CF0C38"/>
    <w:rsid w:val="00CF0FC5"/>
    <w:rsid w:val="00CF1207"/>
    <w:rsid w:val="00CF1341"/>
    <w:rsid w:val="00CF1526"/>
    <w:rsid w:val="00CF1BEA"/>
    <w:rsid w:val="00CF2E18"/>
    <w:rsid w:val="00CF3038"/>
    <w:rsid w:val="00CF36C2"/>
    <w:rsid w:val="00CF3E33"/>
    <w:rsid w:val="00CF423F"/>
    <w:rsid w:val="00CF42BA"/>
    <w:rsid w:val="00CF4441"/>
    <w:rsid w:val="00CF49E9"/>
    <w:rsid w:val="00CF4C3F"/>
    <w:rsid w:val="00CF55F1"/>
    <w:rsid w:val="00CF5604"/>
    <w:rsid w:val="00CF58AD"/>
    <w:rsid w:val="00CF6F42"/>
    <w:rsid w:val="00CF708C"/>
    <w:rsid w:val="00CF73C4"/>
    <w:rsid w:val="00CF7721"/>
    <w:rsid w:val="00D0082A"/>
    <w:rsid w:val="00D012BB"/>
    <w:rsid w:val="00D01E1B"/>
    <w:rsid w:val="00D02AA8"/>
    <w:rsid w:val="00D02BCC"/>
    <w:rsid w:val="00D02D29"/>
    <w:rsid w:val="00D03487"/>
    <w:rsid w:val="00D04065"/>
    <w:rsid w:val="00D04276"/>
    <w:rsid w:val="00D04D55"/>
    <w:rsid w:val="00D04DD5"/>
    <w:rsid w:val="00D052A1"/>
    <w:rsid w:val="00D0536F"/>
    <w:rsid w:val="00D05730"/>
    <w:rsid w:val="00D059B9"/>
    <w:rsid w:val="00D05FCA"/>
    <w:rsid w:val="00D07BB5"/>
    <w:rsid w:val="00D07F11"/>
    <w:rsid w:val="00D1007E"/>
    <w:rsid w:val="00D10179"/>
    <w:rsid w:val="00D102C2"/>
    <w:rsid w:val="00D10401"/>
    <w:rsid w:val="00D10ACC"/>
    <w:rsid w:val="00D10ED6"/>
    <w:rsid w:val="00D112D8"/>
    <w:rsid w:val="00D121F4"/>
    <w:rsid w:val="00D12416"/>
    <w:rsid w:val="00D1263D"/>
    <w:rsid w:val="00D127D1"/>
    <w:rsid w:val="00D128D9"/>
    <w:rsid w:val="00D12C63"/>
    <w:rsid w:val="00D13963"/>
    <w:rsid w:val="00D13A3F"/>
    <w:rsid w:val="00D148BE"/>
    <w:rsid w:val="00D14BBD"/>
    <w:rsid w:val="00D14C65"/>
    <w:rsid w:val="00D14C80"/>
    <w:rsid w:val="00D15488"/>
    <w:rsid w:val="00D155B6"/>
    <w:rsid w:val="00D16409"/>
    <w:rsid w:val="00D167FB"/>
    <w:rsid w:val="00D1689F"/>
    <w:rsid w:val="00D1698A"/>
    <w:rsid w:val="00D169D2"/>
    <w:rsid w:val="00D16E7A"/>
    <w:rsid w:val="00D17231"/>
    <w:rsid w:val="00D206AF"/>
    <w:rsid w:val="00D20A0A"/>
    <w:rsid w:val="00D20F60"/>
    <w:rsid w:val="00D210C9"/>
    <w:rsid w:val="00D218EF"/>
    <w:rsid w:val="00D21B79"/>
    <w:rsid w:val="00D21EC0"/>
    <w:rsid w:val="00D2315C"/>
    <w:rsid w:val="00D244DE"/>
    <w:rsid w:val="00D259A0"/>
    <w:rsid w:val="00D264B8"/>
    <w:rsid w:val="00D27347"/>
    <w:rsid w:val="00D273D2"/>
    <w:rsid w:val="00D27556"/>
    <w:rsid w:val="00D302F3"/>
    <w:rsid w:val="00D304D9"/>
    <w:rsid w:val="00D30750"/>
    <w:rsid w:val="00D31119"/>
    <w:rsid w:val="00D317DA"/>
    <w:rsid w:val="00D3213D"/>
    <w:rsid w:val="00D32566"/>
    <w:rsid w:val="00D32E48"/>
    <w:rsid w:val="00D3361A"/>
    <w:rsid w:val="00D3410B"/>
    <w:rsid w:val="00D34161"/>
    <w:rsid w:val="00D34878"/>
    <w:rsid w:val="00D3509E"/>
    <w:rsid w:val="00D3546B"/>
    <w:rsid w:val="00D35F72"/>
    <w:rsid w:val="00D368A0"/>
    <w:rsid w:val="00D36EA7"/>
    <w:rsid w:val="00D37101"/>
    <w:rsid w:val="00D372F9"/>
    <w:rsid w:val="00D3798A"/>
    <w:rsid w:val="00D37BD7"/>
    <w:rsid w:val="00D37C59"/>
    <w:rsid w:val="00D40448"/>
    <w:rsid w:val="00D407AD"/>
    <w:rsid w:val="00D40E1B"/>
    <w:rsid w:val="00D40F15"/>
    <w:rsid w:val="00D417A0"/>
    <w:rsid w:val="00D41F3A"/>
    <w:rsid w:val="00D42624"/>
    <w:rsid w:val="00D42F73"/>
    <w:rsid w:val="00D43D68"/>
    <w:rsid w:val="00D45ECB"/>
    <w:rsid w:val="00D467F6"/>
    <w:rsid w:val="00D469CB"/>
    <w:rsid w:val="00D46C97"/>
    <w:rsid w:val="00D47036"/>
    <w:rsid w:val="00D47058"/>
    <w:rsid w:val="00D47194"/>
    <w:rsid w:val="00D471DF"/>
    <w:rsid w:val="00D4770E"/>
    <w:rsid w:val="00D47D6E"/>
    <w:rsid w:val="00D50A4F"/>
    <w:rsid w:val="00D51092"/>
    <w:rsid w:val="00D51668"/>
    <w:rsid w:val="00D5184F"/>
    <w:rsid w:val="00D51A3B"/>
    <w:rsid w:val="00D51CCC"/>
    <w:rsid w:val="00D51E90"/>
    <w:rsid w:val="00D527A3"/>
    <w:rsid w:val="00D52FC4"/>
    <w:rsid w:val="00D52FEC"/>
    <w:rsid w:val="00D533FB"/>
    <w:rsid w:val="00D534ED"/>
    <w:rsid w:val="00D5396C"/>
    <w:rsid w:val="00D5403A"/>
    <w:rsid w:val="00D54599"/>
    <w:rsid w:val="00D548D0"/>
    <w:rsid w:val="00D54A4A"/>
    <w:rsid w:val="00D56343"/>
    <w:rsid w:val="00D56641"/>
    <w:rsid w:val="00D56BFD"/>
    <w:rsid w:val="00D5752D"/>
    <w:rsid w:val="00D5774E"/>
    <w:rsid w:val="00D57BEB"/>
    <w:rsid w:val="00D60288"/>
    <w:rsid w:val="00D6048D"/>
    <w:rsid w:val="00D60A33"/>
    <w:rsid w:val="00D60B67"/>
    <w:rsid w:val="00D6113B"/>
    <w:rsid w:val="00D61155"/>
    <w:rsid w:val="00D6146A"/>
    <w:rsid w:val="00D61A0F"/>
    <w:rsid w:val="00D61C54"/>
    <w:rsid w:val="00D61CB3"/>
    <w:rsid w:val="00D61EE1"/>
    <w:rsid w:val="00D62732"/>
    <w:rsid w:val="00D62EC8"/>
    <w:rsid w:val="00D64064"/>
    <w:rsid w:val="00D64A6F"/>
    <w:rsid w:val="00D64FAF"/>
    <w:rsid w:val="00D6694F"/>
    <w:rsid w:val="00D66CCA"/>
    <w:rsid w:val="00D66E6D"/>
    <w:rsid w:val="00D674F8"/>
    <w:rsid w:val="00D6751F"/>
    <w:rsid w:val="00D706C5"/>
    <w:rsid w:val="00D7107F"/>
    <w:rsid w:val="00D723D3"/>
    <w:rsid w:val="00D72E70"/>
    <w:rsid w:val="00D73561"/>
    <w:rsid w:val="00D73653"/>
    <w:rsid w:val="00D73A2E"/>
    <w:rsid w:val="00D744EF"/>
    <w:rsid w:val="00D74CB1"/>
    <w:rsid w:val="00D74F42"/>
    <w:rsid w:val="00D75096"/>
    <w:rsid w:val="00D75361"/>
    <w:rsid w:val="00D7572D"/>
    <w:rsid w:val="00D76159"/>
    <w:rsid w:val="00D766B8"/>
    <w:rsid w:val="00D7683F"/>
    <w:rsid w:val="00D7797F"/>
    <w:rsid w:val="00D77D36"/>
    <w:rsid w:val="00D77DCC"/>
    <w:rsid w:val="00D80F3D"/>
    <w:rsid w:val="00D81051"/>
    <w:rsid w:val="00D81CED"/>
    <w:rsid w:val="00D81FE6"/>
    <w:rsid w:val="00D831A5"/>
    <w:rsid w:val="00D835AA"/>
    <w:rsid w:val="00D8397F"/>
    <w:rsid w:val="00D83C7D"/>
    <w:rsid w:val="00D8412C"/>
    <w:rsid w:val="00D84377"/>
    <w:rsid w:val="00D84565"/>
    <w:rsid w:val="00D84E95"/>
    <w:rsid w:val="00D855EF"/>
    <w:rsid w:val="00D8571A"/>
    <w:rsid w:val="00D8584C"/>
    <w:rsid w:val="00D859BB"/>
    <w:rsid w:val="00D85CEB"/>
    <w:rsid w:val="00D85EA6"/>
    <w:rsid w:val="00D86A4E"/>
    <w:rsid w:val="00D86E48"/>
    <w:rsid w:val="00D8703E"/>
    <w:rsid w:val="00D87304"/>
    <w:rsid w:val="00D8784C"/>
    <w:rsid w:val="00D87B31"/>
    <w:rsid w:val="00D901A2"/>
    <w:rsid w:val="00D902E8"/>
    <w:rsid w:val="00D903B7"/>
    <w:rsid w:val="00D90C94"/>
    <w:rsid w:val="00D918C9"/>
    <w:rsid w:val="00D919C2"/>
    <w:rsid w:val="00D91FC2"/>
    <w:rsid w:val="00D92539"/>
    <w:rsid w:val="00D92EEC"/>
    <w:rsid w:val="00D93C70"/>
    <w:rsid w:val="00D9488C"/>
    <w:rsid w:val="00D94AFD"/>
    <w:rsid w:val="00D950E6"/>
    <w:rsid w:val="00D952B0"/>
    <w:rsid w:val="00D95B1A"/>
    <w:rsid w:val="00D95C98"/>
    <w:rsid w:val="00D960C3"/>
    <w:rsid w:val="00D9674D"/>
    <w:rsid w:val="00D96B42"/>
    <w:rsid w:val="00D9762E"/>
    <w:rsid w:val="00D97CA7"/>
    <w:rsid w:val="00DA01E4"/>
    <w:rsid w:val="00DA0329"/>
    <w:rsid w:val="00DA0A7F"/>
    <w:rsid w:val="00DA0F77"/>
    <w:rsid w:val="00DA1A65"/>
    <w:rsid w:val="00DA1AF3"/>
    <w:rsid w:val="00DA1B7B"/>
    <w:rsid w:val="00DA1E0C"/>
    <w:rsid w:val="00DA1E27"/>
    <w:rsid w:val="00DA1FCD"/>
    <w:rsid w:val="00DA2DDE"/>
    <w:rsid w:val="00DA3053"/>
    <w:rsid w:val="00DA323F"/>
    <w:rsid w:val="00DA40CF"/>
    <w:rsid w:val="00DA40D9"/>
    <w:rsid w:val="00DA4208"/>
    <w:rsid w:val="00DA4868"/>
    <w:rsid w:val="00DA4890"/>
    <w:rsid w:val="00DA4A47"/>
    <w:rsid w:val="00DA4C2E"/>
    <w:rsid w:val="00DA53BA"/>
    <w:rsid w:val="00DA593A"/>
    <w:rsid w:val="00DA5F1A"/>
    <w:rsid w:val="00DA6009"/>
    <w:rsid w:val="00DA64AA"/>
    <w:rsid w:val="00DA676B"/>
    <w:rsid w:val="00DA696F"/>
    <w:rsid w:val="00DA6A51"/>
    <w:rsid w:val="00DA6A9D"/>
    <w:rsid w:val="00DA6AC6"/>
    <w:rsid w:val="00DA6CEE"/>
    <w:rsid w:val="00DA729E"/>
    <w:rsid w:val="00DB00C1"/>
    <w:rsid w:val="00DB012A"/>
    <w:rsid w:val="00DB0E0E"/>
    <w:rsid w:val="00DB0E8F"/>
    <w:rsid w:val="00DB103C"/>
    <w:rsid w:val="00DB13FE"/>
    <w:rsid w:val="00DB2172"/>
    <w:rsid w:val="00DB22BE"/>
    <w:rsid w:val="00DB254C"/>
    <w:rsid w:val="00DB28D8"/>
    <w:rsid w:val="00DB2A94"/>
    <w:rsid w:val="00DB2AB2"/>
    <w:rsid w:val="00DB350F"/>
    <w:rsid w:val="00DB3ED2"/>
    <w:rsid w:val="00DB446A"/>
    <w:rsid w:val="00DB44B0"/>
    <w:rsid w:val="00DB4783"/>
    <w:rsid w:val="00DB5737"/>
    <w:rsid w:val="00DB576B"/>
    <w:rsid w:val="00DB61ED"/>
    <w:rsid w:val="00DB61FB"/>
    <w:rsid w:val="00DB6628"/>
    <w:rsid w:val="00DB6BD4"/>
    <w:rsid w:val="00DB6D72"/>
    <w:rsid w:val="00DB79DF"/>
    <w:rsid w:val="00DB7F91"/>
    <w:rsid w:val="00DC0032"/>
    <w:rsid w:val="00DC047F"/>
    <w:rsid w:val="00DC0C38"/>
    <w:rsid w:val="00DC0C55"/>
    <w:rsid w:val="00DC1301"/>
    <w:rsid w:val="00DC187E"/>
    <w:rsid w:val="00DC3817"/>
    <w:rsid w:val="00DC3904"/>
    <w:rsid w:val="00DC46EB"/>
    <w:rsid w:val="00DC4EAA"/>
    <w:rsid w:val="00DC5834"/>
    <w:rsid w:val="00DC59B7"/>
    <w:rsid w:val="00DC613A"/>
    <w:rsid w:val="00DC630B"/>
    <w:rsid w:val="00DC63D3"/>
    <w:rsid w:val="00DC642C"/>
    <w:rsid w:val="00DC644A"/>
    <w:rsid w:val="00DC66F3"/>
    <w:rsid w:val="00DC7399"/>
    <w:rsid w:val="00DC744E"/>
    <w:rsid w:val="00DC76BF"/>
    <w:rsid w:val="00DC77BC"/>
    <w:rsid w:val="00DC7C1B"/>
    <w:rsid w:val="00DD010B"/>
    <w:rsid w:val="00DD0A31"/>
    <w:rsid w:val="00DD0D8E"/>
    <w:rsid w:val="00DD0F8E"/>
    <w:rsid w:val="00DD1388"/>
    <w:rsid w:val="00DD1C60"/>
    <w:rsid w:val="00DD214D"/>
    <w:rsid w:val="00DD25AE"/>
    <w:rsid w:val="00DD30BC"/>
    <w:rsid w:val="00DD3240"/>
    <w:rsid w:val="00DD3416"/>
    <w:rsid w:val="00DD4283"/>
    <w:rsid w:val="00DD46AB"/>
    <w:rsid w:val="00DD4BEE"/>
    <w:rsid w:val="00DD4C8C"/>
    <w:rsid w:val="00DD506B"/>
    <w:rsid w:val="00DD587F"/>
    <w:rsid w:val="00DD5C24"/>
    <w:rsid w:val="00DD5D24"/>
    <w:rsid w:val="00DD668C"/>
    <w:rsid w:val="00DD7489"/>
    <w:rsid w:val="00DD75E5"/>
    <w:rsid w:val="00DE0EDE"/>
    <w:rsid w:val="00DE131A"/>
    <w:rsid w:val="00DE2392"/>
    <w:rsid w:val="00DE2EC0"/>
    <w:rsid w:val="00DE3165"/>
    <w:rsid w:val="00DE33A6"/>
    <w:rsid w:val="00DE3738"/>
    <w:rsid w:val="00DE3B27"/>
    <w:rsid w:val="00DE3DD4"/>
    <w:rsid w:val="00DE3ECC"/>
    <w:rsid w:val="00DE40D7"/>
    <w:rsid w:val="00DE4109"/>
    <w:rsid w:val="00DE4387"/>
    <w:rsid w:val="00DE44D6"/>
    <w:rsid w:val="00DE4A70"/>
    <w:rsid w:val="00DE5529"/>
    <w:rsid w:val="00DE580B"/>
    <w:rsid w:val="00DE5E20"/>
    <w:rsid w:val="00DE6081"/>
    <w:rsid w:val="00DE642D"/>
    <w:rsid w:val="00DE646E"/>
    <w:rsid w:val="00DE663B"/>
    <w:rsid w:val="00DE69EB"/>
    <w:rsid w:val="00DE7055"/>
    <w:rsid w:val="00DE7186"/>
    <w:rsid w:val="00DE767F"/>
    <w:rsid w:val="00DE7733"/>
    <w:rsid w:val="00DE7779"/>
    <w:rsid w:val="00DF01DF"/>
    <w:rsid w:val="00DF032D"/>
    <w:rsid w:val="00DF071A"/>
    <w:rsid w:val="00DF0811"/>
    <w:rsid w:val="00DF086B"/>
    <w:rsid w:val="00DF0B3F"/>
    <w:rsid w:val="00DF0E53"/>
    <w:rsid w:val="00DF153F"/>
    <w:rsid w:val="00DF1E16"/>
    <w:rsid w:val="00DF239E"/>
    <w:rsid w:val="00DF29B9"/>
    <w:rsid w:val="00DF2A15"/>
    <w:rsid w:val="00DF2E68"/>
    <w:rsid w:val="00DF3092"/>
    <w:rsid w:val="00DF32D2"/>
    <w:rsid w:val="00DF338C"/>
    <w:rsid w:val="00DF3452"/>
    <w:rsid w:val="00DF3BA1"/>
    <w:rsid w:val="00DF3C17"/>
    <w:rsid w:val="00DF43B5"/>
    <w:rsid w:val="00DF4BD3"/>
    <w:rsid w:val="00DF4F15"/>
    <w:rsid w:val="00DF5980"/>
    <w:rsid w:val="00DF5B61"/>
    <w:rsid w:val="00DF5C74"/>
    <w:rsid w:val="00DF6937"/>
    <w:rsid w:val="00DF6A5D"/>
    <w:rsid w:val="00DF6B09"/>
    <w:rsid w:val="00DF6ED4"/>
    <w:rsid w:val="00DF7187"/>
    <w:rsid w:val="00DF7E94"/>
    <w:rsid w:val="00DF7F81"/>
    <w:rsid w:val="00E00340"/>
    <w:rsid w:val="00E00762"/>
    <w:rsid w:val="00E0107D"/>
    <w:rsid w:val="00E0186D"/>
    <w:rsid w:val="00E01BCB"/>
    <w:rsid w:val="00E025E8"/>
    <w:rsid w:val="00E02AE5"/>
    <w:rsid w:val="00E0305A"/>
    <w:rsid w:val="00E0324E"/>
    <w:rsid w:val="00E0346B"/>
    <w:rsid w:val="00E03FE2"/>
    <w:rsid w:val="00E0430C"/>
    <w:rsid w:val="00E0439A"/>
    <w:rsid w:val="00E04588"/>
    <w:rsid w:val="00E04E8B"/>
    <w:rsid w:val="00E05CAC"/>
    <w:rsid w:val="00E05D0C"/>
    <w:rsid w:val="00E05DE8"/>
    <w:rsid w:val="00E060CD"/>
    <w:rsid w:val="00E0617A"/>
    <w:rsid w:val="00E06674"/>
    <w:rsid w:val="00E067FC"/>
    <w:rsid w:val="00E0698F"/>
    <w:rsid w:val="00E06D30"/>
    <w:rsid w:val="00E07509"/>
    <w:rsid w:val="00E07694"/>
    <w:rsid w:val="00E07E02"/>
    <w:rsid w:val="00E1002C"/>
    <w:rsid w:val="00E109F3"/>
    <w:rsid w:val="00E10C9F"/>
    <w:rsid w:val="00E11B76"/>
    <w:rsid w:val="00E123B1"/>
    <w:rsid w:val="00E12895"/>
    <w:rsid w:val="00E12A7F"/>
    <w:rsid w:val="00E12BAC"/>
    <w:rsid w:val="00E1331C"/>
    <w:rsid w:val="00E1346D"/>
    <w:rsid w:val="00E1349B"/>
    <w:rsid w:val="00E13BF6"/>
    <w:rsid w:val="00E143FD"/>
    <w:rsid w:val="00E1442A"/>
    <w:rsid w:val="00E1446A"/>
    <w:rsid w:val="00E1452A"/>
    <w:rsid w:val="00E14F0F"/>
    <w:rsid w:val="00E15086"/>
    <w:rsid w:val="00E15255"/>
    <w:rsid w:val="00E155EB"/>
    <w:rsid w:val="00E15B24"/>
    <w:rsid w:val="00E16808"/>
    <w:rsid w:val="00E2002C"/>
    <w:rsid w:val="00E213ED"/>
    <w:rsid w:val="00E21783"/>
    <w:rsid w:val="00E21AE7"/>
    <w:rsid w:val="00E22579"/>
    <w:rsid w:val="00E22782"/>
    <w:rsid w:val="00E22B94"/>
    <w:rsid w:val="00E22E10"/>
    <w:rsid w:val="00E22E5B"/>
    <w:rsid w:val="00E23006"/>
    <w:rsid w:val="00E23E6B"/>
    <w:rsid w:val="00E24535"/>
    <w:rsid w:val="00E248FB"/>
    <w:rsid w:val="00E258F8"/>
    <w:rsid w:val="00E2664F"/>
    <w:rsid w:val="00E267C7"/>
    <w:rsid w:val="00E26A15"/>
    <w:rsid w:val="00E2721F"/>
    <w:rsid w:val="00E27B33"/>
    <w:rsid w:val="00E3072F"/>
    <w:rsid w:val="00E30860"/>
    <w:rsid w:val="00E313B4"/>
    <w:rsid w:val="00E315E9"/>
    <w:rsid w:val="00E31D8A"/>
    <w:rsid w:val="00E31EDD"/>
    <w:rsid w:val="00E31FD2"/>
    <w:rsid w:val="00E32258"/>
    <w:rsid w:val="00E3274F"/>
    <w:rsid w:val="00E3314A"/>
    <w:rsid w:val="00E33245"/>
    <w:rsid w:val="00E3358D"/>
    <w:rsid w:val="00E33647"/>
    <w:rsid w:val="00E33BED"/>
    <w:rsid w:val="00E3474C"/>
    <w:rsid w:val="00E353C3"/>
    <w:rsid w:val="00E35941"/>
    <w:rsid w:val="00E37F67"/>
    <w:rsid w:val="00E37F8C"/>
    <w:rsid w:val="00E40FCD"/>
    <w:rsid w:val="00E41054"/>
    <w:rsid w:val="00E411A8"/>
    <w:rsid w:val="00E41741"/>
    <w:rsid w:val="00E419B5"/>
    <w:rsid w:val="00E419D3"/>
    <w:rsid w:val="00E41EF5"/>
    <w:rsid w:val="00E41F5B"/>
    <w:rsid w:val="00E432E5"/>
    <w:rsid w:val="00E433EF"/>
    <w:rsid w:val="00E44459"/>
    <w:rsid w:val="00E447E6"/>
    <w:rsid w:val="00E44C88"/>
    <w:rsid w:val="00E45130"/>
    <w:rsid w:val="00E45C3C"/>
    <w:rsid w:val="00E46D49"/>
    <w:rsid w:val="00E470C1"/>
    <w:rsid w:val="00E47211"/>
    <w:rsid w:val="00E476FF"/>
    <w:rsid w:val="00E50A5D"/>
    <w:rsid w:val="00E50F1F"/>
    <w:rsid w:val="00E516EA"/>
    <w:rsid w:val="00E51817"/>
    <w:rsid w:val="00E519BC"/>
    <w:rsid w:val="00E51EAD"/>
    <w:rsid w:val="00E523DB"/>
    <w:rsid w:val="00E5266B"/>
    <w:rsid w:val="00E52955"/>
    <w:rsid w:val="00E5338A"/>
    <w:rsid w:val="00E53A9E"/>
    <w:rsid w:val="00E53C0D"/>
    <w:rsid w:val="00E53EA1"/>
    <w:rsid w:val="00E54838"/>
    <w:rsid w:val="00E548D8"/>
    <w:rsid w:val="00E54C91"/>
    <w:rsid w:val="00E550DE"/>
    <w:rsid w:val="00E554F1"/>
    <w:rsid w:val="00E56030"/>
    <w:rsid w:val="00E56E2D"/>
    <w:rsid w:val="00E5745F"/>
    <w:rsid w:val="00E60199"/>
    <w:rsid w:val="00E60248"/>
    <w:rsid w:val="00E60CFF"/>
    <w:rsid w:val="00E614F3"/>
    <w:rsid w:val="00E619A1"/>
    <w:rsid w:val="00E61F5E"/>
    <w:rsid w:val="00E6207F"/>
    <w:rsid w:val="00E62C19"/>
    <w:rsid w:val="00E6393A"/>
    <w:rsid w:val="00E63B99"/>
    <w:rsid w:val="00E6474E"/>
    <w:rsid w:val="00E64F44"/>
    <w:rsid w:val="00E651CC"/>
    <w:rsid w:val="00E65245"/>
    <w:rsid w:val="00E6524E"/>
    <w:rsid w:val="00E65B41"/>
    <w:rsid w:val="00E65D58"/>
    <w:rsid w:val="00E65D61"/>
    <w:rsid w:val="00E662EA"/>
    <w:rsid w:val="00E662F8"/>
    <w:rsid w:val="00E66333"/>
    <w:rsid w:val="00E6666D"/>
    <w:rsid w:val="00E6699E"/>
    <w:rsid w:val="00E66D09"/>
    <w:rsid w:val="00E66D95"/>
    <w:rsid w:val="00E677C4"/>
    <w:rsid w:val="00E67A2F"/>
    <w:rsid w:val="00E67BAF"/>
    <w:rsid w:val="00E70281"/>
    <w:rsid w:val="00E703C0"/>
    <w:rsid w:val="00E70FFE"/>
    <w:rsid w:val="00E714E9"/>
    <w:rsid w:val="00E71947"/>
    <w:rsid w:val="00E71FB8"/>
    <w:rsid w:val="00E72586"/>
    <w:rsid w:val="00E72A6D"/>
    <w:rsid w:val="00E72A72"/>
    <w:rsid w:val="00E72ABA"/>
    <w:rsid w:val="00E72FED"/>
    <w:rsid w:val="00E7359F"/>
    <w:rsid w:val="00E738C4"/>
    <w:rsid w:val="00E7390B"/>
    <w:rsid w:val="00E742E2"/>
    <w:rsid w:val="00E74887"/>
    <w:rsid w:val="00E74F2A"/>
    <w:rsid w:val="00E75230"/>
    <w:rsid w:val="00E75460"/>
    <w:rsid w:val="00E757C2"/>
    <w:rsid w:val="00E76F97"/>
    <w:rsid w:val="00E77198"/>
    <w:rsid w:val="00E7725F"/>
    <w:rsid w:val="00E77556"/>
    <w:rsid w:val="00E777E5"/>
    <w:rsid w:val="00E77B22"/>
    <w:rsid w:val="00E77BAA"/>
    <w:rsid w:val="00E77E35"/>
    <w:rsid w:val="00E802CC"/>
    <w:rsid w:val="00E810C8"/>
    <w:rsid w:val="00E81DD2"/>
    <w:rsid w:val="00E81E25"/>
    <w:rsid w:val="00E82082"/>
    <w:rsid w:val="00E8224C"/>
    <w:rsid w:val="00E8236E"/>
    <w:rsid w:val="00E83239"/>
    <w:rsid w:val="00E83671"/>
    <w:rsid w:val="00E83A47"/>
    <w:rsid w:val="00E84536"/>
    <w:rsid w:val="00E8495A"/>
    <w:rsid w:val="00E859D8"/>
    <w:rsid w:val="00E85B90"/>
    <w:rsid w:val="00E86305"/>
    <w:rsid w:val="00E866AC"/>
    <w:rsid w:val="00E8675C"/>
    <w:rsid w:val="00E87331"/>
    <w:rsid w:val="00E8740F"/>
    <w:rsid w:val="00E874F6"/>
    <w:rsid w:val="00E87505"/>
    <w:rsid w:val="00E8773B"/>
    <w:rsid w:val="00E87ABA"/>
    <w:rsid w:val="00E905FC"/>
    <w:rsid w:val="00E906CC"/>
    <w:rsid w:val="00E90A01"/>
    <w:rsid w:val="00E90E0D"/>
    <w:rsid w:val="00E90E60"/>
    <w:rsid w:val="00E91494"/>
    <w:rsid w:val="00E91526"/>
    <w:rsid w:val="00E91691"/>
    <w:rsid w:val="00E919A7"/>
    <w:rsid w:val="00E91D69"/>
    <w:rsid w:val="00E92575"/>
    <w:rsid w:val="00E925B0"/>
    <w:rsid w:val="00E925F5"/>
    <w:rsid w:val="00E92A4C"/>
    <w:rsid w:val="00E92D40"/>
    <w:rsid w:val="00E92FD0"/>
    <w:rsid w:val="00E930D2"/>
    <w:rsid w:val="00E931C1"/>
    <w:rsid w:val="00E933C1"/>
    <w:rsid w:val="00E93409"/>
    <w:rsid w:val="00E9350C"/>
    <w:rsid w:val="00E93631"/>
    <w:rsid w:val="00E93960"/>
    <w:rsid w:val="00E93B67"/>
    <w:rsid w:val="00E942A0"/>
    <w:rsid w:val="00E944CB"/>
    <w:rsid w:val="00E94765"/>
    <w:rsid w:val="00E949E9"/>
    <w:rsid w:val="00E94C5D"/>
    <w:rsid w:val="00E94E9F"/>
    <w:rsid w:val="00E95296"/>
    <w:rsid w:val="00E9568B"/>
    <w:rsid w:val="00E95AD9"/>
    <w:rsid w:val="00E962FA"/>
    <w:rsid w:val="00E9782D"/>
    <w:rsid w:val="00E97878"/>
    <w:rsid w:val="00E97920"/>
    <w:rsid w:val="00EA024D"/>
    <w:rsid w:val="00EA0AA9"/>
    <w:rsid w:val="00EA0E0D"/>
    <w:rsid w:val="00EA13C6"/>
    <w:rsid w:val="00EA1E1A"/>
    <w:rsid w:val="00EA1FDD"/>
    <w:rsid w:val="00EA232B"/>
    <w:rsid w:val="00EA2DDE"/>
    <w:rsid w:val="00EA2E93"/>
    <w:rsid w:val="00EA32F7"/>
    <w:rsid w:val="00EA38DE"/>
    <w:rsid w:val="00EA3B2F"/>
    <w:rsid w:val="00EA4448"/>
    <w:rsid w:val="00EA46A6"/>
    <w:rsid w:val="00EA4E3A"/>
    <w:rsid w:val="00EA517E"/>
    <w:rsid w:val="00EA5B05"/>
    <w:rsid w:val="00EA642F"/>
    <w:rsid w:val="00EA67FC"/>
    <w:rsid w:val="00EA6A82"/>
    <w:rsid w:val="00EA6AB8"/>
    <w:rsid w:val="00EA6F0E"/>
    <w:rsid w:val="00EA705D"/>
    <w:rsid w:val="00EA711B"/>
    <w:rsid w:val="00EA71DF"/>
    <w:rsid w:val="00EA7739"/>
    <w:rsid w:val="00EA7A5C"/>
    <w:rsid w:val="00EB03D5"/>
    <w:rsid w:val="00EB06B9"/>
    <w:rsid w:val="00EB0D89"/>
    <w:rsid w:val="00EB1550"/>
    <w:rsid w:val="00EB16D3"/>
    <w:rsid w:val="00EB325F"/>
    <w:rsid w:val="00EB32A5"/>
    <w:rsid w:val="00EB3624"/>
    <w:rsid w:val="00EB38EC"/>
    <w:rsid w:val="00EB3AB7"/>
    <w:rsid w:val="00EB4006"/>
    <w:rsid w:val="00EB4173"/>
    <w:rsid w:val="00EB426B"/>
    <w:rsid w:val="00EB4F32"/>
    <w:rsid w:val="00EB51B7"/>
    <w:rsid w:val="00EB5403"/>
    <w:rsid w:val="00EB58F0"/>
    <w:rsid w:val="00EB602A"/>
    <w:rsid w:val="00EB60B8"/>
    <w:rsid w:val="00EB60D8"/>
    <w:rsid w:val="00EB6231"/>
    <w:rsid w:val="00EB709A"/>
    <w:rsid w:val="00EB75FA"/>
    <w:rsid w:val="00EB7D1A"/>
    <w:rsid w:val="00EB7DE6"/>
    <w:rsid w:val="00EC0297"/>
    <w:rsid w:val="00EC0DBB"/>
    <w:rsid w:val="00EC13D4"/>
    <w:rsid w:val="00EC1465"/>
    <w:rsid w:val="00EC14DA"/>
    <w:rsid w:val="00EC1FE8"/>
    <w:rsid w:val="00EC2B1B"/>
    <w:rsid w:val="00EC2C7F"/>
    <w:rsid w:val="00EC331B"/>
    <w:rsid w:val="00EC3760"/>
    <w:rsid w:val="00EC3F23"/>
    <w:rsid w:val="00EC5186"/>
    <w:rsid w:val="00EC59B5"/>
    <w:rsid w:val="00EC5A11"/>
    <w:rsid w:val="00EC6163"/>
    <w:rsid w:val="00EC6501"/>
    <w:rsid w:val="00EC67C3"/>
    <w:rsid w:val="00EC7267"/>
    <w:rsid w:val="00EC778D"/>
    <w:rsid w:val="00EC7899"/>
    <w:rsid w:val="00EC7A69"/>
    <w:rsid w:val="00EC7CB4"/>
    <w:rsid w:val="00ED052F"/>
    <w:rsid w:val="00ED0FE7"/>
    <w:rsid w:val="00ED1291"/>
    <w:rsid w:val="00ED12F0"/>
    <w:rsid w:val="00ED1376"/>
    <w:rsid w:val="00ED154D"/>
    <w:rsid w:val="00ED156F"/>
    <w:rsid w:val="00ED1916"/>
    <w:rsid w:val="00ED1B19"/>
    <w:rsid w:val="00ED1B70"/>
    <w:rsid w:val="00ED1FB7"/>
    <w:rsid w:val="00ED22A4"/>
    <w:rsid w:val="00ED2F71"/>
    <w:rsid w:val="00ED31C2"/>
    <w:rsid w:val="00ED3309"/>
    <w:rsid w:val="00ED3397"/>
    <w:rsid w:val="00ED3569"/>
    <w:rsid w:val="00ED3C76"/>
    <w:rsid w:val="00ED4B89"/>
    <w:rsid w:val="00ED5EBD"/>
    <w:rsid w:val="00ED6483"/>
    <w:rsid w:val="00ED6972"/>
    <w:rsid w:val="00ED79FE"/>
    <w:rsid w:val="00ED7EE3"/>
    <w:rsid w:val="00EE020F"/>
    <w:rsid w:val="00EE0ED6"/>
    <w:rsid w:val="00EE17D5"/>
    <w:rsid w:val="00EE187F"/>
    <w:rsid w:val="00EE2891"/>
    <w:rsid w:val="00EE28F0"/>
    <w:rsid w:val="00EE341A"/>
    <w:rsid w:val="00EE3622"/>
    <w:rsid w:val="00EE379C"/>
    <w:rsid w:val="00EE3B60"/>
    <w:rsid w:val="00EE3C8D"/>
    <w:rsid w:val="00EE4EA7"/>
    <w:rsid w:val="00EE5369"/>
    <w:rsid w:val="00EE5CE2"/>
    <w:rsid w:val="00EE76C9"/>
    <w:rsid w:val="00EF07A7"/>
    <w:rsid w:val="00EF0899"/>
    <w:rsid w:val="00EF0980"/>
    <w:rsid w:val="00EF0D9C"/>
    <w:rsid w:val="00EF0F87"/>
    <w:rsid w:val="00EF14CF"/>
    <w:rsid w:val="00EF1D01"/>
    <w:rsid w:val="00EF2042"/>
    <w:rsid w:val="00EF2054"/>
    <w:rsid w:val="00EF2424"/>
    <w:rsid w:val="00EF254F"/>
    <w:rsid w:val="00EF25FB"/>
    <w:rsid w:val="00EF2BCF"/>
    <w:rsid w:val="00EF322F"/>
    <w:rsid w:val="00EF3689"/>
    <w:rsid w:val="00EF3CBF"/>
    <w:rsid w:val="00EF3E09"/>
    <w:rsid w:val="00EF423E"/>
    <w:rsid w:val="00EF428C"/>
    <w:rsid w:val="00EF43C3"/>
    <w:rsid w:val="00EF4CF7"/>
    <w:rsid w:val="00EF5150"/>
    <w:rsid w:val="00EF5264"/>
    <w:rsid w:val="00EF591A"/>
    <w:rsid w:val="00EF5C20"/>
    <w:rsid w:val="00EF66CB"/>
    <w:rsid w:val="00EF68E2"/>
    <w:rsid w:val="00EF6924"/>
    <w:rsid w:val="00EF6C7E"/>
    <w:rsid w:val="00EF78A0"/>
    <w:rsid w:val="00EF796F"/>
    <w:rsid w:val="00EF7BEA"/>
    <w:rsid w:val="00F003FD"/>
    <w:rsid w:val="00F00A00"/>
    <w:rsid w:val="00F01390"/>
    <w:rsid w:val="00F01461"/>
    <w:rsid w:val="00F01BCE"/>
    <w:rsid w:val="00F0315C"/>
    <w:rsid w:val="00F03283"/>
    <w:rsid w:val="00F03E93"/>
    <w:rsid w:val="00F04038"/>
    <w:rsid w:val="00F04E32"/>
    <w:rsid w:val="00F04F34"/>
    <w:rsid w:val="00F05B94"/>
    <w:rsid w:val="00F05C04"/>
    <w:rsid w:val="00F069D2"/>
    <w:rsid w:val="00F06ACF"/>
    <w:rsid w:val="00F06DB8"/>
    <w:rsid w:val="00F06E14"/>
    <w:rsid w:val="00F07663"/>
    <w:rsid w:val="00F1035C"/>
    <w:rsid w:val="00F109F0"/>
    <w:rsid w:val="00F116EA"/>
    <w:rsid w:val="00F11A53"/>
    <w:rsid w:val="00F11B12"/>
    <w:rsid w:val="00F11F50"/>
    <w:rsid w:val="00F1229E"/>
    <w:rsid w:val="00F122F5"/>
    <w:rsid w:val="00F127C5"/>
    <w:rsid w:val="00F1283D"/>
    <w:rsid w:val="00F132C2"/>
    <w:rsid w:val="00F13801"/>
    <w:rsid w:val="00F13ACB"/>
    <w:rsid w:val="00F1428E"/>
    <w:rsid w:val="00F14B8D"/>
    <w:rsid w:val="00F14BE4"/>
    <w:rsid w:val="00F1590F"/>
    <w:rsid w:val="00F16798"/>
    <w:rsid w:val="00F16A2D"/>
    <w:rsid w:val="00F16A95"/>
    <w:rsid w:val="00F17458"/>
    <w:rsid w:val="00F176DF"/>
    <w:rsid w:val="00F1794B"/>
    <w:rsid w:val="00F205EF"/>
    <w:rsid w:val="00F2066B"/>
    <w:rsid w:val="00F209B6"/>
    <w:rsid w:val="00F20D1A"/>
    <w:rsid w:val="00F20FE0"/>
    <w:rsid w:val="00F215D8"/>
    <w:rsid w:val="00F21B7C"/>
    <w:rsid w:val="00F229B4"/>
    <w:rsid w:val="00F230CD"/>
    <w:rsid w:val="00F23D99"/>
    <w:rsid w:val="00F241A6"/>
    <w:rsid w:val="00F24C5E"/>
    <w:rsid w:val="00F251FA"/>
    <w:rsid w:val="00F25218"/>
    <w:rsid w:val="00F268EF"/>
    <w:rsid w:val="00F26DF7"/>
    <w:rsid w:val="00F27032"/>
    <w:rsid w:val="00F270CC"/>
    <w:rsid w:val="00F270FD"/>
    <w:rsid w:val="00F27186"/>
    <w:rsid w:val="00F27244"/>
    <w:rsid w:val="00F27409"/>
    <w:rsid w:val="00F27729"/>
    <w:rsid w:val="00F301BE"/>
    <w:rsid w:val="00F30D53"/>
    <w:rsid w:val="00F3104B"/>
    <w:rsid w:val="00F313CD"/>
    <w:rsid w:val="00F32F4E"/>
    <w:rsid w:val="00F3317C"/>
    <w:rsid w:val="00F33598"/>
    <w:rsid w:val="00F3394B"/>
    <w:rsid w:val="00F33CC6"/>
    <w:rsid w:val="00F33D96"/>
    <w:rsid w:val="00F346CE"/>
    <w:rsid w:val="00F34954"/>
    <w:rsid w:val="00F35AAA"/>
    <w:rsid w:val="00F35AB6"/>
    <w:rsid w:val="00F35B61"/>
    <w:rsid w:val="00F37079"/>
    <w:rsid w:val="00F37500"/>
    <w:rsid w:val="00F37F9E"/>
    <w:rsid w:val="00F40367"/>
    <w:rsid w:val="00F4036C"/>
    <w:rsid w:val="00F407DC"/>
    <w:rsid w:val="00F4094B"/>
    <w:rsid w:val="00F4114D"/>
    <w:rsid w:val="00F41F10"/>
    <w:rsid w:val="00F423D3"/>
    <w:rsid w:val="00F4264C"/>
    <w:rsid w:val="00F42FDF"/>
    <w:rsid w:val="00F43082"/>
    <w:rsid w:val="00F43556"/>
    <w:rsid w:val="00F4382D"/>
    <w:rsid w:val="00F45275"/>
    <w:rsid w:val="00F45744"/>
    <w:rsid w:val="00F46482"/>
    <w:rsid w:val="00F4707F"/>
    <w:rsid w:val="00F4769F"/>
    <w:rsid w:val="00F4771F"/>
    <w:rsid w:val="00F47DAA"/>
    <w:rsid w:val="00F505C2"/>
    <w:rsid w:val="00F505C8"/>
    <w:rsid w:val="00F50703"/>
    <w:rsid w:val="00F50CBB"/>
    <w:rsid w:val="00F51884"/>
    <w:rsid w:val="00F519E0"/>
    <w:rsid w:val="00F51B8E"/>
    <w:rsid w:val="00F51C18"/>
    <w:rsid w:val="00F52126"/>
    <w:rsid w:val="00F52553"/>
    <w:rsid w:val="00F525F2"/>
    <w:rsid w:val="00F52DB9"/>
    <w:rsid w:val="00F52ED6"/>
    <w:rsid w:val="00F53303"/>
    <w:rsid w:val="00F536AF"/>
    <w:rsid w:val="00F53A47"/>
    <w:rsid w:val="00F53AF2"/>
    <w:rsid w:val="00F53F44"/>
    <w:rsid w:val="00F54415"/>
    <w:rsid w:val="00F5462D"/>
    <w:rsid w:val="00F555D6"/>
    <w:rsid w:val="00F557AC"/>
    <w:rsid w:val="00F5583A"/>
    <w:rsid w:val="00F558D8"/>
    <w:rsid w:val="00F55E41"/>
    <w:rsid w:val="00F56433"/>
    <w:rsid w:val="00F56935"/>
    <w:rsid w:val="00F56C1B"/>
    <w:rsid w:val="00F57605"/>
    <w:rsid w:val="00F57BAD"/>
    <w:rsid w:val="00F57E38"/>
    <w:rsid w:val="00F60750"/>
    <w:rsid w:val="00F61375"/>
    <w:rsid w:val="00F61E78"/>
    <w:rsid w:val="00F621AF"/>
    <w:rsid w:val="00F62973"/>
    <w:rsid w:val="00F63763"/>
    <w:rsid w:val="00F63C9B"/>
    <w:rsid w:val="00F6422B"/>
    <w:rsid w:val="00F642C2"/>
    <w:rsid w:val="00F6513D"/>
    <w:rsid w:val="00F65441"/>
    <w:rsid w:val="00F65531"/>
    <w:rsid w:val="00F656DB"/>
    <w:rsid w:val="00F65AB6"/>
    <w:rsid w:val="00F66B31"/>
    <w:rsid w:val="00F66B49"/>
    <w:rsid w:val="00F6773E"/>
    <w:rsid w:val="00F67871"/>
    <w:rsid w:val="00F67F54"/>
    <w:rsid w:val="00F70154"/>
    <w:rsid w:val="00F701E7"/>
    <w:rsid w:val="00F712C8"/>
    <w:rsid w:val="00F712E0"/>
    <w:rsid w:val="00F7190E"/>
    <w:rsid w:val="00F71A22"/>
    <w:rsid w:val="00F71D7B"/>
    <w:rsid w:val="00F71FC4"/>
    <w:rsid w:val="00F720CF"/>
    <w:rsid w:val="00F7244A"/>
    <w:rsid w:val="00F72749"/>
    <w:rsid w:val="00F72ED0"/>
    <w:rsid w:val="00F72F55"/>
    <w:rsid w:val="00F72F8A"/>
    <w:rsid w:val="00F730E6"/>
    <w:rsid w:val="00F736AB"/>
    <w:rsid w:val="00F74844"/>
    <w:rsid w:val="00F749B3"/>
    <w:rsid w:val="00F75070"/>
    <w:rsid w:val="00F7520A"/>
    <w:rsid w:val="00F7563F"/>
    <w:rsid w:val="00F75B6B"/>
    <w:rsid w:val="00F75C32"/>
    <w:rsid w:val="00F8011A"/>
    <w:rsid w:val="00F80229"/>
    <w:rsid w:val="00F80953"/>
    <w:rsid w:val="00F80F11"/>
    <w:rsid w:val="00F81B4D"/>
    <w:rsid w:val="00F81E66"/>
    <w:rsid w:val="00F81F3D"/>
    <w:rsid w:val="00F82885"/>
    <w:rsid w:val="00F829AA"/>
    <w:rsid w:val="00F82B50"/>
    <w:rsid w:val="00F832CD"/>
    <w:rsid w:val="00F8389D"/>
    <w:rsid w:val="00F83A65"/>
    <w:rsid w:val="00F849ED"/>
    <w:rsid w:val="00F84B40"/>
    <w:rsid w:val="00F85449"/>
    <w:rsid w:val="00F859C9"/>
    <w:rsid w:val="00F86610"/>
    <w:rsid w:val="00F86F9D"/>
    <w:rsid w:val="00F86FA4"/>
    <w:rsid w:val="00F8749B"/>
    <w:rsid w:val="00F87570"/>
    <w:rsid w:val="00F875A3"/>
    <w:rsid w:val="00F877F1"/>
    <w:rsid w:val="00F877FE"/>
    <w:rsid w:val="00F8787A"/>
    <w:rsid w:val="00F90410"/>
    <w:rsid w:val="00F90F3F"/>
    <w:rsid w:val="00F912D1"/>
    <w:rsid w:val="00F92655"/>
    <w:rsid w:val="00F92E0C"/>
    <w:rsid w:val="00F9330E"/>
    <w:rsid w:val="00F93C2F"/>
    <w:rsid w:val="00F93EE0"/>
    <w:rsid w:val="00F94583"/>
    <w:rsid w:val="00F94B4E"/>
    <w:rsid w:val="00F95AD9"/>
    <w:rsid w:val="00F96257"/>
    <w:rsid w:val="00F96436"/>
    <w:rsid w:val="00F9649C"/>
    <w:rsid w:val="00F96637"/>
    <w:rsid w:val="00F96CCE"/>
    <w:rsid w:val="00F96E5A"/>
    <w:rsid w:val="00F9700A"/>
    <w:rsid w:val="00FA021D"/>
    <w:rsid w:val="00FA0BA3"/>
    <w:rsid w:val="00FA0CD8"/>
    <w:rsid w:val="00FA1841"/>
    <w:rsid w:val="00FA2575"/>
    <w:rsid w:val="00FA2A66"/>
    <w:rsid w:val="00FA31E2"/>
    <w:rsid w:val="00FA3479"/>
    <w:rsid w:val="00FA36E2"/>
    <w:rsid w:val="00FA389A"/>
    <w:rsid w:val="00FA39EE"/>
    <w:rsid w:val="00FA3B9B"/>
    <w:rsid w:val="00FA3DD9"/>
    <w:rsid w:val="00FA3FB0"/>
    <w:rsid w:val="00FA4367"/>
    <w:rsid w:val="00FA4386"/>
    <w:rsid w:val="00FA482E"/>
    <w:rsid w:val="00FA4BA3"/>
    <w:rsid w:val="00FA5881"/>
    <w:rsid w:val="00FA6740"/>
    <w:rsid w:val="00FA73BF"/>
    <w:rsid w:val="00FA7E56"/>
    <w:rsid w:val="00FB0401"/>
    <w:rsid w:val="00FB059B"/>
    <w:rsid w:val="00FB0A53"/>
    <w:rsid w:val="00FB0F71"/>
    <w:rsid w:val="00FB14E0"/>
    <w:rsid w:val="00FB2AD3"/>
    <w:rsid w:val="00FB3F91"/>
    <w:rsid w:val="00FB56CB"/>
    <w:rsid w:val="00FB56DC"/>
    <w:rsid w:val="00FB5B49"/>
    <w:rsid w:val="00FB5FC7"/>
    <w:rsid w:val="00FB6091"/>
    <w:rsid w:val="00FB64D7"/>
    <w:rsid w:val="00FB660E"/>
    <w:rsid w:val="00FB6C85"/>
    <w:rsid w:val="00FB70DE"/>
    <w:rsid w:val="00FB761B"/>
    <w:rsid w:val="00FB7736"/>
    <w:rsid w:val="00FC0002"/>
    <w:rsid w:val="00FC09B5"/>
    <w:rsid w:val="00FC0FF3"/>
    <w:rsid w:val="00FC1C37"/>
    <w:rsid w:val="00FC1EDE"/>
    <w:rsid w:val="00FC23DF"/>
    <w:rsid w:val="00FC2412"/>
    <w:rsid w:val="00FC2440"/>
    <w:rsid w:val="00FC2C0A"/>
    <w:rsid w:val="00FC2CEA"/>
    <w:rsid w:val="00FC2F47"/>
    <w:rsid w:val="00FC31E9"/>
    <w:rsid w:val="00FC3504"/>
    <w:rsid w:val="00FC3EB1"/>
    <w:rsid w:val="00FC4262"/>
    <w:rsid w:val="00FC49D7"/>
    <w:rsid w:val="00FC4B77"/>
    <w:rsid w:val="00FC4BCB"/>
    <w:rsid w:val="00FC4C43"/>
    <w:rsid w:val="00FC4D7E"/>
    <w:rsid w:val="00FC51E3"/>
    <w:rsid w:val="00FC601B"/>
    <w:rsid w:val="00FC6199"/>
    <w:rsid w:val="00FC669A"/>
    <w:rsid w:val="00FC752D"/>
    <w:rsid w:val="00FC76B4"/>
    <w:rsid w:val="00FC7B82"/>
    <w:rsid w:val="00FD037C"/>
    <w:rsid w:val="00FD0935"/>
    <w:rsid w:val="00FD0CD2"/>
    <w:rsid w:val="00FD1060"/>
    <w:rsid w:val="00FD143F"/>
    <w:rsid w:val="00FD14AE"/>
    <w:rsid w:val="00FD16A4"/>
    <w:rsid w:val="00FD17FA"/>
    <w:rsid w:val="00FD2128"/>
    <w:rsid w:val="00FD2532"/>
    <w:rsid w:val="00FD26F4"/>
    <w:rsid w:val="00FD2AAF"/>
    <w:rsid w:val="00FD2E72"/>
    <w:rsid w:val="00FD39E9"/>
    <w:rsid w:val="00FD43AB"/>
    <w:rsid w:val="00FD54FB"/>
    <w:rsid w:val="00FD58AF"/>
    <w:rsid w:val="00FD593E"/>
    <w:rsid w:val="00FD5AD8"/>
    <w:rsid w:val="00FD5BAD"/>
    <w:rsid w:val="00FD6458"/>
    <w:rsid w:val="00FD66F7"/>
    <w:rsid w:val="00FD78B7"/>
    <w:rsid w:val="00FD7CA5"/>
    <w:rsid w:val="00FD7E06"/>
    <w:rsid w:val="00FE0877"/>
    <w:rsid w:val="00FE09E9"/>
    <w:rsid w:val="00FE0F7C"/>
    <w:rsid w:val="00FE101E"/>
    <w:rsid w:val="00FE127B"/>
    <w:rsid w:val="00FE14EC"/>
    <w:rsid w:val="00FE164F"/>
    <w:rsid w:val="00FE1AC2"/>
    <w:rsid w:val="00FE1E11"/>
    <w:rsid w:val="00FE1EFF"/>
    <w:rsid w:val="00FE2917"/>
    <w:rsid w:val="00FE2F9B"/>
    <w:rsid w:val="00FE30C0"/>
    <w:rsid w:val="00FE37F3"/>
    <w:rsid w:val="00FE3AA9"/>
    <w:rsid w:val="00FE3CE9"/>
    <w:rsid w:val="00FE4F83"/>
    <w:rsid w:val="00FE54DC"/>
    <w:rsid w:val="00FE5514"/>
    <w:rsid w:val="00FE55E4"/>
    <w:rsid w:val="00FE6EB8"/>
    <w:rsid w:val="00FE7ADD"/>
    <w:rsid w:val="00FF0BF4"/>
    <w:rsid w:val="00FF102D"/>
    <w:rsid w:val="00FF22A7"/>
    <w:rsid w:val="00FF22B8"/>
    <w:rsid w:val="00FF2FD0"/>
    <w:rsid w:val="00FF36FB"/>
    <w:rsid w:val="00FF39A1"/>
    <w:rsid w:val="00FF3E72"/>
    <w:rsid w:val="00FF3FAE"/>
    <w:rsid w:val="00FF419D"/>
    <w:rsid w:val="00FF46B3"/>
    <w:rsid w:val="00FF49F1"/>
    <w:rsid w:val="00FF5925"/>
    <w:rsid w:val="00FF5B70"/>
    <w:rsid w:val="00FF5BB9"/>
    <w:rsid w:val="00FF5F31"/>
    <w:rsid w:val="00FF6027"/>
    <w:rsid w:val="00FF61BE"/>
    <w:rsid w:val="00FF67D0"/>
    <w:rsid w:val="00FF7265"/>
    <w:rsid w:val="00FF7D4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0814B01"/>
  <w14:defaultImageDpi w14:val="330"/>
  <w15:chartTrackingRefBased/>
  <w15:docId w15:val="{66857428-DC22-4069-B4B4-82E3ACF3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34"/>
    <w:pPr>
      <w:spacing w:before="240" w:after="240" w:line="276" w:lineRule="auto"/>
    </w:pPr>
  </w:style>
  <w:style w:type="paragraph" w:styleId="Heading1">
    <w:name w:val="heading 1"/>
    <w:basedOn w:val="Normal"/>
    <w:next w:val="Normal"/>
    <w:link w:val="Heading1Char"/>
    <w:uiPriority w:val="2"/>
    <w:qFormat/>
    <w:rsid w:val="00E14F0F"/>
    <w:pPr>
      <w:keepNext/>
      <w:keepLines/>
      <w:spacing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nhideWhenUsed/>
    <w:qFormat/>
    <w:rsid w:val="00B64D25"/>
    <w:pPr>
      <w:keepNext/>
      <w:keepLines/>
      <w:spacing w:after="12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B64D25"/>
    <w:pPr>
      <w:keepNext/>
      <w:keepLines/>
      <w:spacing w:after="12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2"/>
    <w:rsid w:val="00E14F0F"/>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rsid w:val="00B64D25"/>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B64D25"/>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56040"/>
    <w:rPr>
      <w:rFonts w:asciiTheme="minorHAnsi" w:hAnsiTheme="minorHAnsi"/>
      <w:b/>
      <w:bCs/>
      <w:sz w:val="24"/>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B100CC"/>
    <w:pPr>
      <w:spacing w:after="40" w:line="240" w:lineRule="auto"/>
    </w:pPr>
    <w:rPr>
      <w:b/>
      <w:iCs/>
      <w:szCs w:val="18"/>
    </w:rPr>
  </w:style>
  <w:style w:type="paragraph" w:styleId="Quote">
    <w:name w:val="Quote"/>
    <w:basedOn w:val="Normal"/>
    <w:next w:val="Normal"/>
    <w:link w:val="QuoteChar"/>
    <w:qFormat/>
    <w:rsid w:val="005D4F9B"/>
    <w:pPr>
      <w:tabs>
        <w:tab w:val="right" w:pos="8222"/>
      </w:tabs>
      <w:spacing w:before="200" w:after="160"/>
      <w:ind w:left="862" w:right="862"/>
    </w:pPr>
    <w:rPr>
      <w:i/>
      <w:iCs/>
      <w:color w:val="595959" w:themeColor="text1" w:themeTint="A6"/>
    </w:rPr>
  </w:style>
  <w:style w:type="character" w:customStyle="1" w:styleId="QuoteChar">
    <w:name w:val="Quote Char"/>
    <w:basedOn w:val="DefaultParagraphFont"/>
    <w:link w:val="Quote"/>
    <w:rsid w:val="005D4F9B"/>
    <w:rPr>
      <w:i/>
      <w:iCs/>
      <w:color w:val="595959" w:themeColor="text1" w:themeTint="A6"/>
    </w:rPr>
  </w:style>
  <w:style w:type="paragraph" w:customStyle="1" w:styleId="Source">
    <w:name w:val="Source"/>
    <w:basedOn w:val="Normal"/>
    <w:uiPriority w:val="17"/>
    <w:qFormat/>
    <w:rsid w:val="00864CF2"/>
    <w:pPr>
      <w:spacing w:before="0" w:line="240" w:lineRule="auto"/>
    </w:pPr>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Number">
    <w:name w:val="List Number"/>
    <w:basedOn w:val="Normal"/>
    <w:uiPriority w:val="99"/>
    <w:unhideWhenUsed/>
    <w:qFormat/>
    <w:rsid w:val="00F96637"/>
    <w:pPr>
      <w:numPr>
        <w:numId w:val="1"/>
      </w:numPr>
      <w:spacing w:line="360" w:lineRule="auto"/>
      <w:contextualSpacing/>
    </w:pPr>
  </w:style>
  <w:style w:type="paragraph" w:styleId="ListBullet">
    <w:name w:val="List Bullet"/>
    <w:basedOn w:val="Normal"/>
    <w:uiPriority w:val="99"/>
    <w:unhideWhenUsed/>
    <w:qFormat/>
    <w:rsid w:val="00DC5834"/>
    <w:pPr>
      <w:numPr>
        <w:numId w:val="48"/>
      </w:numPr>
      <w:spacing w:before="0" w:after="200" w:line="360" w:lineRule="auto"/>
      <w:ind w:left="357" w:hanging="357"/>
      <w:contextualSpacing/>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1E6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4F4"/>
  </w:style>
  <w:style w:type="paragraph" w:styleId="TOC1">
    <w:name w:val="toc 1"/>
    <w:basedOn w:val="Normal"/>
    <w:next w:val="Normal"/>
    <w:autoRedefine/>
    <w:uiPriority w:val="39"/>
    <w:unhideWhenUsed/>
    <w:rsid w:val="00D169D2"/>
    <w:pPr>
      <w:tabs>
        <w:tab w:val="right" w:leader="dot" w:pos="9040"/>
      </w:tabs>
      <w:spacing w:after="100"/>
    </w:pPr>
    <w:rPr>
      <w:b/>
    </w:rPr>
  </w:style>
  <w:style w:type="paragraph" w:styleId="TOC2">
    <w:name w:val="toc 2"/>
    <w:basedOn w:val="Normal"/>
    <w:next w:val="Normal"/>
    <w:autoRedefine/>
    <w:uiPriority w:val="39"/>
    <w:unhideWhenUsed/>
    <w:rsid w:val="005C0F57"/>
    <w:pPr>
      <w:tabs>
        <w:tab w:val="right" w:leader="dot" w:pos="9040"/>
      </w:tabs>
      <w:spacing w:after="100"/>
      <w:ind w:left="220"/>
    </w:pPr>
  </w:style>
  <w:style w:type="paragraph" w:styleId="TOC3">
    <w:name w:val="toc 3"/>
    <w:basedOn w:val="Normal"/>
    <w:next w:val="Normal"/>
    <w:autoRedefine/>
    <w:uiPriority w:val="39"/>
    <w:unhideWhenUsed/>
    <w:rsid w:val="005C0F57"/>
    <w:pPr>
      <w:tabs>
        <w:tab w:val="right" w:leader="dot" w:pos="9040"/>
      </w:tabs>
      <w:spacing w:before="120" w:after="100"/>
      <w:ind w:left="442"/>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Bullets1">
    <w:name w:val="Bullets 1"/>
    <w:basedOn w:val="Normal"/>
    <w:qFormat/>
    <w:rsid w:val="00C63B03"/>
    <w:pPr>
      <w:numPr>
        <w:numId w:val="4"/>
      </w:numPr>
      <w:spacing w:before="120" w:after="120" w:line="300" w:lineRule="auto"/>
    </w:pPr>
    <w:rPr>
      <w:rFonts w:ascii="Arial" w:eastAsia="Times New Roman" w:hAnsi="Arial" w:cs="Times New Roman"/>
      <w:sz w:val="20"/>
      <w:szCs w:val="20"/>
    </w:rPr>
  </w:style>
  <w:style w:type="paragraph" w:customStyle="1" w:styleId="Bullets2">
    <w:name w:val="Bullets 2"/>
    <w:basedOn w:val="Normal"/>
    <w:autoRedefine/>
    <w:qFormat/>
    <w:rsid w:val="00B0356C"/>
    <w:pPr>
      <w:numPr>
        <w:ilvl w:val="1"/>
        <w:numId w:val="4"/>
      </w:numPr>
      <w:spacing w:before="120" w:after="120" w:line="300" w:lineRule="auto"/>
      <w:jc w:val="both"/>
    </w:pPr>
    <w:rPr>
      <w:rFonts w:eastAsia="Times New Roman" w:cs="Times New Roman"/>
      <w:sz w:val="20"/>
      <w:szCs w:val="20"/>
    </w:rPr>
  </w:style>
  <w:style w:type="paragraph" w:customStyle="1" w:styleId="Bullets3">
    <w:name w:val="Bullets 3"/>
    <w:basedOn w:val="Normal"/>
    <w:qFormat/>
    <w:rsid w:val="00C63B03"/>
    <w:pPr>
      <w:numPr>
        <w:ilvl w:val="2"/>
        <w:numId w:val="4"/>
      </w:numPr>
      <w:spacing w:before="120" w:after="120" w:line="300" w:lineRule="auto"/>
      <w:jc w:val="both"/>
    </w:pPr>
    <w:rPr>
      <w:rFonts w:ascii="Arial" w:eastAsia="Times New Roman" w:hAnsi="Arial" w:cs="Times New Roman"/>
      <w:sz w:val="20"/>
      <w:szCs w:val="20"/>
    </w:rPr>
  </w:style>
  <w:style w:type="paragraph" w:customStyle="1" w:styleId="TableCaption">
    <w:name w:val="Table Caption"/>
    <w:basedOn w:val="Normal"/>
    <w:link w:val="TableCaptionChar"/>
    <w:qFormat/>
    <w:rsid w:val="009A5DCE"/>
    <w:pPr>
      <w:keepNext/>
      <w:spacing w:after="120" w:line="240" w:lineRule="auto"/>
    </w:pPr>
    <w:rPr>
      <w:rFonts w:eastAsiaTheme="minorEastAsia"/>
      <w:b/>
    </w:rPr>
  </w:style>
  <w:style w:type="character" w:customStyle="1" w:styleId="TableCaptionChar">
    <w:name w:val="Table Caption Char"/>
    <w:aliases w:val="Caption Char"/>
    <w:basedOn w:val="DefaultParagraphFont"/>
    <w:link w:val="TableCaption"/>
    <w:rsid w:val="009A5DCE"/>
    <w:rPr>
      <w:rFonts w:eastAsiaTheme="minorEastAsia"/>
      <w:b/>
    </w:rPr>
  </w:style>
  <w:style w:type="character" w:styleId="FootnoteReference">
    <w:name w:val="footnote reference"/>
    <w:aliases w:val="AFPC Footnote Reference"/>
    <w:basedOn w:val="DefaultParagraphFont"/>
    <w:uiPriority w:val="99"/>
    <w:qFormat/>
    <w:rsid w:val="00E10C9F"/>
    <w:rPr>
      <w:vertAlign w:val="superscript"/>
    </w:rPr>
  </w:style>
  <w:style w:type="paragraph" w:customStyle="1" w:styleId="Bullet1">
    <w:name w:val="Bullet 1"/>
    <w:basedOn w:val="Normal"/>
    <w:link w:val="Bullet1Char"/>
    <w:qFormat/>
    <w:rsid w:val="00F849ED"/>
    <w:pPr>
      <w:numPr>
        <w:numId w:val="6"/>
      </w:numPr>
      <w:spacing w:before="120" w:after="0" w:line="240" w:lineRule="auto"/>
    </w:pPr>
  </w:style>
  <w:style w:type="character" w:customStyle="1" w:styleId="Bullet1Char">
    <w:name w:val="Bullet 1 Char"/>
    <w:basedOn w:val="DefaultParagraphFont"/>
    <w:link w:val="Bullet1"/>
    <w:rsid w:val="00F849ED"/>
  </w:style>
  <w:style w:type="paragraph" w:customStyle="1" w:styleId="TableHeading">
    <w:name w:val="Table Heading"/>
    <w:basedOn w:val="Normal"/>
    <w:next w:val="Normal"/>
    <w:rsid w:val="001271B5"/>
    <w:pPr>
      <w:spacing w:before="120" w:after="0" w:line="240" w:lineRule="auto"/>
    </w:pPr>
    <w:rPr>
      <w:rFonts w:ascii="Calibri" w:hAnsi="Calibri" w:cs="Times New Roman"/>
      <w:b/>
      <w:lang w:eastAsia="en-AU"/>
    </w:rPr>
  </w:style>
  <w:style w:type="table" w:customStyle="1" w:styleId="JobsTable">
    <w:name w:val="Jobs Table"/>
    <w:basedOn w:val="TableNormal"/>
    <w:uiPriority w:val="99"/>
    <w:rsid w:val="009F2F0B"/>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287BB3"/>
      </w:tcPr>
    </w:tblStylePr>
    <w:tblStylePr w:type="firstCol">
      <w:rPr>
        <w:b/>
      </w:rPr>
    </w:tblStylePr>
  </w:style>
  <w:style w:type="paragraph" w:customStyle="1" w:styleId="Note">
    <w:name w:val="Note"/>
    <w:basedOn w:val="Normal"/>
    <w:rsid w:val="009F2F0B"/>
    <w:pPr>
      <w:spacing w:line="240" w:lineRule="auto"/>
      <w:ind w:left="284" w:hanging="284"/>
      <w:jc w:val="both"/>
    </w:pPr>
    <w:rPr>
      <w:rFonts w:eastAsiaTheme="minorEastAsia"/>
      <w:sz w:val="18"/>
    </w:rPr>
  </w:style>
  <w:style w:type="paragraph" w:styleId="CommentText">
    <w:name w:val="annotation text"/>
    <w:basedOn w:val="Normal"/>
    <w:link w:val="CommentTextChar"/>
    <w:uiPriority w:val="99"/>
    <w:unhideWhenUsed/>
    <w:rsid w:val="00347DF0"/>
    <w:pPr>
      <w:spacing w:line="240" w:lineRule="auto"/>
    </w:pPr>
    <w:rPr>
      <w:sz w:val="20"/>
      <w:szCs w:val="20"/>
    </w:rPr>
  </w:style>
  <w:style w:type="character" w:customStyle="1" w:styleId="CommentTextChar">
    <w:name w:val="Comment Text Char"/>
    <w:basedOn w:val="DefaultParagraphFont"/>
    <w:link w:val="CommentText"/>
    <w:uiPriority w:val="99"/>
    <w:rsid w:val="00347DF0"/>
    <w:rPr>
      <w:sz w:val="20"/>
      <w:szCs w:val="20"/>
    </w:rPr>
  </w:style>
  <w:style w:type="character" w:styleId="CommentReference">
    <w:name w:val="annotation reference"/>
    <w:basedOn w:val="DefaultParagraphFont"/>
    <w:uiPriority w:val="99"/>
    <w:unhideWhenUsed/>
    <w:rsid w:val="005055A4"/>
    <w:rPr>
      <w:sz w:val="16"/>
      <w:szCs w:val="16"/>
    </w:rPr>
  </w:style>
  <w:style w:type="paragraph" w:styleId="CommentSubject">
    <w:name w:val="annotation subject"/>
    <w:basedOn w:val="CommentText"/>
    <w:next w:val="CommentText"/>
    <w:link w:val="CommentSubjectChar"/>
    <w:uiPriority w:val="99"/>
    <w:semiHidden/>
    <w:unhideWhenUsed/>
    <w:rsid w:val="004173CA"/>
    <w:rPr>
      <w:b/>
      <w:bCs/>
    </w:rPr>
  </w:style>
  <w:style w:type="character" w:customStyle="1" w:styleId="CommentSubjectChar">
    <w:name w:val="Comment Subject Char"/>
    <w:basedOn w:val="CommentTextChar"/>
    <w:link w:val="CommentSubject"/>
    <w:uiPriority w:val="99"/>
    <w:semiHidden/>
    <w:rsid w:val="004173CA"/>
    <w:rPr>
      <w:b/>
      <w:bCs/>
      <w:sz w:val="20"/>
      <w:szCs w:val="20"/>
    </w:rPr>
  </w:style>
  <w:style w:type="table" w:customStyle="1" w:styleId="OAICTable">
    <w:name w:val="OAIC Table"/>
    <w:basedOn w:val="TableNormal"/>
    <w:uiPriority w:val="99"/>
    <w:rsid w:val="002F36A9"/>
    <w:pPr>
      <w:spacing w:after="0" w:line="240" w:lineRule="auto"/>
      <w:jc w:val="right"/>
    </w:pPr>
    <w:rPr>
      <w:rFonts w:eastAsia="Source Sans Pro" w:cs="Times New Roman"/>
      <w:lang w:val="en-GB" w:eastAsia="zh-CN"/>
    </w:rPr>
    <w:tblPr>
      <w:tblBorders>
        <w:insideH w:val="single" w:sz="4" w:space="0" w:color="002D3F" w:themeColor="accent1"/>
      </w:tblBorders>
      <w:tblCellMar>
        <w:top w:w="68" w:type="dxa"/>
        <w:left w:w="85" w:type="dxa"/>
        <w:bottom w:w="68" w:type="dxa"/>
        <w:right w:w="85" w:type="dxa"/>
      </w:tblCellMar>
    </w:tblPr>
    <w:tcPr>
      <w:shd w:val="clear" w:color="auto" w:fill="FFFFFF" w:themeFill="background1"/>
      <w:vAlign w:val="center"/>
    </w:tcPr>
    <w:tblStylePr w:type="firstRow">
      <w:rPr>
        <w:b/>
        <w:color w:val="000000" w:themeColor="text1"/>
        <w:sz w:val="22"/>
      </w:rPr>
      <w:tblPr/>
      <w:tcPr>
        <w:shd w:val="clear" w:color="auto" w:fill="002D3F" w:themeFill="accent1"/>
      </w:tcPr>
    </w:tblStylePr>
    <w:tblStylePr w:type="lastRow">
      <w:tblPr/>
      <w:tcPr>
        <w:shd w:val="clear" w:color="auto" w:fill="002D3F" w:themeFill="accent1"/>
      </w:tcPr>
    </w:tblStylePr>
    <w:tblStylePr w:type="firstCol">
      <w:pPr>
        <w:jc w:val="left"/>
      </w:pPr>
    </w:tblStylePr>
  </w:style>
  <w:style w:type="paragraph" w:customStyle="1" w:styleId="Bullet2">
    <w:name w:val="Bullet 2"/>
    <w:basedOn w:val="Bullet1"/>
    <w:link w:val="Bullet2Char"/>
    <w:qFormat/>
    <w:rsid w:val="002F36A9"/>
    <w:pPr>
      <w:numPr>
        <w:ilvl w:val="1"/>
        <w:numId w:val="14"/>
      </w:numPr>
      <w:ind w:left="284" w:hanging="426"/>
    </w:pPr>
  </w:style>
  <w:style w:type="character" w:customStyle="1" w:styleId="Bullet2Char">
    <w:name w:val="Bullet 2 Char"/>
    <w:basedOn w:val="Bullet1Char"/>
    <w:link w:val="Bullet2"/>
    <w:rsid w:val="002F36A9"/>
  </w:style>
  <w:style w:type="paragraph" w:customStyle="1" w:styleId="FigureHeading">
    <w:name w:val="Figure Heading"/>
    <w:basedOn w:val="Normal"/>
    <w:rsid w:val="001271B5"/>
    <w:pPr>
      <w:keepNext/>
      <w:spacing w:before="360" w:after="0" w:line="240" w:lineRule="auto"/>
    </w:pPr>
    <w:rPr>
      <w:rFonts w:ascii="Calibri" w:hAnsi="Calibri" w:cs="Times New Roman"/>
      <w:b/>
      <w:lang w:eastAsia="en-AU"/>
    </w:rPr>
  </w:style>
  <w:style w:type="character" w:customStyle="1" w:styleId="UnresolvedMention2">
    <w:name w:val="Unresolved Mention2"/>
    <w:basedOn w:val="DefaultParagraphFont"/>
    <w:uiPriority w:val="99"/>
    <w:semiHidden/>
    <w:unhideWhenUsed/>
    <w:rsid w:val="00F14BE4"/>
    <w:rPr>
      <w:color w:val="605E5C"/>
      <w:shd w:val="clear" w:color="auto" w:fill="E1DFDD"/>
    </w:rPr>
  </w:style>
  <w:style w:type="paragraph" w:styleId="Revision">
    <w:name w:val="Revision"/>
    <w:hidden/>
    <w:uiPriority w:val="99"/>
    <w:semiHidden/>
    <w:rsid w:val="006C10FD"/>
    <w:pPr>
      <w:spacing w:after="0" w:line="240" w:lineRule="auto"/>
    </w:pPr>
  </w:style>
  <w:style w:type="paragraph" w:customStyle="1" w:styleId="Figurefooter">
    <w:name w:val="Figure footer"/>
    <w:basedOn w:val="Normal"/>
    <w:link w:val="FigurefooterChar"/>
    <w:rsid w:val="006777DD"/>
    <w:pPr>
      <w:keepNext/>
      <w:keepLines/>
      <w:tabs>
        <w:tab w:val="right" w:leader="underscore" w:pos="8931"/>
      </w:tabs>
      <w:spacing w:before="0" w:after="200" w:line="240" w:lineRule="auto"/>
      <w:ind w:left="714"/>
    </w:pPr>
    <w:rPr>
      <w:rFonts w:ascii="Calibri" w:hAnsi="Calibri" w:cs="Times New Roman"/>
      <w:sz w:val="18"/>
      <w:szCs w:val="18"/>
      <w:lang w:eastAsia="en-AU"/>
    </w:rPr>
  </w:style>
  <w:style w:type="character" w:customStyle="1" w:styleId="FigurefooterChar">
    <w:name w:val="Figure footer Char"/>
    <w:basedOn w:val="DefaultParagraphFont"/>
    <w:link w:val="Figurefooter"/>
    <w:rsid w:val="006777DD"/>
    <w:rPr>
      <w:rFonts w:ascii="Calibri" w:hAnsi="Calibri" w:cs="Times New Roman"/>
      <w:color w:val="0000FF"/>
      <w:sz w:val="18"/>
      <w:szCs w:val="18"/>
      <w:lang w:eastAsia="en-AU"/>
    </w:rPr>
  </w:style>
  <w:style w:type="numbering" w:customStyle="1" w:styleId="ReportHeadings">
    <w:name w:val="Report Headings"/>
    <w:uiPriority w:val="99"/>
    <w:rsid w:val="00265B41"/>
    <w:pPr>
      <w:numPr>
        <w:numId w:val="16"/>
      </w:numPr>
    </w:pPr>
  </w:style>
  <w:style w:type="paragraph" w:customStyle="1" w:styleId="Footnote">
    <w:name w:val="Footnote"/>
    <w:basedOn w:val="Normal"/>
    <w:qFormat/>
    <w:rsid w:val="00385175"/>
    <w:pPr>
      <w:tabs>
        <w:tab w:val="left" w:pos="426"/>
      </w:tabs>
      <w:spacing w:before="0" w:after="0" w:line="240" w:lineRule="auto"/>
    </w:pPr>
    <w:rPr>
      <w:rFonts w:ascii="Calibri" w:hAnsi="Calibri" w:cs="Times New Roman"/>
      <w:sz w:val="18"/>
      <w:szCs w:val="20"/>
      <w:lang w:eastAsia="en-AU"/>
    </w:rPr>
  </w:style>
  <w:style w:type="paragraph" w:customStyle="1" w:styleId="Default">
    <w:name w:val="Default"/>
    <w:rsid w:val="00EA2E93"/>
    <w:pPr>
      <w:autoSpaceDE w:val="0"/>
      <w:autoSpaceDN w:val="0"/>
      <w:adjustRightInd w:val="0"/>
      <w:spacing w:after="0" w:line="240" w:lineRule="auto"/>
    </w:pPr>
    <w:rPr>
      <w:rFonts w:ascii="Calibri" w:hAnsi="Calibri" w:cs="Calibri"/>
      <w:color w:val="000000"/>
      <w:sz w:val="24"/>
      <w:szCs w:val="24"/>
    </w:rPr>
  </w:style>
  <w:style w:type="paragraph" w:customStyle="1" w:styleId="BoxText">
    <w:name w:val="Box Text"/>
    <w:basedOn w:val="Normal"/>
    <w:qFormat/>
    <w:rsid w:val="00A80290"/>
    <w:pPr>
      <w:pBdr>
        <w:top w:val="single" w:sz="4" w:space="1" w:color="auto"/>
        <w:left w:val="single" w:sz="4" w:space="4" w:color="auto"/>
        <w:bottom w:val="single" w:sz="4" w:space="1" w:color="auto"/>
        <w:right w:val="single" w:sz="4" w:space="4" w:color="auto"/>
      </w:pBdr>
      <w:shd w:val="clear" w:color="auto" w:fill="DBE5F1"/>
      <w:spacing w:before="120" w:after="120" w:line="240" w:lineRule="auto"/>
      <w:jc w:val="both"/>
    </w:pPr>
    <w:rPr>
      <w:rFonts w:ascii="Calibri" w:eastAsia="Calibri" w:hAnsi="Calibri" w:cs="Times New Roman"/>
      <w:sz w:val="20"/>
      <w:lang w:eastAsia="en-AU"/>
    </w:rPr>
  </w:style>
  <w:style w:type="character" w:styleId="IntenseEmphasis">
    <w:name w:val="Intense Emphasis"/>
    <w:uiPriority w:val="21"/>
    <w:qFormat/>
    <w:rsid w:val="008E4AB6"/>
    <w:rPr>
      <w:b/>
      <w:bCs/>
      <w:i/>
    </w:rPr>
  </w:style>
  <w:style w:type="paragraph" w:styleId="TOC4">
    <w:name w:val="toc 4"/>
    <w:basedOn w:val="Normal"/>
    <w:next w:val="Normal"/>
    <w:autoRedefine/>
    <w:uiPriority w:val="39"/>
    <w:unhideWhenUsed/>
    <w:rsid w:val="001B00AD"/>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B00AD"/>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B00AD"/>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B00AD"/>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B00AD"/>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B00AD"/>
    <w:pPr>
      <w:spacing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C65178"/>
    <w:pPr>
      <w:spacing w:after="0"/>
    </w:pPr>
  </w:style>
  <w:style w:type="character" w:customStyle="1" w:styleId="UnresolvedMention20">
    <w:name w:val="Unresolved Mention2"/>
    <w:basedOn w:val="DefaultParagraphFont"/>
    <w:uiPriority w:val="99"/>
    <w:semiHidden/>
    <w:unhideWhenUsed/>
    <w:rsid w:val="00572AEB"/>
    <w:rPr>
      <w:color w:val="605E5C"/>
      <w:shd w:val="clear" w:color="auto" w:fill="E1DFDD"/>
    </w:rPr>
  </w:style>
  <w:style w:type="character" w:styleId="Emphasis">
    <w:name w:val="Emphasis"/>
    <w:basedOn w:val="DefaultParagraphFont"/>
    <w:uiPriority w:val="20"/>
    <w:qFormat/>
    <w:rsid w:val="00C8524C"/>
    <w:rPr>
      <w:i/>
      <w:iCs/>
    </w:rPr>
  </w:style>
  <w:style w:type="character" w:customStyle="1" w:styleId="UnresolvedMention21">
    <w:name w:val="Unresolved Mention21"/>
    <w:basedOn w:val="DefaultParagraphFont"/>
    <w:uiPriority w:val="99"/>
    <w:semiHidden/>
    <w:unhideWhenUsed/>
    <w:rsid w:val="00631BAD"/>
    <w:rPr>
      <w:color w:val="605E5C"/>
      <w:shd w:val="clear" w:color="auto" w:fill="E1DFDD"/>
    </w:rPr>
  </w:style>
  <w:style w:type="table" w:customStyle="1" w:styleId="SRC21">
    <w:name w:val="SRC 21"/>
    <w:basedOn w:val="TableNormal"/>
    <w:next w:val="TableGrid"/>
    <w:rsid w:val="00631BAD"/>
    <w:pPr>
      <w:spacing w:after="0" w:line="240" w:lineRule="auto"/>
    </w:pPr>
    <w:rPr>
      <w:rFonts w:ascii="Arial" w:eastAsia="Calibri" w:hAnsi="Arial"/>
      <w:sz w:val="18"/>
    </w:rPr>
    <w:tblPr>
      <w:tblStyleRowBandSize w:val="1"/>
      <w:tblStyleColBandSize w:val="1"/>
      <w:tblBorders>
        <w:bottom w:val="single" w:sz="4" w:space="0" w:color="1F698E"/>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sz w:val="18"/>
      </w:rPr>
      <w:tblPr/>
      <w:tcPr>
        <w:tcBorders>
          <w:top w:val="nil"/>
          <w:left w:val="nil"/>
          <w:bottom w:val="nil"/>
          <w:right w:val="nil"/>
          <w:insideH w:val="nil"/>
          <w:insideV w:val="nil"/>
          <w:tl2br w:val="nil"/>
          <w:tr2bl w:val="nil"/>
        </w:tcBorders>
        <w:shd w:val="clear" w:color="auto" w:fill="1F698E"/>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7E4F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character" w:customStyle="1" w:styleId="UnresolvedMention3">
    <w:name w:val="Unresolved Mention3"/>
    <w:basedOn w:val="DefaultParagraphFont"/>
    <w:uiPriority w:val="99"/>
    <w:semiHidden/>
    <w:unhideWhenUsed/>
    <w:rsid w:val="004460DC"/>
    <w:rPr>
      <w:color w:val="605E5C"/>
      <w:shd w:val="clear" w:color="auto" w:fill="E1DFDD"/>
    </w:rPr>
  </w:style>
  <w:style w:type="character" w:customStyle="1" w:styleId="UnresolvedMention4">
    <w:name w:val="Unresolved Mention4"/>
    <w:basedOn w:val="DefaultParagraphFont"/>
    <w:uiPriority w:val="99"/>
    <w:semiHidden/>
    <w:unhideWhenUsed/>
    <w:rsid w:val="009D1191"/>
    <w:rPr>
      <w:color w:val="605E5C"/>
      <w:shd w:val="clear" w:color="auto" w:fill="E1DFDD"/>
    </w:rPr>
  </w:style>
  <w:style w:type="character" w:customStyle="1" w:styleId="UnresolvedMention5">
    <w:name w:val="Unresolved Mention5"/>
    <w:basedOn w:val="DefaultParagraphFont"/>
    <w:uiPriority w:val="99"/>
    <w:semiHidden/>
    <w:unhideWhenUsed/>
    <w:rsid w:val="00E662F8"/>
    <w:rPr>
      <w:color w:val="605E5C"/>
      <w:shd w:val="clear" w:color="auto" w:fill="E1DFDD"/>
    </w:rPr>
  </w:style>
  <w:style w:type="paragraph" w:customStyle="1" w:styleId="FigureCaption">
    <w:name w:val="Figure Caption"/>
    <w:basedOn w:val="TableCaption"/>
    <w:link w:val="FigureCaptionChar"/>
    <w:qFormat/>
    <w:rsid w:val="00277D4A"/>
  </w:style>
  <w:style w:type="character" w:customStyle="1" w:styleId="FigureCaptionChar">
    <w:name w:val="Figure Caption Char"/>
    <w:basedOn w:val="TableCaptionChar"/>
    <w:link w:val="FigureCaption"/>
    <w:rsid w:val="00277D4A"/>
    <w:rPr>
      <w:rFonts w:eastAsiaTheme="minorEastAsia"/>
      <w:b/>
    </w:rPr>
  </w:style>
  <w:style w:type="paragraph" w:customStyle="1" w:styleId="TableText">
    <w:name w:val="Table Text"/>
    <w:basedOn w:val="Normal"/>
    <w:link w:val="TableTextChar"/>
    <w:qFormat/>
    <w:rsid w:val="00191F57"/>
    <w:pPr>
      <w:spacing w:before="0" w:after="0" w:line="240" w:lineRule="auto"/>
    </w:pPr>
    <w:rPr>
      <w:bCs/>
      <w:sz w:val="20"/>
      <w:szCs w:val="18"/>
      <w:lang w:eastAsia="en-AU"/>
    </w:rPr>
  </w:style>
  <w:style w:type="character" w:customStyle="1" w:styleId="TableTextChar">
    <w:name w:val="Table Text Char"/>
    <w:basedOn w:val="DefaultParagraphFont"/>
    <w:link w:val="TableText"/>
    <w:rsid w:val="00191F57"/>
    <w:rPr>
      <w:bCs/>
      <w:sz w:val="20"/>
      <w:szCs w:val="18"/>
      <w:lang w:eastAsia="en-AU"/>
    </w:rPr>
  </w:style>
  <w:style w:type="character" w:customStyle="1" w:styleId="UnresolvedMention6">
    <w:name w:val="Unresolved Mention6"/>
    <w:basedOn w:val="DefaultParagraphFont"/>
    <w:uiPriority w:val="99"/>
    <w:semiHidden/>
    <w:unhideWhenUsed/>
    <w:rsid w:val="00ED3569"/>
    <w:rPr>
      <w:color w:val="605E5C"/>
      <w:shd w:val="clear" w:color="auto" w:fill="E1DFDD"/>
    </w:rPr>
  </w:style>
  <w:style w:type="paragraph" w:styleId="FootnoteText">
    <w:name w:val="footnote text"/>
    <w:basedOn w:val="Normal"/>
    <w:link w:val="FootnoteTextChar"/>
    <w:uiPriority w:val="99"/>
    <w:semiHidden/>
    <w:unhideWhenUsed/>
    <w:qFormat/>
    <w:rsid w:val="000D4B3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D4B3A"/>
    <w:rPr>
      <w:sz w:val="20"/>
      <w:szCs w:val="20"/>
    </w:rPr>
  </w:style>
  <w:style w:type="table" w:styleId="MediumShading2-Accent1">
    <w:name w:val="Medium Shading 2 Accent 1"/>
    <w:basedOn w:val="TableNormal"/>
    <w:uiPriority w:val="64"/>
    <w:rsid w:val="00B52C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D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2D3F" w:themeFill="accent1"/>
      </w:tcPr>
    </w:tblStylePr>
    <w:tblStylePr w:type="lastCol">
      <w:rPr>
        <w:b/>
        <w:bCs/>
        <w:color w:val="FFFFFF" w:themeColor="background1"/>
      </w:rPr>
      <w:tblPr/>
      <w:tcPr>
        <w:tcBorders>
          <w:left w:val="nil"/>
          <w:right w:val="nil"/>
          <w:insideH w:val="nil"/>
          <w:insideV w:val="nil"/>
        </w:tcBorders>
        <w:shd w:val="clear" w:color="auto" w:fill="002D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UnresolvedMention7">
    <w:name w:val="Unresolved Mention7"/>
    <w:basedOn w:val="DefaultParagraphFont"/>
    <w:uiPriority w:val="99"/>
    <w:semiHidden/>
    <w:unhideWhenUsed/>
    <w:rsid w:val="006275E8"/>
    <w:rPr>
      <w:color w:val="605E5C"/>
      <w:shd w:val="clear" w:color="auto" w:fill="E1DFDD"/>
    </w:rPr>
  </w:style>
  <w:style w:type="character" w:styleId="UnresolvedMention">
    <w:name w:val="Unresolved Mention"/>
    <w:basedOn w:val="DefaultParagraphFont"/>
    <w:uiPriority w:val="99"/>
    <w:semiHidden/>
    <w:unhideWhenUsed/>
    <w:rsid w:val="00F555D6"/>
    <w:rPr>
      <w:color w:val="605E5C"/>
      <w:shd w:val="clear" w:color="auto" w:fill="E1DFDD"/>
    </w:rPr>
  </w:style>
  <w:style w:type="paragraph" w:styleId="ListBullet2">
    <w:name w:val="List Bullet 2"/>
    <w:basedOn w:val="Normal"/>
    <w:uiPriority w:val="99"/>
    <w:unhideWhenUsed/>
    <w:rsid w:val="00BE5FA9"/>
    <w:pPr>
      <w:numPr>
        <w:numId w:val="41"/>
      </w:numPr>
      <w:ind w:left="850" w:hanging="493"/>
      <w:contextualSpacing/>
    </w:pPr>
  </w:style>
  <w:style w:type="paragraph" w:customStyle="1" w:styleId="Glossary">
    <w:name w:val="Glossary"/>
    <w:basedOn w:val="TableText"/>
    <w:link w:val="GlossaryChar"/>
    <w:qFormat/>
    <w:rsid w:val="00AF5D20"/>
    <w:pPr>
      <w:spacing w:before="240" w:after="240" w:line="276" w:lineRule="auto"/>
    </w:pPr>
    <w:rPr>
      <w:rFonts w:eastAsia="Calibri" w:cstheme="minorHAnsi"/>
    </w:rPr>
  </w:style>
  <w:style w:type="character" w:customStyle="1" w:styleId="GlossaryChar">
    <w:name w:val="Glossary Char"/>
    <w:basedOn w:val="TableTextChar"/>
    <w:link w:val="Glossary"/>
    <w:rsid w:val="00AF5D20"/>
    <w:rPr>
      <w:rFonts w:eastAsia="Calibri" w:cstheme="minorHAnsi"/>
      <w:bCs/>
      <w:sz w:val="20"/>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03174">
      <w:bodyDiv w:val="1"/>
      <w:marLeft w:val="0"/>
      <w:marRight w:val="0"/>
      <w:marTop w:val="0"/>
      <w:marBottom w:val="0"/>
      <w:divBdr>
        <w:top w:val="none" w:sz="0" w:space="0" w:color="auto"/>
        <w:left w:val="none" w:sz="0" w:space="0" w:color="auto"/>
        <w:bottom w:val="none" w:sz="0" w:space="0" w:color="auto"/>
        <w:right w:val="none" w:sz="0" w:space="0" w:color="auto"/>
      </w:divBdr>
    </w:div>
    <w:div w:id="65347121">
      <w:bodyDiv w:val="1"/>
      <w:marLeft w:val="0"/>
      <w:marRight w:val="0"/>
      <w:marTop w:val="0"/>
      <w:marBottom w:val="0"/>
      <w:divBdr>
        <w:top w:val="none" w:sz="0" w:space="0" w:color="auto"/>
        <w:left w:val="none" w:sz="0" w:space="0" w:color="auto"/>
        <w:bottom w:val="none" w:sz="0" w:space="0" w:color="auto"/>
        <w:right w:val="none" w:sz="0" w:space="0" w:color="auto"/>
      </w:divBdr>
    </w:div>
    <w:div w:id="82924484">
      <w:bodyDiv w:val="1"/>
      <w:marLeft w:val="0"/>
      <w:marRight w:val="0"/>
      <w:marTop w:val="0"/>
      <w:marBottom w:val="0"/>
      <w:divBdr>
        <w:top w:val="none" w:sz="0" w:space="0" w:color="auto"/>
        <w:left w:val="none" w:sz="0" w:space="0" w:color="auto"/>
        <w:bottom w:val="none" w:sz="0" w:space="0" w:color="auto"/>
        <w:right w:val="none" w:sz="0" w:space="0" w:color="auto"/>
      </w:divBdr>
    </w:div>
    <w:div w:id="85853476">
      <w:bodyDiv w:val="1"/>
      <w:marLeft w:val="0"/>
      <w:marRight w:val="0"/>
      <w:marTop w:val="0"/>
      <w:marBottom w:val="0"/>
      <w:divBdr>
        <w:top w:val="none" w:sz="0" w:space="0" w:color="auto"/>
        <w:left w:val="none" w:sz="0" w:space="0" w:color="auto"/>
        <w:bottom w:val="none" w:sz="0" w:space="0" w:color="auto"/>
        <w:right w:val="none" w:sz="0" w:space="0" w:color="auto"/>
      </w:divBdr>
    </w:div>
    <w:div w:id="89933531">
      <w:bodyDiv w:val="1"/>
      <w:marLeft w:val="0"/>
      <w:marRight w:val="0"/>
      <w:marTop w:val="0"/>
      <w:marBottom w:val="0"/>
      <w:divBdr>
        <w:top w:val="none" w:sz="0" w:space="0" w:color="auto"/>
        <w:left w:val="none" w:sz="0" w:space="0" w:color="auto"/>
        <w:bottom w:val="none" w:sz="0" w:space="0" w:color="auto"/>
        <w:right w:val="none" w:sz="0" w:space="0" w:color="auto"/>
      </w:divBdr>
    </w:div>
    <w:div w:id="113180943">
      <w:bodyDiv w:val="1"/>
      <w:marLeft w:val="0"/>
      <w:marRight w:val="0"/>
      <w:marTop w:val="0"/>
      <w:marBottom w:val="0"/>
      <w:divBdr>
        <w:top w:val="none" w:sz="0" w:space="0" w:color="auto"/>
        <w:left w:val="none" w:sz="0" w:space="0" w:color="auto"/>
        <w:bottom w:val="none" w:sz="0" w:space="0" w:color="auto"/>
        <w:right w:val="none" w:sz="0" w:space="0" w:color="auto"/>
      </w:divBdr>
    </w:div>
    <w:div w:id="141699466">
      <w:bodyDiv w:val="1"/>
      <w:marLeft w:val="0"/>
      <w:marRight w:val="0"/>
      <w:marTop w:val="0"/>
      <w:marBottom w:val="0"/>
      <w:divBdr>
        <w:top w:val="none" w:sz="0" w:space="0" w:color="auto"/>
        <w:left w:val="none" w:sz="0" w:space="0" w:color="auto"/>
        <w:bottom w:val="none" w:sz="0" w:space="0" w:color="auto"/>
        <w:right w:val="none" w:sz="0" w:space="0" w:color="auto"/>
      </w:divBdr>
    </w:div>
    <w:div w:id="145518048">
      <w:bodyDiv w:val="1"/>
      <w:marLeft w:val="0"/>
      <w:marRight w:val="0"/>
      <w:marTop w:val="0"/>
      <w:marBottom w:val="0"/>
      <w:divBdr>
        <w:top w:val="none" w:sz="0" w:space="0" w:color="auto"/>
        <w:left w:val="none" w:sz="0" w:space="0" w:color="auto"/>
        <w:bottom w:val="none" w:sz="0" w:space="0" w:color="auto"/>
        <w:right w:val="none" w:sz="0" w:space="0" w:color="auto"/>
      </w:divBdr>
    </w:div>
    <w:div w:id="153104568">
      <w:bodyDiv w:val="1"/>
      <w:marLeft w:val="0"/>
      <w:marRight w:val="0"/>
      <w:marTop w:val="0"/>
      <w:marBottom w:val="0"/>
      <w:divBdr>
        <w:top w:val="none" w:sz="0" w:space="0" w:color="auto"/>
        <w:left w:val="none" w:sz="0" w:space="0" w:color="auto"/>
        <w:bottom w:val="none" w:sz="0" w:space="0" w:color="auto"/>
        <w:right w:val="none" w:sz="0" w:space="0" w:color="auto"/>
      </w:divBdr>
    </w:div>
    <w:div w:id="161943355">
      <w:bodyDiv w:val="1"/>
      <w:marLeft w:val="0"/>
      <w:marRight w:val="0"/>
      <w:marTop w:val="0"/>
      <w:marBottom w:val="0"/>
      <w:divBdr>
        <w:top w:val="none" w:sz="0" w:space="0" w:color="auto"/>
        <w:left w:val="none" w:sz="0" w:space="0" w:color="auto"/>
        <w:bottom w:val="none" w:sz="0" w:space="0" w:color="auto"/>
        <w:right w:val="none" w:sz="0" w:space="0" w:color="auto"/>
      </w:divBdr>
      <w:divsChild>
        <w:div w:id="440804316">
          <w:marLeft w:val="1138"/>
          <w:marRight w:val="0"/>
          <w:marTop w:val="0"/>
          <w:marBottom w:val="120"/>
          <w:divBdr>
            <w:top w:val="none" w:sz="0" w:space="0" w:color="auto"/>
            <w:left w:val="none" w:sz="0" w:space="0" w:color="auto"/>
            <w:bottom w:val="none" w:sz="0" w:space="0" w:color="auto"/>
            <w:right w:val="none" w:sz="0" w:space="0" w:color="auto"/>
          </w:divBdr>
        </w:div>
        <w:div w:id="593905436">
          <w:marLeft w:val="418"/>
          <w:marRight w:val="0"/>
          <w:marTop w:val="0"/>
          <w:marBottom w:val="120"/>
          <w:divBdr>
            <w:top w:val="none" w:sz="0" w:space="0" w:color="auto"/>
            <w:left w:val="none" w:sz="0" w:space="0" w:color="auto"/>
            <w:bottom w:val="none" w:sz="0" w:space="0" w:color="auto"/>
            <w:right w:val="none" w:sz="0" w:space="0" w:color="auto"/>
          </w:divBdr>
        </w:div>
        <w:div w:id="623777056">
          <w:marLeft w:val="1138"/>
          <w:marRight w:val="0"/>
          <w:marTop w:val="0"/>
          <w:marBottom w:val="120"/>
          <w:divBdr>
            <w:top w:val="none" w:sz="0" w:space="0" w:color="auto"/>
            <w:left w:val="none" w:sz="0" w:space="0" w:color="auto"/>
            <w:bottom w:val="none" w:sz="0" w:space="0" w:color="auto"/>
            <w:right w:val="none" w:sz="0" w:space="0" w:color="auto"/>
          </w:divBdr>
        </w:div>
        <w:div w:id="873615985">
          <w:marLeft w:val="418"/>
          <w:marRight w:val="0"/>
          <w:marTop w:val="0"/>
          <w:marBottom w:val="120"/>
          <w:divBdr>
            <w:top w:val="none" w:sz="0" w:space="0" w:color="auto"/>
            <w:left w:val="none" w:sz="0" w:space="0" w:color="auto"/>
            <w:bottom w:val="none" w:sz="0" w:space="0" w:color="auto"/>
            <w:right w:val="none" w:sz="0" w:space="0" w:color="auto"/>
          </w:divBdr>
        </w:div>
        <w:div w:id="1080834475">
          <w:marLeft w:val="418"/>
          <w:marRight w:val="0"/>
          <w:marTop w:val="0"/>
          <w:marBottom w:val="0"/>
          <w:divBdr>
            <w:top w:val="none" w:sz="0" w:space="0" w:color="auto"/>
            <w:left w:val="none" w:sz="0" w:space="0" w:color="auto"/>
            <w:bottom w:val="none" w:sz="0" w:space="0" w:color="auto"/>
            <w:right w:val="none" w:sz="0" w:space="0" w:color="auto"/>
          </w:divBdr>
        </w:div>
        <w:div w:id="1099914749">
          <w:marLeft w:val="1138"/>
          <w:marRight w:val="0"/>
          <w:marTop w:val="0"/>
          <w:marBottom w:val="120"/>
          <w:divBdr>
            <w:top w:val="none" w:sz="0" w:space="0" w:color="auto"/>
            <w:left w:val="none" w:sz="0" w:space="0" w:color="auto"/>
            <w:bottom w:val="none" w:sz="0" w:space="0" w:color="auto"/>
            <w:right w:val="none" w:sz="0" w:space="0" w:color="auto"/>
          </w:divBdr>
        </w:div>
      </w:divsChild>
    </w:div>
    <w:div w:id="181475843">
      <w:bodyDiv w:val="1"/>
      <w:marLeft w:val="0"/>
      <w:marRight w:val="0"/>
      <w:marTop w:val="0"/>
      <w:marBottom w:val="0"/>
      <w:divBdr>
        <w:top w:val="none" w:sz="0" w:space="0" w:color="auto"/>
        <w:left w:val="none" w:sz="0" w:space="0" w:color="auto"/>
        <w:bottom w:val="none" w:sz="0" w:space="0" w:color="auto"/>
        <w:right w:val="none" w:sz="0" w:space="0" w:color="auto"/>
      </w:divBdr>
    </w:div>
    <w:div w:id="216549978">
      <w:bodyDiv w:val="1"/>
      <w:marLeft w:val="0"/>
      <w:marRight w:val="0"/>
      <w:marTop w:val="0"/>
      <w:marBottom w:val="0"/>
      <w:divBdr>
        <w:top w:val="none" w:sz="0" w:space="0" w:color="auto"/>
        <w:left w:val="none" w:sz="0" w:space="0" w:color="auto"/>
        <w:bottom w:val="none" w:sz="0" w:space="0" w:color="auto"/>
        <w:right w:val="none" w:sz="0" w:space="0" w:color="auto"/>
      </w:divBdr>
      <w:divsChild>
        <w:div w:id="655916649">
          <w:marLeft w:val="446"/>
          <w:marRight w:val="0"/>
          <w:marTop w:val="0"/>
          <w:marBottom w:val="270"/>
          <w:divBdr>
            <w:top w:val="none" w:sz="0" w:space="0" w:color="auto"/>
            <w:left w:val="none" w:sz="0" w:space="0" w:color="auto"/>
            <w:bottom w:val="none" w:sz="0" w:space="0" w:color="auto"/>
            <w:right w:val="none" w:sz="0" w:space="0" w:color="auto"/>
          </w:divBdr>
        </w:div>
        <w:div w:id="907422560">
          <w:marLeft w:val="446"/>
          <w:marRight w:val="0"/>
          <w:marTop w:val="0"/>
          <w:marBottom w:val="270"/>
          <w:divBdr>
            <w:top w:val="none" w:sz="0" w:space="0" w:color="auto"/>
            <w:left w:val="none" w:sz="0" w:space="0" w:color="auto"/>
            <w:bottom w:val="none" w:sz="0" w:space="0" w:color="auto"/>
            <w:right w:val="none" w:sz="0" w:space="0" w:color="auto"/>
          </w:divBdr>
        </w:div>
        <w:div w:id="1069688663">
          <w:marLeft w:val="446"/>
          <w:marRight w:val="0"/>
          <w:marTop w:val="0"/>
          <w:marBottom w:val="270"/>
          <w:divBdr>
            <w:top w:val="none" w:sz="0" w:space="0" w:color="auto"/>
            <w:left w:val="none" w:sz="0" w:space="0" w:color="auto"/>
            <w:bottom w:val="none" w:sz="0" w:space="0" w:color="auto"/>
            <w:right w:val="none" w:sz="0" w:space="0" w:color="auto"/>
          </w:divBdr>
        </w:div>
      </w:divsChild>
    </w:div>
    <w:div w:id="222645613">
      <w:bodyDiv w:val="1"/>
      <w:marLeft w:val="0"/>
      <w:marRight w:val="0"/>
      <w:marTop w:val="0"/>
      <w:marBottom w:val="0"/>
      <w:divBdr>
        <w:top w:val="none" w:sz="0" w:space="0" w:color="auto"/>
        <w:left w:val="none" w:sz="0" w:space="0" w:color="auto"/>
        <w:bottom w:val="none" w:sz="0" w:space="0" w:color="auto"/>
        <w:right w:val="none" w:sz="0" w:space="0" w:color="auto"/>
      </w:divBdr>
    </w:div>
    <w:div w:id="227039649">
      <w:bodyDiv w:val="1"/>
      <w:marLeft w:val="0"/>
      <w:marRight w:val="0"/>
      <w:marTop w:val="0"/>
      <w:marBottom w:val="0"/>
      <w:divBdr>
        <w:top w:val="none" w:sz="0" w:space="0" w:color="auto"/>
        <w:left w:val="none" w:sz="0" w:space="0" w:color="auto"/>
        <w:bottom w:val="none" w:sz="0" w:space="0" w:color="auto"/>
        <w:right w:val="none" w:sz="0" w:space="0" w:color="auto"/>
      </w:divBdr>
    </w:div>
    <w:div w:id="257325505">
      <w:bodyDiv w:val="1"/>
      <w:marLeft w:val="0"/>
      <w:marRight w:val="0"/>
      <w:marTop w:val="0"/>
      <w:marBottom w:val="0"/>
      <w:divBdr>
        <w:top w:val="none" w:sz="0" w:space="0" w:color="auto"/>
        <w:left w:val="none" w:sz="0" w:space="0" w:color="auto"/>
        <w:bottom w:val="none" w:sz="0" w:space="0" w:color="auto"/>
        <w:right w:val="none" w:sz="0" w:space="0" w:color="auto"/>
      </w:divBdr>
    </w:div>
    <w:div w:id="261963401">
      <w:bodyDiv w:val="1"/>
      <w:marLeft w:val="0"/>
      <w:marRight w:val="0"/>
      <w:marTop w:val="0"/>
      <w:marBottom w:val="0"/>
      <w:divBdr>
        <w:top w:val="none" w:sz="0" w:space="0" w:color="auto"/>
        <w:left w:val="none" w:sz="0" w:space="0" w:color="auto"/>
        <w:bottom w:val="none" w:sz="0" w:space="0" w:color="auto"/>
        <w:right w:val="none" w:sz="0" w:space="0" w:color="auto"/>
      </w:divBdr>
    </w:div>
    <w:div w:id="266277407">
      <w:bodyDiv w:val="1"/>
      <w:marLeft w:val="0"/>
      <w:marRight w:val="0"/>
      <w:marTop w:val="0"/>
      <w:marBottom w:val="0"/>
      <w:divBdr>
        <w:top w:val="none" w:sz="0" w:space="0" w:color="auto"/>
        <w:left w:val="none" w:sz="0" w:space="0" w:color="auto"/>
        <w:bottom w:val="none" w:sz="0" w:space="0" w:color="auto"/>
        <w:right w:val="none" w:sz="0" w:space="0" w:color="auto"/>
      </w:divBdr>
    </w:div>
    <w:div w:id="273097254">
      <w:bodyDiv w:val="1"/>
      <w:marLeft w:val="0"/>
      <w:marRight w:val="0"/>
      <w:marTop w:val="0"/>
      <w:marBottom w:val="0"/>
      <w:divBdr>
        <w:top w:val="none" w:sz="0" w:space="0" w:color="auto"/>
        <w:left w:val="none" w:sz="0" w:space="0" w:color="auto"/>
        <w:bottom w:val="none" w:sz="0" w:space="0" w:color="auto"/>
        <w:right w:val="none" w:sz="0" w:space="0" w:color="auto"/>
      </w:divBdr>
    </w:div>
    <w:div w:id="285433625">
      <w:bodyDiv w:val="1"/>
      <w:marLeft w:val="0"/>
      <w:marRight w:val="0"/>
      <w:marTop w:val="0"/>
      <w:marBottom w:val="0"/>
      <w:divBdr>
        <w:top w:val="none" w:sz="0" w:space="0" w:color="auto"/>
        <w:left w:val="none" w:sz="0" w:space="0" w:color="auto"/>
        <w:bottom w:val="none" w:sz="0" w:space="0" w:color="auto"/>
        <w:right w:val="none" w:sz="0" w:space="0" w:color="auto"/>
      </w:divBdr>
      <w:divsChild>
        <w:div w:id="696976773">
          <w:marLeft w:val="446"/>
          <w:marRight w:val="0"/>
          <w:marTop w:val="0"/>
          <w:marBottom w:val="0"/>
          <w:divBdr>
            <w:top w:val="none" w:sz="0" w:space="0" w:color="auto"/>
            <w:left w:val="none" w:sz="0" w:space="0" w:color="auto"/>
            <w:bottom w:val="none" w:sz="0" w:space="0" w:color="auto"/>
            <w:right w:val="none" w:sz="0" w:space="0" w:color="auto"/>
          </w:divBdr>
        </w:div>
        <w:div w:id="1164202107">
          <w:marLeft w:val="1022"/>
          <w:marRight w:val="0"/>
          <w:marTop w:val="0"/>
          <w:marBottom w:val="0"/>
          <w:divBdr>
            <w:top w:val="none" w:sz="0" w:space="0" w:color="auto"/>
            <w:left w:val="none" w:sz="0" w:space="0" w:color="auto"/>
            <w:bottom w:val="none" w:sz="0" w:space="0" w:color="auto"/>
            <w:right w:val="none" w:sz="0" w:space="0" w:color="auto"/>
          </w:divBdr>
        </w:div>
      </w:divsChild>
    </w:div>
    <w:div w:id="329870453">
      <w:bodyDiv w:val="1"/>
      <w:marLeft w:val="0"/>
      <w:marRight w:val="0"/>
      <w:marTop w:val="0"/>
      <w:marBottom w:val="0"/>
      <w:divBdr>
        <w:top w:val="none" w:sz="0" w:space="0" w:color="auto"/>
        <w:left w:val="none" w:sz="0" w:space="0" w:color="auto"/>
        <w:bottom w:val="none" w:sz="0" w:space="0" w:color="auto"/>
        <w:right w:val="none" w:sz="0" w:space="0" w:color="auto"/>
      </w:divBdr>
      <w:divsChild>
        <w:div w:id="543908888">
          <w:marLeft w:val="446"/>
          <w:marRight w:val="0"/>
          <w:marTop w:val="0"/>
          <w:marBottom w:val="0"/>
          <w:divBdr>
            <w:top w:val="none" w:sz="0" w:space="0" w:color="auto"/>
            <w:left w:val="none" w:sz="0" w:space="0" w:color="auto"/>
            <w:bottom w:val="none" w:sz="0" w:space="0" w:color="auto"/>
            <w:right w:val="none" w:sz="0" w:space="0" w:color="auto"/>
          </w:divBdr>
        </w:div>
        <w:div w:id="819422674">
          <w:marLeft w:val="1022"/>
          <w:marRight w:val="0"/>
          <w:marTop w:val="0"/>
          <w:marBottom w:val="0"/>
          <w:divBdr>
            <w:top w:val="none" w:sz="0" w:space="0" w:color="auto"/>
            <w:left w:val="none" w:sz="0" w:space="0" w:color="auto"/>
            <w:bottom w:val="none" w:sz="0" w:space="0" w:color="auto"/>
            <w:right w:val="none" w:sz="0" w:space="0" w:color="auto"/>
          </w:divBdr>
        </w:div>
        <w:div w:id="1324817072">
          <w:marLeft w:val="446"/>
          <w:marRight w:val="0"/>
          <w:marTop w:val="0"/>
          <w:marBottom w:val="0"/>
          <w:divBdr>
            <w:top w:val="none" w:sz="0" w:space="0" w:color="auto"/>
            <w:left w:val="none" w:sz="0" w:space="0" w:color="auto"/>
            <w:bottom w:val="none" w:sz="0" w:space="0" w:color="auto"/>
            <w:right w:val="none" w:sz="0" w:space="0" w:color="auto"/>
          </w:divBdr>
        </w:div>
        <w:div w:id="1656497428">
          <w:marLeft w:val="1022"/>
          <w:marRight w:val="0"/>
          <w:marTop w:val="0"/>
          <w:marBottom w:val="0"/>
          <w:divBdr>
            <w:top w:val="none" w:sz="0" w:space="0" w:color="auto"/>
            <w:left w:val="none" w:sz="0" w:space="0" w:color="auto"/>
            <w:bottom w:val="none" w:sz="0" w:space="0" w:color="auto"/>
            <w:right w:val="none" w:sz="0" w:space="0" w:color="auto"/>
          </w:divBdr>
        </w:div>
        <w:div w:id="2010597675">
          <w:marLeft w:val="1022"/>
          <w:marRight w:val="0"/>
          <w:marTop w:val="0"/>
          <w:marBottom w:val="0"/>
          <w:divBdr>
            <w:top w:val="none" w:sz="0" w:space="0" w:color="auto"/>
            <w:left w:val="none" w:sz="0" w:space="0" w:color="auto"/>
            <w:bottom w:val="none" w:sz="0" w:space="0" w:color="auto"/>
            <w:right w:val="none" w:sz="0" w:space="0" w:color="auto"/>
          </w:divBdr>
        </w:div>
        <w:div w:id="2011713532">
          <w:marLeft w:val="1022"/>
          <w:marRight w:val="0"/>
          <w:marTop w:val="0"/>
          <w:marBottom w:val="0"/>
          <w:divBdr>
            <w:top w:val="none" w:sz="0" w:space="0" w:color="auto"/>
            <w:left w:val="none" w:sz="0" w:space="0" w:color="auto"/>
            <w:bottom w:val="none" w:sz="0" w:space="0" w:color="auto"/>
            <w:right w:val="none" w:sz="0" w:space="0" w:color="auto"/>
          </w:divBdr>
        </w:div>
      </w:divsChild>
    </w:div>
    <w:div w:id="336427897">
      <w:bodyDiv w:val="1"/>
      <w:marLeft w:val="0"/>
      <w:marRight w:val="0"/>
      <w:marTop w:val="0"/>
      <w:marBottom w:val="0"/>
      <w:divBdr>
        <w:top w:val="none" w:sz="0" w:space="0" w:color="auto"/>
        <w:left w:val="none" w:sz="0" w:space="0" w:color="auto"/>
        <w:bottom w:val="none" w:sz="0" w:space="0" w:color="auto"/>
        <w:right w:val="none" w:sz="0" w:space="0" w:color="auto"/>
      </w:divBdr>
      <w:divsChild>
        <w:div w:id="225646667">
          <w:marLeft w:val="1138"/>
          <w:marRight w:val="0"/>
          <w:marTop w:val="0"/>
          <w:marBottom w:val="0"/>
          <w:divBdr>
            <w:top w:val="none" w:sz="0" w:space="0" w:color="auto"/>
            <w:left w:val="none" w:sz="0" w:space="0" w:color="auto"/>
            <w:bottom w:val="none" w:sz="0" w:space="0" w:color="auto"/>
            <w:right w:val="none" w:sz="0" w:space="0" w:color="auto"/>
          </w:divBdr>
        </w:div>
        <w:div w:id="649598992">
          <w:marLeft w:val="418"/>
          <w:marRight w:val="0"/>
          <w:marTop w:val="0"/>
          <w:marBottom w:val="0"/>
          <w:divBdr>
            <w:top w:val="none" w:sz="0" w:space="0" w:color="auto"/>
            <w:left w:val="none" w:sz="0" w:space="0" w:color="auto"/>
            <w:bottom w:val="none" w:sz="0" w:space="0" w:color="auto"/>
            <w:right w:val="none" w:sz="0" w:space="0" w:color="auto"/>
          </w:divBdr>
        </w:div>
        <w:div w:id="771361992">
          <w:marLeft w:val="418"/>
          <w:marRight w:val="0"/>
          <w:marTop w:val="0"/>
          <w:marBottom w:val="0"/>
          <w:divBdr>
            <w:top w:val="none" w:sz="0" w:space="0" w:color="auto"/>
            <w:left w:val="none" w:sz="0" w:space="0" w:color="auto"/>
            <w:bottom w:val="none" w:sz="0" w:space="0" w:color="auto"/>
            <w:right w:val="none" w:sz="0" w:space="0" w:color="auto"/>
          </w:divBdr>
        </w:div>
        <w:div w:id="1258293369">
          <w:marLeft w:val="850"/>
          <w:marRight w:val="0"/>
          <w:marTop w:val="0"/>
          <w:marBottom w:val="0"/>
          <w:divBdr>
            <w:top w:val="none" w:sz="0" w:space="0" w:color="auto"/>
            <w:left w:val="none" w:sz="0" w:space="0" w:color="auto"/>
            <w:bottom w:val="none" w:sz="0" w:space="0" w:color="auto"/>
            <w:right w:val="none" w:sz="0" w:space="0" w:color="auto"/>
          </w:divBdr>
        </w:div>
        <w:div w:id="1911649395">
          <w:marLeft w:val="418"/>
          <w:marRight w:val="0"/>
          <w:marTop w:val="0"/>
          <w:marBottom w:val="0"/>
          <w:divBdr>
            <w:top w:val="none" w:sz="0" w:space="0" w:color="auto"/>
            <w:left w:val="none" w:sz="0" w:space="0" w:color="auto"/>
            <w:bottom w:val="none" w:sz="0" w:space="0" w:color="auto"/>
            <w:right w:val="none" w:sz="0" w:space="0" w:color="auto"/>
          </w:divBdr>
        </w:div>
      </w:divsChild>
    </w:div>
    <w:div w:id="341054246">
      <w:bodyDiv w:val="1"/>
      <w:marLeft w:val="0"/>
      <w:marRight w:val="0"/>
      <w:marTop w:val="0"/>
      <w:marBottom w:val="0"/>
      <w:divBdr>
        <w:top w:val="none" w:sz="0" w:space="0" w:color="auto"/>
        <w:left w:val="none" w:sz="0" w:space="0" w:color="auto"/>
        <w:bottom w:val="none" w:sz="0" w:space="0" w:color="auto"/>
        <w:right w:val="none" w:sz="0" w:space="0" w:color="auto"/>
      </w:divBdr>
    </w:div>
    <w:div w:id="341395841">
      <w:bodyDiv w:val="1"/>
      <w:marLeft w:val="0"/>
      <w:marRight w:val="0"/>
      <w:marTop w:val="0"/>
      <w:marBottom w:val="0"/>
      <w:divBdr>
        <w:top w:val="none" w:sz="0" w:space="0" w:color="auto"/>
        <w:left w:val="none" w:sz="0" w:space="0" w:color="auto"/>
        <w:bottom w:val="none" w:sz="0" w:space="0" w:color="auto"/>
        <w:right w:val="none" w:sz="0" w:space="0" w:color="auto"/>
      </w:divBdr>
    </w:div>
    <w:div w:id="346948526">
      <w:bodyDiv w:val="1"/>
      <w:marLeft w:val="0"/>
      <w:marRight w:val="0"/>
      <w:marTop w:val="0"/>
      <w:marBottom w:val="0"/>
      <w:divBdr>
        <w:top w:val="none" w:sz="0" w:space="0" w:color="auto"/>
        <w:left w:val="none" w:sz="0" w:space="0" w:color="auto"/>
        <w:bottom w:val="none" w:sz="0" w:space="0" w:color="auto"/>
        <w:right w:val="none" w:sz="0" w:space="0" w:color="auto"/>
      </w:divBdr>
    </w:div>
    <w:div w:id="369191954">
      <w:bodyDiv w:val="1"/>
      <w:marLeft w:val="0"/>
      <w:marRight w:val="0"/>
      <w:marTop w:val="0"/>
      <w:marBottom w:val="0"/>
      <w:divBdr>
        <w:top w:val="none" w:sz="0" w:space="0" w:color="auto"/>
        <w:left w:val="none" w:sz="0" w:space="0" w:color="auto"/>
        <w:bottom w:val="none" w:sz="0" w:space="0" w:color="auto"/>
        <w:right w:val="none" w:sz="0" w:space="0" w:color="auto"/>
      </w:divBdr>
      <w:divsChild>
        <w:div w:id="94787806">
          <w:marLeft w:val="1022"/>
          <w:marRight w:val="0"/>
          <w:marTop w:val="0"/>
          <w:marBottom w:val="0"/>
          <w:divBdr>
            <w:top w:val="none" w:sz="0" w:space="0" w:color="auto"/>
            <w:left w:val="none" w:sz="0" w:space="0" w:color="auto"/>
            <w:bottom w:val="none" w:sz="0" w:space="0" w:color="auto"/>
            <w:right w:val="none" w:sz="0" w:space="0" w:color="auto"/>
          </w:divBdr>
        </w:div>
        <w:div w:id="528181197">
          <w:marLeft w:val="446"/>
          <w:marRight w:val="0"/>
          <w:marTop w:val="0"/>
          <w:marBottom w:val="0"/>
          <w:divBdr>
            <w:top w:val="none" w:sz="0" w:space="0" w:color="auto"/>
            <w:left w:val="none" w:sz="0" w:space="0" w:color="auto"/>
            <w:bottom w:val="none" w:sz="0" w:space="0" w:color="auto"/>
            <w:right w:val="none" w:sz="0" w:space="0" w:color="auto"/>
          </w:divBdr>
        </w:div>
        <w:div w:id="939988774">
          <w:marLeft w:val="1022"/>
          <w:marRight w:val="0"/>
          <w:marTop w:val="0"/>
          <w:marBottom w:val="0"/>
          <w:divBdr>
            <w:top w:val="none" w:sz="0" w:space="0" w:color="auto"/>
            <w:left w:val="none" w:sz="0" w:space="0" w:color="auto"/>
            <w:bottom w:val="none" w:sz="0" w:space="0" w:color="auto"/>
            <w:right w:val="none" w:sz="0" w:space="0" w:color="auto"/>
          </w:divBdr>
        </w:div>
        <w:div w:id="944650879">
          <w:marLeft w:val="1022"/>
          <w:marRight w:val="0"/>
          <w:marTop w:val="0"/>
          <w:marBottom w:val="0"/>
          <w:divBdr>
            <w:top w:val="none" w:sz="0" w:space="0" w:color="auto"/>
            <w:left w:val="none" w:sz="0" w:space="0" w:color="auto"/>
            <w:bottom w:val="none" w:sz="0" w:space="0" w:color="auto"/>
            <w:right w:val="none" w:sz="0" w:space="0" w:color="auto"/>
          </w:divBdr>
        </w:div>
        <w:div w:id="2025552824">
          <w:marLeft w:val="446"/>
          <w:marRight w:val="0"/>
          <w:marTop w:val="0"/>
          <w:marBottom w:val="0"/>
          <w:divBdr>
            <w:top w:val="none" w:sz="0" w:space="0" w:color="auto"/>
            <w:left w:val="none" w:sz="0" w:space="0" w:color="auto"/>
            <w:bottom w:val="none" w:sz="0" w:space="0" w:color="auto"/>
            <w:right w:val="none" w:sz="0" w:space="0" w:color="auto"/>
          </w:divBdr>
        </w:div>
      </w:divsChild>
    </w:div>
    <w:div w:id="369887496">
      <w:bodyDiv w:val="1"/>
      <w:marLeft w:val="0"/>
      <w:marRight w:val="0"/>
      <w:marTop w:val="0"/>
      <w:marBottom w:val="0"/>
      <w:divBdr>
        <w:top w:val="none" w:sz="0" w:space="0" w:color="auto"/>
        <w:left w:val="none" w:sz="0" w:space="0" w:color="auto"/>
        <w:bottom w:val="none" w:sz="0" w:space="0" w:color="auto"/>
        <w:right w:val="none" w:sz="0" w:space="0" w:color="auto"/>
      </w:divBdr>
    </w:div>
    <w:div w:id="393312882">
      <w:bodyDiv w:val="1"/>
      <w:marLeft w:val="0"/>
      <w:marRight w:val="0"/>
      <w:marTop w:val="0"/>
      <w:marBottom w:val="0"/>
      <w:divBdr>
        <w:top w:val="none" w:sz="0" w:space="0" w:color="auto"/>
        <w:left w:val="none" w:sz="0" w:space="0" w:color="auto"/>
        <w:bottom w:val="none" w:sz="0" w:space="0" w:color="auto"/>
        <w:right w:val="none" w:sz="0" w:space="0" w:color="auto"/>
      </w:divBdr>
    </w:div>
    <w:div w:id="407191070">
      <w:bodyDiv w:val="1"/>
      <w:marLeft w:val="0"/>
      <w:marRight w:val="0"/>
      <w:marTop w:val="0"/>
      <w:marBottom w:val="0"/>
      <w:divBdr>
        <w:top w:val="none" w:sz="0" w:space="0" w:color="auto"/>
        <w:left w:val="none" w:sz="0" w:space="0" w:color="auto"/>
        <w:bottom w:val="none" w:sz="0" w:space="0" w:color="auto"/>
        <w:right w:val="none" w:sz="0" w:space="0" w:color="auto"/>
      </w:divBdr>
    </w:div>
    <w:div w:id="414016669">
      <w:bodyDiv w:val="1"/>
      <w:marLeft w:val="0"/>
      <w:marRight w:val="0"/>
      <w:marTop w:val="0"/>
      <w:marBottom w:val="0"/>
      <w:divBdr>
        <w:top w:val="none" w:sz="0" w:space="0" w:color="auto"/>
        <w:left w:val="none" w:sz="0" w:space="0" w:color="auto"/>
        <w:bottom w:val="none" w:sz="0" w:space="0" w:color="auto"/>
        <w:right w:val="none" w:sz="0" w:space="0" w:color="auto"/>
      </w:divBdr>
    </w:div>
    <w:div w:id="466508481">
      <w:bodyDiv w:val="1"/>
      <w:marLeft w:val="0"/>
      <w:marRight w:val="0"/>
      <w:marTop w:val="0"/>
      <w:marBottom w:val="0"/>
      <w:divBdr>
        <w:top w:val="none" w:sz="0" w:space="0" w:color="auto"/>
        <w:left w:val="none" w:sz="0" w:space="0" w:color="auto"/>
        <w:bottom w:val="none" w:sz="0" w:space="0" w:color="auto"/>
        <w:right w:val="none" w:sz="0" w:space="0" w:color="auto"/>
      </w:divBdr>
    </w:div>
    <w:div w:id="471753885">
      <w:bodyDiv w:val="1"/>
      <w:marLeft w:val="0"/>
      <w:marRight w:val="0"/>
      <w:marTop w:val="0"/>
      <w:marBottom w:val="0"/>
      <w:divBdr>
        <w:top w:val="none" w:sz="0" w:space="0" w:color="auto"/>
        <w:left w:val="none" w:sz="0" w:space="0" w:color="auto"/>
        <w:bottom w:val="none" w:sz="0" w:space="0" w:color="auto"/>
        <w:right w:val="none" w:sz="0" w:space="0" w:color="auto"/>
      </w:divBdr>
    </w:div>
    <w:div w:id="473258392">
      <w:bodyDiv w:val="1"/>
      <w:marLeft w:val="0"/>
      <w:marRight w:val="0"/>
      <w:marTop w:val="0"/>
      <w:marBottom w:val="0"/>
      <w:divBdr>
        <w:top w:val="none" w:sz="0" w:space="0" w:color="auto"/>
        <w:left w:val="none" w:sz="0" w:space="0" w:color="auto"/>
        <w:bottom w:val="none" w:sz="0" w:space="0" w:color="auto"/>
        <w:right w:val="none" w:sz="0" w:space="0" w:color="auto"/>
      </w:divBdr>
    </w:div>
    <w:div w:id="514347636">
      <w:bodyDiv w:val="1"/>
      <w:marLeft w:val="0"/>
      <w:marRight w:val="0"/>
      <w:marTop w:val="0"/>
      <w:marBottom w:val="0"/>
      <w:divBdr>
        <w:top w:val="none" w:sz="0" w:space="0" w:color="auto"/>
        <w:left w:val="none" w:sz="0" w:space="0" w:color="auto"/>
        <w:bottom w:val="none" w:sz="0" w:space="0" w:color="auto"/>
        <w:right w:val="none" w:sz="0" w:space="0" w:color="auto"/>
      </w:divBdr>
    </w:div>
    <w:div w:id="514853880">
      <w:bodyDiv w:val="1"/>
      <w:marLeft w:val="0"/>
      <w:marRight w:val="0"/>
      <w:marTop w:val="0"/>
      <w:marBottom w:val="0"/>
      <w:divBdr>
        <w:top w:val="none" w:sz="0" w:space="0" w:color="auto"/>
        <w:left w:val="none" w:sz="0" w:space="0" w:color="auto"/>
        <w:bottom w:val="none" w:sz="0" w:space="0" w:color="auto"/>
        <w:right w:val="none" w:sz="0" w:space="0" w:color="auto"/>
      </w:divBdr>
    </w:div>
    <w:div w:id="516582671">
      <w:bodyDiv w:val="1"/>
      <w:marLeft w:val="0"/>
      <w:marRight w:val="0"/>
      <w:marTop w:val="0"/>
      <w:marBottom w:val="0"/>
      <w:divBdr>
        <w:top w:val="none" w:sz="0" w:space="0" w:color="auto"/>
        <w:left w:val="none" w:sz="0" w:space="0" w:color="auto"/>
        <w:bottom w:val="none" w:sz="0" w:space="0" w:color="auto"/>
        <w:right w:val="none" w:sz="0" w:space="0" w:color="auto"/>
      </w:divBdr>
      <w:divsChild>
        <w:div w:id="1780954258">
          <w:marLeft w:val="446"/>
          <w:marRight w:val="0"/>
          <w:marTop w:val="0"/>
          <w:marBottom w:val="0"/>
          <w:divBdr>
            <w:top w:val="none" w:sz="0" w:space="0" w:color="auto"/>
            <w:left w:val="none" w:sz="0" w:space="0" w:color="auto"/>
            <w:bottom w:val="none" w:sz="0" w:space="0" w:color="auto"/>
            <w:right w:val="none" w:sz="0" w:space="0" w:color="auto"/>
          </w:divBdr>
        </w:div>
        <w:div w:id="1868323853">
          <w:marLeft w:val="446"/>
          <w:marRight w:val="0"/>
          <w:marTop w:val="0"/>
          <w:marBottom w:val="0"/>
          <w:divBdr>
            <w:top w:val="none" w:sz="0" w:space="0" w:color="auto"/>
            <w:left w:val="none" w:sz="0" w:space="0" w:color="auto"/>
            <w:bottom w:val="none" w:sz="0" w:space="0" w:color="auto"/>
            <w:right w:val="none" w:sz="0" w:space="0" w:color="auto"/>
          </w:divBdr>
        </w:div>
        <w:div w:id="1924754373">
          <w:marLeft w:val="446"/>
          <w:marRight w:val="0"/>
          <w:marTop w:val="0"/>
          <w:marBottom w:val="0"/>
          <w:divBdr>
            <w:top w:val="none" w:sz="0" w:space="0" w:color="auto"/>
            <w:left w:val="none" w:sz="0" w:space="0" w:color="auto"/>
            <w:bottom w:val="none" w:sz="0" w:space="0" w:color="auto"/>
            <w:right w:val="none" w:sz="0" w:space="0" w:color="auto"/>
          </w:divBdr>
        </w:div>
        <w:div w:id="1952743330">
          <w:marLeft w:val="446"/>
          <w:marRight w:val="0"/>
          <w:marTop w:val="0"/>
          <w:marBottom w:val="0"/>
          <w:divBdr>
            <w:top w:val="none" w:sz="0" w:space="0" w:color="auto"/>
            <w:left w:val="none" w:sz="0" w:space="0" w:color="auto"/>
            <w:bottom w:val="none" w:sz="0" w:space="0" w:color="auto"/>
            <w:right w:val="none" w:sz="0" w:space="0" w:color="auto"/>
          </w:divBdr>
        </w:div>
      </w:divsChild>
    </w:div>
    <w:div w:id="543063470">
      <w:bodyDiv w:val="1"/>
      <w:marLeft w:val="0"/>
      <w:marRight w:val="0"/>
      <w:marTop w:val="0"/>
      <w:marBottom w:val="0"/>
      <w:divBdr>
        <w:top w:val="none" w:sz="0" w:space="0" w:color="auto"/>
        <w:left w:val="none" w:sz="0" w:space="0" w:color="auto"/>
        <w:bottom w:val="none" w:sz="0" w:space="0" w:color="auto"/>
        <w:right w:val="none" w:sz="0" w:space="0" w:color="auto"/>
      </w:divBdr>
    </w:div>
    <w:div w:id="588539926">
      <w:bodyDiv w:val="1"/>
      <w:marLeft w:val="0"/>
      <w:marRight w:val="0"/>
      <w:marTop w:val="0"/>
      <w:marBottom w:val="0"/>
      <w:divBdr>
        <w:top w:val="none" w:sz="0" w:space="0" w:color="auto"/>
        <w:left w:val="none" w:sz="0" w:space="0" w:color="auto"/>
        <w:bottom w:val="none" w:sz="0" w:space="0" w:color="auto"/>
        <w:right w:val="none" w:sz="0" w:space="0" w:color="auto"/>
      </w:divBdr>
    </w:div>
    <w:div w:id="596639798">
      <w:bodyDiv w:val="1"/>
      <w:marLeft w:val="0"/>
      <w:marRight w:val="0"/>
      <w:marTop w:val="0"/>
      <w:marBottom w:val="0"/>
      <w:divBdr>
        <w:top w:val="none" w:sz="0" w:space="0" w:color="auto"/>
        <w:left w:val="none" w:sz="0" w:space="0" w:color="auto"/>
        <w:bottom w:val="none" w:sz="0" w:space="0" w:color="auto"/>
        <w:right w:val="none" w:sz="0" w:space="0" w:color="auto"/>
      </w:divBdr>
      <w:divsChild>
        <w:div w:id="465782817">
          <w:marLeft w:val="418"/>
          <w:marRight w:val="0"/>
          <w:marTop w:val="0"/>
          <w:marBottom w:val="0"/>
          <w:divBdr>
            <w:top w:val="none" w:sz="0" w:space="0" w:color="auto"/>
            <w:left w:val="none" w:sz="0" w:space="0" w:color="auto"/>
            <w:bottom w:val="none" w:sz="0" w:space="0" w:color="auto"/>
            <w:right w:val="none" w:sz="0" w:space="0" w:color="auto"/>
          </w:divBdr>
        </w:div>
        <w:div w:id="574707562">
          <w:marLeft w:val="1138"/>
          <w:marRight w:val="0"/>
          <w:marTop w:val="0"/>
          <w:marBottom w:val="120"/>
          <w:divBdr>
            <w:top w:val="none" w:sz="0" w:space="0" w:color="auto"/>
            <w:left w:val="none" w:sz="0" w:space="0" w:color="auto"/>
            <w:bottom w:val="none" w:sz="0" w:space="0" w:color="auto"/>
            <w:right w:val="none" w:sz="0" w:space="0" w:color="auto"/>
          </w:divBdr>
        </w:div>
        <w:div w:id="1020937451">
          <w:marLeft w:val="1138"/>
          <w:marRight w:val="0"/>
          <w:marTop w:val="0"/>
          <w:marBottom w:val="120"/>
          <w:divBdr>
            <w:top w:val="none" w:sz="0" w:space="0" w:color="auto"/>
            <w:left w:val="none" w:sz="0" w:space="0" w:color="auto"/>
            <w:bottom w:val="none" w:sz="0" w:space="0" w:color="auto"/>
            <w:right w:val="none" w:sz="0" w:space="0" w:color="auto"/>
          </w:divBdr>
        </w:div>
        <w:div w:id="1514950212">
          <w:marLeft w:val="1138"/>
          <w:marRight w:val="0"/>
          <w:marTop w:val="0"/>
          <w:marBottom w:val="120"/>
          <w:divBdr>
            <w:top w:val="none" w:sz="0" w:space="0" w:color="auto"/>
            <w:left w:val="none" w:sz="0" w:space="0" w:color="auto"/>
            <w:bottom w:val="none" w:sz="0" w:space="0" w:color="auto"/>
            <w:right w:val="none" w:sz="0" w:space="0" w:color="auto"/>
          </w:divBdr>
        </w:div>
        <w:div w:id="1537505553">
          <w:marLeft w:val="418"/>
          <w:marRight w:val="0"/>
          <w:marTop w:val="0"/>
          <w:marBottom w:val="120"/>
          <w:divBdr>
            <w:top w:val="none" w:sz="0" w:space="0" w:color="auto"/>
            <w:left w:val="none" w:sz="0" w:space="0" w:color="auto"/>
            <w:bottom w:val="none" w:sz="0" w:space="0" w:color="auto"/>
            <w:right w:val="none" w:sz="0" w:space="0" w:color="auto"/>
          </w:divBdr>
        </w:div>
        <w:div w:id="1741362571">
          <w:marLeft w:val="1138"/>
          <w:marRight w:val="0"/>
          <w:marTop w:val="0"/>
          <w:marBottom w:val="120"/>
          <w:divBdr>
            <w:top w:val="none" w:sz="0" w:space="0" w:color="auto"/>
            <w:left w:val="none" w:sz="0" w:space="0" w:color="auto"/>
            <w:bottom w:val="none" w:sz="0" w:space="0" w:color="auto"/>
            <w:right w:val="none" w:sz="0" w:space="0" w:color="auto"/>
          </w:divBdr>
        </w:div>
        <w:div w:id="1778909342">
          <w:marLeft w:val="1138"/>
          <w:marRight w:val="0"/>
          <w:marTop w:val="0"/>
          <w:marBottom w:val="120"/>
          <w:divBdr>
            <w:top w:val="none" w:sz="0" w:space="0" w:color="auto"/>
            <w:left w:val="none" w:sz="0" w:space="0" w:color="auto"/>
            <w:bottom w:val="none" w:sz="0" w:space="0" w:color="auto"/>
            <w:right w:val="none" w:sz="0" w:space="0" w:color="auto"/>
          </w:divBdr>
        </w:div>
      </w:divsChild>
    </w:div>
    <w:div w:id="621695513">
      <w:bodyDiv w:val="1"/>
      <w:marLeft w:val="0"/>
      <w:marRight w:val="0"/>
      <w:marTop w:val="0"/>
      <w:marBottom w:val="0"/>
      <w:divBdr>
        <w:top w:val="none" w:sz="0" w:space="0" w:color="auto"/>
        <w:left w:val="none" w:sz="0" w:space="0" w:color="auto"/>
        <w:bottom w:val="none" w:sz="0" w:space="0" w:color="auto"/>
        <w:right w:val="none" w:sz="0" w:space="0" w:color="auto"/>
      </w:divBdr>
      <w:divsChild>
        <w:div w:id="1377239872">
          <w:marLeft w:val="446"/>
          <w:marRight w:val="0"/>
          <w:marTop w:val="0"/>
          <w:marBottom w:val="280"/>
          <w:divBdr>
            <w:top w:val="none" w:sz="0" w:space="0" w:color="auto"/>
            <w:left w:val="none" w:sz="0" w:space="0" w:color="auto"/>
            <w:bottom w:val="none" w:sz="0" w:space="0" w:color="auto"/>
            <w:right w:val="none" w:sz="0" w:space="0" w:color="auto"/>
          </w:divBdr>
        </w:div>
        <w:div w:id="1716154366">
          <w:marLeft w:val="446"/>
          <w:marRight w:val="0"/>
          <w:marTop w:val="0"/>
          <w:marBottom w:val="280"/>
          <w:divBdr>
            <w:top w:val="none" w:sz="0" w:space="0" w:color="auto"/>
            <w:left w:val="none" w:sz="0" w:space="0" w:color="auto"/>
            <w:bottom w:val="none" w:sz="0" w:space="0" w:color="auto"/>
            <w:right w:val="none" w:sz="0" w:space="0" w:color="auto"/>
          </w:divBdr>
        </w:div>
      </w:divsChild>
    </w:div>
    <w:div w:id="637151013">
      <w:bodyDiv w:val="1"/>
      <w:marLeft w:val="0"/>
      <w:marRight w:val="0"/>
      <w:marTop w:val="0"/>
      <w:marBottom w:val="0"/>
      <w:divBdr>
        <w:top w:val="none" w:sz="0" w:space="0" w:color="auto"/>
        <w:left w:val="none" w:sz="0" w:space="0" w:color="auto"/>
        <w:bottom w:val="none" w:sz="0" w:space="0" w:color="auto"/>
        <w:right w:val="none" w:sz="0" w:space="0" w:color="auto"/>
      </w:divBdr>
    </w:div>
    <w:div w:id="656498580">
      <w:bodyDiv w:val="1"/>
      <w:marLeft w:val="0"/>
      <w:marRight w:val="0"/>
      <w:marTop w:val="0"/>
      <w:marBottom w:val="0"/>
      <w:divBdr>
        <w:top w:val="none" w:sz="0" w:space="0" w:color="auto"/>
        <w:left w:val="none" w:sz="0" w:space="0" w:color="auto"/>
        <w:bottom w:val="none" w:sz="0" w:space="0" w:color="auto"/>
        <w:right w:val="none" w:sz="0" w:space="0" w:color="auto"/>
      </w:divBdr>
    </w:div>
    <w:div w:id="671953177">
      <w:bodyDiv w:val="1"/>
      <w:marLeft w:val="0"/>
      <w:marRight w:val="0"/>
      <w:marTop w:val="0"/>
      <w:marBottom w:val="0"/>
      <w:divBdr>
        <w:top w:val="none" w:sz="0" w:space="0" w:color="auto"/>
        <w:left w:val="none" w:sz="0" w:space="0" w:color="auto"/>
        <w:bottom w:val="none" w:sz="0" w:space="0" w:color="auto"/>
        <w:right w:val="none" w:sz="0" w:space="0" w:color="auto"/>
      </w:divBdr>
    </w:div>
    <w:div w:id="680664752">
      <w:bodyDiv w:val="1"/>
      <w:marLeft w:val="0"/>
      <w:marRight w:val="0"/>
      <w:marTop w:val="0"/>
      <w:marBottom w:val="0"/>
      <w:divBdr>
        <w:top w:val="none" w:sz="0" w:space="0" w:color="auto"/>
        <w:left w:val="none" w:sz="0" w:space="0" w:color="auto"/>
        <w:bottom w:val="none" w:sz="0" w:space="0" w:color="auto"/>
        <w:right w:val="none" w:sz="0" w:space="0" w:color="auto"/>
      </w:divBdr>
      <w:divsChild>
        <w:div w:id="640889257">
          <w:marLeft w:val="418"/>
          <w:marRight w:val="0"/>
          <w:marTop w:val="0"/>
          <w:marBottom w:val="0"/>
          <w:divBdr>
            <w:top w:val="none" w:sz="0" w:space="0" w:color="auto"/>
            <w:left w:val="none" w:sz="0" w:space="0" w:color="auto"/>
            <w:bottom w:val="none" w:sz="0" w:space="0" w:color="auto"/>
            <w:right w:val="none" w:sz="0" w:space="0" w:color="auto"/>
          </w:divBdr>
        </w:div>
      </w:divsChild>
    </w:div>
    <w:div w:id="708072909">
      <w:bodyDiv w:val="1"/>
      <w:marLeft w:val="0"/>
      <w:marRight w:val="0"/>
      <w:marTop w:val="0"/>
      <w:marBottom w:val="0"/>
      <w:divBdr>
        <w:top w:val="none" w:sz="0" w:space="0" w:color="auto"/>
        <w:left w:val="none" w:sz="0" w:space="0" w:color="auto"/>
        <w:bottom w:val="none" w:sz="0" w:space="0" w:color="auto"/>
        <w:right w:val="none" w:sz="0" w:space="0" w:color="auto"/>
      </w:divBdr>
    </w:div>
    <w:div w:id="793064625">
      <w:bodyDiv w:val="1"/>
      <w:marLeft w:val="0"/>
      <w:marRight w:val="0"/>
      <w:marTop w:val="0"/>
      <w:marBottom w:val="0"/>
      <w:divBdr>
        <w:top w:val="none" w:sz="0" w:space="0" w:color="auto"/>
        <w:left w:val="none" w:sz="0" w:space="0" w:color="auto"/>
        <w:bottom w:val="none" w:sz="0" w:space="0" w:color="auto"/>
        <w:right w:val="none" w:sz="0" w:space="0" w:color="auto"/>
      </w:divBdr>
      <w:divsChild>
        <w:div w:id="1717968162">
          <w:marLeft w:val="418"/>
          <w:marRight w:val="0"/>
          <w:marTop w:val="0"/>
          <w:marBottom w:val="0"/>
          <w:divBdr>
            <w:top w:val="none" w:sz="0" w:space="0" w:color="auto"/>
            <w:left w:val="none" w:sz="0" w:space="0" w:color="auto"/>
            <w:bottom w:val="none" w:sz="0" w:space="0" w:color="auto"/>
            <w:right w:val="none" w:sz="0" w:space="0" w:color="auto"/>
          </w:divBdr>
        </w:div>
      </w:divsChild>
    </w:div>
    <w:div w:id="811752159">
      <w:bodyDiv w:val="1"/>
      <w:marLeft w:val="0"/>
      <w:marRight w:val="0"/>
      <w:marTop w:val="0"/>
      <w:marBottom w:val="0"/>
      <w:divBdr>
        <w:top w:val="none" w:sz="0" w:space="0" w:color="auto"/>
        <w:left w:val="none" w:sz="0" w:space="0" w:color="auto"/>
        <w:bottom w:val="none" w:sz="0" w:space="0" w:color="auto"/>
        <w:right w:val="none" w:sz="0" w:space="0" w:color="auto"/>
      </w:divBdr>
    </w:div>
    <w:div w:id="813328823">
      <w:bodyDiv w:val="1"/>
      <w:marLeft w:val="0"/>
      <w:marRight w:val="0"/>
      <w:marTop w:val="0"/>
      <w:marBottom w:val="0"/>
      <w:divBdr>
        <w:top w:val="none" w:sz="0" w:space="0" w:color="auto"/>
        <w:left w:val="none" w:sz="0" w:space="0" w:color="auto"/>
        <w:bottom w:val="none" w:sz="0" w:space="0" w:color="auto"/>
        <w:right w:val="none" w:sz="0" w:space="0" w:color="auto"/>
      </w:divBdr>
    </w:div>
    <w:div w:id="839468949">
      <w:bodyDiv w:val="1"/>
      <w:marLeft w:val="0"/>
      <w:marRight w:val="0"/>
      <w:marTop w:val="0"/>
      <w:marBottom w:val="0"/>
      <w:divBdr>
        <w:top w:val="none" w:sz="0" w:space="0" w:color="auto"/>
        <w:left w:val="none" w:sz="0" w:space="0" w:color="auto"/>
        <w:bottom w:val="none" w:sz="0" w:space="0" w:color="auto"/>
        <w:right w:val="none" w:sz="0" w:space="0" w:color="auto"/>
      </w:divBdr>
    </w:div>
    <w:div w:id="846166011">
      <w:bodyDiv w:val="1"/>
      <w:marLeft w:val="0"/>
      <w:marRight w:val="0"/>
      <w:marTop w:val="0"/>
      <w:marBottom w:val="0"/>
      <w:divBdr>
        <w:top w:val="none" w:sz="0" w:space="0" w:color="auto"/>
        <w:left w:val="none" w:sz="0" w:space="0" w:color="auto"/>
        <w:bottom w:val="none" w:sz="0" w:space="0" w:color="auto"/>
        <w:right w:val="none" w:sz="0" w:space="0" w:color="auto"/>
      </w:divBdr>
    </w:div>
    <w:div w:id="856194679">
      <w:bodyDiv w:val="1"/>
      <w:marLeft w:val="0"/>
      <w:marRight w:val="0"/>
      <w:marTop w:val="0"/>
      <w:marBottom w:val="0"/>
      <w:divBdr>
        <w:top w:val="none" w:sz="0" w:space="0" w:color="auto"/>
        <w:left w:val="none" w:sz="0" w:space="0" w:color="auto"/>
        <w:bottom w:val="none" w:sz="0" w:space="0" w:color="auto"/>
        <w:right w:val="none" w:sz="0" w:space="0" w:color="auto"/>
      </w:divBdr>
    </w:div>
    <w:div w:id="858783756">
      <w:bodyDiv w:val="1"/>
      <w:marLeft w:val="0"/>
      <w:marRight w:val="0"/>
      <w:marTop w:val="0"/>
      <w:marBottom w:val="0"/>
      <w:divBdr>
        <w:top w:val="none" w:sz="0" w:space="0" w:color="auto"/>
        <w:left w:val="none" w:sz="0" w:space="0" w:color="auto"/>
        <w:bottom w:val="none" w:sz="0" w:space="0" w:color="auto"/>
        <w:right w:val="none" w:sz="0" w:space="0" w:color="auto"/>
      </w:divBdr>
    </w:div>
    <w:div w:id="865749372">
      <w:bodyDiv w:val="1"/>
      <w:marLeft w:val="0"/>
      <w:marRight w:val="0"/>
      <w:marTop w:val="0"/>
      <w:marBottom w:val="0"/>
      <w:divBdr>
        <w:top w:val="none" w:sz="0" w:space="0" w:color="auto"/>
        <w:left w:val="none" w:sz="0" w:space="0" w:color="auto"/>
        <w:bottom w:val="none" w:sz="0" w:space="0" w:color="auto"/>
        <w:right w:val="none" w:sz="0" w:space="0" w:color="auto"/>
      </w:divBdr>
      <w:divsChild>
        <w:div w:id="13659068">
          <w:marLeft w:val="418"/>
          <w:marRight w:val="0"/>
          <w:marTop w:val="0"/>
          <w:marBottom w:val="0"/>
          <w:divBdr>
            <w:top w:val="none" w:sz="0" w:space="0" w:color="auto"/>
            <w:left w:val="none" w:sz="0" w:space="0" w:color="auto"/>
            <w:bottom w:val="none" w:sz="0" w:space="0" w:color="auto"/>
            <w:right w:val="none" w:sz="0" w:space="0" w:color="auto"/>
          </w:divBdr>
        </w:div>
      </w:divsChild>
    </w:div>
    <w:div w:id="872382258">
      <w:bodyDiv w:val="1"/>
      <w:marLeft w:val="0"/>
      <w:marRight w:val="0"/>
      <w:marTop w:val="0"/>
      <w:marBottom w:val="0"/>
      <w:divBdr>
        <w:top w:val="none" w:sz="0" w:space="0" w:color="auto"/>
        <w:left w:val="none" w:sz="0" w:space="0" w:color="auto"/>
        <w:bottom w:val="none" w:sz="0" w:space="0" w:color="auto"/>
        <w:right w:val="none" w:sz="0" w:space="0" w:color="auto"/>
      </w:divBdr>
      <w:divsChild>
        <w:div w:id="78796616">
          <w:marLeft w:val="1109"/>
          <w:marRight w:val="0"/>
          <w:marTop w:val="0"/>
          <w:marBottom w:val="270"/>
          <w:divBdr>
            <w:top w:val="none" w:sz="0" w:space="0" w:color="auto"/>
            <w:left w:val="none" w:sz="0" w:space="0" w:color="auto"/>
            <w:bottom w:val="none" w:sz="0" w:space="0" w:color="auto"/>
            <w:right w:val="none" w:sz="0" w:space="0" w:color="auto"/>
          </w:divBdr>
        </w:div>
        <w:div w:id="466893575">
          <w:marLeft w:val="1022"/>
          <w:marRight w:val="0"/>
          <w:marTop w:val="0"/>
          <w:marBottom w:val="270"/>
          <w:divBdr>
            <w:top w:val="none" w:sz="0" w:space="0" w:color="auto"/>
            <w:left w:val="none" w:sz="0" w:space="0" w:color="auto"/>
            <w:bottom w:val="none" w:sz="0" w:space="0" w:color="auto"/>
            <w:right w:val="none" w:sz="0" w:space="0" w:color="auto"/>
          </w:divBdr>
        </w:div>
        <w:div w:id="927541328">
          <w:marLeft w:val="547"/>
          <w:marRight w:val="0"/>
          <w:marTop w:val="0"/>
          <w:marBottom w:val="270"/>
          <w:divBdr>
            <w:top w:val="none" w:sz="0" w:space="0" w:color="auto"/>
            <w:left w:val="none" w:sz="0" w:space="0" w:color="auto"/>
            <w:bottom w:val="none" w:sz="0" w:space="0" w:color="auto"/>
            <w:right w:val="none" w:sz="0" w:space="0" w:color="auto"/>
          </w:divBdr>
        </w:div>
        <w:div w:id="1148471861">
          <w:marLeft w:val="547"/>
          <w:marRight w:val="0"/>
          <w:marTop w:val="0"/>
          <w:marBottom w:val="270"/>
          <w:divBdr>
            <w:top w:val="none" w:sz="0" w:space="0" w:color="auto"/>
            <w:left w:val="none" w:sz="0" w:space="0" w:color="auto"/>
            <w:bottom w:val="none" w:sz="0" w:space="0" w:color="auto"/>
            <w:right w:val="none" w:sz="0" w:space="0" w:color="auto"/>
          </w:divBdr>
        </w:div>
        <w:div w:id="1254240052">
          <w:marLeft w:val="547"/>
          <w:marRight w:val="0"/>
          <w:marTop w:val="0"/>
          <w:marBottom w:val="270"/>
          <w:divBdr>
            <w:top w:val="none" w:sz="0" w:space="0" w:color="auto"/>
            <w:left w:val="none" w:sz="0" w:space="0" w:color="auto"/>
            <w:bottom w:val="none" w:sz="0" w:space="0" w:color="auto"/>
            <w:right w:val="none" w:sz="0" w:space="0" w:color="auto"/>
          </w:divBdr>
        </w:div>
        <w:div w:id="1440369354">
          <w:marLeft w:val="547"/>
          <w:marRight w:val="0"/>
          <w:marTop w:val="0"/>
          <w:marBottom w:val="270"/>
          <w:divBdr>
            <w:top w:val="none" w:sz="0" w:space="0" w:color="auto"/>
            <w:left w:val="none" w:sz="0" w:space="0" w:color="auto"/>
            <w:bottom w:val="none" w:sz="0" w:space="0" w:color="auto"/>
            <w:right w:val="none" w:sz="0" w:space="0" w:color="auto"/>
          </w:divBdr>
        </w:div>
        <w:div w:id="1611162762">
          <w:marLeft w:val="1109"/>
          <w:marRight w:val="0"/>
          <w:marTop w:val="0"/>
          <w:marBottom w:val="270"/>
          <w:divBdr>
            <w:top w:val="none" w:sz="0" w:space="0" w:color="auto"/>
            <w:left w:val="none" w:sz="0" w:space="0" w:color="auto"/>
            <w:bottom w:val="none" w:sz="0" w:space="0" w:color="auto"/>
            <w:right w:val="none" w:sz="0" w:space="0" w:color="auto"/>
          </w:divBdr>
        </w:div>
      </w:divsChild>
    </w:div>
    <w:div w:id="921597107">
      <w:bodyDiv w:val="1"/>
      <w:marLeft w:val="0"/>
      <w:marRight w:val="0"/>
      <w:marTop w:val="0"/>
      <w:marBottom w:val="0"/>
      <w:divBdr>
        <w:top w:val="none" w:sz="0" w:space="0" w:color="auto"/>
        <w:left w:val="none" w:sz="0" w:space="0" w:color="auto"/>
        <w:bottom w:val="none" w:sz="0" w:space="0" w:color="auto"/>
        <w:right w:val="none" w:sz="0" w:space="0" w:color="auto"/>
      </w:divBdr>
      <w:divsChild>
        <w:div w:id="7027276">
          <w:marLeft w:val="1022"/>
          <w:marRight w:val="0"/>
          <w:marTop w:val="0"/>
          <w:marBottom w:val="0"/>
          <w:divBdr>
            <w:top w:val="none" w:sz="0" w:space="0" w:color="auto"/>
            <w:left w:val="none" w:sz="0" w:space="0" w:color="auto"/>
            <w:bottom w:val="none" w:sz="0" w:space="0" w:color="auto"/>
            <w:right w:val="none" w:sz="0" w:space="0" w:color="auto"/>
          </w:divBdr>
        </w:div>
        <w:div w:id="99565454">
          <w:marLeft w:val="446"/>
          <w:marRight w:val="0"/>
          <w:marTop w:val="0"/>
          <w:marBottom w:val="0"/>
          <w:divBdr>
            <w:top w:val="none" w:sz="0" w:space="0" w:color="auto"/>
            <w:left w:val="none" w:sz="0" w:space="0" w:color="auto"/>
            <w:bottom w:val="none" w:sz="0" w:space="0" w:color="auto"/>
            <w:right w:val="none" w:sz="0" w:space="0" w:color="auto"/>
          </w:divBdr>
        </w:div>
        <w:div w:id="183058889">
          <w:marLeft w:val="1022"/>
          <w:marRight w:val="0"/>
          <w:marTop w:val="0"/>
          <w:marBottom w:val="0"/>
          <w:divBdr>
            <w:top w:val="none" w:sz="0" w:space="0" w:color="auto"/>
            <w:left w:val="none" w:sz="0" w:space="0" w:color="auto"/>
            <w:bottom w:val="none" w:sz="0" w:space="0" w:color="auto"/>
            <w:right w:val="none" w:sz="0" w:space="0" w:color="auto"/>
          </w:divBdr>
        </w:div>
        <w:div w:id="910699413">
          <w:marLeft w:val="446"/>
          <w:marRight w:val="0"/>
          <w:marTop w:val="0"/>
          <w:marBottom w:val="0"/>
          <w:divBdr>
            <w:top w:val="none" w:sz="0" w:space="0" w:color="auto"/>
            <w:left w:val="none" w:sz="0" w:space="0" w:color="auto"/>
            <w:bottom w:val="none" w:sz="0" w:space="0" w:color="auto"/>
            <w:right w:val="none" w:sz="0" w:space="0" w:color="auto"/>
          </w:divBdr>
        </w:div>
        <w:div w:id="2082755491">
          <w:marLeft w:val="1022"/>
          <w:marRight w:val="0"/>
          <w:marTop w:val="0"/>
          <w:marBottom w:val="0"/>
          <w:divBdr>
            <w:top w:val="none" w:sz="0" w:space="0" w:color="auto"/>
            <w:left w:val="none" w:sz="0" w:space="0" w:color="auto"/>
            <w:bottom w:val="none" w:sz="0" w:space="0" w:color="auto"/>
            <w:right w:val="none" w:sz="0" w:space="0" w:color="auto"/>
          </w:divBdr>
        </w:div>
      </w:divsChild>
    </w:div>
    <w:div w:id="941687073">
      <w:bodyDiv w:val="1"/>
      <w:marLeft w:val="0"/>
      <w:marRight w:val="0"/>
      <w:marTop w:val="0"/>
      <w:marBottom w:val="0"/>
      <w:divBdr>
        <w:top w:val="none" w:sz="0" w:space="0" w:color="auto"/>
        <w:left w:val="none" w:sz="0" w:space="0" w:color="auto"/>
        <w:bottom w:val="none" w:sz="0" w:space="0" w:color="auto"/>
        <w:right w:val="none" w:sz="0" w:space="0" w:color="auto"/>
      </w:divBdr>
      <w:divsChild>
        <w:div w:id="372729321">
          <w:marLeft w:val="418"/>
          <w:marRight w:val="0"/>
          <w:marTop w:val="0"/>
          <w:marBottom w:val="0"/>
          <w:divBdr>
            <w:top w:val="none" w:sz="0" w:space="0" w:color="auto"/>
            <w:left w:val="none" w:sz="0" w:space="0" w:color="auto"/>
            <w:bottom w:val="none" w:sz="0" w:space="0" w:color="auto"/>
            <w:right w:val="none" w:sz="0" w:space="0" w:color="auto"/>
          </w:divBdr>
        </w:div>
      </w:divsChild>
    </w:div>
    <w:div w:id="983387077">
      <w:bodyDiv w:val="1"/>
      <w:marLeft w:val="0"/>
      <w:marRight w:val="0"/>
      <w:marTop w:val="0"/>
      <w:marBottom w:val="0"/>
      <w:divBdr>
        <w:top w:val="none" w:sz="0" w:space="0" w:color="auto"/>
        <w:left w:val="none" w:sz="0" w:space="0" w:color="auto"/>
        <w:bottom w:val="none" w:sz="0" w:space="0" w:color="auto"/>
        <w:right w:val="none" w:sz="0" w:space="0" w:color="auto"/>
      </w:divBdr>
    </w:div>
    <w:div w:id="1015227688">
      <w:bodyDiv w:val="1"/>
      <w:marLeft w:val="0"/>
      <w:marRight w:val="0"/>
      <w:marTop w:val="0"/>
      <w:marBottom w:val="0"/>
      <w:divBdr>
        <w:top w:val="none" w:sz="0" w:space="0" w:color="auto"/>
        <w:left w:val="none" w:sz="0" w:space="0" w:color="auto"/>
        <w:bottom w:val="none" w:sz="0" w:space="0" w:color="auto"/>
        <w:right w:val="none" w:sz="0" w:space="0" w:color="auto"/>
      </w:divBdr>
    </w:div>
    <w:div w:id="1016031553">
      <w:bodyDiv w:val="1"/>
      <w:marLeft w:val="0"/>
      <w:marRight w:val="0"/>
      <w:marTop w:val="0"/>
      <w:marBottom w:val="0"/>
      <w:divBdr>
        <w:top w:val="none" w:sz="0" w:space="0" w:color="auto"/>
        <w:left w:val="none" w:sz="0" w:space="0" w:color="auto"/>
        <w:bottom w:val="none" w:sz="0" w:space="0" w:color="auto"/>
        <w:right w:val="none" w:sz="0" w:space="0" w:color="auto"/>
      </w:divBdr>
      <w:divsChild>
        <w:div w:id="1676225384">
          <w:marLeft w:val="418"/>
          <w:marRight w:val="0"/>
          <w:marTop w:val="0"/>
          <w:marBottom w:val="0"/>
          <w:divBdr>
            <w:top w:val="none" w:sz="0" w:space="0" w:color="auto"/>
            <w:left w:val="none" w:sz="0" w:space="0" w:color="auto"/>
            <w:bottom w:val="none" w:sz="0" w:space="0" w:color="auto"/>
            <w:right w:val="none" w:sz="0" w:space="0" w:color="auto"/>
          </w:divBdr>
        </w:div>
      </w:divsChild>
    </w:div>
    <w:div w:id="1026716095">
      <w:bodyDiv w:val="1"/>
      <w:marLeft w:val="0"/>
      <w:marRight w:val="0"/>
      <w:marTop w:val="0"/>
      <w:marBottom w:val="0"/>
      <w:divBdr>
        <w:top w:val="none" w:sz="0" w:space="0" w:color="auto"/>
        <w:left w:val="none" w:sz="0" w:space="0" w:color="auto"/>
        <w:bottom w:val="none" w:sz="0" w:space="0" w:color="auto"/>
        <w:right w:val="none" w:sz="0" w:space="0" w:color="auto"/>
      </w:divBdr>
    </w:div>
    <w:div w:id="1039283256">
      <w:bodyDiv w:val="1"/>
      <w:marLeft w:val="0"/>
      <w:marRight w:val="0"/>
      <w:marTop w:val="0"/>
      <w:marBottom w:val="0"/>
      <w:divBdr>
        <w:top w:val="none" w:sz="0" w:space="0" w:color="auto"/>
        <w:left w:val="none" w:sz="0" w:space="0" w:color="auto"/>
        <w:bottom w:val="none" w:sz="0" w:space="0" w:color="auto"/>
        <w:right w:val="none" w:sz="0" w:space="0" w:color="auto"/>
      </w:divBdr>
    </w:div>
    <w:div w:id="1070930094">
      <w:bodyDiv w:val="1"/>
      <w:marLeft w:val="0"/>
      <w:marRight w:val="0"/>
      <w:marTop w:val="0"/>
      <w:marBottom w:val="0"/>
      <w:divBdr>
        <w:top w:val="none" w:sz="0" w:space="0" w:color="auto"/>
        <w:left w:val="none" w:sz="0" w:space="0" w:color="auto"/>
        <w:bottom w:val="none" w:sz="0" w:space="0" w:color="auto"/>
        <w:right w:val="none" w:sz="0" w:space="0" w:color="auto"/>
      </w:divBdr>
    </w:div>
    <w:div w:id="1081608498">
      <w:bodyDiv w:val="1"/>
      <w:marLeft w:val="0"/>
      <w:marRight w:val="0"/>
      <w:marTop w:val="0"/>
      <w:marBottom w:val="0"/>
      <w:divBdr>
        <w:top w:val="none" w:sz="0" w:space="0" w:color="auto"/>
        <w:left w:val="none" w:sz="0" w:space="0" w:color="auto"/>
        <w:bottom w:val="none" w:sz="0" w:space="0" w:color="auto"/>
        <w:right w:val="none" w:sz="0" w:space="0" w:color="auto"/>
      </w:divBdr>
    </w:div>
    <w:div w:id="1126584590">
      <w:bodyDiv w:val="1"/>
      <w:marLeft w:val="0"/>
      <w:marRight w:val="0"/>
      <w:marTop w:val="0"/>
      <w:marBottom w:val="0"/>
      <w:divBdr>
        <w:top w:val="none" w:sz="0" w:space="0" w:color="auto"/>
        <w:left w:val="none" w:sz="0" w:space="0" w:color="auto"/>
        <w:bottom w:val="none" w:sz="0" w:space="0" w:color="auto"/>
        <w:right w:val="none" w:sz="0" w:space="0" w:color="auto"/>
      </w:divBdr>
    </w:div>
    <w:div w:id="1133255493">
      <w:bodyDiv w:val="1"/>
      <w:marLeft w:val="0"/>
      <w:marRight w:val="0"/>
      <w:marTop w:val="0"/>
      <w:marBottom w:val="0"/>
      <w:divBdr>
        <w:top w:val="none" w:sz="0" w:space="0" w:color="auto"/>
        <w:left w:val="none" w:sz="0" w:space="0" w:color="auto"/>
        <w:bottom w:val="none" w:sz="0" w:space="0" w:color="auto"/>
        <w:right w:val="none" w:sz="0" w:space="0" w:color="auto"/>
      </w:divBdr>
    </w:div>
    <w:div w:id="1149515962">
      <w:bodyDiv w:val="1"/>
      <w:marLeft w:val="0"/>
      <w:marRight w:val="0"/>
      <w:marTop w:val="0"/>
      <w:marBottom w:val="0"/>
      <w:divBdr>
        <w:top w:val="none" w:sz="0" w:space="0" w:color="auto"/>
        <w:left w:val="none" w:sz="0" w:space="0" w:color="auto"/>
        <w:bottom w:val="none" w:sz="0" w:space="0" w:color="auto"/>
        <w:right w:val="none" w:sz="0" w:space="0" w:color="auto"/>
      </w:divBdr>
    </w:div>
    <w:div w:id="1149899969">
      <w:bodyDiv w:val="1"/>
      <w:marLeft w:val="0"/>
      <w:marRight w:val="0"/>
      <w:marTop w:val="0"/>
      <w:marBottom w:val="0"/>
      <w:divBdr>
        <w:top w:val="none" w:sz="0" w:space="0" w:color="auto"/>
        <w:left w:val="none" w:sz="0" w:space="0" w:color="auto"/>
        <w:bottom w:val="none" w:sz="0" w:space="0" w:color="auto"/>
        <w:right w:val="none" w:sz="0" w:space="0" w:color="auto"/>
      </w:divBdr>
    </w:div>
    <w:div w:id="1182547340">
      <w:bodyDiv w:val="1"/>
      <w:marLeft w:val="0"/>
      <w:marRight w:val="0"/>
      <w:marTop w:val="0"/>
      <w:marBottom w:val="0"/>
      <w:divBdr>
        <w:top w:val="none" w:sz="0" w:space="0" w:color="auto"/>
        <w:left w:val="none" w:sz="0" w:space="0" w:color="auto"/>
        <w:bottom w:val="none" w:sz="0" w:space="0" w:color="auto"/>
        <w:right w:val="none" w:sz="0" w:space="0" w:color="auto"/>
      </w:divBdr>
    </w:div>
    <w:div w:id="1195731323">
      <w:bodyDiv w:val="1"/>
      <w:marLeft w:val="0"/>
      <w:marRight w:val="0"/>
      <w:marTop w:val="0"/>
      <w:marBottom w:val="0"/>
      <w:divBdr>
        <w:top w:val="none" w:sz="0" w:space="0" w:color="auto"/>
        <w:left w:val="none" w:sz="0" w:space="0" w:color="auto"/>
        <w:bottom w:val="none" w:sz="0" w:space="0" w:color="auto"/>
        <w:right w:val="none" w:sz="0" w:space="0" w:color="auto"/>
      </w:divBdr>
      <w:divsChild>
        <w:div w:id="1274824330">
          <w:marLeft w:val="446"/>
          <w:marRight w:val="0"/>
          <w:marTop w:val="0"/>
          <w:marBottom w:val="0"/>
          <w:divBdr>
            <w:top w:val="none" w:sz="0" w:space="0" w:color="auto"/>
            <w:left w:val="none" w:sz="0" w:space="0" w:color="auto"/>
            <w:bottom w:val="none" w:sz="0" w:space="0" w:color="auto"/>
            <w:right w:val="none" w:sz="0" w:space="0" w:color="auto"/>
          </w:divBdr>
        </w:div>
        <w:div w:id="1365327702">
          <w:marLeft w:val="446"/>
          <w:marRight w:val="0"/>
          <w:marTop w:val="0"/>
          <w:marBottom w:val="0"/>
          <w:divBdr>
            <w:top w:val="none" w:sz="0" w:space="0" w:color="auto"/>
            <w:left w:val="none" w:sz="0" w:space="0" w:color="auto"/>
            <w:bottom w:val="none" w:sz="0" w:space="0" w:color="auto"/>
            <w:right w:val="none" w:sz="0" w:space="0" w:color="auto"/>
          </w:divBdr>
        </w:div>
        <w:div w:id="1397166462">
          <w:marLeft w:val="446"/>
          <w:marRight w:val="0"/>
          <w:marTop w:val="0"/>
          <w:marBottom w:val="0"/>
          <w:divBdr>
            <w:top w:val="none" w:sz="0" w:space="0" w:color="auto"/>
            <w:left w:val="none" w:sz="0" w:space="0" w:color="auto"/>
            <w:bottom w:val="none" w:sz="0" w:space="0" w:color="auto"/>
            <w:right w:val="none" w:sz="0" w:space="0" w:color="auto"/>
          </w:divBdr>
        </w:div>
        <w:div w:id="1642072327">
          <w:marLeft w:val="446"/>
          <w:marRight w:val="0"/>
          <w:marTop w:val="0"/>
          <w:marBottom w:val="0"/>
          <w:divBdr>
            <w:top w:val="none" w:sz="0" w:space="0" w:color="auto"/>
            <w:left w:val="none" w:sz="0" w:space="0" w:color="auto"/>
            <w:bottom w:val="none" w:sz="0" w:space="0" w:color="auto"/>
            <w:right w:val="none" w:sz="0" w:space="0" w:color="auto"/>
          </w:divBdr>
        </w:div>
        <w:div w:id="1823153015">
          <w:marLeft w:val="446"/>
          <w:marRight w:val="0"/>
          <w:marTop w:val="0"/>
          <w:marBottom w:val="0"/>
          <w:divBdr>
            <w:top w:val="none" w:sz="0" w:space="0" w:color="auto"/>
            <w:left w:val="none" w:sz="0" w:space="0" w:color="auto"/>
            <w:bottom w:val="none" w:sz="0" w:space="0" w:color="auto"/>
            <w:right w:val="none" w:sz="0" w:space="0" w:color="auto"/>
          </w:divBdr>
        </w:div>
        <w:div w:id="1873611586">
          <w:marLeft w:val="446"/>
          <w:marRight w:val="0"/>
          <w:marTop w:val="0"/>
          <w:marBottom w:val="0"/>
          <w:divBdr>
            <w:top w:val="none" w:sz="0" w:space="0" w:color="auto"/>
            <w:left w:val="none" w:sz="0" w:space="0" w:color="auto"/>
            <w:bottom w:val="none" w:sz="0" w:space="0" w:color="auto"/>
            <w:right w:val="none" w:sz="0" w:space="0" w:color="auto"/>
          </w:divBdr>
        </w:div>
      </w:divsChild>
    </w:div>
    <w:div w:id="1208180466">
      <w:bodyDiv w:val="1"/>
      <w:marLeft w:val="0"/>
      <w:marRight w:val="0"/>
      <w:marTop w:val="0"/>
      <w:marBottom w:val="0"/>
      <w:divBdr>
        <w:top w:val="none" w:sz="0" w:space="0" w:color="auto"/>
        <w:left w:val="none" w:sz="0" w:space="0" w:color="auto"/>
        <w:bottom w:val="none" w:sz="0" w:space="0" w:color="auto"/>
        <w:right w:val="none" w:sz="0" w:space="0" w:color="auto"/>
      </w:divBdr>
    </w:div>
    <w:div w:id="1226185267">
      <w:bodyDiv w:val="1"/>
      <w:marLeft w:val="0"/>
      <w:marRight w:val="0"/>
      <w:marTop w:val="0"/>
      <w:marBottom w:val="0"/>
      <w:divBdr>
        <w:top w:val="none" w:sz="0" w:space="0" w:color="auto"/>
        <w:left w:val="none" w:sz="0" w:space="0" w:color="auto"/>
        <w:bottom w:val="none" w:sz="0" w:space="0" w:color="auto"/>
        <w:right w:val="none" w:sz="0" w:space="0" w:color="auto"/>
      </w:divBdr>
      <w:divsChild>
        <w:div w:id="1898323668">
          <w:marLeft w:val="0"/>
          <w:marRight w:val="0"/>
          <w:marTop w:val="0"/>
          <w:marBottom w:val="0"/>
          <w:divBdr>
            <w:top w:val="none" w:sz="0" w:space="0" w:color="auto"/>
            <w:left w:val="none" w:sz="0" w:space="0" w:color="auto"/>
            <w:bottom w:val="none" w:sz="0" w:space="0" w:color="auto"/>
            <w:right w:val="none" w:sz="0" w:space="0" w:color="auto"/>
          </w:divBdr>
          <w:divsChild>
            <w:div w:id="42875467">
              <w:marLeft w:val="0"/>
              <w:marRight w:val="0"/>
              <w:marTop w:val="0"/>
              <w:marBottom w:val="0"/>
              <w:divBdr>
                <w:top w:val="none" w:sz="0" w:space="0" w:color="auto"/>
                <w:left w:val="none" w:sz="0" w:space="0" w:color="auto"/>
                <w:bottom w:val="none" w:sz="0" w:space="0" w:color="auto"/>
                <w:right w:val="none" w:sz="0" w:space="0" w:color="auto"/>
              </w:divBdr>
              <w:divsChild>
                <w:div w:id="16588886">
                  <w:marLeft w:val="0"/>
                  <w:marRight w:val="0"/>
                  <w:marTop w:val="0"/>
                  <w:marBottom w:val="0"/>
                  <w:divBdr>
                    <w:top w:val="none" w:sz="0" w:space="0" w:color="auto"/>
                    <w:left w:val="none" w:sz="0" w:space="0" w:color="auto"/>
                    <w:bottom w:val="none" w:sz="0" w:space="0" w:color="auto"/>
                    <w:right w:val="none" w:sz="0" w:space="0" w:color="auto"/>
                  </w:divBdr>
                  <w:divsChild>
                    <w:div w:id="10298881">
                      <w:marLeft w:val="0"/>
                      <w:marRight w:val="0"/>
                      <w:marTop w:val="0"/>
                      <w:marBottom w:val="0"/>
                      <w:divBdr>
                        <w:top w:val="none" w:sz="0" w:space="0" w:color="auto"/>
                        <w:left w:val="none" w:sz="0" w:space="0" w:color="auto"/>
                        <w:bottom w:val="none" w:sz="0" w:space="0" w:color="auto"/>
                        <w:right w:val="none" w:sz="0" w:space="0" w:color="auto"/>
                      </w:divBdr>
                      <w:divsChild>
                        <w:div w:id="2094086548">
                          <w:marLeft w:val="36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693427">
      <w:bodyDiv w:val="1"/>
      <w:marLeft w:val="0"/>
      <w:marRight w:val="0"/>
      <w:marTop w:val="0"/>
      <w:marBottom w:val="0"/>
      <w:divBdr>
        <w:top w:val="none" w:sz="0" w:space="0" w:color="auto"/>
        <w:left w:val="none" w:sz="0" w:space="0" w:color="auto"/>
        <w:bottom w:val="none" w:sz="0" w:space="0" w:color="auto"/>
        <w:right w:val="none" w:sz="0" w:space="0" w:color="auto"/>
      </w:divBdr>
    </w:div>
    <w:div w:id="1240286696">
      <w:bodyDiv w:val="1"/>
      <w:marLeft w:val="0"/>
      <w:marRight w:val="0"/>
      <w:marTop w:val="0"/>
      <w:marBottom w:val="0"/>
      <w:divBdr>
        <w:top w:val="none" w:sz="0" w:space="0" w:color="auto"/>
        <w:left w:val="none" w:sz="0" w:space="0" w:color="auto"/>
        <w:bottom w:val="none" w:sz="0" w:space="0" w:color="auto"/>
        <w:right w:val="none" w:sz="0" w:space="0" w:color="auto"/>
      </w:divBdr>
    </w:div>
    <w:div w:id="1254433052">
      <w:bodyDiv w:val="1"/>
      <w:marLeft w:val="0"/>
      <w:marRight w:val="0"/>
      <w:marTop w:val="0"/>
      <w:marBottom w:val="0"/>
      <w:divBdr>
        <w:top w:val="none" w:sz="0" w:space="0" w:color="auto"/>
        <w:left w:val="none" w:sz="0" w:space="0" w:color="auto"/>
        <w:bottom w:val="none" w:sz="0" w:space="0" w:color="auto"/>
        <w:right w:val="none" w:sz="0" w:space="0" w:color="auto"/>
      </w:divBdr>
      <w:divsChild>
        <w:div w:id="319619938">
          <w:marLeft w:val="446"/>
          <w:marRight w:val="0"/>
          <w:marTop w:val="0"/>
          <w:marBottom w:val="280"/>
          <w:divBdr>
            <w:top w:val="none" w:sz="0" w:space="0" w:color="auto"/>
            <w:left w:val="none" w:sz="0" w:space="0" w:color="auto"/>
            <w:bottom w:val="none" w:sz="0" w:space="0" w:color="auto"/>
            <w:right w:val="none" w:sz="0" w:space="0" w:color="auto"/>
          </w:divBdr>
        </w:div>
        <w:div w:id="1469545501">
          <w:marLeft w:val="446"/>
          <w:marRight w:val="0"/>
          <w:marTop w:val="0"/>
          <w:marBottom w:val="280"/>
          <w:divBdr>
            <w:top w:val="none" w:sz="0" w:space="0" w:color="auto"/>
            <w:left w:val="none" w:sz="0" w:space="0" w:color="auto"/>
            <w:bottom w:val="none" w:sz="0" w:space="0" w:color="auto"/>
            <w:right w:val="none" w:sz="0" w:space="0" w:color="auto"/>
          </w:divBdr>
        </w:div>
      </w:divsChild>
    </w:div>
    <w:div w:id="1274098138">
      <w:bodyDiv w:val="1"/>
      <w:marLeft w:val="0"/>
      <w:marRight w:val="0"/>
      <w:marTop w:val="0"/>
      <w:marBottom w:val="0"/>
      <w:divBdr>
        <w:top w:val="none" w:sz="0" w:space="0" w:color="auto"/>
        <w:left w:val="none" w:sz="0" w:space="0" w:color="auto"/>
        <w:bottom w:val="none" w:sz="0" w:space="0" w:color="auto"/>
        <w:right w:val="none" w:sz="0" w:space="0" w:color="auto"/>
      </w:divBdr>
    </w:div>
    <w:div w:id="1281953136">
      <w:bodyDiv w:val="1"/>
      <w:marLeft w:val="0"/>
      <w:marRight w:val="0"/>
      <w:marTop w:val="0"/>
      <w:marBottom w:val="0"/>
      <w:divBdr>
        <w:top w:val="none" w:sz="0" w:space="0" w:color="auto"/>
        <w:left w:val="none" w:sz="0" w:space="0" w:color="auto"/>
        <w:bottom w:val="none" w:sz="0" w:space="0" w:color="auto"/>
        <w:right w:val="none" w:sz="0" w:space="0" w:color="auto"/>
      </w:divBdr>
    </w:div>
    <w:div w:id="1286547338">
      <w:bodyDiv w:val="1"/>
      <w:marLeft w:val="0"/>
      <w:marRight w:val="0"/>
      <w:marTop w:val="0"/>
      <w:marBottom w:val="0"/>
      <w:divBdr>
        <w:top w:val="none" w:sz="0" w:space="0" w:color="auto"/>
        <w:left w:val="none" w:sz="0" w:space="0" w:color="auto"/>
        <w:bottom w:val="none" w:sz="0" w:space="0" w:color="auto"/>
        <w:right w:val="none" w:sz="0" w:space="0" w:color="auto"/>
      </w:divBdr>
    </w:div>
    <w:div w:id="1291209431">
      <w:bodyDiv w:val="1"/>
      <w:marLeft w:val="0"/>
      <w:marRight w:val="0"/>
      <w:marTop w:val="0"/>
      <w:marBottom w:val="0"/>
      <w:divBdr>
        <w:top w:val="none" w:sz="0" w:space="0" w:color="auto"/>
        <w:left w:val="none" w:sz="0" w:space="0" w:color="auto"/>
        <w:bottom w:val="none" w:sz="0" w:space="0" w:color="auto"/>
        <w:right w:val="none" w:sz="0" w:space="0" w:color="auto"/>
      </w:divBdr>
    </w:div>
    <w:div w:id="1311251042">
      <w:bodyDiv w:val="1"/>
      <w:marLeft w:val="0"/>
      <w:marRight w:val="0"/>
      <w:marTop w:val="0"/>
      <w:marBottom w:val="0"/>
      <w:divBdr>
        <w:top w:val="none" w:sz="0" w:space="0" w:color="auto"/>
        <w:left w:val="none" w:sz="0" w:space="0" w:color="auto"/>
        <w:bottom w:val="none" w:sz="0" w:space="0" w:color="auto"/>
        <w:right w:val="none" w:sz="0" w:space="0" w:color="auto"/>
      </w:divBdr>
    </w:div>
    <w:div w:id="1321271505">
      <w:bodyDiv w:val="1"/>
      <w:marLeft w:val="0"/>
      <w:marRight w:val="0"/>
      <w:marTop w:val="0"/>
      <w:marBottom w:val="0"/>
      <w:divBdr>
        <w:top w:val="none" w:sz="0" w:space="0" w:color="auto"/>
        <w:left w:val="none" w:sz="0" w:space="0" w:color="auto"/>
        <w:bottom w:val="none" w:sz="0" w:space="0" w:color="auto"/>
        <w:right w:val="none" w:sz="0" w:space="0" w:color="auto"/>
      </w:divBdr>
    </w:div>
    <w:div w:id="1323002827">
      <w:bodyDiv w:val="1"/>
      <w:marLeft w:val="0"/>
      <w:marRight w:val="0"/>
      <w:marTop w:val="0"/>
      <w:marBottom w:val="0"/>
      <w:divBdr>
        <w:top w:val="none" w:sz="0" w:space="0" w:color="auto"/>
        <w:left w:val="none" w:sz="0" w:space="0" w:color="auto"/>
        <w:bottom w:val="none" w:sz="0" w:space="0" w:color="auto"/>
        <w:right w:val="none" w:sz="0" w:space="0" w:color="auto"/>
      </w:divBdr>
    </w:div>
    <w:div w:id="1335036362">
      <w:bodyDiv w:val="1"/>
      <w:marLeft w:val="0"/>
      <w:marRight w:val="0"/>
      <w:marTop w:val="0"/>
      <w:marBottom w:val="0"/>
      <w:divBdr>
        <w:top w:val="none" w:sz="0" w:space="0" w:color="auto"/>
        <w:left w:val="none" w:sz="0" w:space="0" w:color="auto"/>
        <w:bottom w:val="none" w:sz="0" w:space="0" w:color="auto"/>
        <w:right w:val="none" w:sz="0" w:space="0" w:color="auto"/>
      </w:divBdr>
    </w:div>
    <w:div w:id="1339886638">
      <w:bodyDiv w:val="1"/>
      <w:marLeft w:val="0"/>
      <w:marRight w:val="0"/>
      <w:marTop w:val="0"/>
      <w:marBottom w:val="0"/>
      <w:divBdr>
        <w:top w:val="none" w:sz="0" w:space="0" w:color="auto"/>
        <w:left w:val="none" w:sz="0" w:space="0" w:color="auto"/>
        <w:bottom w:val="none" w:sz="0" w:space="0" w:color="auto"/>
        <w:right w:val="none" w:sz="0" w:space="0" w:color="auto"/>
      </w:divBdr>
    </w:div>
    <w:div w:id="1355422142">
      <w:bodyDiv w:val="1"/>
      <w:marLeft w:val="0"/>
      <w:marRight w:val="0"/>
      <w:marTop w:val="0"/>
      <w:marBottom w:val="0"/>
      <w:divBdr>
        <w:top w:val="none" w:sz="0" w:space="0" w:color="auto"/>
        <w:left w:val="none" w:sz="0" w:space="0" w:color="auto"/>
        <w:bottom w:val="none" w:sz="0" w:space="0" w:color="auto"/>
        <w:right w:val="none" w:sz="0" w:space="0" w:color="auto"/>
      </w:divBdr>
    </w:div>
    <w:div w:id="1362248454">
      <w:bodyDiv w:val="1"/>
      <w:marLeft w:val="0"/>
      <w:marRight w:val="0"/>
      <w:marTop w:val="0"/>
      <w:marBottom w:val="0"/>
      <w:divBdr>
        <w:top w:val="none" w:sz="0" w:space="0" w:color="auto"/>
        <w:left w:val="none" w:sz="0" w:space="0" w:color="auto"/>
        <w:bottom w:val="none" w:sz="0" w:space="0" w:color="auto"/>
        <w:right w:val="none" w:sz="0" w:space="0" w:color="auto"/>
      </w:divBdr>
    </w:div>
    <w:div w:id="1379889709">
      <w:bodyDiv w:val="1"/>
      <w:marLeft w:val="0"/>
      <w:marRight w:val="0"/>
      <w:marTop w:val="0"/>
      <w:marBottom w:val="0"/>
      <w:divBdr>
        <w:top w:val="none" w:sz="0" w:space="0" w:color="auto"/>
        <w:left w:val="none" w:sz="0" w:space="0" w:color="auto"/>
        <w:bottom w:val="none" w:sz="0" w:space="0" w:color="auto"/>
        <w:right w:val="none" w:sz="0" w:space="0" w:color="auto"/>
      </w:divBdr>
    </w:div>
    <w:div w:id="1380742630">
      <w:bodyDiv w:val="1"/>
      <w:marLeft w:val="0"/>
      <w:marRight w:val="0"/>
      <w:marTop w:val="0"/>
      <w:marBottom w:val="0"/>
      <w:divBdr>
        <w:top w:val="none" w:sz="0" w:space="0" w:color="auto"/>
        <w:left w:val="none" w:sz="0" w:space="0" w:color="auto"/>
        <w:bottom w:val="none" w:sz="0" w:space="0" w:color="auto"/>
        <w:right w:val="none" w:sz="0" w:space="0" w:color="auto"/>
      </w:divBdr>
    </w:div>
    <w:div w:id="1383872449">
      <w:bodyDiv w:val="1"/>
      <w:marLeft w:val="0"/>
      <w:marRight w:val="0"/>
      <w:marTop w:val="0"/>
      <w:marBottom w:val="0"/>
      <w:divBdr>
        <w:top w:val="none" w:sz="0" w:space="0" w:color="auto"/>
        <w:left w:val="none" w:sz="0" w:space="0" w:color="auto"/>
        <w:bottom w:val="none" w:sz="0" w:space="0" w:color="auto"/>
        <w:right w:val="none" w:sz="0" w:space="0" w:color="auto"/>
      </w:divBdr>
      <w:divsChild>
        <w:div w:id="312758437">
          <w:marLeft w:val="1022"/>
          <w:marRight w:val="0"/>
          <w:marTop w:val="0"/>
          <w:marBottom w:val="270"/>
          <w:divBdr>
            <w:top w:val="none" w:sz="0" w:space="0" w:color="auto"/>
            <w:left w:val="none" w:sz="0" w:space="0" w:color="auto"/>
            <w:bottom w:val="none" w:sz="0" w:space="0" w:color="auto"/>
            <w:right w:val="none" w:sz="0" w:space="0" w:color="auto"/>
          </w:divBdr>
        </w:div>
        <w:div w:id="1123036962">
          <w:marLeft w:val="547"/>
          <w:marRight w:val="0"/>
          <w:marTop w:val="0"/>
          <w:marBottom w:val="270"/>
          <w:divBdr>
            <w:top w:val="none" w:sz="0" w:space="0" w:color="auto"/>
            <w:left w:val="none" w:sz="0" w:space="0" w:color="auto"/>
            <w:bottom w:val="none" w:sz="0" w:space="0" w:color="auto"/>
            <w:right w:val="none" w:sz="0" w:space="0" w:color="auto"/>
          </w:divBdr>
        </w:div>
        <w:div w:id="1482043939">
          <w:marLeft w:val="547"/>
          <w:marRight w:val="0"/>
          <w:marTop w:val="0"/>
          <w:marBottom w:val="270"/>
          <w:divBdr>
            <w:top w:val="none" w:sz="0" w:space="0" w:color="auto"/>
            <w:left w:val="none" w:sz="0" w:space="0" w:color="auto"/>
            <w:bottom w:val="none" w:sz="0" w:space="0" w:color="auto"/>
            <w:right w:val="none" w:sz="0" w:space="0" w:color="auto"/>
          </w:divBdr>
        </w:div>
        <w:div w:id="1682507290">
          <w:marLeft w:val="547"/>
          <w:marRight w:val="0"/>
          <w:marTop w:val="0"/>
          <w:marBottom w:val="270"/>
          <w:divBdr>
            <w:top w:val="none" w:sz="0" w:space="0" w:color="auto"/>
            <w:left w:val="none" w:sz="0" w:space="0" w:color="auto"/>
            <w:bottom w:val="none" w:sz="0" w:space="0" w:color="auto"/>
            <w:right w:val="none" w:sz="0" w:space="0" w:color="auto"/>
          </w:divBdr>
        </w:div>
        <w:div w:id="1926722950">
          <w:marLeft w:val="1109"/>
          <w:marRight w:val="0"/>
          <w:marTop w:val="0"/>
          <w:marBottom w:val="270"/>
          <w:divBdr>
            <w:top w:val="none" w:sz="0" w:space="0" w:color="auto"/>
            <w:left w:val="none" w:sz="0" w:space="0" w:color="auto"/>
            <w:bottom w:val="none" w:sz="0" w:space="0" w:color="auto"/>
            <w:right w:val="none" w:sz="0" w:space="0" w:color="auto"/>
          </w:divBdr>
        </w:div>
        <w:div w:id="1942495224">
          <w:marLeft w:val="1109"/>
          <w:marRight w:val="0"/>
          <w:marTop w:val="0"/>
          <w:marBottom w:val="270"/>
          <w:divBdr>
            <w:top w:val="none" w:sz="0" w:space="0" w:color="auto"/>
            <w:left w:val="none" w:sz="0" w:space="0" w:color="auto"/>
            <w:bottom w:val="none" w:sz="0" w:space="0" w:color="auto"/>
            <w:right w:val="none" w:sz="0" w:space="0" w:color="auto"/>
          </w:divBdr>
        </w:div>
        <w:div w:id="1978950107">
          <w:marLeft w:val="547"/>
          <w:marRight w:val="0"/>
          <w:marTop w:val="0"/>
          <w:marBottom w:val="270"/>
          <w:divBdr>
            <w:top w:val="none" w:sz="0" w:space="0" w:color="auto"/>
            <w:left w:val="none" w:sz="0" w:space="0" w:color="auto"/>
            <w:bottom w:val="none" w:sz="0" w:space="0" w:color="auto"/>
            <w:right w:val="none" w:sz="0" w:space="0" w:color="auto"/>
          </w:divBdr>
        </w:div>
      </w:divsChild>
    </w:div>
    <w:div w:id="1437021152">
      <w:bodyDiv w:val="1"/>
      <w:marLeft w:val="0"/>
      <w:marRight w:val="0"/>
      <w:marTop w:val="0"/>
      <w:marBottom w:val="0"/>
      <w:divBdr>
        <w:top w:val="none" w:sz="0" w:space="0" w:color="auto"/>
        <w:left w:val="none" w:sz="0" w:space="0" w:color="auto"/>
        <w:bottom w:val="none" w:sz="0" w:space="0" w:color="auto"/>
        <w:right w:val="none" w:sz="0" w:space="0" w:color="auto"/>
      </w:divBdr>
    </w:div>
    <w:div w:id="1445687281">
      <w:bodyDiv w:val="1"/>
      <w:marLeft w:val="0"/>
      <w:marRight w:val="0"/>
      <w:marTop w:val="0"/>
      <w:marBottom w:val="0"/>
      <w:divBdr>
        <w:top w:val="none" w:sz="0" w:space="0" w:color="auto"/>
        <w:left w:val="none" w:sz="0" w:space="0" w:color="auto"/>
        <w:bottom w:val="none" w:sz="0" w:space="0" w:color="auto"/>
        <w:right w:val="none" w:sz="0" w:space="0" w:color="auto"/>
      </w:divBdr>
    </w:div>
    <w:div w:id="1462961578">
      <w:bodyDiv w:val="1"/>
      <w:marLeft w:val="0"/>
      <w:marRight w:val="0"/>
      <w:marTop w:val="0"/>
      <w:marBottom w:val="0"/>
      <w:divBdr>
        <w:top w:val="none" w:sz="0" w:space="0" w:color="auto"/>
        <w:left w:val="none" w:sz="0" w:space="0" w:color="auto"/>
        <w:bottom w:val="none" w:sz="0" w:space="0" w:color="auto"/>
        <w:right w:val="none" w:sz="0" w:space="0" w:color="auto"/>
      </w:divBdr>
    </w:div>
    <w:div w:id="1497694935">
      <w:bodyDiv w:val="1"/>
      <w:marLeft w:val="0"/>
      <w:marRight w:val="0"/>
      <w:marTop w:val="0"/>
      <w:marBottom w:val="0"/>
      <w:divBdr>
        <w:top w:val="none" w:sz="0" w:space="0" w:color="auto"/>
        <w:left w:val="none" w:sz="0" w:space="0" w:color="auto"/>
        <w:bottom w:val="none" w:sz="0" w:space="0" w:color="auto"/>
        <w:right w:val="none" w:sz="0" w:space="0" w:color="auto"/>
      </w:divBdr>
    </w:div>
    <w:div w:id="1522234283">
      <w:bodyDiv w:val="1"/>
      <w:marLeft w:val="0"/>
      <w:marRight w:val="0"/>
      <w:marTop w:val="0"/>
      <w:marBottom w:val="0"/>
      <w:divBdr>
        <w:top w:val="none" w:sz="0" w:space="0" w:color="auto"/>
        <w:left w:val="none" w:sz="0" w:space="0" w:color="auto"/>
        <w:bottom w:val="none" w:sz="0" w:space="0" w:color="auto"/>
        <w:right w:val="none" w:sz="0" w:space="0" w:color="auto"/>
      </w:divBdr>
    </w:div>
    <w:div w:id="1527669756">
      <w:bodyDiv w:val="1"/>
      <w:marLeft w:val="0"/>
      <w:marRight w:val="0"/>
      <w:marTop w:val="0"/>
      <w:marBottom w:val="0"/>
      <w:divBdr>
        <w:top w:val="none" w:sz="0" w:space="0" w:color="auto"/>
        <w:left w:val="none" w:sz="0" w:space="0" w:color="auto"/>
        <w:bottom w:val="none" w:sz="0" w:space="0" w:color="auto"/>
        <w:right w:val="none" w:sz="0" w:space="0" w:color="auto"/>
      </w:divBdr>
    </w:div>
    <w:div w:id="1550068287">
      <w:bodyDiv w:val="1"/>
      <w:marLeft w:val="0"/>
      <w:marRight w:val="0"/>
      <w:marTop w:val="0"/>
      <w:marBottom w:val="0"/>
      <w:divBdr>
        <w:top w:val="none" w:sz="0" w:space="0" w:color="auto"/>
        <w:left w:val="none" w:sz="0" w:space="0" w:color="auto"/>
        <w:bottom w:val="none" w:sz="0" w:space="0" w:color="auto"/>
        <w:right w:val="none" w:sz="0" w:space="0" w:color="auto"/>
      </w:divBdr>
    </w:div>
    <w:div w:id="1583635439">
      <w:bodyDiv w:val="1"/>
      <w:marLeft w:val="0"/>
      <w:marRight w:val="0"/>
      <w:marTop w:val="0"/>
      <w:marBottom w:val="0"/>
      <w:divBdr>
        <w:top w:val="none" w:sz="0" w:space="0" w:color="auto"/>
        <w:left w:val="none" w:sz="0" w:space="0" w:color="auto"/>
        <w:bottom w:val="none" w:sz="0" w:space="0" w:color="auto"/>
        <w:right w:val="none" w:sz="0" w:space="0" w:color="auto"/>
      </w:divBdr>
    </w:div>
    <w:div w:id="1593008821">
      <w:bodyDiv w:val="1"/>
      <w:marLeft w:val="0"/>
      <w:marRight w:val="0"/>
      <w:marTop w:val="0"/>
      <w:marBottom w:val="0"/>
      <w:divBdr>
        <w:top w:val="none" w:sz="0" w:space="0" w:color="auto"/>
        <w:left w:val="none" w:sz="0" w:space="0" w:color="auto"/>
        <w:bottom w:val="none" w:sz="0" w:space="0" w:color="auto"/>
        <w:right w:val="none" w:sz="0" w:space="0" w:color="auto"/>
      </w:divBdr>
    </w:div>
    <w:div w:id="1596089126">
      <w:bodyDiv w:val="1"/>
      <w:marLeft w:val="0"/>
      <w:marRight w:val="0"/>
      <w:marTop w:val="0"/>
      <w:marBottom w:val="0"/>
      <w:divBdr>
        <w:top w:val="none" w:sz="0" w:space="0" w:color="auto"/>
        <w:left w:val="none" w:sz="0" w:space="0" w:color="auto"/>
        <w:bottom w:val="none" w:sz="0" w:space="0" w:color="auto"/>
        <w:right w:val="none" w:sz="0" w:space="0" w:color="auto"/>
      </w:divBdr>
      <w:divsChild>
        <w:div w:id="303659169">
          <w:marLeft w:val="1138"/>
          <w:marRight w:val="0"/>
          <w:marTop w:val="0"/>
          <w:marBottom w:val="0"/>
          <w:divBdr>
            <w:top w:val="none" w:sz="0" w:space="0" w:color="auto"/>
            <w:left w:val="none" w:sz="0" w:space="0" w:color="auto"/>
            <w:bottom w:val="none" w:sz="0" w:space="0" w:color="auto"/>
            <w:right w:val="none" w:sz="0" w:space="0" w:color="auto"/>
          </w:divBdr>
        </w:div>
        <w:div w:id="392973207">
          <w:marLeft w:val="1138"/>
          <w:marRight w:val="0"/>
          <w:marTop w:val="0"/>
          <w:marBottom w:val="0"/>
          <w:divBdr>
            <w:top w:val="none" w:sz="0" w:space="0" w:color="auto"/>
            <w:left w:val="none" w:sz="0" w:space="0" w:color="auto"/>
            <w:bottom w:val="none" w:sz="0" w:space="0" w:color="auto"/>
            <w:right w:val="none" w:sz="0" w:space="0" w:color="auto"/>
          </w:divBdr>
        </w:div>
        <w:div w:id="778839144">
          <w:marLeft w:val="418"/>
          <w:marRight w:val="0"/>
          <w:marTop w:val="0"/>
          <w:marBottom w:val="0"/>
          <w:divBdr>
            <w:top w:val="none" w:sz="0" w:space="0" w:color="auto"/>
            <w:left w:val="none" w:sz="0" w:space="0" w:color="auto"/>
            <w:bottom w:val="none" w:sz="0" w:space="0" w:color="auto"/>
            <w:right w:val="none" w:sz="0" w:space="0" w:color="auto"/>
          </w:divBdr>
        </w:div>
        <w:div w:id="1313101844">
          <w:marLeft w:val="418"/>
          <w:marRight w:val="0"/>
          <w:marTop w:val="0"/>
          <w:marBottom w:val="0"/>
          <w:divBdr>
            <w:top w:val="none" w:sz="0" w:space="0" w:color="auto"/>
            <w:left w:val="none" w:sz="0" w:space="0" w:color="auto"/>
            <w:bottom w:val="none" w:sz="0" w:space="0" w:color="auto"/>
            <w:right w:val="none" w:sz="0" w:space="0" w:color="auto"/>
          </w:divBdr>
        </w:div>
        <w:div w:id="1567453187">
          <w:marLeft w:val="1138"/>
          <w:marRight w:val="0"/>
          <w:marTop w:val="0"/>
          <w:marBottom w:val="0"/>
          <w:divBdr>
            <w:top w:val="none" w:sz="0" w:space="0" w:color="auto"/>
            <w:left w:val="none" w:sz="0" w:space="0" w:color="auto"/>
            <w:bottom w:val="none" w:sz="0" w:space="0" w:color="auto"/>
            <w:right w:val="none" w:sz="0" w:space="0" w:color="auto"/>
          </w:divBdr>
        </w:div>
        <w:div w:id="1661227651">
          <w:marLeft w:val="418"/>
          <w:marRight w:val="0"/>
          <w:marTop w:val="0"/>
          <w:marBottom w:val="0"/>
          <w:divBdr>
            <w:top w:val="none" w:sz="0" w:space="0" w:color="auto"/>
            <w:left w:val="none" w:sz="0" w:space="0" w:color="auto"/>
            <w:bottom w:val="none" w:sz="0" w:space="0" w:color="auto"/>
            <w:right w:val="none" w:sz="0" w:space="0" w:color="auto"/>
          </w:divBdr>
        </w:div>
        <w:div w:id="1786462845">
          <w:marLeft w:val="1138"/>
          <w:marRight w:val="0"/>
          <w:marTop w:val="0"/>
          <w:marBottom w:val="0"/>
          <w:divBdr>
            <w:top w:val="none" w:sz="0" w:space="0" w:color="auto"/>
            <w:left w:val="none" w:sz="0" w:space="0" w:color="auto"/>
            <w:bottom w:val="none" w:sz="0" w:space="0" w:color="auto"/>
            <w:right w:val="none" w:sz="0" w:space="0" w:color="auto"/>
          </w:divBdr>
        </w:div>
      </w:divsChild>
    </w:div>
    <w:div w:id="1616594154">
      <w:bodyDiv w:val="1"/>
      <w:marLeft w:val="0"/>
      <w:marRight w:val="0"/>
      <w:marTop w:val="0"/>
      <w:marBottom w:val="0"/>
      <w:divBdr>
        <w:top w:val="none" w:sz="0" w:space="0" w:color="auto"/>
        <w:left w:val="none" w:sz="0" w:space="0" w:color="auto"/>
        <w:bottom w:val="none" w:sz="0" w:space="0" w:color="auto"/>
        <w:right w:val="none" w:sz="0" w:space="0" w:color="auto"/>
      </w:divBdr>
    </w:div>
    <w:div w:id="1656836655">
      <w:bodyDiv w:val="1"/>
      <w:marLeft w:val="0"/>
      <w:marRight w:val="0"/>
      <w:marTop w:val="0"/>
      <w:marBottom w:val="0"/>
      <w:divBdr>
        <w:top w:val="none" w:sz="0" w:space="0" w:color="auto"/>
        <w:left w:val="none" w:sz="0" w:space="0" w:color="auto"/>
        <w:bottom w:val="none" w:sz="0" w:space="0" w:color="auto"/>
        <w:right w:val="none" w:sz="0" w:space="0" w:color="auto"/>
      </w:divBdr>
    </w:div>
    <w:div w:id="1678576665">
      <w:bodyDiv w:val="1"/>
      <w:marLeft w:val="0"/>
      <w:marRight w:val="0"/>
      <w:marTop w:val="0"/>
      <w:marBottom w:val="0"/>
      <w:divBdr>
        <w:top w:val="none" w:sz="0" w:space="0" w:color="auto"/>
        <w:left w:val="none" w:sz="0" w:space="0" w:color="auto"/>
        <w:bottom w:val="none" w:sz="0" w:space="0" w:color="auto"/>
        <w:right w:val="none" w:sz="0" w:space="0" w:color="auto"/>
      </w:divBdr>
    </w:div>
    <w:div w:id="1693071673">
      <w:bodyDiv w:val="1"/>
      <w:marLeft w:val="0"/>
      <w:marRight w:val="0"/>
      <w:marTop w:val="0"/>
      <w:marBottom w:val="0"/>
      <w:divBdr>
        <w:top w:val="none" w:sz="0" w:space="0" w:color="auto"/>
        <w:left w:val="none" w:sz="0" w:space="0" w:color="auto"/>
        <w:bottom w:val="none" w:sz="0" w:space="0" w:color="auto"/>
        <w:right w:val="none" w:sz="0" w:space="0" w:color="auto"/>
      </w:divBdr>
    </w:div>
    <w:div w:id="1703245016">
      <w:bodyDiv w:val="1"/>
      <w:marLeft w:val="0"/>
      <w:marRight w:val="0"/>
      <w:marTop w:val="0"/>
      <w:marBottom w:val="0"/>
      <w:divBdr>
        <w:top w:val="none" w:sz="0" w:space="0" w:color="auto"/>
        <w:left w:val="none" w:sz="0" w:space="0" w:color="auto"/>
        <w:bottom w:val="none" w:sz="0" w:space="0" w:color="auto"/>
        <w:right w:val="none" w:sz="0" w:space="0" w:color="auto"/>
      </w:divBdr>
    </w:div>
    <w:div w:id="1715733795">
      <w:bodyDiv w:val="1"/>
      <w:marLeft w:val="0"/>
      <w:marRight w:val="0"/>
      <w:marTop w:val="0"/>
      <w:marBottom w:val="0"/>
      <w:divBdr>
        <w:top w:val="none" w:sz="0" w:space="0" w:color="auto"/>
        <w:left w:val="none" w:sz="0" w:space="0" w:color="auto"/>
        <w:bottom w:val="none" w:sz="0" w:space="0" w:color="auto"/>
        <w:right w:val="none" w:sz="0" w:space="0" w:color="auto"/>
      </w:divBdr>
    </w:div>
    <w:div w:id="1723216139">
      <w:bodyDiv w:val="1"/>
      <w:marLeft w:val="0"/>
      <w:marRight w:val="0"/>
      <w:marTop w:val="0"/>
      <w:marBottom w:val="0"/>
      <w:divBdr>
        <w:top w:val="none" w:sz="0" w:space="0" w:color="auto"/>
        <w:left w:val="none" w:sz="0" w:space="0" w:color="auto"/>
        <w:bottom w:val="none" w:sz="0" w:space="0" w:color="auto"/>
        <w:right w:val="none" w:sz="0" w:space="0" w:color="auto"/>
      </w:divBdr>
    </w:div>
    <w:div w:id="1724986672">
      <w:bodyDiv w:val="1"/>
      <w:marLeft w:val="0"/>
      <w:marRight w:val="0"/>
      <w:marTop w:val="0"/>
      <w:marBottom w:val="0"/>
      <w:divBdr>
        <w:top w:val="none" w:sz="0" w:space="0" w:color="auto"/>
        <w:left w:val="none" w:sz="0" w:space="0" w:color="auto"/>
        <w:bottom w:val="none" w:sz="0" w:space="0" w:color="auto"/>
        <w:right w:val="none" w:sz="0" w:space="0" w:color="auto"/>
      </w:divBdr>
    </w:div>
    <w:div w:id="1746343242">
      <w:bodyDiv w:val="1"/>
      <w:marLeft w:val="0"/>
      <w:marRight w:val="0"/>
      <w:marTop w:val="0"/>
      <w:marBottom w:val="0"/>
      <w:divBdr>
        <w:top w:val="none" w:sz="0" w:space="0" w:color="auto"/>
        <w:left w:val="none" w:sz="0" w:space="0" w:color="auto"/>
        <w:bottom w:val="none" w:sz="0" w:space="0" w:color="auto"/>
        <w:right w:val="none" w:sz="0" w:space="0" w:color="auto"/>
      </w:divBdr>
      <w:divsChild>
        <w:div w:id="465319097">
          <w:marLeft w:val="418"/>
          <w:marRight w:val="0"/>
          <w:marTop w:val="0"/>
          <w:marBottom w:val="0"/>
          <w:divBdr>
            <w:top w:val="none" w:sz="0" w:space="0" w:color="auto"/>
            <w:left w:val="none" w:sz="0" w:space="0" w:color="auto"/>
            <w:bottom w:val="none" w:sz="0" w:space="0" w:color="auto"/>
            <w:right w:val="none" w:sz="0" w:space="0" w:color="auto"/>
          </w:divBdr>
        </w:div>
        <w:div w:id="1956401437">
          <w:marLeft w:val="1138"/>
          <w:marRight w:val="0"/>
          <w:marTop w:val="0"/>
          <w:marBottom w:val="0"/>
          <w:divBdr>
            <w:top w:val="none" w:sz="0" w:space="0" w:color="auto"/>
            <w:left w:val="none" w:sz="0" w:space="0" w:color="auto"/>
            <w:bottom w:val="none" w:sz="0" w:space="0" w:color="auto"/>
            <w:right w:val="none" w:sz="0" w:space="0" w:color="auto"/>
          </w:divBdr>
        </w:div>
      </w:divsChild>
    </w:div>
    <w:div w:id="1757480128">
      <w:bodyDiv w:val="1"/>
      <w:marLeft w:val="0"/>
      <w:marRight w:val="0"/>
      <w:marTop w:val="0"/>
      <w:marBottom w:val="0"/>
      <w:divBdr>
        <w:top w:val="none" w:sz="0" w:space="0" w:color="auto"/>
        <w:left w:val="none" w:sz="0" w:space="0" w:color="auto"/>
        <w:bottom w:val="none" w:sz="0" w:space="0" w:color="auto"/>
        <w:right w:val="none" w:sz="0" w:space="0" w:color="auto"/>
      </w:divBdr>
    </w:div>
    <w:div w:id="1772159037">
      <w:bodyDiv w:val="1"/>
      <w:marLeft w:val="0"/>
      <w:marRight w:val="0"/>
      <w:marTop w:val="0"/>
      <w:marBottom w:val="0"/>
      <w:divBdr>
        <w:top w:val="none" w:sz="0" w:space="0" w:color="auto"/>
        <w:left w:val="none" w:sz="0" w:space="0" w:color="auto"/>
        <w:bottom w:val="none" w:sz="0" w:space="0" w:color="auto"/>
        <w:right w:val="none" w:sz="0" w:space="0" w:color="auto"/>
      </w:divBdr>
    </w:div>
    <w:div w:id="1775049523">
      <w:bodyDiv w:val="1"/>
      <w:marLeft w:val="0"/>
      <w:marRight w:val="0"/>
      <w:marTop w:val="0"/>
      <w:marBottom w:val="0"/>
      <w:divBdr>
        <w:top w:val="none" w:sz="0" w:space="0" w:color="auto"/>
        <w:left w:val="none" w:sz="0" w:space="0" w:color="auto"/>
        <w:bottom w:val="none" w:sz="0" w:space="0" w:color="auto"/>
        <w:right w:val="none" w:sz="0" w:space="0" w:color="auto"/>
      </w:divBdr>
    </w:div>
    <w:div w:id="1780831607">
      <w:bodyDiv w:val="1"/>
      <w:marLeft w:val="0"/>
      <w:marRight w:val="0"/>
      <w:marTop w:val="0"/>
      <w:marBottom w:val="0"/>
      <w:divBdr>
        <w:top w:val="none" w:sz="0" w:space="0" w:color="auto"/>
        <w:left w:val="none" w:sz="0" w:space="0" w:color="auto"/>
        <w:bottom w:val="none" w:sz="0" w:space="0" w:color="auto"/>
        <w:right w:val="none" w:sz="0" w:space="0" w:color="auto"/>
      </w:divBdr>
    </w:div>
    <w:div w:id="1797140542">
      <w:bodyDiv w:val="1"/>
      <w:marLeft w:val="0"/>
      <w:marRight w:val="0"/>
      <w:marTop w:val="0"/>
      <w:marBottom w:val="0"/>
      <w:divBdr>
        <w:top w:val="none" w:sz="0" w:space="0" w:color="auto"/>
        <w:left w:val="none" w:sz="0" w:space="0" w:color="auto"/>
        <w:bottom w:val="none" w:sz="0" w:space="0" w:color="auto"/>
        <w:right w:val="none" w:sz="0" w:space="0" w:color="auto"/>
      </w:divBdr>
    </w:div>
    <w:div w:id="1805351566">
      <w:bodyDiv w:val="1"/>
      <w:marLeft w:val="0"/>
      <w:marRight w:val="0"/>
      <w:marTop w:val="0"/>
      <w:marBottom w:val="0"/>
      <w:divBdr>
        <w:top w:val="none" w:sz="0" w:space="0" w:color="auto"/>
        <w:left w:val="none" w:sz="0" w:space="0" w:color="auto"/>
        <w:bottom w:val="none" w:sz="0" w:space="0" w:color="auto"/>
        <w:right w:val="none" w:sz="0" w:space="0" w:color="auto"/>
      </w:divBdr>
    </w:div>
    <w:div w:id="1808432609">
      <w:bodyDiv w:val="1"/>
      <w:marLeft w:val="0"/>
      <w:marRight w:val="0"/>
      <w:marTop w:val="0"/>
      <w:marBottom w:val="0"/>
      <w:divBdr>
        <w:top w:val="none" w:sz="0" w:space="0" w:color="auto"/>
        <w:left w:val="none" w:sz="0" w:space="0" w:color="auto"/>
        <w:bottom w:val="none" w:sz="0" w:space="0" w:color="auto"/>
        <w:right w:val="none" w:sz="0" w:space="0" w:color="auto"/>
      </w:divBdr>
    </w:div>
    <w:div w:id="1833326272">
      <w:bodyDiv w:val="1"/>
      <w:marLeft w:val="0"/>
      <w:marRight w:val="0"/>
      <w:marTop w:val="0"/>
      <w:marBottom w:val="0"/>
      <w:divBdr>
        <w:top w:val="none" w:sz="0" w:space="0" w:color="auto"/>
        <w:left w:val="none" w:sz="0" w:space="0" w:color="auto"/>
        <w:bottom w:val="none" w:sz="0" w:space="0" w:color="auto"/>
        <w:right w:val="none" w:sz="0" w:space="0" w:color="auto"/>
      </w:divBdr>
    </w:div>
    <w:div w:id="1836141315">
      <w:bodyDiv w:val="1"/>
      <w:marLeft w:val="0"/>
      <w:marRight w:val="0"/>
      <w:marTop w:val="0"/>
      <w:marBottom w:val="0"/>
      <w:divBdr>
        <w:top w:val="none" w:sz="0" w:space="0" w:color="auto"/>
        <w:left w:val="none" w:sz="0" w:space="0" w:color="auto"/>
        <w:bottom w:val="none" w:sz="0" w:space="0" w:color="auto"/>
        <w:right w:val="none" w:sz="0" w:space="0" w:color="auto"/>
      </w:divBdr>
      <w:divsChild>
        <w:div w:id="89936491">
          <w:marLeft w:val="1022"/>
          <w:marRight w:val="0"/>
          <w:marTop w:val="0"/>
          <w:marBottom w:val="270"/>
          <w:divBdr>
            <w:top w:val="none" w:sz="0" w:space="0" w:color="auto"/>
            <w:left w:val="none" w:sz="0" w:space="0" w:color="auto"/>
            <w:bottom w:val="none" w:sz="0" w:space="0" w:color="auto"/>
            <w:right w:val="none" w:sz="0" w:space="0" w:color="auto"/>
          </w:divBdr>
        </w:div>
        <w:div w:id="144202129">
          <w:marLeft w:val="1022"/>
          <w:marRight w:val="0"/>
          <w:marTop w:val="0"/>
          <w:marBottom w:val="270"/>
          <w:divBdr>
            <w:top w:val="none" w:sz="0" w:space="0" w:color="auto"/>
            <w:left w:val="none" w:sz="0" w:space="0" w:color="auto"/>
            <w:bottom w:val="none" w:sz="0" w:space="0" w:color="auto"/>
            <w:right w:val="none" w:sz="0" w:space="0" w:color="auto"/>
          </w:divBdr>
        </w:div>
        <w:div w:id="922836479">
          <w:marLeft w:val="1022"/>
          <w:marRight w:val="0"/>
          <w:marTop w:val="0"/>
          <w:marBottom w:val="270"/>
          <w:divBdr>
            <w:top w:val="none" w:sz="0" w:space="0" w:color="auto"/>
            <w:left w:val="none" w:sz="0" w:space="0" w:color="auto"/>
            <w:bottom w:val="none" w:sz="0" w:space="0" w:color="auto"/>
            <w:right w:val="none" w:sz="0" w:space="0" w:color="auto"/>
          </w:divBdr>
        </w:div>
        <w:div w:id="1055205630">
          <w:marLeft w:val="446"/>
          <w:marRight w:val="0"/>
          <w:marTop w:val="0"/>
          <w:marBottom w:val="270"/>
          <w:divBdr>
            <w:top w:val="none" w:sz="0" w:space="0" w:color="auto"/>
            <w:left w:val="none" w:sz="0" w:space="0" w:color="auto"/>
            <w:bottom w:val="none" w:sz="0" w:space="0" w:color="auto"/>
            <w:right w:val="none" w:sz="0" w:space="0" w:color="auto"/>
          </w:divBdr>
        </w:div>
        <w:div w:id="1541933878">
          <w:marLeft w:val="1022"/>
          <w:marRight w:val="0"/>
          <w:marTop w:val="0"/>
          <w:marBottom w:val="270"/>
          <w:divBdr>
            <w:top w:val="none" w:sz="0" w:space="0" w:color="auto"/>
            <w:left w:val="none" w:sz="0" w:space="0" w:color="auto"/>
            <w:bottom w:val="none" w:sz="0" w:space="0" w:color="auto"/>
            <w:right w:val="none" w:sz="0" w:space="0" w:color="auto"/>
          </w:divBdr>
        </w:div>
        <w:div w:id="1890141038">
          <w:marLeft w:val="1570"/>
          <w:marRight w:val="0"/>
          <w:marTop w:val="0"/>
          <w:marBottom w:val="270"/>
          <w:divBdr>
            <w:top w:val="none" w:sz="0" w:space="0" w:color="auto"/>
            <w:left w:val="none" w:sz="0" w:space="0" w:color="auto"/>
            <w:bottom w:val="none" w:sz="0" w:space="0" w:color="auto"/>
            <w:right w:val="none" w:sz="0" w:space="0" w:color="auto"/>
          </w:divBdr>
        </w:div>
        <w:div w:id="1950775093">
          <w:marLeft w:val="446"/>
          <w:marRight w:val="0"/>
          <w:marTop w:val="0"/>
          <w:marBottom w:val="280"/>
          <w:divBdr>
            <w:top w:val="none" w:sz="0" w:space="0" w:color="auto"/>
            <w:left w:val="none" w:sz="0" w:space="0" w:color="auto"/>
            <w:bottom w:val="none" w:sz="0" w:space="0" w:color="auto"/>
            <w:right w:val="none" w:sz="0" w:space="0" w:color="auto"/>
          </w:divBdr>
        </w:div>
      </w:divsChild>
    </w:div>
    <w:div w:id="1850829626">
      <w:bodyDiv w:val="1"/>
      <w:marLeft w:val="0"/>
      <w:marRight w:val="0"/>
      <w:marTop w:val="0"/>
      <w:marBottom w:val="0"/>
      <w:divBdr>
        <w:top w:val="none" w:sz="0" w:space="0" w:color="auto"/>
        <w:left w:val="none" w:sz="0" w:space="0" w:color="auto"/>
        <w:bottom w:val="none" w:sz="0" w:space="0" w:color="auto"/>
        <w:right w:val="none" w:sz="0" w:space="0" w:color="auto"/>
      </w:divBdr>
    </w:div>
    <w:div w:id="1853258032">
      <w:bodyDiv w:val="1"/>
      <w:marLeft w:val="0"/>
      <w:marRight w:val="0"/>
      <w:marTop w:val="0"/>
      <w:marBottom w:val="0"/>
      <w:divBdr>
        <w:top w:val="none" w:sz="0" w:space="0" w:color="auto"/>
        <w:left w:val="none" w:sz="0" w:space="0" w:color="auto"/>
        <w:bottom w:val="none" w:sz="0" w:space="0" w:color="auto"/>
        <w:right w:val="none" w:sz="0" w:space="0" w:color="auto"/>
      </w:divBdr>
      <w:divsChild>
        <w:div w:id="1129982086">
          <w:marLeft w:val="446"/>
          <w:marRight w:val="0"/>
          <w:marTop w:val="0"/>
          <w:marBottom w:val="0"/>
          <w:divBdr>
            <w:top w:val="none" w:sz="0" w:space="0" w:color="auto"/>
            <w:left w:val="none" w:sz="0" w:space="0" w:color="auto"/>
            <w:bottom w:val="none" w:sz="0" w:space="0" w:color="auto"/>
            <w:right w:val="none" w:sz="0" w:space="0" w:color="auto"/>
          </w:divBdr>
        </w:div>
        <w:div w:id="1796827747">
          <w:marLeft w:val="446"/>
          <w:marRight w:val="0"/>
          <w:marTop w:val="0"/>
          <w:marBottom w:val="0"/>
          <w:divBdr>
            <w:top w:val="none" w:sz="0" w:space="0" w:color="auto"/>
            <w:left w:val="none" w:sz="0" w:space="0" w:color="auto"/>
            <w:bottom w:val="none" w:sz="0" w:space="0" w:color="auto"/>
            <w:right w:val="none" w:sz="0" w:space="0" w:color="auto"/>
          </w:divBdr>
        </w:div>
        <w:div w:id="2049640035">
          <w:marLeft w:val="446"/>
          <w:marRight w:val="0"/>
          <w:marTop w:val="0"/>
          <w:marBottom w:val="0"/>
          <w:divBdr>
            <w:top w:val="none" w:sz="0" w:space="0" w:color="auto"/>
            <w:left w:val="none" w:sz="0" w:space="0" w:color="auto"/>
            <w:bottom w:val="none" w:sz="0" w:space="0" w:color="auto"/>
            <w:right w:val="none" w:sz="0" w:space="0" w:color="auto"/>
          </w:divBdr>
        </w:div>
        <w:div w:id="2124379590">
          <w:marLeft w:val="446"/>
          <w:marRight w:val="0"/>
          <w:marTop w:val="0"/>
          <w:marBottom w:val="0"/>
          <w:divBdr>
            <w:top w:val="none" w:sz="0" w:space="0" w:color="auto"/>
            <w:left w:val="none" w:sz="0" w:space="0" w:color="auto"/>
            <w:bottom w:val="none" w:sz="0" w:space="0" w:color="auto"/>
            <w:right w:val="none" w:sz="0" w:space="0" w:color="auto"/>
          </w:divBdr>
        </w:div>
      </w:divsChild>
    </w:div>
    <w:div w:id="1868789433">
      <w:bodyDiv w:val="1"/>
      <w:marLeft w:val="0"/>
      <w:marRight w:val="0"/>
      <w:marTop w:val="0"/>
      <w:marBottom w:val="0"/>
      <w:divBdr>
        <w:top w:val="none" w:sz="0" w:space="0" w:color="auto"/>
        <w:left w:val="none" w:sz="0" w:space="0" w:color="auto"/>
        <w:bottom w:val="none" w:sz="0" w:space="0" w:color="auto"/>
        <w:right w:val="none" w:sz="0" w:space="0" w:color="auto"/>
      </w:divBdr>
      <w:divsChild>
        <w:div w:id="596980305">
          <w:marLeft w:val="446"/>
          <w:marRight w:val="0"/>
          <w:marTop w:val="0"/>
          <w:marBottom w:val="0"/>
          <w:divBdr>
            <w:top w:val="none" w:sz="0" w:space="0" w:color="auto"/>
            <w:left w:val="none" w:sz="0" w:space="0" w:color="auto"/>
            <w:bottom w:val="none" w:sz="0" w:space="0" w:color="auto"/>
            <w:right w:val="none" w:sz="0" w:space="0" w:color="auto"/>
          </w:divBdr>
        </w:div>
        <w:div w:id="950235677">
          <w:marLeft w:val="446"/>
          <w:marRight w:val="0"/>
          <w:marTop w:val="0"/>
          <w:marBottom w:val="0"/>
          <w:divBdr>
            <w:top w:val="none" w:sz="0" w:space="0" w:color="auto"/>
            <w:left w:val="none" w:sz="0" w:space="0" w:color="auto"/>
            <w:bottom w:val="none" w:sz="0" w:space="0" w:color="auto"/>
            <w:right w:val="none" w:sz="0" w:space="0" w:color="auto"/>
          </w:divBdr>
        </w:div>
        <w:div w:id="1221095720">
          <w:marLeft w:val="446"/>
          <w:marRight w:val="0"/>
          <w:marTop w:val="0"/>
          <w:marBottom w:val="0"/>
          <w:divBdr>
            <w:top w:val="none" w:sz="0" w:space="0" w:color="auto"/>
            <w:left w:val="none" w:sz="0" w:space="0" w:color="auto"/>
            <w:bottom w:val="none" w:sz="0" w:space="0" w:color="auto"/>
            <w:right w:val="none" w:sz="0" w:space="0" w:color="auto"/>
          </w:divBdr>
        </w:div>
        <w:div w:id="1653632438">
          <w:marLeft w:val="446"/>
          <w:marRight w:val="0"/>
          <w:marTop w:val="0"/>
          <w:marBottom w:val="0"/>
          <w:divBdr>
            <w:top w:val="none" w:sz="0" w:space="0" w:color="auto"/>
            <w:left w:val="none" w:sz="0" w:space="0" w:color="auto"/>
            <w:bottom w:val="none" w:sz="0" w:space="0" w:color="auto"/>
            <w:right w:val="none" w:sz="0" w:space="0" w:color="auto"/>
          </w:divBdr>
        </w:div>
      </w:divsChild>
    </w:div>
    <w:div w:id="1869223735">
      <w:bodyDiv w:val="1"/>
      <w:marLeft w:val="0"/>
      <w:marRight w:val="0"/>
      <w:marTop w:val="0"/>
      <w:marBottom w:val="0"/>
      <w:divBdr>
        <w:top w:val="none" w:sz="0" w:space="0" w:color="auto"/>
        <w:left w:val="none" w:sz="0" w:space="0" w:color="auto"/>
        <w:bottom w:val="none" w:sz="0" w:space="0" w:color="auto"/>
        <w:right w:val="none" w:sz="0" w:space="0" w:color="auto"/>
      </w:divBdr>
    </w:div>
    <w:div w:id="1889804321">
      <w:bodyDiv w:val="1"/>
      <w:marLeft w:val="0"/>
      <w:marRight w:val="0"/>
      <w:marTop w:val="0"/>
      <w:marBottom w:val="0"/>
      <w:divBdr>
        <w:top w:val="none" w:sz="0" w:space="0" w:color="auto"/>
        <w:left w:val="none" w:sz="0" w:space="0" w:color="auto"/>
        <w:bottom w:val="none" w:sz="0" w:space="0" w:color="auto"/>
        <w:right w:val="none" w:sz="0" w:space="0" w:color="auto"/>
      </w:divBdr>
    </w:div>
    <w:div w:id="1902868537">
      <w:bodyDiv w:val="1"/>
      <w:marLeft w:val="0"/>
      <w:marRight w:val="0"/>
      <w:marTop w:val="0"/>
      <w:marBottom w:val="0"/>
      <w:divBdr>
        <w:top w:val="none" w:sz="0" w:space="0" w:color="auto"/>
        <w:left w:val="none" w:sz="0" w:space="0" w:color="auto"/>
        <w:bottom w:val="none" w:sz="0" w:space="0" w:color="auto"/>
        <w:right w:val="none" w:sz="0" w:space="0" w:color="auto"/>
      </w:divBdr>
    </w:div>
    <w:div w:id="1914386433">
      <w:bodyDiv w:val="1"/>
      <w:marLeft w:val="0"/>
      <w:marRight w:val="0"/>
      <w:marTop w:val="0"/>
      <w:marBottom w:val="0"/>
      <w:divBdr>
        <w:top w:val="none" w:sz="0" w:space="0" w:color="auto"/>
        <w:left w:val="none" w:sz="0" w:space="0" w:color="auto"/>
        <w:bottom w:val="none" w:sz="0" w:space="0" w:color="auto"/>
        <w:right w:val="none" w:sz="0" w:space="0" w:color="auto"/>
      </w:divBdr>
    </w:div>
    <w:div w:id="1918663860">
      <w:bodyDiv w:val="1"/>
      <w:marLeft w:val="0"/>
      <w:marRight w:val="0"/>
      <w:marTop w:val="0"/>
      <w:marBottom w:val="0"/>
      <w:divBdr>
        <w:top w:val="none" w:sz="0" w:space="0" w:color="auto"/>
        <w:left w:val="none" w:sz="0" w:space="0" w:color="auto"/>
        <w:bottom w:val="none" w:sz="0" w:space="0" w:color="auto"/>
        <w:right w:val="none" w:sz="0" w:space="0" w:color="auto"/>
      </w:divBdr>
    </w:div>
    <w:div w:id="1927029218">
      <w:bodyDiv w:val="1"/>
      <w:marLeft w:val="0"/>
      <w:marRight w:val="0"/>
      <w:marTop w:val="0"/>
      <w:marBottom w:val="0"/>
      <w:divBdr>
        <w:top w:val="none" w:sz="0" w:space="0" w:color="auto"/>
        <w:left w:val="none" w:sz="0" w:space="0" w:color="auto"/>
        <w:bottom w:val="none" w:sz="0" w:space="0" w:color="auto"/>
        <w:right w:val="none" w:sz="0" w:space="0" w:color="auto"/>
      </w:divBdr>
    </w:div>
    <w:div w:id="1928928206">
      <w:bodyDiv w:val="1"/>
      <w:marLeft w:val="0"/>
      <w:marRight w:val="0"/>
      <w:marTop w:val="0"/>
      <w:marBottom w:val="0"/>
      <w:divBdr>
        <w:top w:val="none" w:sz="0" w:space="0" w:color="auto"/>
        <w:left w:val="none" w:sz="0" w:space="0" w:color="auto"/>
        <w:bottom w:val="none" w:sz="0" w:space="0" w:color="auto"/>
        <w:right w:val="none" w:sz="0" w:space="0" w:color="auto"/>
      </w:divBdr>
      <w:divsChild>
        <w:div w:id="1702364657">
          <w:marLeft w:val="0"/>
          <w:marRight w:val="0"/>
          <w:marTop w:val="0"/>
          <w:marBottom w:val="0"/>
          <w:divBdr>
            <w:top w:val="none" w:sz="0" w:space="0" w:color="auto"/>
            <w:left w:val="none" w:sz="0" w:space="0" w:color="auto"/>
            <w:bottom w:val="none" w:sz="0" w:space="0" w:color="auto"/>
            <w:right w:val="none" w:sz="0" w:space="0" w:color="auto"/>
          </w:divBdr>
          <w:divsChild>
            <w:div w:id="1988514871">
              <w:marLeft w:val="0"/>
              <w:marRight w:val="0"/>
              <w:marTop w:val="0"/>
              <w:marBottom w:val="0"/>
              <w:divBdr>
                <w:top w:val="none" w:sz="0" w:space="0" w:color="auto"/>
                <w:left w:val="none" w:sz="0" w:space="0" w:color="auto"/>
                <w:bottom w:val="none" w:sz="0" w:space="0" w:color="auto"/>
                <w:right w:val="none" w:sz="0" w:space="0" w:color="auto"/>
              </w:divBdr>
              <w:divsChild>
                <w:div w:id="1460027903">
                  <w:marLeft w:val="0"/>
                  <w:marRight w:val="0"/>
                  <w:marTop w:val="0"/>
                  <w:marBottom w:val="0"/>
                  <w:divBdr>
                    <w:top w:val="none" w:sz="0" w:space="0" w:color="auto"/>
                    <w:left w:val="none" w:sz="0" w:space="0" w:color="auto"/>
                    <w:bottom w:val="none" w:sz="0" w:space="0" w:color="auto"/>
                    <w:right w:val="none" w:sz="0" w:space="0" w:color="auto"/>
                  </w:divBdr>
                  <w:divsChild>
                    <w:div w:id="210579275">
                      <w:marLeft w:val="0"/>
                      <w:marRight w:val="0"/>
                      <w:marTop w:val="0"/>
                      <w:marBottom w:val="0"/>
                      <w:divBdr>
                        <w:top w:val="none" w:sz="0" w:space="0" w:color="auto"/>
                        <w:left w:val="none" w:sz="0" w:space="0" w:color="auto"/>
                        <w:bottom w:val="none" w:sz="0" w:space="0" w:color="auto"/>
                        <w:right w:val="none" w:sz="0" w:space="0" w:color="auto"/>
                      </w:divBdr>
                      <w:divsChild>
                        <w:div w:id="103792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155575">
      <w:bodyDiv w:val="1"/>
      <w:marLeft w:val="0"/>
      <w:marRight w:val="0"/>
      <w:marTop w:val="0"/>
      <w:marBottom w:val="0"/>
      <w:divBdr>
        <w:top w:val="none" w:sz="0" w:space="0" w:color="auto"/>
        <w:left w:val="none" w:sz="0" w:space="0" w:color="auto"/>
        <w:bottom w:val="none" w:sz="0" w:space="0" w:color="auto"/>
        <w:right w:val="none" w:sz="0" w:space="0" w:color="auto"/>
      </w:divBdr>
      <w:divsChild>
        <w:div w:id="574516420">
          <w:marLeft w:val="446"/>
          <w:marRight w:val="0"/>
          <w:marTop w:val="0"/>
          <w:marBottom w:val="270"/>
          <w:divBdr>
            <w:top w:val="none" w:sz="0" w:space="0" w:color="auto"/>
            <w:left w:val="none" w:sz="0" w:space="0" w:color="auto"/>
            <w:bottom w:val="none" w:sz="0" w:space="0" w:color="auto"/>
            <w:right w:val="none" w:sz="0" w:space="0" w:color="auto"/>
          </w:divBdr>
        </w:div>
        <w:div w:id="835613158">
          <w:marLeft w:val="446"/>
          <w:marRight w:val="0"/>
          <w:marTop w:val="0"/>
          <w:marBottom w:val="270"/>
          <w:divBdr>
            <w:top w:val="none" w:sz="0" w:space="0" w:color="auto"/>
            <w:left w:val="none" w:sz="0" w:space="0" w:color="auto"/>
            <w:bottom w:val="none" w:sz="0" w:space="0" w:color="auto"/>
            <w:right w:val="none" w:sz="0" w:space="0" w:color="auto"/>
          </w:divBdr>
        </w:div>
        <w:div w:id="899751444">
          <w:marLeft w:val="446"/>
          <w:marRight w:val="0"/>
          <w:marTop w:val="0"/>
          <w:marBottom w:val="270"/>
          <w:divBdr>
            <w:top w:val="none" w:sz="0" w:space="0" w:color="auto"/>
            <w:left w:val="none" w:sz="0" w:space="0" w:color="auto"/>
            <w:bottom w:val="none" w:sz="0" w:space="0" w:color="auto"/>
            <w:right w:val="none" w:sz="0" w:space="0" w:color="auto"/>
          </w:divBdr>
        </w:div>
      </w:divsChild>
    </w:div>
    <w:div w:id="1934820070">
      <w:bodyDiv w:val="1"/>
      <w:marLeft w:val="0"/>
      <w:marRight w:val="0"/>
      <w:marTop w:val="0"/>
      <w:marBottom w:val="0"/>
      <w:divBdr>
        <w:top w:val="none" w:sz="0" w:space="0" w:color="auto"/>
        <w:left w:val="none" w:sz="0" w:space="0" w:color="auto"/>
        <w:bottom w:val="none" w:sz="0" w:space="0" w:color="auto"/>
        <w:right w:val="none" w:sz="0" w:space="0" w:color="auto"/>
      </w:divBdr>
    </w:div>
    <w:div w:id="1939560036">
      <w:bodyDiv w:val="1"/>
      <w:marLeft w:val="0"/>
      <w:marRight w:val="0"/>
      <w:marTop w:val="0"/>
      <w:marBottom w:val="0"/>
      <w:divBdr>
        <w:top w:val="none" w:sz="0" w:space="0" w:color="auto"/>
        <w:left w:val="none" w:sz="0" w:space="0" w:color="auto"/>
        <w:bottom w:val="none" w:sz="0" w:space="0" w:color="auto"/>
        <w:right w:val="none" w:sz="0" w:space="0" w:color="auto"/>
      </w:divBdr>
    </w:div>
    <w:div w:id="1943949859">
      <w:bodyDiv w:val="1"/>
      <w:marLeft w:val="0"/>
      <w:marRight w:val="0"/>
      <w:marTop w:val="0"/>
      <w:marBottom w:val="0"/>
      <w:divBdr>
        <w:top w:val="none" w:sz="0" w:space="0" w:color="auto"/>
        <w:left w:val="none" w:sz="0" w:space="0" w:color="auto"/>
        <w:bottom w:val="none" w:sz="0" w:space="0" w:color="auto"/>
        <w:right w:val="none" w:sz="0" w:space="0" w:color="auto"/>
      </w:divBdr>
    </w:div>
    <w:div w:id="1947880026">
      <w:bodyDiv w:val="1"/>
      <w:marLeft w:val="0"/>
      <w:marRight w:val="0"/>
      <w:marTop w:val="0"/>
      <w:marBottom w:val="0"/>
      <w:divBdr>
        <w:top w:val="none" w:sz="0" w:space="0" w:color="auto"/>
        <w:left w:val="none" w:sz="0" w:space="0" w:color="auto"/>
        <w:bottom w:val="none" w:sz="0" w:space="0" w:color="auto"/>
        <w:right w:val="none" w:sz="0" w:space="0" w:color="auto"/>
      </w:divBdr>
      <w:divsChild>
        <w:div w:id="765854766">
          <w:marLeft w:val="418"/>
          <w:marRight w:val="0"/>
          <w:marTop w:val="0"/>
          <w:marBottom w:val="0"/>
          <w:divBdr>
            <w:top w:val="none" w:sz="0" w:space="0" w:color="auto"/>
            <w:left w:val="none" w:sz="0" w:space="0" w:color="auto"/>
            <w:bottom w:val="none" w:sz="0" w:space="0" w:color="auto"/>
            <w:right w:val="none" w:sz="0" w:space="0" w:color="auto"/>
          </w:divBdr>
        </w:div>
      </w:divsChild>
    </w:div>
    <w:div w:id="1956861614">
      <w:bodyDiv w:val="1"/>
      <w:marLeft w:val="0"/>
      <w:marRight w:val="0"/>
      <w:marTop w:val="0"/>
      <w:marBottom w:val="0"/>
      <w:divBdr>
        <w:top w:val="none" w:sz="0" w:space="0" w:color="auto"/>
        <w:left w:val="none" w:sz="0" w:space="0" w:color="auto"/>
        <w:bottom w:val="none" w:sz="0" w:space="0" w:color="auto"/>
        <w:right w:val="none" w:sz="0" w:space="0" w:color="auto"/>
      </w:divBdr>
    </w:div>
    <w:div w:id="1982999288">
      <w:bodyDiv w:val="1"/>
      <w:marLeft w:val="0"/>
      <w:marRight w:val="0"/>
      <w:marTop w:val="0"/>
      <w:marBottom w:val="0"/>
      <w:divBdr>
        <w:top w:val="none" w:sz="0" w:space="0" w:color="auto"/>
        <w:left w:val="none" w:sz="0" w:space="0" w:color="auto"/>
        <w:bottom w:val="none" w:sz="0" w:space="0" w:color="auto"/>
        <w:right w:val="none" w:sz="0" w:space="0" w:color="auto"/>
      </w:divBdr>
    </w:div>
    <w:div w:id="1983657198">
      <w:bodyDiv w:val="1"/>
      <w:marLeft w:val="0"/>
      <w:marRight w:val="0"/>
      <w:marTop w:val="0"/>
      <w:marBottom w:val="0"/>
      <w:divBdr>
        <w:top w:val="none" w:sz="0" w:space="0" w:color="auto"/>
        <w:left w:val="none" w:sz="0" w:space="0" w:color="auto"/>
        <w:bottom w:val="none" w:sz="0" w:space="0" w:color="auto"/>
        <w:right w:val="none" w:sz="0" w:space="0" w:color="auto"/>
      </w:divBdr>
    </w:div>
    <w:div w:id="1988779402">
      <w:bodyDiv w:val="1"/>
      <w:marLeft w:val="0"/>
      <w:marRight w:val="0"/>
      <w:marTop w:val="0"/>
      <w:marBottom w:val="0"/>
      <w:divBdr>
        <w:top w:val="none" w:sz="0" w:space="0" w:color="auto"/>
        <w:left w:val="none" w:sz="0" w:space="0" w:color="auto"/>
        <w:bottom w:val="none" w:sz="0" w:space="0" w:color="auto"/>
        <w:right w:val="none" w:sz="0" w:space="0" w:color="auto"/>
      </w:divBdr>
      <w:divsChild>
        <w:div w:id="1282303553">
          <w:marLeft w:val="418"/>
          <w:marRight w:val="0"/>
          <w:marTop w:val="0"/>
          <w:marBottom w:val="0"/>
          <w:divBdr>
            <w:top w:val="none" w:sz="0" w:space="0" w:color="auto"/>
            <w:left w:val="none" w:sz="0" w:space="0" w:color="auto"/>
            <w:bottom w:val="none" w:sz="0" w:space="0" w:color="auto"/>
            <w:right w:val="none" w:sz="0" w:space="0" w:color="auto"/>
          </w:divBdr>
        </w:div>
      </w:divsChild>
    </w:div>
    <w:div w:id="1998067575">
      <w:bodyDiv w:val="1"/>
      <w:marLeft w:val="0"/>
      <w:marRight w:val="0"/>
      <w:marTop w:val="0"/>
      <w:marBottom w:val="0"/>
      <w:divBdr>
        <w:top w:val="none" w:sz="0" w:space="0" w:color="auto"/>
        <w:left w:val="none" w:sz="0" w:space="0" w:color="auto"/>
        <w:bottom w:val="none" w:sz="0" w:space="0" w:color="auto"/>
        <w:right w:val="none" w:sz="0" w:space="0" w:color="auto"/>
      </w:divBdr>
    </w:div>
    <w:div w:id="2003124502">
      <w:bodyDiv w:val="1"/>
      <w:marLeft w:val="0"/>
      <w:marRight w:val="0"/>
      <w:marTop w:val="0"/>
      <w:marBottom w:val="0"/>
      <w:divBdr>
        <w:top w:val="none" w:sz="0" w:space="0" w:color="auto"/>
        <w:left w:val="none" w:sz="0" w:space="0" w:color="auto"/>
        <w:bottom w:val="none" w:sz="0" w:space="0" w:color="auto"/>
        <w:right w:val="none" w:sz="0" w:space="0" w:color="auto"/>
      </w:divBdr>
    </w:div>
    <w:div w:id="2016616558">
      <w:bodyDiv w:val="1"/>
      <w:marLeft w:val="0"/>
      <w:marRight w:val="0"/>
      <w:marTop w:val="0"/>
      <w:marBottom w:val="0"/>
      <w:divBdr>
        <w:top w:val="none" w:sz="0" w:space="0" w:color="auto"/>
        <w:left w:val="none" w:sz="0" w:space="0" w:color="auto"/>
        <w:bottom w:val="none" w:sz="0" w:space="0" w:color="auto"/>
        <w:right w:val="none" w:sz="0" w:space="0" w:color="auto"/>
      </w:divBdr>
    </w:div>
    <w:div w:id="2038040904">
      <w:bodyDiv w:val="1"/>
      <w:marLeft w:val="0"/>
      <w:marRight w:val="0"/>
      <w:marTop w:val="0"/>
      <w:marBottom w:val="0"/>
      <w:divBdr>
        <w:top w:val="none" w:sz="0" w:space="0" w:color="auto"/>
        <w:left w:val="none" w:sz="0" w:space="0" w:color="auto"/>
        <w:bottom w:val="none" w:sz="0" w:space="0" w:color="auto"/>
        <w:right w:val="none" w:sz="0" w:space="0" w:color="auto"/>
      </w:divBdr>
    </w:div>
    <w:div w:id="2056804976">
      <w:bodyDiv w:val="1"/>
      <w:marLeft w:val="0"/>
      <w:marRight w:val="0"/>
      <w:marTop w:val="0"/>
      <w:marBottom w:val="0"/>
      <w:divBdr>
        <w:top w:val="none" w:sz="0" w:space="0" w:color="auto"/>
        <w:left w:val="none" w:sz="0" w:space="0" w:color="auto"/>
        <w:bottom w:val="none" w:sz="0" w:space="0" w:color="auto"/>
        <w:right w:val="none" w:sz="0" w:space="0" w:color="auto"/>
      </w:divBdr>
    </w:div>
    <w:div w:id="2085833446">
      <w:bodyDiv w:val="1"/>
      <w:marLeft w:val="0"/>
      <w:marRight w:val="0"/>
      <w:marTop w:val="0"/>
      <w:marBottom w:val="0"/>
      <w:divBdr>
        <w:top w:val="none" w:sz="0" w:space="0" w:color="auto"/>
        <w:left w:val="none" w:sz="0" w:space="0" w:color="auto"/>
        <w:bottom w:val="none" w:sz="0" w:space="0" w:color="auto"/>
        <w:right w:val="none" w:sz="0" w:space="0" w:color="auto"/>
      </w:divBdr>
    </w:div>
    <w:div w:id="2099447359">
      <w:bodyDiv w:val="1"/>
      <w:marLeft w:val="0"/>
      <w:marRight w:val="0"/>
      <w:marTop w:val="0"/>
      <w:marBottom w:val="0"/>
      <w:divBdr>
        <w:top w:val="none" w:sz="0" w:space="0" w:color="auto"/>
        <w:left w:val="none" w:sz="0" w:space="0" w:color="auto"/>
        <w:bottom w:val="none" w:sz="0" w:space="0" w:color="auto"/>
        <w:right w:val="none" w:sz="0" w:space="0" w:color="auto"/>
      </w:divBdr>
    </w:div>
    <w:div w:id="2133935255">
      <w:bodyDiv w:val="1"/>
      <w:marLeft w:val="0"/>
      <w:marRight w:val="0"/>
      <w:marTop w:val="0"/>
      <w:marBottom w:val="0"/>
      <w:divBdr>
        <w:top w:val="none" w:sz="0" w:space="0" w:color="auto"/>
        <w:left w:val="none" w:sz="0" w:space="0" w:color="auto"/>
        <w:bottom w:val="none" w:sz="0" w:space="0" w:color="auto"/>
        <w:right w:val="none" w:sz="0" w:space="0" w:color="auto"/>
      </w:divBdr>
    </w:div>
    <w:div w:id="2144349868">
      <w:bodyDiv w:val="1"/>
      <w:marLeft w:val="0"/>
      <w:marRight w:val="0"/>
      <w:marTop w:val="0"/>
      <w:marBottom w:val="0"/>
      <w:divBdr>
        <w:top w:val="none" w:sz="0" w:space="0" w:color="auto"/>
        <w:left w:val="none" w:sz="0" w:space="0" w:color="auto"/>
        <w:bottom w:val="none" w:sz="0" w:space="0" w:color="auto"/>
        <w:right w:val="none" w:sz="0" w:space="0" w:color="auto"/>
      </w:divBdr>
      <w:divsChild>
        <w:div w:id="1597443950">
          <w:marLeft w:val="418"/>
          <w:marRight w:val="0"/>
          <w:marTop w:val="0"/>
          <w:marBottom w:val="0"/>
          <w:divBdr>
            <w:top w:val="none" w:sz="0" w:space="0" w:color="auto"/>
            <w:left w:val="none" w:sz="0" w:space="0" w:color="auto"/>
            <w:bottom w:val="none" w:sz="0" w:space="0" w:color="auto"/>
            <w:right w:val="none" w:sz="0" w:space="0" w:color="auto"/>
          </w:divBdr>
        </w:div>
      </w:divsChild>
    </w:div>
    <w:div w:id="214650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hyperlink" Target="https://www.apsc.gov.au/australian-government-use-information-and-communication-technology" TargetMode="External"/><Relationship Id="rId63" Type="http://schemas.openxmlformats.org/officeDocument/2006/relationships/hyperlink" Target="https://doi.org/10.1787/9789264281110-en" TargetMode="External"/><Relationship Id="rId68" Type="http://schemas.openxmlformats.org/officeDocument/2006/relationships/hyperlink" Target="https://www.researchgate.net/publication/220348920_How_is_e-Government_Progressing_A_Data_Driven_Approach_to_E-government_Monitoring" TargetMode="External"/><Relationship Id="rId16" Type="http://schemas.openxmlformats.org/officeDocument/2006/relationships/hyperlink" Target="https://creativecommons.org/licenses/by/4.0/" TargetMode="External"/><Relationship Id="rId11" Type="http://schemas.openxmlformats.org/officeDocument/2006/relationships/image" Target="media/image1.jp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psycnet.apa.org/record/1979-27801-001" TargetMode="External"/><Relationship Id="rId53" Type="http://schemas.openxmlformats.org/officeDocument/2006/relationships/hyperlink" Target="https://www.employment.gov.au/career-transition-assistance" TargetMode="External"/><Relationship Id="rId58" Type="http://schemas.openxmlformats.org/officeDocument/2006/relationships/hyperlink" Target="https://esriaustralia.com.au/blog/5-reasons-why-governments-are-ignoring-ux-thinking" TargetMode="External"/><Relationship Id="rId66" Type="http://schemas.openxmlformats.org/officeDocument/2006/relationships/hyperlink" Target="file:///\\EMP\Home$\WE2527\10.1051\matecconf\20167901066"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macquarie.com/au/personal/financial-advice/expertise/eTax-and-tax-pre-fill/" TargetMode="External"/><Relationship Id="rId19" Type="http://schemas.openxmlformats.org/officeDocument/2006/relationships/hyperlink" Target="https://jobactive.gov.au/jobseekers"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https://www.aihw.gov.au/reports/older-people/older-australia-at-a-glance/contents/demographics-of-older-australians/australia-s-changing-age-and-gender-profile" TargetMode="External"/><Relationship Id="rId56" Type="http://schemas.openxmlformats.org/officeDocument/2006/relationships/hyperlink" Target="https://www.researchgate.net/publication/235254120_E-government_adoption_Architecture_and_barriers" TargetMode="External"/><Relationship Id="rId64" Type="http://schemas.openxmlformats.org/officeDocument/2006/relationships/hyperlink" Target="https://www.oecd.org/governance/digital-government/toolkit/home/" TargetMode="External"/><Relationship Id="rId69" Type="http://schemas.openxmlformats.org/officeDocument/2006/relationships/hyperlink" Target="https://www.deepdyve.com/lp/ios-press/e-government-in-australia-promise-and-progress-qh1KqBIRZU"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researchgate.net/publication/220175531_The_Myths_of_E-Government_Looking_Beyond_the_Assumptions_of_a_New_and_Better_Government" TargetMode="External"/><Relationship Id="rId72" Type="http://schemas.openxmlformats.org/officeDocument/2006/relationships/hyperlink" Target="https://www.un-ilibrary.org/democracy-and-governance/united-nations-e-government-survey-2018_d54b9179-en"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beconnected.esafety.gov.au/" TargetMode="External"/><Relationship Id="rId59" Type="http://schemas.openxmlformats.org/officeDocument/2006/relationships/hyperlink" Target="https://usabilla.com/blog/towards-user-centred-design-in-5-steps/" TargetMode="External"/><Relationship Id="rId67" Type="http://schemas.openxmlformats.org/officeDocument/2006/relationships/hyperlink" Target="https://doi.org/10.1051/matecconf/20167901066" TargetMode="External"/><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hyperlink" Target="https://www.communications.gov.au/what-we-do/phone/phone-services/universal-service-guarantee-telecommunications" TargetMode="External"/><Relationship Id="rId62" Type="http://schemas.openxmlformats.org/officeDocument/2006/relationships/hyperlink" Target="https://www.researchgate.net/publication/303909258_E-government_effectiveness_A_rocket_model_of_contributing_user-related_factors" TargetMode="External"/><Relationship Id="rId70" Type="http://schemas.openxmlformats.org/officeDocument/2006/relationships/hyperlink" Target="https://digitalinclusionindex.org.au/wp-content/uploads/2018/08/Australian-digital-inclusion-index-2018.pdf"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cid:image001.png@01CC5B5E.C6C84990"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s://www.ato.gov.au/General/Tax-and-individuals---not-in-business/In-detail/The-four-pillars-of-compliance/" TargetMode="External"/><Relationship Id="rId57" Type="http://schemas.openxmlformats.org/officeDocument/2006/relationships/hyperlink" Target="https://theconversation.com/censusfail-the-abs-hasnt-convinced-the-public-their-privacy-is-protected-63702"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www.researchgate.net/profile/Suha_Alawadhi/publication/42804639_Factors_Influencing_the_Adoption_of_E-government_Services/links/54f2cf100cf2b36214b2d56c/Factors-Influencing-the-Adoption-of-E-government-Services.pdf" TargetMode="External"/><Relationship Id="rId52" Type="http://schemas.openxmlformats.org/officeDocument/2006/relationships/hyperlink" Target="https://www.researchgate.net/publication/228867440_Understanding_Trust_in_e-Government" TargetMode="External"/><Relationship Id="rId60" Type="http://schemas.openxmlformats.org/officeDocument/2006/relationships/hyperlink" Target="https://www.wired.com/story/us-census-2020-goes-digital/" TargetMode="External"/><Relationship Id="rId65" Type="http://schemas.openxmlformats.org/officeDocument/2006/relationships/hyperlink" Target="https://www.theguardian.com/politics/2018/nov/10/nudge-unit-pushed-way-private-sector-behavioural-insights-team" TargetMode="External"/><Relationship Id="rId73" Type="http://schemas.openxmlformats.org/officeDocument/2006/relationships/hyperlink" Target="https://www.researchgate.net/publication/248544637_Explaining_the_acceptance_and_use_of_government_Internet_services_A_multivariate_analysis_of_2006_survey_data_in_the_Netherland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dese.gov.au/online-employment-service-guarantee" TargetMode="External"/><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hyperlink" Target="https://www.researchgate.net/publication/224221252_Electronic_Service_Delivery_in_the_Public_Sector_Understanding_the_Variance_of_Citizens'_Resistance" TargetMode="External"/><Relationship Id="rId55" Type="http://schemas.openxmlformats.org/officeDocument/2006/relationships/hyperlink" Target="https://www.dta.gov.au/"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doi.org/10.18356/d54b9179-en" TargetMode="External"/><Relationship Id="rId2" Type="http://schemas.openxmlformats.org/officeDocument/2006/relationships/customXml" Target="../customXml/item2.xml"/><Relationship Id="rId29" Type="http://schemas.openxmlformats.org/officeDocument/2006/relationships/image" Target="media/image13.png"/></Relationships>
</file>

<file path=word/_rels/footnotes.xml.rels><?xml version="1.0" encoding="UTF-8" standalone="yes"?>
<Relationships xmlns="http://schemas.openxmlformats.org/package/2006/relationships"><Relationship Id="rId1" Type="http://schemas.openxmlformats.org/officeDocument/2006/relationships/hyperlink" Target="https://www.oecd.org/governance/digital-government/toolkit/ho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2" ma:contentTypeDescription="Create a new document." ma:contentTypeScope="" ma:versionID="9132d97f85f0eed6192a7ca7086e4c77">
  <xsd:schema xmlns:xsd="http://www.w3.org/2001/XMLSchema" xmlns:xs="http://www.w3.org/2001/XMLSchema" xmlns:p="http://schemas.microsoft.com/office/2006/metadata/properties" xmlns:ns3="c0fd65f7-4e73-4983-bb21-592ea7224115" xmlns:ns4="847e2738-acdf-4abd-a237-017419341eb3" targetNamespace="http://schemas.microsoft.com/office/2006/metadata/properties" ma:root="true" ma:fieldsID="2d8cde6b37f8e6d34d3cc02828f2d96d" ns3:_="" ns4:_="">
    <xsd:import namespace="c0fd65f7-4e73-4983-bb21-592ea7224115"/>
    <xsd:import namespace="847e2738-acdf-4abd-a237-017419341eb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7e2738-acdf-4abd-a237-017419341e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www.w3.org/XML/1998/namespace"/>
    <ds:schemaRef ds:uri="c0fd65f7-4e73-4983-bb21-592ea7224115"/>
    <ds:schemaRef ds:uri="http://purl.org/dc/dcmitype/"/>
    <ds:schemaRef ds:uri="http://purl.org/dc/terms/"/>
    <ds:schemaRef ds:uri="http://schemas.openxmlformats.org/package/2006/metadata/core-properties"/>
    <ds:schemaRef ds:uri="847e2738-acdf-4abd-a237-017419341eb3"/>
  </ds:schemaRefs>
</ds:datastoreItem>
</file>

<file path=customXml/itemProps3.xml><?xml version="1.0" encoding="utf-8"?>
<ds:datastoreItem xmlns:ds="http://schemas.openxmlformats.org/officeDocument/2006/customXml" ds:itemID="{B16CA1C0-E947-43B0-8162-22DD55478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847e2738-acdf-4abd-a237-017419341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48D2B-37B9-49A9-A864-F8541D0A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97</Pages>
  <Words>22398</Words>
  <Characters>127675</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Online Evaluation Services Trial Evaluation Report</vt:lpstr>
    </vt:vector>
  </TitlesOfParts>
  <Manager/>
  <Company/>
  <LinksUpToDate>false</LinksUpToDate>
  <CharactersWithSpaces>149774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Evaluation Services Trial Evaluation Report</dc:title>
  <dc:subject/>
  <dc:creator>DIAZ,Emanuela</dc:creator>
  <cp:keywords/>
  <dc:description/>
  <cp:lastModifiedBy>BARBER,Patricia</cp:lastModifiedBy>
  <cp:revision>6</cp:revision>
  <cp:lastPrinted>2021-03-18T23:50:00Z</cp:lastPrinted>
  <dcterms:created xsi:type="dcterms:W3CDTF">2021-03-18T22:42:00Z</dcterms:created>
  <dcterms:modified xsi:type="dcterms:W3CDTF">2021-03-18T23:58:00Z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