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22C9246E" w:rsidR="006E5D6E" w:rsidRDefault="00EC3468" w:rsidP="00350FFA">
      <w:pPr>
        <w:ind w:left="-1474"/>
      </w:pPr>
      <w:r>
        <w:rPr>
          <w:noProof/>
          <w:color w:val="2B579A"/>
          <w:shd w:val="clear" w:color="auto" w:fill="E6E6E6"/>
        </w:rPr>
        <w:drawing>
          <wp:anchor distT="0" distB="0" distL="114300" distR="114300" simplePos="0" relativeHeight="251658240" behindDoc="1" locked="0" layoutInCell="1" allowOverlap="1" wp14:anchorId="1987648F" wp14:editId="77B07C88">
            <wp:simplePos x="0" y="0"/>
            <wp:positionH relativeFrom="page">
              <wp:posOffset>5938</wp:posOffset>
            </wp:positionH>
            <wp:positionV relativeFrom="page">
              <wp:posOffset>11875</wp:posOffset>
            </wp:positionV>
            <wp:extent cx="7541554" cy="10667650"/>
            <wp:effectExtent l="0" t="0" r="2540" b="63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541554" cy="10667650"/>
                    </a:xfrm>
                    <a:prstGeom prst="rect">
                      <a:avLst/>
                    </a:prstGeom>
                  </pic:spPr>
                </pic:pic>
              </a:graphicData>
            </a:graphic>
            <wp14:sizeRelH relativeFrom="page">
              <wp14:pctWidth>0</wp14:pctWidth>
            </wp14:sizeRelH>
            <wp14:sizeRelV relativeFrom="page">
              <wp14:pctHeight>0</wp14:pctHeight>
            </wp14:sizeRelV>
          </wp:anchor>
        </w:drawing>
      </w:r>
    </w:p>
    <w:p w14:paraId="57D930FB" w14:textId="19A28B67" w:rsidR="00930CDA" w:rsidRDefault="00337D19" w:rsidP="00930CDA">
      <w:pPr>
        <w:spacing w:after="160" w:line="720" w:lineRule="auto"/>
        <w:rPr>
          <w:noProof/>
          <w:lang w:eastAsia="en-AU"/>
        </w:rPr>
      </w:pPr>
      <w:r>
        <w:rPr>
          <w:noProof/>
          <w:color w:val="2B579A"/>
          <w:shd w:val="clear" w:color="auto" w:fill="E6E6E6"/>
        </w:rPr>
        <w:drawing>
          <wp:inline distT="0" distB="0" distL="0" distR="0" wp14:anchorId="360793E7" wp14:editId="11D576FD">
            <wp:extent cx="2372966" cy="727200"/>
            <wp:effectExtent l="0" t="0" r="8890" b="0"/>
            <wp:docPr id="2" name="Picture 3" descr="Australian Government&#10;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ustralian Government&#10;Department of Employment and Workplace Relations"/>
                    <pic:cNvPicPr/>
                  </pic:nvPicPr>
                  <pic:blipFill>
                    <a:blip r:embed="rId9"/>
                    <a:stretch>
                      <a:fillRect/>
                    </a:stretch>
                  </pic:blipFill>
                  <pic:spPr>
                    <a:xfrm>
                      <a:off x="0" y="0"/>
                      <a:ext cx="2372966" cy="727200"/>
                    </a:xfrm>
                    <a:prstGeom prst="rect">
                      <a:avLst/>
                    </a:prstGeom>
                  </pic:spPr>
                </pic:pic>
              </a:graphicData>
            </a:graphic>
          </wp:inline>
        </w:drawing>
      </w:r>
    </w:p>
    <w:p w14:paraId="4238F4CF" w14:textId="5DA2F944" w:rsidR="00930CDA" w:rsidRPr="00C90478" w:rsidRDefault="00C90478" w:rsidP="00C90478">
      <w:pPr>
        <w:pStyle w:val="Title"/>
        <w:rPr>
          <w:noProof/>
          <w:lang w:eastAsia="en-AU"/>
        </w:rPr>
      </w:pPr>
      <w:r w:rsidRPr="00C90478">
        <w:rPr>
          <w:noProof/>
          <w:lang w:eastAsia="en-AU"/>
        </w:rPr>
        <w:t>Australian Skills</w:t>
      </w:r>
      <w:r w:rsidRPr="00C90478">
        <w:rPr>
          <w:noProof/>
          <w:lang w:eastAsia="en-AU"/>
        </w:rPr>
        <w:br/>
        <w:t>Guarantee</w:t>
      </w:r>
    </w:p>
    <w:p w14:paraId="74FB3A51" w14:textId="48D2C6A2" w:rsidR="00FF7AB1" w:rsidRPr="00E57327" w:rsidRDefault="00C90478" w:rsidP="00E57327">
      <w:pPr>
        <w:pStyle w:val="Subtitle"/>
        <w:spacing w:before="0"/>
        <w:ind w:left="1276"/>
      </w:pPr>
      <w:r>
        <w:t>Discussion Paper</w:t>
      </w:r>
    </w:p>
    <w:p w14:paraId="1426C369" w14:textId="77777777" w:rsidR="00D13BC4" w:rsidRDefault="00D13BC4" w:rsidP="00FF7AB1">
      <w:pPr>
        <w:pStyle w:val="Subtitle"/>
        <w:spacing w:before="0"/>
        <w:ind w:left="1276"/>
      </w:pPr>
    </w:p>
    <w:p w14:paraId="1E3BA6B0" w14:textId="77777777" w:rsidR="00D13BC4" w:rsidRDefault="00D13BC4" w:rsidP="00FF7AB1">
      <w:pPr>
        <w:pStyle w:val="Subtitle"/>
        <w:spacing w:before="0"/>
        <w:ind w:left="1276"/>
      </w:pPr>
    </w:p>
    <w:p w14:paraId="6A3B3ADC" w14:textId="77777777" w:rsidR="00D13BC4" w:rsidRDefault="00D13BC4" w:rsidP="00FF7AB1">
      <w:pPr>
        <w:pStyle w:val="Subtitle"/>
        <w:spacing w:before="0"/>
        <w:ind w:left="1276"/>
      </w:pPr>
    </w:p>
    <w:p w14:paraId="352F4793" w14:textId="77777777" w:rsidR="00D13BC4" w:rsidRDefault="00D13BC4" w:rsidP="00FF7AB1">
      <w:pPr>
        <w:pStyle w:val="Subtitle"/>
        <w:spacing w:before="0"/>
        <w:ind w:left="1276"/>
      </w:pPr>
    </w:p>
    <w:p w14:paraId="45EE20FD" w14:textId="77777777" w:rsidR="00D13BC4" w:rsidRDefault="00D13BC4" w:rsidP="00FF7AB1">
      <w:pPr>
        <w:pStyle w:val="Subtitle"/>
        <w:spacing w:before="0"/>
        <w:ind w:left="1276"/>
      </w:pPr>
    </w:p>
    <w:p w14:paraId="1CD87AC4" w14:textId="77777777" w:rsidR="00D13BC4" w:rsidRDefault="00D13BC4" w:rsidP="00FF7AB1">
      <w:pPr>
        <w:pStyle w:val="Subtitle"/>
        <w:spacing w:before="0"/>
        <w:ind w:left="1276"/>
      </w:pPr>
    </w:p>
    <w:p w14:paraId="39F0CD2C" w14:textId="77777777" w:rsidR="00D13BC4" w:rsidRDefault="00D13BC4" w:rsidP="00FF7AB1">
      <w:pPr>
        <w:pStyle w:val="Subtitle"/>
        <w:spacing w:before="0"/>
        <w:ind w:left="1276"/>
      </w:pPr>
    </w:p>
    <w:p w14:paraId="0A95078A" w14:textId="77777777" w:rsidR="00D13BC4" w:rsidRDefault="00D13BC4" w:rsidP="00FF7AB1">
      <w:pPr>
        <w:pStyle w:val="Subtitle"/>
        <w:spacing w:before="0"/>
        <w:ind w:left="1276"/>
      </w:pPr>
    </w:p>
    <w:p w14:paraId="76934877" w14:textId="77777777" w:rsidR="00D13BC4" w:rsidRDefault="00D13BC4" w:rsidP="00FF7AB1">
      <w:pPr>
        <w:pStyle w:val="Subtitle"/>
        <w:spacing w:before="0"/>
        <w:ind w:left="1276"/>
      </w:pPr>
    </w:p>
    <w:p w14:paraId="292B3211" w14:textId="77777777" w:rsidR="000A46A8" w:rsidRDefault="000A46A8" w:rsidP="000A46A8">
      <w:pPr>
        <w:pStyle w:val="Subtitle"/>
        <w:spacing w:before="0"/>
        <w:ind w:left="1276"/>
        <w:jc w:val="right"/>
        <w:rPr>
          <w:color w:val="auto"/>
          <w:sz w:val="30"/>
          <w:szCs w:val="30"/>
        </w:rPr>
      </w:pPr>
    </w:p>
    <w:p w14:paraId="7D187699" w14:textId="24C809C3" w:rsidR="005944B6" w:rsidRPr="003902F3" w:rsidRDefault="00C90478" w:rsidP="00E57327">
      <w:pPr>
        <w:pStyle w:val="Subtitle"/>
        <w:spacing w:before="0"/>
        <w:ind w:left="1276"/>
        <w:jc w:val="right"/>
        <w:rPr>
          <w:noProof/>
        </w:rPr>
        <w:sectPr w:rsidR="005944B6" w:rsidRPr="003902F3" w:rsidSect="0052797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851" w:right="1440" w:bottom="567" w:left="1644" w:header="709" w:footer="709" w:gutter="0"/>
          <w:cols w:space="708"/>
          <w:titlePg/>
          <w:docGrid w:linePitch="360"/>
        </w:sectPr>
      </w:pPr>
      <w:r w:rsidRPr="00E57327">
        <w:rPr>
          <w:color w:val="auto"/>
          <w:sz w:val="30"/>
          <w:szCs w:val="30"/>
        </w:rPr>
        <w:t>November 202</w:t>
      </w:r>
      <w:r w:rsidR="001D4B53" w:rsidRPr="00E57327">
        <w:rPr>
          <w:color w:val="auto"/>
          <w:sz w:val="30"/>
          <w:szCs w:val="30"/>
        </w:rPr>
        <w:t>2</w:t>
      </w:r>
    </w:p>
    <w:p w14:paraId="4D17207E" w14:textId="77777777" w:rsidR="007855CC" w:rsidRPr="003C539C" w:rsidRDefault="007855CC" w:rsidP="00E57327">
      <w:pPr>
        <w:spacing w:before="8480"/>
      </w:pPr>
      <w:bookmarkStart w:id="0" w:name="_Toc30065222"/>
      <w:r>
        <w:lastRenderedPageBreak/>
        <w:t>ISBN</w:t>
      </w:r>
    </w:p>
    <w:p w14:paraId="0B465459" w14:textId="40C8FB5E" w:rsidR="007855CC" w:rsidRPr="003C539C" w:rsidRDefault="007855CC" w:rsidP="007855CC">
      <w:r w:rsidRPr="003C539C">
        <w:rPr>
          <w:highlight w:val="yellow"/>
        </w:rPr>
        <w:br/>
      </w:r>
      <w:r w:rsidR="00323672" w:rsidRPr="00323672">
        <w:t>978-176114-172-0</w:t>
      </w:r>
      <w:r w:rsidR="00323672" w:rsidRPr="00F14B49" w:rsidDel="00323672">
        <w:t xml:space="preserve"> </w:t>
      </w:r>
      <w:r w:rsidRPr="00323672">
        <w:t>[PDF]</w:t>
      </w:r>
      <w:r w:rsidRPr="003C539C">
        <w:br/>
      </w:r>
      <w:r w:rsidR="00323672" w:rsidRPr="00323672">
        <w:t>978-176114-171-3</w:t>
      </w:r>
      <w:r w:rsidR="00323672" w:rsidRPr="00F14B49" w:rsidDel="00323672">
        <w:t xml:space="preserve"> </w:t>
      </w:r>
      <w:r w:rsidRPr="00323672">
        <w:t>[DOCX]</w:t>
      </w:r>
    </w:p>
    <w:p w14:paraId="56C08523" w14:textId="43285E43" w:rsidR="003B00B7" w:rsidRDefault="003B00B7" w:rsidP="003B00B7">
      <w:r>
        <w:rPr>
          <w:noProof/>
          <w:color w:val="2B579A"/>
          <w:shd w:val="clear" w:color="auto" w:fill="E6E6E6"/>
        </w:rPr>
        <w:drawing>
          <wp:inline distT="0" distB="0" distL="0" distR="0" wp14:anchorId="15220FB0" wp14:editId="38F2515E">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32C08461" w14:textId="21A53E37" w:rsidR="003B00B7" w:rsidRDefault="003B00B7" w:rsidP="003B00B7">
      <w:r>
        <w:t xml:space="preserve">With the exception of the Commonwealth Coat of Arms, the Department’s logo, any material protected by a trade mark and where otherwise noted all material presented in this document is provided under a </w:t>
      </w:r>
      <w:hyperlink r:id="rId18" w:history="1">
        <w:r>
          <w:rPr>
            <w:rStyle w:val="Hyperlink"/>
          </w:rPr>
          <w:t>Creative Commons Attribution 4.0 International</w:t>
        </w:r>
      </w:hyperlink>
      <w:r>
        <w:t xml:space="preserve"> (</w:t>
      </w:r>
      <w:hyperlink r:id="rId19" w:history="1">
        <w:r w:rsidR="00F142CA" w:rsidRPr="0014006C">
          <w:rPr>
            <w:rStyle w:val="Hyperlink"/>
          </w:rPr>
          <w:t>https://creativecommons.org/licenses/by/4.0/</w:t>
        </w:r>
      </w:hyperlink>
      <w:r>
        <w:t>) licence.</w:t>
      </w:r>
    </w:p>
    <w:p w14:paraId="1EA34FF6" w14:textId="559242C2" w:rsidR="003B00B7" w:rsidRDefault="003B00B7" w:rsidP="003B00B7">
      <w:r>
        <w:t xml:space="preserve">The details of the relevant licence conditions are available on the Creative Commons website (accessible using the links provided) as is the full legal code for the </w:t>
      </w:r>
      <w:hyperlink r:id="rId20" w:history="1">
        <w:r>
          <w:rPr>
            <w:rStyle w:val="Hyperlink"/>
          </w:rPr>
          <w:t>CC BY 4.0 International</w:t>
        </w:r>
      </w:hyperlink>
      <w:r>
        <w:t xml:space="preserve"> (</w:t>
      </w:r>
      <w:hyperlink r:id="rId21" w:history="1">
        <w:r w:rsidR="00F142CA" w:rsidRPr="0014006C">
          <w:rPr>
            <w:rStyle w:val="Hyperlink"/>
          </w:rPr>
          <w:t>https://creativecommons.org/licenses/by/4.0/legalcode</w:t>
        </w:r>
      </w:hyperlink>
      <w:r>
        <w:t>)</w:t>
      </w:r>
    </w:p>
    <w:p w14:paraId="2BBCB76E" w14:textId="281E2E44" w:rsidR="007855CC" w:rsidRDefault="003B00B7" w:rsidP="007855CC">
      <w:pPr>
        <w:sectPr w:rsidR="007855CC" w:rsidSect="00C90478">
          <w:pgSz w:w="11906" w:h="16838"/>
          <w:pgMar w:top="1077" w:right="1440" w:bottom="1559" w:left="1276" w:header="709" w:footer="709" w:gutter="0"/>
          <w:cols w:space="708"/>
          <w:titlePg/>
          <w:docGrid w:linePitch="360"/>
        </w:sectPr>
      </w:pPr>
      <w:r>
        <w:lastRenderedPageBreak/>
        <w:t xml:space="preserve">The document must be attributed as the </w:t>
      </w:r>
      <w:r w:rsidR="0081697C">
        <w:t xml:space="preserve">Australian Government </w:t>
      </w:r>
      <w:r w:rsidR="006E2453">
        <w:t>Australian Skills Guarantee Discussion Paper</w:t>
      </w:r>
      <w:r>
        <w:t>.</w:t>
      </w:r>
      <w:r>
        <w:br w:type="page"/>
      </w:r>
    </w:p>
    <w:sdt>
      <w:sdtPr>
        <w:rPr>
          <w:rFonts w:asciiTheme="minorHAnsi" w:eastAsiaTheme="minorEastAsia" w:hAnsiTheme="minorHAnsi" w:cstheme="minorBidi"/>
          <w:b w:val="0"/>
          <w:bCs/>
          <w:color w:val="000000" w:themeColor="text1"/>
          <w:sz w:val="22"/>
          <w:szCs w:val="22"/>
          <w:shd w:val="clear" w:color="auto" w:fill="E6E6E6"/>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7855CC">
          <w:pPr>
            <w:pStyle w:val="TOCHeading"/>
          </w:pPr>
          <w:r w:rsidRPr="00D84395">
            <w:t>Contents</w:t>
          </w:r>
        </w:p>
        <w:p w14:paraId="293FF752" w14:textId="2F99252B" w:rsidR="00E552E8" w:rsidRDefault="005C4D95">
          <w:pPr>
            <w:pStyle w:val="TOC1"/>
            <w:tabs>
              <w:tab w:val="right" w:leader="dot" w:pos="9060"/>
            </w:tabs>
            <w:rPr>
              <w:rFonts w:eastAsiaTheme="minorEastAsia"/>
              <w:b w:val="0"/>
              <w:noProof/>
              <w:lang w:eastAsia="en-AU"/>
            </w:rPr>
          </w:pPr>
          <w:r>
            <w:rPr>
              <w:rFonts w:ascii="Calibri" w:eastAsiaTheme="majorEastAsia" w:hAnsi="Calibri" w:cstheme="majorBidi"/>
              <w:color w:val="343741"/>
              <w:sz w:val="32"/>
              <w:szCs w:val="32"/>
              <w:shd w:val="clear" w:color="auto" w:fill="E6E6E6"/>
            </w:rPr>
            <w:fldChar w:fldCharType="begin"/>
          </w:r>
          <w:r>
            <w:rPr>
              <w:rFonts w:ascii="Calibri" w:eastAsiaTheme="majorEastAsia" w:hAnsi="Calibri" w:cstheme="majorBidi"/>
              <w:color w:val="343741"/>
              <w:sz w:val="32"/>
              <w:szCs w:val="32"/>
            </w:rPr>
            <w:instrText xml:space="preserve"> TOC \o "1-2" \h \z \u </w:instrText>
          </w:r>
          <w:r>
            <w:rPr>
              <w:rFonts w:ascii="Calibri" w:eastAsiaTheme="majorEastAsia" w:hAnsi="Calibri" w:cstheme="majorBidi"/>
              <w:color w:val="343741"/>
              <w:sz w:val="32"/>
              <w:szCs w:val="32"/>
              <w:shd w:val="clear" w:color="auto" w:fill="E6E6E6"/>
            </w:rPr>
            <w:fldChar w:fldCharType="separate"/>
          </w:r>
          <w:hyperlink w:anchor="_Toc120101370" w:history="1">
            <w:r w:rsidR="00E552E8" w:rsidRPr="00D5679B">
              <w:rPr>
                <w:rStyle w:val="Hyperlink"/>
                <w:noProof/>
              </w:rPr>
              <w:t>Acknowledgement of Country</w:t>
            </w:r>
            <w:r w:rsidR="00E552E8">
              <w:rPr>
                <w:noProof/>
                <w:webHidden/>
              </w:rPr>
              <w:tab/>
            </w:r>
            <w:r w:rsidR="00E552E8">
              <w:rPr>
                <w:noProof/>
                <w:webHidden/>
              </w:rPr>
              <w:fldChar w:fldCharType="begin"/>
            </w:r>
            <w:r w:rsidR="00E552E8">
              <w:rPr>
                <w:noProof/>
                <w:webHidden/>
              </w:rPr>
              <w:instrText xml:space="preserve"> PAGEREF _Toc120101370 \h </w:instrText>
            </w:r>
            <w:r w:rsidR="00E552E8">
              <w:rPr>
                <w:noProof/>
                <w:webHidden/>
              </w:rPr>
            </w:r>
            <w:r w:rsidR="00E552E8">
              <w:rPr>
                <w:noProof/>
                <w:webHidden/>
              </w:rPr>
              <w:fldChar w:fldCharType="separate"/>
            </w:r>
            <w:r w:rsidR="00E552E8">
              <w:rPr>
                <w:noProof/>
                <w:webHidden/>
              </w:rPr>
              <w:t>4</w:t>
            </w:r>
            <w:r w:rsidR="00E552E8">
              <w:rPr>
                <w:noProof/>
                <w:webHidden/>
              </w:rPr>
              <w:fldChar w:fldCharType="end"/>
            </w:r>
          </w:hyperlink>
        </w:p>
        <w:p w14:paraId="15FFD065" w14:textId="77865BC0" w:rsidR="00E552E8" w:rsidRDefault="00364564">
          <w:pPr>
            <w:pStyle w:val="TOC1"/>
            <w:tabs>
              <w:tab w:val="right" w:leader="dot" w:pos="9060"/>
            </w:tabs>
            <w:rPr>
              <w:rFonts w:eastAsiaTheme="minorEastAsia"/>
              <w:b w:val="0"/>
              <w:noProof/>
              <w:lang w:eastAsia="en-AU"/>
            </w:rPr>
          </w:pPr>
          <w:hyperlink w:anchor="_Toc120101371" w:history="1">
            <w:r w:rsidR="00E552E8" w:rsidRPr="00D5679B">
              <w:rPr>
                <w:rStyle w:val="Hyperlink"/>
                <w:noProof/>
              </w:rPr>
              <w:t>Have your say</w:t>
            </w:r>
            <w:r w:rsidR="00E552E8">
              <w:rPr>
                <w:noProof/>
                <w:webHidden/>
              </w:rPr>
              <w:tab/>
            </w:r>
            <w:r w:rsidR="00E552E8">
              <w:rPr>
                <w:noProof/>
                <w:webHidden/>
              </w:rPr>
              <w:fldChar w:fldCharType="begin"/>
            </w:r>
            <w:r w:rsidR="00E552E8">
              <w:rPr>
                <w:noProof/>
                <w:webHidden/>
              </w:rPr>
              <w:instrText xml:space="preserve"> PAGEREF _Toc120101371 \h </w:instrText>
            </w:r>
            <w:r w:rsidR="00E552E8">
              <w:rPr>
                <w:noProof/>
                <w:webHidden/>
              </w:rPr>
            </w:r>
            <w:r w:rsidR="00E552E8">
              <w:rPr>
                <w:noProof/>
                <w:webHidden/>
              </w:rPr>
              <w:fldChar w:fldCharType="separate"/>
            </w:r>
            <w:r w:rsidR="00E552E8">
              <w:rPr>
                <w:noProof/>
                <w:webHidden/>
              </w:rPr>
              <w:t>4</w:t>
            </w:r>
            <w:r w:rsidR="00E552E8">
              <w:rPr>
                <w:noProof/>
                <w:webHidden/>
              </w:rPr>
              <w:fldChar w:fldCharType="end"/>
            </w:r>
          </w:hyperlink>
        </w:p>
        <w:p w14:paraId="11EA70BC" w14:textId="2D65A98E" w:rsidR="00E552E8" w:rsidRDefault="00364564">
          <w:pPr>
            <w:pStyle w:val="TOC2"/>
            <w:tabs>
              <w:tab w:val="right" w:leader="dot" w:pos="9060"/>
            </w:tabs>
            <w:rPr>
              <w:rFonts w:eastAsiaTheme="minorEastAsia"/>
              <w:noProof/>
              <w:lang w:eastAsia="en-AU"/>
            </w:rPr>
          </w:pPr>
          <w:hyperlink w:anchor="_Toc120101372" w:history="1">
            <w:r w:rsidR="00E552E8" w:rsidRPr="00D5679B">
              <w:rPr>
                <w:rStyle w:val="Hyperlink"/>
                <w:noProof/>
              </w:rPr>
              <w:t>Key dates</w:t>
            </w:r>
            <w:r w:rsidR="00E552E8">
              <w:rPr>
                <w:noProof/>
                <w:webHidden/>
              </w:rPr>
              <w:tab/>
            </w:r>
            <w:r w:rsidR="00E552E8">
              <w:rPr>
                <w:noProof/>
                <w:webHidden/>
              </w:rPr>
              <w:fldChar w:fldCharType="begin"/>
            </w:r>
            <w:r w:rsidR="00E552E8">
              <w:rPr>
                <w:noProof/>
                <w:webHidden/>
              </w:rPr>
              <w:instrText xml:space="preserve"> PAGEREF _Toc120101372 \h </w:instrText>
            </w:r>
            <w:r w:rsidR="00E552E8">
              <w:rPr>
                <w:noProof/>
                <w:webHidden/>
              </w:rPr>
            </w:r>
            <w:r w:rsidR="00E552E8">
              <w:rPr>
                <w:noProof/>
                <w:webHidden/>
              </w:rPr>
              <w:fldChar w:fldCharType="separate"/>
            </w:r>
            <w:r w:rsidR="00E552E8">
              <w:rPr>
                <w:noProof/>
                <w:webHidden/>
              </w:rPr>
              <w:t>4</w:t>
            </w:r>
            <w:r w:rsidR="00E552E8">
              <w:rPr>
                <w:noProof/>
                <w:webHidden/>
              </w:rPr>
              <w:fldChar w:fldCharType="end"/>
            </w:r>
          </w:hyperlink>
        </w:p>
        <w:p w14:paraId="69F39F0E" w14:textId="7C45A2E5" w:rsidR="00E552E8" w:rsidRDefault="00364564">
          <w:pPr>
            <w:pStyle w:val="TOC2"/>
            <w:tabs>
              <w:tab w:val="right" w:leader="dot" w:pos="9060"/>
            </w:tabs>
            <w:rPr>
              <w:rFonts w:eastAsiaTheme="minorEastAsia"/>
              <w:noProof/>
              <w:lang w:eastAsia="en-AU"/>
            </w:rPr>
          </w:pPr>
          <w:hyperlink w:anchor="_Toc120101373" w:history="1">
            <w:r w:rsidR="00E552E8" w:rsidRPr="00D5679B">
              <w:rPr>
                <w:rStyle w:val="Hyperlink"/>
                <w:noProof/>
              </w:rPr>
              <w:t>How to make a submission</w:t>
            </w:r>
            <w:r w:rsidR="00E552E8">
              <w:rPr>
                <w:noProof/>
                <w:webHidden/>
              </w:rPr>
              <w:tab/>
            </w:r>
            <w:r w:rsidR="00E552E8">
              <w:rPr>
                <w:noProof/>
                <w:webHidden/>
              </w:rPr>
              <w:fldChar w:fldCharType="begin"/>
            </w:r>
            <w:r w:rsidR="00E552E8">
              <w:rPr>
                <w:noProof/>
                <w:webHidden/>
              </w:rPr>
              <w:instrText xml:space="preserve"> PAGEREF _Toc120101373 \h </w:instrText>
            </w:r>
            <w:r w:rsidR="00E552E8">
              <w:rPr>
                <w:noProof/>
                <w:webHidden/>
              </w:rPr>
            </w:r>
            <w:r w:rsidR="00E552E8">
              <w:rPr>
                <w:noProof/>
                <w:webHidden/>
              </w:rPr>
              <w:fldChar w:fldCharType="separate"/>
            </w:r>
            <w:r w:rsidR="00E552E8">
              <w:rPr>
                <w:noProof/>
                <w:webHidden/>
              </w:rPr>
              <w:t>4</w:t>
            </w:r>
            <w:r w:rsidR="00E552E8">
              <w:rPr>
                <w:noProof/>
                <w:webHidden/>
              </w:rPr>
              <w:fldChar w:fldCharType="end"/>
            </w:r>
          </w:hyperlink>
        </w:p>
        <w:p w14:paraId="4229D638" w14:textId="24541CCB" w:rsidR="00E552E8" w:rsidRDefault="00364564">
          <w:pPr>
            <w:pStyle w:val="TOC2"/>
            <w:tabs>
              <w:tab w:val="right" w:leader="dot" w:pos="9060"/>
            </w:tabs>
            <w:rPr>
              <w:rFonts w:eastAsiaTheme="minorEastAsia"/>
              <w:noProof/>
              <w:lang w:eastAsia="en-AU"/>
            </w:rPr>
          </w:pPr>
          <w:hyperlink w:anchor="_Toc120101374" w:history="1">
            <w:r w:rsidR="00E552E8" w:rsidRPr="00D5679B">
              <w:rPr>
                <w:rStyle w:val="Hyperlink"/>
                <w:noProof/>
              </w:rPr>
              <w:t>Key contacts</w:t>
            </w:r>
            <w:r w:rsidR="00E552E8">
              <w:rPr>
                <w:noProof/>
                <w:webHidden/>
              </w:rPr>
              <w:tab/>
            </w:r>
            <w:r w:rsidR="00E552E8">
              <w:rPr>
                <w:noProof/>
                <w:webHidden/>
              </w:rPr>
              <w:fldChar w:fldCharType="begin"/>
            </w:r>
            <w:r w:rsidR="00E552E8">
              <w:rPr>
                <w:noProof/>
                <w:webHidden/>
              </w:rPr>
              <w:instrText xml:space="preserve"> PAGEREF _Toc120101374 \h </w:instrText>
            </w:r>
            <w:r w:rsidR="00E552E8">
              <w:rPr>
                <w:noProof/>
                <w:webHidden/>
              </w:rPr>
            </w:r>
            <w:r w:rsidR="00E552E8">
              <w:rPr>
                <w:noProof/>
                <w:webHidden/>
              </w:rPr>
              <w:fldChar w:fldCharType="separate"/>
            </w:r>
            <w:r w:rsidR="00E552E8">
              <w:rPr>
                <w:noProof/>
                <w:webHidden/>
              </w:rPr>
              <w:t>4</w:t>
            </w:r>
            <w:r w:rsidR="00E552E8">
              <w:rPr>
                <w:noProof/>
                <w:webHidden/>
              </w:rPr>
              <w:fldChar w:fldCharType="end"/>
            </w:r>
          </w:hyperlink>
        </w:p>
        <w:p w14:paraId="5A0BFF07" w14:textId="5884E08F" w:rsidR="00E552E8" w:rsidRDefault="00364564">
          <w:pPr>
            <w:pStyle w:val="TOC1"/>
            <w:tabs>
              <w:tab w:val="right" w:leader="dot" w:pos="9060"/>
            </w:tabs>
            <w:rPr>
              <w:rFonts w:eastAsiaTheme="minorEastAsia"/>
              <w:b w:val="0"/>
              <w:noProof/>
              <w:lang w:eastAsia="en-AU"/>
            </w:rPr>
          </w:pPr>
          <w:hyperlink w:anchor="_Toc120101375" w:history="1">
            <w:r w:rsidR="00E552E8" w:rsidRPr="00D5679B">
              <w:rPr>
                <w:rStyle w:val="Hyperlink"/>
                <w:noProof/>
              </w:rPr>
              <w:t>Introduction</w:t>
            </w:r>
            <w:r w:rsidR="00E552E8">
              <w:rPr>
                <w:noProof/>
                <w:webHidden/>
              </w:rPr>
              <w:tab/>
            </w:r>
            <w:r w:rsidR="00E552E8">
              <w:rPr>
                <w:noProof/>
                <w:webHidden/>
              </w:rPr>
              <w:fldChar w:fldCharType="begin"/>
            </w:r>
            <w:r w:rsidR="00E552E8">
              <w:rPr>
                <w:noProof/>
                <w:webHidden/>
              </w:rPr>
              <w:instrText xml:space="preserve"> PAGEREF _Toc120101375 \h </w:instrText>
            </w:r>
            <w:r w:rsidR="00E552E8">
              <w:rPr>
                <w:noProof/>
                <w:webHidden/>
              </w:rPr>
            </w:r>
            <w:r w:rsidR="00E552E8">
              <w:rPr>
                <w:noProof/>
                <w:webHidden/>
              </w:rPr>
              <w:fldChar w:fldCharType="separate"/>
            </w:r>
            <w:r w:rsidR="00E552E8">
              <w:rPr>
                <w:noProof/>
                <w:webHidden/>
              </w:rPr>
              <w:t>5</w:t>
            </w:r>
            <w:r w:rsidR="00E552E8">
              <w:rPr>
                <w:noProof/>
                <w:webHidden/>
              </w:rPr>
              <w:fldChar w:fldCharType="end"/>
            </w:r>
          </w:hyperlink>
        </w:p>
        <w:p w14:paraId="1943A3D6" w14:textId="7B6CC6A4" w:rsidR="00E552E8" w:rsidRDefault="00364564">
          <w:pPr>
            <w:pStyle w:val="TOC2"/>
            <w:tabs>
              <w:tab w:val="right" w:leader="dot" w:pos="9060"/>
            </w:tabs>
            <w:rPr>
              <w:rFonts w:eastAsiaTheme="minorEastAsia"/>
              <w:noProof/>
              <w:lang w:eastAsia="en-AU"/>
            </w:rPr>
          </w:pPr>
          <w:hyperlink w:anchor="_Toc120101376" w:history="1">
            <w:r w:rsidR="00E552E8" w:rsidRPr="00D5679B">
              <w:rPr>
                <w:rStyle w:val="Hyperlink"/>
                <w:noProof/>
              </w:rPr>
              <w:t>The case for change</w:t>
            </w:r>
            <w:r w:rsidR="00E552E8">
              <w:rPr>
                <w:noProof/>
                <w:webHidden/>
              </w:rPr>
              <w:tab/>
            </w:r>
            <w:r w:rsidR="00E552E8">
              <w:rPr>
                <w:noProof/>
                <w:webHidden/>
              </w:rPr>
              <w:fldChar w:fldCharType="begin"/>
            </w:r>
            <w:r w:rsidR="00E552E8">
              <w:rPr>
                <w:noProof/>
                <w:webHidden/>
              </w:rPr>
              <w:instrText xml:space="preserve"> PAGEREF _Toc120101376 \h </w:instrText>
            </w:r>
            <w:r w:rsidR="00E552E8">
              <w:rPr>
                <w:noProof/>
                <w:webHidden/>
              </w:rPr>
            </w:r>
            <w:r w:rsidR="00E552E8">
              <w:rPr>
                <w:noProof/>
                <w:webHidden/>
              </w:rPr>
              <w:fldChar w:fldCharType="separate"/>
            </w:r>
            <w:r w:rsidR="00E552E8">
              <w:rPr>
                <w:noProof/>
                <w:webHidden/>
              </w:rPr>
              <w:t>6</w:t>
            </w:r>
            <w:r w:rsidR="00E552E8">
              <w:rPr>
                <w:noProof/>
                <w:webHidden/>
              </w:rPr>
              <w:fldChar w:fldCharType="end"/>
            </w:r>
          </w:hyperlink>
        </w:p>
        <w:p w14:paraId="52F0F89F" w14:textId="098988CF" w:rsidR="00E552E8" w:rsidRDefault="00364564">
          <w:pPr>
            <w:pStyle w:val="TOC1"/>
            <w:tabs>
              <w:tab w:val="right" w:leader="dot" w:pos="9060"/>
            </w:tabs>
            <w:rPr>
              <w:rFonts w:eastAsiaTheme="minorEastAsia"/>
              <w:b w:val="0"/>
              <w:noProof/>
              <w:lang w:eastAsia="en-AU"/>
            </w:rPr>
          </w:pPr>
          <w:hyperlink w:anchor="_Toc120101377" w:history="1">
            <w:r w:rsidR="00E552E8" w:rsidRPr="00D5679B">
              <w:rPr>
                <w:rStyle w:val="Hyperlink"/>
                <w:noProof/>
              </w:rPr>
              <w:t>Discussion Topics</w:t>
            </w:r>
            <w:r w:rsidR="00E552E8">
              <w:rPr>
                <w:noProof/>
                <w:webHidden/>
              </w:rPr>
              <w:tab/>
            </w:r>
            <w:r w:rsidR="00E552E8">
              <w:rPr>
                <w:noProof/>
                <w:webHidden/>
              </w:rPr>
              <w:fldChar w:fldCharType="begin"/>
            </w:r>
            <w:r w:rsidR="00E552E8">
              <w:rPr>
                <w:noProof/>
                <w:webHidden/>
              </w:rPr>
              <w:instrText xml:space="preserve"> PAGEREF _Toc120101377 \h </w:instrText>
            </w:r>
            <w:r w:rsidR="00E552E8">
              <w:rPr>
                <w:noProof/>
                <w:webHidden/>
              </w:rPr>
            </w:r>
            <w:r w:rsidR="00E552E8">
              <w:rPr>
                <w:noProof/>
                <w:webHidden/>
              </w:rPr>
              <w:fldChar w:fldCharType="separate"/>
            </w:r>
            <w:r w:rsidR="00E552E8">
              <w:rPr>
                <w:noProof/>
                <w:webHidden/>
              </w:rPr>
              <w:t>8</w:t>
            </w:r>
            <w:r w:rsidR="00E552E8">
              <w:rPr>
                <w:noProof/>
                <w:webHidden/>
              </w:rPr>
              <w:fldChar w:fldCharType="end"/>
            </w:r>
          </w:hyperlink>
        </w:p>
        <w:p w14:paraId="017EC83A" w14:textId="3457F159" w:rsidR="00E552E8" w:rsidRDefault="00364564">
          <w:pPr>
            <w:pStyle w:val="TOC1"/>
            <w:tabs>
              <w:tab w:val="right" w:leader="dot" w:pos="9060"/>
            </w:tabs>
            <w:rPr>
              <w:rFonts w:eastAsiaTheme="minorEastAsia"/>
              <w:b w:val="0"/>
              <w:noProof/>
              <w:lang w:eastAsia="en-AU"/>
            </w:rPr>
          </w:pPr>
          <w:hyperlink w:anchor="_Toc120101378" w:history="1">
            <w:r w:rsidR="00E552E8" w:rsidRPr="00D5679B">
              <w:rPr>
                <w:rStyle w:val="Hyperlink"/>
                <w:noProof/>
              </w:rPr>
              <w:t>A. Design of the Guarantee</w:t>
            </w:r>
            <w:r w:rsidR="00E552E8">
              <w:rPr>
                <w:noProof/>
                <w:webHidden/>
              </w:rPr>
              <w:tab/>
            </w:r>
            <w:r w:rsidR="00E552E8">
              <w:rPr>
                <w:noProof/>
                <w:webHidden/>
              </w:rPr>
              <w:fldChar w:fldCharType="begin"/>
            </w:r>
            <w:r w:rsidR="00E552E8">
              <w:rPr>
                <w:noProof/>
                <w:webHidden/>
              </w:rPr>
              <w:instrText xml:space="preserve"> PAGEREF _Toc120101378 \h </w:instrText>
            </w:r>
            <w:r w:rsidR="00E552E8">
              <w:rPr>
                <w:noProof/>
                <w:webHidden/>
              </w:rPr>
            </w:r>
            <w:r w:rsidR="00E552E8">
              <w:rPr>
                <w:noProof/>
                <w:webHidden/>
              </w:rPr>
              <w:fldChar w:fldCharType="separate"/>
            </w:r>
            <w:r w:rsidR="00E552E8">
              <w:rPr>
                <w:noProof/>
                <w:webHidden/>
              </w:rPr>
              <w:t>9</w:t>
            </w:r>
            <w:r w:rsidR="00E552E8">
              <w:rPr>
                <w:noProof/>
                <w:webHidden/>
              </w:rPr>
              <w:fldChar w:fldCharType="end"/>
            </w:r>
          </w:hyperlink>
        </w:p>
        <w:p w14:paraId="77D41216" w14:textId="4C9BBCE7" w:rsidR="00E552E8" w:rsidRDefault="00364564">
          <w:pPr>
            <w:pStyle w:val="TOC2"/>
            <w:tabs>
              <w:tab w:val="right" w:leader="dot" w:pos="9060"/>
            </w:tabs>
            <w:rPr>
              <w:rFonts w:eastAsiaTheme="minorEastAsia"/>
              <w:noProof/>
              <w:lang w:eastAsia="en-AU"/>
            </w:rPr>
          </w:pPr>
          <w:hyperlink w:anchor="_Toc120101379" w:history="1">
            <w:r w:rsidR="00E552E8" w:rsidRPr="00D5679B">
              <w:rPr>
                <w:rStyle w:val="Hyperlink"/>
                <w:noProof/>
              </w:rPr>
              <w:t>Chapter 1: Types of projects</w:t>
            </w:r>
            <w:r w:rsidR="00E552E8">
              <w:rPr>
                <w:noProof/>
                <w:webHidden/>
              </w:rPr>
              <w:tab/>
            </w:r>
            <w:r w:rsidR="00E552E8">
              <w:rPr>
                <w:noProof/>
                <w:webHidden/>
              </w:rPr>
              <w:fldChar w:fldCharType="begin"/>
            </w:r>
            <w:r w:rsidR="00E552E8">
              <w:rPr>
                <w:noProof/>
                <w:webHidden/>
              </w:rPr>
              <w:instrText xml:space="preserve"> PAGEREF _Toc120101379 \h </w:instrText>
            </w:r>
            <w:r w:rsidR="00E552E8">
              <w:rPr>
                <w:noProof/>
                <w:webHidden/>
              </w:rPr>
            </w:r>
            <w:r w:rsidR="00E552E8">
              <w:rPr>
                <w:noProof/>
                <w:webHidden/>
              </w:rPr>
              <w:fldChar w:fldCharType="separate"/>
            </w:r>
            <w:r w:rsidR="00E552E8">
              <w:rPr>
                <w:noProof/>
                <w:webHidden/>
              </w:rPr>
              <w:t>9</w:t>
            </w:r>
            <w:r w:rsidR="00E552E8">
              <w:rPr>
                <w:noProof/>
                <w:webHidden/>
              </w:rPr>
              <w:fldChar w:fldCharType="end"/>
            </w:r>
          </w:hyperlink>
        </w:p>
        <w:p w14:paraId="1DC6DEF7" w14:textId="0A239447" w:rsidR="00E552E8" w:rsidRDefault="00364564">
          <w:pPr>
            <w:pStyle w:val="TOC2"/>
            <w:tabs>
              <w:tab w:val="right" w:leader="dot" w:pos="9060"/>
            </w:tabs>
            <w:rPr>
              <w:rFonts w:eastAsiaTheme="minorEastAsia"/>
              <w:noProof/>
              <w:lang w:eastAsia="en-AU"/>
            </w:rPr>
          </w:pPr>
          <w:hyperlink w:anchor="_Toc120101380" w:history="1">
            <w:r w:rsidR="00E552E8" w:rsidRPr="00D5679B">
              <w:rPr>
                <w:rStyle w:val="Hyperlink"/>
                <w:noProof/>
              </w:rPr>
              <w:t>Chapter 2: The financial threshold for major projects</w:t>
            </w:r>
            <w:r w:rsidR="00E552E8">
              <w:rPr>
                <w:noProof/>
                <w:webHidden/>
              </w:rPr>
              <w:tab/>
            </w:r>
            <w:r w:rsidR="00E552E8">
              <w:rPr>
                <w:noProof/>
                <w:webHidden/>
              </w:rPr>
              <w:fldChar w:fldCharType="begin"/>
            </w:r>
            <w:r w:rsidR="00E552E8">
              <w:rPr>
                <w:noProof/>
                <w:webHidden/>
              </w:rPr>
              <w:instrText xml:space="preserve"> PAGEREF _Toc120101380 \h </w:instrText>
            </w:r>
            <w:r w:rsidR="00E552E8">
              <w:rPr>
                <w:noProof/>
                <w:webHidden/>
              </w:rPr>
            </w:r>
            <w:r w:rsidR="00E552E8">
              <w:rPr>
                <w:noProof/>
                <w:webHidden/>
              </w:rPr>
              <w:fldChar w:fldCharType="separate"/>
            </w:r>
            <w:r w:rsidR="00E552E8">
              <w:rPr>
                <w:noProof/>
                <w:webHidden/>
              </w:rPr>
              <w:t>12</w:t>
            </w:r>
            <w:r w:rsidR="00E552E8">
              <w:rPr>
                <w:noProof/>
                <w:webHidden/>
              </w:rPr>
              <w:fldChar w:fldCharType="end"/>
            </w:r>
          </w:hyperlink>
        </w:p>
        <w:p w14:paraId="71646A3E" w14:textId="6EE796D4" w:rsidR="00E552E8" w:rsidRDefault="00364564">
          <w:pPr>
            <w:pStyle w:val="TOC2"/>
            <w:tabs>
              <w:tab w:val="right" w:leader="dot" w:pos="9060"/>
            </w:tabs>
            <w:rPr>
              <w:rFonts w:eastAsiaTheme="minorEastAsia"/>
              <w:noProof/>
              <w:lang w:eastAsia="en-AU"/>
            </w:rPr>
          </w:pPr>
          <w:hyperlink w:anchor="_Toc120101381" w:history="1">
            <w:r w:rsidR="00E552E8" w:rsidRPr="00D5679B">
              <w:rPr>
                <w:rStyle w:val="Hyperlink"/>
                <w:noProof/>
              </w:rPr>
              <w:t>Chapter 3: One in 10 target</w:t>
            </w:r>
            <w:r w:rsidR="00E552E8">
              <w:rPr>
                <w:noProof/>
                <w:webHidden/>
              </w:rPr>
              <w:tab/>
            </w:r>
            <w:r w:rsidR="00E552E8">
              <w:rPr>
                <w:noProof/>
                <w:webHidden/>
              </w:rPr>
              <w:fldChar w:fldCharType="begin"/>
            </w:r>
            <w:r w:rsidR="00E552E8">
              <w:rPr>
                <w:noProof/>
                <w:webHidden/>
              </w:rPr>
              <w:instrText xml:space="preserve"> PAGEREF _Toc120101381 \h </w:instrText>
            </w:r>
            <w:r w:rsidR="00E552E8">
              <w:rPr>
                <w:noProof/>
                <w:webHidden/>
              </w:rPr>
            </w:r>
            <w:r w:rsidR="00E552E8">
              <w:rPr>
                <w:noProof/>
                <w:webHidden/>
              </w:rPr>
              <w:fldChar w:fldCharType="separate"/>
            </w:r>
            <w:r w:rsidR="00E552E8">
              <w:rPr>
                <w:noProof/>
                <w:webHidden/>
              </w:rPr>
              <w:t>14</w:t>
            </w:r>
            <w:r w:rsidR="00E552E8">
              <w:rPr>
                <w:noProof/>
                <w:webHidden/>
              </w:rPr>
              <w:fldChar w:fldCharType="end"/>
            </w:r>
          </w:hyperlink>
        </w:p>
        <w:p w14:paraId="344CB56D" w14:textId="30C48406" w:rsidR="00E552E8" w:rsidRDefault="00364564">
          <w:pPr>
            <w:pStyle w:val="TOC2"/>
            <w:tabs>
              <w:tab w:val="right" w:leader="dot" w:pos="9060"/>
            </w:tabs>
            <w:rPr>
              <w:rFonts w:eastAsiaTheme="minorEastAsia"/>
              <w:noProof/>
              <w:lang w:eastAsia="en-AU"/>
            </w:rPr>
          </w:pPr>
          <w:hyperlink w:anchor="_Toc120101382" w:history="1">
            <w:r w:rsidR="00E552E8" w:rsidRPr="00D5679B">
              <w:rPr>
                <w:rStyle w:val="Hyperlink"/>
                <w:noProof/>
              </w:rPr>
              <w:t>Chapter 4: Targets for women</w:t>
            </w:r>
            <w:r w:rsidR="00E552E8">
              <w:rPr>
                <w:noProof/>
                <w:webHidden/>
              </w:rPr>
              <w:tab/>
            </w:r>
            <w:r w:rsidR="00E552E8">
              <w:rPr>
                <w:noProof/>
                <w:webHidden/>
              </w:rPr>
              <w:fldChar w:fldCharType="begin"/>
            </w:r>
            <w:r w:rsidR="00E552E8">
              <w:rPr>
                <w:noProof/>
                <w:webHidden/>
              </w:rPr>
              <w:instrText xml:space="preserve"> PAGEREF _Toc120101382 \h </w:instrText>
            </w:r>
            <w:r w:rsidR="00E552E8">
              <w:rPr>
                <w:noProof/>
                <w:webHidden/>
              </w:rPr>
            </w:r>
            <w:r w:rsidR="00E552E8">
              <w:rPr>
                <w:noProof/>
                <w:webHidden/>
              </w:rPr>
              <w:fldChar w:fldCharType="separate"/>
            </w:r>
            <w:r w:rsidR="00E552E8">
              <w:rPr>
                <w:noProof/>
                <w:webHidden/>
              </w:rPr>
              <w:t>17</w:t>
            </w:r>
            <w:r w:rsidR="00E552E8">
              <w:rPr>
                <w:noProof/>
                <w:webHidden/>
              </w:rPr>
              <w:fldChar w:fldCharType="end"/>
            </w:r>
          </w:hyperlink>
        </w:p>
        <w:p w14:paraId="7DD8D576" w14:textId="3154A296" w:rsidR="00E552E8" w:rsidRDefault="00364564">
          <w:pPr>
            <w:pStyle w:val="TOC1"/>
            <w:tabs>
              <w:tab w:val="right" w:leader="dot" w:pos="9060"/>
            </w:tabs>
            <w:rPr>
              <w:rFonts w:eastAsiaTheme="minorEastAsia"/>
              <w:b w:val="0"/>
              <w:noProof/>
              <w:lang w:eastAsia="en-AU"/>
            </w:rPr>
          </w:pPr>
          <w:hyperlink w:anchor="_Toc120101383" w:history="1">
            <w:r w:rsidR="00E552E8" w:rsidRPr="00D5679B">
              <w:rPr>
                <w:rStyle w:val="Hyperlink"/>
                <w:noProof/>
              </w:rPr>
              <w:t>B. Implementing the Guarantee</w:t>
            </w:r>
            <w:r w:rsidR="00E552E8">
              <w:rPr>
                <w:noProof/>
                <w:webHidden/>
              </w:rPr>
              <w:tab/>
            </w:r>
            <w:r w:rsidR="00E552E8">
              <w:rPr>
                <w:noProof/>
                <w:webHidden/>
              </w:rPr>
              <w:fldChar w:fldCharType="begin"/>
            </w:r>
            <w:r w:rsidR="00E552E8">
              <w:rPr>
                <w:noProof/>
                <w:webHidden/>
              </w:rPr>
              <w:instrText xml:space="preserve"> PAGEREF _Toc120101383 \h </w:instrText>
            </w:r>
            <w:r w:rsidR="00E552E8">
              <w:rPr>
                <w:noProof/>
                <w:webHidden/>
              </w:rPr>
            </w:r>
            <w:r w:rsidR="00E552E8">
              <w:rPr>
                <w:noProof/>
                <w:webHidden/>
              </w:rPr>
              <w:fldChar w:fldCharType="separate"/>
            </w:r>
            <w:r w:rsidR="00E552E8">
              <w:rPr>
                <w:noProof/>
                <w:webHidden/>
              </w:rPr>
              <w:t>20</w:t>
            </w:r>
            <w:r w:rsidR="00E552E8">
              <w:rPr>
                <w:noProof/>
                <w:webHidden/>
              </w:rPr>
              <w:fldChar w:fldCharType="end"/>
            </w:r>
          </w:hyperlink>
        </w:p>
        <w:p w14:paraId="0281F8EC" w14:textId="5260B5D1" w:rsidR="00E552E8" w:rsidRDefault="00364564">
          <w:pPr>
            <w:pStyle w:val="TOC2"/>
            <w:tabs>
              <w:tab w:val="right" w:leader="dot" w:pos="9060"/>
            </w:tabs>
            <w:rPr>
              <w:rFonts w:eastAsiaTheme="minorEastAsia"/>
              <w:noProof/>
              <w:lang w:eastAsia="en-AU"/>
            </w:rPr>
          </w:pPr>
          <w:hyperlink w:anchor="_Toc120101384" w:history="1">
            <w:r w:rsidR="00E552E8" w:rsidRPr="00D5679B">
              <w:rPr>
                <w:rStyle w:val="Hyperlink"/>
                <w:noProof/>
              </w:rPr>
              <w:t>Chapter 5: Implementation approach</w:t>
            </w:r>
            <w:r w:rsidR="00E552E8">
              <w:rPr>
                <w:noProof/>
                <w:webHidden/>
              </w:rPr>
              <w:tab/>
            </w:r>
            <w:r w:rsidR="00E552E8">
              <w:rPr>
                <w:noProof/>
                <w:webHidden/>
              </w:rPr>
              <w:fldChar w:fldCharType="begin"/>
            </w:r>
            <w:r w:rsidR="00E552E8">
              <w:rPr>
                <w:noProof/>
                <w:webHidden/>
              </w:rPr>
              <w:instrText xml:space="preserve"> PAGEREF _Toc120101384 \h </w:instrText>
            </w:r>
            <w:r w:rsidR="00E552E8">
              <w:rPr>
                <w:noProof/>
                <w:webHidden/>
              </w:rPr>
            </w:r>
            <w:r w:rsidR="00E552E8">
              <w:rPr>
                <w:noProof/>
                <w:webHidden/>
              </w:rPr>
              <w:fldChar w:fldCharType="separate"/>
            </w:r>
            <w:r w:rsidR="00E552E8">
              <w:rPr>
                <w:noProof/>
                <w:webHidden/>
              </w:rPr>
              <w:t>20</w:t>
            </w:r>
            <w:r w:rsidR="00E552E8">
              <w:rPr>
                <w:noProof/>
                <w:webHidden/>
              </w:rPr>
              <w:fldChar w:fldCharType="end"/>
            </w:r>
          </w:hyperlink>
        </w:p>
        <w:p w14:paraId="4F371C52" w14:textId="632D7B32" w:rsidR="00E552E8" w:rsidRDefault="00364564">
          <w:pPr>
            <w:pStyle w:val="TOC2"/>
            <w:tabs>
              <w:tab w:val="right" w:leader="dot" w:pos="9060"/>
            </w:tabs>
            <w:rPr>
              <w:rFonts w:eastAsiaTheme="minorEastAsia"/>
              <w:noProof/>
              <w:lang w:eastAsia="en-AU"/>
            </w:rPr>
          </w:pPr>
          <w:hyperlink w:anchor="_Toc120101385" w:history="1">
            <w:r w:rsidR="00E552E8" w:rsidRPr="00D5679B">
              <w:rPr>
                <w:rStyle w:val="Hyperlink"/>
                <w:noProof/>
              </w:rPr>
              <w:t>Chapter 6: Managing performance</w:t>
            </w:r>
            <w:r w:rsidR="00E552E8">
              <w:rPr>
                <w:noProof/>
                <w:webHidden/>
              </w:rPr>
              <w:tab/>
            </w:r>
            <w:r w:rsidR="00E552E8">
              <w:rPr>
                <w:noProof/>
                <w:webHidden/>
              </w:rPr>
              <w:fldChar w:fldCharType="begin"/>
            </w:r>
            <w:r w:rsidR="00E552E8">
              <w:rPr>
                <w:noProof/>
                <w:webHidden/>
              </w:rPr>
              <w:instrText xml:space="preserve"> PAGEREF _Toc120101385 \h </w:instrText>
            </w:r>
            <w:r w:rsidR="00E552E8">
              <w:rPr>
                <w:noProof/>
                <w:webHidden/>
              </w:rPr>
            </w:r>
            <w:r w:rsidR="00E552E8">
              <w:rPr>
                <w:noProof/>
                <w:webHidden/>
              </w:rPr>
              <w:fldChar w:fldCharType="separate"/>
            </w:r>
            <w:r w:rsidR="00E552E8">
              <w:rPr>
                <w:noProof/>
                <w:webHidden/>
              </w:rPr>
              <w:t>22</w:t>
            </w:r>
            <w:r w:rsidR="00E552E8">
              <w:rPr>
                <w:noProof/>
                <w:webHidden/>
              </w:rPr>
              <w:fldChar w:fldCharType="end"/>
            </w:r>
          </w:hyperlink>
        </w:p>
        <w:p w14:paraId="1046648A" w14:textId="0F6FC740" w:rsidR="00E552E8" w:rsidRDefault="00364564">
          <w:pPr>
            <w:pStyle w:val="TOC2"/>
            <w:tabs>
              <w:tab w:val="right" w:leader="dot" w:pos="9060"/>
            </w:tabs>
            <w:rPr>
              <w:rFonts w:eastAsiaTheme="minorEastAsia"/>
              <w:noProof/>
              <w:lang w:eastAsia="en-AU"/>
            </w:rPr>
          </w:pPr>
          <w:hyperlink w:anchor="_Toc120101386" w:history="1">
            <w:r w:rsidR="00E552E8" w:rsidRPr="00D5679B">
              <w:rPr>
                <w:rStyle w:val="Hyperlink"/>
                <w:noProof/>
              </w:rPr>
              <w:t>Chapter 7: Roles and responsibilities</w:t>
            </w:r>
            <w:r w:rsidR="00E552E8">
              <w:rPr>
                <w:noProof/>
                <w:webHidden/>
              </w:rPr>
              <w:tab/>
            </w:r>
            <w:r w:rsidR="00E552E8">
              <w:rPr>
                <w:noProof/>
                <w:webHidden/>
              </w:rPr>
              <w:fldChar w:fldCharType="begin"/>
            </w:r>
            <w:r w:rsidR="00E552E8">
              <w:rPr>
                <w:noProof/>
                <w:webHidden/>
              </w:rPr>
              <w:instrText xml:space="preserve"> PAGEREF _Toc120101386 \h </w:instrText>
            </w:r>
            <w:r w:rsidR="00E552E8">
              <w:rPr>
                <w:noProof/>
                <w:webHidden/>
              </w:rPr>
            </w:r>
            <w:r w:rsidR="00E552E8">
              <w:rPr>
                <w:noProof/>
                <w:webHidden/>
              </w:rPr>
              <w:fldChar w:fldCharType="separate"/>
            </w:r>
            <w:r w:rsidR="00E552E8">
              <w:rPr>
                <w:noProof/>
                <w:webHidden/>
              </w:rPr>
              <w:t>24</w:t>
            </w:r>
            <w:r w:rsidR="00E552E8">
              <w:rPr>
                <w:noProof/>
                <w:webHidden/>
              </w:rPr>
              <w:fldChar w:fldCharType="end"/>
            </w:r>
          </w:hyperlink>
        </w:p>
        <w:p w14:paraId="778BB814" w14:textId="6A58090C" w:rsidR="00E552E8" w:rsidRDefault="00364564">
          <w:pPr>
            <w:pStyle w:val="TOC1"/>
            <w:tabs>
              <w:tab w:val="right" w:leader="dot" w:pos="9060"/>
            </w:tabs>
            <w:rPr>
              <w:rFonts w:eastAsiaTheme="minorEastAsia"/>
              <w:b w:val="0"/>
              <w:noProof/>
              <w:lang w:eastAsia="en-AU"/>
            </w:rPr>
          </w:pPr>
          <w:hyperlink w:anchor="_Toc120101387" w:history="1">
            <w:r w:rsidR="00E552E8" w:rsidRPr="00D5679B">
              <w:rPr>
                <w:rStyle w:val="Hyperlink"/>
                <w:noProof/>
              </w:rPr>
              <w:t>C. Initiatives to support women in VET</w:t>
            </w:r>
            <w:r w:rsidR="00E552E8">
              <w:rPr>
                <w:noProof/>
                <w:webHidden/>
              </w:rPr>
              <w:tab/>
            </w:r>
            <w:r w:rsidR="00E552E8">
              <w:rPr>
                <w:noProof/>
                <w:webHidden/>
              </w:rPr>
              <w:fldChar w:fldCharType="begin"/>
            </w:r>
            <w:r w:rsidR="00E552E8">
              <w:rPr>
                <w:noProof/>
                <w:webHidden/>
              </w:rPr>
              <w:instrText xml:space="preserve"> PAGEREF _Toc120101387 \h </w:instrText>
            </w:r>
            <w:r w:rsidR="00E552E8">
              <w:rPr>
                <w:noProof/>
                <w:webHidden/>
              </w:rPr>
            </w:r>
            <w:r w:rsidR="00E552E8">
              <w:rPr>
                <w:noProof/>
                <w:webHidden/>
              </w:rPr>
              <w:fldChar w:fldCharType="separate"/>
            </w:r>
            <w:r w:rsidR="00E552E8">
              <w:rPr>
                <w:noProof/>
                <w:webHidden/>
              </w:rPr>
              <w:t>26</w:t>
            </w:r>
            <w:r w:rsidR="00E552E8">
              <w:rPr>
                <w:noProof/>
                <w:webHidden/>
              </w:rPr>
              <w:fldChar w:fldCharType="end"/>
            </w:r>
          </w:hyperlink>
        </w:p>
        <w:p w14:paraId="4621CF13" w14:textId="7A38C95D" w:rsidR="00E552E8" w:rsidRDefault="00364564">
          <w:pPr>
            <w:pStyle w:val="TOC2"/>
            <w:tabs>
              <w:tab w:val="right" w:leader="dot" w:pos="9060"/>
            </w:tabs>
            <w:rPr>
              <w:rFonts w:eastAsiaTheme="minorEastAsia"/>
              <w:noProof/>
              <w:lang w:eastAsia="en-AU"/>
            </w:rPr>
          </w:pPr>
          <w:hyperlink w:anchor="_Toc120101388" w:history="1">
            <w:r w:rsidR="00E552E8" w:rsidRPr="00D5679B">
              <w:rPr>
                <w:rStyle w:val="Hyperlink"/>
                <w:noProof/>
              </w:rPr>
              <w:t>Chapter 8: Supporting women to achieve careers via VET pathways</w:t>
            </w:r>
            <w:r w:rsidR="00E552E8">
              <w:rPr>
                <w:noProof/>
                <w:webHidden/>
              </w:rPr>
              <w:tab/>
            </w:r>
            <w:r w:rsidR="00E552E8">
              <w:rPr>
                <w:noProof/>
                <w:webHidden/>
              </w:rPr>
              <w:fldChar w:fldCharType="begin"/>
            </w:r>
            <w:r w:rsidR="00E552E8">
              <w:rPr>
                <w:noProof/>
                <w:webHidden/>
              </w:rPr>
              <w:instrText xml:space="preserve"> PAGEREF _Toc120101388 \h </w:instrText>
            </w:r>
            <w:r w:rsidR="00E552E8">
              <w:rPr>
                <w:noProof/>
                <w:webHidden/>
              </w:rPr>
            </w:r>
            <w:r w:rsidR="00E552E8">
              <w:rPr>
                <w:noProof/>
                <w:webHidden/>
              </w:rPr>
              <w:fldChar w:fldCharType="separate"/>
            </w:r>
            <w:r w:rsidR="00E552E8">
              <w:rPr>
                <w:noProof/>
                <w:webHidden/>
              </w:rPr>
              <w:t>26</w:t>
            </w:r>
            <w:r w:rsidR="00E552E8">
              <w:rPr>
                <w:noProof/>
                <w:webHidden/>
              </w:rPr>
              <w:fldChar w:fldCharType="end"/>
            </w:r>
          </w:hyperlink>
        </w:p>
        <w:p w14:paraId="1A11F6D4" w14:textId="29887AD0" w:rsidR="00E552E8" w:rsidRDefault="00364564">
          <w:pPr>
            <w:pStyle w:val="TOC1"/>
            <w:tabs>
              <w:tab w:val="right" w:leader="dot" w:pos="9060"/>
            </w:tabs>
            <w:rPr>
              <w:rFonts w:eastAsiaTheme="minorEastAsia"/>
              <w:b w:val="0"/>
              <w:noProof/>
              <w:lang w:eastAsia="en-AU"/>
            </w:rPr>
          </w:pPr>
          <w:hyperlink w:anchor="_Toc120101389" w:history="1">
            <w:r w:rsidR="00E552E8" w:rsidRPr="00D5679B">
              <w:rPr>
                <w:rStyle w:val="Hyperlink"/>
                <w:noProof/>
              </w:rPr>
              <w:t>Next steps</w:t>
            </w:r>
            <w:r w:rsidR="00E552E8">
              <w:rPr>
                <w:noProof/>
                <w:webHidden/>
              </w:rPr>
              <w:tab/>
            </w:r>
            <w:r w:rsidR="00E552E8">
              <w:rPr>
                <w:noProof/>
                <w:webHidden/>
              </w:rPr>
              <w:fldChar w:fldCharType="begin"/>
            </w:r>
            <w:r w:rsidR="00E552E8">
              <w:rPr>
                <w:noProof/>
                <w:webHidden/>
              </w:rPr>
              <w:instrText xml:space="preserve"> PAGEREF _Toc120101389 \h </w:instrText>
            </w:r>
            <w:r w:rsidR="00E552E8">
              <w:rPr>
                <w:noProof/>
                <w:webHidden/>
              </w:rPr>
            </w:r>
            <w:r w:rsidR="00E552E8">
              <w:rPr>
                <w:noProof/>
                <w:webHidden/>
              </w:rPr>
              <w:fldChar w:fldCharType="separate"/>
            </w:r>
            <w:r w:rsidR="00E552E8">
              <w:rPr>
                <w:noProof/>
                <w:webHidden/>
              </w:rPr>
              <w:t>28</w:t>
            </w:r>
            <w:r w:rsidR="00E552E8">
              <w:rPr>
                <w:noProof/>
                <w:webHidden/>
              </w:rPr>
              <w:fldChar w:fldCharType="end"/>
            </w:r>
          </w:hyperlink>
        </w:p>
        <w:p w14:paraId="3E36DE36" w14:textId="182300D6" w:rsidR="00E552E8" w:rsidRDefault="00364564">
          <w:pPr>
            <w:pStyle w:val="TOC1"/>
            <w:tabs>
              <w:tab w:val="right" w:leader="dot" w:pos="9060"/>
            </w:tabs>
            <w:rPr>
              <w:rFonts w:eastAsiaTheme="minorEastAsia"/>
              <w:b w:val="0"/>
              <w:noProof/>
              <w:lang w:eastAsia="en-AU"/>
            </w:rPr>
          </w:pPr>
          <w:hyperlink w:anchor="_Toc120101390" w:history="1">
            <w:r w:rsidR="00E552E8" w:rsidRPr="00D5679B">
              <w:rPr>
                <w:rStyle w:val="Hyperlink"/>
                <w:noProof/>
              </w:rPr>
              <w:t>Summary of discussion questions</w:t>
            </w:r>
            <w:r w:rsidR="00E552E8">
              <w:rPr>
                <w:noProof/>
                <w:webHidden/>
              </w:rPr>
              <w:tab/>
            </w:r>
            <w:r w:rsidR="00E552E8">
              <w:rPr>
                <w:noProof/>
                <w:webHidden/>
              </w:rPr>
              <w:fldChar w:fldCharType="begin"/>
            </w:r>
            <w:r w:rsidR="00E552E8">
              <w:rPr>
                <w:noProof/>
                <w:webHidden/>
              </w:rPr>
              <w:instrText xml:space="preserve"> PAGEREF _Toc120101390 \h </w:instrText>
            </w:r>
            <w:r w:rsidR="00E552E8">
              <w:rPr>
                <w:noProof/>
                <w:webHidden/>
              </w:rPr>
            </w:r>
            <w:r w:rsidR="00E552E8">
              <w:rPr>
                <w:noProof/>
                <w:webHidden/>
              </w:rPr>
              <w:fldChar w:fldCharType="separate"/>
            </w:r>
            <w:r w:rsidR="00E552E8">
              <w:rPr>
                <w:noProof/>
                <w:webHidden/>
              </w:rPr>
              <w:t>28</w:t>
            </w:r>
            <w:r w:rsidR="00E552E8">
              <w:rPr>
                <w:noProof/>
                <w:webHidden/>
              </w:rPr>
              <w:fldChar w:fldCharType="end"/>
            </w:r>
          </w:hyperlink>
        </w:p>
        <w:p w14:paraId="59F78420" w14:textId="42D5C685" w:rsidR="00E552E8" w:rsidRDefault="00364564">
          <w:pPr>
            <w:pStyle w:val="TOC1"/>
            <w:tabs>
              <w:tab w:val="right" w:leader="dot" w:pos="9060"/>
            </w:tabs>
            <w:rPr>
              <w:rFonts w:eastAsiaTheme="minorEastAsia"/>
              <w:b w:val="0"/>
              <w:noProof/>
              <w:lang w:eastAsia="en-AU"/>
            </w:rPr>
          </w:pPr>
          <w:hyperlink w:anchor="_Toc120101391" w:history="1">
            <w:r w:rsidR="00E552E8" w:rsidRPr="00D5679B">
              <w:rPr>
                <w:rStyle w:val="Hyperlink"/>
                <w:noProof/>
              </w:rPr>
              <w:t>Appendices</w:t>
            </w:r>
            <w:r w:rsidR="00E552E8">
              <w:rPr>
                <w:noProof/>
                <w:webHidden/>
              </w:rPr>
              <w:tab/>
            </w:r>
            <w:r w:rsidR="00E552E8">
              <w:rPr>
                <w:noProof/>
                <w:webHidden/>
              </w:rPr>
              <w:fldChar w:fldCharType="begin"/>
            </w:r>
            <w:r w:rsidR="00E552E8">
              <w:rPr>
                <w:noProof/>
                <w:webHidden/>
              </w:rPr>
              <w:instrText xml:space="preserve"> PAGEREF _Toc120101391 \h </w:instrText>
            </w:r>
            <w:r w:rsidR="00E552E8">
              <w:rPr>
                <w:noProof/>
                <w:webHidden/>
              </w:rPr>
            </w:r>
            <w:r w:rsidR="00E552E8">
              <w:rPr>
                <w:noProof/>
                <w:webHidden/>
              </w:rPr>
              <w:fldChar w:fldCharType="separate"/>
            </w:r>
            <w:r w:rsidR="00E552E8">
              <w:rPr>
                <w:noProof/>
                <w:webHidden/>
              </w:rPr>
              <w:t>31</w:t>
            </w:r>
            <w:r w:rsidR="00E552E8">
              <w:rPr>
                <w:noProof/>
                <w:webHidden/>
              </w:rPr>
              <w:fldChar w:fldCharType="end"/>
            </w:r>
          </w:hyperlink>
        </w:p>
        <w:p w14:paraId="0794968C" w14:textId="325C0C69" w:rsidR="00E552E8" w:rsidRDefault="00364564">
          <w:pPr>
            <w:pStyle w:val="TOC2"/>
            <w:tabs>
              <w:tab w:val="right" w:leader="dot" w:pos="9060"/>
            </w:tabs>
            <w:rPr>
              <w:rFonts w:eastAsiaTheme="minorEastAsia"/>
              <w:noProof/>
              <w:lang w:eastAsia="en-AU"/>
            </w:rPr>
          </w:pPr>
          <w:hyperlink w:anchor="_Toc120101392" w:history="1">
            <w:r w:rsidR="00E552E8" w:rsidRPr="00D5679B">
              <w:rPr>
                <w:rStyle w:val="Hyperlink"/>
                <w:noProof/>
              </w:rPr>
              <w:t>Appendix A: Glossary of terms</w:t>
            </w:r>
            <w:r w:rsidR="00E552E8">
              <w:rPr>
                <w:noProof/>
                <w:webHidden/>
              </w:rPr>
              <w:tab/>
            </w:r>
            <w:r w:rsidR="00E552E8">
              <w:rPr>
                <w:noProof/>
                <w:webHidden/>
              </w:rPr>
              <w:fldChar w:fldCharType="begin"/>
            </w:r>
            <w:r w:rsidR="00E552E8">
              <w:rPr>
                <w:noProof/>
                <w:webHidden/>
              </w:rPr>
              <w:instrText xml:space="preserve"> PAGEREF _Toc120101392 \h </w:instrText>
            </w:r>
            <w:r w:rsidR="00E552E8">
              <w:rPr>
                <w:noProof/>
                <w:webHidden/>
              </w:rPr>
            </w:r>
            <w:r w:rsidR="00E552E8">
              <w:rPr>
                <w:noProof/>
                <w:webHidden/>
              </w:rPr>
              <w:fldChar w:fldCharType="separate"/>
            </w:r>
            <w:r w:rsidR="00E552E8">
              <w:rPr>
                <w:noProof/>
                <w:webHidden/>
              </w:rPr>
              <w:t>32</w:t>
            </w:r>
            <w:r w:rsidR="00E552E8">
              <w:rPr>
                <w:noProof/>
                <w:webHidden/>
              </w:rPr>
              <w:fldChar w:fldCharType="end"/>
            </w:r>
          </w:hyperlink>
        </w:p>
        <w:p w14:paraId="6A6020F2" w14:textId="41337289" w:rsidR="00E552E8" w:rsidRDefault="00364564">
          <w:pPr>
            <w:pStyle w:val="TOC2"/>
            <w:tabs>
              <w:tab w:val="right" w:leader="dot" w:pos="9060"/>
            </w:tabs>
            <w:rPr>
              <w:rFonts w:eastAsiaTheme="minorEastAsia"/>
              <w:noProof/>
              <w:lang w:eastAsia="en-AU"/>
            </w:rPr>
          </w:pPr>
          <w:hyperlink w:anchor="_Toc120101393" w:history="1">
            <w:r w:rsidR="00E552E8" w:rsidRPr="00D5679B">
              <w:rPr>
                <w:rStyle w:val="Hyperlink"/>
                <w:noProof/>
              </w:rPr>
              <w:t>Appendix B: Existing state and territory government targets for apprentices, trainees and cadets</w:t>
            </w:r>
            <w:r w:rsidR="00E552E8">
              <w:rPr>
                <w:noProof/>
                <w:webHidden/>
              </w:rPr>
              <w:tab/>
            </w:r>
            <w:r w:rsidR="00E552E8">
              <w:rPr>
                <w:noProof/>
                <w:webHidden/>
              </w:rPr>
              <w:fldChar w:fldCharType="begin"/>
            </w:r>
            <w:r w:rsidR="00E552E8">
              <w:rPr>
                <w:noProof/>
                <w:webHidden/>
              </w:rPr>
              <w:instrText xml:space="preserve"> PAGEREF _Toc120101393 \h </w:instrText>
            </w:r>
            <w:r w:rsidR="00E552E8">
              <w:rPr>
                <w:noProof/>
                <w:webHidden/>
              </w:rPr>
            </w:r>
            <w:r w:rsidR="00E552E8">
              <w:rPr>
                <w:noProof/>
                <w:webHidden/>
              </w:rPr>
              <w:fldChar w:fldCharType="separate"/>
            </w:r>
            <w:r w:rsidR="00E552E8">
              <w:rPr>
                <w:noProof/>
                <w:webHidden/>
              </w:rPr>
              <w:t>34</w:t>
            </w:r>
            <w:r w:rsidR="00E552E8">
              <w:rPr>
                <w:noProof/>
                <w:webHidden/>
              </w:rPr>
              <w:fldChar w:fldCharType="end"/>
            </w:r>
          </w:hyperlink>
        </w:p>
        <w:p w14:paraId="0EAD83CE" w14:textId="04DCC493" w:rsidR="007855CC" w:rsidRPr="0095636C" w:rsidRDefault="005C4D95" w:rsidP="0095636C">
          <w:r>
            <w:rPr>
              <w:rFonts w:ascii="Calibri" w:eastAsiaTheme="majorEastAsia" w:hAnsi="Calibri" w:cstheme="majorBidi"/>
              <w:color w:val="343741"/>
              <w:sz w:val="32"/>
              <w:szCs w:val="32"/>
              <w:shd w:val="clear" w:color="auto" w:fill="E6E6E6"/>
            </w:rPr>
            <w:fldChar w:fldCharType="end"/>
          </w:r>
        </w:p>
      </w:sdtContent>
    </w:sdt>
    <w:p w14:paraId="31A63E98" w14:textId="77777777" w:rsidR="007855CC" w:rsidRPr="0095636C" w:rsidRDefault="007855CC" w:rsidP="0095636C">
      <w:r>
        <w:br w:type="page"/>
      </w:r>
    </w:p>
    <w:p w14:paraId="3C426275" w14:textId="1CFDDBE0" w:rsidR="00FD52C1" w:rsidRDefault="00FD52C1" w:rsidP="00FD52C1">
      <w:pPr>
        <w:pStyle w:val="Heading1"/>
      </w:pPr>
      <w:bookmarkStart w:id="1" w:name="_Toc255464226"/>
      <w:bookmarkStart w:id="2" w:name="_Toc987009077"/>
      <w:bookmarkStart w:id="3" w:name="_Toc1610596300"/>
      <w:bookmarkStart w:id="4" w:name="_Toc173713448"/>
      <w:bookmarkStart w:id="5" w:name="_Toc530241751"/>
      <w:bookmarkStart w:id="6" w:name="_Toc127715639"/>
      <w:bookmarkStart w:id="7" w:name="_Toc993761639"/>
      <w:bookmarkStart w:id="8" w:name="_Toc1474039732"/>
      <w:bookmarkStart w:id="9" w:name="_Toc313774463"/>
      <w:bookmarkStart w:id="10" w:name="_Toc1914305425"/>
      <w:bookmarkStart w:id="11" w:name="_Toc117246133"/>
      <w:bookmarkStart w:id="12" w:name="_Toc120101370"/>
      <w:r>
        <w:t xml:space="preserve">Acknowledgement of </w:t>
      </w:r>
      <w:r w:rsidR="00596966">
        <w:t>C</w:t>
      </w:r>
      <w:r>
        <w:t>ountry</w:t>
      </w:r>
      <w:bookmarkEnd w:id="1"/>
      <w:bookmarkEnd w:id="2"/>
      <w:bookmarkEnd w:id="3"/>
      <w:bookmarkEnd w:id="4"/>
      <w:bookmarkEnd w:id="5"/>
      <w:bookmarkEnd w:id="6"/>
      <w:bookmarkEnd w:id="7"/>
      <w:bookmarkEnd w:id="8"/>
      <w:bookmarkEnd w:id="9"/>
      <w:bookmarkEnd w:id="10"/>
      <w:bookmarkEnd w:id="11"/>
      <w:bookmarkEnd w:id="12"/>
    </w:p>
    <w:p w14:paraId="59C7FC91" w14:textId="7A9899E9" w:rsidR="00FD52C1" w:rsidRPr="008F40CF" w:rsidRDefault="00FD52C1" w:rsidP="00FD52C1">
      <w:r>
        <w:t>The Department of Employment and Workplace Relations (the department) acknowledges the traditional owners of Country throughout Australia on which we gather, live, work and stand. We acknowledge all traditional custodians, their Elders past</w:t>
      </w:r>
      <w:r w:rsidR="00B87318">
        <w:t xml:space="preserve"> and</w:t>
      </w:r>
      <w:r>
        <w:t xml:space="preserve"> present</w:t>
      </w:r>
      <w:r w:rsidR="00B01E6D">
        <w:t>,</w:t>
      </w:r>
      <w:r>
        <w:t xml:space="preserve"> and we pay our respects to their continuing connection to their culture, community, land, sea and water.</w:t>
      </w:r>
    </w:p>
    <w:p w14:paraId="68312D40" w14:textId="77777777" w:rsidR="00FD52C1" w:rsidRDefault="00FD52C1" w:rsidP="00FD52C1">
      <w:pPr>
        <w:pStyle w:val="Heading1"/>
      </w:pPr>
      <w:bookmarkStart w:id="13" w:name="_Toc422897815"/>
      <w:bookmarkStart w:id="14" w:name="_Toc1091602587"/>
      <w:bookmarkStart w:id="15" w:name="_Toc715683137"/>
      <w:bookmarkStart w:id="16" w:name="_Toc733950152"/>
      <w:bookmarkStart w:id="17" w:name="_Toc1874569534"/>
      <w:bookmarkStart w:id="18" w:name="_Toc738485492"/>
      <w:bookmarkStart w:id="19" w:name="_Toc1936671096"/>
      <w:bookmarkStart w:id="20" w:name="_Toc1789034201"/>
      <w:bookmarkStart w:id="21" w:name="_Toc1338127769"/>
      <w:bookmarkStart w:id="22" w:name="_Toc514966178"/>
      <w:bookmarkStart w:id="23" w:name="_Toc117246134"/>
      <w:bookmarkStart w:id="24" w:name="_Toc120101371"/>
      <w:r>
        <w:t>Have your say</w:t>
      </w:r>
      <w:bookmarkEnd w:id="13"/>
      <w:bookmarkEnd w:id="14"/>
      <w:bookmarkEnd w:id="15"/>
      <w:bookmarkEnd w:id="16"/>
      <w:bookmarkEnd w:id="17"/>
      <w:bookmarkEnd w:id="18"/>
      <w:bookmarkEnd w:id="19"/>
      <w:bookmarkEnd w:id="20"/>
      <w:bookmarkEnd w:id="21"/>
      <w:bookmarkEnd w:id="22"/>
      <w:bookmarkEnd w:id="23"/>
      <w:bookmarkEnd w:id="24"/>
    </w:p>
    <w:p w14:paraId="41A1E3A4" w14:textId="4B558192" w:rsidR="00FD52C1" w:rsidRDefault="00FD52C1" w:rsidP="00FD52C1">
      <w:r>
        <w:t>Public consultation on this discussion paper is an opportunity to work together on options to achieve the Australian Government’s (the Government’s) Australian Skills Guarantee (the Guarantee). The discussion paper reflects the department’s preliminary views and is not Government policy. Responses to this discussion paper will help the department understand what is important for the design and implementation of the Guarantee. All views and comments are welcome.</w:t>
      </w:r>
    </w:p>
    <w:p w14:paraId="7AA6D9ED" w14:textId="77777777" w:rsidR="00FD52C1" w:rsidRDefault="00FD52C1" w:rsidP="00FD52C1">
      <w:pPr>
        <w:pStyle w:val="Heading2"/>
      </w:pPr>
      <w:bookmarkStart w:id="25" w:name="_Toc1328734655"/>
      <w:bookmarkStart w:id="26" w:name="_Toc1268307358"/>
      <w:bookmarkStart w:id="27" w:name="_Toc48628259"/>
      <w:bookmarkStart w:id="28" w:name="_Toc1982368563"/>
      <w:bookmarkStart w:id="29" w:name="_Toc1420101995"/>
      <w:bookmarkStart w:id="30" w:name="_Toc1098019546"/>
      <w:bookmarkStart w:id="31" w:name="_Toc988147131"/>
      <w:bookmarkStart w:id="32" w:name="_Toc1120374313"/>
      <w:bookmarkStart w:id="33" w:name="_Toc1951458271"/>
      <w:bookmarkStart w:id="34" w:name="_Toc908885864"/>
      <w:bookmarkStart w:id="35" w:name="_Toc117246135"/>
      <w:bookmarkStart w:id="36" w:name="_Toc120101372"/>
      <w:r>
        <w:t>Key dates</w:t>
      </w:r>
      <w:bookmarkEnd w:id="25"/>
      <w:bookmarkEnd w:id="26"/>
      <w:bookmarkEnd w:id="27"/>
      <w:bookmarkEnd w:id="28"/>
      <w:bookmarkEnd w:id="29"/>
      <w:bookmarkEnd w:id="30"/>
      <w:bookmarkEnd w:id="31"/>
      <w:bookmarkEnd w:id="32"/>
      <w:bookmarkEnd w:id="33"/>
      <w:bookmarkEnd w:id="34"/>
      <w:bookmarkEnd w:id="35"/>
      <w:bookmarkEnd w:id="36"/>
    </w:p>
    <w:p w14:paraId="6FD6B284" w14:textId="0A61603A" w:rsidR="001468EA" w:rsidRDefault="001468EA" w:rsidP="001468EA">
      <w:pPr>
        <w:pStyle w:val="ListParagraph"/>
        <w:numPr>
          <w:ilvl w:val="0"/>
          <w:numId w:val="30"/>
        </w:numPr>
      </w:pPr>
      <w:r>
        <w:t xml:space="preserve">Discussion paper released on </w:t>
      </w:r>
      <w:r w:rsidR="001666BD">
        <w:t>23</w:t>
      </w:r>
      <w:r w:rsidR="001552BE">
        <w:t xml:space="preserve"> </w:t>
      </w:r>
      <w:r w:rsidR="00590878">
        <w:t>November 2022</w:t>
      </w:r>
    </w:p>
    <w:p w14:paraId="4947CB59" w14:textId="2EFCF1B5" w:rsidR="00590878" w:rsidRDefault="00590878" w:rsidP="001468EA">
      <w:pPr>
        <w:pStyle w:val="ListParagraph"/>
        <w:numPr>
          <w:ilvl w:val="0"/>
          <w:numId w:val="30"/>
        </w:numPr>
      </w:pPr>
      <w:r>
        <w:t xml:space="preserve">Consultation throughout November </w:t>
      </w:r>
      <w:r w:rsidR="005C6AB8">
        <w:t>and December 2022</w:t>
      </w:r>
    </w:p>
    <w:p w14:paraId="666EAD10" w14:textId="6C2DF0E7" w:rsidR="0061070E" w:rsidRDefault="0061070E" w:rsidP="001468EA">
      <w:pPr>
        <w:pStyle w:val="ListParagraph"/>
        <w:numPr>
          <w:ilvl w:val="0"/>
          <w:numId w:val="30"/>
        </w:numPr>
      </w:pPr>
      <w:r>
        <w:t xml:space="preserve">Submissions close </w:t>
      </w:r>
      <w:r w:rsidR="00C1188C">
        <w:t xml:space="preserve">5pm AEDT </w:t>
      </w:r>
      <w:r w:rsidR="00DF7EE5">
        <w:t>22</w:t>
      </w:r>
      <w:r w:rsidR="00C4134E">
        <w:t xml:space="preserve"> </w:t>
      </w:r>
      <w:r>
        <w:t>December 2022</w:t>
      </w:r>
    </w:p>
    <w:p w14:paraId="5BDD282C" w14:textId="5C90588A" w:rsidR="0061070E" w:rsidRPr="001468EA" w:rsidRDefault="0061070E" w:rsidP="4AE95599">
      <w:pPr>
        <w:pStyle w:val="ListParagraph"/>
        <w:numPr>
          <w:ilvl w:val="0"/>
          <w:numId w:val="30"/>
        </w:numPr>
      </w:pPr>
      <w:r>
        <w:t xml:space="preserve">Policy design and </w:t>
      </w:r>
      <w:r w:rsidR="0019268E">
        <w:t xml:space="preserve">implementation </w:t>
      </w:r>
      <w:r w:rsidR="003F55AD">
        <w:t>2023 onwards</w:t>
      </w:r>
      <w:r w:rsidR="003754AB">
        <w:t>.</w:t>
      </w:r>
    </w:p>
    <w:p w14:paraId="0A030EEC" w14:textId="77777777" w:rsidR="00FD52C1" w:rsidRDefault="00FD52C1" w:rsidP="00FD52C1">
      <w:pPr>
        <w:pStyle w:val="Heading2"/>
      </w:pPr>
      <w:bookmarkStart w:id="37" w:name="_Toc1730848547"/>
      <w:bookmarkStart w:id="38" w:name="_Toc2097148631"/>
      <w:bookmarkStart w:id="39" w:name="_Toc910251538"/>
      <w:bookmarkStart w:id="40" w:name="_Toc1563223153"/>
      <w:bookmarkStart w:id="41" w:name="_Toc540068180"/>
      <w:bookmarkStart w:id="42" w:name="_Toc1310621832"/>
      <w:bookmarkStart w:id="43" w:name="_Toc1179453249"/>
      <w:bookmarkStart w:id="44" w:name="_Toc704947828"/>
      <w:bookmarkStart w:id="45" w:name="_Toc1627564230"/>
      <w:bookmarkStart w:id="46" w:name="_Toc1803391228"/>
      <w:bookmarkStart w:id="47" w:name="_Toc117246136"/>
      <w:bookmarkStart w:id="48" w:name="_Toc120101373"/>
      <w:r>
        <w:t>How to make a submission</w:t>
      </w:r>
      <w:bookmarkEnd w:id="37"/>
      <w:bookmarkEnd w:id="38"/>
      <w:bookmarkEnd w:id="39"/>
      <w:bookmarkEnd w:id="40"/>
      <w:bookmarkEnd w:id="41"/>
      <w:bookmarkEnd w:id="42"/>
      <w:bookmarkEnd w:id="43"/>
      <w:bookmarkEnd w:id="44"/>
      <w:bookmarkEnd w:id="45"/>
      <w:bookmarkEnd w:id="46"/>
      <w:bookmarkEnd w:id="47"/>
      <w:bookmarkEnd w:id="48"/>
    </w:p>
    <w:p w14:paraId="326019E0" w14:textId="097CD9D6" w:rsidR="00FD52C1" w:rsidRDefault="00FD52C1" w:rsidP="00FD52C1">
      <w:r>
        <w:t xml:space="preserve">The department welcomes feedback on the discussion paper from interested parties by </w:t>
      </w:r>
      <w:r w:rsidR="0019076D">
        <w:t xml:space="preserve">5pm AEDT, </w:t>
      </w:r>
      <w:r w:rsidR="000E3B0A">
        <w:t>Thursday 22</w:t>
      </w:r>
      <w:r w:rsidR="00C4134E">
        <w:t> </w:t>
      </w:r>
      <w:r>
        <w:t>December 2022. The discussion paper includes questions to guide your response. You may also wish to respond to the discussion paper more generally.</w:t>
      </w:r>
    </w:p>
    <w:p w14:paraId="2BCD6B50" w14:textId="751A57B4" w:rsidR="00FD52C1" w:rsidRDefault="501C1D03" w:rsidP="00FD52C1">
      <w:r>
        <w:t>Please send submissions to</w:t>
      </w:r>
      <w:r w:rsidR="75CBFCE4">
        <w:t xml:space="preserve"> the email </w:t>
      </w:r>
      <w:r>
        <w:t xml:space="preserve">or postal address </w:t>
      </w:r>
      <w:r w:rsidR="7CCC7965">
        <w:t xml:space="preserve">in the table </w:t>
      </w:r>
      <w:r>
        <w:t>below. Electronic lodgement is preferred.</w:t>
      </w:r>
    </w:p>
    <w:p w14:paraId="7F226B8F" w14:textId="3BE3FBC1" w:rsidR="00FD52C1" w:rsidRDefault="00FD52C1" w:rsidP="00DB14BE">
      <w:r>
        <w:t>IMPORTANT: The department may publish your feedback on its website or cite your feedback in future reports. If you do not wish your feedback to be made public, please indicate this</w:t>
      </w:r>
      <w:r w:rsidR="00E50F8A">
        <w:t xml:space="preserve"> clearly</w:t>
      </w:r>
      <w:r>
        <w:t>.</w:t>
      </w:r>
    </w:p>
    <w:p w14:paraId="66854C1A" w14:textId="77777777" w:rsidR="00FD52C1" w:rsidRDefault="00FD52C1" w:rsidP="00FD52C1">
      <w:pPr>
        <w:pStyle w:val="Heading2"/>
      </w:pPr>
      <w:bookmarkStart w:id="49" w:name="_Toc1352552210"/>
      <w:bookmarkStart w:id="50" w:name="_Toc401301284"/>
      <w:bookmarkStart w:id="51" w:name="_Toc1620310689"/>
      <w:bookmarkStart w:id="52" w:name="_Toc1617011390"/>
      <w:bookmarkStart w:id="53" w:name="_Toc75090000"/>
      <w:bookmarkStart w:id="54" w:name="_Toc2126088281"/>
      <w:bookmarkStart w:id="55" w:name="_Toc1721927684"/>
      <w:bookmarkStart w:id="56" w:name="_Toc1520733360"/>
      <w:bookmarkStart w:id="57" w:name="_Toc1919257904"/>
      <w:bookmarkStart w:id="58" w:name="_Toc1829382386"/>
      <w:bookmarkStart w:id="59" w:name="_Toc117246137"/>
      <w:bookmarkStart w:id="60" w:name="_Toc120101374"/>
      <w:r>
        <w:t>Key contacts</w:t>
      </w:r>
      <w:bookmarkEnd w:id="49"/>
      <w:bookmarkEnd w:id="50"/>
      <w:bookmarkEnd w:id="51"/>
      <w:bookmarkEnd w:id="52"/>
      <w:bookmarkEnd w:id="53"/>
      <w:bookmarkEnd w:id="54"/>
      <w:bookmarkEnd w:id="55"/>
      <w:bookmarkEnd w:id="56"/>
      <w:bookmarkEnd w:id="57"/>
      <w:bookmarkEnd w:id="58"/>
      <w:bookmarkEnd w:id="59"/>
      <w:bookmarkEnd w:id="60"/>
    </w:p>
    <w:p w14:paraId="22C57BA8" w14:textId="00BA6F2B" w:rsidR="00FD52C1" w:rsidRDefault="00FD52C1" w:rsidP="00FD52C1">
      <w:r>
        <w:t>Submissions and general enquiries can be made to the department via the below methods.</w:t>
      </w:r>
    </w:p>
    <w:tbl>
      <w:tblPr>
        <w:tblStyle w:val="DESE"/>
        <w:tblW w:w="9067" w:type="dxa"/>
        <w:tblLook w:val="04A0" w:firstRow="1" w:lastRow="0" w:firstColumn="1" w:lastColumn="0" w:noHBand="0" w:noVBand="1"/>
        <w:tblDescription w:val="Contact details for the Australian Skills Guarantee"/>
      </w:tblPr>
      <w:tblGrid>
        <w:gridCol w:w="2122"/>
        <w:gridCol w:w="6945"/>
      </w:tblGrid>
      <w:tr w:rsidR="00E50F8A" w14:paraId="050441F2" w14:textId="77777777" w:rsidTr="00902DD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DCABD4" w14:textId="77777777" w:rsidR="00E50F8A" w:rsidRPr="00B100CC" w:rsidRDefault="00E50F8A" w:rsidP="00902DD1">
            <w:pPr>
              <w:spacing w:after="100"/>
            </w:pPr>
            <w:r>
              <w:t>Method</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23B8D65C" w14:textId="77777777" w:rsidR="00E50F8A" w:rsidRPr="00B100CC" w:rsidRDefault="00E50F8A" w:rsidP="00902DD1">
            <w:pPr>
              <w:spacing w:after="100"/>
              <w:cnfStyle w:val="100000000000" w:firstRow="1" w:lastRow="0" w:firstColumn="0" w:lastColumn="0" w:oddVBand="0" w:evenVBand="0" w:oddHBand="0" w:evenHBand="0" w:firstRowFirstColumn="0" w:firstRowLastColumn="0" w:lastRowFirstColumn="0" w:lastRowLastColumn="0"/>
            </w:pPr>
            <w:r>
              <w:t>Details</w:t>
            </w:r>
          </w:p>
        </w:tc>
      </w:tr>
      <w:tr w:rsidR="00E50F8A" w14:paraId="46DD8527" w14:textId="77777777" w:rsidTr="00902DD1">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0F628F13" w14:textId="77777777" w:rsidR="00E50F8A" w:rsidRPr="0017294C" w:rsidRDefault="00E50F8A" w:rsidP="00902DD1">
            <w:pPr>
              <w:spacing w:after="100"/>
              <w:rPr>
                <w:rFonts w:ascii="Calibri" w:hAnsi="Calibri"/>
                <w:color w:val="FFFFFF" w:themeColor="background1"/>
              </w:rPr>
            </w:pPr>
            <w:r>
              <w:rPr>
                <w:rFonts w:ascii="Calibri" w:hAnsi="Calibri"/>
                <w:color w:val="FFFFFF" w:themeColor="background1"/>
              </w:rPr>
              <w:t>Email:</w:t>
            </w:r>
          </w:p>
        </w:tc>
        <w:tc>
          <w:tcPr>
            <w:tcW w:w="6945" w:type="dxa"/>
            <w:tcBorders>
              <w:top w:val="single" w:sz="4" w:space="0" w:color="FFFFFF" w:themeColor="background1"/>
              <w:left w:val="single" w:sz="4" w:space="0" w:color="FFFFFF" w:themeColor="background1"/>
            </w:tcBorders>
            <w:vAlign w:val="top"/>
          </w:tcPr>
          <w:p w14:paraId="53177B2E" w14:textId="7D40E3CE" w:rsidR="00E50F8A" w:rsidRPr="00E87BC6" w:rsidRDefault="00364564" w:rsidP="00902DD1">
            <w:pPr>
              <w:spacing w:after="100"/>
              <w:cnfStyle w:val="000000000000" w:firstRow="0" w:lastRow="0" w:firstColumn="0" w:lastColumn="0" w:oddVBand="0" w:evenVBand="0" w:oddHBand="0" w:evenHBand="0" w:firstRowFirstColumn="0" w:firstRowLastColumn="0" w:lastRowFirstColumn="0" w:lastRowLastColumn="0"/>
              <w:rPr>
                <w:rFonts w:cstheme="minorHAnsi"/>
              </w:rPr>
            </w:pPr>
            <w:hyperlink r:id="rId22" w:history="1">
              <w:r w:rsidR="00E50F8A" w:rsidRPr="00D51FA7">
                <w:rPr>
                  <w:rStyle w:val="Hyperlink"/>
                  <w:rFonts w:eastAsia="Calibri" w:cstheme="minorHAnsi"/>
                </w:rPr>
                <w:t>asg@dewr.gov.au</w:t>
              </w:r>
            </w:hyperlink>
            <w:r w:rsidR="00E50F8A">
              <w:rPr>
                <w:rFonts w:eastAsia="Calibri" w:cstheme="minorHAnsi"/>
                <w:color w:val="000000" w:themeColor="text1"/>
              </w:rPr>
              <w:t xml:space="preserve"> </w:t>
            </w:r>
          </w:p>
        </w:tc>
      </w:tr>
      <w:tr w:rsidR="00E50F8A" w14:paraId="393EBBAB" w14:textId="77777777" w:rsidTr="00902DD1">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3B4A0328" w14:textId="77777777" w:rsidR="00E50F8A" w:rsidRPr="0017294C" w:rsidRDefault="00E50F8A" w:rsidP="00902DD1">
            <w:pPr>
              <w:spacing w:beforeAutospacing="0" w:after="0" w:afterAutospacing="0"/>
              <w:rPr>
                <w:rFonts w:ascii="Calibri" w:hAnsi="Calibri"/>
                <w:color w:val="FFFFFF" w:themeColor="background1"/>
              </w:rPr>
            </w:pPr>
            <w:r>
              <w:rPr>
                <w:rFonts w:ascii="Calibri" w:hAnsi="Calibri"/>
                <w:color w:val="FFFFFF" w:themeColor="background1"/>
              </w:rPr>
              <w:t>Post:</w:t>
            </w:r>
          </w:p>
        </w:tc>
        <w:tc>
          <w:tcPr>
            <w:tcW w:w="6945" w:type="dxa"/>
            <w:tcBorders>
              <w:left w:val="single" w:sz="4" w:space="0" w:color="FFFFFF" w:themeColor="background1"/>
            </w:tcBorders>
            <w:vAlign w:val="top"/>
          </w:tcPr>
          <w:p w14:paraId="2167F524" w14:textId="77777777" w:rsidR="00E50F8A" w:rsidRDefault="00E50F8A" w:rsidP="00902DD1">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Pr>
                <w:rFonts w:eastAsia="Calibri" w:cstheme="minorHAnsi"/>
                <w:color w:val="000000" w:themeColor="text1"/>
              </w:rPr>
              <w:t>Australian Skills Guarantee team</w:t>
            </w:r>
          </w:p>
          <w:p w14:paraId="2C34373A" w14:textId="77777777" w:rsidR="00E50F8A" w:rsidRDefault="00E50F8A" w:rsidP="00902DD1">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Pr>
                <w:rFonts w:eastAsia="Calibri" w:cstheme="minorHAnsi"/>
                <w:color w:val="000000" w:themeColor="text1"/>
              </w:rPr>
              <w:t>Department of Employment and Workplace Relations</w:t>
            </w:r>
          </w:p>
          <w:p w14:paraId="3995B074" w14:textId="034C80D5" w:rsidR="00B42D56" w:rsidRDefault="002E37AF" w:rsidP="00902DD1">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2E37AF">
              <w:rPr>
                <w:rFonts w:eastAsia="Calibri" w:cstheme="minorHAnsi"/>
                <w:color w:val="000000" w:themeColor="text1"/>
              </w:rPr>
              <w:t>GPO Box 9880</w:t>
            </w:r>
          </w:p>
          <w:p w14:paraId="6D784011" w14:textId="66A3EBB0" w:rsidR="00E50F8A" w:rsidRPr="00E87BC6" w:rsidRDefault="00E50F8A" w:rsidP="00902DD1">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Pr>
                <w:rFonts w:eastAsia="Calibri" w:cstheme="minorHAnsi"/>
                <w:color w:val="000000" w:themeColor="text1"/>
              </w:rPr>
              <w:t>Canberra ACT 2601</w:t>
            </w:r>
          </w:p>
        </w:tc>
      </w:tr>
      <w:tr w:rsidR="00E50F8A" w14:paraId="248C2448" w14:textId="77777777" w:rsidTr="00902DD1">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FFFFF" w:themeColor="background1"/>
              <w:right w:val="single" w:sz="4" w:space="0" w:color="FFFFFF" w:themeColor="background1"/>
            </w:tcBorders>
            <w:shd w:val="clear" w:color="auto" w:fill="404246"/>
            <w:vAlign w:val="top"/>
          </w:tcPr>
          <w:p w14:paraId="36B273C0" w14:textId="77777777" w:rsidR="00E50F8A" w:rsidRPr="008B3545" w:rsidRDefault="00E50F8A" w:rsidP="00902DD1">
            <w:pPr>
              <w:spacing w:after="100"/>
              <w:rPr>
                <w:rFonts w:ascii="Calibri" w:hAnsi="Calibri"/>
                <w:color w:val="FFFFFF" w:themeColor="background1"/>
              </w:rPr>
            </w:pPr>
            <w:r>
              <w:rPr>
                <w:rFonts w:ascii="Calibri" w:hAnsi="Calibri"/>
                <w:color w:val="FFFFFF" w:themeColor="background1"/>
              </w:rPr>
              <w:t>Website:</w:t>
            </w:r>
          </w:p>
        </w:tc>
        <w:tc>
          <w:tcPr>
            <w:tcW w:w="6945" w:type="dxa"/>
            <w:tcBorders>
              <w:left w:val="single" w:sz="4" w:space="0" w:color="FFFFFF" w:themeColor="background1"/>
            </w:tcBorders>
            <w:vAlign w:val="top"/>
          </w:tcPr>
          <w:p w14:paraId="770F646A" w14:textId="278EB5F3" w:rsidR="00E50F8A" w:rsidRPr="00E87BC6" w:rsidRDefault="00364564" w:rsidP="00902DD1">
            <w:pPr>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hyperlink r:id="rId23" w:history="1">
              <w:r w:rsidR="00E50F8A" w:rsidRPr="001F05C2">
                <w:rPr>
                  <w:rStyle w:val="Hyperlink"/>
                  <w:rFonts w:eastAsia="Calibri" w:cstheme="minorHAnsi"/>
                </w:rPr>
                <w:t>www.dewr.gov.au/australian-skills-guarantee</w:t>
              </w:r>
            </w:hyperlink>
          </w:p>
        </w:tc>
      </w:tr>
    </w:tbl>
    <w:p w14:paraId="369C6228" w14:textId="77777777" w:rsidR="008D36D3" w:rsidRDefault="008D36D3" w:rsidP="008D36D3">
      <w:pPr>
        <w:pStyle w:val="Heading1"/>
      </w:pPr>
      <w:bookmarkStart w:id="61" w:name="_Toc1605516779"/>
      <w:bookmarkStart w:id="62" w:name="_Toc1195036993"/>
      <w:bookmarkStart w:id="63" w:name="_Toc1615203962"/>
      <w:bookmarkStart w:id="64" w:name="_Toc1066484820"/>
      <w:bookmarkStart w:id="65" w:name="_Toc1191089078"/>
      <w:bookmarkStart w:id="66" w:name="_Toc2048351969"/>
      <w:bookmarkStart w:id="67" w:name="_Toc359040100"/>
      <w:bookmarkStart w:id="68" w:name="_Toc1548760218"/>
      <w:bookmarkStart w:id="69" w:name="_Toc2121588642"/>
      <w:bookmarkStart w:id="70" w:name="_Toc1963770532"/>
      <w:bookmarkStart w:id="71" w:name="_Toc117246138"/>
      <w:bookmarkStart w:id="72" w:name="_Toc120101375"/>
      <w:r>
        <w:t>Introduction</w:t>
      </w:r>
      <w:bookmarkEnd w:id="61"/>
      <w:bookmarkEnd w:id="62"/>
      <w:bookmarkEnd w:id="63"/>
      <w:bookmarkEnd w:id="64"/>
      <w:bookmarkEnd w:id="65"/>
      <w:bookmarkEnd w:id="66"/>
      <w:bookmarkEnd w:id="67"/>
      <w:bookmarkEnd w:id="68"/>
      <w:bookmarkEnd w:id="69"/>
      <w:bookmarkEnd w:id="70"/>
      <w:bookmarkEnd w:id="71"/>
      <w:bookmarkEnd w:id="72"/>
    </w:p>
    <w:p w14:paraId="286E6689" w14:textId="27F29A2F" w:rsidR="008D36D3" w:rsidRPr="00B36B73" w:rsidRDefault="008D36D3" w:rsidP="008D36D3">
      <w:r>
        <w:t xml:space="preserve">Investing in skills and training is critical to building a pipeline of skilled workers, improving wellbeing and driving future economic growth. The Guarantee aims to use Government investment in major projects to help train the next generation of skilled workers. The Guarantee is a key commitment under the Government’s </w:t>
      </w:r>
      <w:r w:rsidRPr="58179EC9">
        <w:rPr>
          <w:i/>
          <w:iCs/>
        </w:rPr>
        <w:t>Secure Australian Jobs Plan</w:t>
      </w:r>
      <w:r>
        <w:t>.</w:t>
      </w:r>
    </w:p>
    <w:p w14:paraId="2E604C9E" w14:textId="343DDCFA" w:rsidR="008D36D3" w:rsidRDefault="008D36D3" w:rsidP="008D36D3">
      <w:pPr>
        <w:tabs>
          <w:tab w:val="num" w:pos="388"/>
        </w:tabs>
      </w:pPr>
      <w:r>
        <w:t>The Guarantee will ensure that one in 10 workers on major, Australian Government funded projects are an apprentice, trainee or paid cadet. At the Jobs and Skills Summit, the Government announced the Guarantee will include targets for women and a focus on the need for digital skills.</w:t>
      </w:r>
      <w:r>
        <w:rPr>
          <w:rStyle w:val="FootnoteReference"/>
        </w:rPr>
        <w:footnoteReference w:id="2"/>
      </w:r>
    </w:p>
    <w:p w14:paraId="3F6821BD" w14:textId="2111C04A" w:rsidR="008D36D3" w:rsidRDefault="008D36D3" w:rsidP="008D36D3">
      <w:r>
        <w:t>This discussion paper raises key design considerations for feedback, including the scope of the Guarantee, the targets and how the Guarantee will be implemented. The preliminary views in this discussion paper have been informed by experiences with existing state and territory government and Australian Government workforce policies.</w:t>
      </w:r>
    </w:p>
    <w:p w14:paraId="18E32F6C" w14:textId="10C1AF02" w:rsidR="008D36D3" w:rsidRDefault="008D36D3" w:rsidP="008D36D3">
      <w:r>
        <w:t xml:space="preserve">Getting the design right is critical to ensuring the Guarantee delivers on the promise of supporting </w:t>
      </w:r>
      <w:r w:rsidR="00094E4F">
        <w:t xml:space="preserve">opportunities for </w:t>
      </w:r>
      <w:r>
        <w:t>apprentices, trainees and paid cadets.</w:t>
      </w:r>
    </w:p>
    <w:p w14:paraId="5E9EFAF4" w14:textId="28F72167" w:rsidR="008D36D3" w:rsidRDefault="7DC597B3" w:rsidP="008D36D3">
      <w:r>
        <w:t>In addition, this discussion paper identifies barriers for women in Vocational Education and Training (VET) and seeks responses on what supports could be provided to enable more women moving into higher</w:t>
      </w:r>
      <w:r w:rsidR="5F0E025B">
        <w:t xml:space="preserve"> </w:t>
      </w:r>
      <w:r>
        <w:t>paying careers through VET.</w:t>
      </w:r>
    </w:p>
    <w:p w14:paraId="140E4FBD" w14:textId="4C06219F" w:rsidR="008D36D3" w:rsidRDefault="008D36D3" w:rsidP="008D36D3">
      <w:r>
        <w:t xml:space="preserve">A glossary of terms is at </w:t>
      </w:r>
      <w:r>
        <w:rPr>
          <w:u w:val="single"/>
        </w:rPr>
        <w:t>Appendix A</w:t>
      </w:r>
      <w:r>
        <w:t xml:space="preserve">, and a summary of key existing state and territory government policies is at </w:t>
      </w:r>
      <w:r>
        <w:rPr>
          <w:u w:val="single"/>
        </w:rPr>
        <w:t>Appendix B</w:t>
      </w:r>
      <w:r>
        <w:t>.</w:t>
      </w:r>
    </w:p>
    <w:p w14:paraId="0415CB1F" w14:textId="5E2A17BD" w:rsidR="008D36D3" w:rsidRDefault="008D36D3" w:rsidP="005C4D95">
      <w:pPr>
        <w:pStyle w:val="Heading3"/>
        <w:rPr>
          <w:bCs/>
        </w:rPr>
      </w:pPr>
      <w:r w:rsidRPr="6C3A6AC7">
        <w:t>Out of scope</w:t>
      </w:r>
    </w:p>
    <w:p w14:paraId="531E2659" w14:textId="2BC944D6" w:rsidR="008D36D3" w:rsidRDefault="008D36D3" w:rsidP="008D36D3">
      <w:pPr>
        <w:rPr>
          <w:rFonts w:ascii="Calibri" w:eastAsia="Calibri" w:hAnsi="Calibri" w:cs="Calibri"/>
        </w:rPr>
      </w:pPr>
      <w:r w:rsidRPr="6F57B389">
        <w:rPr>
          <w:rFonts w:ascii="Calibri" w:eastAsia="Calibri" w:hAnsi="Calibri" w:cs="Calibri"/>
        </w:rPr>
        <w:t xml:space="preserve">There is work underway on a range of new procurement policies across the Australian Government, including the commitments under the </w:t>
      </w:r>
      <w:r w:rsidRPr="4D24FCA8">
        <w:rPr>
          <w:rFonts w:ascii="Calibri" w:eastAsia="Calibri" w:hAnsi="Calibri" w:cs="Calibri"/>
          <w:i/>
          <w:iCs/>
        </w:rPr>
        <w:t>Buy Australian Plan</w:t>
      </w:r>
      <w:r w:rsidRPr="6F57B389">
        <w:rPr>
          <w:rFonts w:ascii="Calibri" w:eastAsia="Calibri" w:hAnsi="Calibri" w:cs="Calibri"/>
        </w:rPr>
        <w:t xml:space="preserve"> such as the </w:t>
      </w:r>
      <w:r w:rsidRPr="4D24FCA8">
        <w:rPr>
          <w:rFonts w:ascii="Calibri" w:eastAsia="Calibri" w:hAnsi="Calibri" w:cs="Calibri"/>
          <w:i/>
          <w:iCs/>
        </w:rPr>
        <w:t>Secure Australian Jobs Code.</w:t>
      </w:r>
      <w:r w:rsidRPr="1616FF0E">
        <w:rPr>
          <w:rStyle w:val="FootnoteReference"/>
          <w:rFonts w:ascii="Calibri" w:eastAsia="Calibri" w:hAnsi="Calibri" w:cs="Calibri"/>
        </w:rPr>
        <w:footnoteReference w:id="3"/>
      </w:r>
      <w:r w:rsidRPr="6F57B389">
        <w:rPr>
          <w:rFonts w:ascii="Calibri" w:eastAsia="Calibri" w:hAnsi="Calibri" w:cs="Calibri"/>
        </w:rPr>
        <w:t xml:space="preserve"> </w:t>
      </w:r>
      <w:r w:rsidRPr="00B88F7F">
        <w:rPr>
          <w:rFonts w:ascii="Calibri" w:eastAsia="Calibri" w:hAnsi="Calibri" w:cs="Calibri"/>
        </w:rPr>
        <w:t>More information about this can be found at</w:t>
      </w:r>
      <w:r>
        <w:rPr>
          <w:rFonts w:ascii="Calibri" w:eastAsia="Calibri" w:hAnsi="Calibri" w:cs="Calibri"/>
        </w:rPr>
        <w:t xml:space="preserve"> </w:t>
      </w:r>
      <w:hyperlink r:id="rId24" w:history="1">
        <w:r w:rsidR="00E854F2" w:rsidRPr="0014006C">
          <w:rPr>
            <w:rStyle w:val="Hyperlink"/>
            <w:rFonts w:ascii="Calibri" w:eastAsia="Calibri" w:hAnsi="Calibri" w:cs="Calibri"/>
          </w:rPr>
          <w:t>www.finance.gov.au/business/buyaustralianplan</w:t>
        </w:r>
      </w:hyperlink>
      <w:r w:rsidRPr="00B88F7F">
        <w:rPr>
          <w:rFonts w:ascii="Calibri" w:eastAsia="Calibri" w:hAnsi="Calibri" w:cs="Calibri"/>
        </w:rPr>
        <w:t>.</w:t>
      </w:r>
    </w:p>
    <w:p w14:paraId="5D6D8532" w14:textId="6ABF6AD1" w:rsidR="00F150C4" w:rsidRDefault="008D36D3" w:rsidP="008D36D3">
      <w:pPr>
        <w:rPr>
          <w:rFonts w:ascii="Calibri" w:eastAsia="Calibri" w:hAnsi="Calibri" w:cs="Calibri"/>
        </w:rPr>
      </w:pPr>
      <w:r>
        <w:rPr>
          <w:rFonts w:ascii="Calibri" w:eastAsia="Calibri" w:hAnsi="Calibri" w:cs="Calibri"/>
        </w:rPr>
        <w:t xml:space="preserve">As announced at the Jobs and Skills Summit, </w:t>
      </w:r>
      <w:r w:rsidRPr="00917F58">
        <w:rPr>
          <w:rFonts w:ascii="Calibri" w:eastAsia="Calibri" w:hAnsi="Calibri" w:cs="Calibri"/>
          <w:color w:val="000000" w:themeColor="text1"/>
        </w:rPr>
        <w:t>the Government has committed to work in partnership with states, territories and stakeholders to explore options to improve the apprenticeship support system and drive-up completions.</w:t>
      </w:r>
      <w:r w:rsidRPr="6F57B389">
        <w:rPr>
          <w:rStyle w:val="FootnoteReference"/>
          <w:rFonts w:ascii="Calibri" w:eastAsia="Calibri" w:hAnsi="Calibri" w:cs="Calibri"/>
        </w:rPr>
        <w:footnoteReference w:id="4"/>
      </w:r>
      <w:r w:rsidRPr="6F57B389">
        <w:rPr>
          <w:rFonts w:ascii="Calibri" w:eastAsia="Calibri" w:hAnsi="Calibri" w:cs="Calibri"/>
        </w:rPr>
        <w:t xml:space="preserve"> </w:t>
      </w:r>
      <w:r w:rsidRPr="00E57327">
        <w:rPr>
          <w:rFonts w:ascii="Calibri" w:eastAsia="Calibri" w:hAnsi="Calibri" w:cs="Calibri"/>
          <w:color w:val="000000" w:themeColor="text1"/>
        </w:rPr>
        <w:t xml:space="preserve">A discussion paper </w:t>
      </w:r>
      <w:r w:rsidRPr="00E57327">
        <w:rPr>
          <w:rFonts w:ascii="Calibri" w:eastAsia="Calibri" w:hAnsi="Calibri" w:cs="Calibri"/>
        </w:rPr>
        <w:t>has been published tracking the journey of an apprentice and seeks views on how key issues can be addressed at every stage of the apprenticeship life-cycle. While closely linked to successful implementation of the Guarantee, feedback on the apprenticeship support system is being sought separately and can be provided</w:t>
      </w:r>
      <w:r w:rsidR="00E854F2" w:rsidRPr="00E57327">
        <w:rPr>
          <w:rFonts w:ascii="Calibri" w:eastAsia="Calibri" w:hAnsi="Calibri" w:cs="Calibri"/>
        </w:rPr>
        <w:t xml:space="preserve"> at </w:t>
      </w:r>
      <w:hyperlink r:id="rId25" w:history="1">
        <w:r w:rsidR="00C24EAA" w:rsidRPr="00E57327">
          <w:rPr>
            <w:rStyle w:val="Hyperlink"/>
            <w:rFonts w:ascii="Calibri" w:eastAsia="Calibri" w:hAnsi="Calibri" w:cs="Calibri"/>
          </w:rPr>
          <w:t>www.dewr.gov.au/australian-apprenticeships</w:t>
        </w:r>
      </w:hyperlink>
      <w:r w:rsidRPr="00E57327">
        <w:rPr>
          <w:rFonts w:ascii="Calibri" w:eastAsia="Calibri" w:hAnsi="Calibri" w:cs="Calibri"/>
        </w:rPr>
        <w:t>.</w:t>
      </w:r>
    </w:p>
    <w:p w14:paraId="4765338C" w14:textId="77777777" w:rsidR="00721619" w:rsidRPr="00AF3F60" w:rsidRDefault="00721619" w:rsidP="00721619">
      <w:pPr>
        <w:pStyle w:val="Heading2"/>
        <w:rPr>
          <w:rFonts w:eastAsia="Calibri" w:cs="Calibri"/>
        </w:rPr>
      </w:pPr>
      <w:bookmarkStart w:id="73" w:name="_Toc117246139"/>
      <w:bookmarkStart w:id="74" w:name="_Toc120101376"/>
      <w:bookmarkStart w:id="75" w:name="_Toc1372229305"/>
      <w:bookmarkStart w:id="76" w:name="_Toc2040197672"/>
      <w:bookmarkStart w:id="77" w:name="_Toc342425624"/>
      <w:bookmarkStart w:id="78" w:name="_Toc1559856674"/>
      <w:bookmarkStart w:id="79" w:name="_Toc1719135095"/>
      <w:bookmarkStart w:id="80" w:name="_Toc1080570741"/>
      <w:bookmarkStart w:id="81" w:name="_Toc248839549"/>
      <w:bookmarkStart w:id="82" w:name="_Toc1173038793"/>
      <w:r>
        <w:t>The case for change</w:t>
      </w:r>
      <w:bookmarkEnd w:id="73"/>
      <w:bookmarkEnd w:id="74"/>
      <w:r>
        <w:t xml:space="preserve"> </w:t>
      </w:r>
      <w:bookmarkEnd w:id="75"/>
      <w:bookmarkEnd w:id="76"/>
      <w:bookmarkEnd w:id="77"/>
      <w:bookmarkEnd w:id="78"/>
      <w:bookmarkEnd w:id="79"/>
      <w:bookmarkEnd w:id="80"/>
      <w:bookmarkEnd w:id="81"/>
      <w:bookmarkEnd w:id="82"/>
    </w:p>
    <w:p w14:paraId="10774E11" w14:textId="18F8D45C" w:rsidR="00721619" w:rsidRPr="00F37669" w:rsidRDefault="00721619" w:rsidP="00721619">
      <w:pPr>
        <w:rPr>
          <w:rFonts w:ascii="Calibri" w:eastAsia="Calibri" w:hAnsi="Calibri" w:cs="Calibri"/>
        </w:rPr>
      </w:pPr>
      <w:r w:rsidRPr="4A81C948">
        <w:rPr>
          <w:rFonts w:ascii="Calibri" w:eastAsia="Calibri" w:hAnsi="Calibri" w:cs="Calibri"/>
        </w:rPr>
        <w:t>The Guarantee aims to support opportunities for apprentices, trainees and paid cadets, including women, and support businesses to train skilled workers by using Government investment in major projects.</w:t>
      </w:r>
    </w:p>
    <w:p w14:paraId="4BFA8B3C" w14:textId="77777777" w:rsidR="00721619" w:rsidRDefault="00721619" w:rsidP="005C4D95">
      <w:pPr>
        <w:pStyle w:val="Heading3"/>
      </w:pPr>
      <w:r w:rsidRPr="751CBEEE">
        <w:t xml:space="preserve">Employers </w:t>
      </w:r>
      <w:r>
        <w:t>play a central role, partnering with governments and the education sector, to secure a pipeline of workers and avoid future</w:t>
      </w:r>
      <w:r w:rsidRPr="751CBEEE">
        <w:t xml:space="preserve"> </w:t>
      </w:r>
      <w:r>
        <w:t>skills</w:t>
      </w:r>
      <w:r w:rsidRPr="751CBEEE">
        <w:t xml:space="preserve"> shortages</w:t>
      </w:r>
    </w:p>
    <w:p w14:paraId="65BC6B50" w14:textId="6D940197" w:rsidR="00721619" w:rsidRDefault="021EDC43" w:rsidP="00721619">
      <w:r>
        <w:rPr>
          <w:rFonts w:ascii="Calibri" w:eastAsia="Calibri" w:hAnsi="Calibri" w:cs="Calibri"/>
        </w:rPr>
        <w:t xml:space="preserve">The tight </w:t>
      </w:r>
      <w:r w:rsidRPr="00562BFE">
        <w:rPr>
          <w:rFonts w:ascii="Calibri" w:eastAsia="Calibri" w:hAnsi="Calibri" w:cs="Calibri"/>
        </w:rPr>
        <w:t xml:space="preserve">labour market in Australia and the challenges </w:t>
      </w:r>
      <w:r w:rsidRPr="000545F7">
        <w:rPr>
          <w:rFonts w:ascii="Calibri" w:eastAsia="Calibri" w:hAnsi="Calibri" w:cs="Calibri"/>
        </w:rPr>
        <w:t xml:space="preserve">many businesses </w:t>
      </w:r>
      <w:r w:rsidRPr="00F1185A">
        <w:rPr>
          <w:rFonts w:ascii="Calibri" w:eastAsia="Calibri" w:hAnsi="Calibri" w:cs="Calibri"/>
        </w:rPr>
        <w:t xml:space="preserve">are </w:t>
      </w:r>
      <w:r w:rsidRPr="006544D9">
        <w:rPr>
          <w:rFonts w:ascii="Calibri" w:eastAsia="Calibri" w:hAnsi="Calibri" w:cs="Calibri"/>
        </w:rPr>
        <w:t xml:space="preserve">facing with recruitment has highlighted the importance of skills and training. </w:t>
      </w:r>
      <w:r w:rsidRPr="00917F58">
        <w:rPr>
          <w:rFonts w:ascii="Calibri" w:eastAsia="Calibri" w:hAnsi="Calibri" w:cs="Calibri"/>
        </w:rPr>
        <w:t>Data from the Organisation for Economic Co</w:t>
      </w:r>
      <w:r w:rsidRPr="00917F58">
        <w:rPr>
          <w:rFonts w:ascii="Calibri" w:eastAsia="Calibri" w:hAnsi="Calibri" w:cs="Calibri"/>
        </w:rPr>
        <w:noBreakHyphen/>
        <w:t>operation and Development</w:t>
      </w:r>
      <w:r w:rsidR="0095729B">
        <w:rPr>
          <w:rFonts w:ascii="Calibri" w:eastAsia="Calibri" w:hAnsi="Calibri" w:cs="Calibri"/>
        </w:rPr>
        <w:t xml:space="preserve"> (</w:t>
      </w:r>
      <w:r w:rsidRPr="00917F58">
        <w:rPr>
          <w:rFonts w:ascii="Calibri" w:eastAsia="Calibri" w:hAnsi="Calibri" w:cs="Calibri"/>
        </w:rPr>
        <w:t>OECD</w:t>
      </w:r>
      <w:r w:rsidR="0095729B">
        <w:rPr>
          <w:rFonts w:ascii="Calibri" w:eastAsia="Calibri" w:hAnsi="Calibri" w:cs="Calibri"/>
        </w:rPr>
        <w:t>)</w:t>
      </w:r>
      <w:r w:rsidRPr="0F5DB343">
        <w:rPr>
          <w:rFonts w:ascii="Calibri" w:eastAsia="Calibri" w:hAnsi="Calibri" w:cs="Calibri"/>
        </w:rPr>
        <w:t xml:space="preserve"> shows</w:t>
      </w:r>
      <w:r w:rsidRPr="00917F58">
        <w:rPr>
          <w:rFonts w:ascii="Calibri" w:eastAsia="Calibri" w:hAnsi="Calibri" w:cs="Calibri"/>
        </w:rPr>
        <w:t xml:space="preserve"> that Australia is experiencing the second most severe labour shortages in the developed world.</w:t>
      </w:r>
      <w:r w:rsidR="00721619" w:rsidRPr="00917F58">
        <w:rPr>
          <w:rStyle w:val="FootnoteReference"/>
          <w:rFonts w:ascii="Calibri" w:eastAsia="Calibri" w:hAnsi="Calibri" w:cs="Calibri"/>
        </w:rPr>
        <w:footnoteReference w:id="5"/>
      </w:r>
      <w:r w:rsidRPr="00917F58">
        <w:rPr>
          <w:rFonts w:ascii="Calibri" w:eastAsia="Calibri" w:hAnsi="Calibri" w:cs="Calibri"/>
        </w:rPr>
        <w:t xml:space="preserve"> According to the National Skills Commission, 31% of all occupations and 47% of occupations within the Technician and Trades Workers group</w:t>
      </w:r>
      <w:r w:rsidRPr="00917F58" w:rsidDel="404E3475">
        <w:rPr>
          <w:rFonts w:ascii="Calibri" w:eastAsia="Calibri" w:hAnsi="Calibri" w:cs="Calibri"/>
        </w:rPr>
        <w:t xml:space="preserve"> </w:t>
      </w:r>
      <w:r w:rsidRPr="00917F58">
        <w:rPr>
          <w:rFonts w:ascii="Calibri" w:eastAsia="Calibri" w:hAnsi="Calibri" w:cs="Calibri"/>
        </w:rPr>
        <w:t>are in shortage</w:t>
      </w:r>
      <w:r w:rsidR="00721619" w:rsidRPr="00917F58">
        <w:rPr>
          <w:rStyle w:val="FootnoteReference"/>
          <w:rFonts w:ascii="Calibri" w:eastAsia="Calibri" w:hAnsi="Calibri" w:cs="Calibri"/>
        </w:rPr>
        <w:footnoteReference w:id="6"/>
      </w:r>
      <w:r w:rsidRPr="00917F58">
        <w:rPr>
          <w:rFonts w:ascii="Calibri" w:eastAsia="Calibri" w:hAnsi="Calibri" w:cs="Calibri"/>
        </w:rPr>
        <w:t xml:space="preserve"> and in September 2022, 67% of recruiting employers reported difficulty hiring staff.</w:t>
      </w:r>
      <w:r w:rsidR="00721619" w:rsidRPr="00917F58">
        <w:rPr>
          <w:rStyle w:val="FootnoteReference"/>
          <w:rFonts w:ascii="Calibri" w:eastAsia="Calibri" w:hAnsi="Calibri" w:cs="Calibri"/>
        </w:rPr>
        <w:footnoteReference w:id="7"/>
      </w:r>
      <w:r w:rsidRPr="00562BFE">
        <w:rPr>
          <w:rFonts w:ascii="Calibri" w:eastAsia="Calibri" w:hAnsi="Calibri" w:cs="Calibri"/>
        </w:rPr>
        <w:t xml:space="preserve"> These challenges are acute in vital sectors that rely on VET graduates, </w:t>
      </w:r>
      <w:r w:rsidRPr="00616923">
        <w:rPr>
          <w:rFonts w:ascii="Calibri" w:eastAsia="Calibri" w:hAnsi="Calibri" w:cs="Calibri"/>
        </w:rPr>
        <w:t>such as infrastructure investment</w:t>
      </w:r>
      <w:r w:rsidRPr="66F7DAA5">
        <w:rPr>
          <w:rFonts w:ascii="Calibri" w:eastAsia="Calibri" w:hAnsi="Calibri" w:cs="Calibri"/>
        </w:rPr>
        <w:t xml:space="preserve"> projects.</w:t>
      </w:r>
      <w:r w:rsidR="00721619">
        <w:rPr>
          <w:rStyle w:val="FootnoteReference"/>
          <w:rFonts w:ascii="Calibri" w:eastAsia="Calibri" w:hAnsi="Calibri" w:cs="Calibri"/>
        </w:rPr>
        <w:footnoteReference w:id="8"/>
      </w:r>
      <w:r>
        <w:t xml:space="preserve"> </w:t>
      </w:r>
      <w:r w:rsidRPr="66F7DAA5">
        <w:rPr>
          <w:rFonts w:ascii="Calibri" w:eastAsia="Calibri" w:hAnsi="Calibri" w:cs="Calibri"/>
        </w:rPr>
        <w:t xml:space="preserve">Skills shortages in key sectors can have wider impacts on productivity and output, and greater investment </w:t>
      </w:r>
      <w:r>
        <w:rPr>
          <w:rFonts w:ascii="Calibri" w:eastAsia="Calibri" w:hAnsi="Calibri" w:cs="Calibri"/>
        </w:rPr>
        <w:t xml:space="preserve">by employers </w:t>
      </w:r>
      <w:r w:rsidRPr="66F7DAA5">
        <w:rPr>
          <w:rFonts w:ascii="Calibri" w:eastAsia="Calibri" w:hAnsi="Calibri" w:cs="Calibri"/>
        </w:rPr>
        <w:t>in training is important in addressing these shortages.</w:t>
      </w:r>
    </w:p>
    <w:p w14:paraId="086DD932" w14:textId="3F933322" w:rsidR="00721619" w:rsidRDefault="00721619" w:rsidP="00721619">
      <w:pPr>
        <w:rPr>
          <w:rFonts w:ascii="Calibri" w:eastAsia="Calibri" w:hAnsi="Calibri" w:cs="Calibri"/>
        </w:rPr>
      </w:pPr>
      <w:r w:rsidRPr="751CBEEE">
        <w:rPr>
          <w:rFonts w:ascii="Calibri" w:eastAsia="Calibri" w:hAnsi="Calibri" w:cs="Calibri"/>
        </w:rPr>
        <w:t xml:space="preserve">The VET system </w:t>
      </w:r>
      <w:r>
        <w:rPr>
          <w:rFonts w:ascii="Calibri" w:eastAsia="Calibri" w:hAnsi="Calibri" w:cs="Calibri"/>
        </w:rPr>
        <w:t xml:space="preserve">is a partnership between the education sector, employers and governments, working together effectively to deliver on-the-job and off-the-job training that will set students up for successful, secure careers. Nowhere is this more critical than for apprenticeships and traineeships, where employers sign </w:t>
      </w:r>
      <w:r w:rsidRPr="071559EA">
        <w:rPr>
          <w:rFonts w:ascii="Calibri" w:eastAsia="Calibri" w:hAnsi="Calibri" w:cs="Calibri"/>
        </w:rPr>
        <w:t xml:space="preserve">a </w:t>
      </w:r>
      <w:r>
        <w:rPr>
          <w:rFonts w:ascii="Calibri" w:eastAsia="Calibri" w:hAnsi="Calibri" w:cs="Calibri"/>
        </w:rPr>
        <w:t>Training Contract committing to provide workers with on-the</w:t>
      </w:r>
      <w:r w:rsidRPr="68AC8AA7">
        <w:rPr>
          <w:rFonts w:ascii="Calibri" w:eastAsia="Calibri" w:hAnsi="Calibri" w:cs="Calibri"/>
        </w:rPr>
        <w:t>-</w:t>
      </w:r>
      <w:r>
        <w:rPr>
          <w:rFonts w:ascii="Calibri" w:eastAsia="Calibri" w:hAnsi="Calibri" w:cs="Calibri"/>
        </w:rPr>
        <w:t>job training in a safe and supervised work environment, and release them to attend off-the-job training. This provides the apprentice with valuable, lived experience in the industry and delivers a pipeline of highly skilled workers. In return, employers can hire apprentices and trainees at the lower training pay rates and employers</w:t>
      </w:r>
      <w:r w:rsidR="00D80107">
        <w:rPr>
          <w:rFonts w:ascii="Calibri" w:eastAsia="Calibri" w:hAnsi="Calibri" w:cs="Calibri"/>
        </w:rPr>
        <w:t>,</w:t>
      </w:r>
      <w:r>
        <w:rPr>
          <w:rFonts w:ascii="Calibri" w:eastAsia="Calibri" w:hAnsi="Calibri" w:cs="Calibri"/>
        </w:rPr>
        <w:t xml:space="preserve"> apprentices and trainees are supported through financial and non</w:t>
      </w:r>
      <w:r w:rsidR="00FC4F22">
        <w:rPr>
          <w:rFonts w:ascii="Calibri" w:eastAsia="Calibri" w:hAnsi="Calibri" w:cs="Calibri"/>
        </w:rPr>
        <w:noBreakHyphen/>
      </w:r>
      <w:r>
        <w:rPr>
          <w:rFonts w:ascii="Calibri" w:eastAsia="Calibri" w:hAnsi="Calibri" w:cs="Calibri"/>
        </w:rPr>
        <w:t>financial supports provided by government.</w:t>
      </w:r>
    </w:p>
    <w:p w14:paraId="793213AD" w14:textId="58280E43" w:rsidR="00721619" w:rsidRDefault="00721619" w:rsidP="00721619">
      <w:r>
        <w:rPr>
          <w:rFonts w:ascii="Calibri" w:eastAsia="Calibri" w:hAnsi="Calibri" w:cs="Calibri"/>
        </w:rPr>
        <w:t xml:space="preserve">Paid cadetships also provide an opportunity to combine study, work and </w:t>
      </w:r>
      <w:r>
        <w:rPr>
          <w:rFonts w:ascii="Calibri" w:eastAsia="Calibri" w:hAnsi="Calibri" w:cs="Calibri"/>
        </w:rPr>
        <w:softHyphen/>
      </w:r>
      <w:r>
        <w:rPr>
          <w:rFonts w:ascii="Calibri" w:eastAsia="Calibri" w:hAnsi="Calibri" w:cs="Calibri"/>
        </w:rPr>
        <w:softHyphen/>
      </w:r>
      <w:r w:rsidRPr="25CC2A88">
        <w:rPr>
          <w:rFonts w:ascii="Calibri" w:eastAsia="Calibri" w:hAnsi="Calibri" w:cs="Calibri"/>
        </w:rPr>
        <w:t>on-the-</w:t>
      </w:r>
      <w:r>
        <w:rPr>
          <w:rFonts w:ascii="Calibri" w:eastAsia="Calibri" w:hAnsi="Calibri" w:cs="Calibri"/>
        </w:rPr>
        <w:t>job training through a range of higher education and VET pathways.</w:t>
      </w:r>
    </w:p>
    <w:p w14:paraId="1129BCC0" w14:textId="13B7FC48" w:rsidR="00721619" w:rsidRDefault="00721619" w:rsidP="00721619">
      <w:r w:rsidRPr="30A4F799">
        <w:rPr>
          <w:rFonts w:ascii="Calibri" w:eastAsia="Calibri" w:hAnsi="Calibri" w:cs="Calibri"/>
        </w:rPr>
        <w:t>Implementing the Guarantee will use the Government’s investment to encourage businesses</w:t>
      </w:r>
      <w:r w:rsidR="00663BDA" w:rsidRPr="30A4F799">
        <w:rPr>
          <w:rFonts w:ascii="Calibri" w:eastAsia="Calibri" w:hAnsi="Calibri" w:cs="Calibri"/>
        </w:rPr>
        <w:t xml:space="preserve"> to</w:t>
      </w:r>
      <w:r w:rsidRPr="30A4F799">
        <w:rPr>
          <w:rFonts w:ascii="Calibri" w:eastAsia="Calibri" w:hAnsi="Calibri" w:cs="Calibri"/>
        </w:rPr>
        <w:t xml:space="preserve"> train the next generation of skilled workers by providing a guaranteed stream of demand for apprentices, trainees and paid cadets.</w:t>
      </w:r>
    </w:p>
    <w:p w14:paraId="36BF66E4" w14:textId="77777777" w:rsidR="000126E1" w:rsidRDefault="000126E1" w:rsidP="00AC28AB">
      <w:pPr>
        <w:pStyle w:val="Heading3"/>
      </w:pPr>
      <w:r w:rsidRPr="751CBEEE">
        <w:t xml:space="preserve">The </w:t>
      </w:r>
      <w:r>
        <w:t>Guarantee can support a more diverse workforce</w:t>
      </w:r>
    </w:p>
    <w:p w14:paraId="67DAF97D" w14:textId="42471FAF" w:rsidR="000126E1" w:rsidRDefault="000126E1" w:rsidP="000126E1">
      <w:pPr>
        <w:keepNext/>
        <w:keepLines/>
        <w:rPr>
          <w:rFonts w:ascii="Calibri" w:eastAsia="Calibri" w:hAnsi="Calibri" w:cs="Calibri"/>
        </w:rPr>
      </w:pPr>
      <w:r>
        <w:rPr>
          <w:rFonts w:ascii="Calibri" w:eastAsia="Calibri" w:hAnsi="Calibri" w:cs="Calibri"/>
        </w:rPr>
        <w:t>T</w:t>
      </w:r>
      <w:r w:rsidRPr="751CBEEE">
        <w:rPr>
          <w:rFonts w:ascii="Calibri" w:eastAsia="Calibri" w:hAnsi="Calibri" w:cs="Calibri"/>
        </w:rPr>
        <w:t xml:space="preserve">here is an important opportunity to use the Guarantee to increase the strength and diversity of the workforce for major projects, </w:t>
      </w:r>
      <w:r>
        <w:rPr>
          <w:rFonts w:ascii="Calibri" w:eastAsia="Calibri" w:hAnsi="Calibri" w:cs="Calibri"/>
        </w:rPr>
        <w:t>including to reduce gender segregation in occupations and industries and</w:t>
      </w:r>
      <w:r w:rsidRPr="751CBEEE">
        <w:rPr>
          <w:rFonts w:ascii="Calibri" w:eastAsia="Calibri" w:hAnsi="Calibri" w:cs="Calibri"/>
        </w:rPr>
        <w:t xml:space="preserve"> increase the participation of women in industries </w:t>
      </w:r>
      <w:r w:rsidR="00E72A04">
        <w:rPr>
          <w:rFonts w:ascii="Calibri" w:eastAsia="Calibri" w:hAnsi="Calibri" w:cs="Calibri"/>
        </w:rPr>
        <w:t>with</w:t>
      </w:r>
      <w:r w:rsidRPr="751CBEEE">
        <w:rPr>
          <w:rFonts w:ascii="Calibri" w:eastAsia="Calibri" w:hAnsi="Calibri" w:cs="Calibri"/>
        </w:rPr>
        <w:t xml:space="preserve"> a low level of female participation</w:t>
      </w:r>
      <w:r w:rsidRPr="3E68432E">
        <w:rPr>
          <w:rFonts w:ascii="Calibri" w:eastAsia="Calibri" w:hAnsi="Calibri" w:cs="Calibri"/>
        </w:rPr>
        <w:t>.</w:t>
      </w:r>
    </w:p>
    <w:p w14:paraId="56A2273F" w14:textId="260F0CF9" w:rsidR="000126E1" w:rsidRDefault="1E70F96E" w:rsidP="1530C7B9">
      <w:pPr>
        <w:keepNext/>
        <w:keepLines/>
        <w:rPr>
          <w:rFonts w:ascii="Calibri" w:eastAsia="Calibri" w:hAnsi="Calibri" w:cs="Calibri"/>
        </w:rPr>
      </w:pPr>
      <w:r w:rsidRPr="6A270DCE">
        <w:rPr>
          <w:rFonts w:ascii="Calibri" w:eastAsia="Calibri" w:hAnsi="Calibri" w:cs="Calibri"/>
        </w:rPr>
        <w:t>Currently</w:t>
      </w:r>
      <w:r w:rsidR="16CBB962">
        <w:rPr>
          <w:rFonts w:ascii="Calibri" w:eastAsia="Calibri" w:hAnsi="Calibri" w:cs="Calibri"/>
        </w:rPr>
        <w:t>,</w:t>
      </w:r>
      <w:r w:rsidRPr="6A270DCE">
        <w:rPr>
          <w:rFonts w:ascii="Calibri" w:eastAsia="Calibri" w:hAnsi="Calibri" w:cs="Calibri"/>
        </w:rPr>
        <w:t xml:space="preserve"> women make up 13.5% of the Australian construction workforce</w:t>
      </w:r>
      <w:r w:rsidRPr="74E652FC">
        <w:rPr>
          <w:rFonts w:ascii="Calibri" w:eastAsia="Calibri" w:hAnsi="Calibri" w:cs="Calibri"/>
        </w:rPr>
        <w:t>.</w:t>
      </w:r>
      <w:r w:rsidR="000126E1" w:rsidRPr="73AE0306">
        <w:rPr>
          <w:rStyle w:val="FootnoteReference"/>
          <w:rFonts w:ascii="Calibri" w:eastAsia="Calibri" w:hAnsi="Calibri" w:cs="Calibri"/>
        </w:rPr>
        <w:footnoteReference w:id="9"/>
      </w:r>
      <w:r w:rsidRPr="74E652FC">
        <w:rPr>
          <w:rFonts w:ascii="Calibri" w:eastAsia="Calibri" w:hAnsi="Calibri" w:cs="Calibri"/>
        </w:rPr>
        <w:t xml:space="preserve"> </w:t>
      </w:r>
      <w:r w:rsidRPr="1E784F26">
        <w:rPr>
          <w:rFonts w:ascii="Calibri" w:eastAsia="Calibri" w:hAnsi="Calibri" w:cs="Calibri"/>
        </w:rPr>
        <w:t xml:space="preserve">While the number of women in apprenticeships has been gradually increasing in recent years, women are still very under-represented in </w:t>
      </w:r>
      <w:r>
        <w:rPr>
          <w:rFonts w:ascii="Calibri" w:eastAsia="Calibri" w:hAnsi="Calibri" w:cs="Calibri"/>
        </w:rPr>
        <w:t>“</w:t>
      </w:r>
      <w:r w:rsidRPr="1E784F26">
        <w:rPr>
          <w:rFonts w:ascii="Calibri" w:eastAsia="Calibri" w:hAnsi="Calibri" w:cs="Calibri"/>
        </w:rPr>
        <w:t>non-traditional</w:t>
      </w:r>
      <w:r>
        <w:rPr>
          <w:rFonts w:ascii="Calibri" w:eastAsia="Calibri" w:hAnsi="Calibri" w:cs="Calibri"/>
        </w:rPr>
        <w:t>”</w:t>
      </w:r>
      <w:r w:rsidRPr="1E784F26">
        <w:rPr>
          <w:rFonts w:ascii="Calibri" w:eastAsia="Calibri" w:hAnsi="Calibri" w:cs="Calibri"/>
        </w:rPr>
        <w:t xml:space="preserve"> trade occupations, making up only 8.2% of current </w:t>
      </w:r>
      <w:r w:rsidRPr="30A4F799">
        <w:rPr>
          <w:rFonts w:ascii="Calibri" w:eastAsia="Calibri" w:hAnsi="Calibri" w:cs="Calibri"/>
        </w:rPr>
        <w:t>non</w:t>
      </w:r>
      <w:r w:rsidR="41DD3B3C" w:rsidRPr="30A4F799">
        <w:rPr>
          <w:rFonts w:ascii="Calibri" w:eastAsia="Calibri" w:hAnsi="Calibri" w:cs="Calibri"/>
        </w:rPr>
        <w:t>-</w:t>
      </w:r>
      <w:r w:rsidRPr="30A4F799">
        <w:rPr>
          <w:rFonts w:ascii="Calibri" w:eastAsia="Calibri" w:hAnsi="Calibri" w:cs="Calibri"/>
        </w:rPr>
        <w:t>traditional</w:t>
      </w:r>
      <w:r w:rsidRPr="1E784F26">
        <w:rPr>
          <w:rFonts w:ascii="Calibri" w:eastAsia="Calibri" w:hAnsi="Calibri" w:cs="Calibri"/>
        </w:rPr>
        <w:t xml:space="preserve"> trade apprentice</w:t>
      </w:r>
      <w:r w:rsidRPr="00B50FAD">
        <w:rPr>
          <w:rFonts w:ascii="Calibri" w:eastAsia="Calibri" w:hAnsi="Calibri" w:cs="Calibri"/>
        </w:rPr>
        <w:t>s</w:t>
      </w:r>
      <w:r>
        <w:rPr>
          <w:rFonts w:ascii="Calibri" w:eastAsia="Calibri" w:hAnsi="Calibri" w:cs="Calibri"/>
        </w:rPr>
        <w:t xml:space="preserve"> (excluding hairdressers, animal attendants and trainers, and veterinary nurses)</w:t>
      </w:r>
      <w:r w:rsidRPr="00B50FAD">
        <w:rPr>
          <w:rFonts w:ascii="Calibri" w:eastAsia="Calibri" w:hAnsi="Calibri" w:cs="Calibri"/>
        </w:rPr>
        <w:t>.</w:t>
      </w:r>
      <w:r w:rsidR="000126E1" w:rsidRPr="00D6505F">
        <w:rPr>
          <w:rStyle w:val="FootnoteReference"/>
          <w:rFonts w:ascii="Calibri" w:eastAsia="Calibri" w:hAnsi="Calibri" w:cs="Calibri"/>
        </w:rPr>
        <w:footnoteReference w:id="10"/>
      </w:r>
      <w:r w:rsidRPr="00D6505F">
        <w:rPr>
          <w:rStyle w:val="FootnoteReference"/>
          <w:rFonts w:ascii="Calibri" w:eastAsia="Calibri" w:hAnsi="Calibri" w:cs="Calibri"/>
        </w:rPr>
        <w:t xml:space="preserve"> </w:t>
      </w:r>
      <w:r>
        <w:rPr>
          <w:rFonts w:ascii="Calibri" w:eastAsia="Calibri" w:hAnsi="Calibri" w:cs="Calibri"/>
        </w:rPr>
        <w:t xml:space="preserve"> Only 4.9% of apprentices in training in construction are </w:t>
      </w:r>
      <w:r w:rsidR="29F355BD">
        <w:rPr>
          <w:rFonts w:ascii="Calibri" w:eastAsia="Calibri" w:hAnsi="Calibri" w:cs="Calibri"/>
        </w:rPr>
        <w:t>women</w:t>
      </w:r>
      <w:r>
        <w:rPr>
          <w:rFonts w:ascii="Calibri" w:eastAsia="Calibri" w:hAnsi="Calibri" w:cs="Calibri"/>
        </w:rPr>
        <w:t>.</w:t>
      </w:r>
      <w:r w:rsidR="000126E1">
        <w:rPr>
          <w:rStyle w:val="FootnoteReference"/>
          <w:rFonts w:ascii="Calibri" w:eastAsia="Calibri" w:hAnsi="Calibri" w:cs="Calibri"/>
        </w:rPr>
        <w:footnoteReference w:id="11"/>
      </w:r>
      <w:r>
        <w:rPr>
          <w:rFonts w:ascii="Calibri" w:eastAsia="Calibri" w:hAnsi="Calibri" w:cs="Calibri"/>
        </w:rPr>
        <w:t xml:space="preserve"> </w:t>
      </w:r>
    </w:p>
    <w:p w14:paraId="697D7AC8" w14:textId="25879E96" w:rsidR="00DD28F4" w:rsidRDefault="000126E1" w:rsidP="006321A8">
      <w:pPr>
        <w:rPr>
          <w:rFonts w:ascii="Calibri" w:eastAsiaTheme="majorEastAsia" w:hAnsi="Calibri" w:cstheme="majorBidi"/>
          <w:b/>
          <w:color w:val="789B4A"/>
          <w:sz w:val="32"/>
          <w:szCs w:val="32"/>
        </w:rPr>
      </w:pPr>
      <w:r w:rsidRPr="747B903D">
        <w:rPr>
          <w:rFonts w:ascii="Calibri" w:eastAsia="Calibri" w:hAnsi="Calibri" w:cs="Calibri"/>
        </w:rPr>
        <w:t>We need to build a skilled, agile and diverse workforce to maxim</w:t>
      </w:r>
      <w:r>
        <w:rPr>
          <w:rFonts w:ascii="Calibri" w:eastAsia="Calibri" w:hAnsi="Calibri" w:cs="Calibri"/>
        </w:rPr>
        <w:t>ise</w:t>
      </w:r>
      <w:r w:rsidRPr="747B903D">
        <w:rPr>
          <w:rFonts w:ascii="Calibri" w:eastAsia="Calibri" w:hAnsi="Calibri" w:cs="Calibri"/>
        </w:rPr>
        <w:t xml:space="preserve"> </w:t>
      </w:r>
      <w:r>
        <w:rPr>
          <w:rFonts w:ascii="Calibri" w:eastAsia="Calibri" w:hAnsi="Calibri" w:cs="Calibri"/>
        </w:rPr>
        <w:t xml:space="preserve">the </w:t>
      </w:r>
      <w:r w:rsidRPr="747B903D">
        <w:rPr>
          <w:rFonts w:ascii="Calibri" w:eastAsia="Calibri" w:hAnsi="Calibri" w:cs="Calibri"/>
        </w:rPr>
        <w:t xml:space="preserve">opportunities presented by the structural transformations </w:t>
      </w:r>
      <w:r>
        <w:rPr>
          <w:rFonts w:ascii="Calibri" w:eastAsia="Calibri" w:hAnsi="Calibri" w:cs="Calibri"/>
        </w:rPr>
        <w:t xml:space="preserve">underway </w:t>
      </w:r>
      <w:r w:rsidRPr="747B903D">
        <w:rPr>
          <w:rFonts w:ascii="Calibri" w:eastAsia="Calibri" w:hAnsi="Calibri" w:cs="Calibri"/>
        </w:rPr>
        <w:t>in Australia’s economy, including increasing digitalisation</w:t>
      </w:r>
      <w:r>
        <w:rPr>
          <w:rFonts w:ascii="Calibri" w:eastAsia="Calibri" w:hAnsi="Calibri" w:cs="Calibri"/>
        </w:rPr>
        <w:t>, and to support the recovery from the COVID-19 pandemic</w:t>
      </w:r>
      <w:r w:rsidRPr="747B903D">
        <w:rPr>
          <w:rFonts w:ascii="Calibri" w:eastAsia="Calibri" w:hAnsi="Calibri" w:cs="Calibri"/>
        </w:rPr>
        <w:t xml:space="preserve">. </w:t>
      </w:r>
      <w:r>
        <w:rPr>
          <w:rFonts w:ascii="Calibri" w:eastAsia="Calibri" w:hAnsi="Calibri" w:cs="Calibri"/>
        </w:rPr>
        <w:t>When employers invest in training, they build a skilled and diverse workforce which can help address skills shortages and support emerging industries.</w:t>
      </w:r>
      <w:bookmarkStart w:id="83" w:name="_Toc117246140"/>
      <w:bookmarkStart w:id="84" w:name="_Toc210579326"/>
      <w:bookmarkStart w:id="85" w:name="_Toc595600411"/>
      <w:bookmarkStart w:id="86" w:name="_Toc253238893"/>
      <w:bookmarkStart w:id="87" w:name="_Toc655857146"/>
      <w:bookmarkStart w:id="88" w:name="_Toc798256884"/>
      <w:bookmarkStart w:id="89" w:name="_Toc976260917"/>
      <w:bookmarkStart w:id="90" w:name="_Toc1815989344"/>
      <w:bookmarkStart w:id="91" w:name="_Toc1890856142"/>
      <w:bookmarkStart w:id="92" w:name="_Toc506043837"/>
      <w:bookmarkStart w:id="93" w:name="_Toc1855676159"/>
      <w:r w:rsidR="00DD28F4">
        <w:br w:type="page"/>
      </w:r>
    </w:p>
    <w:p w14:paraId="650B68A5" w14:textId="3F996BB9" w:rsidR="00DD28F4" w:rsidRDefault="00DD28F4" w:rsidP="00DD28F4">
      <w:pPr>
        <w:pStyle w:val="Heading1"/>
      </w:pPr>
      <w:bookmarkStart w:id="94" w:name="_Toc120101377"/>
      <w:r>
        <w:t>Discussion Topics</w:t>
      </w:r>
      <w:bookmarkEnd w:id="83"/>
      <w:bookmarkEnd w:id="84"/>
      <w:bookmarkEnd w:id="85"/>
      <w:bookmarkEnd w:id="86"/>
      <w:bookmarkEnd w:id="87"/>
      <w:bookmarkEnd w:id="88"/>
      <w:bookmarkEnd w:id="89"/>
      <w:bookmarkEnd w:id="90"/>
      <w:bookmarkEnd w:id="91"/>
      <w:bookmarkEnd w:id="92"/>
      <w:bookmarkEnd w:id="93"/>
      <w:bookmarkEnd w:id="94"/>
    </w:p>
    <w:p w14:paraId="51C47E5A" w14:textId="77777777" w:rsidR="00DD28F4" w:rsidRDefault="00DD28F4" w:rsidP="00DD28F4">
      <w:pPr>
        <w:sectPr w:rsidR="00DD28F4" w:rsidSect="00BE737E">
          <w:headerReference w:type="default" r:id="rId26"/>
          <w:footerReference w:type="default" r:id="rId27"/>
          <w:type w:val="continuous"/>
          <w:pgSz w:w="11906" w:h="16838"/>
          <w:pgMar w:top="1418" w:right="1418" w:bottom="1418" w:left="1418" w:header="0" w:footer="454" w:gutter="0"/>
          <w:cols w:space="708"/>
          <w:docGrid w:linePitch="360"/>
        </w:sectPr>
      </w:pPr>
    </w:p>
    <w:p w14:paraId="494AF3DA" w14:textId="7A7218F9" w:rsidR="00575D87" w:rsidRPr="00AD43D5" w:rsidRDefault="00AD43D5" w:rsidP="00AD43D5">
      <w:pPr>
        <w:rPr>
          <w:b/>
          <w:bCs/>
          <w:i/>
          <w:iCs/>
          <w:sz w:val="24"/>
          <w:szCs w:val="24"/>
        </w:rPr>
      </w:pPr>
      <w:r w:rsidRPr="00AD43D5">
        <w:rPr>
          <w:b/>
          <w:bCs/>
          <w:i/>
          <w:iCs/>
          <w:sz w:val="24"/>
          <w:szCs w:val="24"/>
        </w:rPr>
        <w:t xml:space="preserve">A. </w:t>
      </w:r>
      <w:r w:rsidR="00575D87" w:rsidRPr="00AD43D5">
        <w:rPr>
          <w:b/>
          <w:bCs/>
          <w:i/>
          <w:iCs/>
          <w:sz w:val="24"/>
          <w:szCs w:val="24"/>
        </w:rPr>
        <w:t>DESIGN OF THE GUARANTEE</w:t>
      </w:r>
    </w:p>
    <w:p w14:paraId="5B79DDF1" w14:textId="77777777" w:rsidR="00575D87" w:rsidRPr="000A53D9" w:rsidRDefault="00575D87" w:rsidP="00575D87">
      <w:pPr>
        <w:rPr>
          <w:b/>
          <w:bCs/>
          <w:i/>
          <w:iCs/>
          <w:sz w:val="24"/>
          <w:szCs w:val="24"/>
        </w:rPr>
      </w:pPr>
      <w:r w:rsidRPr="0E2735CB">
        <w:rPr>
          <w:b/>
          <w:bCs/>
          <w:i/>
          <w:iCs/>
          <w:sz w:val="24"/>
          <w:szCs w:val="24"/>
        </w:rPr>
        <w:t>Chapter 1: Types of projects</w:t>
      </w:r>
    </w:p>
    <w:p w14:paraId="6D44537E" w14:textId="71C6D315" w:rsidR="00575D87" w:rsidRPr="00F37669" w:rsidRDefault="00575D87" w:rsidP="00575D87">
      <w:r w:rsidRPr="00F37669">
        <w:rPr>
          <w:rFonts w:ascii="Calibri" w:eastAsia="Calibri" w:hAnsi="Calibri" w:cs="Calibri"/>
        </w:rPr>
        <w:t xml:space="preserve">The scope of the Guarantee will be determined by </w:t>
      </w:r>
      <w:r w:rsidRPr="003075F5">
        <w:rPr>
          <w:rFonts w:ascii="Calibri" w:eastAsia="Calibri" w:hAnsi="Calibri" w:cs="Calibri"/>
        </w:rPr>
        <w:t xml:space="preserve">the types of projects, financial thresholds, workforce targets and the implementation approach. </w:t>
      </w:r>
      <w:r w:rsidR="00E3288E">
        <w:rPr>
          <w:rFonts w:ascii="Calibri" w:eastAsia="Calibri" w:hAnsi="Calibri" w:cs="Calibri"/>
        </w:rPr>
        <w:t>This chapter outlines a</w:t>
      </w:r>
      <w:r>
        <w:rPr>
          <w:rFonts w:ascii="Calibri" w:eastAsia="Calibri" w:hAnsi="Calibri" w:cs="Calibri"/>
        </w:rPr>
        <w:t xml:space="preserve"> </w:t>
      </w:r>
      <w:r w:rsidRPr="003075F5">
        <w:rPr>
          <w:rFonts w:ascii="Calibri" w:eastAsia="Calibri" w:hAnsi="Calibri" w:cs="Calibri"/>
        </w:rPr>
        <w:t>staged approach</w:t>
      </w:r>
      <w:r>
        <w:rPr>
          <w:rFonts w:ascii="Calibri" w:eastAsia="Calibri" w:hAnsi="Calibri" w:cs="Calibri"/>
        </w:rPr>
        <w:t xml:space="preserve"> </w:t>
      </w:r>
      <w:r w:rsidR="00E3288E">
        <w:rPr>
          <w:rFonts w:ascii="Calibri" w:eastAsia="Calibri" w:hAnsi="Calibri" w:cs="Calibri"/>
        </w:rPr>
        <w:t>to the type of projects</w:t>
      </w:r>
      <w:r w:rsidR="001757B3">
        <w:rPr>
          <w:rFonts w:ascii="Calibri" w:eastAsia="Calibri" w:hAnsi="Calibri" w:cs="Calibri"/>
        </w:rPr>
        <w:t xml:space="preserve"> in scope</w:t>
      </w:r>
      <w:r w:rsidRPr="003075F5">
        <w:rPr>
          <w:rFonts w:ascii="Calibri" w:eastAsia="Calibri" w:hAnsi="Calibri" w:cs="Calibri"/>
        </w:rPr>
        <w:t xml:space="preserve">, with the Guarantee </w:t>
      </w:r>
      <w:r>
        <w:rPr>
          <w:rFonts w:ascii="Calibri" w:eastAsia="Calibri" w:hAnsi="Calibri" w:cs="Calibri"/>
        </w:rPr>
        <w:t xml:space="preserve">first </w:t>
      </w:r>
      <w:r w:rsidRPr="003075F5">
        <w:rPr>
          <w:rFonts w:ascii="Calibri" w:eastAsia="Calibri" w:hAnsi="Calibri" w:cs="Calibri"/>
        </w:rPr>
        <w:t>applied to major construction projects</w:t>
      </w:r>
      <w:r>
        <w:rPr>
          <w:rFonts w:ascii="Calibri" w:eastAsia="Calibri" w:hAnsi="Calibri" w:cs="Calibri"/>
        </w:rPr>
        <w:t>, followed by information technology (IT) projects</w:t>
      </w:r>
      <w:r w:rsidRPr="003075F5">
        <w:rPr>
          <w:rFonts w:ascii="Calibri" w:eastAsia="Calibri" w:hAnsi="Calibri" w:cs="Calibri"/>
        </w:rPr>
        <w:t>.</w:t>
      </w:r>
    </w:p>
    <w:p w14:paraId="71440D05" w14:textId="77777777" w:rsidR="00575D87" w:rsidRPr="000A53D9" w:rsidRDefault="00575D87" w:rsidP="00575D87">
      <w:pPr>
        <w:rPr>
          <w:b/>
          <w:bCs/>
          <w:i/>
          <w:iCs/>
          <w:sz w:val="24"/>
          <w:szCs w:val="24"/>
        </w:rPr>
      </w:pPr>
      <w:r w:rsidRPr="0E2735CB">
        <w:rPr>
          <w:b/>
          <w:bCs/>
          <w:i/>
          <w:iCs/>
          <w:sz w:val="24"/>
          <w:szCs w:val="24"/>
        </w:rPr>
        <w:t xml:space="preserve">Chapter 2: The </w:t>
      </w:r>
      <w:r>
        <w:rPr>
          <w:b/>
          <w:bCs/>
          <w:i/>
          <w:iCs/>
          <w:sz w:val="24"/>
          <w:szCs w:val="24"/>
        </w:rPr>
        <w:t>f</w:t>
      </w:r>
      <w:r w:rsidRPr="125938E0">
        <w:rPr>
          <w:b/>
          <w:bCs/>
          <w:i/>
          <w:iCs/>
          <w:sz w:val="24"/>
          <w:szCs w:val="24"/>
        </w:rPr>
        <w:t xml:space="preserve">inancial thresholds for major </w:t>
      </w:r>
      <w:r w:rsidRPr="0E2735CB">
        <w:rPr>
          <w:b/>
          <w:bCs/>
          <w:i/>
          <w:iCs/>
          <w:sz w:val="24"/>
          <w:szCs w:val="24"/>
        </w:rPr>
        <w:t>projects</w:t>
      </w:r>
    </w:p>
    <w:p w14:paraId="5AB46995" w14:textId="739CC2DD" w:rsidR="00575D87" w:rsidRPr="00F37669" w:rsidRDefault="00575D87" w:rsidP="00575D87">
      <w:pPr>
        <w:rPr>
          <w:b/>
          <w:bCs/>
          <w:i/>
          <w:iCs/>
        </w:rPr>
      </w:pPr>
      <w:r w:rsidRPr="00F37669">
        <w:rPr>
          <w:rFonts w:ascii="Calibri" w:eastAsia="Calibri" w:hAnsi="Calibri" w:cs="Calibri"/>
        </w:rPr>
        <w:t xml:space="preserve">The Guarantee will apply to major, </w:t>
      </w:r>
      <w:r w:rsidR="00983ECE">
        <w:rPr>
          <w:rFonts w:ascii="Calibri" w:eastAsia="Calibri" w:hAnsi="Calibri" w:cs="Calibri"/>
        </w:rPr>
        <w:t xml:space="preserve">Australian Government funded </w:t>
      </w:r>
      <w:r w:rsidRPr="00F37669">
        <w:rPr>
          <w:rFonts w:ascii="Calibri" w:eastAsia="Calibri" w:hAnsi="Calibri" w:cs="Calibri"/>
        </w:rPr>
        <w:t>projects</w:t>
      </w:r>
      <w:r w:rsidR="00B8084B">
        <w:rPr>
          <w:rFonts w:ascii="Calibri" w:eastAsia="Calibri" w:hAnsi="Calibri" w:cs="Calibri"/>
        </w:rPr>
        <w:t xml:space="preserve"> and </w:t>
      </w:r>
      <w:r w:rsidR="00FD2030">
        <w:rPr>
          <w:rFonts w:ascii="Calibri" w:eastAsia="Calibri" w:hAnsi="Calibri" w:cs="Calibri"/>
        </w:rPr>
        <w:t xml:space="preserve">so </w:t>
      </w:r>
      <w:r w:rsidR="00B8084B">
        <w:rPr>
          <w:rFonts w:ascii="Calibri" w:eastAsia="Calibri" w:hAnsi="Calibri" w:cs="Calibri"/>
        </w:rPr>
        <w:t xml:space="preserve">a key </w:t>
      </w:r>
      <w:r w:rsidR="00951483">
        <w:rPr>
          <w:rFonts w:ascii="Calibri" w:eastAsia="Calibri" w:hAnsi="Calibri" w:cs="Calibri"/>
        </w:rPr>
        <w:t>design factor</w:t>
      </w:r>
      <w:r w:rsidR="00B8084B">
        <w:rPr>
          <w:rFonts w:ascii="Calibri" w:eastAsia="Calibri" w:hAnsi="Calibri" w:cs="Calibri"/>
        </w:rPr>
        <w:t xml:space="preserve"> is the financial threshold for a ‘major project’</w:t>
      </w:r>
      <w:r w:rsidRPr="00F37669">
        <w:rPr>
          <w:rFonts w:ascii="Calibri" w:eastAsia="Calibri" w:hAnsi="Calibri" w:cs="Calibri"/>
        </w:rPr>
        <w:t xml:space="preserve">. </w:t>
      </w:r>
      <w:r>
        <w:rPr>
          <w:rFonts w:ascii="Calibri" w:eastAsia="Calibri" w:hAnsi="Calibri" w:cs="Calibri"/>
        </w:rPr>
        <w:t xml:space="preserve">This chapter outlines options for the </w:t>
      </w:r>
      <w:r>
        <w:t>financial threshold for the Guarantee.</w:t>
      </w:r>
    </w:p>
    <w:p w14:paraId="56436134" w14:textId="77777777" w:rsidR="00575D87" w:rsidRPr="000A53D9" w:rsidRDefault="00575D87" w:rsidP="00575D87">
      <w:pPr>
        <w:rPr>
          <w:b/>
          <w:bCs/>
          <w:i/>
          <w:iCs/>
          <w:sz w:val="24"/>
          <w:szCs w:val="24"/>
        </w:rPr>
      </w:pPr>
      <w:r w:rsidRPr="0E2735CB">
        <w:rPr>
          <w:b/>
          <w:bCs/>
          <w:i/>
          <w:iCs/>
          <w:sz w:val="24"/>
          <w:szCs w:val="24"/>
        </w:rPr>
        <w:t>Chapter 3: One in 10 target</w:t>
      </w:r>
    </w:p>
    <w:p w14:paraId="71F4ED31" w14:textId="10865D79" w:rsidR="00575D87" w:rsidRPr="00F37669" w:rsidRDefault="00575D87" w:rsidP="00575D87">
      <w:r>
        <w:t xml:space="preserve">The Guarantee aims to ensure one in 10 workers on major, </w:t>
      </w:r>
      <w:r w:rsidR="00983ECE">
        <w:rPr>
          <w:rFonts w:ascii="Calibri" w:eastAsia="Calibri" w:hAnsi="Calibri" w:cs="Calibri"/>
        </w:rPr>
        <w:t xml:space="preserve">Australian Government funded </w:t>
      </w:r>
      <w:r>
        <w:t>projects are an apprentice, trainee or paid cadet. This chapter outlines options for calculating the target.</w:t>
      </w:r>
    </w:p>
    <w:p w14:paraId="5C3C60D1" w14:textId="5EDBAAF8" w:rsidR="00575D87" w:rsidRPr="000A53D9" w:rsidRDefault="00575D87" w:rsidP="00575D87">
      <w:pPr>
        <w:rPr>
          <w:b/>
          <w:bCs/>
          <w:i/>
          <w:iCs/>
          <w:sz w:val="24"/>
          <w:szCs w:val="24"/>
        </w:rPr>
      </w:pPr>
      <w:r w:rsidRPr="0E2735CB">
        <w:rPr>
          <w:b/>
          <w:bCs/>
          <w:i/>
          <w:iCs/>
          <w:sz w:val="24"/>
          <w:szCs w:val="24"/>
        </w:rPr>
        <w:t xml:space="preserve">Chapter 4: </w:t>
      </w:r>
      <w:r>
        <w:rPr>
          <w:b/>
          <w:bCs/>
          <w:i/>
          <w:iCs/>
          <w:sz w:val="24"/>
          <w:szCs w:val="24"/>
        </w:rPr>
        <w:t>T</w:t>
      </w:r>
      <w:r w:rsidRPr="0E2735CB">
        <w:rPr>
          <w:b/>
          <w:bCs/>
          <w:i/>
          <w:iCs/>
          <w:sz w:val="24"/>
          <w:szCs w:val="24"/>
        </w:rPr>
        <w:t>argets for women</w:t>
      </w:r>
    </w:p>
    <w:p w14:paraId="5B9AC353" w14:textId="1C8DAF99" w:rsidR="009F3EDB" w:rsidRPr="00575D87" w:rsidRDefault="00575D87" w:rsidP="00575D87">
      <w:pPr>
        <w:rPr>
          <w:rFonts w:ascii="Calibri" w:eastAsia="Calibri" w:hAnsi="Calibri" w:cs="Calibri"/>
        </w:rPr>
      </w:pPr>
      <w:r w:rsidRPr="00F37669">
        <w:rPr>
          <w:rFonts w:ascii="Calibri" w:eastAsia="Calibri" w:hAnsi="Calibri" w:cs="Calibri"/>
        </w:rPr>
        <w:t>The Guarantee offers an important opportunity to increase the diversity of the workforce for major projects, particularly in industries that have historically had a low level of participation by women</w:t>
      </w:r>
      <w:r w:rsidRPr="00627982">
        <w:rPr>
          <w:rFonts w:ascii="Calibri" w:eastAsia="Calibri" w:hAnsi="Calibri" w:cs="Calibri"/>
        </w:rPr>
        <w:t xml:space="preserve">. </w:t>
      </w:r>
      <w:r>
        <w:rPr>
          <w:rFonts w:ascii="Calibri" w:eastAsia="Calibri" w:hAnsi="Calibri" w:cs="Calibri"/>
        </w:rPr>
        <w:t>This chapter outlines options for the design of the targets for women.</w:t>
      </w:r>
    </w:p>
    <w:p w14:paraId="2A0F8B26" w14:textId="32635699" w:rsidR="00575D87" w:rsidRPr="00AD43D5" w:rsidRDefault="00AD43D5" w:rsidP="00AD43D5">
      <w:pPr>
        <w:keepNext/>
        <w:keepLines/>
        <w:rPr>
          <w:b/>
          <w:bCs/>
          <w:i/>
          <w:iCs/>
          <w:sz w:val="24"/>
          <w:szCs w:val="24"/>
        </w:rPr>
      </w:pPr>
      <w:r w:rsidRPr="00AD43D5">
        <w:rPr>
          <w:b/>
          <w:bCs/>
          <w:i/>
          <w:iCs/>
          <w:sz w:val="24"/>
          <w:szCs w:val="24"/>
        </w:rPr>
        <w:t xml:space="preserve">B. </w:t>
      </w:r>
      <w:r w:rsidR="00575D87" w:rsidRPr="00AD43D5">
        <w:rPr>
          <w:b/>
          <w:bCs/>
          <w:i/>
          <w:iCs/>
          <w:sz w:val="24"/>
          <w:szCs w:val="24"/>
        </w:rPr>
        <w:t>IMPLEMENTATION OF THE GUARANTEE</w:t>
      </w:r>
    </w:p>
    <w:p w14:paraId="3159F6B7" w14:textId="2C3ADB10" w:rsidR="00575D87" w:rsidRPr="0087397A" w:rsidRDefault="00575D87" w:rsidP="00575D87">
      <w:pPr>
        <w:keepNext/>
        <w:keepLines/>
        <w:rPr>
          <w:b/>
          <w:i/>
          <w:sz w:val="24"/>
          <w:szCs w:val="24"/>
        </w:rPr>
      </w:pPr>
      <w:r w:rsidRPr="0E2735CB">
        <w:rPr>
          <w:b/>
          <w:bCs/>
          <w:i/>
          <w:iCs/>
          <w:sz w:val="24"/>
          <w:szCs w:val="24"/>
        </w:rPr>
        <w:t xml:space="preserve">Chapter 5: </w:t>
      </w:r>
      <w:r w:rsidRPr="1F23CA1D">
        <w:rPr>
          <w:b/>
          <w:bCs/>
          <w:i/>
          <w:iCs/>
          <w:sz w:val="24"/>
          <w:szCs w:val="24"/>
        </w:rPr>
        <w:t>Implementation approach</w:t>
      </w:r>
    </w:p>
    <w:p w14:paraId="635A9003" w14:textId="192C9930" w:rsidR="00575D87" w:rsidRDefault="00575D87" w:rsidP="00575D87">
      <w:pPr>
        <w:keepNext/>
        <w:keepLines/>
        <w:rPr>
          <w:rFonts w:ascii="Calibri" w:eastAsia="Calibri" w:hAnsi="Calibri" w:cs="Calibri"/>
          <w:sz w:val="20"/>
          <w:szCs w:val="20"/>
        </w:rPr>
      </w:pPr>
      <w:r w:rsidRPr="3374E00D">
        <w:rPr>
          <w:rFonts w:ascii="Calibri" w:eastAsia="Calibri" w:hAnsi="Calibri" w:cs="Calibri"/>
        </w:rPr>
        <w:t>The Guarantee could be implemented through a staged approach</w:t>
      </w:r>
      <w:r>
        <w:rPr>
          <w:rFonts w:ascii="Calibri" w:eastAsia="Calibri" w:hAnsi="Calibri" w:cs="Calibri"/>
        </w:rPr>
        <w:t>. This chapter outlines options for implementing the Guarantee through procurement policy</w:t>
      </w:r>
      <w:r w:rsidR="000D6071">
        <w:rPr>
          <w:rFonts w:ascii="Calibri" w:eastAsia="Calibri" w:hAnsi="Calibri" w:cs="Calibri"/>
        </w:rPr>
        <w:t>, housing policy</w:t>
      </w:r>
      <w:r>
        <w:rPr>
          <w:rFonts w:ascii="Calibri" w:eastAsia="Calibri" w:hAnsi="Calibri" w:cs="Calibri"/>
        </w:rPr>
        <w:t xml:space="preserve"> and national partnership agreements with </w:t>
      </w:r>
      <w:r w:rsidRPr="3374E00D">
        <w:rPr>
          <w:rFonts w:ascii="Calibri" w:eastAsia="Calibri" w:hAnsi="Calibri" w:cs="Calibri"/>
        </w:rPr>
        <w:t>state and territory governments.</w:t>
      </w:r>
    </w:p>
    <w:p w14:paraId="2453B283" w14:textId="68F2CF06" w:rsidR="00575D87" w:rsidRPr="00FE7AD8" w:rsidRDefault="00575D87" w:rsidP="00575D87">
      <w:pPr>
        <w:rPr>
          <w:b/>
          <w:bCs/>
          <w:i/>
          <w:iCs/>
          <w:sz w:val="24"/>
          <w:szCs w:val="24"/>
        </w:rPr>
      </w:pPr>
      <w:r w:rsidRPr="0E2735CB">
        <w:rPr>
          <w:b/>
          <w:bCs/>
          <w:i/>
          <w:iCs/>
          <w:sz w:val="24"/>
          <w:szCs w:val="24"/>
        </w:rPr>
        <w:t>Chapter 6: Managing performance</w:t>
      </w:r>
    </w:p>
    <w:p w14:paraId="39F402E3" w14:textId="77777777" w:rsidR="00575D87" w:rsidRDefault="00575D87" w:rsidP="00575D87">
      <w:pPr>
        <w:rPr>
          <w:sz w:val="20"/>
          <w:szCs w:val="20"/>
        </w:rPr>
      </w:pPr>
      <w:r w:rsidRPr="00F37669">
        <w:rPr>
          <w:rFonts w:ascii="Calibri" w:eastAsia="Calibri" w:hAnsi="Calibri" w:cs="Calibri"/>
        </w:rPr>
        <w:t xml:space="preserve">Establishing appropriate reporting and </w:t>
      </w:r>
      <w:r w:rsidRPr="5366A694">
        <w:rPr>
          <w:rFonts w:ascii="Calibri" w:eastAsia="Calibri" w:hAnsi="Calibri" w:cs="Calibri"/>
        </w:rPr>
        <w:t>performance management mechanisms is important to ensure the Guarantee achieves its objectives. This chapter outlines options for collecting data on the impacts of the Guarantee.</w:t>
      </w:r>
    </w:p>
    <w:p w14:paraId="611F9A40" w14:textId="45FD0DB1" w:rsidR="00575D87" w:rsidRDefault="00575D87" w:rsidP="00575D87">
      <w:pPr>
        <w:rPr>
          <w:b/>
          <w:bCs/>
          <w:i/>
          <w:iCs/>
          <w:sz w:val="24"/>
          <w:szCs w:val="24"/>
        </w:rPr>
      </w:pPr>
      <w:r w:rsidRPr="5366A694">
        <w:rPr>
          <w:b/>
          <w:bCs/>
          <w:i/>
          <w:iCs/>
          <w:sz w:val="24"/>
          <w:szCs w:val="24"/>
        </w:rPr>
        <w:t>Chapter 7: Roles and responsibilities</w:t>
      </w:r>
    </w:p>
    <w:p w14:paraId="63E17731" w14:textId="71386AE1" w:rsidR="0073348E" w:rsidRPr="00F37669" w:rsidRDefault="00575D87" w:rsidP="00575D87">
      <w:pPr>
        <w:rPr>
          <w:rFonts w:ascii="Calibri" w:eastAsia="Calibri" w:hAnsi="Calibri" w:cs="Calibri"/>
          <w:b/>
          <w:bCs/>
        </w:rPr>
      </w:pPr>
      <w:r w:rsidRPr="517DE174">
        <w:rPr>
          <w:rFonts w:ascii="Calibri" w:eastAsia="Calibri" w:hAnsi="Calibri" w:cs="Calibri"/>
        </w:rPr>
        <w:t xml:space="preserve">This chapter outlines the </w:t>
      </w:r>
      <w:r>
        <w:rPr>
          <w:rFonts w:ascii="Calibri" w:eastAsia="Calibri" w:hAnsi="Calibri" w:cs="Calibri"/>
        </w:rPr>
        <w:t>possible</w:t>
      </w:r>
      <w:r w:rsidRPr="517DE174">
        <w:rPr>
          <w:rFonts w:ascii="Calibri" w:eastAsia="Calibri" w:hAnsi="Calibri" w:cs="Calibri"/>
        </w:rPr>
        <w:t xml:space="preserve"> roles for business, Government agencies and state and territory government contracting agencies in implementing the Guarantee.</w:t>
      </w:r>
    </w:p>
    <w:p w14:paraId="466D7946" w14:textId="425E74F8" w:rsidR="00575D87" w:rsidRPr="00AD43D5" w:rsidRDefault="00AD43D5" w:rsidP="00DD44BF">
      <w:pPr>
        <w:spacing w:before="480"/>
        <w:rPr>
          <w:b/>
          <w:bCs/>
          <w:i/>
          <w:iCs/>
          <w:sz w:val="24"/>
          <w:szCs w:val="24"/>
        </w:rPr>
      </w:pPr>
      <w:r w:rsidRPr="00AD43D5">
        <w:rPr>
          <w:b/>
          <w:bCs/>
          <w:i/>
          <w:iCs/>
          <w:sz w:val="24"/>
          <w:szCs w:val="24"/>
        </w:rPr>
        <w:t xml:space="preserve">C. </w:t>
      </w:r>
      <w:r w:rsidR="00575D87" w:rsidRPr="00AD43D5">
        <w:rPr>
          <w:b/>
          <w:bCs/>
          <w:i/>
          <w:iCs/>
          <w:sz w:val="24"/>
          <w:szCs w:val="24"/>
        </w:rPr>
        <w:t>INITIATIVES TO SUPPORT WOMEN IN VET</w:t>
      </w:r>
    </w:p>
    <w:p w14:paraId="70D24A65" w14:textId="77777777" w:rsidR="00575D87" w:rsidRDefault="00575D87" w:rsidP="00575D87">
      <w:pPr>
        <w:rPr>
          <w:rFonts w:ascii="Calibri" w:eastAsia="Calibri" w:hAnsi="Calibri" w:cs="Calibri"/>
          <w:color w:val="000000" w:themeColor="text1"/>
        </w:rPr>
      </w:pPr>
      <w:r w:rsidRPr="4A81C948">
        <w:rPr>
          <w:b/>
          <w:bCs/>
          <w:i/>
          <w:iCs/>
          <w:sz w:val="24"/>
          <w:szCs w:val="24"/>
        </w:rPr>
        <w:t>Chapter 8: Supporting women to achieve careers via VET pathways</w:t>
      </w:r>
    </w:p>
    <w:p w14:paraId="3541C547" w14:textId="070E54EA" w:rsidR="00BE7A18" w:rsidRDefault="00575D87" w:rsidP="00D27BE3">
      <w:pPr>
        <w:sectPr w:rsidR="00BE7A18" w:rsidSect="00404A96">
          <w:type w:val="continuous"/>
          <w:pgSz w:w="11906" w:h="16838"/>
          <w:pgMar w:top="1418" w:right="1418" w:bottom="1418" w:left="1418" w:header="0" w:footer="454" w:gutter="0"/>
          <w:cols w:num="2" w:space="708"/>
          <w:docGrid w:linePitch="360"/>
        </w:sectPr>
      </w:pPr>
      <w:r w:rsidRPr="0BC73B42">
        <w:rPr>
          <w:rFonts w:ascii="Calibri" w:eastAsia="Calibri" w:hAnsi="Calibri" w:cs="Calibri"/>
        </w:rPr>
        <w:t xml:space="preserve">The Government is considering initiatives to support women to achieve higher paying careers via VET pathways. This chapter seeks views on the design of future initiatives, drawing on experiences about what is most effective in attracting and retaining women in occupations that have low </w:t>
      </w:r>
      <w:r w:rsidR="000F7686">
        <w:rPr>
          <w:rFonts w:ascii="Calibri" w:eastAsia="Calibri" w:hAnsi="Calibri" w:cs="Calibri"/>
        </w:rPr>
        <w:t xml:space="preserve">levels of </w:t>
      </w:r>
      <w:r w:rsidR="00460EEB" w:rsidRPr="0BC73B42">
        <w:rPr>
          <w:rFonts w:ascii="Calibri" w:eastAsia="Calibri" w:hAnsi="Calibri" w:cs="Calibri"/>
        </w:rPr>
        <w:t xml:space="preserve">women’s </w:t>
      </w:r>
      <w:r w:rsidRPr="0BC73B42">
        <w:rPr>
          <w:rFonts w:ascii="Calibri" w:eastAsia="Calibri" w:hAnsi="Calibri" w:cs="Calibri"/>
        </w:rPr>
        <w:t>participation.</w:t>
      </w:r>
      <w:r>
        <w:br w:type="page"/>
      </w:r>
    </w:p>
    <w:p w14:paraId="4A4EDCF2" w14:textId="370588E0" w:rsidR="00F84965" w:rsidRPr="003472D0" w:rsidRDefault="00AD43D5" w:rsidP="00AD43D5">
      <w:pPr>
        <w:pStyle w:val="Heading1"/>
        <w:rPr>
          <w:sz w:val="28"/>
          <w:szCs w:val="28"/>
          <w:u w:val="single"/>
        </w:rPr>
      </w:pPr>
      <w:bookmarkStart w:id="95" w:name="_Toc117246141"/>
      <w:bookmarkStart w:id="96" w:name="_Toc477711458"/>
      <w:bookmarkStart w:id="97" w:name="_Toc1280478598"/>
      <w:bookmarkStart w:id="98" w:name="_Toc1368105419"/>
      <w:bookmarkStart w:id="99" w:name="_Toc1060043055"/>
      <w:bookmarkStart w:id="100" w:name="_Toc611864442"/>
      <w:bookmarkStart w:id="101" w:name="_Toc792197672"/>
      <w:bookmarkStart w:id="102" w:name="_Toc1633031484"/>
      <w:bookmarkStart w:id="103" w:name="_Toc578868570"/>
      <w:bookmarkStart w:id="104" w:name="_Toc120101378"/>
      <w:r>
        <w:t xml:space="preserve">A. </w:t>
      </w:r>
      <w:r w:rsidR="00F84965">
        <w:t>Design of the Guarantee</w:t>
      </w:r>
      <w:bookmarkEnd w:id="95"/>
      <w:bookmarkEnd w:id="96"/>
      <w:bookmarkEnd w:id="97"/>
      <w:bookmarkEnd w:id="98"/>
      <w:bookmarkEnd w:id="99"/>
      <w:bookmarkEnd w:id="100"/>
      <w:bookmarkEnd w:id="101"/>
      <w:bookmarkEnd w:id="102"/>
      <w:bookmarkEnd w:id="103"/>
      <w:bookmarkEnd w:id="104"/>
    </w:p>
    <w:p w14:paraId="4E7F107F" w14:textId="77777777" w:rsidR="00F84965" w:rsidRDefault="00F84965" w:rsidP="00F84965">
      <w:pPr>
        <w:pStyle w:val="Heading2"/>
      </w:pPr>
      <w:bookmarkStart w:id="105" w:name="_Toc1838580973"/>
      <w:bookmarkStart w:id="106" w:name="_Toc228908221"/>
      <w:bookmarkStart w:id="107" w:name="_Toc244810216"/>
      <w:bookmarkStart w:id="108" w:name="_Toc1172266721"/>
      <w:bookmarkStart w:id="109" w:name="_Toc535657604"/>
      <w:bookmarkStart w:id="110" w:name="_Toc1979732097"/>
      <w:bookmarkStart w:id="111" w:name="_Toc1732975900"/>
      <w:bookmarkStart w:id="112" w:name="_Toc1719234164"/>
      <w:bookmarkStart w:id="113" w:name="_Toc456198593"/>
      <w:bookmarkStart w:id="114" w:name="_Toc54473346"/>
      <w:bookmarkStart w:id="115" w:name="_Toc117246142"/>
      <w:bookmarkStart w:id="116" w:name="_Toc120101379"/>
      <w:r>
        <w:t>Chapter 1: Types of projects</w:t>
      </w:r>
      <w:bookmarkEnd w:id="105"/>
      <w:bookmarkEnd w:id="106"/>
      <w:bookmarkEnd w:id="107"/>
      <w:bookmarkEnd w:id="108"/>
      <w:bookmarkEnd w:id="109"/>
      <w:bookmarkEnd w:id="110"/>
      <w:bookmarkEnd w:id="111"/>
      <w:bookmarkEnd w:id="112"/>
      <w:bookmarkEnd w:id="113"/>
      <w:bookmarkEnd w:id="114"/>
      <w:bookmarkEnd w:id="115"/>
      <w:bookmarkEnd w:id="116"/>
    </w:p>
    <w:p w14:paraId="7BA8B724" w14:textId="401DC63D" w:rsidR="00F84965" w:rsidRDefault="00F84965" w:rsidP="00F84965">
      <w:r>
        <w:t>The scope of the Guarantee will be determined by the types of projects, financial thresholds, workforce targets and implementation approach.</w:t>
      </w:r>
    </w:p>
    <w:p w14:paraId="1286EC92" w14:textId="43BF5CFD" w:rsidR="00F84965" w:rsidRPr="00F37669" w:rsidRDefault="00F84965" w:rsidP="002611E5">
      <w:pPr>
        <w:pStyle w:val="Heading3"/>
      </w:pPr>
      <w:r w:rsidRPr="00656EB0">
        <w:t xml:space="preserve">Applying the Guarantee to </w:t>
      </w:r>
      <w:r>
        <w:t>major construction and facilities management projects as a first step</w:t>
      </w:r>
    </w:p>
    <w:p w14:paraId="5D2E66B1" w14:textId="2E97C061" w:rsidR="00F84965" w:rsidRDefault="00F84965" w:rsidP="00F84965">
      <w:r>
        <w:t xml:space="preserve">Initially, the Guarantee could be applied to major construction and facilities management projects. Most state and territory governments have already implemented similar targets for apprentices and trainees on major construction projects (see </w:t>
      </w:r>
      <w:r>
        <w:rPr>
          <w:u w:val="single"/>
        </w:rPr>
        <w:t>Appendix B</w:t>
      </w:r>
      <w:r>
        <w:t>). As a result, many suppliers and sub</w:t>
      </w:r>
      <w:r w:rsidR="002B157A">
        <w:noBreakHyphen/>
      </w:r>
      <w:r>
        <w:t xml:space="preserve">contractors on major construction projects have experience managing workforce targets. This means that implementation in </w:t>
      </w:r>
      <w:r w:rsidRPr="00562BFE">
        <w:t>the construction sector could occur in a first phase of implementation of the Guarantee.</w:t>
      </w:r>
    </w:p>
    <w:p w14:paraId="58268358" w14:textId="5E33BAA2" w:rsidR="00F84965" w:rsidRPr="00562BFE" w:rsidRDefault="00F84965" w:rsidP="00F84965">
      <w:r w:rsidRPr="000630F8">
        <w:t xml:space="preserve">Available </w:t>
      </w:r>
      <w:r w:rsidRPr="00616923">
        <w:t xml:space="preserve">data indicates the construction industry is well positioned to meet the one in 10 target. </w:t>
      </w:r>
      <w:r w:rsidRPr="007C63C0">
        <w:t>In</w:t>
      </w:r>
      <w:r w:rsidR="00282402">
        <w:t> </w:t>
      </w:r>
      <w:r w:rsidRPr="007C63C0">
        <w:t>construction, it is estimated around one in 10 workers may already be an apprentice or trainee in 2022, which reflects that apprenticeship pathways are key pathways for trade occupations.</w:t>
      </w:r>
      <w:r w:rsidRPr="007C63C0">
        <w:rPr>
          <w:rStyle w:val="FootnoteReference"/>
        </w:rPr>
        <w:footnoteReference w:id="12"/>
      </w:r>
      <w:r w:rsidRPr="00562BFE">
        <w:t xml:space="preserve"> </w:t>
      </w:r>
      <w:r>
        <w:t>The</w:t>
      </w:r>
      <w:r w:rsidR="004E3EF9">
        <w:t> </w:t>
      </w:r>
      <w:r>
        <w:t>implementation of the Guarantee in this environment would effectively set a floor for the construction industry, ensuring that apprenticeships and traineeships remain a critical entry pathway, in the face of a tight labour market.</w:t>
      </w:r>
    </w:p>
    <w:p w14:paraId="5889A826" w14:textId="67E2BB81" w:rsidR="00F84965" w:rsidRPr="00616923" w:rsidRDefault="00F84965" w:rsidP="00F84965">
      <w:r>
        <w:t>The Guarantee could be applied to major construction projects funded through Australian Government procurement (for example, contracts for building construction and support and maintenance services</w:t>
      </w:r>
      <w:r w:rsidRPr="001B4DE4">
        <w:t>), major social and affordable housing projects, and</w:t>
      </w:r>
      <w:r>
        <w:t xml:space="preserve"> the National Partnership Agreement on Land Transport Infrastructure Projects (Land Transport Infrastructure NPA) (see </w:t>
      </w:r>
      <w:r w:rsidRPr="3374E00D">
        <w:rPr>
          <w:u w:val="single"/>
        </w:rPr>
        <w:t>Chapter 5</w:t>
      </w:r>
      <w:r>
        <w:t>).</w:t>
      </w:r>
    </w:p>
    <w:p w14:paraId="751264C7" w14:textId="1CFD9240" w:rsidR="001D107A" w:rsidRPr="00046E44" w:rsidRDefault="00F84965" w:rsidP="001D107A">
      <w:r w:rsidRPr="002C70CC">
        <w:rPr>
          <w:rFonts w:ascii="Calibri" w:eastAsia="Calibri" w:hAnsi="Calibri" w:cs="Calibri"/>
        </w:rPr>
        <w:t xml:space="preserve">In 2021-22, the Government </w:t>
      </w:r>
      <w:r>
        <w:rPr>
          <w:rFonts w:ascii="Calibri" w:eastAsia="Calibri" w:hAnsi="Calibri" w:cs="Calibri"/>
        </w:rPr>
        <w:t>committed</w:t>
      </w:r>
      <w:r w:rsidRPr="002C70CC">
        <w:rPr>
          <w:rFonts w:ascii="Calibri" w:eastAsia="Calibri" w:hAnsi="Calibri" w:cs="Calibri"/>
        </w:rPr>
        <w:t xml:space="preserve"> around $8.3 billion through direct procurement on </w:t>
      </w:r>
      <w:r w:rsidR="75BE5074" w:rsidRPr="002C70CC">
        <w:rPr>
          <w:rFonts w:ascii="Calibri" w:eastAsia="Calibri" w:hAnsi="Calibri" w:cs="Calibri"/>
        </w:rPr>
        <w:t>c</w:t>
      </w:r>
      <w:r w:rsidRPr="002C70CC">
        <w:rPr>
          <w:rFonts w:ascii="Calibri" w:eastAsia="Calibri" w:hAnsi="Calibri" w:cs="Calibri"/>
        </w:rPr>
        <w:t xml:space="preserve">onstruction </w:t>
      </w:r>
      <w:r w:rsidR="2D2D100A" w:rsidRPr="002C70CC">
        <w:rPr>
          <w:rFonts w:ascii="Calibri" w:eastAsia="Calibri" w:hAnsi="Calibri" w:cs="Calibri"/>
        </w:rPr>
        <w:t>s</w:t>
      </w:r>
      <w:r w:rsidRPr="002C70CC">
        <w:rPr>
          <w:rFonts w:ascii="Calibri" w:eastAsia="Calibri" w:hAnsi="Calibri" w:cs="Calibri"/>
        </w:rPr>
        <w:t>ervices, representing around 10.3% of total value of all the contracts.</w:t>
      </w:r>
      <w:r w:rsidRPr="002C70CC">
        <w:rPr>
          <w:rStyle w:val="FootnoteReference"/>
          <w:rFonts w:ascii="Calibri" w:eastAsia="Calibri" w:hAnsi="Calibri" w:cs="Calibri"/>
        </w:rPr>
        <w:footnoteReference w:id="13"/>
      </w:r>
      <w:r w:rsidRPr="00562BFE">
        <w:rPr>
          <w:rFonts w:ascii="Calibri" w:eastAsia="Calibri" w:hAnsi="Calibri" w:cs="Calibri"/>
        </w:rPr>
        <w:t xml:space="preserve"> This includes </w:t>
      </w:r>
      <w:r w:rsidRPr="000630F8">
        <w:rPr>
          <w:rFonts w:ascii="Calibri" w:eastAsia="Calibri" w:hAnsi="Calibri" w:cs="Calibri"/>
        </w:rPr>
        <w:t xml:space="preserve">the Government’s </w:t>
      </w:r>
      <w:r w:rsidRPr="00616923">
        <w:rPr>
          <w:rFonts w:ascii="Calibri" w:eastAsia="Calibri" w:hAnsi="Calibri" w:cs="Calibri"/>
        </w:rPr>
        <w:t>procurement for services associated with the construction and maintenance of facilities, buildings, structures, roads and infrastructure.</w:t>
      </w:r>
      <w:r w:rsidRPr="00562BFE">
        <w:rPr>
          <w:rStyle w:val="FootnoteReference"/>
          <w:rFonts w:ascii="Calibri" w:eastAsia="Calibri" w:hAnsi="Calibri" w:cs="Calibri"/>
        </w:rPr>
        <w:footnoteReference w:id="14"/>
      </w:r>
      <w:r w:rsidRPr="00562BFE">
        <w:rPr>
          <w:rFonts w:ascii="Calibri" w:eastAsia="Calibri" w:hAnsi="Calibri" w:cs="Calibri"/>
        </w:rPr>
        <w:t xml:space="preserve"> In addition, </w:t>
      </w:r>
      <w:r w:rsidRPr="4CD7B62D">
        <w:rPr>
          <w:rFonts w:eastAsia="Times New Roman"/>
        </w:rPr>
        <w:t>over</w:t>
      </w:r>
      <w:r w:rsidRPr="4CAA7689">
        <w:rPr>
          <w:rFonts w:eastAsia="Times New Roman"/>
        </w:rPr>
        <w:t xml:space="preserve"> the last </w:t>
      </w:r>
      <w:r w:rsidR="002769D4" w:rsidRPr="4CAA7689">
        <w:rPr>
          <w:rFonts w:eastAsia="Times New Roman"/>
        </w:rPr>
        <w:t>3</w:t>
      </w:r>
      <w:r w:rsidRPr="4CAA7689">
        <w:rPr>
          <w:rFonts w:eastAsia="Times New Roman"/>
        </w:rPr>
        <w:t xml:space="preserve"> years, the Government has spent an average of over $7 billion each year on land transport infrastructure</w:t>
      </w:r>
      <w:r>
        <w:rPr>
          <w:rFonts w:eastAsia="Times New Roman"/>
        </w:rPr>
        <w:t xml:space="preserve"> through the Land Transport Infrastructure NPA</w:t>
      </w:r>
      <w:r w:rsidRPr="4CAA7689">
        <w:rPr>
          <w:rFonts w:eastAsia="Times New Roman"/>
        </w:rPr>
        <w:t>.</w:t>
      </w:r>
      <w:r w:rsidRPr="4CAA7689">
        <w:rPr>
          <w:rStyle w:val="FootnoteReference"/>
        </w:rPr>
        <w:footnoteReference w:id="15"/>
      </w:r>
      <w:r>
        <w:t xml:space="preserve"> </w:t>
      </w:r>
    </w:p>
    <w:p w14:paraId="32022BB0" w14:textId="1F7A4595" w:rsidR="00F84965" w:rsidRDefault="001D107A" w:rsidP="001D107A">
      <w:pPr>
        <w:rPr>
          <w:rFonts w:ascii="Calibri" w:eastAsia="Calibri" w:hAnsi="Calibri" w:cs="Calibri"/>
        </w:rPr>
      </w:pPr>
      <w:r w:rsidRPr="509B45FD">
        <w:rPr>
          <w:rFonts w:ascii="Calibri" w:eastAsia="Calibri" w:hAnsi="Calibri" w:cs="Calibri"/>
        </w:rPr>
        <w:t>The Guarantee will not apply to contracts delivered overseas</w:t>
      </w:r>
      <w:r w:rsidRPr="7692EF8C">
        <w:rPr>
          <w:rFonts w:ascii="Calibri" w:eastAsia="Calibri" w:hAnsi="Calibri" w:cs="Calibri"/>
        </w:rPr>
        <w:t xml:space="preserve"> </w:t>
      </w:r>
      <w:r w:rsidRPr="73A0DD31">
        <w:rPr>
          <w:rFonts w:ascii="Calibri" w:eastAsia="Calibri" w:hAnsi="Calibri" w:cs="Calibri"/>
        </w:rPr>
        <w:t>in whole or in part.</w:t>
      </w:r>
      <w:r w:rsidRPr="509B45FD">
        <w:rPr>
          <w:rFonts w:ascii="Calibri" w:eastAsia="Calibri" w:hAnsi="Calibri" w:cs="Calibri"/>
        </w:rPr>
        <w:t xml:space="preserve"> Entities can consider voluntarily applying the Guarantee to contracts that include an overseas delivery component</w:t>
      </w:r>
      <w:r w:rsidRPr="6C55059B">
        <w:rPr>
          <w:rFonts w:ascii="Calibri" w:eastAsia="Calibri" w:hAnsi="Calibri" w:cs="Calibri"/>
        </w:rPr>
        <w:t>,</w:t>
      </w:r>
      <w:r w:rsidRPr="3481A582">
        <w:rPr>
          <w:rFonts w:ascii="Calibri" w:eastAsia="Calibri" w:hAnsi="Calibri" w:cs="Calibri"/>
        </w:rPr>
        <w:t xml:space="preserve"> as is the case in the Indigenous Procurement </w:t>
      </w:r>
      <w:r w:rsidRPr="7D1672F1">
        <w:rPr>
          <w:rFonts w:ascii="Calibri" w:eastAsia="Calibri" w:hAnsi="Calibri" w:cs="Calibri"/>
        </w:rPr>
        <w:t>Policy.</w:t>
      </w:r>
      <w:r w:rsidRPr="3DFB259F">
        <w:rPr>
          <w:rStyle w:val="FootnoteReference"/>
          <w:rFonts w:ascii="Calibri" w:eastAsia="Calibri" w:hAnsi="Calibri" w:cs="Calibri"/>
        </w:rPr>
        <w:footnoteReference w:id="16"/>
      </w:r>
    </w:p>
    <w:p w14:paraId="1852CB84" w14:textId="3A4CB6A9" w:rsidR="00F84965" w:rsidRPr="00F37669" w:rsidRDefault="00F84965" w:rsidP="002611E5">
      <w:pPr>
        <w:pStyle w:val="Heading3"/>
      </w:pPr>
      <w:r>
        <w:t>Expanding the</w:t>
      </w:r>
      <w:r w:rsidRPr="00F37669">
        <w:t xml:space="preserve"> Guarantee to other industries and sectors</w:t>
      </w:r>
    </w:p>
    <w:p w14:paraId="3B5652DB" w14:textId="49B395A0" w:rsidR="00F84965" w:rsidRDefault="00F84965" w:rsidP="00F84965">
      <w:r>
        <w:t>As a second stage, the Guarantee could be applied to major IT projects. This could include applying the Guarantee to a broader range of services contracts to support digital skills development, for example major Australian Government services contracts in skills and employment.</w:t>
      </w:r>
    </w:p>
    <w:p w14:paraId="79B57578" w14:textId="77777777" w:rsidR="00F84965" w:rsidRDefault="00F84965" w:rsidP="00F84965">
      <w:r>
        <w:t>Over time, it is proposed that the Guarantee be expanded to apply to other industries and sectors. The Guarantee could also have an important role in supporting skill development in emerging industries, such as new clean and renewable energy projects funded by the Government.</w:t>
      </w:r>
    </w:p>
    <w:p w14:paraId="188DA30B" w14:textId="0ABD8204" w:rsidR="00830A38" w:rsidRDefault="00F84965" w:rsidP="00F84965">
      <w:r>
        <w:t xml:space="preserve">In setting the </w:t>
      </w:r>
      <w:r w:rsidRPr="00562BFE">
        <w:t>scope of the Guarantee, as well as the timeli</w:t>
      </w:r>
      <w:r w:rsidRPr="000630F8">
        <w:t xml:space="preserve">ne for implementation, </w:t>
      </w:r>
      <w:r w:rsidRPr="00616923">
        <w:t xml:space="preserve">it is important that current workforce metrics are considered, and this varies depending on the industry and occupation. </w:t>
      </w:r>
      <w:r w:rsidRPr="007C63C0">
        <w:t xml:space="preserve">Participation rates of apprentices and trainees for industries outside of construction range from less than 1% to </w:t>
      </w:r>
      <w:r w:rsidR="00B33A52">
        <w:t xml:space="preserve">around </w:t>
      </w:r>
      <w:r w:rsidRPr="007C63C0">
        <w:t>10%.</w:t>
      </w:r>
      <w:r w:rsidRPr="007C63C0">
        <w:rPr>
          <w:rStyle w:val="FootnoteReference"/>
        </w:rPr>
        <w:footnoteReference w:id="17"/>
      </w:r>
      <w:r w:rsidRPr="007C63C0">
        <w:t xml:space="preserve"> VET pathways are less common in</w:t>
      </w:r>
      <w:r w:rsidDel="0271233C">
        <w:t xml:space="preserve"> the</w:t>
      </w:r>
      <w:r w:rsidRPr="007C63C0">
        <w:t xml:space="preserve"> IT</w:t>
      </w:r>
      <w:r w:rsidDel="0271233C">
        <w:t xml:space="preserve"> sector</w:t>
      </w:r>
      <w:r w:rsidRPr="007C63C0">
        <w:t xml:space="preserve"> than in the construction industry.</w:t>
      </w:r>
      <w:r w:rsidR="00B33A52">
        <w:t xml:space="preserve"> For example, in Computer System Design and Related Services, the participation rate </w:t>
      </w:r>
      <w:r w:rsidR="655507E3">
        <w:t xml:space="preserve">of apprentices and trainees </w:t>
      </w:r>
      <w:r w:rsidR="00B33A52">
        <w:t>is estimated to be less than 1%</w:t>
      </w:r>
      <w:r w:rsidR="0025348A" w:rsidRPr="007C63C0">
        <w:t>.</w:t>
      </w:r>
      <w:r w:rsidR="0025348A" w:rsidRPr="007C63C0">
        <w:rPr>
          <w:rStyle w:val="FootnoteReference"/>
        </w:rPr>
        <w:footnoteReference w:id="18"/>
      </w:r>
    </w:p>
    <w:p w14:paraId="605A71EC" w14:textId="097FF664" w:rsidR="00F84965" w:rsidRDefault="00F84965" w:rsidP="00F84965">
      <w:r w:rsidRPr="00562BFE">
        <w:t>Data on participation rates for paid cadetships is not easily available</w:t>
      </w:r>
      <w:r w:rsidRPr="00616923">
        <w:t>, as there is no</w:t>
      </w:r>
      <w:r w:rsidRPr="00616923">
        <w:rPr>
          <w:rStyle w:val="normaltextrun"/>
          <w:rFonts w:ascii="Calibri" w:hAnsi="Calibri" w:cs="Calibri"/>
          <w:color w:val="000000" w:themeColor="text1"/>
        </w:rPr>
        <w:t xml:space="preserve"> current national mechanism, standard or framework</w:t>
      </w:r>
      <w:r w:rsidRPr="73AE0306">
        <w:rPr>
          <w:rStyle w:val="normaltextrun"/>
          <w:rFonts w:ascii="Calibri" w:hAnsi="Calibri" w:cs="Calibri"/>
          <w:color w:val="000000" w:themeColor="text1"/>
        </w:rPr>
        <w:t xml:space="preserve"> for recording and registering cadets.</w:t>
      </w:r>
    </w:p>
    <w:p w14:paraId="08D166AB" w14:textId="0D1C16F3" w:rsidR="00F84965" w:rsidRDefault="00F84965" w:rsidP="00F84965">
      <w:r>
        <w:t xml:space="preserve">Where the Guarantee is applied to projects outside of construction, alternative targets or timeframes may need to be considered (see </w:t>
      </w:r>
      <w:r>
        <w:rPr>
          <w:u w:val="single"/>
        </w:rPr>
        <w:t>Chapters 3 and 4</w:t>
      </w:r>
      <w:r>
        <w:t>).</w:t>
      </w:r>
    </w:p>
    <w:p w14:paraId="4010AF21" w14:textId="77777777" w:rsidR="00B75752" w:rsidRDefault="00B75752" w:rsidP="00352547">
      <w:pPr>
        <w:keepNext/>
        <w:keepLines/>
        <w:rPr>
          <w:rFonts w:ascii="Calibri" w:eastAsia="Calibri" w:hAnsi="Calibri" w:cs="Calibri"/>
          <w:b/>
          <w:bCs/>
        </w:rPr>
      </w:pPr>
      <w:r>
        <w:rPr>
          <w:rFonts w:ascii="Calibri" w:eastAsia="Calibri" w:hAnsi="Calibri" w:cs="Calibri"/>
          <w:b/>
          <w:bCs/>
        </w:rPr>
        <w:t>Key questions for discussion:</w:t>
      </w:r>
    </w:p>
    <w:tbl>
      <w:tblPr>
        <w:tblStyle w:val="DESE"/>
        <w:tblW w:w="9067" w:type="dxa"/>
        <w:tblLook w:val="04A0" w:firstRow="1" w:lastRow="0" w:firstColumn="1" w:lastColumn="0" w:noHBand="0" w:noVBand="1"/>
        <w:tblDescription w:val="Discussion paper questions"/>
      </w:tblPr>
      <w:tblGrid>
        <w:gridCol w:w="562"/>
        <w:gridCol w:w="8505"/>
      </w:tblGrid>
      <w:tr w:rsidR="00D95826" w14:paraId="452CC772" w14:textId="77777777" w:rsidTr="6AD2B2D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A2F723" w14:textId="77777777" w:rsidR="00D95826" w:rsidRPr="00B100CC" w:rsidRDefault="00D95826" w:rsidP="00352547">
            <w:pPr>
              <w:keepNext/>
              <w:keepLines/>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61EFBCD9" w14:textId="77777777" w:rsidR="00D95826" w:rsidRPr="00B100CC" w:rsidRDefault="00D95826" w:rsidP="00352547">
            <w:pPr>
              <w:keepNext/>
              <w:keepLines/>
              <w:spacing w:after="100"/>
              <w:cnfStyle w:val="100000000000" w:firstRow="1" w:lastRow="0" w:firstColumn="0" w:lastColumn="0" w:oddVBand="0" w:evenVBand="0" w:oddHBand="0" w:evenHBand="0" w:firstRowFirstColumn="0" w:firstRowLastColumn="0" w:lastRowFirstColumn="0" w:lastRowLastColumn="0"/>
            </w:pPr>
            <w:r>
              <w:t>Question</w:t>
            </w:r>
          </w:p>
        </w:tc>
      </w:tr>
      <w:tr w:rsidR="00D95826" w14:paraId="439F3ED2" w14:textId="77777777" w:rsidTr="6AD2B2D2">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61EC287E" w14:textId="77777777" w:rsidR="00D95826" w:rsidRPr="0017294C" w:rsidRDefault="00D95826" w:rsidP="00352547">
            <w:pPr>
              <w:keepNext/>
              <w:keepLines/>
              <w:spacing w:after="100"/>
              <w:rPr>
                <w:rFonts w:ascii="Calibri" w:hAnsi="Calibri"/>
                <w:color w:val="FFFFFF" w:themeColor="background1"/>
              </w:rPr>
            </w:pPr>
            <w:r>
              <w:rPr>
                <w:rFonts w:ascii="Calibri" w:hAnsi="Calibri"/>
                <w:color w:val="FFFFFF" w:themeColor="background1"/>
              </w:rPr>
              <w:t>1</w:t>
            </w:r>
          </w:p>
        </w:tc>
        <w:tc>
          <w:tcPr>
            <w:tcW w:w="8505" w:type="dxa"/>
            <w:tcBorders>
              <w:top w:val="single" w:sz="4" w:space="0" w:color="FFFFFF" w:themeColor="background1"/>
              <w:left w:val="single" w:sz="4" w:space="0" w:color="FFFFFF" w:themeColor="background1"/>
            </w:tcBorders>
            <w:vAlign w:val="top"/>
          </w:tcPr>
          <w:p w14:paraId="3BDA5FF0" w14:textId="0E947D26" w:rsidR="00D95826" w:rsidRPr="00CB1206" w:rsidRDefault="73317C14" w:rsidP="6AD2B2D2">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pPr>
            <w:r w:rsidRPr="6AD2B2D2">
              <w:rPr>
                <w:color w:val="000000" w:themeColor="text1"/>
              </w:rPr>
              <w:t>What are the benefits and barriers associated with applying the Guarantee to major construction, IT, services contracts or new clean and renewable energy projects?</w:t>
            </w:r>
          </w:p>
        </w:tc>
      </w:tr>
      <w:tr w:rsidR="00D95826" w14:paraId="1257AE5B" w14:textId="77777777" w:rsidTr="6AD2B2D2">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4F39E6D0" w14:textId="77777777" w:rsidR="00D95826" w:rsidRPr="0017294C" w:rsidRDefault="00D95826" w:rsidP="00352547">
            <w:pPr>
              <w:keepNext/>
              <w:keepLines/>
              <w:spacing w:beforeAutospacing="0" w:after="0" w:afterAutospacing="0"/>
              <w:rPr>
                <w:rFonts w:ascii="Calibri" w:hAnsi="Calibri"/>
                <w:color w:val="FFFFFF" w:themeColor="background1"/>
              </w:rPr>
            </w:pPr>
            <w:r>
              <w:rPr>
                <w:rFonts w:ascii="Calibri" w:hAnsi="Calibri"/>
                <w:color w:val="FFFFFF" w:themeColor="background1"/>
              </w:rPr>
              <w:t>2</w:t>
            </w:r>
          </w:p>
        </w:tc>
        <w:tc>
          <w:tcPr>
            <w:tcW w:w="8505" w:type="dxa"/>
            <w:tcBorders>
              <w:left w:val="single" w:sz="4" w:space="0" w:color="FFFFFF" w:themeColor="background1"/>
            </w:tcBorders>
            <w:vAlign w:val="top"/>
          </w:tcPr>
          <w:p w14:paraId="7B58A24F" w14:textId="3F821994" w:rsidR="00D95826" w:rsidRPr="00E87BC6" w:rsidRDefault="074CCBFB" w:rsidP="6AD2B2D2">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color w:val="000000" w:themeColor="text1"/>
              </w:rPr>
            </w:pPr>
            <w:r>
              <w:t xml:space="preserve">Are there any other types of projects or industries the Guarantee </w:t>
            </w:r>
            <w:r w:rsidR="00A2712D">
              <w:t>sho</w:t>
            </w:r>
            <w:r w:rsidR="00A2712D" w:rsidRPr="6AD2B2D2">
              <w:rPr>
                <w:color w:val="000000" w:themeColor="text1"/>
              </w:rPr>
              <w:t xml:space="preserve">uld </w:t>
            </w:r>
            <w:r w:rsidRPr="6AD2B2D2">
              <w:rPr>
                <w:color w:val="000000" w:themeColor="text1"/>
              </w:rPr>
              <w:t>be applied to?</w:t>
            </w:r>
          </w:p>
        </w:tc>
      </w:tr>
    </w:tbl>
    <w:p w14:paraId="7D3E4BA1" w14:textId="77777777" w:rsidR="00C13FD0" w:rsidRDefault="00C13FD0">
      <w:pPr>
        <w:spacing w:after="160" w:line="259" w:lineRule="auto"/>
        <w:rPr>
          <w:rFonts w:ascii="Calibri" w:eastAsiaTheme="majorEastAsia" w:hAnsi="Calibri" w:cstheme="majorBidi"/>
          <w:b/>
          <w:color w:val="404246"/>
          <w:sz w:val="30"/>
          <w:szCs w:val="26"/>
        </w:rPr>
      </w:pPr>
      <w:bookmarkStart w:id="117" w:name="_Toc1334283602"/>
      <w:bookmarkStart w:id="118" w:name="_Toc1780564052"/>
      <w:bookmarkStart w:id="119" w:name="_Toc1499144703"/>
      <w:bookmarkStart w:id="120" w:name="_Toc973119652"/>
      <w:bookmarkStart w:id="121" w:name="_Toc2084722881"/>
      <w:bookmarkStart w:id="122" w:name="_Toc830718856"/>
      <w:bookmarkStart w:id="123" w:name="_Toc1126045129"/>
      <w:bookmarkStart w:id="124" w:name="_Toc1000909438"/>
      <w:bookmarkStart w:id="125" w:name="_Toc2134499983"/>
      <w:bookmarkStart w:id="126" w:name="_Toc884922625"/>
      <w:bookmarkStart w:id="127" w:name="_Toc117246143"/>
      <w:r>
        <w:br w:type="page"/>
      </w:r>
    </w:p>
    <w:p w14:paraId="2CC6AB12" w14:textId="7E256FC8" w:rsidR="0017294C" w:rsidRDefault="0017294C" w:rsidP="0017294C">
      <w:pPr>
        <w:pStyle w:val="Heading2"/>
      </w:pPr>
      <w:bookmarkStart w:id="128" w:name="_Toc120101380"/>
      <w:r>
        <w:t>Chapter 2: The financial threshold for major projects</w:t>
      </w:r>
      <w:bookmarkEnd w:id="117"/>
      <w:bookmarkEnd w:id="118"/>
      <w:bookmarkEnd w:id="119"/>
      <w:bookmarkEnd w:id="120"/>
      <w:bookmarkEnd w:id="121"/>
      <w:bookmarkEnd w:id="122"/>
      <w:bookmarkEnd w:id="123"/>
      <w:bookmarkEnd w:id="124"/>
      <w:bookmarkEnd w:id="125"/>
      <w:bookmarkEnd w:id="126"/>
      <w:bookmarkEnd w:id="127"/>
      <w:bookmarkEnd w:id="128"/>
    </w:p>
    <w:p w14:paraId="5C9D9E6A" w14:textId="7D1C25BE" w:rsidR="0017294C" w:rsidRPr="00616923" w:rsidRDefault="0017294C" w:rsidP="0017294C">
      <w:r>
        <w:t xml:space="preserve">The Guarantee will apply to major, Australian Government funded projects. The minimum financial threshold is a key </w:t>
      </w:r>
      <w:r w:rsidRPr="00562BFE">
        <w:t>design factor which will determine</w:t>
      </w:r>
      <w:r w:rsidRPr="00616923">
        <w:t xml:space="preserve"> which projects are in scope for the Guarantee. </w:t>
      </w:r>
    </w:p>
    <w:p w14:paraId="25D33049" w14:textId="6E0D455E" w:rsidR="0017294C" w:rsidRPr="00B77960" w:rsidRDefault="0017294C" w:rsidP="0017294C">
      <w:r w:rsidRPr="007423B6">
        <w:rPr>
          <w:rFonts w:ascii="Calibri" w:eastAsia="Calibri" w:hAnsi="Calibri" w:cs="Calibri"/>
        </w:rPr>
        <w:t xml:space="preserve">Construction </w:t>
      </w:r>
      <w:r w:rsidR="00B46063">
        <w:rPr>
          <w:rFonts w:ascii="Calibri" w:eastAsia="Calibri" w:hAnsi="Calibri" w:cs="Calibri"/>
        </w:rPr>
        <w:t>S</w:t>
      </w:r>
      <w:r w:rsidRPr="007423B6">
        <w:rPr>
          <w:rFonts w:ascii="Calibri" w:eastAsia="Calibri" w:hAnsi="Calibri" w:cs="Calibri"/>
        </w:rPr>
        <w:t xml:space="preserve">ervices is </w:t>
      </w:r>
      <w:r>
        <w:rPr>
          <w:rFonts w:ascii="Calibri" w:eastAsia="Calibri" w:hAnsi="Calibri" w:cs="Calibri"/>
        </w:rPr>
        <w:t>one of the largest</w:t>
      </w:r>
      <w:r w:rsidRPr="007423B6">
        <w:rPr>
          <w:rFonts w:ascii="Calibri" w:eastAsia="Calibri" w:hAnsi="Calibri" w:cs="Calibri"/>
        </w:rPr>
        <w:t xml:space="preserve"> categor</w:t>
      </w:r>
      <w:r>
        <w:rPr>
          <w:rFonts w:ascii="Calibri" w:eastAsia="Calibri" w:hAnsi="Calibri" w:cs="Calibri"/>
        </w:rPr>
        <w:t>ies</w:t>
      </w:r>
      <w:r w:rsidRPr="007423B6">
        <w:rPr>
          <w:rFonts w:ascii="Calibri" w:eastAsia="Calibri" w:hAnsi="Calibri" w:cs="Calibri"/>
        </w:rPr>
        <w:t xml:space="preserve"> in Australian Government procurement contracts by value, and </w:t>
      </w:r>
      <w:r w:rsidRPr="00562BFE">
        <w:rPr>
          <w:rFonts w:ascii="Calibri" w:eastAsia="Calibri" w:hAnsi="Calibri" w:cs="Calibri"/>
        </w:rPr>
        <w:t>includes the construction and maintenance of facilities, buildings, structures, roads and infrastructure</w:t>
      </w:r>
      <w:r w:rsidRPr="47A84B4D">
        <w:rPr>
          <w:rFonts w:ascii="Calibri" w:eastAsia="Calibri" w:hAnsi="Calibri" w:cs="Calibri"/>
        </w:rPr>
        <w:t>.</w:t>
      </w:r>
      <w:r w:rsidRPr="007423B6">
        <w:rPr>
          <w:rFonts w:ascii="Calibri" w:eastAsia="Calibri" w:hAnsi="Calibri" w:cs="Calibri"/>
        </w:rPr>
        <w:t xml:space="preserve"> Within the Australian Government</w:t>
      </w:r>
      <w:r w:rsidRPr="00B77960">
        <w:rPr>
          <w:rFonts w:ascii="Calibri" w:eastAsia="Calibri" w:hAnsi="Calibri" w:cs="Calibri"/>
        </w:rPr>
        <w:t xml:space="preserve"> procurements for </w:t>
      </w:r>
      <w:r w:rsidR="00B46063">
        <w:rPr>
          <w:rFonts w:ascii="Calibri" w:eastAsia="Calibri" w:hAnsi="Calibri" w:cs="Calibri"/>
        </w:rPr>
        <w:t>C</w:t>
      </w:r>
      <w:r w:rsidRPr="00B77960">
        <w:rPr>
          <w:rFonts w:ascii="Calibri" w:eastAsia="Calibri" w:hAnsi="Calibri" w:cs="Calibri"/>
        </w:rPr>
        <w:t xml:space="preserve">onstruction </w:t>
      </w:r>
      <w:r w:rsidR="00B46063">
        <w:rPr>
          <w:rFonts w:ascii="Calibri" w:eastAsia="Calibri" w:hAnsi="Calibri" w:cs="Calibri"/>
        </w:rPr>
        <w:t>S</w:t>
      </w:r>
      <w:r w:rsidRPr="00B77960">
        <w:rPr>
          <w:rFonts w:ascii="Calibri" w:eastAsia="Calibri" w:hAnsi="Calibri" w:cs="Calibri"/>
        </w:rPr>
        <w:t>ervices</w:t>
      </w:r>
      <w:r w:rsidR="00651991">
        <w:rPr>
          <w:rFonts w:ascii="Calibri" w:eastAsia="Calibri" w:hAnsi="Calibri" w:cs="Calibri"/>
        </w:rPr>
        <w:t xml:space="preserve"> in 2021-22</w:t>
      </w:r>
      <w:r w:rsidRPr="00B77960">
        <w:rPr>
          <w:rFonts w:ascii="Calibri" w:eastAsia="Calibri" w:hAnsi="Calibri" w:cs="Calibri"/>
        </w:rPr>
        <w:t xml:space="preserve">, </w:t>
      </w:r>
      <w:r w:rsidRPr="00B77960">
        <w:t>half of the total value of all contracts in this category (4,732 contracts) were captured by the largest 20 contracts, all of which were valued at $50 million and more.</w:t>
      </w:r>
      <w:r w:rsidRPr="00B77960">
        <w:rPr>
          <w:rStyle w:val="FootnoteReference"/>
        </w:rPr>
        <w:footnoteReference w:id="19"/>
      </w:r>
    </w:p>
    <w:p w14:paraId="31F029F3" w14:textId="13E05D18" w:rsidR="0017294C" w:rsidRDefault="0017294C" w:rsidP="0017294C">
      <w:pPr>
        <w:rPr>
          <w:rFonts w:ascii="Calibri" w:eastAsia="Calibri" w:hAnsi="Calibri" w:cs="Calibri"/>
        </w:rPr>
      </w:pPr>
      <w:r w:rsidRPr="00B77960">
        <w:rPr>
          <w:rFonts w:ascii="Calibri" w:eastAsia="Calibri" w:hAnsi="Calibri" w:cs="Calibri"/>
        </w:rPr>
        <w:t xml:space="preserve">The </w:t>
      </w:r>
      <w:r>
        <w:rPr>
          <w:rFonts w:ascii="Calibri" w:eastAsia="Calibri" w:hAnsi="Calibri" w:cs="Calibri"/>
        </w:rPr>
        <w:t xml:space="preserve">Australian </w:t>
      </w:r>
      <w:r w:rsidRPr="00B77960">
        <w:rPr>
          <w:rFonts w:ascii="Calibri" w:eastAsia="Calibri" w:hAnsi="Calibri" w:cs="Calibri"/>
        </w:rPr>
        <w:t xml:space="preserve">Government </w:t>
      </w:r>
      <w:r>
        <w:rPr>
          <w:rFonts w:ascii="Calibri" w:eastAsia="Calibri" w:hAnsi="Calibri" w:cs="Calibri"/>
        </w:rPr>
        <w:t>committed</w:t>
      </w:r>
      <w:r w:rsidRPr="00B77960">
        <w:rPr>
          <w:rFonts w:ascii="Calibri" w:eastAsia="Calibri" w:hAnsi="Calibri" w:cs="Calibri"/>
        </w:rPr>
        <w:t xml:space="preserve"> around $3.9 billion through procurement on Computer Services</w:t>
      </w:r>
      <w:r w:rsidR="00651991">
        <w:rPr>
          <w:rFonts w:ascii="Calibri" w:eastAsia="Calibri" w:hAnsi="Calibri" w:cs="Calibri"/>
        </w:rPr>
        <w:t xml:space="preserve"> in 2021-22</w:t>
      </w:r>
      <w:r w:rsidRPr="00B77960">
        <w:rPr>
          <w:rFonts w:ascii="Calibri" w:eastAsia="Calibri" w:hAnsi="Calibri" w:cs="Calibri"/>
        </w:rPr>
        <w:t>, representing around 4.8% of total value of all the contracts.</w:t>
      </w:r>
      <w:r w:rsidRPr="00B77960">
        <w:rPr>
          <w:rStyle w:val="FootnoteReference"/>
          <w:rFonts w:ascii="Calibri" w:eastAsia="Calibri" w:hAnsi="Calibri" w:cs="Calibri"/>
        </w:rPr>
        <w:footnoteReference w:id="20"/>
      </w:r>
      <w:r w:rsidRPr="00562BFE">
        <w:rPr>
          <w:rFonts w:ascii="Calibri" w:eastAsia="Calibri" w:hAnsi="Calibri" w:cs="Calibri"/>
        </w:rPr>
        <w:t xml:space="preserve"> In contrast to the construction industry, those projects were delivered </w:t>
      </w:r>
      <w:r w:rsidRPr="47A84B4D">
        <w:rPr>
          <w:rFonts w:ascii="Calibri" w:eastAsia="Calibri" w:hAnsi="Calibri" w:cs="Calibri"/>
        </w:rPr>
        <w:t xml:space="preserve">through </w:t>
      </w:r>
      <w:r w:rsidRPr="00562BFE">
        <w:rPr>
          <w:rFonts w:ascii="Calibri" w:eastAsia="Calibri" w:hAnsi="Calibri" w:cs="Calibri"/>
        </w:rPr>
        <w:t xml:space="preserve">much smaller contracts. </w:t>
      </w:r>
      <w:r w:rsidRPr="00616923">
        <w:rPr>
          <w:rFonts w:ascii="Calibri" w:eastAsia="Calibri" w:hAnsi="Calibri" w:cs="Calibri"/>
        </w:rPr>
        <w:t>There were only 55</w:t>
      </w:r>
      <w:r>
        <w:rPr>
          <w:rFonts w:ascii="Calibri" w:eastAsia="Calibri" w:hAnsi="Calibri" w:cs="Calibri"/>
        </w:rPr>
        <w:t> </w:t>
      </w:r>
      <w:r w:rsidRPr="00616923">
        <w:rPr>
          <w:rFonts w:ascii="Calibri" w:eastAsia="Calibri" w:hAnsi="Calibri" w:cs="Calibri"/>
        </w:rPr>
        <w:t>contracts with an individual value of $7.5 million and above, and 17 contracts valued at $20</w:t>
      </w:r>
      <w:r>
        <w:rPr>
          <w:rFonts w:ascii="Calibri" w:eastAsia="Calibri" w:hAnsi="Calibri" w:cs="Calibri"/>
        </w:rPr>
        <w:t> </w:t>
      </w:r>
      <w:r w:rsidRPr="00616923">
        <w:rPr>
          <w:rFonts w:ascii="Calibri" w:eastAsia="Calibri" w:hAnsi="Calibri" w:cs="Calibri"/>
        </w:rPr>
        <w:t>million</w:t>
      </w:r>
      <w:r w:rsidRPr="2148F385">
        <w:rPr>
          <w:rFonts w:ascii="Calibri" w:eastAsia="Calibri" w:hAnsi="Calibri" w:cs="Calibri"/>
        </w:rPr>
        <w:t xml:space="preserve"> and above</w:t>
      </w:r>
      <w:r>
        <w:rPr>
          <w:rFonts w:ascii="Calibri" w:eastAsia="Calibri" w:hAnsi="Calibri" w:cs="Calibri"/>
        </w:rPr>
        <w:t xml:space="preserve"> (see Table 1).</w:t>
      </w:r>
      <w:r>
        <w:rPr>
          <w:rStyle w:val="FootnoteReference"/>
          <w:rFonts w:ascii="Calibri" w:eastAsia="Calibri" w:hAnsi="Calibri" w:cs="Calibri"/>
        </w:rPr>
        <w:footnoteReference w:id="21"/>
      </w:r>
    </w:p>
    <w:p w14:paraId="6586296A" w14:textId="77777777" w:rsidR="0017294C" w:rsidRPr="00616923" w:rsidRDefault="0017294C" w:rsidP="0017294C">
      <w:pPr>
        <w:rPr>
          <w:rFonts w:ascii="Calibri" w:hAnsi="Calibri" w:cs="Calibri"/>
          <w:b/>
          <w:bCs/>
          <w:color w:val="000000" w:themeColor="text1"/>
        </w:rPr>
      </w:pPr>
      <w:r w:rsidRPr="5849D2C4">
        <w:rPr>
          <w:rFonts w:ascii="Calibri" w:eastAsia="Calibri" w:hAnsi="Calibri" w:cs="Calibri"/>
        </w:rPr>
        <w:t xml:space="preserve">Two options are outlined for the financial threshold for the Guarantee in Table 1. The estimated coverage of each option is based on </w:t>
      </w:r>
      <w:r>
        <w:rPr>
          <w:rFonts w:ascii="Calibri" w:eastAsia="Calibri" w:hAnsi="Calibri" w:cs="Calibri"/>
        </w:rPr>
        <w:t xml:space="preserve">Australian </w:t>
      </w:r>
      <w:r w:rsidRPr="5849D2C4">
        <w:rPr>
          <w:rFonts w:ascii="Calibri" w:eastAsia="Calibri" w:hAnsi="Calibri" w:cs="Calibri"/>
        </w:rPr>
        <w:t xml:space="preserve">Government procurement data from AusTender </w:t>
      </w:r>
      <w:r w:rsidRPr="2148F385">
        <w:rPr>
          <w:rFonts w:ascii="Calibri" w:eastAsia="Calibri" w:hAnsi="Calibri" w:cs="Calibri"/>
        </w:rPr>
        <w:t xml:space="preserve">as per 2021-22 procurement </w:t>
      </w:r>
      <w:r w:rsidRPr="00562BFE">
        <w:rPr>
          <w:rFonts w:ascii="Calibri" w:eastAsia="Calibri" w:hAnsi="Calibri" w:cs="Calibri"/>
        </w:rPr>
        <w:t>contracts</w:t>
      </w:r>
      <w:r w:rsidRPr="00616923">
        <w:rPr>
          <w:rFonts w:ascii="Calibri" w:eastAsia="Calibri" w:hAnsi="Calibri" w:cs="Calibri"/>
        </w:rPr>
        <w:t>.</w:t>
      </w:r>
    </w:p>
    <w:p w14:paraId="66EFB50D" w14:textId="77777777" w:rsidR="0017294C" w:rsidRPr="00C05A9B" w:rsidRDefault="0017294C" w:rsidP="0017294C">
      <w:pPr>
        <w:rPr>
          <w:b/>
          <w:bCs/>
        </w:rPr>
      </w:pPr>
      <w:r w:rsidRPr="00C05A9B">
        <w:rPr>
          <w:rFonts w:ascii="Calibri" w:eastAsia="Calibri" w:hAnsi="Calibri" w:cs="Calibri"/>
          <w:b/>
          <w:bCs/>
        </w:rPr>
        <w:t>Table 1. Options for the financial threshold for the Guarantee and estimated coverage</w:t>
      </w:r>
      <w:r w:rsidRPr="00C05A9B">
        <w:rPr>
          <w:rStyle w:val="FootnoteReference"/>
          <w:rFonts w:ascii="Calibri" w:eastAsia="Calibri" w:hAnsi="Calibri" w:cs="Calibri"/>
          <w:b/>
          <w:bCs/>
        </w:rPr>
        <w:footnoteReference w:id="22"/>
      </w:r>
    </w:p>
    <w:tbl>
      <w:tblPr>
        <w:tblStyle w:val="DESE"/>
        <w:tblW w:w="0" w:type="auto"/>
        <w:tblLook w:val="04A0" w:firstRow="1" w:lastRow="0" w:firstColumn="1" w:lastColumn="0" w:noHBand="0" w:noVBand="1"/>
        <w:tblDescription w:val="A table with two options and information on Australian Government contract coverage"/>
      </w:tblPr>
      <w:tblGrid>
        <w:gridCol w:w="2547"/>
        <w:gridCol w:w="3260"/>
        <w:gridCol w:w="3209"/>
      </w:tblGrid>
      <w:tr w:rsidR="00414D67" w14:paraId="0F9B9361" w14:textId="77777777" w:rsidTr="7AC5797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009C21" w14:textId="28ACD79A" w:rsidR="00414D67" w:rsidRPr="00B100CC" w:rsidRDefault="00414D67" w:rsidP="00414D67">
            <w:pPr>
              <w:spacing w:after="100"/>
            </w:pP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56728E3B" w14:textId="36EB8530" w:rsidR="00414D67" w:rsidRPr="00B100CC" w:rsidRDefault="00414D67" w:rsidP="00414D67">
            <w:pPr>
              <w:spacing w:after="100"/>
              <w:cnfStyle w:val="100000000000" w:firstRow="1" w:lastRow="0" w:firstColumn="0" w:lastColumn="0" w:oddVBand="0" w:evenVBand="0" w:oddHBand="0" w:evenHBand="0" w:firstRowFirstColumn="0" w:firstRowLastColumn="0" w:lastRowFirstColumn="0" w:lastRowLastColumn="0"/>
            </w:pPr>
            <w:r w:rsidRPr="00414D67">
              <w:t>Option 1 - $7.5 million and above</w:t>
            </w:r>
          </w:p>
        </w:tc>
        <w:tc>
          <w:tcPr>
            <w:tcW w:w="3209"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top"/>
          </w:tcPr>
          <w:p w14:paraId="03C74B2C" w14:textId="2AB5410A" w:rsidR="00414D67" w:rsidRPr="00B100CC" w:rsidRDefault="00414D67" w:rsidP="00414D67">
            <w:pPr>
              <w:spacing w:after="100"/>
              <w:cnfStyle w:val="100000000000" w:firstRow="1" w:lastRow="0" w:firstColumn="0" w:lastColumn="0" w:oddVBand="0" w:evenVBand="0" w:oddHBand="0" w:evenHBand="0" w:firstRowFirstColumn="0" w:firstRowLastColumn="0" w:lastRowFirstColumn="0" w:lastRowLastColumn="0"/>
            </w:pPr>
            <w:r w:rsidRPr="00414D67">
              <w:t>Option 2 - $20 million and above</w:t>
            </w:r>
          </w:p>
        </w:tc>
      </w:tr>
      <w:tr w:rsidR="00E87BC6" w14:paraId="2189EFF2" w14:textId="77777777" w:rsidTr="7AC57979">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5E71B326" w14:textId="2F137925" w:rsidR="00E87BC6" w:rsidRPr="0017294C" w:rsidRDefault="00E87BC6" w:rsidP="00E87BC6">
            <w:pPr>
              <w:spacing w:after="100"/>
              <w:rPr>
                <w:rFonts w:ascii="Calibri" w:hAnsi="Calibri"/>
                <w:color w:val="FFFFFF" w:themeColor="background1"/>
              </w:rPr>
            </w:pPr>
            <w:r w:rsidRPr="008B3545">
              <w:rPr>
                <w:rFonts w:ascii="Calibri" w:hAnsi="Calibri"/>
                <w:color w:val="FFFFFF" w:themeColor="background1"/>
              </w:rPr>
              <w:t>Percentage of Australian Government contracts by value and by type</w:t>
            </w:r>
          </w:p>
        </w:tc>
        <w:tc>
          <w:tcPr>
            <w:tcW w:w="3260" w:type="dxa"/>
            <w:tcBorders>
              <w:top w:val="single" w:sz="4" w:space="0" w:color="FFFFFF" w:themeColor="background1"/>
              <w:left w:val="single" w:sz="4" w:space="0" w:color="FFFFFF" w:themeColor="background1"/>
            </w:tcBorders>
            <w:vAlign w:val="top"/>
          </w:tcPr>
          <w:p w14:paraId="69568589" w14:textId="253E9FB9" w:rsidR="00E87BC6" w:rsidRPr="00E87BC6" w:rsidRDefault="00E87BC6" w:rsidP="00E87BC6">
            <w:pPr>
              <w:cnfStyle w:val="000000000000" w:firstRow="0" w:lastRow="0" w:firstColumn="0" w:lastColumn="0" w:oddVBand="0" w:evenVBand="0" w:oddHBand="0" w:evenHBand="0" w:firstRowFirstColumn="0" w:firstRowLastColumn="0" w:lastRowFirstColumn="0" w:lastRowLastColumn="0"/>
              <w:rPr>
                <w:rFonts w:cstheme="minorHAnsi"/>
              </w:rPr>
            </w:pPr>
            <w:r w:rsidRPr="00E87BC6">
              <w:rPr>
                <w:rFonts w:eastAsia="Calibri" w:cstheme="minorHAnsi"/>
                <w:color w:val="000000" w:themeColor="text1"/>
              </w:rPr>
              <w:t xml:space="preserve">~74% in </w:t>
            </w:r>
            <w:r w:rsidR="00B46063">
              <w:rPr>
                <w:rFonts w:eastAsia="Calibri" w:cstheme="minorHAnsi"/>
                <w:color w:val="000000" w:themeColor="text1"/>
              </w:rPr>
              <w:t>C</w:t>
            </w:r>
            <w:r w:rsidRPr="00E87BC6">
              <w:rPr>
                <w:rFonts w:eastAsia="Calibri" w:cstheme="minorHAnsi"/>
                <w:color w:val="000000" w:themeColor="text1"/>
              </w:rPr>
              <w:t xml:space="preserve">onstruction </w:t>
            </w:r>
            <w:r w:rsidR="00B46063">
              <w:rPr>
                <w:rFonts w:eastAsia="Calibri" w:cstheme="minorHAnsi"/>
                <w:color w:val="000000" w:themeColor="text1"/>
              </w:rPr>
              <w:t>S</w:t>
            </w:r>
            <w:r w:rsidRPr="00E87BC6">
              <w:rPr>
                <w:rFonts w:eastAsia="Calibri" w:cstheme="minorHAnsi"/>
                <w:color w:val="000000" w:themeColor="text1"/>
              </w:rPr>
              <w:t>ervices</w:t>
            </w:r>
          </w:p>
          <w:p w14:paraId="4AF29A83" w14:textId="3A6AF938" w:rsidR="00E87BC6" w:rsidRPr="00E87BC6" w:rsidRDefault="00E87BC6" w:rsidP="00E87BC6">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E87BC6">
              <w:rPr>
                <w:rFonts w:eastAsia="Calibri" w:cstheme="minorHAnsi"/>
                <w:color w:val="000000" w:themeColor="text1"/>
              </w:rPr>
              <w:t>~35% in Computer Services</w:t>
            </w:r>
          </w:p>
        </w:tc>
        <w:tc>
          <w:tcPr>
            <w:tcW w:w="3209" w:type="dxa"/>
            <w:tcBorders>
              <w:top w:val="single" w:sz="4" w:space="0" w:color="FFFFFF" w:themeColor="background1"/>
            </w:tcBorders>
            <w:vAlign w:val="top"/>
          </w:tcPr>
          <w:p w14:paraId="6131288C" w14:textId="18FAFE3C" w:rsidR="00E87BC6" w:rsidRPr="00E87BC6" w:rsidRDefault="00E87BC6" w:rsidP="00E87BC6">
            <w:pPr>
              <w:cnfStyle w:val="000000000000" w:firstRow="0" w:lastRow="0" w:firstColumn="0" w:lastColumn="0" w:oddVBand="0" w:evenVBand="0" w:oddHBand="0" w:evenHBand="0" w:firstRowFirstColumn="0" w:firstRowLastColumn="0" w:lastRowFirstColumn="0" w:lastRowLastColumn="0"/>
              <w:rPr>
                <w:rFonts w:cstheme="minorHAnsi"/>
              </w:rPr>
            </w:pPr>
            <w:r w:rsidRPr="00E87BC6">
              <w:rPr>
                <w:rFonts w:eastAsia="Calibri" w:cstheme="minorHAnsi"/>
                <w:color w:val="000000" w:themeColor="text1"/>
              </w:rPr>
              <w:t xml:space="preserve">~66% in </w:t>
            </w:r>
            <w:r w:rsidR="00B46063">
              <w:rPr>
                <w:rFonts w:eastAsia="Calibri" w:cstheme="minorHAnsi"/>
                <w:color w:val="000000" w:themeColor="text1"/>
              </w:rPr>
              <w:t>C</w:t>
            </w:r>
            <w:r w:rsidRPr="00E87BC6">
              <w:rPr>
                <w:rFonts w:eastAsia="Calibri" w:cstheme="minorHAnsi"/>
                <w:color w:val="000000" w:themeColor="text1"/>
              </w:rPr>
              <w:t xml:space="preserve">onstruction </w:t>
            </w:r>
            <w:r w:rsidR="00B46063">
              <w:rPr>
                <w:rFonts w:eastAsia="Calibri" w:cstheme="minorHAnsi"/>
                <w:color w:val="000000" w:themeColor="text1"/>
              </w:rPr>
              <w:t>S</w:t>
            </w:r>
            <w:r w:rsidRPr="00E87BC6">
              <w:rPr>
                <w:rFonts w:eastAsia="Calibri" w:cstheme="minorHAnsi"/>
                <w:color w:val="000000" w:themeColor="text1"/>
              </w:rPr>
              <w:t>ervices</w:t>
            </w:r>
          </w:p>
          <w:p w14:paraId="581E6808" w14:textId="35ED6192" w:rsidR="00E87BC6" w:rsidRPr="00E87BC6" w:rsidRDefault="00E87BC6" w:rsidP="00E87BC6">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E87BC6">
              <w:rPr>
                <w:rFonts w:eastAsia="Calibri" w:cstheme="minorHAnsi"/>
                <w:color w:val="000000" w:themeColor="text1"/>
              </w:rPr>
              <w:t>~24% in Computer Services</w:t>
            </w:r>
          </w:p>
        </w:tc>
      </w:tr>
      <w:tr w:rsidR="00E87BC6" w14:paraId="3BE53A94" w14:textId="77777777" w:rsidTr="7AC57979">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FFFFFF" w:themeColor="background1"/>
              <w:right w:val="single" w:sz="4" w:space="0" w:color="FFFFFF" w:themeColor="background1"/>
            </w:tcBorders>
            <w:shd w:val="clear" w:color="auto" w:fill="404246"/>
            <w:vAlign w:val="top"/>
          </w:tcPr>
          <w:p w14:paraId="43C6E61D" w14:textId="4777C3F1" w:rsidR="00E87BC6" w:rsidRPr="0017294C" w:rsidRDefault="00E87BC6" w:rsidP="00E87BC6">
            <w:pPr>
              <w:spacing w:after="100"/>
              <w:rPr>
                <w:rFonts w:ascii="Calibri" w:hAnsi="Calibri"/>
                <w:color w:val="FFFFFF" w:themeColor="background1"/>
              </w:rPr>
            </w:pPr>
            <w:r w:rsidRPr="008B3545">
              <w:rPr>
                <w:rFonts w:ascii="Calibri" w:hAnsi="Calibri"/>
                <w:color w:val="FFFFFF" w:themeColor="background1"/>
              </w:rPr>
              <w:t>Number of Australian Government contracts</w:t>
            </w:r>
          </w:p>
        </w:tc>
        <w:tc>
          <w:tcPr>
            <w:tcW w:w="3260" w:type="dxa"/>
            <w:tcBorders>
              <w:left w:val="single" w:sz="4" w:space="0" w:color="FFFFFF" w:themeColor="background1"/>
            </w:tcBorders>
            <w:vAlign w:val="top"/>
          </w:tcPr>
          <w:p w14:paraId="13105F50" w14:textId="15C7D643" w:rsidR="00E87BC6" w:rsidRPr="00E87BC6" w:rsidRDefault="00E87BC6" w:rsidP="00E87BC6">
            <w:pPr>
              <w:cnfStyle w:val="000000000000" w:firstRow="0" w:lastRow="0" w:firstColumn="0" w:lastColumn="0" w:oddVBand="0" w:evenVBand="0" w:oddHBand="0" w:evenHBand="0" w:firstRowFirstColumn="0" w:firstRowLastColumn="0" w:lastRowFirstColumn="0" w:lastRowLastColumn="0"/>
              <w:rPr>
                <w:rFonts w:cstheme="minorHAnsi"/>
              </w:rPr>
            </w:pPr>
            <w:r w:rsidRPr="00E87BC6">
              <w:rPr>
                <w:rFonts w:eastAsia="Calibri" w:cstheme="minorHAnsi"/>
                <w:color w:val="000000" w:themeColor="text1"/>
              </w:rPr>
              <w:t>1</w:t>
            </w:r>
            <w:r w:rsidRPr="00E87BC6">
              <w:rPr>
                <w:rFonts w:eastAsia="Calibri" w:cstheme="minorHAnsi"/>
              </w:rPr>
              <w:t xml:space="preserve">20 in </w:t>
            </w:r>
            <w:r w:rsidR="00B46063">
              <w:rPr>
                <w:rFonts w:eastAsia="Calibri" w:cstheme="minorHAnsi"/>
                <w:color w:val="000000" w:themeColor="text1"/>
              </w:rPr>
              <w:t>C</w:t>
            </w:r>
            <w:r w:rsidRPr="00E87BC6">
              <w:rPr>
                <w:rFonts w:eastAsia="Calibri" w:cstheme="minorHAnsi"/>
                <w:color w:val="000000" w:themeColor="text1"/>
              </w:rPr>
              <w:t xml:space="preserve">onstruction </w:t>
            </w:r>
            <w:r w:rsidR="00B46063">
              <w:rPr>
                <w:rFonts w:eastAsia="Calibri" w:cstheme="minorHAnsi"/>
                <w:color w:val="000000" w:themeColor="text1"/>
              </w:rPr>
              <w:t>S</w:t>
            </w:r>
            <w:r w:rsidRPr="00E87BC6">
              <w:rPr>
                <w:rFonts w:eastAsia="Calibri" w:cstheme="minorHAnsi"/>
                <w:color w:val="000000" w:themeColor="text1"/>
              </w:rPr>
              <w:t>ervices</w:t>
            </w:r>
          </w:p>
          <w:p w14:paraId="4076C026" w14:textId="43B10BC4" w:rsidR="00E87BC6" w:rsidRPr="00E87BC6" w:rsidRDefault="00E87BC6" w:rsidP="00E87BC6">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E87BC6">
              <w:rPr>
                <w:rFonts w:eastAsia="Calibri" w:cstheme="minorHAnsi"/>
              </w:rPr>
              <w:t>55 in Computer Services</w:t>
            </w:r>
          </w:p>
        </w:tc>
        <w:tc>
          <w:tcPr>
            <w:tcW w:w="3209" w:type="dxa"/>
            <w:vAlign w:val="top"/>
          </w:tcPr>
          <w:p w14:paraId="4D5C0B92" w14:textId="1FE04CE9" w:rsidR="00E87BC6" w:rsidRPr="00E87BC6" w:rsidRDefault="00E87BC6" w:rsidP="00E87BC6">
            <w:pPr>
              <w:cnfStyle w:val="000000000000" w:firstRow="0" w:lastRow="0" w:firstColumn="0" w:lastColumn="0" w:oddVBand="0" w:evenVBand="0" w:oddHBand="0" w:evenHBand="0" w:firstRowFirstColumn="0" w:firstRowLastColumn="0" w:lastRowFirstColumn="0" w:lastRowLastColumn="0"/>
              <w:rPr>
                <w:rFonts w:cstheme="minorHAnsi"/>
              </w:rPr>
            </w:pPr>
            <w:r w:rsidRPr="00E87BC6">
              <w:rPr>
                <w:rFonts w:eastAsia="Calibri" w:cstheme="minorHAnsi"/>
              </w:rPr>
              <w:t xml:space="preserve">60 in </w:t>
            </w:r>
            <w:r w:rsidR="00B46063">
              <w:rPr>
                <w:rFonts w:eastAsia="Calibri" w:cstheme="minorHAnsi"/>
                <w:color w:val="000000" w:themeColor="text1"/>
              </w:rPr>
              <w:t>C</w:t>
            </w:r>
            <w:r w:rsidRPr="00E87BC6">
              <w:rPr>
                <w:rFonts w:eastAsia="Calibri" w:cstheme="minorHAnsi"/>
                <w:color w:val="000000" w:themeColor="text1"/>
              </w:rPr>
              <w:t xml:space="preserve">onstruction </w:t>
            </w:r>
            <w:r w:rsidR="00B46063">
              <w:rPr>
                <w:rFonts w:eastAsia="Calibri" w:cstheme="minorHAnsi"/>
                <w:color w:val="000000" w:themeColor="text1"/>
              </w:rPr>
              <w:t>S</w:t>
            </w:r>
            <w:r w:rsidRPr="00E87BC6">
              <w:rPr>
                <w:rFonts w:eastAsia="Calibri" w:cstheme="minorHAnsi"/>
                <w:color w:val="000000" w:themeColor="text1"/>
              </w:rPr>
              <w:t>ervices</w:t>
            </w:r>
          </w:p>
          <w:p w14:paraId="26B654F0" w14:textId="5222738B" w:rsidR="00E87BC6" w:rsidRPr="00E87BC6" w:rsidRDefault="00E87BC6" w:rsidP="00E87BC6">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E87BC6">
              <w:rPr>
                <w:rFonts w:eastAsia="Calibri" w:cstheme="minorHAnsi"/>
              </w:rPr>
              <w:t>17 in Computer Services</w:t>
            </w:r>
          </w:p>
        </w:tc>
      </w:tr>
    </w:tbl>
    <w:p w14:paraId="013C6153" w14:textId="216BF3CC" w:rsidR="00A268D7" w:rsidRDefault="00A268D7" w:rsidP="008C683F">
      <w:pPr>
        <w:spacing w:before="240"/>
      </w:pPr>
      <w:r>
        <w:t>Option 1 would align with the threshold for Indigenous Procurement Policy</w:t>
      </w:r>
      <w:r>
        <w:rPr>
          <w:rStyle w:val="FootnoteReference"/>
        </w:rPr>
        <w:footnoteReference w:id="23"/>
      </w:r>
      <w:r>
        <w:t xml:space="preserve"> and the Indigenous Employment and Supplier-Use Infrastructure Framework</w:t>
      </w:r>
      <w:r w:rsidRPr="00EA2DB9">
        <w:t xml:space="preserve"> </w:t>
      </w:r>
      <w:r>
        <w:t>in the Land Transport Infrastructure NPA,</w:t>
      </w:r>
      <w:r>
        <w:rPr>
          <w:rStyle w:val="FootnoteReference"/>
        </w:rPr>
        <w:footnoteReference w:id="24"/>
      </w:r>
      <w:r>
        <w:t xml:space="preserve"> both of which apply certain Indigenous participation targets to contracts valued at $7.5 million and above. This lower threshold would capture more projects in rural and regional areas. A $7.5 million</w:t>
      </w:r>
      <w:r w:rsidR="0052441F">
        <w:t> </w:t>
      </w:r>
      <w:r>
        <w:t>threshold also aligns with the threshold for requirements in the Commonwealth Procurement Rules for procurements for construction services, including the requirement to consider the broader benefit of the procurement to the Australian economy.</w:t>
      </w:r>
      <w:r>
        <w:rPr>
          <w:rStyle w:val="FootnoteReference"/>
        </w:rPr>
        <w:footnoteReference w:id="25"/>
      </w:r>
    </w:p>
    <w:p w14:paraId="046E5159" w14:textId="1C720E30" w:rsidR="00A268D7" w:rsidRDefault="00A268D7" w:rsidP="00A268D7">
      <w:r>
        <w:t>Option 2 would align with the $20 million procurement threshold in the Australian Industry Participation (AIP) plans for Government procurement.</w:t>
      </w:r>
      <w:r>
        <w:rPr>
          <w:rStyle w:val="FootnoteReference"/>
        </w:rPr>
        <w:footnoteReference w:id="26"/>
      </w:r>
      <w:r>
        <w:t xml:space="preserve"> In addition, Option 2 would reduce the administrative costs on employers and governments in implementing the Guarantee, by focusing effort on a smaller group of projects.</w:t>
      </w:r>
    </w:p>
    <w:p w14:paraId="17336C8C" w14:textId="5E96FA03" w:rsidR="00A268D7" w:rsidRPr="00682500" w:rsidRDefault="00A268D7" w:rsidP="00A268D7">
      <w:r>
        <w:t>Option 2 would also reduce the Guarantee’s application to projects in rural and regional areas, when compared with Option 1. This could have the benefit of providing employers with greater hiring flexibility, in the face of tight local labour market conditions, but would also reduce the stream of demand for apprentices and trainees in these areas, which often have higher youth unemployment.</w:t>
      </w:r>
    </w:p>
    <w:p w14:paraId="2AD7F216" w14:textId="6102363B" w:rsidR="00A268D7" w:rsidRDefault="2D75B5D3" w:rsidP="00A268D7">
      <w:r>
        <w:t xml:space="preserve">Financial thresholds for projects with targets for apprentices, trainees and cadets vary in existing state and territory government policies, with minimum thresholds ranging from $250,000 to $50 million (see </w:t>
      </w:r>
      <w:r w:rsidRPr="713E1F5E">
        <w:rPr>
          <w:u w:val="single"/>
        </w:rPr>
        <w:t>Appendix B</w:t>
      </w:r>
      <w:r>
        <w:t>). Only South Australia applies a threshold higher than $20 million, which applies targets to projects valued at $50 million or more.</w:t>
      </w:r>
    </w:p>
    <w:p w14:paraId="396F0B8B" w14:textId="618AB79A" w:rsidR="00A268D7" w:rsidRDefault="00A268D7" w:rsidP="00A268D7">
      <w:r>
        <w:t xml:space="preserve">For ease of administration, one threshold is proposed for all </w:t>
      </w:r>
      <w:r w:rsidR="0066279E">
        <w:t xml:space="preserve">types of major </w:t>
      </w:r>
      <w:r>
        <w:t>projects</w:t>
      </w:r>
      <w:r w:rsidR="00904E3A">
        <w:t>, including construction and IT projects</w:t>
      </w:r>
      <w:r>
        <w:t xml:space="preserve">. Most state and territory </w:t>
      </w:r>
      <w:r w:rsidR="51AF5785">
        <w:t>governments</w:t>
      </w:r>
      <w:r>
        <w:t xml:space="preserve"> have the same thresholds for all types of construction projects, while Queensland and Tasmania apply different thresholds to civil construction and building construction contracts.</w:t>
      </w:r>
    </w:p>
    <w:p w14:paraId="7C22EA03" w14:textId="77777777" w:rsidR="009F571D" w:rsidRDefault="009F571D" w:rsidP="001E0B49">
      <w:pPr>
        <w:keepNext/>
        <w:keepLines/>
        <w:rPr>
          <w:rFonts w:ascii="Calibri" w:eastAsia="Calibri" w:hAnsi="Calibri" w:cs="Calibri"/>
          <w:b/>
          <w:bCs/>
        </w:rPr>
      </w:pPr>
      <w:r>
        <w:rPr>
          <w:rFonts w:ascii="Calibri" w:eastAsia="Calibri" w:hAnsi="Calibri" w:cs="Calibri"/>
          <w:b/>
          <w:bCs/>
        </w:rPr>
        <w:t>Key questions for discussion:</w:t>
      </w:r>
    </w:p>
    <w:tbl>
      <w:tblPr>
        <w:tblStyle w:val="DESE"/>
        <w:tblW w:w="9067" w:type="dxa"/>
        <w:tblLook w:val="04A0" w:firstRow="1" w:lastRow="0" w:firstColumn="1" w:lastColumn="0" w:noHBand="0" w:noVBand="1"/>
        <w:tblDescription w:val="Discussion paper questions"/>
      </w:tblPr>
      <w:tblGrid>
        <w:gridCol w:w="562"/>
        <w:gridCol w:w="8505"/>
      </w:tblGrid>
      <w:tr w:rsidR="005837A7" w14:paraId="6C395F1D" w14:textId="77777777" w:rsidTr="00DE79A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29F720" w14:textId="77777777" w:rsidR="00564684" w:rsidRPr="00B100CC" w:rsidRDefault="00564684" w:rsidP="001E0B49">
            <w:pPr>
              <w:keepNext/>
              <w:keepLines/>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4FFA77C4" w14:textId="77777777" w:rsidR="00564684" w:rsidRPr="00B100CC" w:rsidRDefault="00564684" w:rsidP="001E0B49">
            <w:pPr>
              <w:keepNext/>
              <w:keepLines/>
              <w:spacing w:after="100"/>
              <w:cnfStyle w:val="100000000000" w:firstRow="1" w:lastRow="0" w:firstColumn="0" w:lastColumn="0" w:oddVBand="0" w:evenVBand="0" w:oddHBand="0" w:evenHBand="0" w:firstRowFirstColumn="0" w:firstRowLastColumn="0" w:lastRowFirstColumn="0" w:lastRowLastColumn="0"/>
            </w:pPr>
            <w:r>
              <w:t>Question</w:t>
            </w:r>
          </w:p>
        </w:tc>
      </w:tr>
      <w:tr w:rsidR="005837A7" w14:paraId="14E2693E" w14:textId="77777777" w:rsidTr="00DE79A7">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3DF5C94E" w14:textId="77777777" w:rsidR="00564684" w:rsidRPr="0017294C" w:rsidRDefault="00564684" w:rsidP="001E0B49">
            <w:pPr>
              <w:keepNext/>
              <w:keepLines/>
              <w:spacing w:after="100"/>
              <w:rPr>
                <w:rFonts w:ascii="Calibri" w:hAnsi="Calibri"/>
                <w:color w:val="FFFFFF" w:themeColor="background1"/>
              </w:rPr>
            </w:pPr>
            <w:r>
              <w:rPr>
                <w:rFonts w:ascii="Calibri" w:hAnsi="Calibri"/>
                <w:color w:val="FFFFFF" w:themeColor="background1"/>
              </w:rPr>
              <w:t>3</w:t>
            </w:r>
          </w:p>
        </w:tc>
        <w:tc>
          <w:tcPr>
            <w:tcW w:w="8505" w:type="dxa"/>
            <w:tcBorders>
              <w:top w:val="single" w:sz="4" w:space="0" w:color="FFFFFF" w:themeColor="background1"/>
              <w:left w:val="single" w:sz="4" w:space="0" w:color="FFFFFF" w:themeColor="background1"/>
            </w:tcBorders>
            <w:vAlign w:val="top"/>
          </w:tcPr>
          <w:p w14:paraId="193884FD" w14:textId="0DEA8A84" w:rsidR="00564684" w:rsidRPr="008C683F" w:rsidRDefault="00564684" w:rsidP="001E0B49">
            <w:pPr>
              <w:keepNext/>
              <w:keepLines/>
              <w:cnfStyle w:val="000000000000" w:firstRow="0" w:lastRow="0" w:firstColumn="0" w:lastColumn="0" w:oddVBand="0" w:evenVBand="0" w:oddHBand="0" w:evenHBand="0" w:firstRowFirstColumn="0" w:firstRowLastColumn="0" w:lastRowFirstColumn="0" w:lastRowLastColumn="0"/>
              <w:rPr>
                <w:color w:val="000000" w:themeColor="text1"/>
              </w:rPr>
            </w:pPr>
            <w:r>
              <w:t>Of the two options for the financial threshold for the Guarantee, which is preferable and why?</w:t>
            </w:r>
            <w:r w:rsidR="00056CDF">
              <w:t xml:space="preserve"> </w:t>
            </w:r>
            <w:r w:rsidR="00AB773B">
              <w:t xml:space="preserve">Do you agree with </w:t>
            </w:r>
            <w:r w:rsidR="00797F45">
              <w:t xml:space="preserve">the proposal for one financial threshold </w:t>
            </w:r>
            <w:r w:rsidR="001C7E52">
              <w:t xml:space="preserve">across a range of types of projects, including </w:t>
            </w:r>
            <w:r w:rsidR="008167F9">
              <w:t xml:space="preserve">construction and IT projects? </w:t>
            </w:r>
          </w:p>
        </w:tc>
      </w:tr>
      <w:tr w:rsidR="005837A7" w14:paraId="3B85BD29" w14:textId="77777777" w:rsidTr="00DE79A7">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031BEF14" w14:textId="77777777" w:rsidR="00564684" w:rsidRPr="0017294C" w:rsidRDefault="00564684" w:rsidP="001E0B49">
            <w:pPr>
              <w:keepNext/>
              <w:keepLines/>
              <w:spacing w:beforeAutospacing="0" w:after="0" w:afterAutospacing="0"/>
              <w:rPr>
                <w:rFonts w:ascii="Calibri" w:hAnsi="Calibri"/>
                <w:color w:val="FFFFFF" w:themeColor="background1"/>
              </w:rPr>
            </w:pPr>
            <w:r>
              <w:rPr>
                <w:rFonts w:ascii="Calibri" w:hAnsi="Calibri"/>
                <w:color w:val="FFFFFF" w:themeColor="background1"/>
              </w:rPr>
              <w:t>4</w:t>
            </w:r>
          </w:p>
        </w:tc>
        <w:tc>
          <w:tcPr>
            <w:tcW w:w="8505" w:type="dxa"/>
            <w:tcBorders>
              <w:left w:val="single" w:sz="4" w:space="0" w:color="FFFFFF" w:themeColor="background1"/>
            </w:tcBorders>
            <w:vAlign w:val="top"/>
          </w:tcPr>
          <w:p w14:paraId="61AF93E7" w14:textId="20FDDE9E" w:rsidR="00564684" w:rsidRPr="00E87BC6" w:rsidRDefault="00564684" w:rsidP="001E0B49">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3C7F514E">
              <w:rPr>
                <w:color w:val="000000" w:themeColor="text1"/>
              </w:rPr>
              <w:t>What has been your experience of achieving workforce targets set in existing procurement policies? What is the size of the project and/or business?</w:t>
            </w:r>
          </w:p>
        </w:tc>
      </w:tr>
      <w:tr w:rsidR="005837A7" w14:paraId="7F397A00" w14:textId="77777777" w:rsidTr="00DE79A7">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07201965" w14:textId="77777777" w:rsidR="00564684" w:rsidRDefault="00564684" w:rsidP="001E0B49">
            <w:pPr>
              <w:keepNext/>
              <w:keepLines/>
              <w:spacing w:after="0"/>
              <w:rPr>
                <w:rFonts w:ascii="Calibri" w:hAnsi="Calibri"/>
                <w:color w:val="FFFFFF" w:themeColor="background1"/>
              </w:rPr>
            </w:pPr>
            <w:r>
              <w:rPr>
                <w:rFonts w:ascii="Calibri" w:hAnsi="Calibri"/>
                <w:color w:val="FFFFFF" w:themeColor="background1"/>
              </w:rPr>
              <w:t>5</w:t>
            </w:r>
          </w:p>
        </w:tc>
        <w:tc>
          <w:tcPr>
            <w:tcW w:w="8505" w:type="dxa"/>
            <w:tcBorders>
              <w:left w:val="single" w:sz="4" w:space="0" w:color="FFFFFF" w:themeColor="background1"/>
            </w:tcBorders>
            <w:vAlign w:val="top"/>
          </w:tcPr>
          <w:p w14:paraId="757AF6EE" w14:textId="7B077203" w:rsidR="00564684" w:rsidRPr="4A81C948" w:rsidRDefault="00564684" w:rsidP="001E0B49">
            <w:pPr>
              <w:keepNext/>
              <w:keepLines/>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3C7F514E">
              <w:rPr>
                <w:color w:val="000000" w:themeColor="text1"/>
              </w:rPr>
              <w:t xml:space="preserve">What are the </w:t>
            </w:r>
            <w:r>
              <w:rPr>
                <w:color w:val="000000" w:themeColor="text1"/>
              </w:rPr>
              <w:t xml:space="preserve">possible </w:t>
            </w:r>
            <w:r w:rsidRPr="3C7F514E">
              <w:rPr>
                <w:color w:val="000000" w:themeColor="text1"/>
              </w:rPr>
              <w:t>impacts of the financial threshold</w:t>
            </w:r>
            <w:r>
              <w:rPr>
                <w:color w:val="000000" w:themeColor="text1"/>
              </w:rPr>
              <w:t>s proposed</w:t>
            </w:r>
            <w:r w:rsidRPr="3C7F514E">
              <w:rPr>
                <w:color w:val="000000" w:themeColor="text1"/>
              </w:rPr>
              <w:t xml:space="preserve"> on projects in rural and regional Australia?</w:t>
            </w:r>
          </w:p>
        </w:tc>
      </w:tr>
    </w:tbl>
    <w:p w14:paraId="3B819F50" w14:textId="77777777" w:rsidR="00C13FD0" w:rsidRDefault="00C13FD0">
      <w:pPr>
        <w:spacing w:after="160" w:line="259" w:lineRule="auto"/>
        <w:rPr>
          <w:rFonts w:ascii="Calibri" w:eastAsiaTheme="majorEastAsia" w:hAnsi="Calibri" w:cstheme="majorBidi"/>
          <w:b/>
          <w:color w:val="404246"/>
          <w:sz w:val="30"/>
          <w:szCs w:val="26"/>
        </w:rPr>
      </w:pPr>
      <w:bookmarkStart w:id="129" w:name="_Toc117246144"/>
      <w:bookmarkStart w:id="130" w:name="_Toc1497674512"/>
      <w:bookmarkStart w:id="131" w:name="_Toc879359098"/>
      <w:bookmarkStart w:id="132" w:name="_Toc1627522902"/>
      <w:bookmarkStart w:id="133" w:name="_Toc2144891381"/>
      <w:bookmarkStart w:id="134" w:name="_Toc1870878606"/>
      <w:bookmarkStart w:id="135" w:name="_Toc1930155252"/>
      <w:bookmarkStart w:id="136" w:name="_Toc1686168411"/>
      <w:bookmarkStart w:id="137" w:name="_Toc267579336"/>
      <w:bookmarkStart w:id="138" w:name="_Toc1612682484"/>
      <w:bookmarkStart w:id="139" w:name="_Toc1191744348"/>
      <w:r>
        <w:br w:type="page"/>
      </w:r>
    </w:p>
    <w:p w14:paraId="793960C3" w14:textId="2F8925F3" w:rsidR="0054572C" w:rsidRDefault="0054572C" w:rsidP="0054572C">
      <w:pPr>
        <w:pStyle w:val="Heading2"/>
      </w:pPr>
      <w:bookmarkStart w:id="140" w:name="_Toc120101381"/>
      <w:r>
        <w:t>Chapter 3: One in 10 target</w:t>
      </w:r>
      <w:bookmarkEnd w:id="129"/>
      <w:bookmarkEnd w:id="130"/>
      <w:bookmarkEnd w:id="131"/>
      <w:bookmarkEnd w:id="132"/>
      <w:bookmarkEnd w:id="133"/>
      <w:bookmarkEnd w:id="134"/>
      <w:bookmarkEnd w:id="135"/>
      <w:bookmarkEnd w:id="136"/>
      <w:bookmarkEnd w:id="137"/>
      <w:bookmarkEnd w:id="138"/>
      <w:bookmarkEnd w:id="139"/>
      <w:bookmarkEnd w:id="140"/>
    </w:p>
    <w:p w14:paraId="29420291" w14:textId="28321B5E" w:rsidR="0054572C" w:rsidRDefault="0054572C" w:rsidP="0054572C">
      <w:r w:rsidRPr="4A81C948">
        <w:rPr>
          <w:rFonts w:eastAsiaTheme="minorEastAsia"/>
        </w:rPr>
        <w:t xml:space="preserve">The Guarantee seeks to </w:t>
      </w:r>
      <w:r>
        <w:t xml:space="preserve">ensure one in 10 workers on major, </w:t>
      </w:r>
      <w:r w:rsidR="00D64A14">
        <w:t xml:space="preserve">Australian Government funded </w:t>
      </w:r>
      <w:r>
        <w:t>projects is an apprentice, trainee, or paid cadet. This chapter proposes options on how to calculate the target.</w:t>
      </w:r>
    </w:p>
    <w:p w14:paraId="6469338A" w14:textId="5A5D75CB" w:rsidR="0054572C" w:rsidRDefault="0054572C" w:rsidP="002611E5">
      <w:pPr>
        <w:pStyle w:val="Heading3"/>
      </w:pPr>
      <w:r w:rsidRPr="4923D0B9">
        <w:t>Calculating the one in 10 target for major construction</w:t>
      </w:r>
      <w:r>
        <w:t xml:space="preserve"> and facilities management</w:t>
      </w:r>
      <w:r w:rsidRPr="4923D0B9">
        <w:t xml:space="preserve"> projects</w:t>
      </w:r>
    </w:p>
    <w:p w14:paraId="32EB1E2F" w14:textId="24A1913E" w:rsidR="0054572C" w:rsidRDefault="0054572C" w:rsidP="0054572C">
      <w:pPr>
        <w:rPr>
          <w:rFonts w:eastAsiaTheme="minorEastAsia"/>
        </w:rPr>
      </w:pPr>
      <w:r>
        <w:rPr>
          <w:rFonts w:eastAsiaTheme="minorEastAsia"/>
        </w:rPr>
        <w:t xml:space="preserve">For construction and facilities management projects, </w:t>
      </w:r>
      <w:r w:rsidRPr="1D08A3D2">
        <w:rPr>
          <w:rFonts w:eastAsiaTheme="minorEastAsia"/>
        </w:rPr>
        <w:t xml:space="preserve">the </w:t>
      </w:r>
      <w:r w:rsidRPr="00267E84">
        <w:rPr>
          <w:rFonts w:eastAsiaTheme="minorEastAsia"/>
        </w:rPr>
        <w:t xml:space="preserve">one in </w:t>
      </w:r>
      <w:r w:rsidRPr="1D08A3D2">
        <w:rPr>
          <w:rFonts w:eastAsiaTheme="minorEastAsia"/>
        </w:rPr>
        <w:t>10</w:t>
      </w:r>
      <w:r w:rsidRPr="00267E84">
        <w:rPr>
          <w:rFonts w:eastAsiaTheme="minorEastAsia"/>
        </w:rPr>
        <w:t xml:space="preserve"> target </w:t>
      </w:r>
      <w:r w:rsidRPr="3C7286AB">
        <w:rPr>
          <w:rFonts w:eastAsiaTheme="minorEastAsia"/>
        </w:rPr>
        <w:t>could</w:t>
      </w:r>
      <w:r>
        <w:rPr>
          <w:rFonts w:eastAsiaTheme="minorEastAsia"/>
        </w:rPr>
        <w:t xml:space="preserve"> be</w:t>
      </w:r>
      <w:r w:rsidRPr="00267E84">
        <w:rPr>
          <w:rFonts w:eastAsiaTheme="minorEastAsia"/>
        </w:rPr>
        <w:t xml:space="preserve"> calculated using total labour hours of the workforce </w:t>
      </w:r>
      <w:r>
        <w:rPr>
          <w:rFonts w:eastAsiaTheme="minorEastAsia"/>
        </w:rPr>
        <w:t>for the contract</w:t>
      </w:r>
      <w:r w:rsidRPr="00267E84">
        <w:rPr>
          <w:rFonts w:eastAsiaTheme="minorEastAsia"/>
        </w:rPr>
        <w:t>, including sub-contractors</w:t>
      </w:r>
      <w:r w:rsidRPr="3C7286AB">
        <w:rPr>
          <w:rFonts w:eastAsiaTheme="minorEastAsia"/>
        </w:rPr>
        <w:t>.</w:t>
      </w:r>
      <w:r>
        <w:rPr>
          <w:rFonts w:eastAsiaTheme="minorEastAsia"/>
        </w:rPr>
        <w:t xml:space="preserve"> This aligns with the approach taken in the existing state and territory government policies - a</w:t>
      </w:r>
      <w:r w:rsidRPr="7A8EAC4A">
        <w:rPr>
          <w:rFonts w:eastAsiaTheme="minorEastAsia"/>
        </w:rPr>
        <w:t>ll initiatives allow for or require sub-contractors to contribute to targets, and the majority calculate their targets using total labour hours</w:t>
      </w:r>
      <w:r>
        <w:rPr>
          <w:rFonts w:eastAsiaTheme="minorEastAsia"/>
        </w:rPr>
        <w:t xml:space="preserve"> (see </w:t>
      </w:r>
      <w:r>
        <w:rPr>
          <w:rFonts w:eastAsiaTheme="minorEastAsia"/>
          <w:u w:val="single"/>
        </w:rPr>
        <w:t>Appendix B</w:t>
      </w:r>
      <w:r>
        <w:rPr>
          <w:rFonts w:eastAsiaTheme="minorEastAsia"/>
        </w:rPr>
        <w:t>)</w:t>
      </w:r>
      <w:r w:rsidRPr="7A8EAC4A">
        <w:rPr>
          <w:rFonts w:eastAsiaTheme="minorEastAsia"/>
        </w:rPr>
        <w:t>.</w:t>
      </w:r>
    </w:p>
    <w:p w14:paraId="00F1BDE1" w14:textId="72F5EA85" w:rsidR="0054572C" w:rsidRDefault="0054572C" w:rsidP="0054572C">
      <w:pPr>
        <w:rPr>
          <w:rFonts w:eastAsiaTheme="minorEastAsia"/>
        </w:rPr>
      </w:pPr>
      <w:r w:rsidRPr="4A81C948">
        <w:rPr>
          <w:rFonts w:eastAsiaTheme="minorEastAsia"/>
        </w:rPr>
        <w:t xml:space="preserve">Calculating targets using labour hours (instead of headcount) would support an accurate reflection of participation on major projects, for example where an apprentice is on site for only a few hours or days. Applying the target to total labour hours </w:t>
      </w:r>
      <w:r w:rsidRPr="4A81C948">
        <w:rPr>
          <w:rFonts w:eastAsiaTheme="minorEastAsia"/>
          <w:color w:val="000000" w:themeColor="text1"/>
        </w:rPr>
        <w:t xml:space="preserve">automatically </w:t>
      </w:r>
      <w:r w:rsidRPr="62248BD7">
        <w:rPr>
          <w:rFonts w:eastAsiaTheme="minorEastAsia"/>
          <w:color w:val="000000" w:themeColor="text1"/>
        </w:rPr>
        <w:t>considers</w:t>
      </w:r>
      <w:r w:rsidRPr="4A81C948">
        <w:rPr>
          <w:rFonts w:eastAsiaTheme="minorEastAsia"/>
          <w:color w:val="000000" w:themeColor="text1"/>
        </w:rPr>
        <w:t xml:space="preserve"> varying ratios of project costs for labour and materials, for example for civil constructions projects which may have a lower ratio of costs for labour.</w:t>
      </w:r>
    </w:p>
    <w:p w14:paraId="1C8DB94D" w14:textId="5F32D59E" w:rsidR="00D64A14" w:rsidRDefault="0054572C" w:rsidP="00D64A14">
      <w:r>
        <w:t>It is not proposed to impose a requirement to hire local or in-state apprentices, trainees or cadets, to ensure employers with a mobile workforce are able to retain recruitment flexibility. Not imposing a ‘hire local’ requirement would also simplify administration and better support cross-border employers (such as those working around the Australian Capital Territory or in cities such as Albury</w:t>
      </w:r>
      <w:r>
        <w:noBreakHyphen/>
        <w:t>Wodonga).</w:t>
      </w:r>
    </w:p>
    <w:p w14:paraId="1935A7A1" w14:textId="1F748100" w:rsidR="0054572C" w:rsidRDefault="003D2609" w:rsidP="00D64A14">
      <w:r>
        <w:t>Regarding</w:t>
      </w:r>
      <w:r w:rsidR="00D64A14">
        <w:t xml:space="preserve"> sub-contractors, consideration will be given to whether m</w:t>
      </w:r>
      <w:r w:rsidR="00D64A14" w:rsidRPr="4D24FCA8">
        <w:rPr>
          <w:rFonts w:ascii="Calibri" w:eastAsia="Calibri" w:hAnsi="Calibri" w:cs="Calibri"/>
        </w:rPr>
        <w:t>anufacturers and suppliers of materials used in the delivery of goods and services under the contract</w:t>
      </w:r>
      <w:r w:rsidR="00D64A14">
        <w:rPr>
          <w:rFonts w:ascii="Calibri" w:eastAsia="Calibri" w:hAnsi="Calibri" w:cs="Calibri"/>
        </w:rPr>
        <w:t xml:space="preserve"> are in scope for the Guarantee</w:t>
      </w:r>
      <w:r w:rsidR="00D64A14" w:rsidRPr="4D24FCA8">
        <w:rPr>
          <w:rFonts w:ascii="Calibri" w:eastAsia="Calibri" w:hAnsi="Calibri" w:cs="Calibri"/>
        </w:rPr>
        <w:t>.</w:t>
      </w:r>
      <w:r w:rsidR="00D64A14">
        <w:rPr>
          <w:rFonts w:ascii="Calibri" w:eastAsia="Calibri" w:hAnsi="Calibri" w:cs="Calibri"/>
        </w:rPr>
        <w:t xml:space="preserve"> In some states</w:t>
      </w:r>
      <w:r w:rsidR="006C6043">
        <w:rPr>
          <w:rFonts w:ascii="Calibri" w:eastAsia="Calibri" w:hAnsi="Calibri" w:cs="Calibri"/>
        </w:rPr>
        <w:t xml:space="preserve"> and territories</w:t>
      </w:r>
      <w:r w:rsidR="00D64A14">
        <w:rPr>
          <w:rFonts w:ascii="Calibri" w:eastAsia="Calibri" w:hAnsi="Calibri" w:cs="Calibri"/>
        </w:rPr>
        <w:t>, manufacturers and suppliers of materials are exempt from workforce targets.</w:t>
      </w:r>
    </w:p>
    <w:p w14:paraId="3A6C8A5B" w14:textId="77777777" w:rsidR="0054572C" w:rsidRPr="00995084" w:rsidRDefault="0054572C" w:rsidP="002611E5">
      <w:pPr>
        <w:pStyle w:val="Heading4"/>
      </w:pPr>
      <w:r w:rsidRPr="00995084">
        <w:t>Inclusion of paid cadets</w:t>
      </w:r>
    </w:p>
    <w:p w14:paraId="710487BE" w14:textId="2577849E" w:rsidR="0054572C" w:rsidRDefault="0054572C" w:rsidP="0BC73B42">
      <w:pPr>
        <w:rPr>
          <w:rFonts w:eastAsiaTheme="minorEastAsia"/>
        </w:rPr>
      </w:pPr>
      <w:r w:rsidRPr="0BC73B42">
        <w:rPr>
          <w:rFonts w:eastAsiaTheme="minorEastAsia"/>
        </w:rPr>
        <w:t>Apprenticeships and traineeships are a regulated employment arrangement, delivered through the VET system and based on a Training Contract that is agreed between the apprentice/trainee and the employer and approved by the State Training Authority</w:t>
      </w:r>
      <w:r w:rsidR="008A4614">
        <w:rPr>
          <w:rStyle w:val="FootnoteReference"/>
          <w:rFonts w:eastAsiaTheme="minorEastAsia"/>
        </w:rPr>
        <w:footnoteReference w:id="27"/>
      </w:r>
      <w:r w:rsidRPr="0BC73B42">
        <w:rPr>
          <w:rFonts w:eastAsiaTheme="minorEastAsia"/>
        </w:rPr>
        <w:t xml:space="preserve">. These arrangements are then reported to the </w:t>
      </w:r>
      <w:r w:rsidR="0059591A" w:rsidRPr="0BC73B42">
        <w:rPr>
          <w:rFonts w:eastAsiaTheme="minorEastAsia"/>
        </w:rPr>
        <w:t xml:space="preserve">Government </w:t>
      </w:r>
      <w:r w:rsidRPr="0BC73B42">
        <w:rPr>
          <w:rFonts w:eastAsiaTheme="minorEastAsia"/>
        </w:rPr>
        <w:t xml:space="preserve">via the Apprenticeship Data Management System (ADMS), making tracking and reporting simpler. </w:t>
      </w:r>
      <w:r w:rsidR="00AE1961" w:rsidRPr="0BC73B42">
        <w:rPr>
          <w:rFonts w:eastAsiaTheme="minorEastAsia"/>
        </w:rPr>
        <w:t>Modern awards and enterprise agreements may also provide minimum standards and conditions of employment for apprentices and trainees.</w:t>
      </w:r>
    </w:p>
    <w:p w14:paraId="6BE0174E" w14:textId="4808D0A5" w:rsidR="0054572C" w:rsidRDefault="0054572C" w:rsidP="0054572C">
      <w:pPr>
        <w:rPr>
          <w:rFonts w:eastAsiaTheme="minorEastAsia"/>
        </w:rPr>
      </w:pPr>
      <w:r w:rsidRPr="30A4F799">
        <w:rPr>
          <w:rFonts w:eastAsiaTheme="minorEastAsia"/>
        </w:rPr>
        <w:t xml:space="preserve">Cadetships are not regulated or reported in the same way </w:t>
      </w:r>
      <w:r w:rsidR="00AB60FF" w:rsidRPr="30A4F799">
        <w:rPr>
          <w:rFonts w:eastAsiaTheme="minorEastAsia"/>
        </w:rPr>
        <w:t>as apprentices</w:t>
      </w:r>
      <w:r w:rsidR="00AB60FF">
        <w:rPr>
          <w:rFonts w:eastAsiaTheme="minorEastAsia"/>
        </w:rPr>
        <w:t xml:space="preserve"> and </w:t>
      </w:r>
      <w:r w:rsidR="00AB60FF" w:rsidRPr="30A4F799">
        <w:rPr>
          <w:rFonts w:eastAsiaTheme="minorEastAsia"/>
        </w:rPr>
        <w:t xml:space="preserve">trainees </w:t>
      </w:r>
      <w:r w:rsidRPr="30A4F799">
        <w:rPr>
          <w:rFonts w:eastAsiaTheme="minorEastAsia"/>
        </w:rPr>
        <w:t>and there is no single definition or legal arrangement used when employers take on a cadet.</w:t>
      </w:r>
    </w:p>
    <w:p w14:paraId="40EDA295" w14:textId="32BD635F" w:rsidR="00CD1DF2" w:rsidRDefault="007D6949" w:rsidP="00CD1DF2">
      <w:pPr>
        <w:rPr>
          <w:rFonts w:eastAsiaTheme="minorEastAsia"/>
        </w:rPr>
      </w:pPr>
      <w:r w:rsidRPr="30A4F799">
        <w:rPr>
          <w:rFonts w:eastAsiaTheme="minorEastAsia"/>
        </w:rPr>
        <w:t>Often cadetships are defined through role descriptions and cadetship programs.</w:t>
      </w:r>
      <w:r>
        <w:rPr>
          <w:rFonts w:eastAsiaTheme="minorEastAsia"/>
        </w:rPr>
        <w:t xml:space="preserve"> Some modern awards have specific definitions, classifications and/or rates of pay for cadets. However, most modern awards do not contain specific definitions of cadets but they may still be relevant in terms of setting minimum terms and conditions of employment. Enterprise agreements may also provide terms and conditions for cadets.</w:t>
      </w:r>
    </w:p>
    <w:p w14:paraId="0EEB0758" w14:textId="77777777" w:rsidR="0054572C" w:rsidRDefault="0054572C" w:rsidP="0054572C">
      <w:pPr>
        <w:rPr>
          <w:rFonts w:eastAsiaTheme="minorEastAsia"/>
          <w:b/>
          <w:bCs/>
          <w:color w:val="000000" w:themeColor="text1"/>
        </w:rPr>
      </w:pPr>
      <w:r w:rsidRPr="49704ACA">
        <w:rPr>
          <w:rFonts w:eastAsiaTheme="minorEastAsia"/>
        </w:rPr>
        <w:t>The construction industry offers cadetships for a range of tertiary level qualifications, including roles in site management, engineering, architecture, surveying and supply chain, advisory and engagement. As such, i</w:t>
      </w:r>
      <w:r w:rsidRPr="49704ACA">
        <w:rPr>
          <w:rFonts w:eastAsiaTheme="minorEastAsia"/>
          <w:color w:val="000000" w:themeColor="text1"/>
        </w:rPr>
        <w:t>ncluding paid cadets in the Guarantee would support the inclusion of construction industry students in non-trade roles and those completing tertiary level qualifications. Including cadets would also support suppliers for projects outside of construction to meet targets for the Guarantee, as a broader range of qualifications and occupations could be captured by cadetships.</w:t>
      </w:r>
    </w:p>
    <w:p w14:paraId="6985861F" w14:textId="1FB25C03" w:rsidR="0054572C" w:rsidRDefault="0054572C" w:rsidP="0054572C">
      <w:pPr>
        <w:rPr>
          <w:rFonts w:eastAsiaTheme="minorEastAsia"/>
        </w:rPr>
      </w:pPr>
      <w:r>
        <w:rPr>
          <w:rFonts w:eastAsiaTheme="minorEastAsia"/>
        </w:rPr>
        <w:t>To incorporate paid cadetships within the scope of the Guarantee, it will be essential to define a cadetship</w:t>
      </w:r>
      <w:r w:rsidR="00997F1A">
        <w:rPr>
          <w:rFonts w:eastAsiaTheme="minorEastAsia"/>
        </w:rPr>
        <w:t xml:space="preserve"> to manage the scope of the targets</w:t>
      </w:r>
      <w:r>
        <w:rPr>
          <w:rFonts w:eastAsiaTheme="minorEastAsia"/>
        </w:rPr>
        <w:t xml:space="preserve"> and to establish arrangements to enable reporting of cadetships </w:t>
      </w:r>
      <w:r>
        <w:rPr>
          <w:rFonts w:ascii="Calibri" w:eastAsia="Calibri" w:hAnsi="Calibri" w:cs="Calibri"/>
          <w:color w:val="000000" w:themeColor="text1"/>
        </w:rPr>
        <w:t xml:space="preserve">(see </w:t>
      </w:r>
      <w:r>
        <w:rPr>
          <w:rFonts w:ascii="Calibri" w:eastAsia="Calibri" w:hAnsi="Calibri" w:cs="Calibri"/>
          <w:color w:val="000000" w:themeColor="text1"/>
          <w:u w:val="single"/>
        </w:rPr>
        <w:t>Chapter 6</w:t>
      </w:r>
      <w:r>
        <w:rPr>
          <w:rFonts w:ascii="Calibri" w:eastAsia="Calibri" w:hAnsi="Calibri" w:cs="Calibri"/>
          <w:color w:val="000000" w:themeColor="text1"/>
        </w:rPr>
        <w:t>)</w:t>
      </w:r>
      <w:r>
        <w:rPr>
          <w:rFonts w:eastAsiaTheme="minorEastAsia"/>
        </w:rPr>
        <w:t>.</w:t>
      </w:r>
      <w:r w:rsidR="00882FB6">
        <w:rPr>
          <w:rFonts w:eastAsiaTheme="minorEastAsia"/>
        </w:rPr>
        <w:t xml:space="preserve">   </w:t>
      </w:r>
    </w:p>
    <w:p w14:paraId="42773438" w14:textId="21B27F91" w:rsidR="0054572C" w:rsidRDefault="0054572C" w:rsidP="0054572C">
      <w:pPr>
        <w:rPr>
          <w:rFonts w:eastAsiaTheme="minorEastAsia"/>
        </w:rPr>
      </w:pPr>
      <w:r w:rsidRPr="49704ACA">
        <w:rPr>
          <w:rFonts w:eastAsiaTheme="minorEastAsia"/>
        </w:rPr>
        <w:t>For the purpose of the Guarantee, it is proposed that a paid cadet be defined as:</w:t>
      </w:r>
    </w:p>
    <w:p w14:paraId="721B23D4" w14:textId="77777777" w:rsidR="0054572C" w:rsidRDefault="0054572C" w:rsidP="0054572C">
      <w:pPr>
        <w:ind w:left="720"/>
        <w:rPr>
          <w:rFonts w:eastAsiaTheme="minorEastAsia"/>
        </w:rPr>
      </w:pPr>
      <w:r w:rsidRPr="7A8EAC4A">
        <w:rPr>
          <w:rFonts w:ascii="Calibri" w:eastAsia="Calibri" w:hAnsi="Calibri" w:cs="Calibri"/>
          <w:color w:val="000000" w:themeColor="text1"/>
        </w:rPr>
        <w:t xml:space="preserve">A paid employee </w:t>
      </w:r>
      <w:r>
        <w:rPr>
          <w:rFonts w:ascii="Calibri" w:eastAsia="Calibri" w:hAnsi="Calibri" w:cs="Calibri"/>
          <w:color w:val="000000" w:themeColor="text1"/>
        </w:rPr>
        <w:t xml:space="preserve">who is employed in an entry-level role and undertaking </w:t>
      </w:r>
      <w:r w:rsidRPr="7A8EAC4A">
        <w:rPr>
          <w:rFonts w:ascii="Calibri" w:eastAsia="Calibri" w:hAnsi="Calibri" w:cs="Calibri"/>
          <w:color w:val="000000" w:themeColor="text1"/>
        </w:rPr>
        <w:t xml:space="preserve">academic study </w:t>
      </w:r>
      <w:r>
        <w:rPr>
          <w:rFonts w:ascii="Calibri" w:eastAsia="Calibri" w:hAnsi="Calibri" w:cs="Calibri"/>
          <w:color w:val="000000" w:themeColor="text1"/>
        </w:rPr>
        <w:t xml:space="preserve">through either the VET or higher education system towards a recognised qualification, where the employer has committed to providing the employee with on-the-job training and support to complete </w:t>
      </w:r>
      <w:r w:rsidRPr="7A8EAC4A">
        <w:rPr>
          <w:rFonts w:ascii="Calibri" w:eastAsia="Calibri" w:hAnsi="Calibri" w:cs="Calibri"/>
          <w:color w:val="000000" w:themeColor="text1"/>
        </w:rPr>
        <w:t>the specified course of academic study.</w:t>
      </w:r>
    </w:p>
    <w:p w14:paraId="163A73E7" w14:textId="27B4ACE3" w:rsidR="0054572C" w:rsidRDefault="0054572C" w:rsidP="002611E5">
      <w:pPr>
        <w:pStyle w:val="Heading3"/>
        <w:rPr>
          <w:rFonts w:eastAsia="Calibri" w:cs="Calibri"/>
        </w:rPr>
      </w:pPr>
      <w:r w:rsidRPr="49704ACA">
        <w:t>Alternative targets or flexibility for contracting agencies could support applying the Guarantee to projects outside of construction</w:t>
      </w:r>
    </w:p>
    <w:p w14:paraId="5B7D305F" w14:textId="7442819B" w:rsidR="0054572C" w:rsidRPr="00F501FC" w:rsidRDefault="0054572C" w:rsidP="0054572C">
      <w:pPr>
        <w:rPr>
          <w:rFonts w:eastAsiaTheme="minorEastAsia"/>
          <w:color w:val="000000" w:themeColor="text1"/>
        </w:rPr>
      </w:pPr>
      <w:r>
        <w:rPr>
          <w:rFonts w:eastAsiaTheme="minorEastAsia"/>
        </w:rPr>
        <w:t>For projects outside of construction, where apprenticeship</w:t>
      </w:r>
      <w:r w:rsidR="001501A7">
        <w:rPr>
          <w:rFonts w:eastAsiaTheme="minorEastAsia"/>
        </w:rPr>
        <w:t xml:space="preserve"> and traineeship</w:t>
      </w:r>
      <w:r>
        <w:rPr>
          <w:rFonts w:eastAsiaTheme="minorEastAsia"/>
        </w:rPr>
        <w:t xml:space="preserve"> pathways are typically less common, it may be necessary to apply the Guarantee in a different way. </w:t>
      </w:r>
      <w:r w:rsidR="00AE11B8" w:rsidRPr="00B27D38">
        <w:rPr>
          <w:rFonts w:eastAsiaTheme="minorEastAsia"/>
          <w:color w:val="000000" w:themeColor="text1"/>
        </w:rPr>
        <w:t xml:space="preserve">We are interested in </w:t>
      </w:r>
      <w:r w:rsidR="00AE11B8">
        <w:rPr>
          <w:rFonts w:eastAsiaTheme="minorEastAsia"/>
          <w:color w:val="000000" w:themeColor="text1"/>
        </w:rPr>
        <w:t xml:space="preserve">hearing from contracting agencies, industry and current and potential suppliers on how to apply the Guarantee to projects outside of construction. </w:t>
      </w:r>
      <w:r>
        <w:rPr>
          <w:rFonts w:eastAsiaTheme="minorEastAsia"/>
        </w:rPr>
        <w:t>This could be through:</w:t>
      </w:r>
    </w:p>
    <w:p w14:paraId="6CB582FA" w14:textId="5A3900A2" w:rsidR="0054572C" w:rsidRPr="00995084" w:rsidRDefault="00AE11B8" w:rsidP="0054572C">
      <w:pPr>
        <w:pStyle w:val="ListParagraph"/>
        <w:numPr>
          <w:ilvl w:val="0"/>
          <w:numId w:val="17"/>
        </w:numPr>
        <w:spacing w:line="240" w:lineRule="auto"/>
      </w:pPr>
      <w:r>
        <w:t xml:space="preserve">Option 1: </w:t>
      </w:r>
      <w:r w:rsidR="0054572C">
        <w:t>a</w:t>
      </w:r>
      <w:r w:rsidR="0054572C" w:rsidRPr="00995084">
        <w:t>pplying the target beyond apprentices, trainees or paid cadets to ‘learning workers’; or</w:t>
      </w:r>
    </w:p>
    <w:p w14:paraId="0A6EA231" w14:textId="77E8A243" w:rsidR="0054572C" w:rsidRPr="00CB236E" w:rsidRDefault="00AE11B8" w:rsidP="0054572C">
      <w:pPr>
        <w:pStyle w:val="ListParagraph"/>
        <w:numPr>
          <w:ilvl w:val="0"/>
          <w:numId w:val="17"/>
        </w:numPr>
        <w:spacing w:line="240" w:lineRule="auto"/>
      </w:pPr>
      <w:r>
        <w:t xml:space="preserve">Option 2: </w:t>
      </w:r>
      <w:r w:rsidR="0054572C">
        <w:t>allowing greater flexibility for contracting agencies to determine targets on a project-by-project basis.</w:t>
      </w:r>
    </w:p>
    <w:p w14:paraId="5150DE88" w14:textId="77777777" w:rsidR="0054572C" w:rsidRPr="00995084" w:rsidRDefault="0054572C" w:rsidP="002611E5">
      <w:pPr>
        <w:pStyle w:val="Heading4"/>
      </w:pPr>
      <w:r w:rsidRPr="00995084">
        <w:t>Learning workers</w:t>
      </w:r>
    </w:p>
    <w:p w14:paraId="2675F21B" w14:textId="57D49160" w:rsidR="0054572C" w:rsidRDefault="0054572C" w:rsidP="0054572C">
      <w:pPr>
        <w:rPr>
          <w:rFonts w:eastAsiaTheme="minorEastAsia"/>
          <w:color w:val="000000" w:themeColor="text1"/>
        </w:rPr>
      </w:pPr>
      <w:r w:rsidRPr="78B510CA">
        <w:rPr>
          <w:rFonts w:eastAsiaTheme="minorEastAsia"/>
          <w:color w:val="000000" w:themeColor="text1"/>
        </w:rPr>
        <w:t xml:space="preserve">Under </w:t>
      </w:r>
      <w:r w:rsidR="008641BB">
        <w:rPr>
          <w:rFonts w:eastAsiaTheme="minorEastAsia"/>
          <w:color w:val="000000" w:themeColor="text1"/>
        </w:rPr>
        <w:t>Option 1</w:t>
      </w:r>
      <w:r w:rsidRPr="78B510CA">
        <w:rPr>
          <w:rFonts w:eastAsiaTheme="minorEastAsia"/>
          <w:color w:val="000000" w:themeColor="text1"/>
        </w:rPr>
        <w:t>, the target could be met through a broader ‘learning worker’ definition, that would allow employers to count employees who are undertaking accredited VET or higher education training outside of an apprenticeship, traineeship or cadetship arrangement</w:t>
      </w:r>
      <w:r w:rsidR="00584129">
        <w:rPr>
          <w:rFonts w:eastAsiaTheme="minorEastAsia"/>
          <w:color w:val="000000" w:themeColor="text1"/>
        </w:rPr>
        <w:t xml:space="preserve"> that is formally supported by the employer</w:t>
      </w:r>
      <w:r w:rsidRPr="78B510CA">
        <w:rPr>
          <w:rFonts w:eastAsiaTheme="minorEastAsia"/>
          <w:color w:val="000000" w:themeColor="text1"/>
        </w:rPr>
        <w:t xml:space="preserve">. For example, the New South Wales has a </w:t>
      </w:r>
      <w:r w:rsidR="00734EB1">
        <w:rPr>
          <w:rFonts w:eastAsiaTheme="minorEastAsia"/>
          <w:color w:val="000000" w:themeColor="text1"/>
        </w:rPr>
        <w:t xml:space="preserve">higher </w:t>
      </w:r>
      <w:r w:rsidRPr="78B510CA">
        <w:rPr>
          <w:rFonts w:eastAsiaTheme="minorEastAsia"/>
          <w:color w:val="000000" w:themeColor="text1"/>
        </w:rPr>
        <w:t xml:space="preserve">target for learning workers on major construction projects </w:t>
      </w:r>
      <w:r w:rsidR="00F10612">
        <w:rPr>
          <w:rFonts w:eastAsiaTheme="minorEastAsia"/>
          <w:color w:val="000000" w:themeColor="text1"/>
        </w:rPr>
        <w:t xml:space="preserve">than the target for apprentices and trainees </w:t>
      </w:r>
      <w:r w:rsidRPr="78B510CA">
        <w:rPr>
          <w:rFonts w:eastAsiaTheme="minorEastAsia"/>
          <w:color w:val="000000" w:themeColor="text1"/>
        </w:rPr>
        <w:t xml:space="preserve">(see </w:t>
      </w:r>
      <w:r w:rsidRPr="78B510CA">
        <w:rPr>
          <w:rFonts w:eastAsiaTheme="minorEastAsia"/>
          <w:color w:val="000000" w:themeColor="text1"/>
          <w:u w:val="single"/>
        </w:rPr>
        <w:t>Appendix B</w:t>
      </w:r>
      <w:r w:rsidRPr="78B510CA">
        <w:rPr>
          <w:rFonts w:eastAsiaTheme="minorEastAsia"/>
          <w:color w:val="000000" w:themeColor="text1"/>
        </w:rPr>
        <w:t xml:space="preserve">), and this </w:t>
      </w:r>
      <w:r w:rsidRPr="78B510CA">
        <w:rPr>
          <w:rFonts w:ascii="Calibri" w:eastAsia="Calibri" w:hAnsi="Calibri" w:cs="Calibri"/>
          <w:color w:val="000000" w:themeColor="text1"/>
        </w:rPr>
        <w:t xml:space="preserve">could help to </w:t>
      </w:r>
      <w:r w:rsidRPr="78B510CA">
        <w:rPr>
          <w:rFonts w:eastAsiaTheme="minorEastAsia"/>
          <w:color w:val="000000" w:themeColor="text1"/>
        </w:rPr>
        <w:t>support suppliers to upskill employees on projects outside of construction</w:t>
      </w:r>
      <w:r>
        <w:rPr>
          <w:rFonts w:eastAsiaTheme="minorEastAsia"/>
          <w:color w:val="000000" w:themeColor="text1"/>
        </w:rPr>
        <w:t xml:space="preserve"> where apprenticeship and traineeship pathways are less common</w:t>
      </w:r>
      <w:r w:rsidRPr="78B510CA">
        <w:rPr>
          <w:rFonts w:eastAsiaTheme="minorEastAsia"/>
          <w:color w:val="000000" w:themeColor="text1"/>
        </w:rPr>
        <w:t>.</w:t>
      </w:r>
    </w:p>
    <w:p w14:paraId="461D2632" w14:textId="2E0AFBC7" w:rsidR="008F30C3" w:rsidRDefault="0054572C" w:rsidP="4AE7E661">
      <w:pPr>
        <w:rPr>
          <w:rFonts w:eastAsiaTheme="minorEastAsia"/>
          <w:color w:val="000000" w:themeColor="text1"/>
        </w:rPr>
      </w:pPr>
      <w:r w:rsidRPr="4AE7E661">
        <w:rPr>
          <w:rFonts w:eastAsiaTheme="minorEastAsia"/>
          <w:color w:val="000000" w:themeColor="text1"/>
        </w:rPr>
        <w:t xml:space="preserve">This would support lifelong learning and upskilling of workers throughout their career. It may be of particular use in relation to digital skills, to ensure workers continue to gain new skills in emerging technology. If this approach were adopted, </w:t>
      </w:r>
      <w:r w:rsidR="51C251ED" w:rsidRPr="4AE7E661">
        <w:rPr>
          <w:rFonts w:ascii="Calibri" w:eastAsia="Calibri" w:hAnsi="Calibri" w:cs="Calibri"/>
          <w:color w:val="000000" w:themeColor="text1"/>
        </w:rPr>
        <w:t>careful consideration is needed to ensure appropriate protections for individuals and quality of training, and</w:t>
      </w:r>
      <w:r w:rsidR="51C251ED" w:rsidRPr="4AE7E661">
        <w:rPr>
          <w:rFonts w:ascii="Calibri" w:eastAsia="Calibri" w:hAnsi="Calibri" w:cs="Calibri"/>
        </w:rPr>
        <w:t xml:space="preserve"> </w:t>
      </w:r>
      <w:r w:rsidRPr="4AE7E661">
        <w:rPr>
          <w:rFonts w:eastAsiaTheme="minorEastAsia"/>
          <w:color w:val="000000" w:themeColor="text1"/>
        </w:rPr>
        <w:t xml:space="preserve">there would need to be a system to report additional details on learning workers, like the approach to reporting on paid cadets (see </w:t>
      </w:r>
      <w:r w:rsidRPr="4AE7E661">
        <w:rPr>
          <w:rFonts w:eastAsiaTheme="minorEastAsia"/>
          <w:color w:val="000000" w:themeColor="text1"/>
          <w:u w:val="single"/>
        </w:rPr>
        <w:t>Chapter 6</w:t>
      </w:r>
      <w:r w:rsidRPr="4AE7E661">
        <w:rPr>
          <w:rFonts w:eastAsiaTheme="minorEastAsia"/>
          <w:color w:val="000000" w:themeColor="text1"/>
        </w:rPr>
        <w:t>).</w:t>
      </w:r>
    </w:p>
    <w:p w14:paraId="4491FBBD" w14:textId="19329F7C" w:rsidR="0054572C" w:rsidRPr="00DB0CFA" w:rsidRDefault="0054572C" w:rsidP="002611E5">
      <w:pPr>
        <w:pStyle w:val="Heading4"/>
      </w:pPr>
      <w:r w:rsidRPr="00DB0CFA">
        <w:t>Flexibility to determine targets on a project</w:t>
      </w:r>
      <w:r w:rsidRPr="02D5B0FA">
        <w:t>-</w:t>
      </w:r>
      <w:r w:rsidRPr="00DB0CFA">
        <w:t>by</w:t>
      </w:r>
      <w:r w:rsidRPr="02D5B0FA">
        <w:t>-</w:t>
      </w:r>
      <w:r w:rsidRPr="00DB0CFA">
        <w:t>project basis</w:t>
      </w:r>
    </w:p>
    <w:p w14:paraId="2F735774" w14:textId="10D9F674" w:rsidR="0054572C" w:rsidRDefault="00D04940" w:rsidP="0054572C">
      <w:pPr>
        <w:rPr>
          <w:rFonts w:eastAsiaTheme="minorEastAsia"/>
          <w:color w:val="000000" w:themeColor="text1"/>
        </w:rPr>
      </w:pPr>
      <w:r>
        <w:rPr>
          <w:rFonts w:eastAsiaTheme="minorEastAsia"/>
          <w:color w:val="000000" w:themeColor="text1"/>
        </w:rPr>
        <w:t>Option 2 would</w:t>
      </w:r>
      <w:r w:rsidR="0054572C">
        <w:rPr>
          <w:rFonts w:eastAsiaTheme="minorEastAsia"/>
          <w:color w:val="000000" w:themeColor="text1"/>
        </w:rPr>
        <w:t xml:space="preserve"> a</w:t>
      </w:r>
      <w:r w:rsidR="0054572C" w:rsidRPr="4A81C948">
        <w:rPr>
          <w:rFonts w:eastAsiaTheme="minorEastAsia"/>
          <w:color w:val="000000" w:themeColor="text1"/>
        </w:rPr>
        <w:t xml:space="preserve">llow flexibility in the way contracting agencies establish targets. </w:t>
      </w:r>
      <w:r w:rsidR="0054572C">
        <w:rPr>
          <w:rFonts w:eastAsiaTheme="minorEastAsia"/>
          <w:color w:val="000000" w:themeColor="text1"/>
        </w:rPr>
        <w:t>T</w:t>
      </w:r>
      <w:r w:rsidR="0054572C" w:rsidRPr="4A81C948">
        <w:rPr>
          <w:rFonts w:eastAsiaTheme="minorEastAsia"/>
          <w:color w:val="000000" w:themeColor="text1"/>
        </w:rPr>
        <w:t xml:space="preserve">his could allow for the consideration of the current rates of apprentices, trainees and </w:t>
      </w:r>
      <w:r w:rsidR="0054572C">
        <w:rPr>
          <w:rFonts w:eastAsiaTheme="minorEastAsia"/>
          <w:color w:val="000000" w:themeColor="text1"/>
        </w:rPr>
        <w:t xml:space="preserve">paid </w:t>
      </w:r>
      <w:r w:rsidR="0054572C" w:rsidRPr="4A81C948">
        <w:rPr>
          <w:rFonts w:eastAsiaTheme="minorEastAsia"/>
          <w:color w:val="000000" w:themeColor="text1"/>
        </w:rPr>
        <w:t>cadets in an industry or type of project during the tender process</w:t>
      </w:r>
      <w:r w:rsidR="0054572C">
        <w:rPr>
          <w:rFonts w:eastAsiaTheme="minorEastAsia"/>
          <w:color w:val="000000" w:themeColor="text1"/>
        </w:rPr>
        <w:t xml:space="preserve"> and allow application of the policy to be tailored to local conditions</w:t>
      </w:r>
      <w:r w:rsidR="0054572C" w:rsidRPr="4A81C948">
        <w:rPr>
          <w:rFonts w:eastAsiaTheme="minorEastAsia"/>
          <w:color w:val="000000" w:themeColor="text1"/>
        </w:rPr>
        <w:t xml:space="preserve">. </w:t>
      </w:r>
      <w:r w:rsidR="0054572C">
        <w:rPr>
          <w:rFonts w:eastAsiaTheme="minorEastAsia"/>
          <w:color w:val="000000" w:themeColor="text1"/>
        </w:rPr>
        <w:t xml:space="preserve">If this approach </w:t>
      </w:r>
      <w:r w:rsidR="0033552A">
        <w:rPr>
          <w:rFonts w:eastAsiaTheme="minorEastAsia"/>
          <w:color w:val="000000" w:themeColor="text1"/>
        </w:rPr>
        <w:t xml:space="preserve">were </w:t>
      </w:r>
      <w:r w:rsidR="0054572C">
        <w:rPr>
          <w:rFonts w:eastAsiaTheme="minorEastAsia"/>
          <w:color w:val="000000" w:themeColor="text1"/>
        </w:rPr>
        <w:t>adopted, procurement officials would need to be supported with a set of principles outlining how targets could be applied. This approach could then be reviewed after an initial implementation period.</w:t>
      </w:r>
    </w:p>
    <w:p w14:paraId="1EC336CC" w14:textId="4F8806A5" w:rsidR="0054572C" w:rsidRDefault="0054572C" w:rsidP="0054572C">
      <w:pPr>
        <w:rPr>
          <w:rStyle w:val="normaltextrun"/>
          <w:rFonts w:cs="Calibri"/>
          <w:color w:val="000000"/>
          <w:shd w:val="clear" w:color="auto" w:fill="FFFFFF"/>
        </w:rPr>
      </w:pPr>
      <w:r w:rsidRPr="3374E00D">
        <w:rPr>
          <w:rFonts w:eastAsiaTheme="minorEastAsia"/>
        </w:rPr>
        <w:t xml:space="preserve">Across all existing state and territory government initiatives, contracting agencies are required to ensure compliance and manage reporting requirements. </w:t>
      </w:r>
      <w:r w:rsidR="006C10DE">
        <w:rPr>
          <w:rStyle w:val="normaltextrun"/>
          <w:rFonts w:cs="Calibri"/>
          <w:color w:val="000000"/>
          <w:shd w:val="clear" w:color="auto" w:fill="FFFFFF"/>
        </w:rPr>
        <w:t xml:space="preserve">Variations to targets are allowed in </w:t>
      </w:r>
      <w:r w:rsidR="006C10DE" w:rsidRPr="3374E00D">
        <w:rPr>
          <w:rFonts w:eastAsiaTheme="minorEastAsia"/>
          <w:color w:val="000000" w:themeColor="text1"/>
        </w:rPr>
        <w:t xml:space="preserve">New South Wales, Queensland, </w:t>
      </w:r>
      <w:r w:rsidR="0033552A" w:rsidRPr="3374E00D">
        <w:rPr>
          <w:rFonts w:eastAsiaTheme="minorEastAsia"/>
          <w:color w:val="000000" w:themeColor="text1"/>
        </w:rPr>
        <w:t xml:space="preserve">Western </w:t>
      </w:r>
      <w:r w:rsidR="006C10DE" w:rsidRPr="3374E00D">
        <w:rPr>
          <w:rFonts w:eastAsiaTheme="minorEastAsia"/>
          <w:color w:val="000000" w:themeColor="text1"/>
        </w:rPr>
        <w:t xml:space="preserve">Australia, </w:t>
      </w:r>
      <w:r w:rsidR="0033552A" w:rsidRPr="3374E00D">
        <w:rPr>
          <w:rFonts w:eastAsiaTheme="minorEastAsia"/>
          <w:color w:val="000000" w:themeColor="text1"/>
        </w:rPr>
        <w:t xml:space="preserve">South </w:t>
      </w:r>
      <w:r w:rsidR="006C10DE" w:rsidRPr="3374E00D">
        <w:rPr>
          <w:rFonts w:eastAsiaTheme="minorEastAsia"/>
          <w:color w:val="000000" w:themeColor="text1"/>
        </w:rPr>
        <w:t>Australia</w:t>
      </w:r>
      <w:r w:rsidR="006C10DE">
        <w:rPr>
          <w:rFonts w:eastAsiaTheme="minorEastAsia"/>
          <w:color w:val="000000" w:themeColor="text1"/>
        </w:rPr>
        <w:t xml:space="preserve"> and</w:t>
      </w:r>
      <w:r w:rsidR="006C10DE" w:rsidRPr="3374E00D">
        <w:rPr>
          <w:rFonts w:eastAsiaTheme="minorEastAsia"/>
          <w:color w:val="000000" w:themeColor="text1"/>
        </w:rPr>
        <w:t xml:space="preserve"> Tasmania, and</w:t>
      </w:r>
      <w:r w:rsidR="006C10DE">
        <w:rPr>
          <w:rFonts w:eastAsiaTheme="minorEastAsia"/>
          <w:color w:val="000000" w:themeColor="text1"/>
        </w:rPr>
        <w:t xml:space="preserve"> for</w:t>
      </w:r>
      <w:r w:rsidR="006C10DE" w:rsidRPr="3374E00D">
        <w:rPr>
          <w:rFonts w:eastAsiaTheme="minorEastAsia"/>
          <w:color w:val="000000" w:themeColor="text1"/>
        </w:rPr>
        <w:t xml:space="preserve"> initiatives</w:t>
      </w:r>
      <w:r w:rsidR="006C10DE" w:rsidDel="006C10DE">
        <w:rPr>
          <w:rStyle w:val="normaltextrun"/>
          <w:rFonts w:cs="Calibri"/>
          <w:color w:val="000000"/>
          <w:shd w:val="clear" w:color="auto" w:fill="FFFFFF"/>
        </w:rPr>
        <w:t xml:space="preserve"> </w:t>
      </w:r>
      <w:r w:rsidR="006C10DE">
        <w:rPr>
          <w:rStyle w:val="normaltextrun"/>
          <w:rFonts w:cs="Calibri"/>
          <w:color w:val="000000"/>
          <w:shd w:val="clear" w:color="auto" w:fill="FFFFFF"/>
        </w:rPr>
        <w:t>within the Australian Capital Territory, targets are determined on a case-by-case basis. </w:t>
      </w:r>
    </w:p>
    <w:p w14:paraId="79803881" w14:textId="77777777" w:rsidR="009F571D" w:rsidRDefault="009F571D" w:rsidP="009F571D">
      <w:pPr>
        <w:rPr>
          <w:rFonts w:ascii="Calibri" w:eastAsia="Calibri" w:hAnsi="Calibri" w:cs="Calibri"/>
          <w:b/>
          <w:bCs/>
        </w:rPr>
      </w:pPr>
      <w:r>
        <w:rPr>
          <w:rFonts w:ascii="Calibri" w:eastAsia="Calibri" w:hAnsi="Calibri" w:cs="Calibri"/>
          <w:b/>
          <w:bCs/>
        </w:rPr>
        <w:t>Key questions for discussion:</w:t>
      </w:r>
    </w:p>
    <w:tbl>
      <w:tblPr>
        <w:tblStyle w:val="DESE"/>
        <w:tblW w:w="9067" w:type="dxa"/>
        <w:tblLook w:val="04A0" w:firstRow="1" w:lastRow="0" w:firstColumn="1" w:lastColumn="0" w:noHBand="0" w:noVBand="1"/>
        <w:tblDescription w:val="Discussion paper questions"/>
      </w:tblPr>
      <w:tblGrid>
        <w:gridCol w:w="562"/>
        <w:gridCol w:w="8505"/>
      </w:tblGrid>
      <w:tr w:rsidR="005837A7" w14:paraId="5C8CB167" w14:textId="77777777" w:rsidTr="00DE79A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4E9A31" w14:textId="77777777" w:rsidR="007E1099" w:rsidRPr="00B100CC" w:rsidRDefault="007E1099" w:rsidP="00DE79A7">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6B7E04D8" w14:textId="77777777" w:rsidR="007E1099" w:rsidRPr="00B100CC" w:rsidRDefault="007E1099" w:rsidP="00DE79A7">
            <w:pPr>
              <w:spacing w:after="100"/>
              <w:cnfStyle w:val="100000000000" w:firstRow="1" w:lastRow="0" w:firstColumn="0" w:lastColumn="0" w:oddVBand="0" w:evenVBand="0" w:oddHBand="0" w:evenHBand="0" w:firstRowFirstColumn="0" w:firstRowLastColumn="0" w:lastRowFirstColumn="0" w:lastRowLastColumn="0"/>
            </w:pPr>
            <w:r>
              <w:t>Question</w:t>
            </w:r>
          </w:p>
        </w:tc>
      </w:tr>
      <w:tr w:rsidR="005837A7" w14:paraId="13C13066" w14:textId="77777777" w:rsidTr="00DE79A7">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1C7E9BA8" w14:textId="77777777" w:rsidR="007E1099" w:rsidRPr="0017294C" w:rsidRDefault="007E1099" w:rsidP="00DE79A7">
            <w:pPr>
              <w:spacing w:after="100"/>
              <w:rPr>
                <w:rFonts w:ascii="Calibri" w:hAnsi="Calibri"/>
                <w:color w:val="FFFFFF" w:themeColor="background1"/>
              </w:rPr>
            </w:pPr>
            <w:r>
              <w:rPr>
                <w:rFonts w:ascii="Calibri" w:hAnsi="Calibri"/>
                <w:color w:val="FFFFFF" w:themeColor="background1"/>
              </w:rPr>
              <w:t>6</w:t>
            </w:r>
          </w:p>
        </w:tc>
        <w:tc>
          <w:tcPr>
            <w:tcW w:w="8505" w:type="dxa"/>
            <w:tcBorders>
              <w:top w:val="single" w:sz="4" w:space="0" w:color="FFFFFF" w:themeColor="background1"/>
              <w:left w:val="single" w:sz="4" w:space="0" w:color="FFFFFF" w:themeColor="background1"/>
            </w:tcBorders>
            <w:vAlign w:val="top"/>
          </w:tcPr>
          <w:p w14:paraId="40262A56" w14:textId="711BCD94" w:rsidR="007E1099" w:rsidRPr="00E87BC6" w:rsidRDefault="007E1099" w:rsidP="00DE79A7">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66012041">
              <w:rPr>
                <w:rFonts w:eastAsiaTheme="minorEastAsia"/>
                <w:color w:val="000000" w:themeColor="text1"/>
              </w:rPr>
              <w:t>For major construction projects, what</w:t>
            </w:r>
            <w:r w:rsidRPr="4A81C948">
              <w:rPr>
                <w:rFonts w:eastAsiaTheme="minorEastAsia"/>
                <w:color w:val="000000" w:themeColor="text1"/>
              </w:rPr>
              <w:t xml:space="preserve"> are the </w:t>
            </w:r>
            <w:r w:rsidRPr="4A81C948">
              <w:rPr>
                <w:color w:val="000000" w:themeColor="text1"/>
              </w:rPr>
              <w:t>benefits and barriers of the one in 10 target being calculated using the total labour hours of the workforce, including sub-contractors?</w:t>
            </w:r>
            <w:r w:rsidR="0024262F">
              <w:rPr>
                <w:color w:val="000000" w:themeColor="text1"/>
              </w:rPr>
              <w:t xml:space="preserve"> Are there any alternative approaches to calculating the one in 10 target</w:t>
            </w:r>
            <w:r w:rsidR="00B66398">
              <w:rPr>
                <w:color w:val="000000" w:themeColor="text1"/>
              </w:rPr>
              <w:t xml:space="preserve"> that would address the barriers </w:t>
            </w:r>
            <w:r w:rsidR="00084C04">
              <w:rPr>
                <w:color w:val="000000" w:themeColor="text1"/>
              </w:rPr>
              <w:t xml:space="preserve">you have </w:t>
            </w:r>
            <w:r w:rsidR="00B66398">
              <w:rPr>
                <w:color w:val="000000" w:themeColor="text1"/>
              </w:rPr>
              <w:t>identified</w:t>
            </w:r>
            <w:r w:rsidR="0024262F">
              <w:rPr>
                <w:color w:val="000000" w:themeColor="text1"/>
              </w:rPr>
              <w:t xml:space="preserve">? </w:t>
            </w:r>
          </w:p>
        </w:tc>
      </w:tr>
      <w:tr w:rsidR="005837A7" w14:paraId="57A63359" w14:textId="77777777" w:rsidTr="00DE79A7">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27E6497D" w14:textId="77777777" w:rsidR="007E1099" w:rsidRPr="0017294C" w:rsidRDefault="007E1099" w:rsidP="00DE79A7">
            <w:pPr>
              <w:spacing w:beforeAutospacing="0" w:after="0" w:afterAutospacing="0"/>
              <w:rPr>
                <w:rFonts w:ascii="Calibri" w:hAnsi="Calibri"/>
                <w:color w:val="FFFFFF" w:themeColor="background1"/>
              </w:rPr>
            </w:pPr>
            <w:r>
              <w:rPr>
                <w:rFonts w:ascii="Calibri" w:hAnsi="Calibri"/>
                <w:color w:val="FFFFFF" w:themeColor="background1"/>
              </w:rPr>
              <w:t>7</w:t>
            </w:r>
          </w:p>
        </w:tc>
        <w:tc>
          <w:tcPr>
            <w:tcW w:w="8505" w:type="dxa"/>
            <w:tcBorders>
              <w:left w:val="single" w:sz="4" w:space="0" w:color="FFFFFF" w:themeColor="background1"/>
            </w:tcBorders>
            <w:vAlign w:val="top"/>
          </w:tcPr>
          <w:p w14:paraId="489E1B26" w14:textId="35B2CA61" w:rsidR="007E1099" w:rsidRPr="00E87BC6" w:rsidRDefault="007E1099" w:rsidP="00DE79A7">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Pr>
                <w:color w:val="000000" w:themeColor="text1"/>
              </w:rPr>
              <w:t>How should paid cadets be included in the Guarantee? Do you agree with the proposed definition?</w:t>
            </w:r>
          </w:p>
        </w:tc>
      </w:tr>
      <w:tr w:rsidR="005837A7" w14:paraId="0F3ED358" w14:textId="77777777" w:rsidTr="00DE79A7">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14655FD1" w14:textId="77777777" w:rsidR="007E1099" w:rsidRDefault="007E1099" w:rsidP="00DE79A7">
            <w:pPr>
              <w:spacing w:after="0"/>
              <w:rPr>
                <w:rFonts w:ascii="Calibri" w:hAnsi="Calibri"/>
                <w:color w:val="FFFFFF" w:themeColor="background1"/>
              </w:rPr>
            </w:pPr>
            <w:r>
              <w:rPr>
                <w:rFonts w:ascii="Calibri" w:hAnsi="Calibri"/>
                <w:color w:val="FFFFFF" w:themeColor="background1"/>
              </w:rPr>
              <w:t>8</w:t>
            </w:r>
          </w:p>
        </w:tc>
        <w:tc>
          <w:tcPr>
            <w:tcW w:w="8505" w:type="dxa"/>
            <w:tcBorders>
              <w:left w:val="single" w:sz="4" w:space="0" w:color="FFFFFF" w:themeColor="background1"/>
            </w:tcBorders>
            <w:vAlign w:val="top"/>
          </w:tcPr>
          <w:p w14:paraId="1019815D" w14:textId="0C628CC7" w:rsidR="007E1099" w:rsidRPr="4A81C948" w:rsidRDefault="007E1099" w:rsidP="00DE79A7">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4D24FCA8">
              <w:rPr>
                <w:color w:val="000000" w:themeColor="text1"/>
              </w:rPr>
              <w:t xml:space="preserve">What are the challenges </w:t>
            </w:r>
            <w:r w:rsidR="007A2B23">
              <w:rPr>
                <w:color w:val="000000" w:themeColor="text1"/>
              </w:rPr>
              <w:t xml:space="preserve">or support needed </w:t>
            </w:r>
            <w:r w:rsidRPr="4D24FCA8">
              <w:rPr>
                <w:color w:val="000000" w:themeColor="text1"/>
              </w:rPr>
              <w:t xml:space="preserve">to meet the one in 10 target for major </w:t>
            </w:r>
            <w:r w:rsidR="004825BA">
              <w:rPr>
                <w:color w:val="000000" w:themeColor="text1"/>
              </w:rPr>
              <w:t>projects by small to medium enterprises and/or</w:t>
            </w:r>
            <w:r w:rsidR="00BD0BC7">
              <w:rPr>
                <w:color w:val="000000" w:themeColor="text1"/>
              </w:rPr>
              <w:t xml:space="preserve"> </w:t>
            </w:r>
            <w:r w:rsidRPr="4D24FCA8">
              <w:rPr>
                <w:color w:val="000000" w:themeColor="text1"/>
              </w:rPr>
              <w:t>in rural and regional areas?</w:t>
            </w:r>
          </w:p>
        </w:tc>
      </w:tr>
      <w:tr w:rsidR="005837A7" w14:paraId="0D373BEC" w14:textId="77777777" w:rsidTr="00DE79A7">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1D92CF06" w14:textId="77777777" w:rsidR="007E1099" w:rsidRDefault="007E1099" w:rsidP="00DE79A7">
            <w:pPr>
              <w:spacing w:after="0"/>
              <w:rPr>
                <w:rFonts w:ascii="Calibri" w:hAnsi="Calibri"/>
                <w:color w:val="FFFFFF" w:themeColor="background1"/>
              </w:rPr>
            </w:pPr>
            <w:r>
              <w:rPr>
                <w:rFonts w:ascii="Calibri" w:hAnsi="Calibri"/>
                <w:color w:val="FFFFFF" w:themeColor="background1"/>
              </w:rPr>
              <w:t>9</w:t>
            </w:r>
          </w:p>
        </w:tc>
        <w:tc>
          <w:tcPr>
            <w:tcW w:w="8505" w:type="dxa"/>
            <w:tcBorders>
              <w:left w:val="single" w:sz="4" w:space="0" w:color="FFFFFF" w:themeColor="background1"/>
            </w:tcBorders>
            <w:vAlign w:val="top"/>
          </w:tcPr>
          <w:p w14:paraId="241CEA8E" w14:textId="7C48C92B" w:rsidR="007E1099" w:rsidRPr="4A81C948" w:rsidRDefault="007E1099" w:rsidP="00DE79A7">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For projects outside of construction, </w:t>
            </w:r>
            <w:r w:rsidRPr="53749180">
              <w:rPr>
                <w:color w:val="000000" w:themeColor="text1"/>
              </w:rPr>
              <w:t>should</w:t>
            </w:r>
            <w:r>
              <w:rPr>
                <w:color w:val="000000" w:themeColor="text1"/>
              </w:rPr>
              <w:t xml:space="preserve"> the Guarantee </w:t>
            </w:r>
            <w:r w:rsidRPr="797CAC98">
              <w:rPr>
                <w:color w:val="000000" w:themeColor="text1"/>
              </w:rPr>
              <w:t xml:space="preserve">apply </w:t>
            </w:r>
            <w:r w:rsidRPr="68FA55D9">
              <w:rPr>
                <w:color w:val="000000" w:themeColor="text1"/>
              </w:rPr>
              <w:t xml:space="preserve">to </w:t>
            </w:r>
            <w:r>
              <w:rPr>
                <w:color w:val="000000" w:themeColor="text1"/>
              </w:rPr>
              <w:t xml:space="preserve">a broader definition of a ‘learning worker’ </w:t>
            </w:r>
            <w:r w:rsidR="00BD0BC7">
              <w:rPr>
                <w:color w:val="000000" w:themeColor="text1"/>
              </w:rPr>
              <w:t>(Option 1)</w:t>
            </w:r>
            <w:r>
              <w:rPr>
                <w:color w:val="000000" w:themeColor="text1"/>
              </w:rPr>
              <w:t>? What are the benefits and risks associated with allowing the Guarantee to be applied differently on a project</w:t>
            </w:r>
            <w:r w:rsidRPr="6938C103">
              <w:rPr>
                <w:color w:val="000000" w:themeColor="text1"/>
              </w:rPr>
              <w:t>-</w:t>
            </w:r>
            <w:r>
              <w:rPr>
                <w:color w:val="000000" w:themeColor="text1"/>
              </w:rPr>
              <w:t>by</w:t>
            </w:r>
            <w:r w:rsidRPr="6938C103">
              <w:rPr>
                <w:color w:val="000000" w:themeColor="text1"/>
              </w:rPr>
              <w:t>-</w:t>
            </w:r>
            <w:r>
              <w:rPr>
                <w:color w:val="000000" w:themeColor="text1"/>
              </w:rPr>
              <w:t xml:space="preserve">project basis </w:t>
            </w:r>
            <w:r w:rsidR="002457BD">
              <w:rPr>
                <w:color w:val="000000" w:themeColor="text1"/>
              </w:rPr>
              <w:t>(Option 2)</w:t>
            </w:r>
            <w:r>
              <w:rPr>
                <w:color w:val="000000" w:themeColor="text1"/>
              </w:rPr>
              <w:t>?</w:t>
            </w:r>
          </w:p>
        </w:tc>
      </w:tr>
    </w:tbl>
    <w:p w14:paraId="20FE6DC8" w14:textId="48AAD512" w:rsidR="007F48EC" w:rsidRPr="00172542" w:rsidRDefault="007F48EC" w:rsidP="00172542">
      <w:pPr>
        <w:spacing w:before="240"/>
        <w:jc w:val="center"/>
        <w:rPr>
          <w:rFonts w:eastAsiaTheme="minorEastAsia"/>
          <w:b/>
          <w:bCs/>
          <w:color w:val="404246"/>
          <w:sz w:val="24"/>
          <w:szCs w:val="24"/>
        </w:rPr>
      </w:pPr>
      <w:r w:rsidRPr="0BC73B42">
        <w:rPr>
          <w:rFonts w:eastAsiaTheme="minorEastAsia"/>
          <w:b/>
          <w:bCs/>
          <w:color w:val="404246"/>
          <w:sz w:val="24"/>
          <w:szCs w:val="24"/>
        </w:rPr>
        <w:t>Skills shortages are anticipated to peak at 19,000 project management professionals; 70,000 engineers, scientists, and architects; 16,000 structural and civil trades and labour; and 14,000 finishing trades and labour at different points across the next 3 years.</w:t>
      </w:r>
      <w:r w:rsidRPr="0BC73B42">
        <w:rPr>
          <w:rStyle w:val="FootnoteReference"/>
          <w:rFonts w:eastAsiaTheme="minorEastAsia"/>
          <w:b/>
          <w:bCs/>
          <w:color w:val="404246"/>
          <w:sz w:val="24"/>
          <w:szCs w:val="24"/>
        </w:rPr>
        <w:footnoteReference w:id="28"/>
      </w:r>
    </w:p>
    <w:p w14:paraId="2EBA893F" w14:textId="77777777" w:rsidR="00C13FD0" w:rsidRDefault="00C13FD0">
      <w:pPr>
        <w:spacing w:after="160" w:line="259" w:lineRule="auto"/>
        <w:rPr>
          <w:rFonts w:ascii="Calibri" w:eastAsiaTheme="majorEastAsia" w:hAnsi="Calibri" w:cstheme="majorBidi"/>
          <w:b/>
          <w:color w:val="404246"/>
          <w:sz w:val="30"/>
          <w:szCs w:val="26"/>
        </w:rPr>
      </w:pPr>
      <w:bookmarkStart w:id="141" w:name="_Toc640826537"/>
      <w:bookmarkStart w:id="142" w:name="_Toc1635105594"/>
      <w:bookmarkStart w:id="143" w:name="_Toc53201220"/>
      <w:bookmarkStart w:id="144" w:name="_Toc1183960197"/>
      <w:bookmarkStart w:id="145" w:name="_Toc709768158"/>
      <w:bookmarkStart w:id="146" w:name="_Toc155387913"/>
      <w:bookmarkStart w:id="147" w:name="_Toc690874285"/>
      <w:bookmarkStart w:id="148" w:name="_Toc1570331693"/>
      <w:bookmarkStart w:id="149" w:name="_Toc117246145"/>
      <w:bookmarkStart w:id="150" w:name="_Toc1755480491"/>
      <w:bookmarkStart w:id="151" w:name="_Toc822572292"/>
      <w:r>
        <w:br w:type="page"/>
      </w:r>
    </w:p>
    <w:p w14:paraId="7702D8B7" w14:textId="76C99733" w:rsidR="0022307D" w:rsidRPr="003F4021" w:rsidRDefault="0022307D" w:rsidP="0022307D">
      <w:pPr>
        <w:pStyle w:val="Heading2"/>
      </w:pPr>
      <w:bookmarkStart w:id="152" w:name="_Toc120101382"/>
      <w:r>
        <w:t xml:space="preserve">Chapter 4: </w:t>
      </w:r>
      <w:bookmarkStart w:id="153" w:name="_Toc1271041374"/>
      <w:bookmarkStart w:id="154" w:name="_Toc2019404541"/>
      <w:bookmarkStart w:id="155" w:name="_Toc1679020217"/>
      <w:bookmarkEnd w:id="141"/>
      <w:bookmarkEnd w:id="142"/>
      <w:bookmarkEnd w:id="143"/>
      <w:r>
        <w:t>Targets for women</w:t>
      </w:r>
      <w:bookmarkEnd w:id="144"/>
      <w:bookmarkEnd w:id="145"/>
      <w:bookmarkEnd w:id="146"/>
      <w:bookmarkEnd w:id="147"/>
      <w:bookmarkEnd w:id="148"/>
      <w:bookmarkEnd w:id="149"/>
      <w:bookmarkEnd w:id="152"/>
      <w:bookmarkEnd w:id="153"/>
      <w:bookmarkEnd w:id="154"/>
      <w:bookmarkEnd w:id="155"/>
    </w:p>
    <w:p w14:paraId="4340D1BA" w14:textId="5CBD01AF" w:rsidR="0022307D" w:rsidRDefault="0022307D" w:rsidP="0022307D">
      <w:r>
        <w:t xml:space="preserve">The Guarantee offers an important opportunity to increase the diversity of the workforce for major </w:t>
      </w:r>
      <w:r w:rsidRPr="00280F33">
        <w:t xml:space="preserve">projects, particularly in roles in industries that have a low level of participation by </w:t>
      </w:r>
      <w:r w:rsidRPr="00F37669">
        <w:t>women.</w:t>
      </w:r>
    </w:p>
    <w:p w14:paraId="28BAA01E" w14:textId="77777777" w:rsidR="0022307D" w:rsidRPr="000545F7" w:rsidRDefault="0022307D" w:rsidP="0022307D">
      <w:r w:rsidRPr="00D16421">
        <w:t xml:space="preserve">At the Jobs and Skills Summit, the Government announced that the Guarantee </w:t>
      </w:r>
      <w:r>
        <w:t>will</w:t>
      </w:r>
      <w:bookmarkEnd w:id="150"/>
      <w:bookmarkEnd w:id="151"/>
      <w:r w:rsidRPr="00D16421">
        <w:t xml:space="preserve"> include specific </w:t>
      </w:r>
      <w:r>
        <w:t>t</w:t>
      </w:r>
      <w:r w:rsidRPr="00D16421">
        <w:t>argets for women</w:t>
      </w:r>
      <w:r>
        <w:t xml:space="preserve"> and a focus on the need for digital skills</w:t>
      </w:r>
      <w:r w:rsidRPr="00D16421">
        <w:t>.</w:t>
      </w:r>
      <w:r w:rsidRPr="00F37669">
        <w:rPr>
          <w:rStyle w:val="FootnoteReference"/>
        </w:rPr>
        <w:footnoteReference w:id="29"/>
      </w:r>
      <w:r>
        <w:t xml:space="preserve"> The Guarantee’s targets for women aim to build on the work already undertaken by some state and territory governments and businesses to increase the number of women working on major projects. This chapter outlines options for the </w:t>
      </w:r>
      <w:r w:rsidRPr="00562BFE">
        <w:t>targets for women</w:t>
      </w:r>
      <w:r w:rsidRPr="000545F7">
        <w:t>.</w:t>
      </w:r>
    </w:p>
    <w:p w14:paraId="1A9D66AF" w14:textId="64062584" w:rsidR="0022307D" w:rsidRPr="00616923" w:rsidDel="003562D3" w:rsidRDefault="0022307D" w:rsidP="0022307D">
      <w:r w:rsidRPr="00EF2350">
        <w:t xml:space="preserve">As at </w:t>
      </w:r>
      <w:r w:rsidR="007A3D86" w:rsidRPr="00EF2350">
        <w:t xml:space="preserve">September </w:t>
      </w:r>
      <w:r w:rsidRPr="00EF2350">
        <w:t>2022, women’s workforce participation was</w:t>
      </w:r>
      <w:r>
        <w:t xml:space="preserve"> 62.3</w:t>
      </w:r>
      <w:r w:rsidRPr="00EF2350">
        <w:t xml:space="preserve">%, and </w:t>
      </w:r>
      <w:r w:rsidRPr="00EF2350" w:rsidDel="00C364C1">
        <w:t xml:space="preserve">the female </w:t>
      </w:r>
      <w:r w:rsidRPr="00EF2350">
        <w:t xml:space="preserve">unemployment rate </w:t>
      </w:r>
      <w:r w:rsidR="009102D3">
        <w:t>was</w:t>
      </w:r>
      <w:r w:rsidR="009102D3" w:rsidRPr="00EF2350">
        <w:t xml:space="preserve"> </w:t>
      </w:r>
      <w:r w:rsidRPr="00EF2350">
        <w:t>3.</w:t>
      </w:r>
      <w:r w:rsidR="000D4289" w:rsidRPr="00EF2350">
        <w:t>6</w:t>
      </w:r>
      <w:r w:rsidRPr="00EF2350">
        <w:t>%.</w:t>
      </w:r>
      <w:r w:rsidRPr="00EF2350">
        <w:rPr>
          <w:rStyle w:val="FootnoteReference"/>
        </w:rPr>
        <w:footnoteReference w:id="30"/>
      </w:r>
      <w:r w:rsidRPr="00562BFE" w:rsidDel="004A4790">
        <w:t xml:space="preserve"> </w:t>
      </w:r>
      <w:r w:rsidR="00C4056F">
        <w:t>However</w:t>
      </w:r>
      <w:r w:rsidR="00C4056F" w:rsidRPr="000545F7">
        <w:t xml:space="preserve">, </w:t>
      </w:r>
      <w:r w:rsidR="00C4056F" w:rsidRPr="000F7D67">
        <w:t>Australia’s labour market remains highly gender segregated, with little change to this trend over the past 20 years.</w:t>
      </w:r>
      <w:r w:rsidR="00C4056F">
        <w:rPr>
          <w:rStyle w:val="FootnoteReference"/>
        </w:rPr>
        <w:footnoteReference w:id="31"/>
      </w:r>
      <w:r w:rsidR="00C4056F" w:rsidRPr="000F7D67">
        <w:t xml:space="preserve"> </w:t>
      </w:r>
      <w:r w:rsidR="00C4056F">
        <w:t>In addition to gender segregation, other challenges for women’s workforce participation include gender pay gaps and gender discrimination</w:t>
      </w:r>
      <w:r w:rsidR="000B062F">
        <w:rPr>
          <w:rStyle w:val="FootnoteReference"/>
        </w:rPr>
        <w:footnoteReference w:id="32"/>
      </w:r>
      <w:r w:rsidR="00C4056F">
        <w:t>. T</w:t>
      </w:r>
      <w:r w:rsidRPr="00EF2350">
        <w:t xml:space="preserve">he Workplace Gender Equality Agency reports that </w:t>
      </w:r>
      <w:r w:rsidRPr="00EF2350" w:rsidDel="006A2C3B">
        <w:t xml:space="preserve">the construction industry </w:t>
      </w:r>
      <w:r w:rsidRPr="00EF2350">
        <w:t>has the largest gender pay gap</w:t>
      </w:r>
      <w:r w:rsidR="0033696C">
        <w:t xml:space="preserve"> of all industries in Australia</w:t>
      </w:r>
      <w:r w:rsidRPr="00EF2350">
        <w:t>, with women in the construction industry earning, on average, 30.6% less than men.</w:t>
      </w:r>
      <w:r w:rsidRPr="00EF2350">
        <w:rPr>
          <w:rStyle w:val="FootnoteReference"/>
        </w:rPr>
        <w:footnoteReference w:id="33"/>
      </w:r>
    </w:p>
    <w:p w14:paraId="2378FB80" w14:textId="153FA4E9" w:rsidR="0022307D" w:rsidRDefault="62E0B64E" w:rsidP="0022307D">
      <w:r w:rsidRPr="00EF2350">
        <w:t>The construction industry remains male-dominated. Women make up only 13.5% of workers in the Australian construction industry, despite women making up almost half of the paid workforce.</w:t>
      </w:r>
      <w:r w:rsidR="0022307D" w:rsidRPr="00EF2350">
        <w:rPr>
          <w:rStyle w:val="FootnoteReference"/>
        </w:rPr>
        <w:footnoteReference w:id="34"/>
      </w:r>
      <w:r w:rsidRPr="00EF2350" w:rsidDel="00997181">
        <w:t xml:space="preserve"> </w:t>
      </w:r>
      <w:r w:rsidRPr="00EF2350">
        <w:t>Only</w:t>
      </w:r>
      <w:r>
        <w:t> </w:t>
      </w:r>
      <w:r w:rsidRPr="00EF2350">
        <w:t xml:space="preserve">4.9% of apprentices in-training in construction are </w:t>
      </w:r>
      <w:r w:rsidR="4D75C7FD" w:rsidRPr="00EF2350">
        <w:t>women</w:t>
      </w:r>
      <w:r w:rsidRPr="00EF2350">
        <w:t xml:space="preserve">, which is significantly below the 29.5% of apprentices across all industries who are </w:t>
      </w:r>
      <w:r w:rsidR="2ECBDACC" w:rsidRPr="00EF2350">
        <w:t>women</w:t>
      </w:r>
      <w:r w:rsidRPr="00EF2350">
        <w:t>.</w:t>
      </w:r>
      <w:r w:rsidR="0022307D" w:rsidRPr="006A32C2">
        <w:rPr>
          <w:rStyle w:val="FootnoteReference"/>
        </w:rPr>
        <w:footnoteReference w:id="35"/>
      </w:r>
      <w:r w:rsidRPr="006A32C2">
        <w:t xml:space="preserve"> </w:t>
      </w:r>
      <w:r w:rsidRPr="00DB0CFA">
        <w:t xml:space="preserve">And </w:t>
      </w:r>
      <w:r>
        <w:t xml:space="preserve">within the IT sector, </w:t>
      </w:r>
      <w:r w:rsidDel="1D1BD08A">
        <w:t>c</w:t>
      </w:r>
      <w:r w:rsidRPr="00604A59">
        <w:t>urrently only 2</w:t>
      </w:r>
      <w:r w:rsidDel="7BDD86DD">
        <w:t>6.8</w:t>
      </w:r>
      <w:r w:rsidRPr="00604A59">
        <w:t xml:space="preserve">% of workers </w:t>
      </w:r>
      <w:r>
        <w:t>in</w:t>
      </w:r>
      <w:r w:rsidDel="005F210E">
        <w:t xml:space="preserve"> </w:t>
      </w:r>
      <w:r w:rsidDel="7BDD86DD">
        <w:t xml:space="preserve">the </w:t>
      </w:r>
      <w:r w:rsidR="1540BF5F">
        <w:t>C</w:t>
      </w:r>
      <w:r w:rsidR="1FD847C6" w:rsidDel="7BDD86DD">
        <w:t xml:space="preserve">omputer </w:t>
      </w:r>
      <w:r w:rsidR="324B4F73">
        <w:t>S</w:t>
      </w:r>
      <w:r w:rsidDel="7BDD86DD">
        <w:t>ystem</w:t>
      </w:r>
      <w:r>
        <w:t xml:space="preserve"> </w:t>
      </w:r>
      <w:r w:rsidR="7293F9ED">
        <w:t>D</w:t>
      </w:r>
      <w:r>
        <w:t>es</w:t>
      </w:r>
      <w:r w:rsidDel="7BDD86DD">
        <w:t>ign</w:t>
      </w:r>
      <w:r w:rsidR="4A78BDF0" w:rsidDel="7BDD86DD">
        <w:t xml:space="preserve"> and</w:t>
      </w:r>
      <w:r w:rsidDel="7BDD86DD">
        <w:t xml:space="preserve"> </w:t>
      </w:r>
      <w:r w:rsidR="7E489774">
        <w:t>R</w:t>
      </w:r>
      <w:r w:rsidR="1FD847C6" w:rsidDel="7BDD86DD">
        <w:t xml:space="preserve">elated </w:t>
      </w:r>
      <w:r w:rsidR="32DED486">
        <w:t>S</w:t>
      </w:r>
      <w:r w:rsidDel="7BDD86DD">
        <w:t>ervices subdivision</w:t>
      </w:r>
      <w:r w:rsidRPr="00604A59">
        <w:t xml:space="preserve"> are women.</w:t>
      </w:r>
      <w:r w:rsidR="0022307D" w:rsidRPr="00604A59">
        <w:rPr>
          <w:rStyle w:val="FootnoteReference"/>
        </w:rPr>
        <w:footnoteReference w:id="36"/>
      </w:r>
    </w:p>
    <w:p w14:paraId="1D4F63D6" w14:textId="1D8B2C3B" w:rsidR="005A6314" w:rsidRDefault="005A6314" w:rsidP="005A6314">
      <w:r>
        <w:t xml:space="preserve">Targets for women on major projects align with broader initiatives to improve the diversity of workplaces. The Government is implementing the 2021 Review of the </w:t>
      </w:r>
      <w:r w:rsidRPr="00DB56F5">
        <w:rPr>
          <w:i/>
        </w:rPr>
        <w:t>Workplace Gender Equality Act 2012</w:t>
      </w:r>
      <w:r>
        <w:rPr>
          <w:i/>
        </w:rPr>
        <w:t xml:space="preserve">, </w:t>
      </w:r>
      <w:r>
        <w:t>which will require individual companies with 500 or more employees to set targets to improve gender equality within their organisations.</w:t>
      </w:r>
    </w:p>
    <w:p w14:paraId="2683BE6D" w14:textId="77777777" w:rsidR="0022307D" w:rsidRDefault="0022307D" w:rsidP="002611E5">
      <w:pPr>
        <w:pStyle w:val="Heading3"/>
      </w:pPr>
      <w:r w:rsidRPr="78B510CA">
        <w:t>Options to implement targets for women</w:t>
      </w:r>
    </w:p>
    <w:p w14:paraId="272D2C26" w14:textId="3A7273C7" w:rsidR="0022307D" w:rsidRDefault="0022307D" w:rsidP="0022307D">
      <w:r>
        <w:t>The targets for women</w:t>
      </w:r>
      <w:r w:rsidRPr="00611AF0">
        <w:t xml:space="preserve"> </w:t>
      </w:r>
      <w:r>
        <w:t>aim to</w:t>
      </w:r>
      <w:r w:rsidRPr="00611AF0">
        <w:t xml:space="preserve"> </w:t>
      </w:r>
      <w:r w:rsidR="00F60490">
        <w:t>increase</w:t>
      </w:r>
      <w:r w:rsidR="00F60490" w:rsidRPr="00611AF0">
        <w:t xml:space="preserve"> </w:t>
      </w:r>
      <w:r w:rsidRPr="00611AF0">
        <w:t>women</w:t>
      </w:r>
      <w:r w:rsidR="00F60490">
        <w:t>’s access to</w:t>
      </w:r>
      <w:r w:rsidRPr="00611AF0">
        <w:t xml:space="preserve"> more opportunities and support employers to address skills shortages. </w:t>
      </w:r>
      <w:r>
        <w:t>Including paid cadets in the Guarantee would support work to increase the participation of women in non-trade occupations in major projects, for example engineering cadets.</w:t>
      </w:r>
    </w:p>
    <w:p w14:paraId="0B036B66" w14:textId="290E0B45" w:rsidR="0022307D" w:rsidRDefault="69F93E68" w:rsidP="0022307D">
      <w:r>
        <w:t xml:space="preserve">Options for the targets of the Guarantee include a percentage of the following being </w:t>
      </w:r>
      <w:r w:rsidR="30DA4447">
        <w:t>women</w:t>
      </w:r>
      <w:r>
        <w:t>:</w:t>
      </w:r>
    </w:p>
    <w:p w14:paraId="1D3BE75F" w14:textId="525A516D" w:rsidR="0022307D" w:rsidRDefault="0022307D" w:rsidP="0022307D">
      <w:pPr>
        <w:pStyle w:val="ListParagraph"/>
        <w:numPr>
          <w:ilvl w:val="0"/>
          <w:numId w:val="19"/>
        </w:numPr>
        <w:spacing w:line="240" w:lineRule="auto"/>
      </w:pPr>
      <w:r>
        <w:t>Option 1: apprentices, trainees and paid cadets;</w:t>
      </w:r>
    </w:p>
    <w:p w14:paraId="1E27EDA6" w14:textId="6DF29564" w:rsidR="0022307D" w:rsidRDefault="0022307D" w:rsidP="0022307D">
      <w:pPr>
        <w:pStyle w:val="ListParagraph"/>
        <w:numPr>
          <w:ilvl w:val="0"/>
          <w:numId w:val="19"/>
        </w:numPr>
        <w:spacing w:line="240" w:lineRule="auto"/>
      </w:pPr>
      <w:r>
        <w:t>Option 2: the trades workforce of major projects; or</w:t>
      </w:r>
    </w:p>
    <w:p w14:paraId="7CD4AD60" w14:textId="0E5A1285" w:rsidR="0022307D" w:rsidRDefault="0022307D" w:rsidP="0022307D">
      <w:pPr>
        <w:pStyle w:val="ListParagraph"/>
        <w:numPr>
          <w:ilvl w:val="0"/>
          <w:numId w:val="19"/>
        </w:numPr>
        <w:spacing w:line="240" w:lineRule="auto"/>
      </w:pPr>
      <w:r>
        <w:t>Option 3: the whole workforce for a project.</w:t>
      </w:r>
    </w:p>
    <w:p w14:paraId="060C454C" w14:textId="14EA83B1" w:rsidR="0022307D" w:rsidRDefault="69F93E68" w:rsidP="0022307D">
      <w:r>
        <w:t>Each of these options have benefits and disadvantages</w:t>
      </w:r>
      <w:r w:rsidR="153B8807">
        <w:t xml:space="preserve"> and a combination may be appropriate</w:t>
      </w:r>
      <w:r>
        <w:t>.</w:t>
      </w:r>
    </w:p>
    <w:p w14:paraId="1FCB2D2F" w14:textId="1011C9FC" w:rsidR="0022307D" w:rsidRDefault="0022307D" w:rsidP="0022307D">
      <w:r>
        <w:t xml:space="preserve">Applying targets to apprentices, trainees and paid cadets (in Option 1) would focus attention on the pipeline for women into major projects, for example for trade pathways in construction. </w:t>
      </w:r>
      <w:r w:rsidR="00C035EF">
        <w:t xml:space="preserve">This is the approach for one of the targets in Victoria, where 4% of contract work must be undertaken by </w:t>
      </w:r>
      <w:r w:rsidR="00D451C3">
        <w:t xml:space="preserve">women </w:t>
      </w:r>
      <w:r w:rsidR="00460EEB">
        <w:t xml:space="preserve">in an </w:t>
      </w:r>
      <w:r w:rsidR="00C035EF">
        <w:t>apprentices</w:t>
      </w:r>
      <w:r w:rsidR="00460EEB">
        <w:t>hip</w:t>
      </w:r>
      <w:r w:rsidR="00C035EF">
        <w:t xml:space="preserve"> or trainees</w:t>
      </w:r>
      <w:r w:rsidR="00460EEB">
        <w:t>hip</w:t>
      </w:r>
      <w:r w:rsidR="00C035EF">
        <w:t xml:space="preserve"> (see </w:t>
      </w:r>
      <w:r w:rsidR="00C035EF" w:rsidRPr="79ADAE0A">
        <w:rPr>
          <w:u w:val="single"/>
        </w:rPr>
        <w:t>Appendix B</w:t>
      </w:r>
      <w:r w:rsidR="00C035EF">
        <w:t>).</w:t>
      </w:r>
    </w:p>
    <w:p w14:paraId="50911CDF" w14:textId="0C40F031" w:rsidR="0022307D" w:rsidRDefault="0022307D" w:rsidP="0022307D">
      <w:r>
        <w:t xml:space="preserve">Applying the target to only the trades workforce (in Option 2) would create a stronger incentive for employers to take on </w:t>
      </w:r>
      <w:r w:rsidR="00AD1714">
        <w:t xml:space="preserve">women in </w:t>
      </w:r>
      <w:r>
        <w:t xml:space="preserve">trade </w:t>
      </w:r>
      <w:r w:rsidR="00AD1714">
        <w:t>roles</w:t>
      </w:r>
      <w:r>
        <w:t xml:space="preserve">, providing supervisors and role models for </w:t>
      </w:r>
      <w:r w:rsidR="00E85558">
        <w:t xml:space="preserve">women in an </w:t>
      </w:r>
      <w:r>
        <w:t>apprentices</w:t>
      </w:r>
      <w:r w:rsidR="00E85558">
        <w:t>hip</w:t>
      </w:r>
      <w:r>
        <w:t xml:space="preserve"> </w:t>
      </w:r>
      <w:r w:rsidR="00E85558">
        <w:t>or</w:t>
      </w:r>
      <w:r w:rsidR="00FE2881">
        <w:t xml:space="preserve"> </w:t>
      </w:r>
      <w:r>
        <w:t>trainees</w:t>
      </w:r>
      <w:r w:rsidR="00E85558">
        <w:t>hip</w:t>
      </w:r>
      <w:r>
        <w:t>. Encouraging women into more highly paid trade roles could also have a greater impact on the gender pay gap. However, given the small number of women working in the trades, it may be challenging for employers to meet this requirement. Option 2 would not be well</w:t>
      </w:r>
      <w:r w:rsidR="487B8827">
        <w:t xml:space="preserve"> </w:t>
      </w:r>
      <w:r>
        <w:t xml:space="preserve">suited for industries outside of construction, for example for IT projects, where </w:t>
      </w:r>
      <w:r w:rsidR="00647C34">
        <w:t xml:space="preserve">apprenticeship and traineeship </w:t>
      </w:r>
      <w:r>
        <w:t xml:space="preserve">pathways are less common. Therefore, this target would need to reflect what is achievable for different industries. </w:t>
      </w:r>
      <w:r w:rsidR="007E6221">
        <w:t xml:space="preserve">New South Wales and Victoria both have targets for women in the trades workforce, at 2% and 3% respectively (see </w:t>
      </w:r>
      <w:r w:rsidR="007E6221" w:rsidRPr="79ADAE0A">
        <w:rPr>
          <w:u w:val="single"/>
        </w:rPr>
        <w:t>Appendix B</w:t>
      </w:r>
      <w:r w:rsidR="007E6221">
        <w:t>).</w:t>
      </w:r>
    </w:p>
    <w:p w14:paraId="6A0D64B6" w14:textId="139D7AEA" w:rsidR="0022307D" w:rsidRDefault="0022307D" w:rsidP="0022307D">
      <w:r>
        <w:t>Applying the target to the workforce as a whole (in Option 3) would provide suppliers and sub</w:t>
      </w:r>
      <w:r>
        <w:noBreakHyphen/>
        <w:t xml:space="preserve">contractors with the greatest flexibility. This approach may mean that it is possible to set a higher target initially than if Option 1 or 2 is selected. It would encourage the hiring of women into a range of jobs including managerial positions and not only apprenticeships, traineeships and paid cadetships. </w:t>
      </w:r>
      <w:r w:rsidR="00F31A56">
        <w:t>However, this option may have a limited impact addressing occupation gender segregation, and by extension the gender pay gap, as it does not specifically encourage women into higher paid roles such as trade roles.</w:t>
      </w:r>
    </w:p>
    <w:p w14:paraId="1EDD81D2" w14:textId="19E22D24" w:rsidR="0022307D" w:rsidRDefault="69F93E68" w:rsidP="002611E5">
      <w:pPr>
        <w:pStyle w:val="Heading3"/>
      </w:pPr>
      <w:r>
        <w:t>Setting the targets</w:t>
      </w:r>
    </w:p>
    <w:p w14:paraId="32CA17C0" w14:textId="30852F17" w:rsidR="0022307D" w:rsidRDefault="0022307D" w:rsidP="0022307D">
      <w:pPr>
        <w:keepNext/>
        <w:keepLines/>
      </w:pPr>
      <w:r>
        <w:t>There is a wide range in the rate at which women are participating in different industries and occupations, indicating that there is a need to set different targets by industry as part of the Guarantee. The aim is to ensure that the targets drive a change in behaviour, but that they are also achievable.</w:t>
      </w:r>
    </w:p>
    <w:p w14:paraId="0DFDFF03" w14:textId="77777777" w:rsidR="0022307D" w:rsidRPr="008F0BA0" w:rsidRDefault="0022307D" w:rsidP="0022307D">
      <w:pPr>
        <w:keepNext/>
        <w:keepLines/>
      </w:pPr>
      <w:r w:rsidRPr="002D7609">
        <w:t xml:space="preserve">The targets could vary either by percentage level or by the time </w:t>
      </w:r>
      <w:r>
        <w:t>period</w:t>
      </w:r>
      <w:r w:rsidRPr="002D7609">
        <w:t xml:space="preserve"> over which employers are expected to meet them. For example:</w:t>
      </w:r>
    </w:p>
    <w:p w14:paraId="642CDCE5" w14:textId="006C56BB" w:rsidR="0022307D" w:rsidRPr="002D7609" w:rsidRDefault="0022307D" w:rsidP="0022307D">
      <w:pPr>
        <w:pStyle w:val="ListParagraph"/>
        <w:keepNext/>
        <w:keepLines/>
        <w:numPr>
          <w:ilvl w:val="0"/>
          <w:numId w:val="20"/>
        </w:numPr>
        <w:spacing w:line="240" w:lineRule="auto"/>
      </w:pPr>
      <w:r>
        <w:t>a</w:t>
      </w:r>
      <w:r w:rsidRPr="002D7609">
        <w:t xml:space="preserve"> lower set of targets could be set with the expectation that employers meet it within one year of the Guarantee being announced; </w:t>
      </w:r>
      <w:r>
        <w:t>or</w:t>
      </w:r>
    </w:p>
    <w:p w14:paraId="28232FFC" w14:textId="04FBDB00" w:rsidR="0022307D" w:rsidRPr="00EC310C" w:rsidRDefault="0022307D" w:rsidP="0022307D">
      <w:pPr>
        <w:pStyle w:val="ListParagraph"/>
        <w:keepNext/>
        <w:keepLines/>
        <w:numPr>
          <w:ilvl w:val="0"/>
          <w:numId w:val="20"/>
        </w:numPr>
        <w:spacing w:line="240" w:lineRule="auto"/>
      </w:pPr>
      <w:r>
        <w:t xml:space="preserve">higher targets could be set, with a transition period of </w:t>
      </w:r>
      <w:r w:rsidR="00AC1E35">
        <w:t>2</w:t>
      </w:r>
      <w:r>
        <w:t xml:space="preserve"> years, giving suppliers time to prepare to meet the targets.</w:t>
      </w:r>
      <w:r w:rsidR="001A23BA">
        <w:t xml:space="preserve"> Targets could then continue to ratchet up further over time.</w:t>
      </w:r>
    </w:p>
    <w:p w14:paraId="68F49483" w14:textId="42A99526" w:rsidR="0022307D" w:rsidRDefault="0022307D" w:rsidP="0022307D">
      <w:r w:rsidRPr="00EC310C">
        <w:t>Furthermore, there is the potential for further targets to be considered at</w:t>
      </w:r>
      <w:r w:rsidRPr="00376B0E">
        <w:t xml:space="preserve"> a later stage including targets for </w:t>
      </w:r>
      <w:r>
        <w:t>other cohorts such as people with disability and First Nations people</w:t>
      </w:r>
      <w:r w:rsidRPr="00376B0E">
        <w:t xml:space="preserve">. </w:t>
      </w:r>
      <w:r>
        <w:t xml:space="preserve">In considering additional targets, it is important to </w:t>
      </w:r>
      <w:r w:rsidR="00AC1E35">
        <w:t xml:space="preserve">avoid duplicating </w:t>
      </w:r>
      <w:r>
        <w:t>existing policies, for example the targets for First Nations people in the Indigenous Procurement Policy and the Indigenous Employment and Supplier-Use Infrastructure Framework</w:t>
      </w:r>
      <w:r w:rsidRPr="00EA2DB9">
        <w:t xml:space="preserve"> </w:t>
      </w:r>
      <w:r>
        <w:t xml:space="preserve">in the Land Transport Infrastructure </w:t>
      </w:r>
      <w:r w:rsidRPr="00046E44">
        <w:t>NPA</w:t>
      </w:r>
      <w:r>
        <w:t>.</w:t>
      </w:r>
    </w:p>
    <w:p w14:paraId="7DD1757C" w14:textId="6061901A" w:rsidR="009F571D" w:rsidRDefault="20330330" w:rsidP="009F571D">
      <w:pPr>
        <w:rPr>
          <w:rFonts w:ascii="Calibri" w:eastAsia="Calibri" w:hAnsi="Calibri" w:cs="Calibri"/>
          <w:b/>
          <w:bCs/>
        </w:rPr>
      </w:pPr>
      <w:r w:rsidRPr="1530C7B9">
        <w:rPr>
          <w:rFonts w:ascii="Calibri" w:eastAsia="Calibri" w:hAnsi="Calibri" w:cs="Calibri"/>
          <w:b/>
          <w:bCs/>
        </w:rPr>
        <w:t>Key questions for discussion:</w:t>
      </w:r>
    </w:p>
    <w:tbl>
      <w:tblPr>
        <w:tblStyle w:val="DESE"/>
        <w:tblW w:w="9067" w:type="dxa"/>
        <w:tblLook w:val="04A0" w:firstRow="1" w:lastRow="0" w:firstColumn="1" w:lastColumn="0" w:noHBand="0" w:noVBand="1"/>
        <w:tblDescription w:val="Discussion paper questions"/>
      </w:tblPr>
      <w:tblGrid>
        <w:gridCol w:w="562"/>
        <w:gridCol w:w="8505"/>
      </w:tblGrid>
      <w:tr w:rsidR="00284603" w14:paraId="08D977D2"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552448" w14:textId="77777777" w:rsidR="005837A7" w:rsidRPr="00B100CC" w:rsidRDefault="005837A7" w:rsidP="00DE79A7">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135D9994" w14:textId="77777777" w:rsidR="005837A7" w:rsidRPr="00B100CC" w:rsidRDefault="005837A7" w:rsidP="00DE79A7">
            <w:pPr>
              <w:spacing w:after="100"/>
              <w:cnfStyle w:val="100000000000" w:firstRow="1" w:lastRow="0" w:firstColumn="0" w:lastColumn="0" w:oddVBand="0" w:evenVBand="0" w:oddHBand="0" w:evenHBand="0" w:firstRowFirstColumn="0" w:firstRowLastColumn="0" w:lastRowFirstColumn="0" w:lastRowLastColumn="0"/>
            </w:pPr>
            <w:r>
              <w:t>Question</w:t>
            </w:r>
          </w:p>
        </w:tc>
      </w:tr>
      <w:tr w:rsidR="00284603" w14:paraId="09298F13"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19D6577B" w14:textId="77777777" w:rsidR="005837A7" w:rsidRPr="0017294C" w:rsidRDefault="005837A7" w:rsidP="00DE79A7">
            <w:pPr>
              <w:spacing w:after="100"/>
              <w:rPr>
                <w:rFonts w:ascii="Calibri" w:hAnsi="Calibri"/>
                <w:color w:val="FFFFFF" w:themeColor="background1"/>
              </w:rPr>
            </w:pPr>
            <w:r>
              <w:rPr>
                <w:rFonts w:ascii="Calibri" w:hAnsi="Calibri"/>
                <w:color w:val="FFFFFF" w:themeColor="background1"/>
              </w:rPr>
              <w:t>10</w:t>
            </w:r>
          </w:p>
        </w:tc>
        <w:tc>
          <w:tcPr>
            <w:tcW w:w="8505" w:type="dxa"/>
            <w:tcBorders>
              <w:top w:val="single" w:sz="4" w:space="0" w:color="FFFFFF" w:themeColor="background1"/>
              <w:left w:val="single" w:sz="4" w:space="0" w:color="FFFFFF" w:themeColor="background1"/>
            </w:tcBorders>
          </w:tcPr>
          <w:p w14:paraId="4EE6D942" w14:textId="5A3A83F7" w:rsidR="005837A7" w:rsidRPr="00E87BC6" w:rsidRDefault="78A9C72C" w:rsidP="0532A2C5">
            <w:pPr>
              <w:spacing w:after="100"/>
              <w:cnfStyle w:val="000000000000" w:firstRow="0" w:lastRow="0" w:firstColumn="0" w:lastColumn="0" w:oddVBand="0" w:evenVBand="0" w:oddHBand="0" w:evenHBand="0" w:firstRowFirstColumn="0" w:firstRowLastColumn="0" w:lastRowFirstColumn="0" w:lastRowLastColumn="0"/>
              <w:rPr>
                <w:color w:val="000000" w:themeColor="text1"/>
              </w:rPr>
            </w:pPr>
            <w:r>
              <w:t xml:space="preserve">Of the options for targets for </w:t>
            </w:r>
            <w:r w:rsidRPr="0532A2C5">
              <w:rPr>
                <w:color w:val="000000" w:themeColor="text1"/>
              </w:rPr>
              <w:t xml:space="preserve">women, which do you prefer and why? For your preferred option, what target percentage of women do you believe would be achievable and by when? </w:t>
            </w:r>
            <w:r w:rsidRPr="0532A2C5">
              <w:rPr>
                <w:i/>
                <w:iCs/>
                <w:color w:val="000000" w:themeColor="text1"/>
              </w:rPr>
              <w:t xml:space="preserve">For example, in 2 years’ time 10% of all apprentices, trainees and paid cadets </w:t>
            </w:r>
            <w:r w:rsidR="1E4DEE68" w:rsidRPr="0532A2C5">
              <w:rPr>
                <w:i/>
                <w:iCs/>
                <w:color w:val="000000" w:themeColor="text1"/>
              </w:rPr>
              <w:t xml:space="preserve">on construction projects </w:t>
            </w:r>
            <w:r w:rsidRPr="0532A2C5">
              <w:rPr>
                <w:i/>
                <w:iCs/>
                <w:color w:val="000000" w:themeColor="text1"/>
              </w:rPr>
              <w:t>should be women.</w:t>
            </w:r>
          </w:p>
        </w:tc>
      </w:tr>
      <w:tr w:rsidR="00284603" w14:paraId="280BB78C"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1A627411" w14:textId="77777777" w:rsidR="005837A7" w:rsidRPr="0017294C" w:rsidRDefault="005837A7" w:rsidP="00DE79A7">
            <w:pPr>
              <w:spacing w:beforeAutospacing="0" w:after="0" w:afterAutospacing="0"/>
              <w:rPr>
                <w:rFonts w:ascii="Calibri" w:hAnsi="Calibri"/>
                <w:color w:val="FFFFFF" w:themeColor="background1"/>
              </w:rPr>
            </w:pPr>
            <w:r>
              <w:rPr>
                <w:rFonts w:ascii="Calibri" w:hAnsi="Calibri"/>
                <w:color w:val="FFFFFF" w:themeColor="background1"/>
              </w:rPr>
              <w:t>11</w:t>
            </w:r>
          </w:p>
        </w:tc>
        <w:tc>
          <w:tcPr>
            <w:tcW w:w="8505" w:type="dxa"/>
            <w:tcBorders>
              <w:left w:val="single" w:sz="4" w:space="0" w:color="FFFFFF" w:themeColor="background1"/>
            </w:tcBorders>
          </w:tcPr>
          <w:p w14:paraId="4E0B7170" w14:textId="7EFFC9EF" w:rsidR="005837A7" w:rsidRPr="00E87BC6" w:rsidRDefault="005837A7" w:rsidP="00DE79A7">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3C7F514E">
              <w:rPr>
                <w:color w:val="000000" w:themeColor="text1"/>
              </w:rPr>
              <w:t>If your state/territory government or business sets any targets for women working on major projects, what has been your experience implementing the targets?</w:t>
            </w:r>
            <w:r>
              <w:rPr>
                <w:color w:val="000000" w:themeColor="text1"/>
              </w:rPr>
              <w:t xml:space="preserve"> </w:t>
            </w:r>
            <w:r w:rsidR="00E45E76">
              <w:rPr>
                <w:color w:val="000000" w:themeColor="text1"/>
              </w:rPr>
              <w:t>What worked well and what did not work?</w:t>
            </w:r>
          </w:p>
        </w:tc>
      </w:tr>
      <w:tr w:rsidR="00284603" w14:paraId="20B3A6EF"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648D31E0" w14:textId="77777777" w:rsidR="005837A7" w:rsidRDefault="005837A7" w:rsidP="00DE79A7">
            <w:pPr>
              <w:spacing w:after="0"/>
              <w:rPr>
                <w:rFonts w:ascii="Calibri" w:hAnsi="Calibri"/>
                <w:color w:val="FFFFFF" w:themeColor="background1"/>
              </w:rPr>
            </w:pPr>
            <w:r>
              <w:rPr>
                <w:rFonts w:ascii="Calibri" w:hAnsi="Calibri"/>
                <w:color w:val="FFFFFF" w:themeColor="background1"/>
              </w:rPr>
              <w:t>12</w:t>
            </w:r>
          </w:p>
        </w:tc>
        <w:tc>
          <w:tcPr>
            <w:tcW w:w="8505" w:type="dxa"/>
            <w:tcBorders>
              <w:left w:val="single" w:sz="4" w:space="0" w:color="FFFFFF" w:themeColor="background1"/>
            </w:tcBorders>
            <w:vAlign w:val="top"/>
          </w:tcPr>
          <w:p w14:paraId="17BF4B2C" w14:textId="5CBE7620" w:rsidR="005837A7" w:rsidRPr="4A81C948" w:rsidRDefault="7EDFFB8B" w:rsidP="1530C7B9">
            <w:pPr>
              <w:spacing w:after="0"/>
              <w:cnfStyle w:val="000000000000" w:firstRow="0" w:lastRow="0" w:firstColumn="0" w:lastColumn="0" w:oddVBand="0" w:evenVBand="0" w:oddHBand="0" w:evenHBand="0" w:firstRowFirstColumn="0" w:firstRowLastColumn="0" w:lastRowFirstColumn="0" w:lastRowLastColumn="0"/>
            </w:pPr>
            <w:r w:rsidRPr="1530C7B9">
              <w:rPr>
                <w:color w:val="000000" w:themeColor="text1"/>
              </w:rPr>
              <w:t xml:space="preserve">What </w:t>
            </w:r>
            <w:r w:rsidR="7CAC3ECF" w:rsidRPr="1530C7B9">
              <w:rPr>
                <w:color w:val="000000" w:themeColor="text1"/>
              </w:rPr>
              <w:t>will incentivise you to meet these targets and integrate gender equality strategies within your organisation</w:t>
            </w:r>
            <w:r w:rsidR="32B17A14" w:rsidRPr="1530C7B9">
              <w:rPr>
                <w:color w:val="000000" w:themeColor="text1"/>
              </w:rPr>
              <w:t>,</w:t>
            </w:r>
            <w:r w:rsidR="7CAC3ECF" w:rsidRPr="1530C7B9">
              <w:rPr>
                <w:color w:val="000000" w:themeColor="text1"/>
              </w:rPr>
              <w:t xml:space="preserve"> and what </w:t>
            </w:r>
            <w:r w:rsidRPr="1530C7B9">
              <w:rPr>
                <w:color w:val="000000" w:themeColor="text1"/>
              </w:rPr>
              <w:t xml:space="preserve">do you see as potential barriers </w:t>
            </w:r>
            <w:r>
              <w:t>to these targets being met?</w:t>
            </w:r>
          </w:p>
        </w:tc>
      </w:tr>
      <w:tr w:rsidR="006C6871" w14:paraId="0C6F7F96"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34CDF9DB" w14:textId="62CF07CE" w:rsidR="006C6871" w:rsidRDefault="006C6871" w:rsidP="00DE79A7">
            <w:pPr>
              <w:spacing w:after="0"/>
              <w:rPr>
                <w:rFonts w:ascii="Calibri" w:hAnsi="Calibri"/>
                <w:color w:val="FFFFFF" w:themeColor="background1"/>
              </w:rPr>
            </w:pPr>
            <w:r w:rsidRPr="78C4367D">
              <w:rPr>
                <w:rFonts w:ascii="Calibri" w:hAnsi="Calibri"/>
                <w:color w:val="FFFFFF" w:themeColor="background1"/>
              </w:rPr>
              <w:t>13</w:t>
            </w:r>
          </w:p>
        </w:tc>
        <w:tc>
          <w:tcPr>
            <w:tcW w:w="8505" w:type="dxa"/>
            <w:tcBorders>
              <w:left w:val="single" w:sz="4" w:space="0" w:color="FFFFFF" w:themeColor="background1"/>
            </w:tcBorders>
            <w:vAlign w:val="top"/>
          </w:tcPr>
          <w:p w14:paraId="5CF70B0B" w14:textId="43143FA9" w:rsidR="006C6871" w:rsidRPr="00EC310C" w:rsidRDefault="00597384" w:rsidP="1530C7B9">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t xml:space="preserve">What </w:t>
            </w:r>
            <w:r w:rsidR="006C6871">
              <w:t>support</w:t>
            </w:r>
            <w:r w:rsidR="001A23BA">
              <w:t>s are needed to enable more women to enter, and thrive in these workplaces, enabling businesses to meet these targets?</w:t>
            </w:r>
          </w:p>
        </w:tc>
      </w:tr>
    </w:tbl>
    <w:p w14:paraId="335404C9" w14:textId="77777777" w:rsidR="000D5879" w:rsidRDefault="000D5879">
      <w:pPr>
        <w:spacing w:after="160" w:line="259" w:lineRule="auto"/>
        <w:rPr>
          <w:rFonts w:ascii="Calibri" w:eastAsiaTheme="majorEastAsia" w:hAnsi="Calibri" w:cstheme="majorBidi"/>
          <w:b/>
          <w:color w:val="789B4A"/>
          <w:sz w:val="32"/>
          <w:szCs w:val="32"/>
        </w:rPr>
      </w:pPr>
      <w:bookmarkStart w:id="156" w:name="_Toc117246146"/>
      <w:r>
        <w:br w:type="page"/>
      </w:r>
    </w:p>
    <w:p w14:paraId="7E4B9644" w14:textId="14F26D33" w:rsidR="00897114" w:rsidRPr="0087397A" w:rsidRDefault="00AD43D5" w:rsidP="00AD43D5">
      <w:pPr>
        <w:pStyle w:val="Heading1"/>
        <w:rPr>
          <w:sz w:val="28"/>
          <w:szCs w:val="28"/>
          <w:u w:val="single"/>
        </w:rPr>
      </w:pPr>
      <w:bookmarkStart w:id="157" w:name="_Toc120101383"/>
      <w:r>
        <w:t xml:space="preserve">B. </w:t>
      </w:r>
      <w:r w:rsidR="00897114">
        <w:t>Implementing the Guarantee</w:t>
      </w:r>
      <w:bookmarkEnd w:id="156"/>
      <w:bookmarkEnd w:id="157"/>
    </w:p>
    <w:p w14:paraId="34D0A76A" w14:textId="77777777" w:rsidR="00897114" w:rsidRPr="0087397A" w:rsidRDefault="00897114" w:rsidP="00897114">
      <w:pPr>
        <w:pStyle w:val="Heading2"/>
      </w:pPr>
      <w:bookmarkStart w:id="158" w:name="_Toc1816898719"/>
      <w:bookmarkStart w:id="159" w:name="_Toc1681585008"/>
      <w:bookmarkStart w:id="160" w:name="_Toc638671248"/>
      <w:bookmarkStart w:id="161" w:name="_Toc1337592148"/>
      <w:bookmarkStart w:id="162" w:name="_Toc2118185706"/>
      <w:bookmarkStart w:id="163" w:name="_Toc2067427860"/>
      <w:bookmarkStart w:id="164" w:name="_Toc2057143791"/>
      <w:bookmarkStart w:id="165" w:name="_Toc2103478062"/>
      <w:bookmarkStart w:id="166" w:name="_Toc456333547"/>
      <w:bookmarkStart w:id="167" w:name="_Toc709301726"/>
      <w:bookmarkStart w:id="168" w:name="_Toc117246147"/>
      <w:bookmarkStart w:id="169" w:name="_Toc120101384"/>
      <w:r>
        <w:t>Chapter 5: Implementation approach</w:t>
      </w:r>
      <w:bookmarkEnd w:id="158"/>
      <w:bookmarkEnd w:id="159"/>
      <w:bookmarkEnd w:id="160"/>
      <w:bookmarkEnd w:id="161"/>
      <w:bookmarkEnd w:id="162"/>
      <w:bookmarkEnd w:id="163"/>
      <w:bookmarkEnd w:id="164"/>
      <w:bookmarkEnd w:id="165"/>
      <w:bookmarkEnd w:id="166"/>
      <w:bookmarkEnd w:id="167"/>
      <w:bookmarkEnd w:id="168"/>
      <w:bookmarkEnd w:id="169"/>
    </w:p>
    <w:p w14:paraId="43B358F6" w14:textId="405B6223" w:rsidR="00897114" w:rsidRDefault="00897114" w:rsidP="00897114">
      <w:pPr>
        <w:rPr>
          <w:rFonts w:eastAsiaTheme="minorEastAsia"/>
        </w:rPr>
      </w:pPr>
      <w:r w:rsidRPr="0CA80F71">
        <w:rPr>
          <w:rFonts w:eastAsiaTheme="minorEastAsia"/>
        </w:rPr>
        <w:t>The Guarantee could be implemented</w:t>
      </w:r>
      <w:r>
        <w:rPr>
          <w:rFonts w:eastAsiaTheme="minorEastAsia"/>
        </w:rPr>
        <w:t xml:space="preserve"> through a staged approach, such as along the following lines in Table 2.</w:t>
      </w:r>
    </w:p>
    <w:p w14:paraId="5268ABD5" w14:textId="0CD0A093" w:rsidR="00897114" w:rsidRPr="00C05A9B" w:rsidRDefault="00897114" w:rsidP="00897114">
      <w:pPr>
        <w:ind w:left="720" w:hanging="720"/>
        <w:rPr>
          <w:rFonts w:eastAsiaTheme="minorEastAsia"/>
          <w:b/>
          <w:bCs/>
        </w:rPr>
      </w:pPr>
      <w:r w:rsidRPr="00C05A9B">
        <w:rPr>
          <w:rFonts w:eastAsiaTheme="minorEastAsia"/>
          <w:b/>
          <w:bCs/>
        </w:rPr>
        <w:t>Table 2. Proposed approach to implementation</w:t>
      </w:r>
    </w:p>
    <w:tbl>
      <w:tblPr>
        <w:tblStyle w:val="DESE"/>
        <w:tblW w:w="9067" w:type="dxa"/>
        <w:tblLook w:val="04A0" w:firstRow="1" w:lastRow="0" w:firstColumn="1" w:lastColumn="0" w:noHBand="0" w:noVBand="1"/>
        <w:tblDescription w:val="Proposed timeframes and approaches to implementation"/>
      </w:tblPr>
      <w:tblGrid>
        <w:gridCol w:w="1838"/>
        <w:gridCol w:w="7229"/>
      </w:tblGrid>
      <w:tr w:rsidR="00897114" w14:paraId="7EFB6D0F"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38" w:type="dxa"/>
            <w:tcBorders>
              <w:top w:val="single" w:sz="4" w:space="0" w:color="002D3F" w:themeColor="accent1"/>
            </w:tcBorders>
          </w:tcPr>
          <w:p w14:paraId="13EAB933" w14:textId="1A62FE55" w:rsidR="00897114" w:rsidRPr="00B100CC" w:rsidRDefault="00897114" w:rsidP="001F7F06">
            <w:pPr>
              <w:spacing w:after="100"/>
            </w:pPr>
            <w:r>
              <w:t>Timeframe</w:t>
            </w:r>
          </w:p>
        </w:tc>
        <w:tc>
          <w:tcPr>
            <w:tcW w:w="7229" w:type="dxa"/>
            <w:tcBorders>
              <w:top w:val="single" w:sz="4" w:space="0" w:color="002D3F" w:themeColor="accent1"/>
            </w:tcBorders>
          </w:tcPr>
          <w:p w14:paraId="2ECF8690" w14:textId="0B10BCFB" w:rsidR="00897114" w:rsidRPr="00B100CC" w:rsidRDefault="00897114" w:rsidP="001F7F06">
            <w:pPr>
              <w:spacing w:after="100"/>
              <w:cnfStyle w:val="100000000000" w:firstRow="1" w:lastRow="0" w:firstColumn="0" w:lastColumn="0" w:oddVBand="0" w:evenVBand="0" w:oddHBand="0" w:evenHBand="0" w:firstRowFirstColumn="0" w:firstRowLastColumn="0" w:lastRowFirstColumn="0" w:lastRowLastColumn="0"/>
            </w:pPr>
            <w:r>
              <w:t>Guarantee applied to:</w:t>
            </w:r>
          </w:p>
        </w:tc>
      </w:tr>
      <w:tr w:rsidR="001143C1" w14:paraId="71C1E3D7" w14:textId="77777777" w:rsidTr="78C4367D">
        <w:tc>
          <w:tcPr>
            <w:cnfStyle w:val="001000000000" w:firstRow="0" w:lastRow="0" w:firstColumn="1" w:lastColumn="0" w:oddVBand="0" w:evenVBand="0" w:oddHBand="0" w:evenHBand="0" w:firstRowFirstColumn="0" w:firstRowLastColumn="0" w:lastRowFirstColumn="0" w:lastRowLastColumn="0"/>
            <w:tcW w:w="1838" w:type="dxa"/>
            <w:vAlign w:val="top"/>
          </w:tcPr>
          <w:p w14:paraId="0E93D32F" w14:textId="7CE9193C" w:rsidR="001143C1" w:rsidRPr="00861934" w:rsidRDefault="001143C1" w:rsidP="001143C1">
            <w:pPr>
              <w:spacing w:after="100"/>
              <w:rPr>
                <w:b/>
                <w:bCs/>
              </w:rPr>
            </w:pPr>
            <w:r w:rsidRPr="001143C1">
              <w:rPr>
                <w:b/>
                <w:bCs/>
              </w:rPr>
              <w:t>From July 2023</w:t>
            </w:r>
          </w:p>
        </w:tc>
        <w:tc>
          <w:tcPr>
            <w:tcW w:w="7229" w:type="dxa"/>
          </w:tcPr>
          <w:p w14:paraId="581979EE" w14:textId="55545D83" w:rsidR="001143C1" w:rsidRDefault="00D93ADB" w:rsidP="001143C1">
            <w:pPr>
              <w:spacing w:after="100"/>
              <w:cnfStyle w:val="000000000000" w:firstRow="0" w:lastRow="0" w:firstColumn="0" w:lastColumn="0" w:oddVBand="0" w:evenVBand="0" w:oddHBand="0" w:evenHBand="0" w:firstRowFirstColumn="0" w:firstRowLastColumn="0" w:lastRowFirstColumn="0" w:lastRowLastColumn="0"/>
            </w:pPr>
            <w:r w:rsidRPr="3374E00D">
              <w:rPr>
                <w:rFonts w:ascii="Calibri" w:eastAsia="Calibri" w:hAnsi="Calibri" w:cs="Calibri"/>
              </w:rPr>
              <w:t>The Guarantee is required to be reflected in Requests for Tender for major construction projects and facilities management contracts funded through Australian Government procurement via a Procurement Connected Policy (PCP).</w:t>
            </w:r>
          </w:p>
        </w:tc>
      </w:tr>
      <w:tr w:rsidR="001143C1" w14:paraId="4D1DAD2D" w14:textId="77777777" w:rsidTr="78C4367D">
        <w:trPr>
          <w:trHeight w:val="2229"/>
        </w:trPr>
        <w:tc>
          <w:tcPr>
            <w:cnfStyle w:val="001000000000" w:firstRow="0" w:lastRow="0" w:firstColumn="1" w:lastColumn="0" w:oddVBand="0" w:evenVBand="0" w:oddHBand="0" w:evenHBand="0" w:firstRowFirstColumn="0" w:firstRowLastColumn="0" w:lastRowFirstColumn="0" w:lastRowLastColumn="0"/>
            <w:tcW w:w="1838" w:type="dxa"/>
            <w:vAlign w:val="top"/>
          </w:tcPr>
          <w:p w14:paraId="364E9682" w14:textId="075A3733" w:rsidR="001143C1" w:rsidRPr="00861934" w:rsidRDefault="001143C1" w:rsidP="001143C1">
            <w:pPr>
              <w:spacing w:after="100"/>
              <w:rPr>
                <w:b/>
                <w:bCs/>
              </w:rPr>
            </w:pPr>
            <w:r w:rsidRPr="001143C1">
              <w:rPr>
                <w:b/>
                <w:bCs/>
              </w:rPr>
              <w:t>From July 2024</w:t>
            </w:r>
          </w:p>
        </w:tc>
        <w:tc>
          <w:tcPr>
            <w:tcW w:w="7229" w:type="dxa"/>
          </w:tcPr>
          <w:p w14:paraId="75B20C2E" w14:textId="77777777" w:rsidR="0041753E" w:rsidRDefault="0041753E" w:rsidP="0041753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The Guarantee is required to be reflected in Requests for Tender for:</w:t>
            </w:r>
          </w:p>
          <w:p w14:paraId="4A8A3872" w14:textId="34E808AE" w:rsidR="0041753E" w:rsidRPr="00D33B3A" w:rsidRDefault="0041753E" w:rsidP="0041753E">
            <w:pPr>
              <w:pStyle w:val="ListParagraph"/>
              <w:numPr>
                <w:ilvl w:val="0"/>
                <w:numId w:val="21"/>
              </w:numPr>
              <w:spacing w:line="240"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0F0F55AB">
              <w:rPr>
                <w:rFonts w:ascii="Calibri" w:eastAsia="Calibri" w:hAnsi="Calibri" w:cs="Calibri"/>
              </w:rPr>
              <w:t xml:space="preserve">major </w:t>
            </w:r>
            <w:r>
              <w:rPr>
                <w:rFonts w:eastAsiaTheme="minorEastAsia"/>
              </w:rPr>
              <w:t>IT</w:t>
            </w:r>
            <w:r w:rsidRPr="009C5D50">
              <w:rPr>
                <w:rFonts w:eastAsiaTheme="minorEastAsia"/>
              </w:rPr>
              <w:t xml:space="preserve"> projects funded through </w:t>
            </w:r>
            <w:r w:rsidRPr="0F0F55AB">
              <w:rPr>
                <w:rFonts w:eastAsiaTheme="minorEastAsia"/>
              </w:rPr>
              <w:t>Australian Government procurement via a PCP</w:t>
            </w:r>
            <w:r>
              <w:rPr>
                <w:rFonts w:eastAsiaTheme="minorEastAsia"/>
              </w:rPr>
              <w:t>;</w:t>
            </w:r>
          </w:p>
          <w:p w14:paraId="25166A86" w14:textId="3AACE24C" w:rsidR="00C179DC" w:rsidRDefault="0041753E" w:rsidP="00C179DC">
            <w:pPr>
              <w:pStyle w:val="ListParagraph"/>
              <w:numPr>
                <w:ilvl w:val="0"/>
                <w:numId w:val="21"/>
              </w:numPr>
              <w:spacing w:line="240"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0F0F55AB">
              <w:rPr>
                <w:rFonts w:eastAsiaTheme="minorEastAsia"/>
              </w:rPr>
              <w:t>joint major construction projects with state and territory governments under the next Land Transport Infrastructure NPA</w:t>
            </w:r>
            <w:r>
              <w:rPr>
                <w:rFonts w:eastAsiaTheme="minorEastAsia"/>
                <w:color w:val="000000" w:themeColor="text1"/>
              </w:rPr>
              <w:t>; and</w:t>
            </w:r>
          </w:p>
          <w:p w14:paraId="7FF0C62D" w14:textId="46A5B1B0" w:rsidR="001143C1" w:rsidRPr="00C179DC" w:rsidRDefault="4BC20A45" w:rsidP="78C4367D">
            <w:pPr>
              <w:pStyle w:val="ListParagraph"/>
              <w:numPr>
                <w:ilvl w:val="0"/>
                <w:numId w:val="21"/>
              </w:numPr>
              <w:spacing w:line="240" w:lineRule="auto"/>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78C4367D">
              <w:rPr>
                <w:rFonts w:eastAsiaTheme="minorEastAsia"/>
              </w:rPr>
              <w:t xml:space="preserve">major social and affordable housing construction projects </w:t>
            </w:r>
            <w:r w:rsidR="0645EB48" w:rsidRPr="78C4367D">
              <w:rPr>
                <w:rFonts w:eastAsiaTheme="minorEastAsia"/>
              </w:rPr>
              <w:t>funded</w:t>
            </w:r>
            <w:r w:rsidR="609CFDA4" w:rsidRPr="78C4367D">
              <w:rPr>
                <w:rFonts w:eastAsiaTheme="minorEastAsia"/>
              </w:rPr>
              <w:t xml:space="preserve"> </w:t>
            </w:r>
            <w:r w:rsidRPr="78C4367D">
              <w:rPr>
                <w:rFonts w:eastAsiaTheme="minorEastAsia"/>
              </w:rPr>
              <w:t xml:space="preserve">by </w:t>
            </w:r>
            <w:r w:rsidR="000542E2" w:rsidRPr="78C4367D">
              <w:rPr>
                <w:rFonts w:eastAsiaTheme="minorEastAsia"/>
              </w:rPr>
              <w:t xml:space="preserve">the Australian </w:t>
            </w:r>
            <w:r w:rsidR="0A166678" w:rsidRPr="78C4367D">
              <w:rPr>
                <w:rFonts w:eastAsiaTheme="minorEastAsia"/>
              </w:rPr>
              <w:t xml:space="preserve">Government, as outlined in </w:t>
            </w:r>
            <w:r w:rsidRPr="78C4367D">
              <w:rPr>
                <w:rFonts w:eastAsiaTheme="minorEastAsia"/>
              </w:rPr>
              <w:t>the Housing Accord.</w:t>
            </w:r>
          </w:p>
        </w:tc>
      </w:tr>
      <w:tr w:rsidR="001143C1" w14:paraId="64FB0913" w14:textId="77777777" w:rsidTr="78C4367D">
        <w:tc>
          <w:tcPr>
            <w:cnfStyle w:val="001000000000" w:firstRow="0" w:lastRow="0" w:firstColumn="1" w:lastColumn="0" w:oddVBand="0" w:evenVBand="0" w:oddHBand="0" w:evenHBand="0" w:firstRowFirstColumn="0" w:firstRowLastColumn="0" w:lastRowFirstColumn="0" w:lastRowLastColumn="0"/>
            <w:tcW w:w="1838" w:type="dxa"/>
            <w:vAlign w:val="top"/>
          </w:tcPr>
          <w:p w14:paraId="06897FCD" w14:textId="5F41C6EC" w:rsidR="001143C1" w:rsidRPr="00861934" w:rsidRDefault="001143C1" w:rsidP="001143C1">
            <w:pPr>
              <w:spacing w:after="100"/>
              <w:rPr>
                <w:b/>
                <w:bCs/>
              </w:rPr>
            </w:pPr>
            <w:r w:rsidRPr="001143C1">
              <w:rPr>
                <w:b/>
                <w:bCs/>
              </w:rPr>
              <w:t xml:space="preserve">From July 2025 and onwards </w:t>
            </w:r>
          </w:p>
        </w:tc>
        <w:tc>
          <w:tcPr>
            <w:tcW w:w="7229" w:type="dxa"/>
          </w:tcPr>
          <w:p w14:paraId="63F896E4" w14:textId="1E70DCCB" w:rsidR="001143C1" w:rsidRDefault="00957B38" w:rsidP="001143C1">
            <w:pPr>
              <w:spacing w:after="100"/>
              <w:cnfStyle w:val="000000000000" w:firstRow="0" w:lastRow="0" w:firstColumn="0" w:lastColumn="0" w:oddVBand="0" w:evenVBand="0" w:oddHBand="0" w:evenHBand="0" w:firstRowFirstColumn="0" w:firstRowLastColumn="0" w:lastRowFirstColumn="0" w:lastRowLastColumn="0"/>
            </w:pPr>
            <w:r w:rsidRPr="3374E00D">
              <w:rPr>
                <w:rFonts w:ascii="Calibri" w:eastAsia="Calibri" w:hAnsi="Calibri" w:cs="Calibri"/>
              </w:rPr>
              <w:t>The Guarantee is required to be reflected in Requests for Tender for projects in additional industries through an expanded PCP, on a project-by-project basis, or other National Partnership Agreements.</w:t>
            </w:r>
          </w:p>
        </w:tc>
      </w:tr>
    </w:tbl>
    <w:p w14:paraId="630EBFE4" w14:textId="0EDEC124" w:rsidR="001914CB" w:rsidRPr="00722EA3" w:rsidRDefault="001914CB" w:rsidP="00A10CBF">
      <w:pPr>
        <w:spacing w:before="240"/>
        <w:rPr>
          <w:rFonts w:eastAsiaTheme="minorEastAsia"/>
        </w:rPr>
      </w:pPr>
      <w:r>
        <w:t xml:space="preserve">Under a staged approach, feedback on the design considerations for the Guarantee (outlined in </w:t>
      </w:r>
      <w:r>
        <w:rPr>
          <w:u w:val="single"/>
        </w:rPr>
        <w:t xml:space="preserve">Chapters 1 </w:t>
      </w:r>
      <w:r w:rsidRPr="00722EA3">
        <w:rPr>
          <w:u w:val="single"/>
        </w:rPr>
        <w:t>to 4</w:t>
      </w:r>
      <w:r>
        <w:t>) would inform the development of the initial PCP, with other approaches to follow and review points built in.</w:t>
      </w:r>
    </w:p>
    <w:p w14:paraId="1AECA583" w14:textId="12A43329" w:rsidR="0028751D" w:rsidRPr="00D04B5E" w:rsidRDefault="0028751D" w:rsidP="002611E5">
      <w:pPr>
        <w:pStyle w:val="Heading3"/>
      </w:pPr>
      <w:bookmarkStart w:id="170" w:name="_Toc1456706502"/>
      <w:bookmarkStart w:id="171" w:name="_Toc1962234620"/>
      <w:bookmarkStart w:id="172" w:name="_Toc1233186214"/>
      <w:r w:rsidRPr="0E2735CB">
        <w:t>Implementing the Guarantee through a Procurement Connected Policy</w:t>
      </w:r>
      <w:bookmarkEnd w:id="170"/>
      <w:bookmarkEnd w:id="171"/>
      <w:bookmarkEnd w:id="172"/>
      <w:r>
        <w:t xml:space="preserve"> to capture major Government procurements</w:t>
      </w:r>
    </w:p>
    <w:p w14:paraId="0396544E" w14:textId="4DDD76B2" w:rsidR="0028751D" w:rsidRDefault="0028751D" w:rsidP="0028751D">
      <w:r>
        <w:t xml:space="preserve">The Guarantee could be applied to certain projects delivered directly by the Commonwealth, through the development of a new PCP. PCPs are Commonwealth policies that the Australian Government has agreed to connect to the Commonwealth Procurement Rules. These policies seek to support Government to deliver wider policy goals. A new PCP could require relevant Commonwealth </w:t>
      </w:r>
      <w:r w:rsidR="00C11D79">
        <w:t xml:space="preserve">agency </w:t>
      </w:r>
      <w:r>
        <w:t xml:space="preserve">staff to request suppliers meet participation requirements for apprentices, trainees and paid cadets in the workforce on certain </w:t>
      </w:r>
      <w:r w:rsidR="00B7748D">
        <w:t xml:space="preserve">major </w:t>
      </w:r>
      <w:r>
        <w:t>projects.</w:t>
      </w:r>
    </w:p>
    <w:p w14:paraId="392CF347" w14:textId="267132DE" w:rsidR="0028751D" w:rsidRDefault="0028751D" w:rsidP="0028751D">
      <w:r w:rsidRPr="4527F404">
        <w:t xml:space="preserve">The PCP would </w:t>
      </w:r>
      <w:r>
        <w:t xml:space="preserve">initially </w:t>
      </w:r>
      <w:r w:rsidRPr="4527F404">
        <w:t xml:space="preserve">apply to </w:t>
      </w:r>
      <w:r>
        <w:t xml:space="preserve">major </w:t>
      </w:r>
      <w:r w:rsidRPr="4527F404">
        <w:t xml:space="preserve">projects </w:t>
      </w:r>
      <w:r>
        <w:t xml:space="preserve">on construction </w:t>
      </w:r>
      <w:r w:rsidRPr="4527F404">
        <w:t xml:space="preserve">that meet </w:t>
      </w:r>
      <w:r>
        <w:t xml:space="preserve">the relevant </w:t>
      </w:r>
      <w:r w:rsidRPr="4527F404">
        <w:t>financial threshold</w:t>
      </w:r>
      <w:r>
        <w:t xml:space="preserve"> (see </w:t>
      </w:r>
      <w:r>
        <w:rPr>
          <w:u w:val="single"/>
        </w:rPr>
        <w:t>Chapters 1 and 2</w:t>
      </w:r>
      <w:r>
        <w:t>) and then be expanded to include major IT projects.</w:t>
      </w:r>
      <w:r w:rsidRPr="4527F404">
        <w:t xml:space="preserve"> </w:t>
      </w:r>
      <w:r>
        <w:t>There is a requirement to annually review PCPs, providing an opportunity to consider any changes, such as expanding the Guarantee to other industries.</w:t>
      </w:r>
    </w:p>
    <w:p w14:paraId="0C7DB473" w14:textId="5FB930E2" w:rsidR="0028751D" w:rsidRDefault="0028751D" w:rsidP="002611E5">
      <w:pPr>
        <w:pStyle w:val="Heading3"/>
      </w:pPr>
      <w:bookmarkStart w:id="173" w:name="_Toc124147858"/>
      <w:bookmarkStart w:id="174" w:name="_Toc1529964323"/>
      <w:bookmarkStart w:id="175" w:name="_Toc1984866290"/>
      <w:r w:rsidRPr="0E2735CB">
        <w:t xml:space="preserve">Implementing the Guarantee through the next Land Transport Infrastructure </w:t>
      </w:r>
      <w:r w:rsidRPr="6F57B389">
        <w:rPr>
          <w:bCs/>
        </w:rPr>
        <w:t>NPA</w:t>
      </w:r>
      <w:r w:rsidRPr="6F57B389">
        <w:t xml:space="preserve"> </w:t>
      </w:r>
      <w:bookmarkEnd w:id="173"/>
      <w:bookmarkEnd w:id="174"/>
      <w:bookmarkEnd w:id="175"/>
      <w:r>
        <w:t>to capture significant investments in road and rail infrastructure</w:t>
      </w:r>
    </w:p>
    <w:p w14:paraId="4D806875" w14:textId="77777777" w:rsidR="0028751D" w:rsidRDefault="0028751D" w:rsidP="0028751D">
      <w:r>
        <w:t>To apply the Guarantee to major land infrastructure projects, the Guarantee could be delivered through the next Land Transport Infrastructure NPA. The Land Transport Infrastructure NPA is the vehicle for providing funding to the states and territories to deliver land transport infrastructure. The next Land Transport Infrastructure NPA starts on 1 July 2024.</w:t>
      </w:r>
    </w:p>
    <w:p w14:paraId="523431AF" w14:textId="5E953DD1" w:rsidR="0028751D" w:rsidRDefault="0028751D" w:rsidP="0028751D">
      <w:r>
        <w:t xml:space="preserve">The department will work with the </w:t>
      </w:r>
      <w:r w:rsidRPr="00BA4F85">
        <w:t>Department of Infrastructure, Transport</w:t>
      </w:r>
      <w:r>
        <w:t>,</w:t>
      </w:r>
      <w:r w:rsidRPr="00BA4F85">
        <w:t xml:space="preserve"> Regional Development, Communications and the Arts</w:t>
      </w:r>
      <w:r>
        <w:t xml:space="preserve">, which will lead on negotiations with state and territory governments as part of their responsibility for the Land Transport </w:t>
      </w:r>
      <w:r w:rsidRPr="4527F404">
        <w:t>Infrastructure</w:t>
      </w:r>
      <w:r>
        <w:t xml:space="preserve"> NPA.</w:t>
      </w:r>
    </w:p>
    <w:p w14:paraId="3762F6F8" w14:textId="3DAA2AC2" w:rsidR="0028751D" w:rsidRPr="00B339F2" w:rsidRDefault="0028751D" w:rsidP="002611E5">
      <w:pPr>
        <w:pStyle w:val="Heading3"/>
      </w:pPr>
      <w:bookmarkStart w:id="176" w:name="_Toc2000268042"/>
      <w:bookmarkStart w:id="177" w:name="_Toc1575623181"/>
      <w:bookmarkStart w:id="178" w:name="_Toc976450641"/>
      <w:r w:rsidRPr="001B4DE4">
        <w:t xml:space="preserve">Implementing the Guarantee </w:t>
      </w:r>
      <w:r w:rsidR="00C045ED">
        <w:t>to</w:t>
      </w:r>
      <w:r w:rsidR="0088645F" w:rsidRPr="001B4DE4">
        <w:t xml:space="preserve"> </w:t>
      </w:r>
      <w:r w:rsidRPr="001B4DE4">
        <w:t>major social and affordable housing projects</w:t>
      </w:r>
    </w:p>
    <w:p w14:paraId="6AA94D40" w14:textId="10FCC720" w:rsidR="0028751D" w:rsidRPr="001B4DE4" w:rsidRDefault="15B4009A" w:rsidP="0028751D">
      <w:r>
        <w:t xml:space="preserve">As announced as part of the Housing Accord on </w:t>
      </w:r>
      <w:r w:rsidR="7D27E1DD">
        <w:t>25 October 2022</w:t>
      </w:r>
      <w:r>
        <w:t xml:space="preserve">, the Guarantee will also be applied to major social and affordable housing projects </w:t>
      </w:r>
      <w:r w:rsidR="5701E6A7">
        <w:t>funded</w:t>
      </w:r>
      <w:r w:rsidR="7D27E1DD">
        <w:t xml:space="preserve"> </w:t>
      </w:r>
      <w:r>
        <w:t xml:space="preserve">by the </w:t>
      </w:r>
      <w:r w:rsidR="28F4ABD3">
        <w:t xml:space="preserve">Australian </w:t>
      </w:r>
      <w:r>
        <w:t>Government.</w:t>
      </w:r>
    </w:p>
    <w:p w14:paraId="7C058330" w14:textId="2F693B8F" w:rsidR="0028751D" w:rsidRPr="007062E7" w:rsidRDefault="0028751D" w:rsidP="0028751D">
      <w:r>
        <w:t>The department will work with the Department of the Treasury, which will lead on the implementation of the Housing Accord.</w:t>
      </w:r>
    </w:p>
    <w:p w14:paraId="7A86BAB3" w14:textId="4AC5921E" w:rsidR="0028751D" w:rsidRDefault="0028751D" w:rsidP="002611E5">
      <w:pPr>
        <w:pStyle w:val="Heading3"/>
      </w:pPr>
      <w:r w:rsidRPr="0E2735CB">
        <w:t xml:space="preserve">Implementing the Guarantee through other </w:t>
      </w:r>
      <w:bookmarkEnd w:id="176"/>
      <w:bookmarkEnd w:id="177"/>
      <w:bookmarkEnd w:id="178"/>
      <w:r>
        <w:t>approaches as part of an expansion of the Guarantee</w:t>
      </w:r>
    </w:p>
    <w:p w14:paraId="69FE7D03" w14:textId="0C545555" w:rsidR="001914CB" w:rsidRDefault="001A23BA" w:rsidP="0028751D">
      <w:r>
        <w:t>C</w:t>
      </w:r>
      <w:r w:rsidR="15B4009A">
        <w:t xml:space="preserve">onsideration could be given to expanding the Guarantee further. This may include expanding the PCP, applying the Guarantee on a project-by-project basis (for example, to new clean and renewable energy projects or to major Government contracts in skills or employment) or applying the Guarantee to other National Partnership Agreements. In addition, </w:t>
      </w:r>
      <w:r w:rsidR="271A9D6F">
        <w:t xml:space="preserve">Government </w:t>
      </w:r>
      <w:r w:rsidR="15B4009A">
        <w:t xml:space="preserve">Business Enterprises could be encouraged to voluntarily apply the Guarantee to their investments - it is not mandatory for most </w:t>
      </w:r>
      <w:r w:rsidR="271A9D6F">
        <w:t xml:space="preserve">Government </w:t>
      </w:r>
      <w:r w:rsidR="15B4009A">
        <w:t>Business Enterprises to meet requirements under a PCP.</w:t>
      </w:r>
    </w:p>
    <w:p w14:paraId="5CC2CF96" w14:textId="77777777" w:rsidR="009F571D" w:rsidRDefault="009F571D" w:rsidP="009F571D">
      <w:pPr>
        <w:rPr>
          <w:rFonts w:ascii="Calibri" w:eastAsia="Calibri" w:hAnsi="Calibri" w:cs="Calibri"/>
          <w:b/>
          <w:bCs/>
        </w:rPr>
      </w:pPr>
      <w:r>
        <w:rPr>
          <w:rFonts w:ascii="Calibri" w:eastAsia="Calibri" w:hAnsi="Calibri" w:cs="Calibri"/>
          <w:b/>
          <w:bCs/>
        </w:rPr>
        <w:t>Key questions for discussion:</w:t>
      </w:r>
    </w:p>
    <w:tbl>
      <w:tblPr>
        <w:tblStyle w:val="DESE"/>
        <w:tblW w:w="9067" w:type="dxa"/>
        <w:tblLook w:val="04A0" w:firstRow="1" w:lastRow="0" w:firstColumn="1" w:lastColumn="0" w:noHBand="0" w:noVBand="1"/>
        <w:tblDescription w:val="Discussion paper questions"/>
      </w:tblPr>
      <w:tblGrid>
        <w:gridCol w:w="562"/>
        <w:gridCol w:w="8505"/>
      </w:tblGrid>
      <w:tr w:rsidR="00B31E2C" w14:paraId="16D12FF3"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E6B7D8" w14:textId="77777777" w:rsidR="00284603" w:rsidRPr="00B100CC" w:rsidRDefault="00284603" w:rsidP="00DE79A7">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3E27C584" w14:textId="77777777" w:rsidR="00284603" w:rsidRPr="00B100CC" w:rsidRDefault="00284603" w:rsidP="00DE79A7">
            <w:pPr>
              <w:spacing w:after="100"/>
              <w:cnfStyle w:val="100000000000" w:firstRow="1" w:lastRow="0" w:firstColumn="0" w:lastColumn="0" w:oddVBand="0" w:evenVBand="0" w:oddHBand="0" w:evenHBand="0" w:firstRowFirstColumn="0" w:firstRowLastColumn="0" w:lastRowFirstColumn="0" w:lastRowLastColumn="0"/>
            </w:pPr>
            <w:r>
              <w:t>Question</w:t>
            </w:r>
          </w:p>
        </w:tc>
      </w:tr>
      <w:tr w:rsidR="00B31E2C" w14:paraId="1BEEE9F0"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72292C54" w14:textId="1D47E311" w:rsidR="00284603" w:rsidRPr="0017294C" w:rsidRDefault="006C6871" w:rsidP="00DE79A7">
            <w:pPr>
              <w:spacing w:after="100"/>
              <w:rPr>
                <w:rFonts w:ascii="Calibri" w:hAnsi="Calibri"/>
                <w:color w:val="FFFFFF" w:themeColor="background1"/>
              </w:rPr>
            </w:pPr>
            <w:r w:rsidRPr="78C4367D">
              <w:rPr>
                <w:rFonts w:ascii="Calibri" w:hAnsi="Calibri"/>
                <w:color w:val="FFFFFF" w:themeColor="background1"/>
              </w:rPr>
              <w:t>14</w:t>
            </w:r>
          </w:p>
        </w:tc>
        <w:tc>
          <w:tcPr>
            <w:tcW w:w="8505" w:type="dxa"/>
            <w:tcBorders>
              <w:top w:val="single" w:sz="4" w:space="0" w:color="FFFFFF" w:themeColor="background1"/>
              <w:left w:val="single" w:sz="4" w:space="0" w:color="FFFFFF" w:themeColor="background1"/>
            </w:tcBorders>
            <w:vAlign w:val="top"/>
          </w:tcPr>
          <w:p w14:paraId="3096956B" w14:textId="5F49E4E7" w:rsidR="00284603" w:rsidRPr="00E87BC6" w:rsidRDefault="16A93748" w:rsidP="1530C7B9">
            <w:pPr>
              <w:spacing w:after="100"/>
              <w:cnfStyle w:val="000000000000" w:firstRow="0" w:lastRow="0" w:firstColumn="0" w:lastColumn="0" w:oddVBand="0" w:evenVBand="0" w:oddHBand="0" w:evenHBand="0" w:firstRowFirstColumn="0" w:firstRowLastColumn="0" w:lastRowFirstColumn="0" w:lastRowLastColumn="0"/>
            </w:pPr>
            <w:r w:rsidRPr="1530C7B9">
              <w:rPr>
                <w:color w:val="000000" w:themeColor="text1"/>
              </w:rPr>
              <w:t xml:space="preserve">Are there any barriers to the proposed implementation approach outlined in Table 2? For sectors where an apprenticeship, traineeship or paid cadetship is not a typical entry pathway, what lead time would be required to adjust to the application of the Guarantee </w:t>
            </w:r>
            <w:r w:rsidR="6FB7B394" w:rsidRPr="1530C7B9">
              <w:rPr>
                <w:color w:val="000000" w:themeColor="text1"/>
              </w:rPr>
              <w:t>and why</w:t>
            </w:r>
            <w:r w:rsidRPr="1530C7B9">
              <w:rPr>
                <w:color w:val="000000" w:themeColor="text1"/>
              </w:rPr>
              <w:t>?</w:t>
            </w:r>
          </w:p>
        </w:tc>
      </w:tr>
      <w:tr w:rsidR="00B31E2C" w14:paraId="6842B1D3"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37915B47" w14:textId="3EA55B70" w:rsidR="00284603" w:rsidRPr="0017294C" w:rsidRDefault="006C6871" w:rsidP="78C4367D">
            <w:pPr>
              <w:spacing w:beforeAutospacing="0" w:after="0" w:afterAutospacing="0"/>
              <w:rPr>
                <w:rFonts w:ascii="Calibri" w:hAnsi="Calibri"/>
                <w:color w:val="FFFFFF" w:themeColor="background1"/>
              </w:rPr>
            </w:pPr>
            <w:r w:rsidRPr="78C4367D">
              <w:rPr>
                <w:rFonts w:ascii="Calibri" w:hAnsi="Calibri"/>
                <w:color w:val="FFFFFF" w:themeColor="background1"/>
              </w:rPr>
              <w:t>15</w:t>
            </w:r>
          </w:p>
        </w:tc>
        <w:tc>
          <w:tcPr>
            <w:tcW w:w="8505" w:type="dxa"/>
            <w:tcBorders>
              <w:left w:val="single" w:sz="4" w:space="0" w:color="FFFFFF" w:themeColor="background1"/>
            </w:tcBorders>
            <w:vAlign w:val="top"/>
          </w:tcPr>
          <w:p w14:paraId="5E678A62" w14:textId="68CDD8A9" w:rsidR="00284603" w:rsidRPr="00E87BC6" w:rsidRDefault="00284603" w:rsidP="00DE79A7">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t>Do t</w:t>
            </w:r>
            <w:r w:rsidRPr="3C7F514E">
              <w:rPr>
                <w:color w:val="000000" w:themeColor="text1"/>
              </w:rPr>
              <w:t xml:space="preserve">he implementation approaches explored </w:t>
            </w:r>
            <w:r>
              <w:rPr>
                <w:color w:val="000000" w:themeColor="text1"/>
              </w:rPr>
              <w:t>in this chapter</w:t>
            </w:r>
            <w:r w:rsidRPr="3C7F514E">
              <w:rPr>
                <w:color w:val="000000" w:themeColor="text1"/>
              </w:rPr>
              <w:t xml:space="preserve"> cover the greatest opportunities for delivering the Guarantee?</w:t>
            </w:r>
          </w:p>
        </w:tc>
      </w:tr>
      <w:tr w:rsidR="00B31E2C" w14:paraId="5F01663F"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1293295A" w14:textId="54C31402" w:rsidR="00284603" w:rsidRDefault="006C6871" w:rsidP="00DE79A7">
            <w:pPr>
              <w:spacing w:after="0"/>
              <w:rPr>
                <w:rFonts w:ascii="Calibri" w:hAnsi="Calibri"/>
                <w:color w:val="FFFFFF" w:themeColor="background1"/>
              </w:rPr>
            </w:pPr>
            <w:r w:rsidRPr="78C4367D">
              <w:rPr>
                <w:rFonts w:ascii="Calibri" w:hAnsi="Calibri"/>
                <w:color w:val="FFFFFF" w:themeColor="background1"/>
              </w:rPr>
              <w:t>16</w:t>
            </w:r>
          </w:p>
        </w:tc>
        <w:tc>
          <w:tcPr>
            <w:tcW w:w="8505" w:type="dxa"/>
            <w:tcBorders>
              <w:left w:val="single" w:sz="4" w:space="0" w:color="FFFFFF" w:themeColor="background1"/>
            </w:tcBorders>
            <w:vAlign w:val="top"/>
          </w:tcPr>
          <w:p w14:paraId="32A624AF" w14:textId="56885B16" w:rsidR="00284603" w:rsidRPr="4A81C948" w:rsidRDefault="00284603" w:rsidP="00DE79A7">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3C7F514E">
              <w:rPr>
                <w:color w:val="000000" w:themeColor="text1"/>
              </w:rPr>
              <w:t>What outcomes can be achieved through the Guarantee and how do you think the Guarantee will help build a skilled workforce?</w:t>
            </w:r>
          </w:p>
        </w:tc>
      </w:tr>
    </w:tbl>
    <w:p w14:paraId="19989870" w14:textId="77777777" w:rsidR="004311B4" w:rsidRDefault="004311B4">
      <w:pPr>
        <w:spacing w:after="160" w:line="259" w:lineRule="auto"/>
        <w:rPr>
          <w:rFonts w:ascii="Calibri" w:eastAsiaTheme="majorEastAsia" w:hAnsi="Calibri" w:cstheme="majorBidi"/>
          <w:b/>
          <w:color w:val="404246"/>
          <w:sz w:val="30"/>
          <w:szCs w:val="26"/>
        </w:rPr>
      </w:pPr>
      <w:bookmarkStart w:id="179" w:name="_Toc1762563848"/>
      <w:bookmarkStart w:id="180" w:name="_Toc880280331"/>
      <w:bookmarkStart w:id="181" w:name="_Toc1016048450"/>
      <w:bookmarkStart w:id="182" w:name="_Toc1705336477"/>
      <w:bookmarkStart w:id="183" w:name="_Toc2019054779"/>
      <w:bookmarkStart w:id="184" w:name="_Toc1105261876"/>
      <w:bookmarkStart w:id="185" w:name="_Toc1143595730"/>
      <w:bookmarkStart w:id="186" w:name="_Toc524333881"/>
      <w:bookmarkStart w:id="187" w:name="_Toc21396924"/>
      <w:bookmarkStart w:id="188" w:name="_Toc142980316"/>
      <w:bookmarkStart w:id="189" w:name="_Toc117246148"/>
      <w:r>
        <w:br w:type="page"/>
      </w:r>
    </w:p>
    <w:p w14:paraId="24363CCB" w14:textId="79825F8D" w:rsidR="00C839EC" w:rsidRDefault="00C839EC" w:rsidP="00C839EC">
      <w:pPr>
        <w:pStyle w:val="Heading2"/>
      </w:pPr>
      <w:bookmarkStart w:id="190" w:name="_Toc120101385"/>
      <w:r>
        <w:t>Chapter 6: Managing performance</w:t>
      </w:r>
      <w:bookmarkEnd w:id="179"/>
      <w:bookmarkEnd w:id="180"/>
      <w:bookmarkEnd w:id="181"/>
      <w:bookmarkEnd w:id="182"/>
      <w:bookmarkEnd w:id="183"/>
      <w:bookmarkEnd w:id="184"/>
      <w:bookmarkEnd w:id="185"/>
      <w:bookmarkEnd w:id="186"/>
      <w:bookmarkEnd w:id="187"/>
      <w:bookmarkEnd w:id="188"/>
      <w:bookmarkEnd w:id="189"/>
      <w:bookmarkEnd w:id="190"/>
    </w:p>
    <w:p w14:paraId="4FC6F2DD" w14:textId="6F294218" w:rsidR="00C839EC" w:rsidRDefault="00C839EC" w:rsidP="00C839EC">
      <w:r w:rsidRPr="005F5FAF">
        <w:t xml:space="preserve">Establishing appropriate reporting and </w:t>
      </w:r>
      <w:r>
        <w:t>performance management</w:t>
      </w:r>
      <w:r w:rsidRPr="005F5FAF">
        <w:t xml:space="preserve"> mechanisms is important to ensure the Guarantee achieves its objectives. </w:t>
      </w:r>
      <w:r>
        <w:t>This chapter outlines options for collecting data on the impacts of the Guarantee.</w:t>
      </w:r>
    </w:p>
    <w:p w14:paraId="1E5FEE31" w14:textId="1CD983B7" w:rsidR="00C839EC" w:rsidRDefault="00C839EC" w:rsidP="008E4C90">
      <w:pPr>
        <w:pStyle w:val="Heading3"/>
      </w:pPr>
      <w:r w:rsidRPr="2759662E">
        <w:t>Reporting is key to understanding the impact of the Guarantee</w:t>
      </w:r>
    </w:p>
    <w:p w14:paraId="61418279" w14:textId="5F9EB3A8" w:rsidR="00C839EC" w:rsidRDefault="00C839EC" w:rsidP="00C839EC">
      <w:r>
        <w:t xml:space="preserve">It is important that suppliers for major projects take the lead role in monitoring their performance against the Guarantee and reporting outcomes. It is proposed that suppliers </w:t>
      </w:r>
      <w:r w:rsidR="00652814">
        <w:t xml:space="preserve">regularly </w:t>
      </w:r>
      <w:r>
        <w:t>report their performance</w:t>
      </w:r>
      <w:r w:rsidR="00652814">
        <w:t>, for example quarterly or annually,</w:t>
      </w:r>
      <w:r>
        <w:t xml:space="preserve"> against the targets at the project-level using a provided formula which reflects the methodology of calculating the targets.</w:t>
      </w:r>
    </w:p>
    <w:p w14:paraId="29375066" w14:textId="665F2C5D" w:rsidR="00C839EC" w:rsidRDefault="00C839EC" w:rsidP="00C839EC">
      <w:pPr>
        <w:rPr>
          <w:i/>
          <w:iCs/>
        </w:rPr>
      </w:pPr>
      <w:r>
        <w:t>To support more detailed reporting, as well as compliance activities, a range of information could be collected about the apprentices, trainees and paid cadets.</w:t>
      </w:r>
    </w:p>
    <w:p w14:paraId="4A1416DF" w14:textId="6C35E10C" w:rsidR="00C839EC" w:rsidRPr="00B846DA" w:rsidRDefault="00C839EC" w:rsidP="008E4C90">
      <w:pPr>
        <w:pStyle w:val="Heading4"/>
      </w:pPr>
      <w:r w:rsidRPr="00B846DA">
        <w:t xml:space="preserve">What information </w:t>
      </w:r>
      <w:r>
        <w:t>will need to</w:t>
      </w:r>
      <w:r w:rsidRPr="00B846DA">
        <w:t xml:space="preserve"> be reported?</w:t>
      </w:r>
    </w:p>
    <w:p w14:paraId="7FBE3D3A" w14:textId="198CB3BE" w:rsidR="00C839EC" w:rsidRDefault="00C839EC" w:rsidP="00C839EC">
      <w:r>
        <w:t xml:space="preserve">The aim </w:t>
      </w:r>
      <w:r w:rsidR="00A73D2D">
        <w:t>is</w:t>
      </w:r>
      <w:r>
        <w:t xml:space="preserve"> to minimise the regulatory burden on suppliers and sub-contractors by only requiring the collection of key data for reporting and compliance, and to leverage existing systems as much as possible.</w:t>
      </w:r>
    </w:p>
    <w:p w14:paraId="403FE091" w14:textId="0F3DF67F" w:rsidR="00C839EC" w:rsidRDefault="00C839EC" w:rsidP="00C839EC">
      <w:r>
        <w:t>Currently, the Government collects a range of data on apprenticeships and traineeships through the ADMS, including Training Contract IDs and Australian Business Numbers of employers.</w:t>
      </w:r>
      <w:r>
        <w:rPr>
          <w:rStyle w:val="FootnoteReference"/>
        </w:rPr>
        <w:footnoteReference w:id="37"/>
      </w:r>
      <w:r>
        <w:t xml:space="preserve"> </w:t>
      </w:r>
      <w:r w:rsidR="0097569E">
        <w:t>Further w</w:t>
      </w:r>
      <w:r>
        <w:t xml:space="preserve">ork </w:t>
      </w:r>
      <w:r w:rsidR="0097569E">
        <w:t>is</w:t>
      </w:r>
      <w:r>
        <w:t xml:space="preserve"> required to identify how this information could be drawn upon to reduce reporting requirements for suppliers and sub</w:t>
      </w:r>
      <w:r>
        <w:noBreakHyphen/>
        <w:t>contractors.</w:t>
      </w:r>
    </w:p>
    <w:p w14:paraId="6D96F650" w14:textId="39FF3B7B" w:rsidR="00C839EC" w:rsidRDefault="00C839EC" w:rsidP="00C839EC">
      <w:r>
        <w:t>Additional data may need to be collected on paid cadets to support reporting and compliance, as cadets are not regulated or reported on through the ADMS. In addition, if the ‘learning worker’ approach were to be adopted for some contracts, additional data would also need to be collected.</w:t>
      </w:r>
    </w:p>
    <w:p w14:paraId="53743A85" w14:textId="77777777" w:rsidR="00C839EC" w:rsidRPr="00B846DA" w:rsidRDefault="00C839EC" w:rsidP="008E4C90">
      <w:pPr>
        <w:pStyle w:val="Heading4"/>
      </w:pPr>
      <w:r w:rsidRPr="00B846DA">
        <w:t>Reporting method</w:t>
      </w:r>
    </w:p>
    <w:p w14:paraId="2CF5EA0B" w14:textId="77777777" w:rsidR="00C839EC" w:rsidRDefault="00C839EC" w:rsidP="00F71E78">
      <w:pPr>
        <w:keepNext/>
        <w:keepLines/>
        <w:rPr>
          <w:rFonts w:eastAsiaTheme="minorEastAsia"/>
        </w:rPr>
      </w:pPr>
      <w:r>
        <w:rPr>
          <w:rFonts w:eastAsiaTheme="minorEastAsia"/>
        </w:rPr>
        <w:t>Several</w:t>
      </w:r>
      <w:r w:rsidRPr="5366A694">
        <w:rPr>
          <w:rFonts w:eastAsiaTheme="minorEastAsia"/>
        </w:rPr>
        <w:t xml:space="preserve"> options are being considered to support suppliers to report performance against the targets.</w:t>
      </w:r>
    </w:p>
    <w:p w14:paraId="712066C9" w14:textId="77777777" w:rsidR="00C839EC" w:rsidRDefault="00C839EC" w:rsidP="00C839EC">
      <w:pPr>
        <w:rPr>
          <w:rFonts w:ascii="Calibri" w:eastAsia="Calibri" w:hAnsi="Calibri" w:cs="Calibri"/>
          <w:color w:val="000000" w:themeColor="text1"/>
        </w:rPr>
      </w:pPr>
      <w:r>
        <w:rPr>
          <w:rFonts w:ascii="Calibri" w:eastAsia="Calibri" w:hAnsi="Calibri" w:cs="Calibri"/>
          <w:color w:val="000000" w:themeColor="text1"/>
        </w:rPr>
        <w:t xml:space="preserve">A proactive approach to reporting will support implementation of the Guarantee. </w:t>
      </w:r>
      <w:r w:rsidRPr="00F7462D">
        <w:rPr>
          <w:rFonts w:ascii="Calibri" w:eastAsia="Calibri" w:hAnsi="Calibri" w:cs="Calibri"/>
          <w:color w:val="000000" w:themeColor="text1"/>
        </w:rPr>
        <w:t>For example, the Land Transport Infrastructure NPA requires public reporting</w:t>
      </w:r>
      <w:r w:rsidRPr="5366A694">
        <w:rPr>
          <w:rFonts w:ascii="Calibri" w:eastAsia="Calibri" w:hAnsi="Calibri" w:cs="Calibri"/>
          <w:color w:val="000000" w:themeColor="text1"/>
        </w:rPr>
        <w:t xml:space="preserve"> on agreed targets. Public reporting encourages compliance, provides public accountability and promotes collaboration with contracting agencies without imposing consequences that put projects at risk of non-completion.</w:t>
      </w:r>
    </w:p>
    <w:p w14:paraId="03140F1B" w14:textId="77777777" w:rsidR="00C839EC" w:rsidRPr="00B846DA" w:rsidRDefault="00C839EC" w:rsidP="008E4C90">
      <w:pPr>
        <w:pStyle w:val="Heading4"/>
        <w:rPr>
          <w:rFonts w:eastAsiaTheme="minorEastAsia"/>
        </w:rPr>
      </w:pPr>
      <w:r w:rsidRPr="00B846DA">
        <w:t>Supporting suppliers</w:t>
      </w:r>
    </w:p>
    <w:p w14:paraId="33942972" w14:textId="77777777" w:rsidR="00C839EC" w:rsidRDefault="00C839EC" w:rsidP="00C839EC">
      <w:pPr>
        <w:rPr>
          <w:rFonts w:ascii="Calibri" w:eastAsia="Calibri" w:hAnsi="Calibri" w:cs="Calibri"/>
          <w:color w:val="000000" w:themeColor="text1"/>
        </w:rPr>
      </w:pPr>
      <w:r>
        <w:rPr>
          <w:rFonts w:ascii="Calibri" w:eastAsia="Calibri" w:hAnsi="Calibri" w:cs="Calibri"/>
          <w:color w:val="000000" w:themeColor="text1"/>
        </w:rPr>
        <w:t>Existing</w:t>
      </w:r>
      <w:r w:rsidRPr="7CD5204A">
        <w:rPr>
          <w:rFonts w:ascii="Calibri" w:eastAsia="Calibri" w:hAnsi="Calibri" w:cs="Calibri"/>
          <w:color w:val="000000" w:themeColor="text1"/>
        </w:rPr>
        <w:t xml:space="preserve"> </w:t>
      </w:r>
      <w:r w:rsidRPr="0600285C">
        <w:rPr>
          <w:rFonts w:ascii="Calibri" w:eastAsia="Calibri" w:hAnsi="Calibri" w:cs="Calibri"/>
          <w:color w:val="000000" w:themeColor="text1"/>
        </w:rPr>
        <w:t>state</w:t>
      </w:r>
      <w:r>
        <w:rPr>
          <w:rFonts w:ascii="Calibri" w:eastAsia="Calibri" w:hAnsi="Calibri" w:cs="Calibri"/>
          <w:color w:val="000000" w:themeColor="text1"/>
        </w:rPr>
        <w:t xml:space="preserve"> and territory government </w:t>
      </w:r>
      <w:r w:rsidRPr="44297923">
        <w:rPr>
          <w:rFonts w:ascii="Calibri" w:eastAsia="Calibri" w:hAnsi="Calibri" w:cs="Calibri"/>
          <w:color w:val="000000" w:themeColor="text1"/>
        </w:rPr>
        <w:t>policies</w:t>
      </w:r>
      <w:r w:rsidRPr="0600285C">
        <w:rPr>
          <w:rFonts w:ascii="Calibri" w:eastAsia="Calibri" w:hAnsi="Calibri" w:cs="Calibri"/>
          <w:color w:val="000000" w:themeColor="text1"/>
        </w:rPr>
        <w:t xml:space="preserve"> </w:t>
      </w:r>
      <w:r w:rsidRPr="44297923">
        <w:rPr>
          <w:rFonts w:ascii="Calibri" w:eastAsia="Calibri" w:hAnsi="Calibri" w:cs="Calibri"/>
          <w:color w:val="000000" w:themeColor="text1"/>
        </w:rPr>
        <w:t xml:space="preserve">emphasise the importance of education </w:t>
      </w:r>
      <w:r>
        <w:rPr>
          <w:rFonts w:ascii="Calibri" w:eastAsia="Calibri" w:hAnsi="Calibri" w:cs="Calibri"/>
          <w:color w:val="000000" w:themeColor="text1"/>
        </w:rPr>
        <w:t xml:space="preserve">for successful implementation </w:t>
      </w:r>
      <w:r w:rsidRPr="44297923">
        <w:rPr>
          <w:rFonts w:ascii="Calibri" w:eastAsia="Calibri" w:hAnsi="Calibri" w:cs="Calibri"/>
          <w:color w:val="000000" w:themeColor="text1"/>
        </w:rPr>
        <w:t xml:space="preserve">and promote supporting </w:t>
      </w:r>
      <w:r w:rsidRPr="5366A694">
        <w:rPr>
          <w:rFonts w:ascii="Calibri" w:eastAsia="Calibri" w:hAnsi="Calibri" w:cs="Calibri"/>
          <w:color w:val="000000" w:themeColor="text1"/>
        </w:rPr>
        <w:t>suppliers</w:t>
      </w:r>
      <w:r w:rsidRPr="44297923">
        <w:rPr>
          <w:rFonts w:ascii="Calibri" w:eastAsia="Calibri" w:hAnsi="Calibri" w:cs="Calibri"/>
          <w:color w:val="000000" w:themeColor="text1"/>
        </w:rPr>
        <w:t xml:space="preserve"> to meet targets as much as possible</w:t>
      </w:r>
      <w:r w:rsidRPr="03CEB454">
        <w:rPr>
          <w:rFonts w:ascii="Calibri" w:eastAsia="Calibri" w:hAnsi="Calibri" w:cs="Calibri"/>
          <w:color w:val="000000" w:themeColor="text1"/>
        </w:rPr>
        <w:t xml:space="preserve">. </w:t>
      </w:r>
      <w:r w:rsidRPr="751CBEEE">
        <w:rPr>
          <w:rFonts w:ascii="Calibri" w:eastAsia="Calibri" w:hAnsi="Calibri" w:cs="Calibri"/>
          <w:color w:val="000000" w:themeColor="text1"/>
        </w:rPr>
        <w:t xml:space="preserve">The contracting agency acts as the first point of contact and is encouraged to work with the </w:t>
      </w:r>
      <w:r w:rsidRPr="5366A694">
        <w:rPr>
          <w:rFonts w:ascii="Calibri" w:eastAsia="Calibri" w:hAnsi="Calibri" w:cs="Calibri"/>
          <w:color w:val="000000" w:themeColor="text1"/>
        </w:rPr>
        <w:t>supplier</w:t>
      </w:r>
      <w:r w:rsidRPr="751CBEEE">
        <w:rPr>
          <w:rFonts w:ascii="Calibri" w:eastAsia="Calibri" w:hAnsi="Calibri" w:cs="Calibri"/>
          <w:color w:val="000000" w:themeColor="text1"/>
        </w:rPr>
        <w:t xml:space="preserve"> to address any compliance or reporting concerns. </w:t>
      </w:r>
      <w:r>
        <w:rPr>
          <w:rFonts w:ascii="Calibri" w:eastAsia="Calibri" w:hAnsi="Calibri" w:cs="Calibri"/>
          <w:color w:val="000000" w:themeColor="text1"/>
        </w:rPr>
        <w:t>It is important to link suppliers to existing supports for recruiting and retaining apprentices, trainees and paid cadets.</w:t>
      </w:r>
      <w:r w:rsidRPr="4527F404">
        <w:rPr>
          <w:rFonts w:ascii="Calibri" w:eastAsia="Calibri" w:hAnsi="Calibri" w:cs="Calibri"/>
        </w:rPr>
        <w:t xml:space="preserve"> The Guarantee will be supported by the </w:t>
      </w:r>
      <w:r w:rsidRPr="266931B7">
        <w:rPr>
          <w:rFonts w:ascii="Calibri" w:eastAsia="Calibri" w:hAnsi="Calibri" w:cs="Calibri"/>
        </w:rPr>
        <w:t>Australian Apprenticeships Incentive System</w:t>
      </w:r>
      <w:r w:rsidRPr="4527F404">
        <w:rPr>
          <w:rFonts w:ascii="Calibri" w:eastAsia="Calibri" w:hAnsi="Calibri" w:cs="Calibri"/>
        </w:rPr>
        <w:t xml:space="preserve"> </w:t>
      </w:r>
      <w:r>
        <w:rPr>
          <w:rFonts w:ascii="Calibri" w:eastAsia="Calibri" w:hAnsi="Calibri" w:cs="Calibri"/>
        </w:rPr>
        <w:t xml:space="preserve">which </w:t>
      </w:r>
      <w:r w:rsidRPr="4527F404">
        <w:rPr>
          <w:rFonts w:ascii="Calibri" w:eastAsia="Calibri" w:hAnsi="Calibri" w:cs="Calibri"/>
        </w:rPr>
        <w:t>support</w:t>
      </w:r>
      <w:r>
        <w:rPr>
          <w:rFonts w:ascii="Calibri" w:eastAsia="Calibri" w:hAnsi="Calibri" w:cs="Calibri"/>
        </w:rPr>
        <w:t>s</w:t>
      </w:r>
      <w:r w:rsidRPr="4527F404">
        <w:rPr>
          <w:rFonts w:ascii="Calibri" w:eastAsia="Calibri" w:hAnsi="Calibri" w:cs="Calibri"/>
        </w:rPr>
        <w:t xml:space="preserve"> businesses and individuals to take on an apprenticeship, including</w:t>
      </w:r>
      <w:r>
        <w:rPr>
          <w:rFonts w:ascii="Calibri" w:eastAsia="Calibri" w:hAnsi="Calibri" w:cs="Calibri"/>
        </w:rPr>
        <w:t xml:space="preserve"> through</w:t>
      </w:r>
      <w:r w:rsidRPr="4527F404">
        <w:rPr>
          <w:rFonts w:ascii="Calibri" w:eastAsia="Calibri" w:hAnsi="Calibri" w:cs="Calibri"/>
        </w:rPr>
        <w:t xml:space="preserve"> financial incentives to help employers with the costs of hiring, training and retaining an apprentice.</w:t>
      </w:r>
    </w:p>
    <w:p w14:paraId="5606BB74" w14:textId="48C9B0D2" w:rsidR="00C839EC" w:rsidRDefault="00C839EC" w:rsidP="00C839EC">
      <w:pPr>
        <w:rPr>
          <w:rFonts w:ascii="Calibri" w:eastAsia="Calibri" w:hAnsi="Calibri" w:cs="Calibri"/>
          <w:color w:val="000000" w:themeColor="text1"/>
        </w:rPr>
      </w:pPr>
      <w:r w:rsidRPr="751CBEEE">
        <w:rPr>
          <w:rFonts w:ascii="Calibri" w:eastAsia="Calibri" w:hAnsi="Calibri" w:cs="Calibri"/>
          <w:color w:val="000000" w:themeColor="text1"/>
        </w:rPr>
        <w:t xml:space="preserve">Consequences for not meeting targets </w:t>
      </w:r>
      <w:r>
        <w:rPr>
          <w:rFonts w:ascii="Calibri" w:eastAsia="Calibri" w:hAnsi="Calibri" w:cs="Calibri"/>
          <w:color w:val="000000" w:themeColor="text1"/>
        </w:rPr>
        <w:t xml:space="preserve">will </w:t>
      </w:r>
      <w:r w:rsidRPr="751CBEEE">
        <w:rPr>
          <w:rFonts w:ascii="Calibri" w:eastAsia="Calibri" w:hAnsi="Calibri" w:cs="Calibri"/>
          <w:color w:val="000000" w:themeColor="text1"/>
        </w:rPr>
        <w:t xml:space="preserve">depend on the implementation approach. </w:t>
      </w:r>
      <w:r>
        <w:rPr>
          <w:rFonts w:ascii="Calibri" w:eastAsia="Calibri" w:hAnsi="Calibri" w:cs="Calibri"/>
          <w:color w:val="000000" w:themeColor="text1"/>
        </w:rPr>
        <w:t>For example, past performance against the Guarantee may be considered in future tender processes.</w:t>
      </w:r>
    </w:p>
    <w:p w14:paraId="5B523518" w14:textId="7C913E01" w:rsidR="00C839EC" w:rsidRPr="00633949" w:rsidRDefault="00C839EC" w:rsidP="008E4C90">
      <w:pPr>
        <w:pStyle w:val="Heading3"/>
      </w:pPr>
      <w:bookmarkStart w:id="191" w:name="_Toc187502075"/>
      <w:bookmarkStart w:id="192" w:name="_Toc1418145699"/>
      <w:bookmarkStart w:id="193" w:name="_Toc426964314"/>
      <w:bookmarkStart w:id="194" w:name="_Toc514615624"/>
      <w:bookmarkStart w:id="195" w:name="_Toc1671299509"/>
      <w:r>
        <w:t>The Guarantee should complement</w:t>
      </w:r>
      <w:r w:rsidRPr="5366A694">
        <w:t xml:space="preserve"> existing state and territory government policies</w:t>
      </w:r>
      <w:bookmarkEnd w:id="191"/>
      <w:bookmarkEnd w:id="192"/>
      <w:bookmarkEnd w:id="193"/>
      <w:bookmarkEnd w:id="194"/>
      <w:bookmarkEnd w:id="195"/>
    </w:p>
    <w:p w14:paraId="7BCBBF65" w14:textId="6B04A4C5" w:rsidR="00C839EC" w:rsidRDefault="00C839EC" w:rsidP="00C839EC">
      <w:pPr>
        <w:rPr>
          <w:rFonts w:ascii="Calibri" w:eastAsia="Calibri" w:hAnsi="Calibri" w:cs="Calibri"/>
        </w:rPr>
      </w:pPr>
      <w:r>
        <w:rPr>
          <w:rFonts w:ascii="Calibri" w:eastAsia="Calibri" w:hAnsi="Calibri" w:cs="Calibri"/>
        </w:rPr>
        <w:t>T</w:t>
      </w:r>
      <w:r w:rsidRPr="4527F404">
        <w:rPr>
          <w:rFonts w:ascii="Calibri" w:eastAsia="Calibri" w:hAnsi="Calibri" w:cs="Calibri"/>
        </w:rPr>
        <w:t xml:space="preserve">here are a range of existing state and territory </w:t>
      </w:r>
      <w:r>
        <w:rPr>
          <w:rFonts w:ascii="Calibri" w:eastAsia="Calibri" w:hAnsi="Calibri" w:cs="Calibri"/>
        </w:rPr>
        <w:t xml:space="preserve">government policies with targets for apprentices, trainees and cadets on major construction projects (see </w:t>
      </w:r>
      <w:r>
        <w:rPr>
          <w:rFonts w:ascii="Calibri" w:eastAsia="Calibri" w:hAnsi="Calibri" w:cs="Calibri"/>
          <w:u w:val="single"/>
        </w:rPr>
        <w:t xml:space="preserve">Appendix </w:t>
      </w:r>
      <w:r w:rsidRPr="006F0F06">
        <w:rPr>
          <w:rFonts w:ascii="Calibri" w:eastAsia="Calibri" w:hAnsi="Calibri" w:cs="Calibri"/>
          <w:u w:val="single"/>
        </w:rPr>
        <w:t>B</w:t>
      </w:r>
      <w:r>
        <w:rPr>
          <w:rFonts w:ascii="Calibri" w:eastAsia="Calibri" w:hAnsi="Calibri" w:cs="Calibri"/>
        </w:rPr>
        <w:t>)</w:t>
      </w:r>
      <w:r w:rsidRPr="33E7C013">
        <w:rPr>
          <w:rFonts w:ascii="Calibri" w:eastAsia="Calibri" w:hAnsi="Calibri" w:cs="Calibri"/>
        </w:rPr>
        <w:t xml:space="preserve">. </w:t>
      </w:r>
      <w:r>
        <w:rPr>
          <w:rFonts w:ascii="Calibri" w:eastAsia="Calibri" w:hAnsi="Calibri" w:cs="Calibri"/>
        </w:rPr>
        <w:t xml:space="preserve">The aim </w:t>
      </w:r>
      <w:r w:rsidRPr="33E7C013">
        <w:rPr>
          <w:rFonts w:ascii="Calibri" w:eastAsia="Calibri" w:hAnsi="Calibri" w:cs="Calibri"/>
        </w:rPr>
        <w:t>is</w:t>
      </w:r>
      <w:r w:rsidRPr="4527F404">
        <w:rPr>
          <w:rFonts w:ascii="Calibri" w:eastAsia="Calibri" w:hAnsi="Calibri" w:cs="Calibri"/>
        </w:rPr>
        <w:t xml:space="preserve"> to </w:t>
      </w:r>
      <w:r>
        <w:rPr>
          <w:rFonts w:ascii="Calibri" w:eastAsia="Calibri" w:hAnsi="Calibri" w:cs="Calibri"/>
        </w:rPr>
        <w:t>design and implement the Guarantee to complement existing policies and to support a national approach to building a skilled workforce</w:t>
      </w:r>
      <w:r w:rsidRPr="4527F404">
        <w:rPr>
          <w:rFonts w:ascii="Calibri" w:eastAsia="Calibri" w:hAnsi="Calibri" w:cs="Calibri"/>
        </w:rPr>
        <w:t>.</w:t>
      </w:r>
    </w:p>
    <w:p w14:paraId="6CB62F01" w14:textId="78B5599D" w:rsidR="00C839EC" w:rsidRDefault="00C839EC" w:rsidP="00C839EC">
      <w:pPr>
        <w:rPr>
          <w:rFonts w:eastAsiaTheme="minorEastAsia"/>
        </w:rPr>
      </w:pPr>
      <w:r>
        <w:rPr>
          <w:rFonts w:ascii="Calibri" w:eastAsia="Calibri" w:hAnsi="Calibri" w:cs="Calibri"/>
        </w:rPr>
        <w:t xml:space="preserve">To minimise duplication, a similar approach can be adopted for joint projects under the Guarantee as occurs for joint projects in the Land Transport Infrastructure NPA. </w:t>
      </w:r>
      <w:r w:rsidRPr="5366A694">
        <w:rPr>
          <w:rFonts w:ascii="Calibri" w:eastAsia="Calibri" w:hAnsi="Calibri" w:cs="Calibri"/>
        </w:rPr>
        <w:t xml:space="preserve">Under the Land Transport Infrastructure NPA, </w:t>
      </w:r>
      <w:r w:rsidRPr="0BC73B42">
        <w:rPr>
          <w:rFonts w:eastAsiaTheme="minorEastAsia"/>
        </w:rPr>
        <w:t>where existing state and territory government policies that meet or exceed the Australian Government’s requirements, the relevant Australian Government agency will consider accepting the state’s plan on a case-by-case basis.</w:t>
      </w:r>
      <w:r w:rsidRPr="0BC73B42">
        <w:rPr>
          <w:rStyle w:val="FootnoteReference"/>
          <w:rFonts w:eastAsiaTheme="minorEastAsia"/>
        </w:rPr>
        <w:footnoteReference w:id="38"/>
      </w:r>
      <w:r w:rsidRPr="0BC73B42">
        <w:rPr>
          <w:rFonts w:eastAsiaTheme="minorEastAsia"/>
        </w:rPr>
        <w:t xml:space="preserve"> It will still be important that suppliers meet the reporting requirements of the Guarantee to ensure there is national data on performance.</w:t>
      </w:r>
    </w:p>
    <w:p w14:paraId="30D650A5" w14:textId="20CFCF21" w:rsidR="00A50093" w:rsidRDefault="4B407486" w:rsidP="00A50093">
      <w:pPr>
        <w:rPr>
          <w:rFonts w:ascii="Calibri" w:eastAsia="Calibri" w:hAnsi="Calibri" w:cs="Calibri"/>
          <w:b/>
          <w:bCs/>
        </w:rPr>
      </w:pPr>
      <w:r w:rsidRPr="1530C7B9">
        <w:rPr>
          <w:rFonts w:ascii="Calibri" w:eastAsia="Calibri" w:hAnsi="Calibri" w:cs="Calibri"/>
          <w:b/>
          <w:bCs/>
        </w:rPr>
        <w:t>Key question for discussion:</w:t>
      </w:r>
    </w:p>
    <w:tbl>
      <w:tblPr>
        <w:tblStyle w:val="DESE"/>
        <w:tblW w:w="9067" w:type="dxa"/>
        <w:tblLook w:val="04A0" w:firstRow="1" w:lastRow="0" w:firstColumn="1" w:lastColumn="0" w:noHBand="0" w:noVBand="1"/>
        <w:tblDescription w:val="Discussion paper question"/>
      </w:tblPr>
      <w:tblGrid>
        <w:gridCol w:w="562"/>
        <w:gridCol w:w="8505"/>
      </w:tblGrid>
      <w:tr w:rsidR="00B31E2C" w14:paraId="5464C0C2"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36EDDB" w14:textId="77777777" w:rsidR="0035319A" w:rsidRPr="00B100CC" w:rsidRDefault="0035319A" w:rsidP="00DE79A7">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144FCC7E" w14:textId="77777777" w:rsidR="0035319A" w:rsidRPr="00B100CC" w:rsidRDefault="0035319A" w:rsidP="00DE79A7">
            <w:pPr>
              <w:spacing w:after="100"/>
              <w:cnfStyle w:val="100000000000" w:firstRow="1" w:lastRow="0" w:firstColumn="0" w:lastColumn="0" w:oddVBand="0" w:evenVBand="0" w:oddHBand="0" w:evenHBand="0" w:firstRowFirstColumn="0" w:firstRowLastColumn="0" w:lastRowFirstColumn="0" w:lastRowLastColumn="0"/>
            </w:pPr>
            <w:r>
              <w:t>Question</w:t>
            </w:r>
          </w:p>
        </w:tc>
      </w:tr>
      <w:tr w:rsidR="00B31E2C" w14:paraId="69138BD2"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3843BB27" w14:textId="789B5636" w:rsidR="0035319A" w:rsidRPr="0017294C" w:rsidRDefault="006C6871" w:rsidP="00DE79A7">
            <w:pPr>
              <w:spacing w:after="100"/>
              <w:rPr>
                <w:rFonts w:ascii="Calibri" w:hAnsi="Calibri"/>
                <w:color w:val="FFFFFF" w:themeColor="background1"/>
              </w:rPr>
            </w:pPr>
            <w:r w:rsidRPr="78C4367D">
              <w:rPr>
                <w:rFonts w:ascii="Calibri" w:hAnsi="Calibri"/>
                <w:color w:val="FFFFFF" w:themeColor="background1"/>
              </w:rPr>
              <w:t>17</w:t>
            </w:r>
          </w:p>
        </w:tc>
        <w:tc>
          <w:tcPr>
            <w:tcW w:w="8505" w:type="dxa"/>
            <w:tcBorders>
              <w:top w:val="single" w:sz="4" w:space="0" w:color="FFFFFF" w:themeColor="background1"/>
              <w:left w:val="single" w:sz="4" w:space="0" w:color="FFFFFF" w:themeColor="background1"/>
            </w:tcBorders>
            <w:vAlign w:val="top"/>
          </w:tcPr>
          <w:p w14:paraId="196F977E" w14:textId="592FD75B" w:rsidR="0035319A" w:rsidRPr="00E87BC6" w:rsidRDefault="0035319A" w:rsidP="00DE79A7">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3C7F514E">
              <w:rPr>
                <w:color w:val="000000" w:themeColor="text1"/>
              </w:rPr>
              <w:t xml:space="preserve">If you are a </w:t>
            </w:r>
            <w:r>
              <w:rPr>
                <w:color w:val="000000" w:themeColor="text1"/>
              </w:rPr>
              <w:t xml:space="preserve">potential </w:t>
            </w:r>
            <w:r w:rsidRPr="3C7F514E">
              <w:rPr>
                <w:color w:val="000000" w:themeColor="text1"/>
              </w:rPr>
              <w:t>supplier or sub-contractor, what would support you to implement the Guarantee and to collect and report data on apprentices, trainees and paid cadets?</w:t>
            </w:r>
          </w:p>
        </w:tc>
      </w:tr>
    </w:tbl>
    <w:p w14:paraId="34C5FCED" w14:textId="77777777" w:rsidR="00B0734C" w:rsidRDefault="00B0734C">
      <w:pPr>
        <w:spacing w:after="160" w:line="259" w:lineRule="auto"/>
        <w:rPr>
          <w:rFonts w:ascii="Calibri" w:eastAsiaTheme="majorEastAsia" w:hAnsi="Calibri" w:cstheme="majorBidi"/>
          <w:b/>
          <w:color w:val="404246"/>
          <w:sz w:val="30"/>
          <w:szCs w:val="26"/>
        </w:rPr>
      </w:pPr>
      <w:bookmarkStart w:id="196" w:name="_Toc117246149"/>
      <w:bookmarkStart w:id="197" w:name="_Toc1843507570"/>
      <w:bookmarkStart w:id="198" w:name="_Toc767372838"/>
      <w:bookmarkStart w:id="199" w:name="_Toc1659156507"/>
      <w:bookmarkStart w:id="200" w:name="_Toc1158675879"/>
      <w:bookmarkStart w:id="201" w:name="_Toc449516205"/>
      <w:bookmarkStart w:id="202" w:name="_Toc827662721"/>
      <w:bookmarkStart w:id="203" w:name="_Toc1328528524"/>
      <w:bookmarkStart w:id="204" w:name="_Toc1542714680"/>
      <w:bookmarkStart w:id="205" w:name="_Toc1125220565"/>
      <w:bookmarkStart w:id="206" w:name="_Toc886421903"/>
      <w:r>
        <w:br w:type="page"/>
      </w:r>
    </w:p>
    <w:p w14:paraId="1776EFE0" w14:textId="03642AAE" w:rsidR="00CB2AC2" w:rsidRDefault="00CB2AC2" w:rsidP="00CB2AC2">
      <w:pPr>
        <w:pStyle w:val="Heading2"/>
      </w:pPr>
      <w:bookmarkStart w:id="207" w:name="_Toc120101386"/>
      <w:r>
        <w:t>Chapter 7: Roles and responsibilities</w:t>
      </w:r>
      <w:bookmarkEnd w:id="196"/>
      <w:bookmarkEnd w:id="197"/>
      <w:bookmarkEnd w:id="198"/>
      <w:bookmarkEnd w:id="199"/>
      <w:bookmarkEnd w:id="200"/>
      <w:bookmarkEnd w:id="201"/>
      <w:bookmarkEnd w:id="202"/>
      <w:bookmarkEnd w:id="203"/>
      <w:bookmarkEnd w:id="204"/>
      <w:bookmarkEnd w:id="205"/>
      <w:bookmarkEnd w:id="206"/>
      <w:bookmarkEnd w:id="207"/>
    </w:p>
    <w:p w14:paraId="48DD2543" w14:textId="5052A820" w:rsidR="00CB2AC2" w:rsidRDefault="00CB2AC2" w:rsidP="00CB2AC2">
      <w:pPr>
        <w:rPr>
          <w:rFonts w:ascii="Calibri" w:eastAsia="Calibri" w:hAnsi="Calibri" w:cs="Calibri"/>
        </w:rPr>
      </w:pPr>
      <w:r>
        <w:rPr>
          <w:rFonts w:ascii="Calibri" w:eastAsia="Calibri" w:hAnsi="Calibri" w:cs="Calibri"/>
        </w:rPr>
        <w:t>Engagement from businesses and contracting agencies is essential to implementing the Guarantee. This chapter outlines the likely roles for business and Australian Government and state and territory government contracting agencies in implementing the Guarantee. Feedback on the costs of implementing, reporting and administering the Guarantee is welcome.</w:t>
      </w:r>
    </w:p>
    <w:p w14:paraId="66EB60B7" w14:textId="0E08A348" w:rsidR="00CB2AC2" w:rsidRDefault="00CB2AC2" w:rsidP="00CB2AC2">
      <w:r>
        <w:t>The Guarantee will place obligations on several parties, including businesses, contracting agencies, and the department. The Guarantee will require:</w:t>
      </w:r>
    </w:p>
    <w:p w14:paraId="6EEA4377" w14:textId="7C6CA87E" w:rsidR="00CB2AC2" w:rsidRPr="00117B26" w:rsidRDefault="00CB2AC2" w:rsidP="00CB2AC2">
      <w:pPr>
        <w:pStyle w:val="ListParagraph"/>
        <w:numPr>
          <w:ilvl w:val="0"/>
          <w:numId w:val="22"/>
        </w:numPr>
        <w:spacing w:line="240" w:lineRule="auto"/>
      </w:pPr>
      <w:r>
        <w:t>Businesses</w:t>
      </w:r>
      <w:r w:rsidRPr="4A81C948">
        <w:rPr>
          <w:rFonts w:ascii="Calibri" w:eastAsia="Calibri" w:hAnsi="Calibri" w:cs="Calibri"/>
        </w:rPr>
        <w:t xml:space="preserve"> to play an essential role in delivering the Guarantee, with:</w:t>
      </w:r>
    </w:p>
    <w:p w14:paraId="2C2B1728" w14:textId="6F88D179" w:rsidR="00CB2AC2" w:rsidRDefault="00CB2AC2" w:rsidP="00CB2AC2">
      <w:pPr>
        <w:pStyle w:val="ListParagraph"/>
        <w:numPr>
          <w:ilvl w:val="1"/>
          <w:numId w:val="22"/>
        </w:numPr>
        <w:spacing w:after="160" w:line="259" w:lineRule="auto"/>
      </w:pPr>
      <w:r>
        <w:t>tenderers to provide all required information and address necessary criteria associated with the Guarantee;</w:t>
      </w:r>
    </w:p>
    <w:p w14:paraId="0C2414CE" w14:textId="77777777" w:rsidR="00CB2AC2" w:rsidRDefault="00CB2AC2" w:rsidP="00CB2AC2">
      <w:pPr>
        <w:pStyle w:val="ListParagraph"/>
        <w:numPr>
          <w:ilvl w:val="1"/>
          <w:numId w:val="22"/>
        </w:numPr>
        <w:spacing w:after="160" w:line="259" w:lineRule="auto"/>
      </w:pPr>
      <w:r>
        <w:t>additional recruitment processes to find suitable apprentices, trainees or paid cadets;</w:t>
      </w:r>
    </w:p>
    <w:p w14:paraId="5F3EC9F2" w14:textId="7DD8A757" w:rsidR="00CB2AC2" w:rsidRDefault="00CB2AC2" w:rsidP="00CB2AC2">
      <w:pPr>
        <w:pStyle w:val="ListParagraph"/>
        <w:numPr>
          <w:ilvl w:val="1"/>
          <w:numId w:val="22"/>
        </w:numPr>
        <w:spacing w:after="160" w:line="259" w:lineRule="auto"/>
      </w:pPr>
      <w:r>
        <w:t>supervision of apprentices, trainees and paid cadets on</w:t>
      </w:r>
      <w:r w:rsidR="00541261">
        <w:t>-</w:t>
      </w:r>
      <w:r>
        <w:t>the</w:t>
      </w:r>
      <w:r w:rsidR="00541261">
        <w:t>-</w:t>
      </w:r>
      <w:r>
        <w:t>job and paying for the cost of off-the-job training fees and textbooks for apprentices and trainees; and</w:t>
      </w:r>
    </w:p>
    <w:p w14:paraId="06D64214" w14:textId="102ABC87" w:rsidR="00CB2AC2" w:rsidRDefault="00CB2AC2" w:rsidP="00CB2AC2">
      <w:pPr>
        <w:pStyle w:val="ListParagraph"/>
        <w:numPr>
          <w:ilvl w:val="1"/>
          <w:numId w:val="22"/>
        </w:numPr>
        <w:spacing w:after="160" w:line="259" w:lineRule="auto"/>
      </w:pPr>
      <w:r>
        <w:t>collection of information and keeping record on apprentices, trainees or paid cadets and reporting to the contracting agency.</w:t>
      </w:r>
    </w:p>
    <w:p w14:paraId="64B1A1BA" w14:textId="79BD0E96" w:rsidR="00CB2AC2" w:rsidRDefault="00CB2AC2" w:rsidP="00CB2AC2">
      <w:pPr>
        <w:pStyle w:val="ListParagraph"/>
        <w:numPr>
          <w:ilvl w:val="0"/>
          <w:numId w:val="22"/>
        </w:numPr>
        <w:spacing w:line="240" w:lineRule="auto"/>
      </w:pPr>
      <w:r>
        <w:t>Contracting agencies to play the lead role in managing the day-to-day implementation of the Guarantee, including:</w:t>
      </w:r>
    </w:p>
    <w:p w14:paraId="0D9639B6" w14:textId="64E599FC" w:rsidR="00CB2AC2" w:rsidRDefault="00CB2AC2" w:rsidP="00CB2AC2">
      <w:pPr>
        <w:pStyle w:val="ListParagraph"/>
        <w:numPr>
          <w:ilvl w:val="1"/>
          <w:numId w:val="22"/>
        </w:numPr>
        <w:spacing w:after="160" w:line="259" w:lineRule="auto"/>
      </w:pPr>
      <w:r>
        <w:t>incorporating the Guarantee requirements into the Approach to Market – this would include consideration of work specifications, evaluation criteria, and tender response templates;</w:t>
      </w:r>
    </w:p>
    <w:p w14:paraId="5730A620" w14:textId="5131063E" w:rsidR="00CB2AC2" w:rsidRDefault="00CB2AC2" w:rsidP="00CB2AC2">
      <w:pPr>
        <w:pStyle w:val="ListParagraph"/>
        <w:numPr>
          <w:ilvl w:val="1"/>
          <w:numId w:val="22"/>
        </w:numPr>
        <w:spacing w:after="160" w:line="259" w:lineRule="auto"/>
      </w:pPr>
      <w:r>
        <w:t>following responses from tenderers, evaluat</w:t>
      </w:r>
      <w:r w:rsidR="00A319D3">
        <w:t>ing</w:t>
      </w:r>
      <w:r>
        <w:t xml:space="preserve"> responses and</w:t>
      </w:r>
      <w:r w:rsidR="00E83D74">
        <w:t xml:space="preserve"> </w:t>
      </w:r>
      <w:r>
        <w:t>clarifying information where required – this would include consideration of those able to meet the requirements of the Guarantee;</w:t>
      </w:r>
    </w:p>
    <w:p w14:paraId="7C534890" w14:textId="77777777" w:rsidR="00F729C6" w:rsidRDefault="00CB2AC2" w:rsidP="00F729C6">
      <w:pPr>
        <w:pStyle w:val="ListParagraph"/>
        <w:numPr>
          <w:ilvl w:val="1"/>
          <w:numId w:val="22"/>
        </w:numPr>
        <w:spacing w:after="160" w:line="259" w:lineRule="auto"/>
      </w:pPr>
      <w:r>
        <w:t xml:space="preserve">after the tender is awarded (contracts signed), </w:t>
      </w:r>
      <w:r w:rsidR="00F729C6" w:rsidRPr="4D24FCA8">
        <w:t>monitoring and managing performance of suppliers against targets; and</w:t>
      </w:r>
    </w:p>
    <w:p w14:paraId="4A471C93" w14:textId="1D84BF33" w:rsidR="00CB2AC2" w:rsidRDefault="65E19FED" w:rsidP="00F729C6">
      <w:pPr>
        <w:pStyle w:val="ListParagraph"/>
        <w:numPr>
          <w:ilvl w:val="1"/>
          <w:numId w:val="22"/>
        </w:numPr>
        <w:spacing w:after="160" w:line="259" w:lineRule="auto"/>
      </w:pPr>
      <w:r>
        <w:t>working with the department, ensuring suppliers report performance against targets and that collection of information is complete and timely.</w:t>
      </w:r>
    </w:p>
    <w:p w14:paraId="251FFDA9" w14:textId="57513E60" w:rsidR="00CB2AC2" w:rsidRDefault="00CB2AC2" w:rsidP="00CB2AC2">
      <w:pPr>
        <w:pStyle w:val="ListParagraph"/>
        <w:numPr>
          <w:ilvl w:val="0"/>
          <w:numId w:val="23"/>
        </w:numPr>
        <w:spacing w:line="240" w:lineRule="auto"/>
        <w:rPr>
          <w:rFonts w:ascii="Calibri" w:eastAsia="Calibri" w:hAnsi="Calibri" w:cs="Calibri"/>
        </w:rPr>
      </w:pPr>
      <w:r w:rsidRPr="3374E00D">
        <w:rPr>
          <w:rFonts w:ascii="Calibri" w:eastAsia="Calibri" w:hAnsi="Calibri" w:cs="Calibri"/>
        </w:rPr>
        <w:t xml:space="preserve">State and </w:t>
      </w:r>
      <w:r>
        <w:t>territory</w:t>
      </w:r>
      <w:r w:rsidRPr="3374E00D">
        <w:rPr>
          <w:rFonts w:ascii="Calibri" w:eastAsia="Calibri" w:hAnsi="Calibri" w:cs="Calibri"/>
        </w:rPr>
        <w:t xml:space="preserve"> government agencies to liaise with the relevant Australian Government agency on how the targets under the Guarantee will be met for joint projects.</w:t>
      </w:r>
    </w:p>
    <w:p w14:paraId="5752FE7B" w14:textId="77777777" w:rsidR="00CB2AC2" w:rsidRDefault="00CB2AC2" w:rsidP="00CB2AC2">
      <w:pPr>
        <w:pStyle w:val="ListParagraph"/>
        <w:numPr>
          <w:ilvl w:val="0"/>
          <w:numId w:val="23"/>
        </w:numPr>
        <w:spacing w:line="240" w:lineRule="auto"/>
      </w:pPr>
      <w:r>
        <w:t xml:space="preserve">The department to continue to be the policy lead for the Guarantee, including: </w:t>
      </w:r>
    </w:p>
    <w:p w14:paraId="25F99678" w14:textId="77777777" w:rsidR="00CB2AC2" w:rsidRDefault="00CB2AC2" w:rsidP="00CB2AC2">
      <w:pPr>
        <w:pStyle w:val="ListParagraph"/>
        <w:numPr>
          <w:ilvl w:val="1"/>
          <w:numId w:val="23"/>
        </w:numPr>
        <w:spacing w:after="160" w:line="259" w:lineRule="auto"/>
      </w:pPr>
      <w:r>
        <w:t>developing guidance and policy documentation for contracting agencies and businesses, including model Approach to Market and contractual clauses;</w:t>
      </w:r>
    </w:p>
    <w:p w14:paraId="730E2EA4" w14:textId="77777777" w:rsidR="00CB2AC2" w:rsidRDefault="00CB2AC2" w:rsidP="00CB2AC2">
      <w:pPr>
        <w:pStyle w:val="ListParagraph"/>
        <w:numPr>
          <w:ilvl w:val="1"/>
          <w:numId w:val="23"/>
        </w:numPr>
        <w:spacing w:after="160" w:line="259" w:lineRule="auto"/>
      </w:pPr>
      <w:r>
        <w:t>monitoring implementation at whole of government level;</w:t>
      </w:r>
    </w:p>
    <w:p w14:paraId="07E50004" w14:textId="77777777" w:rsidR="00CB2AC2" w:rsidRDefault="00CB2AC2" w:rsidP="00CB2AC2">
      <w:pPr>
        <w:pStyle w:val="ListParagraph"/>
        <w:numPr>
          <w:ilvl w:val="1"/>
          <w:numId w:val="23"/>
        </w:numPr>
        <w:spacing w:after="160" w:line="259" w:lineRule="auto"/>
      </w:pPr>
      <w:r>
        <w:t>facilitating reporting by leveraging the ADMS; and</w:t>
      </w:r>
    </w:p>
    <w:p w14:paraId="71E4068F" w14:textId="77777777" w:rsidR="00DD205D" w:rsidRDefault="00CB2AC2" w:rsidP="006C0A04">
      <w:pPr>
        <w:pStyle w:val="ListParagraph"/>
        <w:numPr>
          <w:ilvl w:val="1"/>
          <w:numId w:val="23"/>
        </w:numPr>
        <w:spacing w:after="160" w:line="259" w:lineRule="auto"/>
      </w:pPr>
      <w:r>
        <w:t>evaluating through post-implementation reviews.</w:t>
      </w:r>
    </w:p>
    <w:p w14:paraId="30307B2C" w14:textId="578B9494" w:rsidR="006C0A04" w:rsidRDefault="2E7B5EFD" w:rsidP="006C0A04">
      <w:pPr>
        <w:rPr>
          <w:rFonts w:ascii="Calibri" w:eastAsia="Calibri" w:hAnsi="Calibri" w:cs="Calibri"/>
          <w:b/>
          <w:bCs/>
        </w:rPr>
      </w:pPr>
      <w:r w:rsidRPr="1530C7B9">
        <w:rPr>
          <w:rFonts w:ascii="Calibri" w:eastAsia="Calibri" w:hAnsi="Calibri" w:cs="Calibri"/>
          <w:b/>
          <w:bCs/>
        </w:rPr>
        <w:t>Key questions for discussion:</w:t>
      </w:r>
    </w:p>
    <w:tbl>
      <w:tblPr>
        <w:tblStyle w:val="DESE"/>
        <w:tblW w:w="9067" w:type="dxa"/>
        <w:tblLook w:val="04A0" w:firstRow="1" w:lastRow="0" w:firstColumn="1" w:lastColumn="0" w:noHBand="0" w:noVBand="1"/>
        <w:tblDescription w:val="Discussion paper questions"/>
      </w:tblPr>
      <w:tblGrid>
        <w:gridCol w:w="663"/>
        <w:gridCol w:w="8404"/>
      </w:tblGrid>
      <w:tr w:rsidR="00153FBB" w14:paraId="0AA7808C"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DF6A86" w14:textId="77777777" w:rsidR="00B31E2C" w:rsidRPr="00B100CC" w:rsidRDefault="00B31E2C" w:rsidP="00DE79A7">
            <w:pPr>
              <w:spacing w:after="100"/>
            </w:pPr>
            <w:r>
              <w:t>No.</w:t>
            </w:r>
          </w:p>
        </w:tc>
        <w:tc>
          <w:tcPr>
            <w:tcW w:w="84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420666EE" w14:textId="77777777" w:rsidR="00B31E2C" w:rsidRPr="00B100CC" w:rsidRDefault="00B31E2C" w:rsidP="00DE79A7">
            <w:pPr>
              <w:spacing w:after="100"/>
              <w:cnfStyle w:val="100000000000" w:firstRow="1" w:lastRow="0" w:firstColumn="0" w:lastColumn="0" w:oddVBand="0" w:evenVBand="0" w:oddHBand="0" w:evenHBand="0" w:firstRowFirstColumn="0" w:firstRowLastColumn="0" w:lastRowFirstColumn="0" w:lastRowLastColumn="0"/>
            </w:pPr>
            <w:r>
              <w:t>Question</w:t>
            </w:r>
          </w:p>
        </w:tc>
      </w:tr>
      <w:tr w:rsidR="00153FBB" w14:paraId="198FFF0D" w14:textId="77777777" w:rsidTr="78C4367D">
        <w:tc>
          <w:tcPr>
            <w:cnfStyle w:val="001000000000" w:firstRow="0" w:lastRow="0" w:firstColumn="1" w:lastColumn="0" w:oddVBand="0" w:evenVBand="0" w:oddHBand="0" w:evenHBand="0" w:firstRowFirstColumn="0" w:firstRowLastColumn="0" w:lastRowFirstColumn="0" w:lastRowLastColumn="0"/>
            <w:tcW w:w="6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56FB244B" w14:textId="601A7B17" w:rsidR="00B31E2C" w:rsidRPr="0017294C" w:rsidRDefault="006C6871" w:rsidP="00DE79A7">
            <w:pPr>
              <w:spacing w:after="100"/>
              <w:rPr>
                <w:rFonts w:ascii="Calibri" w:hAnsi="Calibri"/>
                <w:color w:val="FFFFFF" w:themeColor="background1"/>
              </w:rPr>
            </w:pPr>
            <w:r w:rsidRPr="78C4367D">
              <w:rPr>
                <w:rFonts w:ascii="Calibri" w:hAnsi="Calibri"/>
                <w:color w:val="FFFFFF" w:themeColor="background1"/>
              </w:rPr>
              <w:t>18</w:t>
            </w:r>
          </w:p>
        </w:tc>
        <w:tc>
          <w:tcPr>
            <w:tcW w:w="8404" w:type="dxa"/>
            <w:tcBorders>
              <w:top w:val="single" w:sz="4" w:space="0" w:color="FFFFFF" w:themeColor="background1"/>
              <w:left w:val="single" w:sz="4" w:space="0" w:color="FFFFFF" w:themeColor="background1"/>
            </w:tcBorders>
            <w:vAlign w:val="top"/>
          </w:tcPr>
          <w:p w14:paraId="7BAC3C3E" w14:textId="6BEC3CAD" w:rsidR="00B31E2C" w:rsidRPr="00E87BC6" w:rsidRDefault="1D7D4F4A" w:rsidP="78C4367D">
            <w:pPr>
              <w:spacing w:after="100"/>
              <w:cnfStyle w:val="000000000000" w:firstRow="0" w:lastRow="0" w:firstColumn="0" w:lastColumn="0" w:oddVBand="0" w:evenVBand="0" w:oddHBand="0" w:evenHBand="0" w:firstRowFirstColumn="0" w:firstRowLastColumn="0" w:lastRowFirstColumn="0" w:lastRowLastColumn="0"/>
            </w:pPr>
            <w:r w:rsidRPr="78C4367D">
              <w:rPr>
                <w:color w:val="000000" w:themeColor="text1"/>
              </w:rPr>
              <w:t>What are the additional costs that are likely to be incurred by business to meet the requirements under the Guarantee</w:t>
            </w:r>
            <w:r w:rsidR="2961CF37" w:rsidRPr="78C4367D">
              <w:rPr>
                <w:color w:val="000000" w:themeColor="text1"/>
              </w:rPr>
              <w:t>, including the need to provide a safe and supportive workplace for women</w:t>
            </w:r>
            <w:r w:rsidRPr="78C4367D">
              <w:rPr>
                <w:color w:val="000000" w:themeColor="text1"/>
              </w:rPr>
              <w:t>?</w:t>
            </w:r>
          </w:p>
        </w:tc>
      </w:tr>
      <w:tr w:rsidR="00153FBB" w14:paraId="3720670D" w14:textId="77777777" w:rsidTr="78C4367D">
        <w:tc>
          <w:tcPr>
            <w:cnfStyle w:val="001000000000" w:firstRow="0" w:lastRow="0" w:firstColumn="1" w:lastColumn="0" w:oddVBand="0" w:evenVBand="0" w:oddHBand="0" w:evenHBand="0" w:firstRowFirstColumn="0" w:firstRowLastColumn="0" w:lastRowFirstColumn="0" w:lastRowLastColumn="0"/>
            <w:tcW w:w="663"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4438582F" w14:textId="766A4C22" w:rsidR="00B31E2C" w:rsidRPr="0017294C" w:rsidRDefault="006C6871" w:rsidP="78C4367D">
            <w:pPr>
              <w:spacing w:beforeAutospacing="0" w:after="0" w:afterAutospacing="0"/>
              <w:rPr>
                <w:rFonts w:ascii="Calibri" w:hAnsi="Calibri"/>
                <w:color w:val="FFFFFF" w:themeColor="background1"/>
              </w:rPr>
            </w:pPr>
            <w:r w:rsidRPr="78C4367D">
              <w:rPr>
                <w:rFonts w:ascii="Calibri" w:hAnsi="Calibri"/>
                <w:color w:val="FFFFFF" w:themeColor="background1"/>
              </w:rPr>
              <w:t>19</w:t>
            </w:r>
          </w:p>
        </w:tc>
        <w:tc>
          <w:tcPr>
            <w:tcW w:w="8404" w:type="dxa"/>
            <w:tcBorders>
              <w:left w:val="single" w:sz="4" w:space="0" w:color="FFFFFF" w:themeColor="background1"/>
            </w:tcBorders>
            <w:vAlign w:val="top"/>
          </w:tcPr>
          <w:p w14:paraId="409BE156" w14:textId="59D9F8B7" w:rsidR="00B31E2C" w:rsidRPr="00E87BC6" w:rsidRDefault="00B31E2C" w:rsidP="00DE79A7">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47A84B4D">
              <w:rPr>
                <w:color w:val="000000" w:themeColor="text1"/>
              </w:rPr>
              <w:t xml:space="preserve">For potential tenderers, </w:t>
            </w:r>
            <w:r w:rsidRPr="55A2C6B3">
              <w:rPr>
                <w:color w:val="000000" w:themeColor="text1"/>
              </w:rPr>
              <w:t>w</w:t>
            </w:r>
            <w:r w:rsidRPr="00323C32">
              <w:t>hat</w:t>
            </w:r>
            <w:r w:rsidRPr="00323C32" w:rsidDel="23CE90F4">
              <w:t xml:space="preserve"> </w:t>
            </w:r>
            <w:r w:rsidRPr="00323C32">
              <w:t xml:space="preserve">are the likely costs associated with </w:t>
            </w:r>
            <w:r w:rsidRPr="4903DDC5">
              <w:rPr>
                <w:rFonts w:ascii="Calibri" w:eastAsia="Calibri" w:hAnsi="Calibri" w:cs="Calibri"/>
              </w:rPr>
              <w:t>increased</w:t>
            </w:r>
            <w:r w:rsidRPr="7FDEC983">
              <w:rPr>
                <w:rFonts w:ascii="Calibri" w:eastAsia="Calibri" w:hAnsi="Calibri" w:cs="Calibri"/>
              </w:rPr>
              <w:t xml:space="preserve"> time and resources for </w:t>
            </w:r>
            <w:r w:rsidRPr="4903DDC5">
              <w:rPr>
                <w:rFonts w:ascii="Calibri" w:eastAsia="Calibri" w:hAnsi="Calibri" w:cs="Calibri"/>
              </w:rPr>
              <w:t>you</w:t>
            </w:r>
            <w:r w:rsidRPr="7FDEC983">
              <w:rPr>
                <w:rFonts w:ascii="Calibri" w:eastAsia="Calibri" w:hAnsi="Calibri" w:cs="Calibri"/>
              </w:rPr>
              <w:t xml:space="preserve"> to complete tendering requirements</w:t>
            </w:r>
            <w:r w:rsidRPr="2E0DEB02">
              <w:rPr>
                <w:rFonts w:ascii="Calibri" w:eastAsia="Calibri" w:hAnsi="Calibri" w:cs="Calibri"/>
              </w:rPr>
              <w:t>?</w:t>
            </w:r>
          </w:p>
        </w:tc>
      </w:tr>
      <w:tr w:rsidR="00153FBB" w14:paraId="1EC77296" w14:textId="77777777" w:rsidTr="78C4367D">
        <w:tc>
          <w:tcPr>
            <w:cnfStyle w:val="001000000000" w:firstRow="0" w:lastRow="0" w:firstColumn="1" w:lastColumn="0" w:oddVBand="0" w:evenVBand="0" w:oddHBand="0" w:evenHBand="0" w:firstRowFirstColumn="0" w:firstRowLastColumn="0" w:lastRowFirstColumn="0" w:lastRowLastColumn="0"/>
            <w:tcW w:w="663"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711E2A26" w14:textId="585F8B83" w:rsidR="00B31E2C" w:rsidRDefault="006C6871" w:rsidP="00DE79A7">
            <w:pPr>
              <w:spacing w:after="0"/>
              <w:rPr>
                <w:rFonts w:ascii="Calibri" w:hAnsi="Calibri"/>
                <w:color w:val="FFFFFF" w:themeColor="background1"/>
              </w:rPr>
            </w:pPr>
            <w:r w:rsidRPr="78C4367D">
              <w:rPr>
                <w:rFonts w:ascii="Calibri" w:hAnsi="Calibri"/>
                <w:color w:val="FFFFFF" w:themeColor="background1"/>
              </w:rPr>
              <w:t>20</w:t>
            </w:r>
          </w:p>
        </w:tc>
        <w:tc>
          <w:tcPr>
            <w:tcW w:w="8404" w:type="dxa"/>
            <w:tcBorders>
              <w:left w:val="single" w:sz="4" w:space="0" w:color="FFFFFF" w:themeColor="background1"/>
            </w:tcBorders>
            <w:vAlign w:val="top"/>
          </w:tcPr>
          <w:p w14:paraId="2D43D823" w14:textId="2A6C8CD1" w:rsidR="00B31E2C" w:rsidRPr="4A81C948" w:rsidRDefault="1D7D4F4A" w:rsidP="00DE79A7">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78C4367D">
              <w:rPr>
                <w:color w:val="000000" w:themeColor="text1"/>
              </w:rPr>
              <w:t>For potential suppliers, will you need to change your recruitment practices to meet the targets under the Guarantee and if so, how and what are the likely additional costs of recruitment? What are the likely additional costs of supervising an apprentice, trainee or paid cadet and reporting on progress against the targets in the Guarantee?</w:t>
            </w:r>
            <w:r w:rsidR="001A23BA" w:rsidRPr="78C4367D">
              <w:rPr>
                <w:color w:val="000000" w:themeColor="text1"/>
              </w:rPr>
              <w:t xml:space="preserve"> Could a community of practice, or similar, provide a useful forum to share learnings on how to support more women to thrive in workplaces in heavily male dominated industries? </w:t>
            </w:r>
          </w:p>
        </w:tc>
      </w:tr>
      <w:tr w:rsidR="00153FBB" w14:paraId="7ECEAD43" w14:textId="77777777" w:rsidTr="78C4367D">
        <w:tc>
          <w:tcPr>
            <w:cnfStyle w:val="001000000000" w:firstRow="0" w:lastRow="0" w:firstColumn="1" w:lastColumn="0" w:oddVBand="0" w:evenVBand="0" w:oddHBand="0" w:evenHBand="0" w:firstRowFirstColumn="0" w:firstRowLastColumn="0" w:lastRowFirstColumn="0" w:lastRowLastColumn="0"/>
            <w:tcW w:w="663"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64839CFC" w14:textId="0B24A271" w:rsidR="00B31E2C" w:rsidRDefault="1D3625C6" w:rsidP="00DE79A7">
            <w:pPr>
              <w:spacing w:after="0"/>
              <w:rPr>
                <w:rFonts w:ascii="Calibri" w:hAnsi="Calibri"/>
                <w:color w:val="FFFFFF" w:themeColor="background1"/>
              </w:rPr>
            </w:pPr>
            <w:r w:rsidRPr="78C4367D">
              <w:rPr>
                <w:rFonts w:ascii="Calibri" w:hAnsi="Calibri"/>
                <w:color w:val="FFFFFF" w:themeColor="background1"/>
              </w:rPr>
              <w:t>21</w:t>
            </w:r>
          </w:p>
        </w:tc>
        <w:tc>
          <w:tcPr>
            <w:tcW w:w="8404" w:type="dxa"/>
            <w:tcBorders>
              <w:left w:val="single" w:sz="4" w:space="0" w:color="FFFFFF" w:themeColor="background1"/>
            </w:tcBorders>
            <w:vAlign w:val="top"/>
          </w:tcPr>
          <w:p w14:paraId="282A6E1A" w14:textId="61131C6C" w:rsidR="00B31E2C" w:rsidRPr="4A81C948" w:rsidRDefault="00B31E2C" w:rsidP="00DE79A7">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For contracting agencies, </w:t>
            </w:r>
            <w:r w:rsidRPr="5366A694">
              <w:rPr>
                <w:color w:val="000000" w:themeColor="text1"/>
              </w:rPr>
              <w:t>what</w:t>
            </w:r>
            <w:r w:rsidRPr="4527F404">
              <w:rPr>
                <w:color w:val="000000" w:themeColor="text1"/>
              </w:rPr>
              <w:t xml:space="preserve"> are the likely additional costs of monitoring performance against the targets or providing support to </w:t>
            </w:r>
            <w:r>
              <w:rPr>
                <w:color w:val="000000" w:themeColor="text1"/>
              </w:rPr>
              <w:t>suppliers</w:t>
            </w:r>
            <w:r w:rsidRPr="4527F404">
              <w:rPr>
                <w:color w:val="000000" w:themeColor="text1"/>
              </w:rPr>
              <w:t xml:space="preserve"> to understand the Guarantee</w:t>
            </w:r>
            <w:r w:rsidRPr="5366A694">
              <w:rPr>
                <w:color w:val="000000" w:themeColor="text1"/>
              </w:rPr>
              <w:t>?</w:t>
            </w:r>
            <w:r w:rsidRPr="5366A694" w:rsidDel="000871E7">
              <w:rPr>
                <w:color w:val="000000" w:themeColor="text1"/>
              </w:rPr>
              <w:t xml:space="preserve">  </w:t>
            </w:r>
          </w:p>
        </w:tc>
      </w:tr>
    </w:tbl>
    <w:p w14:paraId="1F35EAA6" w14:textId="77777777" w:rsidR="000D5879" w:rsidRDefault="000D5879">
      <w:pPr>
        <w:spacing w:after="160" w:line="259" w:lineRule="auto"/>
        <w:rPr>
          <w:rFonts w:ascii="Calibri" w:eastAsiaTheme="majorEastAsia" w:hAnsi="Calibri" w:cstheme="majorBidi"/>
          <w:b/>
          <w:color w:val="789B4A"/>
          <w:sz w:val="32"/>
          <w:szCs w:val="32"/>
        </w:rPr>
      </w:pPr>
      <w:bookmarkStart w:id="208" w:name="_Toc117246150"/>
      <w:bookmarkStart w:id="209" w:name="_Toc730028584"/>
      <w:bookmarkStart w:id="210" w:name="_Toc1977328915"/>
      <w:bookmarkStart w:id="211" w:name="_Toc1209880629"/>
      <w:bookmarkStart w:id="212" w:name="_Toc1430960400"/>
      <w:bookmarkStart w:id="213" w:name="_Toc1230765612"/>
      <w:bookmarkStart w:id="214" w:name="_Toc1671882163"/>
      <w:bookmarkStart w:id="215" w:name="_Toc1551570179"/>
      <w:bookmarkStart w:id="216" w:name="_Toc1844186216"/>
      <w:bookmarkStart w:id="217" w:name="_Toc2032926355"/>
      <w:bookmarkStart w:id="218" w:name="_Toc918398958"/>
      <w:r>
        <w:br w:type="page"/>
      </w:r>
    </w:p>
    <w:p w14:paraId="014F0C5F" w14:textId="7643B9A5" w:rsidR="004072C7" w:rsidRPr="00AE143E" w:rsidRDefault="00AD43D5" w:rsidP="00AD43D5">
      <w:pPr>
        <w:pStyle w:val="Heading1"/>
      </w:pPr>
      <w:bookmarkStart w:id="219" w:name="_Toc120101387"/>
      <w:r>
        <w:t xml:space="preserve">C. </w:t>
      </w:r>
      <w:r w:rsidR="004072C7">
        <w:t>Initiatives to support women in VET</w:t>
      </w:r>
      <w:bookmarkEnd w:id="208"/>
      <w:bookmarkEnd w:id="219"/>
      <w:r w:rsidR="004072C7">
        <w:t xml:space="preserve"> </w:t>
      </w:r>
      <w:bookmarkEnd w:id="209"/>
      <w:bookmarkEnd w:id="210"/>
      <w:bookmarkEnd w:id="211"/>
      <w:bookmarkEnd w:id="212"/>
      <w:bookmarkEnd w:id="213"/>
      <w:bookmarkEnd w:id="214"/>
      <w:bookmarkEnd w:id="215"/>
      <w:bookmarkEnd w:id="216"/>
      <w:bookmarkEnd w:id="217"/>
      <w:bookmarkEnd w:id="218"/>
    </w:p>
    <w:p w14:paraId="509A51D5" w14:textId="2BEBA06D" w:rsidR="004072C7" w:rsidRDefault="37190A60" w:rsidP="004072C7">
      <w:pPr>
        <w:pStyle w:val="Heading2"/>
        <w:rPr>
          <w:rFonts w:eastAsia="Calibri" w:cs="Calibri"/>
          <w:color w:val="000000" w:themeColor="text1"/>
        </w:rPr>
      </w:pPr>
      <w:bookmarkStart w:id="220" w:name="_Toc640689823"/>
      <w:bookmarkStart w:id="221" w:name="_Toc974581290"/>
      <w:bookmarkStart w:id="222" w:name="_Toc191388007"/>
      <w:bookmarkStart w:id="223" w:name="_Toc274182078"/>
      <w:bookmarkStart w:id="224" w:name="_Toc117246151"/>
      <w:bookmarkStart w:id="225" w:name="_Toc120101388"/>
      <w:r>
        <w:t>Chapter 8: Supporting women to achieve careers via VET pathways</w:t>
      </w:r>
      <w:bookmarkEnd w:id="220"/>
      <w:bookmarkEnd w:id="221"/>
      <w:bookmarkEnd w:id="222"/>
      <w:bookmarkEnd w:id="223"/>
      <w:bookmarkEnd w:id="224"/>
      <w:bookmarkEnd w:id="225"/>
    </w:p>
    <w:p w14:paraId="4B42307F" w14:textId="18FADE4E" w:rsidR="004072C7" w:rsidRDefault="004072C7" w:rsidP="004072C7">
      <w:pPr>
        <w:spacing w:line="257" w:lineRule="auto"/>
        <w:rPr>
          <w:rFonts w:ascii="Calibri" w:eastAsia="Calibri" w:hAnsi="Calibri" w:cs="Calibri"/>
          <w:vertAlign w:val="superscript"/>
        </w:rPr>
      </w:pPr>
      <w:r w:rsidRPr="33DE70E5">
        <w:rPr>
          <w:rFonts w:ascii="Calibri" w:eastAsia="Calibri" w:hAnsi="Calibri" w:cs="Calibri"/>
          <w:color w:val="000000" w:themeColor="text1"/>
        </w:rPr>
        <w:t>When</w:t>
      </w:r>
      <w:r w:rsidR="37190A60" w:rsidRPr="33DE70E5">
        <w:rPr>
          <w:rFonts w:ascii="Calibri" w:eastAsia="Calibri" w:hAnsi="Calibri" w:cs="Calibri"/>
          <w:color w:val="000000" w:themeColor="text1"/>
        </w:rPr>
        <w:t xml:space="preserve"> more women </w:t>
      </w:r>
      <w:r w:rsidR="001A2ABF">
        <w:rPr>
          <w:rFonts w:ascii="Calibri" w:eastAsia="Calibri" w:hAnsi="Calibri" w:cs="Calibri"/>
          <w:color w:val="000000" w:themeColor="text1"/>
        </w:rPr>
        <w:t xml:space="preserve">are in paid </w:t>
      </w:r>
      <w:r w:rsidR="37190A60" w:rsidRPr="33DE70E5">
        <w:rPr>
          <w:rFonts w:ascii="Calibri" w:eastAsia="Calibri" w:hAnsi="Calibri" w:cs="Calibri"/>
          <w:color w:val="000000" w:themeColor="text1"/>
        </w:rPr>
        <w:t>work, economies grow.</w:t>
      </w:r>
      <w:r>
        <w:rPr>
          <w:rStyle w:val="FootnoteReference"/>
          <w:rFonts w:ascii="Calibri" w:eastAsia="Calibri" w:hAnsi="Calibri" w:cs="Calibri"/>
          <w:color w:val="000000" w:themeColor="text1"/>
        </w:rPr>
        <w:footnoteReference w:id="39"/>
      </w:r>
    </w:p>
    <w:p w14:paraId="454B4E74" w14:textId="0C42915D" w:rsidR="004072C7" w:rsidRDefault="007B3B53" w:rsidP="004072C7">
      <w:pPr>
        <w:spacing w:line="257" w:lineRule="auto"/>
        <w:rPr>
          <w:rFonts w:ascii="Calibri" w:eastAsia="Calibri" w:hAnsi="Calibri" w:cs="Calibri"/>
        </w:rPr>
      </w:pPr>
      <w:r w:rsidRPr="78C4367D">
        <w:rPr>
          <w:rFonts w:ascii="Calibri" w:eastAsia="Calibri" w:hAnsi="Calibri" w:cs="Calibri"/>
        </w:rPr>
        <w:t xml:space="preserve">Women are well represented in VET and </w:t>
      </w:r>
      <w:r w:rsidR="37190A60" w:rsidRPr="78C4367D">
        <w:rPr>
          <w:rFonts w:ascii="Calibri" w:eastAsia="Calibri" w:hAnsi="Calibri" w:cs="Calibri"/>
        </w:rPr>
        <w:t>VET can provide a pathway to enhance the economic security</w:t>
      </w:r>
      <w:r w:rsidR="004072C7" w:rsidRPr="78C4367D">
        <w:rPr>
          <w:rFonts w:ascii="Calibri" w:eastAsia="Calibri" w:hAnsi="Calibri" w:cs="Calibri"/>
        </w:rPr>
        <w:t xml:space="preserve"> </w:t>
      </w:r>
      <w:r w:rsidR="00320175" w:rsidRPr="78C4367D">
        <w:rPr>
          <w:rFonts w:ascii="Calibri" w:eastAsia="Calibri" w:hAnsi="Calibri" w:cs="Calibri"/>
        </w:rPr>
        <w:t>and equality</w:t>
      </w:r>
      <w:r w:rsidR="37190A60" w:rsidRPr="78C4367D">
        <w:rPr>
          <w:rFonts w:ascii="Calibri" w:eastAsia="Calibri" w:hAnsi="Calibri" w:cs="Calibri"/>
        </w:rPr>
        <w:t xml:space="preserve"> of women. The Government is considering initiatives to support women to </w:t>
      </w:r>
      <w:r w:rsidR="0B4FB310" w:rsidRPr="78C4367D">
        <w:rPr>
          <w:rFonts w:ascii="Calibri" w:eastAsia="Calibri" w:hAnsi="Calibri" w:cs="Calibri"/>
        </w:rPr>
        <w:t xml:space="preserve">access and participate in </w:t>
      </w:r>
      <w:r w:rsidR="37190A60" w:rsidRPr="78C4367D">
        <w:rPr>
          <w:rFonts w:ascii="Calibri" w:eastAsia="Calibri" w:hAnsi="Calibri" w:cs="Calibri"/>
        </w:rPr>
        <w:t>higher paying careers via VET pathways.</w:t>
      </w:r>
      <w:r w:rsidR="00881700" w:rsidRPr="78C4367D">
        <w:rPr>
          <w:rFonts w:ascii="Calibri" w:eastAsia="Calibri" w:hAnsi="Calibri" w:cs="Calibri"/>
        </w:rPr>
        <w:t xml:space="preserve"> </w:t>
      </w:r>
    </w:p>
    <w:p w14:paraId="750D9B91" w14:textId="0FF005A6" w:rsidR="004072C7" w:rsidRDefault="004072C7" w:rsidP="004072C7">
      <w:pPr>
        <w:spacing w:line="257" w:lineRule="auto"/>
        <w:rPr>
          <w:rFonts w:ascii="Calibri" w:eastAsia="Calibri" w:hAnsi="Calibri" w:cs="Calibri"/>
        </w:rPr>
      </w:pPr>
      <w:r w:rsidRPr="33DE70E5">
        <w:rPr>
          <w:rFonts w:ascii="Calibri" w:eastAsia="Calibri" w:hAnsi="Calibri" w:cs="Calibri"/>
        </w:rPr>
        <w:t>Studies and research from Australia and abroad indicate a positive link between education and training attainment, and higher wages.</w:t>
      </w:r>
      <w:r>
        <w:rPr>
          <w:rStyle w:val="FootnoteReference"/>
          <w:rFonts w:ascii="Calibri" w:eastAsia="Calibri" w:hAnsi="Calibri" w:cs="Calibri"/>
        </w:rPr>
        <w:footnoteReference w:id="40"/>
      </w:r>
      <w:r w:rsidRPr="33DE70E5">
        <w:rPr>
          <w:rFonts w:ascii="Calibri" w:eastAsia="Calibri" w:hAnsi="Calibri" w:cs="Calibri"/>
        </w:rPr>
        <w:t xml:space="preserve"> It’s accepted that education and training leads to increased employment opportunities and earning potential. Generally speaking, attainment of additional and/or increased qualifications and skills signals a greater capacity to be productive, it also increases opportunities for employment and career and wage progression.</w:t>
      </w:r>
      <w:r w:rsidR="00E318F2">
        <w:rPr>
          <w:rFonts w:ascii="Calibri" w:eastAsia="Calibri" w:hAnsi="Calibri" w:cs="Calibri"/>
        </w:rPr>
        <w:t xml:space="preserve"> </w:t>
      </w:r>
      <w:r w:rsidR="004448DB">
        <w:rPr>
          <w:rFonts w:ascii="Calibri" w:eastAsia="Calibri" w:hAnsi="Calibri" w:cs="Calibri"/>
        </w:rPr>
        <w:t>Women</w:t>
      </w:r>
      <w:r w:rsidR="00BD198F">
        <w:rPr>
          <w:rFonts w:ascii="Calibri" w:eastAsia="Calibri" w:hAnsi="Calibri" w:cs="Calibri"/>
        </w:rPr>
        <w:t xml:space="preserve"> report improved employment outcomes following completion of VET.</w:t>
      </w:r>
    </w:p>
    <w:p w14:paraId="26160B4E" w14:textId="19C9D943" w:rsidR="004072C7" w:rsidRDefault="37190A60" w:rsidP="1530C7B9">
      <w:pPr>
        <w:spacing w:after="120" w:line="257" w:lineRule="auto"/>
        <w:rPr>
          <w:rFonts w:ascii="Calibri" w:eastAsia="Calibri" w:hAnsi="Calibri" w:cs="Calibri"/>
        </w:rPr>
      </w:pPr>
      <w:r w:rsidRPr="1530C7B9">
        <w:rPr>
          <w:rFonts w:ascii="Calibri" w:eastAsia="Calibri" w:hAnsi="Calibri" w:cs="Calibri"/>
        </w:rPr>
        <w:t>VET supports attainment of practical skills-based qualifications to:</w:t>
      </w:r>
    </w:p>
    <w:p w14:paraId="36BC6C1B" w14:textId="77777777" w:rsidR="004072C7" w:rsidRDefault="004072C7" w:rsidP="004072C7">
      <w:pPr>
        <w:pStyle w:val="ListParagraph"/>
        <w:numPr>
          <w:ilvl w:val="0"/>
          <w:numId w:val="24"/>
        </w:numPr>
        <w:spacing w:line="240" w:lineRule="auto"/>
        <w:rPr>
          <w:rFonts w:ascii="Calibri" w:eastAsia="Calibri" w:hAnsi="Calibri" w:cs="Calibri"/>
        </w:rPr>
      </w:pPr>
      <w:r w:rsidRPr="3374E00D">
        <w:rPr>
          <w:rFonts w:ascii="Calibri" w:eastAsia="Calibri" w:hAnsi="Calibri" w:cs="Calibri"/>
        </w:rPr>
        <w:t xml:space="preserve">Support </w:t>
      </w:r>
      <w:r>
        <w:t>job</w:t>
      </w:r>
      <w:r w:rsidRPr="3374E00D">
        <w:rPr>
          <w:rFonts w:ascii="Calibri" w:eastAsia="Calibri" w:hAnsi="Calibri" w:cs="Calibri"/>
        </w:rPr>
        <w:t xml:space="preserve"> readiness – whether entering or re-entering the workforce.</w:t>
      </w:r>
    </w:p>
    <w:p w14:paraId="758C0732" w14:textId="74D1762E" w:rsidR="004072C7" w:rsidRDefault="004072C7" w:rsidP="004072C7">
      <w:pPr>
        <w:pStyle w:val="ListParagraph"/>
        <w:numPr>
          <w:ilvl w:val="0"/>
          <w:numId w:val="24"/>
        </w:numPr>
        <w:spacing w:line="240" w:lineRule="auto"/>
        <w:rPr>
          <w:rFonts w:ascii="Calibri" w:eastAsia="Calibri" w:hAnsi="Calibri" w:cs="Calibri"/>
        </w:rPr>
      </w:pPr>
      <w:r w:rsidRPr="3374E00D">
        <w:rPr>
          <w:rFonts w:ascii="Calibri" w:eastAsia="Calibri" w:hAnsi="Calibri" w:cs="Calibri"/>
        </w:rPr>
        <w:t xml:space="preserve">Enhance </w:t>
      </w:r>
      <w:r>
        <w:t>and</w:t>
      </w:r>
      <w:r w:rsidRPr="3374E00D">
        <w:rPr>
          <w:rFonts w:ascii="Calibri" w:eastAsia="Calibri" w:hAnsi="Calibri" w:cs="Calibri"/>
        </w:rPr>
        <w:t xml:space="preserve"> expand your skillset </w:t>
      </w:r>
      <w:r w:rsidR="00320175" w:rsidRPr="3374E00D">
        <w:rPr>
          <w:rFonts w:ascii="Calibri" w:eastAsia="Calibri" w:hAnsi="Calibri" w:cs="Calibri"/>
        </w:rPr>
        <w:t>–</w:t>
      </w:r>
      <w:r w:rsidRPr="3374E00D">
        <w:rPr>
          <w:rFonts w:ascii="Calibri" w:eastAsia="Calibri" w:hAnsi="Calibri" w:cs="Calibri"/>
        </w:rPr>
        <w:t xml:space="preserve"> whether looking for a new or different career, or to progress in a current one.</w:t>
      </w:r>
    </w:p>
    <w:p w14:paraId="5F7482E1" w14:textId="5B38B694" w:rsidR="004072C7" w:rsidRPr="00D063FC" w:rsidRDefault="004072C7" w:rsidP="001F7F06">
      <w:pPr>
        <w:pStyle w:val="ListParagraph"/>
        <w:numPr>
          <w:ilvl w:val="0"/>
          <w:numId w:val="24"/>
        </w:numPr>
        <w:spacing w:line="257" w:lineRule="auto"/>
        <w:rPr>
          <w:rFonts w:ascii="Calibri" w:eastAsia="Calibri" w:hAnsi="Calibri" w:cs="Calibri"/>
          <w:color w:val="000000" w:themeColor="text1"/>
        </w:rPr>
      </w:pPr>
      <w:r w:rsidRPr="00D063FC">
        <w:rPr>
          <w:rFonts w:ascii="Calibri" w:eastAsia="Calibri" w:hAnsi="Calibri" w:cs="Calibri"/>
        </w:rPr>
        <w:t xml:space="preserve">Achieve a </w:t>
      </w:r>
      <w:r>
        <w:t>higher</w:t>
      </w:r>
      <w:r w:rsidRPr="00D063FC">
        <w:rPr>
          <w:rFonts w:ascii="Calibri" w:eastAsia="Calibri" w:hAnsi="Calibri" w:cs="Calibri"/>
        </w:rPr>
        <w:t xml:space="preserve"> paying career – whether looking for a career with greater employment and pay prospects (for example, traditionally male-dominated trades and industries) or to advance in a current area of expertise via executive and management opportunities.</w:t>
      </w:r>
    </w:p>
    <w:p w14:paraId="0D5CBAA8" w14:textId="47258486" w:rsidR="00BA4196" w:rsidRDefault="00BA4196" w:rsidP="007C68B2">
      <w:pPr>
        <w:spacing w:line="257" w:lineRule="auto"/>
        <w:rPr>
          <w:rFonts w:ascii="Calibri" w:eastAsia="Calibri" w:hAnsi="Calibri" w:cs="Calibri"/>
          <w:color w:val="000000" w:themeColor="text1"/>
        </w:rPr>
      </w:pPr>
      <w:r>
        <w:rPr>
          <w:rFonts w:ascii="Calibri" w:eastAsia="Calibri" w:hAnsi="Calibri" w:cs="Calibri"/>
          <w:color w:val="000000" w:themeColor="text1"/>
        </w:rPr>
        <w:t xml:space="preserve">We know that gender segregation </w:t>
      </w:r>
      <w:r w:rsidR="006A5AC0">
        <w:rPr>
          <w:rFonts w:ascii="Calibri" w:eastAsia="Calibri" w:hAnsi="Calibri" w:cs="Calibri"/>
          <w:color w:val="000000" w:themeColor="text1"/>
        </w:rPr>
        <w:t>is significant</w:t>
      </w:r>
      <w:r w:rsidR="00AB0393">
        <w:rPr>
          <w:rFonts w:ascii="Calibri" w:eastAsia="Calibri" w:hAnsi="Calibri" w:cs="Calibri"/>
          <w:color w:val="000000" w:themeColor="text1"/>
        </w:rPr>
        <w:t>. I</w:t>
      </w:r>
      <w:r w:rsidR="00A22236">
        <w:rPr>
          <w:rFonts w:ascii="Calibri" w:eastAsia="Calibri" w:hAnsi="Calibri" w:cs="Calibri"/>
          <w:color w:val="000000" w:themeColor="text1"/>
        </w:rPr>
        <w:t>t is seen in the training system</w:t>
      </w:r>
      <w:r w:rsidR="006A5AC0">
        <w:rPr>
          <w:rFonts w:ascii="Calibri" w:eastAsia="Calibri" w:hAnsi="Calibri" w:cs="Calibri"/>
          <w:color w:val="000000" w:themeColor="text1"/>
        </w:rPr>
        <w:t xml:space="preserve"> and </w:t>
      </w:r>
      <w:r w:rsidR="0034284F">
        <w:rPr>
          <w:rFonts w:ascii="Calibri" w:eastAsia="Calibri" w:hAnsi="Calibri" w:cs="Calibri"/>
          <w:color w:val="000000" w:themeColor="text1"/>
        </w:rPr>
        <w:t xml:space="preserve">remains </w:t>
      </w:r>
      <w:r>
        <w:rPr>
          <w:rFonts w:ascii="Calibri" w:eastAsia="Calibri" w:hAnsi="Calibri" w:cs="Calibri"/>
          <w:color w:val="000000" w:themeColor="text1"/>
        </w:rPr>
        <w:t>persistent</w:t>
      </w:r>
      <w:r w:rsidR="006A5AC0">
        <w:rPr>
          <w:rFonts w:ascii="Calibri" w:eastAsia="Calibri" w:hAnsi="Calibri" w:cs="Calibri"/>
          <w:color w:val="000000" w:themeColor="text1"/>
        </w:rPr>
        <w:t xml:space="preserve"> </w:t>
      </w:r>
      <w:r>
        <w:rPr>
          <w:rFonts w:ascii="Calibri" w:eastAsia="Calibri" w:hAnsi="Calibri" w:cs="Calibri"/>
          <w:color w:val="000000" w:themeColor="text1"/>
        </w:rPr>
        <w:t>in some industries and occupations</w:t>
      </w:r>
      <w:r w:rsidR="006A5AC0">
        <w:rPr>
          <w:rStyle w:val="FootnoteReference"/>
          <w:rFonts w:ascii="Calibri" w:eastAsia="Calibri" w:hAnsi="Calibri" w:cs="Calibri"/>
          <w:color w:val="000000" w:themeColor="text1"/>
        </w:rPr>
        <w:footnoteReference w:id="41"/>
      </w:r>
      <w:r>
        <w:rPr>
          <w:rFonts w:ascii="Calibri" w:eastAsia="Calibri" w:hAnsi="Calibri" w:cs="Calibri"/>
          <w:color w:val="000000" w:themeColor="text1"/>
        </w:rPr>
        <w:t xml:space="preserve">. </w:t>
      </w:r>
      <w:r w:rsidR="0034284F">
        <w:rPr>
          <w:rFonts w:ascii="Calibri" w:eastAsia="Calibri" w:hAnsi="Calibri" w:cs="Calibri"/>
          <w:color w:val="000000" w:themeColor="text1"/>
        </w:rPr>
        <w:t xml:space="preserve">Generally, male dominated occupations and industries experience higher pay </w:t>
      </w:r>
      <w:r w:rsidR="008457F8">
        <w:rPr>
          <w:rFonts w:ascii="Calibri" w:eastAsia="Calibri" w:hAnsi="Calibri" w:cs="Calibri"/>
          <w:color w:val="000000" w:themeColor="text1"/>
        </w:rPr>
        <w:t xml:space="preserve">(for example, trade workers in the mining and construction industries) </w:t>
      </w:r>
      <w:r w:rsidR="0034284F">
        <w:rPr>
          <w:rFonts w:ascii="Calibri" w:eastAsia="Calibri" w:hAnsi="Calibri" w:cs="Calibri"/>
          <w:color w:val="000000" w:themeColor="text1"/>
        </w:rPr>
        <w:t>than those working in female dominated industries and occupations</w:t>
      </w:r>
      <w:r w:rsidR="006B6BE4">
        <w:rPr>
          <w:rFonts w:ascii="Calibri" w:eastAsia="Calibri" w:hAnsi="Calibri" w:cs="Calibri"/>
          <w:color w:val="000000" w:themeColor="text1"/>
        </w:rPr>
        <w:t xml:space="preserve"> (for instance, care workers in the health care and social assistance industry)</w:t>
      </w:r>
      <w:r w:rsidR="0034284F">
        <w:rPr>
          <w:rFonts w:ascii="Calibri" w:eastAsia="Calibri" w:hAnsi="Calibri" w:cs="Calibri"/>
          <w:color w:val="000000" w:themeColor="text1"/>
        </w:rPr>
        <w:t>.</w:t>
      </w:r>
      <w:r w:rsidR="006B6BE4">
        <w:rPr>
          <w:rFonts w:ascii="Calibri" w:eastAsia="Calibri" w:hAnsi="Calibri" w:cs="Calibri"/>
          <w:color w:val="000000" w:themeColor="text1"/>
        </w:rPr>
        <w:t xml:space="preserve"> </w:t>
      </w:r>
    </w:p>
    <w:p w14:paraId="5CECAD86" w14:textId="4166CC6E" w:rsidR="00931BB6" w:rsidRDefault="00931BB6" w:rsidP="00931BB6">
      <w:r>
        <w:t xml:space="preserve">There are a range of factors that contribute to the gender occupational segregation, particularly in the traditional trades, ranging from gender norms set very early in children’s lives through to the nature of career advice provided to school aged women and the culture, physical and emotional safety, work settings and the broader work environment on site. </w:t>
      </w:r>
    </w:p>
    <w:p w14:paraId="2296080F" w14:textId="5F8E8112" w:rsidR="00217CEC" w:rsidRDefault="36E38FDC" w:rsidP="007C68B2">
      <w:pPr>
        <w:spacing w:line="257" w:lineRule="auto"/>
        <w:rPr>
          <w:rFonts w:ascii="Calibri" w:eastAsia="Calibri" w:hAnsi="Calibri" w:cs="Calibri"/>
        </w:rPr>
      </w:pPr>
      <w:r w:rsidRPr="5AECAFDB">
        <w:rPr>
          <w:rFonts w:ascii="Calibri" w:eastAsia="Calibri" w:hAnsi="Calibri" w:cs="Calibri"/>
          <w:color w:val="000000" w:themeColor="text1"/>
        </w:rPr>
        <w:t>Not only do o</w:t>
      </w:r>
      <w:r w:rsidRPr="5AECAFDB">
        <w:rPr>
          <w:rFonts w:ascii="Calibri" w:eastAsia="Calibri" w:hAnsi="Calibri" w:cs="Calibri"/>
        </w:rPr>
        <w:t>rganisations in male-dominated industries struggle to attract women to consider and apply for jobs, they also face challenges in retaining women</w:t>
      </w:r>
      <w:r w:rsidR="00E70286" w:rsidRPr="7F03B339">
        <w:rPr>
          <w:rStyle w:val="FootnoteReference"/>
          <w:rFonts w:ascii="Calibri" w:eastAsia="Calibri" w:hAnsi="Calibri" w:cs="Calibri"/>
        </w:rPr>
        <w:footnoteReference w:id="42"/>
      </w:r>
      <w:r w:rsidRPr="5AECAFDB">
        <w:rPr>
          <w:rFonts w:ascii="Calibri" w:eastAsia="Calibri" w:hAnsi="Calibri" w:cs="Calibri"/>
        </w:rPr>
        <w:t>. Additionally, the Respect@Work: National Inquiry into Sexual Harassment in Australian Workplaces heard that while not the only factor to drive sexual harassment in the workplace, gender inequality is an underlying condition for sexual harassment to occur and there is a higher risk of experiencing sexual harassment in male-dominated workplaces</w:t>
      </w:r>
      <w:r w:rsidR="00E70286" w:rsidRPr="745F578F">
        <w:rPr>
          <w:rStyle w:val="FootnoteReference"/>
          <w:rFonts w:ascii="Calibri" w:eastAsia="Calibri" w:hAnsi="Calibri" w:cs="Calibri"/>
        </w:rPr>
        <w:footnoteReference w:id="43"/>
      </w:r>
      <w:r w:rsidRPr="5AECAFDB">
        <w:rPr>
          <w:rFonts w:ascii="Calibri" w:eastAsia="Calibri" w:hAnsi="Calibri" w:cs="Calibri"/>
        </w:rPr>
        <w:t>.</w:t>
      </w:r>
    </w:p>
    <w:p w14:paraId="0E0CAB2F" w14:textId="77777777" w:rsidR="00902DD1" w:rsidRDefault="00902DD1" w:rsidP="00E57327">
      <w:pPr>
        <w:keepNext/>
        <w:keepLines/>
        <w:rPr>
          <w:rFonts w:ascii="Calibri" w:eastAsia="Calibri" w:hAnsi="Calibri" w:cs="Calibri"/>
          <w:b/>
          <w:bCs/>
        </w:rPr>
      </w:pPr>
      <w:r>
        <w:rPr>
          <w:rFonts w:ascii="Calibri" w:eastAsia="Calibri" w:hAnsi="Calibri" w:cs="Calibri"/>
          <w:b/>
          <w:bCs/>
        </w:rPr>
        <w:t>Key questions for discussion:</w:t>
      </w:r>
    </w:p>
    <w:tbl>
      <w:tblPr>
        <w:tblStyle w:val="DESE"/>
        <w:tblW w:w="9067" w:type="dxa"/>
        <w:tblLook w:val="04A0" w:firstRow="1" w:lastRow="0" w:firstColumn="1" w:lastColumn="0" w:noHBand="0" w:noVBand="1"/>
        <w:tblDescription w:val="Discussion paper questions"/>
      </w:tblPr>
      <w:tblGrid>
        <w:gridCol w:w="562"/>
        <w:gridCol w:w="8505"/>
      </w:tblGrid>
      <w:tr w:rsidR="00863C1A" w:rsidRPr="00B100CC" w14:paraId="441D1C4C"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343848" w14:textId="77777777" w:rsidR="00153FBB" w:rsidRPr="00B100CC" w:rsidRDefault="00153FBB" w:rsidP="00E57327">
            <w:pPr>
              <w:keepNext/>
              <w:keepLines/>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525FE691" w14:textId="77777777" w:rsidR="00153FBB" w:rsidRPr="00B100CC" w:rsidRDefault="00153FBB" w:rsidP="00E57327">
            <w:pPr>
              <w:keepNext/>
              <w:keepLines/>
              <w:spacing w:after="100"/>
              <w:cnfStyle w:val="100000000000" w:firstRow="1" w:lastRow="0" w:firstColumn="0" w:lastColumn="0" w:oddVBand="0" w:evenVBand="0" w:oddHBand="0" w:evenHBand="0" w:firstRowFirstColumn="0" w:firstRowLastColumn="0" w:lastRowFirstColumn="0" w:lastRowLastColumn="0"/>
            </w:pPr>
            <w:r>
              <w:t>Question</w:t>
            </w:r>
          </w:p>
        </w:tc>
      </w:tr>
      <w:tr w:rsidR="00863C1A" w:rsidRPr="00E87BC6" w14:paraId="7EC40758"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2BD35E5C" w14:textId="0CB43DB2" w:rsidR="00153FBB" w:rsidRPr="0017294C" w:rsidRDefault="1D3625C6" w:rsidP="00E57327">
            <w:pPr>
              <w:keepNext/>
              <w:keepLines/>
              <w:spacing w:after="100"/>
              <w:rPr>
                <w:rFonts w:ascii="Calibri" w:hAnsi="Calibri"/>
                <w:color w:val="FFFFFF" w:themeColor="background1"/>
              </w:rPr>
            </w:pPr>
            <w:r w:rsidRPr="78C4367D">
              <w:rPr>
                <w:rFonts w:ascii="Calibri" w:hAnsi="Calibri"/>
                <w:color w:val="FFFFFF" w:themeColor="background1"/>
              </w:rPr>
              <w:t>22</w:t>
            </w:r>
          </w:p>
        </w:tc>
        <w:tc>
          <w:tcPr>
            <w:tcW w:w="8505" w:type="dxa"/>
            <w:tcBorders>
              <w:top w:val="single" w:sz="4" w:space="0" w:color="FFFFFF" w:themeColor="background1"/>
              <w:left w:val="single" w:sz="4" w:space="0" w:color="FFFFFF" w:themeColor="background1"/>
            </w:tcBorders>
            <w:vAlign w:val="top"/>
          </w:tcPr>
          <w:p w14:paraId="66D7C596" w14:textId="512A85F2" w:rsidR="00153FBB" w:rsidRPr="00E87BC6" w:rsidRDefault="0FBEF079" w:rsidP="78C4367D">
            <w:pPr>
              <w:keepNext/>
              <w:keepLines/>
              <w:spacing w:after="100"/>
              <w:cnfStyle w:val="000000000000" w:firstRow="0" w:lastRow="0" w:firstColumn="0" w:lastColumn="0" w:oddVBand="0" w:evenVBand="0" w:oddHBand="0" w:evenHBand="0" w:firstRowFirstColumn="0" w:firstRowLastColumn="0" w:lastRowFirstColumn="0" w:lastRowLastColumn="0"/>
            </w:pPr>
            <w:r w:rsidRPr="78C4367D">
              <w:rPr>
                <w:rFonts w:ascii="Calibri" w:eastAsia="Calibri" w:hAnsi="Calibri" w:cs="Calibri"/>
                <w:color w:val="000000" w:themeColor="text1"/>
              </w:rPr>
              <w:t xml:space="preserve">How can we encourage </w:t>
            </w:r>
            <w:r w:rsidR="2348D80A" w:rsidRPr="78C4367D">
              <w:rPr>
                <w:rFonts w:ascii="Calibri" w:eastAsia="Calibri" w:hAnsi="Calibri" w:cs="Calibri"/>
                <w:color w:val="000000" w:themeColor="text1"/>
              </w:rPr>
              <w:t xml:space="preserve">and support </w:t>
            </w:r>
            <w:r w:rsidRPr="78C4367D">
              <w:rPr>
                <w:rFonts w:ascii="Calibri" w:eastAsia="Calibri" w:hAnsi="Calibri" w:cs="Calibri"/>
                <w:color w:val="000000" w:themeColor="text1"/>
              </w:rPr>
              <w:t xml:space="preserve">more women to </w:t>
            </w:r>
            <w:r w:rsidRPr="78C4367D">
              <w:rPr>
                <w:color w:val="000000" w:themeColor="text1"/>
              </w:rPr>
              <w:t>consider a career in and undertake trade occupations?</w:t>
            </w:r>
          </w:p>
        </w:tc>
      </w:tr>
      <w:tr w:rsidR="00863C1A" w:rsidRPr="00E87BC6" w14:paraId="35905A51"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415AC4D6" w14:textId="34E94E2B" w:rsidR="00153FBB" w:rsidRPr="0017294C" w:rsidRDefault="1D3625C6" w:rsidP="78C4367D">
            <w:pPr>
              <w:keepNext/>
              <w:keepLines/>
              <w:spacing w:beforeAutospacing="0" w:after="0" w:afterAutospacing="0"/>
              <w:rPr>
                <w:rFonts w:ascii="Calibri" w:hAnsi="Calibri"/>
                <w:color w:val="FFFFFF" w:themeColor="background1"/>
              </w:rPr>
            </w:pPr>
            <w:r w:rsidRPr="78C4367D">
              <w:rPr>
                <w:rFonts w:ascii="Calibri" w:hAnsi="Calibri"/>
                <w:color w:val="FFFFFF" w:themeColor="background1"/>
              </w:rPr>
              <w:t>23</w:t>
            </w:r>
          </w:p>
        </w:tc>
        <w:tc>
          <w:tcPr>
            <w:tcW w:w="8505" w:type="dxa"/>
            <w:tcBorders>
              <w:left w:val="single" w:sz="4" w:space="0" w:color="FFFFFF" w:themeColor="background1"/>
            </w:tcBorders>
            <w:vAlign w:val="top"/>
          </w:tcPr>
          <w:p w14:paraId="523E27F9" w14:textId="26DD13A8" w:rsidR="00153FBB" w:rsidRPr="00E87BC6" w:rsidRDefault="00153FBB" w:rsidP="00E57327">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5E43E4">
              <w:rPr>
                <w:color w:val="000000" w:themeColor="text1"/>
              </w:rPr>
              <w:t>What do you consider to be the most effective programs or policies in supporting women to commence and complete a trade apprenticeship?</w:t>
            </w:r>
          </w:p>
        </w:tc>
      </w:tr>
      <w:tr w:rsidR="00863C1A" w:rsidRPr="4A81C948" w14:paraId="5F3F43AB"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7DE5AD9D" w14:textId="4FEF4E63" w:rsidR="00153FBB" w:rsidRDefault="1D3625C6" w:rsidP="00E57327">
            <w:pPr>
              <w:keepNext/>
              <w:keepLines/>
              <w:spacing w:after="0"/>
              <w:rPr>
                <w:rFonts w:ascii="Calibri" w:hAnsi="Calibri"/>
                <w:color w:val="FFFFFF" w:themeColor="background1"/>
              </w:rPr>
            </w:pPr>
            <w:r w:rsidRPr="78C4367D">
              <w:rPr>
                <w:rFonts w:ascii="Calibri" w:hAnsi="Calibri"/>
                <w:color w:val="FFFFFF" w:themeColor="background1"/>
              </w:rPr>
              <w:t>24</w:t>
            </w:r>
          </w:p>
        </w:tc>
        <w:tc>
          <w:tcPr>
            <w:tcW w:w="8505" w:type="dxa"/>
            <w:tcBorders>
              <w:left w:val="single" w:sz="4" w:space="0" w:color="FFFFFF" w:themeColor="background1"/>
            </w:tcBorders>
            <w:vAlign w:val="top"/>
          </w:tcPr>
          <w:p w14:paraId="6F425838" w14:textId="08FA9AB1" w:rsidR="00153FBB" w:rsidRPr="4A81C948" w:rsidRDefault="00153FBB" w:rsidP="00E57327">
            <w:pPr>
              <w:keepNext/>
              <w:keepLines/>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005E43E4">
              <w:rPr>
                <w:color w:val="000000" w:themeColor="text1"/>
              </w:rPr>
              <w:t xml:space="preserve">What could we </w:t>
            </w:r>
            <w:r w:rsidRPr="5AECAFDB">
              <w:rPr>
                <w:color w:val="000000" w:themeColor="text1"/>
              </w:rPr>
              <w:t>do to make the culture of male-dominated trades more inclusive?</w:t>
            </w:r>
          </w:p>
        </w:tc>
      </w:tr>
      <w:tr w:rsidR="00863C1A" w:rsidRPr="4A81C948" w14:paraId="3169D0E8"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1913E38C" w14:textId="5092BF35" w:rsidR="00153FBB" w:rsidRDefault="1D3625C6" w:rsidP="00E57327">
            <w:pPr>
              <w:keepNext/>
              <w:keepLines/>
              <w:spacing w:after="0"/>
              <w:rPr>
                <w:rFonts w:ascii="Calibri" w:hAnsi="Calibri"/>
                <w:color w:val="FFFFFF" w:themeColor="background1"/>
              </w:rPr>
            </w:pPr>
            <w:r w:rsidRPr="78C4367D">
              <w:rPr>
                <w:rFonts w:ascii="Calibri" w:hAnsi="Calibri"/>
                <w:color w:val="FFFFFF" w:themeColor="background1"/>
              </w:rPr>
              <w:t>25</w:t>
            </w:r>
          </w:p>
        </w:tc>
        <w:tc>
          <w:tcPr>
            <w:tcW w:w="8505" w:type="dxa"/>
            <w:tcBorders>
              <w:left w:val="single" w:sz="4" w:space="0" w:color="FFFFFF" w:themeColor="background1"/>
            </w:tcBorders>
            <w:vAlign w:val="top"/>
          </w:tcPr>
          <w:p w14:paraId="2B0D1EF8" w14:textId="4EB09614" w:rsidR="00153FBB" w:rsidRPr="4A81C948" w:rsidRDefault="00784269" w:rsidP="00E57327">
            <w:pPr>
              <w:keepNext/>
              <w:keepLines/>
              <w:spacing w:after="0"/>
              <w:cnfStyle w:val="000000000000" w:firstRow="0" w:lastRow="0" w:firstColumn="0" w:lastColumn="0" w:oddVBand="0" w:evenVBand="0" w:oddHBand="0" w:evenHBand="0" w:firstRowFirstColumn="0" w:firstRowLastColumn="0" w:lastRowFirstColumn="0" w:lastRowLastColumn="0"/>
              <w:rPr>
                <w:color w:val="000000" w:themeColor="text1"/>
              </w:rPr>
            </w:pPr>
            <w:r>
              <w:t xml:space="preserve">How can we support the retention of women working in major projects and </w:t>
            </w:r>
            <w:r w:rsidR="00F6053B">
              <w:t xml:space="preserve">support them to stay in industries over the longer-term? </w:t>
            </w:r>
          </w:p>
        </w:tc>
      </w:tr>
    </w:tbl>
    <w:p w14:paraId="34058070" w14:textId="4854C693" w:rsidR="007C68B2" w:rsidRDefault="00C8131F" w:rsidP="00C63213">
      <w:pPr>
        <w:spacing w:before="240"/>
      </w:pPr>
      <w:r w:rsidRPr="00C8131F">
        <w:t xml:space="preserve">Women returning to the workforce following a break can face significant obstacles. Rebuilding confidence, building up a new professional network, </w:t>
      </w:r>
      <w:r w:rsidR="00784F6E" w:rsidRPr="00C8131F">
        <w:t xml:space="preserve">updating </w:t>
      </w:r>
      <w:r w:rsidRPr="00C8131F">
        <w:t>existing skills and learning new ones, and the availability of flexible and inclusive employment opportunities are just some of the challenges women can encounter.</w:t>
      </w:r>
    </w:p>
    <w:p w14:paraId="2A6C13B5" w14:textId="7B98C224" w:rsidR="00902DD1" w:rsidRDefault="00902DD1" w:rsidP="00902DD1">
      <w:pPr>
        <w:rPr>
          <w:rFonts w:ascii="Calibri" w:eastAsia="Calibri" w:hAnsi="Calibri" w:cs="Calibri"/>
          <w:b/>
          <w:bCs/>
        </w:rPr>
      </w:pPr>
      <w:r>
        <w:rPr>
          <w:rFonts w:ascii="Calibri" w:eastAsia="Calibri" w:hAnsi="Calibri" w:cs="Calibri"/>
          <w:b/>
          <w:bCs/>
        </w:rPr>
        <w:t>Key question for discussion:</w:t>
      </w:r>
    </w:p>
    <w:tbl>
      <w:tblPr>
        <w:tblStyle w:val="DESE"/>
        <w:tblW w:w="9067" w:type="dxa"/>
        <w:tblLook w:val="04A0" w:firstRow="1" w:lastRow="0" w:firstColumn="1" w:lastColumn="0" w:noHBand="0" w:noVBand="1"/>
        <w:tblDescription w:val="Discussion paper question"/>
      </w:tblPr>
      <w:tblGrid>
        <w:gridCol w:w="562"/>
        <w:gridCol w:w="8505"/>
      </w:tblGrid>
      <w:tr w:rsidR="00DE79A7" w:rsidRPr="00B100CC" w14:paraId="76CAAA53"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D06D71" w14:textId="77777777" w:rsidR="00863C1A" w:rsidRPr="00B100CC" w:rsidRDefault="00863C1A" w:rsidP="00DE79A7">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5503330F" w14:textId="77777777" w:rsidR="00863C1A" w:rsidRPr="00B100CC" w:rsidRDefault="00863C1A" w:rsidP="00DE79A7">
            <w:pPr>
              <w:spacing w:after="100"/>
              <w:cnfStyle w:val="100000000000" w:firstRow="1" w:lastRow="0" w:firstColumn="0" w:lastColumn="0" w:oddVBand="0" w:evenVBand="0" w:oddHBand="0" w:evenHBand="0" w:firstRowFirstColumn="0" w:firstRowLastColumn="0" w:lastRowFirstColumn="0" w:lastRowLastColumn="0"/>
            </w:pPr>
            <w:r>
              <w:t>Question</w:t>
            </w:r>
          </w:p>
        </w:tc>
      </w:tr>
      <w:tr w:rsidR="00DE79A7" w:rsidRPr="4A81C948" w14:paraId="444C2837"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57F53739" w14:textId="709483E3" w:rsidR="00863C1A" w:rsidRDefault="1D3625C6" w:rsidP="00DE79A7">
            <w:pPr>
              <w:spacing w:after="0"/>
              <w:rPr>
                <w:rFonts w:ascii="Calibri" w:hAnsi="Calibri"/>
                <w:color w:val="FFFFFF" w:themeColor="background1"/>
              </w:rPr>
            </w:pPr>
            <w:r w:rsidRPr="78C4367D">
              <w:rPr>
                <w:rFonts w:ascii="Calibri" w:hAnsi="Calibri"/>
                <w:color w:val="FFFFFF" w:themeColor="background1"/>
              </w:rPr>
              <w:t>26</w:t>
            </w:r>
          </w:p>
        </w:tc>
        <w:tc>
          <w:tcPr>
            <w:tcW w:w="8505" w:type="dxa"/>
            <w:tcBorders>
              <w:left w:val="single" w:sz="4" w:space="0" w:color="FFFFFF" w:themeColor="background1"/>
            </w:tcBorders>
            <w:vAlign w:val="top"/>
          </w:tcPr>
          <w:p w14:paraId="75547652" w14:textId="67DAEDA7" w:rsidR="00863C1A" w:rsidRPr="4A81C948" w:rsidRDefault="7CC61C93" w:rsidP="00DE79A7">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78C4367D">
              <w:rPr>
                <w:rFonts w:ascii="Calibri" w:eastAsia="Calibri" w:hAnsi="Calibri" w:cs="Calibri"/>
                <w:color w:val="000000" w:themeColor="text1"/>
              </w:rPr>
              <w:t xml:space="preserve">What can we do to better support women to successfully </w:t>
            </w:r>
            <w:r w:rsidR="7949628B" w:rsidRPr="78C4367D">
              <w:rPr>
                <w:rFonts w:ascii="Calibri" w:eastAsia="Calibri" w:hAnsi="Calibri" w:cs="Calibri"/>
                <w:color w:val="000000" w:themeColor="text1"/>
              </w:rPr>
              <w:t xml:space="preserve">remain, </w:t>
            </w:r>
            <w:r w:rsidRPr="78C4367D">
              <w:rPr>
                <w:rFonts w:ascii="Calibri" w:eastAsia="Calibri" w:hAnsi="Calibri" w:cs="Calibri"/>
                <w:color w:val="000000" w:themeColor="text1"/>
              </w:rPr>
              <w:t xml:space="preserve">re-enter </w:t>
            </w:r>
            <w:r w:rsidR="7949628B" w:rsidRPr="78C4367D">
              <w:rPr>
                <w:rFonts w:ascii="Calibri" w:eastAsia="Calibri" w:hAnsi="Calibri" w:cs="Calibri"/>
                <w:color w:val="000000" w:themeColor="text1"/>
              </w:rPr>
              <w:t xml:space="preserve">and </w:t>
            </w:r>
            <w:r w:rsidR="567DCA4C" w:rsidRPr="78C4367D">
              <w:rPr>
                <w:rFonts w:ascii="Calibri" w:eastAsia="Calibri" w:hAnsi="Calibri" w:cs="Calibri"/>
                <w:color w:val="000000" w:themeColor="text1"/>
              </w:rPr>
              <w:t>advance</w:t>
            </w:r>
            <w:r w:rsidR="006A5AC0" w:rsidRPr="78C4367D">
              <w:rPr>
                <w:rFonts w:ascii="Calibri" w:eastAsia="Calibri" w:hAnsi="Calibri" w:cs="Calibri"/>
                <w:color w:val="000000" w:themeColor="text1"/>
              </w:rPr>
              <w:t xml:space="preserve"> in</w:t>
            </w:r>
            <w:r w:rsidR="4A5BA539" w:rsidRPr="78C4367D">
              <w:rPr>
                <w:rFonts w:ascii="Calibri" w:eastAsia="Calibri" w:hAnsi="Calibri" w:cs="Calibri"/>
                <w:color w:val="000000" w:themeColor="text1"/>
              </w:rPr>
              <w:t xml:space="preserve"> the workforce?</w:t>
            </w:r>
          </w:p>
        </w:tc>
      </w:tr>
    </w:tbl>
    <w:p w14:paraId="64687358" w14:textId="0EF2EA4E" w:rsidR="00217CEC" w:rsidRDefault="007E1517" w:rsidP="00C63213">
      <w:pPr>
        <w:spacing w:before="240"/>
      </w:pPr>
      <w:r>
        <w:t xml:space="preserve">Australia is experiencing a critical shortage of skilled workers across a range of industries. </w:t>
      </w:r>
      <w:r w:rsidR="000B3C88" w:rsidRPr="78C4367D">
        <w:rPr>
          <w:rFonts w:ascii="Calibri" w:eastAsia="Calibri" w:hAnsi="Calibri" w:cs="Calibri"/>
        </w:rPr>
        <w:t>Women are well represented in VET and</w:t>
      </w:r>
      <w:r w:rsidR="000B3C88">
        <w:t xml:space="preserve"> </w:t>
      </w:r>
      <w:r>
        <w:t>VET provides an opportunity for women to quickly learn practical and accredited skills to secure employment in occupations in demand. VET also offers an effective and flexible career pathway.</w:t>
      </w:r>
    </w:p>
    <w:p w14:paraId="3E9A54C3" w14:textId="02A99BD9" w:rsidR="00902DD1" w:rsidRDefault="00902DD1" w:rsidP="00902DD1">
      <w:pPr>
        <w:rPr>
          <w:rFonts w:ascii="Calibri" w:eastAsia="Calibri" w:hAnsi="Calibri" w:cs="Calibri"/>
          <w:b/>
          <w:bCs/>
        </w:rPr>
      </w:pPr>
      <w:r>
        <w:rPr>
          <w:rFonts w:ascii="Calibri" w:eastAsia="Calibri" w:hAnsi="Calibri" w:cs="Calibri"/>
          <w:b/>
          <w:bCs/>
        </w:rPr>
        <w:t>Key questions for discussion:</w:t>
      </w:r>
    </w:p>
    <w:tbl>
      <w:tblPr>
        <w:tblStyle w:val="DESE"/>
        <w:tblW w:w="9067" w:type="dxa"/>
        <w:tblLook w:val="04A0" w:firstRow="1" w:lastRow="0" w:firstColumn="1" w:lastColumn="0" w:noHBand="0" w:noVBand="1"/>
        <w:tblDescription w:val="Discussion paper questions"/>
      </w:tblPr>
      <w:tblGrid>
        <w:gridCol w:w="562"/>
        <w:gridCol w:w="8505"/>
      </w:tblGrid>
      <w:tr w:rsidR="00DE79A7" w:rsidRPr="00B100CC" w14:paraId="69A48A4B"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CA7537" w14:textId="77777777" w:rsidR="00DE79A7" w:rsidRPr="00B100CC" w:rsidRDefault="00DE79A7" w:rsidP="00DE79A7">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0BFFA689" w14:textId="77777777" w:rsidR="00DE79A7" w:rsidRPr="00B100CC" w:rsidRDefault="00DE79A7" w:rsidP="00DE79A7">
            <w:pPr>
              <w:spacing w:after="100"/>
              <w:cnfStyle w:val="100000000000" w:firstRow="1" w:lastRow="0" w:firstColumn="0" w:lastColumn="0" w:oddVBand="0" w:evenVBand="0" w:oddHBand="0" w:evenHBand="0" w:firstRowFirstColumn="0" w:firstRowLastColumn="0" w:lastRowFirstColumn="0" w:lastRowLastColumn="0"/>
            </w:pPr>
            <w:r>
              <w:t>Question</w:t>
            </w:r>
          </w:p>
        </w:tc>
      </w:tr>
      <w:tr w:rsidR="00DE79A7" w:rsidRPr="4A81C948" w14:paraId="32B684AC"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685A45BF" w14:textId="382C646E" w:rsidR="00DE79A7" w:rsidRDefault="1D3625C6" w:rsidP="00DE79A7">
            <w:pPr>
              <w:spacing w:after="0"/>
              <w:rPr>
                <w:rFonts w:ascii="Calibri" w:hAnsi="Calibri"/>
                <w:color w:val="FFFFFF" w:themeColor="background1"/>
              </w:rPr>
            </w:pPr>
            <w:r w:rsidRPr="78C4367D">
              <w:rPr>
                <w:rFonts w:ascii="Calibri" w:hAnsi="Calibri"/>
                <w:color w:val="FFFFFF" w:themeColor="background1"/>
              </w:rPr>
              <w:t>27</w:t>
            </w:r>
          </w:p>
        </w:tc>
        <w:tc>
          <w:tcPr>
            <w:tcW w:w="8505" w:type="dxa"/>
            <w:tcBorders>
              <w:left w:val="single" w:sz="4" w:space="0" w:color="FFFFFF" w:themeColor="background1"/>
            </w:tcBorders>
            <w:vAlign w:val="top"/>
          </w:tcPr>
          <w:p w14:paraId="6A329CCE" w14:textId="1D0E50C6" w:rsidR="00DE79A7" w:rsidRPr="4A81C948" w:rsidRDefault="536A6D5D" w:rsidP="00DE79A7">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00384689">
              <w:rPr>
                <w:rFonts w:ascii="Calibri" w:eastAsia="Calibri" w:hAnsi="Calibri" w:cs="Calibri"/>
                <w:color w:val="000000" w:themeColor="text1"/>
              </w:rPr>
              <w:t>What can we do to support and encourage women to seek a career via a VET pathway?</w:t>
            </w:r>
          </w:p>
        </w:tc>
      </w:tr>
      <w:tr w:rsidR="00DE79A7" w:rsidRPr="4A81C948" w14:paraId="6945218F"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1F0C7B4D" w14:textId="2CB951D5" w:rsidR="00DE79A7" w:rsidRDefault="1D3625C6" w:rsidP="00DE79A7">
            <w:pPr>
              <w:spacing w:after="0"/>
              <w:rPr>
                <w:rFonts w:ascii="Calibri" w:hAnsi="Calibri"/>
                <w:color w:val="FFFFFF" w:themeColor="background1"/>
              </w:rPr>
            </w:pPr>
            <w:r w:rsidRPr="78C4367D">
              <w:rPr>
                <w:rFonts w:ascii="Calibri" w:hAnsi="Calibri"/>
                <w:color w:val="FFFFFF" w:themeColor="background1"/>
              </w:rPr>
              <w:t>28</w:t>
            </w:r>
          </w:p>
        </w:tc>
        <w:tc>
          <w:tcPr>
            <w:tcW w:w="8505" w:type="dxa"/>
            <w:tcBorders>
              <w:left w:val="single" w:sz="4" w:space="0" w:color="FFFFFF" w:themeColor="background1"/>
            </w:tcBorders>
            <w:vAlign w:val="top"/>
          </w:tcPr>
          <w:p w14:paraId="3CE2F105" w14:textId="1BABCF37" w:rsidR="00DE79A7" w:rsidRPr="4A81C948" w:rsidRDefault="00DE79A7" w:rsidP="00DE79A7">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54B82817">
              <w:rPr>
                <w:rFonts w:ascii="Calibri" w:eastAsia="Calibri" w:hAnsi="Calibri" w:cs="Calibri"/>
                <w:color w:val="000000" w:themeColor="text1"/>
              </w:rPr>
              <w:t>I</w:t>
            </w:r>
            <w:r w:rsidRPr="4A81C948">
              <w:rPr>
                <w:rFonts w:ascii="Calibri" w:eastAsia="Calibri" w:hAnsi="Calibri" w:cs="Calibri"/>
                <w:color w:val="000000" w:themeColor="text1"/>
              </w:rPr>
              <w:t>s there an initiative or mechanism that you consider has been successful in supporting and encouraging women to pursue a career via a VET pathway?</w:t>
            </w:r>
          </w:p>
        </w:tc>
      </w:tr>
    </w:tbl>
    <w:p w14:paraId="24CACC46" w14:textId="742D8FF1" w:rsidR="00072A5B" w:rsidRDefault="00072A5B" w:rsidP="00072A5B">
      <w:pPr>
        <w:pStyle w:val="Heading1"/>
      </w:pPr>
      <w:bookmarkStart w:id="226" w:name="_Toc1509227091"/>
      <w:bookmarkStart w:id="227" w:name="_Toc1208403650"/>
      <w:bookmarkStart w:id="228" w:name="_Toc2059570541"/>
      <w:bookmarkStart w:id="229" w:name="_Toc469426127"/>
      <w:bookmarkStart w:id="230" w:name="_Toc1561681342"/>
      <w:bookmarkStart w:id="231" w:name="_Toc927873883"/>
      <w:bookmarkStart w:id="232" w:name="_Toc791362720"/>
      <w:bookmarkStart w:id="233" w:name="_Toc1102356108"/>
      <w:bookmarkStart w:id="234" w:name="_Toc295837446"/>
      <w:bookmarkStart w:id="235" w:name="_Toc262166609"/>
      <w:bookmarkStart w:id="236" w:name="_Toc117246152"/>
      <w:bookmarkStart w:id="237" w:name="_Toc120101389"/>
      <w:r>
        <w:t>Next steps</w:t>
      </w:r>
      <w:bookmarkEnd w:id="226"/>
      <w:bookmarkEnd w:id="227"/>
      <w:bookmarkEnd w:id="228"/>
      <w:bookmarkEnd w:id="229"/>
      <w:bookmarkEnd w:id="230"/>
      <w:bookmarkEnd w:id="231"/>
      <w:bookmarkEnd w:id="232"/>
      <w:bookmarkEnd w:id="233"/>
      <w:bookmarkEnd w:id="234"/>
      <w:bookmarkEnd w:id="235"/>
      <w:bookmarkEnd w:id="236"/>
      <w:bookmarkEnd w:id="237"/>
    </w:p>
    <w:p w14:paraId="130B6E67" w14:textId="3B1F22DE" w:rsidR="00072A5B" w:rsidRPr="00DA0793" w:rsidRDefault="00072A5B" w:rsidP="00072A5B">
      <w:r>
        <w:t xml:space="preserve">You are invited to provide a submission </w:t>
      </w:r>
      <w:r w:rsidR="00465562">
        <w:t xml:space="preserve">by 5pm AEDT, </w:t>
      </w:r>
      <w:r w:rsidR="00FB3A73">
        <w:t>Thursday 22</w:t>
      </w:r>
      <w:r w:rsidR="001746BD">
        <w:t xml:space="preserve"> </w:t>
      </w:r>
      <w:r>
        <w:t>December 2022. More information is available at</w:t>
      </w:r>
      <w:r w:rsidR="00465562">
        <w:t xml:space="preserve"> </w:t>
      </w:r>
      <w:hyperlink r:id="rId28">
        <w:r w:rsidR="00F02971" w:rsidRPr="78C4367D">
          <w:rPr>
            <w:rStyle w:val="Hyperlink"/>
          </w:rPr>
          <w:t>https://www.dewr.gov.au/australian-skills-guarantee</w:t>
        </w:r>
      </w:hyperlink>
      <w:r w:rsidR="00465562">
        <w:t xml:space="preserve"> </w:t>
      </w:r>
      <w:r>
        <w:t xml:space="preserve">and if you have any further questions about this </w:t>
      </w:r>
      <w:r w:rsidR="000E25D3">
        <w:t xml:space="preserve">discussion </w:t>
      </w:r>
      <w:r>
        <w:t xml:space="preserve">paper, please contact the department at </w:t>
      </w:r>
      <w:hyperlink r:id="rId29">
        <w:r w:rsidRPr="78C4367D">
          <w:rPr>
            <w:rStyle w:val="Hyperlink"/>
          </w:rPr>
          <w:t>asg@dewr.gov.au</w:t>
        </w:r>
      </w:hyperlink>
      <w:r>
        <w:t>.</w:t>
      </w:r>
    </w:p>
    <w:p w14:paraId="38971825" w14:textId="77777777" w:rsidR="00072A5B" w:rsidRDefault="00072A5B" w:rsidP="00072A5B">
      <w:pPr>
        <w:pStyle w:val="Heading1"/>
      </w:pPr>
      <w:bookmarkStart w:id="238" w:name="_Toc519667872"/>
      <w:bookmarkStart w:id="239" w:name="_Toc1796288188"/>
      <w:bookmarkStart w:id="240" w:name="_Toc846998346"/>
      <w:bookmarkStart w:id="241" w:name="_Toc296358411"/>
      <w:bookmarkStart w:id="242" w:name="_Toc1895407158"/>
      <w:bookmarkStart w:id="243" w:name="_Toc510498734"/>
      <w:bookmarkStart w:id="244" w:name="_Toc1981685408"/>
      <w:bookmarkStart w:id="245" w:name="_Toc537146992"/>
      <w:bookmarkStart w:id="246" w:name="_Toc1682735782"/>
      <w:bookmarkStart w:id="247" w:name="_Toc701965129"/>
      <w:bookmarkStart w:id="248" w:name="_Toc117246153"/>
      <w:bookmarkStart w:id="249" w:name="_Toc120101390"/>
      <w:r>
        <w:t>Summary of discussion questions</w:t>
      </w:r>
      <w:bookmarkEnd w:id="238"/>
      <w:bookmarkEnd w:id="239"/>
      <w:bookmarkEnd w:id="240"/>
      <w:bookmarkEnd w:id="241"/>
      <w:bookmarkEnd w:id="242"/>
      <w:bookmarkEnd w:id="243"/>
      <w:bookmarkEnd w:id="244"/>
      <w:bookmarkEnd w:id="245"/>
      <w:bookmarkEnd w:id="246"/>
      <w:bookmarkEnd w:id="247"/>
      <w:bookmarkEnd w:id="248"/>
      <w:bookmarkEnd w:id="249"/>
    </w:p>
    <w:p w14:paraId="17861C29" w14:textId="77777777" w:rsidR="00072A5B" w:rsidRDefault="00072A5B" w:rsidP="00072A5B">
      <w:r>
        <w:t>When answering the following questions, we ask that you do so from the perspective of needing to develop a Guarantee that can be applied generally across a range of projects and implementation approaches.</w:t>
      </w:r>
    </w:p>
    <w:p w14:paraId="68D7404E" w14:textId="4B92D406" w:rsidR="00072A5B" w:rsidRDefault="00072A5B" w:rsidP="005E2221">
      <w:pPr>
        <w:spacing w:after="0"/>
        <w:rPr>
          <w:b/>
          <w:bCs/>
        </w:rPr>
      </w:pPr>
      <w:r w:rsidRPr="5366A694">
        <w:rPr>
          <w:b/>
          <w:bCs/>
        </w:rPr>
        <w:t>Chapter 1</w:t>
      </w:r>
      <w:r>
        <w:rPr>
          <w:b/>
          <w:bCs/>
        </w:rPr>
        <w:t xml:space="preserve"> </w:t>
      </w:r>
      <w:r w:rsidR="00C44973">
        <w:rPr>
          <w:b/>
          <w:bCs/>
        </w:rPr>
        <w:t>– Types of projects</w:t>
      </w:r>
    </w:p>
    <w:tbl>
      <w:tblPr>
        <w:tblStyle w:val="DESE"/>
        <w:tblW w:w="9067" w:type="dxa"/>
        <w:tblLook w:val="04A0" w:firstRow="1" w:lastRow="0" w:firstColumn="1" w:lastColumn="0" w:noHBand="0" w:noVBand="1"/>
        <w:tblDescription w:val="Discussion paper questions"/>
      </w:tblPr>
      <w:tblGrid>
        <w:gridCol w:w="562"/>
        <w:gridCol w:w="8505"/>
      </w:tblGrid>
      <w:tr w:rsidR="00A30CCF" w14:paraId="2B0D8BE6" w14:textId="77777777" w:rsidTr="6AD2B2D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505393" w14:textId="77777777" w:rsidR="00A30CCF" w:rsidRPr="00B100CC" w:rsidRDefault="00A30CCF" w:rsidP="00902DD1">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69A2F13C" w14:textId="77777777" w:rsidR="00A30CCF" w:rsidRPr="00B100CC" w:rsidRDefault="00A30CCF" w:rsidP="00902DD1">
            <w:pPr>
              <w:spacing w:after="100"/>
              <w:cnfStyle w:val="100000000000" w:firstRow="1" w:lastRow="0" w:firstColumn="0" w:lastColumn="0" w:oddVBand="0" w:evenVBand="0" w:oddHBand="0" w:evenHBand="0" w:firstRowFirstColumn="0" w:firstRowLastColumn="0" w:lastRowFirstColumn="0" w:lastRowLastColumn="0"/>
            </w:pPr>
            <w:r>
              <w:t>Question</w:t>
            </w:r>
          </w:p>
        </w:tc>
      </w:tr>
      <w:tr w:rsidR="00A30CCF" w14:paraId="7A9CB508" w14:textId="77777777" w:rsidTr="6AD2B2D2">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41BCCF1F" w14:textId="77777777" w:rsidR="00A30CCF" w:rsidRPr="0017294C" w:rsidRDefault="00A30CCF" w:rsidP="00902DD1">
            <w:pPr>
              <w:spacing w:after="100"/>
              <w:rPr>
                <w:rFonts w:ascii="Calibri" w:hAnsi="Calibri"/>
                <w:color w:val="FFFFFF" w:themeColor="background1"/>
              </w:rPr>
            </w:pPr>
            <w:r>
              <w:rPr>
                <w:rFonts w:ascii="Calibri" w:hAnsi="Calibri"/>
                <w:color w:val="FFFFFF" w:themeColor="background1"/>
              </w:rPr>
              <w:t>1</w:t>
            </w:r>
          </w:p>
        </w:tc>
        <w:tc>
          <w:tcPr>
            <w:tcW w:w="8505" w:type="dxa"/>
            <w:tcBorders>
              <w:top w:val="single" w:sz="4" w:space="0" w:color="FFFFFF" w:themeColor="background1"/>
              <w:left w:val="single" w:sz="4" w:space="0" w:color="FFFFFF" w:themeColor="background1"/>
            </w:tcBorders>
            <w:vAlign w:val="top"/>
          </w:tcPr>
          <w:p w14:paraId="0362A691" w14:textId="0115AB63" w:rsidR="00A30CCF" w:rsidRPr="00E87BC6" w:rsidRDefault="6E9DE6C1" w:rsidP="6AD2B2D2">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6AD2B2D2">
              <w:rPr>
                <w:color w:val="000000" w:themeColor="text1"/>
              </w:rPr>
              <w:t>What are the benefits and barriers associated with applying the Guarantee to major construction, IT, services contracts or new clean and renewable energy projects?</w:t>
            </w:r>
            <w:r w:rsidRPr="6AD2B2D2">
              <w:rPr>
                <w:rFonts w:ascii="Calibri" w:eastAsia="Calibri" w:hAnsi="Calibri" w:cs="Calibri"/>
              </w:rPr>
              <w:t xml:space="preserve"> </w:t>
            </w:r>
          </w:p>
        </w:tc>
      </w:tr>
      <w:tr w:rsidR="00A30CCF" w14:paraId="5D117CF8" w14:textId="77777777" w:rsidTr="6AD2B2D2">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68D9E220" w14:textId="77777777" w:rsidR="00A30CCF" w:rsidRPr="0017294C" w:rsidRDefault="00A30CCF" w:rsidP="00902DD1">
            <w:pPr>
              <w:spacing w:beforeAutospacing="0" w:after="0" w:afterAutospacing="0"/>
              <w:rPr>
                <w:rFonts w:ascii="Calibri" w:hAnsi="Calibri"/>
                <w:color w:val="FFFFFF" w:themeColor="background1"/>
              </w:rPr>
            </w:pPr>
            <w:r>
              <w:rPr>
                <w:rFonts w:ascii="Calibri" w:hAnsi="Calibri"/>
                <w:color w:val="FFFFFF" w:themeColor="background1"/>
              </w:rPr>
              <w:t>2</w:t>
            </w:r>
          </w:p>
        </w:tc>
        <w:tc>
          <w:tcPr>
            <w:tcW w:w="8505" w:type="dxa"/>
            <w:tcBorders>
              <w:left w:val="single" w:sz="4" w:space="0" w:color="FFFFFF" w:themeColor="background1"/>
            </w:tcBorders>
            <w:vAlign w:val="top"/>
          </w:tcPr>
          <w:p w14:paraId="09C4C6F6" w14:textId="1ECCA09E" w:rsidR="00A30CCF" w:rsidRPr="00E87BC6" w:rsidRDefault="5AE36208" w:rsidP="6AD2B2D2">
            <w:pPr>
              <w:spacing w:beforeAutospacing="0" w:after="100" w:afterAutospacing="0"/>
              <w:cnfStyle w:val="000000000000" w:firstRow="0" w:lastRow="0" w:firstColumn="0" w:lastColumn="0" w:oddVBand="0" w:evenVBand="0" w:oddHBand="0" w:evenHBand="0" w:firstRowFirstColumn="0" w:firstRowLastColumn="0" w:lastRowFirstColumn="0" w:lastRowLastColumn="0"/>
            </w:pPr>
            <w:r w:rsidRPr="6AD2B2D2">
              <w:rPr>
                <w:rFonts w:ascii="Calibri" w:eastAsia="Calibri" w:hAnsi="Calibri" w:cs="Calibri"/>
              </w:rPr>
              <w:t xml:space="preserve">In addition to those listed in Chapter 1, are there any other types of projects or industries the Guarantee </w:t>
            </w:r>
            <w:r w:rsidR="00F2347E">
              <w:rPr>
                <w:rFonts w:ascii="Calibri" w:eastAsia="Calibri" w:hAnsi="Calibri" w:cs="Calibri"/>
              </w:rPr>
              <w:t>sh</w:t>
            </w:r>
            <w:r w:rsidR="002460AA">
              <w:rPr>
                <w:rFonts w:ascii="Calibri" w:eastAsia="Calibri" w:hAnsi="Calibri" w:cs="Calibri"/>
              </w:rPr>
              <w:t>o</w:t>
            </w:r>
            <w:r w:rsidRPr="6AD2B2D2">
              <w:rPr>
                <w:rFonts w:ascii="Calibri" w:eastAsia="Calibri" w:hAnsi="Calibri" w:cs="Calibri"/>
              </w:rPr>
              <w:t>uld be applied to?</w:t>
            </w:r>
          </w:p>
        </w:tc>
      </w:tr>
    </w:tbl>
    <w:p w14:paraId="3056710F" w14:textId="21949E51" w:rsidR="009919B5" w:rsidRDefault="009919B5" w:rsidP="00EC49B8">
      <w:pPr>
        <w:spacing w:before="240" w:after="0"/>
        <w:rPr>
          <w:b/>
          <w:bCs/>
        </w:rPr>
      </w:pPr>
      <w:r w:rsidRPr="5366A694">
        <w:rPr>
          <w:b/>
          <w:bCs/>
        </w:rPr>
        <w:t>Chapter 2</w:t>
      </w:r>
      <w:r>
        <w:rPr>
          <w:b/>
          <w:bCs/>
        </w:rPr>
        <w:t xml:space="preserve"> </w:t>
      </w:r>
      <w:r w:rsidR="00C44973">
        <w:rPr>
          <w:b/>
          <w:bCs/>
        </w:rPr>
        <w:t>– The financial thresholds for major projects</w:t>
      </w:r>
    </w:p>
    <w:tbl>
      <w:tblPr>
        <w:tblStyle w:val="DESE"/>
        <w:tblW w:w="9067" w:type="dxa"/>
        <w:tblLook w:val="04A0" w:firstRow="1" w:lastRow="0" w:firstColumn="1" w:lastColumn="0" w:noHBand="0" w:noVBand="1"/>
        <w:tblDescription w:val="Discussion paper questions"/>
      </w:tblPr>
      <w:tblGrid>
        <w:gridCol w:w="562"/>
        <w:gridCol w:w="8505"/>
      </w:tblGrid>
      <w:tr w:rsidR="0083479B" w14:paraId="05BC73C3" w14:textId="77777777" w:rsidTr="00902DD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AFD6DB" w14:textId="77777777" w:rsidR="0083479B" w:rsidRPr="00B100CC" w:rsidRDefault="0083479B" w:rsidP="00902DD1">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0CD29575" w14:textId="77777777" w:rsidR="0083479B" w:rsidRPr="00B100CC" w:rsidRDefault="0083479B" w:rsidP="00902DD1">
            <w:pPr>
              <w:spacing w:after="100"/>
              <w:cnfStyle w:val="100000000000" w:firstRow="1" w:lastRow="0" w:firstColumn="0" w:lastColumn="0" w:oddVBand="0" w:evenVBand="0" w:oddHBand="0" w:evenHBand="0" w:firstRowFirstColumn="0" w:firstRowLastColumn="0" w:lastRowFirstColumn="0" w:lastRowLastColumn="0"/>
            </w:pPr>
            <w:r>
              <w:t>Question</w:t>
            </w:r>
          </w:p>
        </w:tc>
      </w:tr>
      <w:tr w:rsidR="0083479B" w14:paraId="6CFF6224" w14:textId="77777777" w:rsidTr="00902DD1">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29B1B38B" w14:textId="77777777" w:rsidR="0083479B" w:rsidRPr="0017294C" w:rsidRDefault="0083479B" w:rsidP="00902DD1">
            <w:pPr>
              <w:spacing w:after="100"/>
              <w:rPr>
                <w:rFonts w:ascii="Calibri" w:hAnsi="Calibri"/>
                <w:color w:val="FFFFFF" w:themeColor="background1"/>
              </w:rPr>
            </w:pPr>
            <w:r>
              <w:rPr>
                <w:rFonts w:ascii="Calibri" w:hAnsi="Calibri"/>
                <w:color w:val="FFFFFF" w:themeColor="background1"/>
              </w:rPr>
              <w:t>3</w:t>
            </w:r>
          </w:p>
        </w:tc>
        <w:tc>
          <w:tcPr>
            <w:tcW w:w="8505" w:type="dxa"/>
            <w:tcBorders>
              <w:top w:val="single" w:sz="4" w:space="0" w:color="FFFFFF" w:themeColor="background1"/>
              <w:left w:val="single" w:sz="4" w:space="0" w:color="FFFFFF" w:themeColor="background1"/>
            </w:tcBorders>
            <w:vAlign w:val="top"/>
          </w:tcPr>
          <w:p w14:paraId="21419BB6" w14:textId="637829E3" w:rsidR="0083479B" w:rsidRPr="00E87BC6" w:rsidRDefault="0083479B" w:rsidP="00902DD1">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7AC57979">
              <w:rPr>
                <w:rFonts w:ascii="Calibri" w:eastAsia="Calibri" w:hAnsi="Calibri" w:cs="Calibri"/>
              </w:rPr>
              <w:t xml:space="preserve">Of the </w:t>
            </w:r>
            <w:r>
              <w:t>two options</w:t>
            </w:r>
            <w:r w:rsidRPr="7AC57979">
              <w:rPr>
                <w:rFonts w:ascii="Calibri" w:eastAsia="Calibri" w:hAnsi="Calibri" w:cs="Calibri"/>
              </w:rPr>
              <w:t>, outlined in Chapter 2, for the financial threshold for the Guarantee, which is preferable and why?</w:t>
            </w:r>
            <w:r w:rsidR="001D4A12">
              <w:rPr>
                <w:rFonts w:ascii="Calibri" w:eastAsia="Calibri" w:hAnsi="Calibri" w:cs="Calibri"/>
              </w:rPr>
              <w:t xml:space="preserve"> </w:t>
            </w:r>
            <w:r w:rsidR="001D4A12">
              <w:t>Do you agree with the proposal for one financial threshold across a range of types of projects, including construction and IT projects?</w:t>
            </w:r>
          </w:p>
        </w:tc>
      </w:tr>
      <w:tr w:rsidR="0083479B" w14:paraId="41D21B95" w14:textId="77777777" w:rsidTr="00902DD1">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1C64F4CB" w14:textId="77777777" w:rsidR="0083479B" w:rsidRPr="0017294C" w:rsidRDefault="0083479B" w:rsidP="00902DD1">
            <w:pPr>
              <w:spacing w:beforeAutospacing="0" w:after="0" w:afterAutospacing="0"/>
              <w:rPr>
                <w:rFonts w:ascii="Calibri" w:hAnsi="Calibri"/>
                <w:color w:val="FFFFFF" w:themeColor="background1"/>
              </w:rPr>
            </w:pPr>
            <w:r>
              <w:rPr>
                <w:rFonts w:ascii="Calibri" w:hAnsi="Calibri"/>
                <w:color w:val="FFFFFF" w:themeColor="background1"/>
              </w:rPr>
              <w:t>4</w:t>
            </w:r>
          </w:p>
        </w:tc>
        <w:tc>
          <w:tcPr>
            <w:tcW w:w="8505" w:type="dxa"/>
            <w:tcBorders>
              <w:left w:val="single" w:sz="4" w:space="0" w:color="FFFFFF" w:themeColor="background1"/>
            </w:tcBorders>
            <w:vAlign w:val="top"/>
          </w:tcPr>
          <w:p w14:paraId="680FD102" w14:textId="0A0A613D" w:rsidR="0083479B" w:rsidRPr="00E87BC6" w:rsidRDefault="0083479B" w:rsidP="00902DD1">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5366A694">
              <w:rPr>
                <w:rFonts w:ascii="Calibri" w:eastAsia="Calibri" w:hAnsi="Calibri" w:cs="Calibri"/>
              </w:rPr>
              <w:t>What has been your experience of achieving workforce targets set in existing procurement policies? What is the size of the project and/or business?</w:t>
            </w:r>
          </w:p>
        </w:tc>
      </w:tr>
      <w:tr w:rsidR="0083479B" w14:paraId="0BF96B22" w14:textId="77777777" w:rsidTr="00902DD1">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34790583" w14:textId="77777777" w:rsidR="0083479B" w:rsidRDefault="0083479B" w:rsidP="00902DD1">
            <w:pPr>
              <w:spacing w:after="0"/>
              <w:rPr>
                <w:rFonts w:ascii="Calibri" w:hAnsi="Calibri"/>
                <w:color w:val="FFFFFF" w:themeColor="background1"/>
              </w:rPr>
            </w:pPr>
            <w:r>
              <w:rPr>
                <w:rFonts w:ascii="Calibri" w:hAnsi="Calibri"/>
                <w:color w:val="FFFFFF" w:themeColor="background1"/>
              </w:rPr>
              <w:t>5</w:t>
            </w:r>
          </w:p>
        </w:tc>
        <w:tc>
          <w:tcPr>
            <w:tcW w:w="8505" w:type="dxa"/>
            <w:tcBorders>
              <w:left w:val="single" w:sz="4" w:space="0" w:color="FFFFFF" w:themeColor="background1"/>
            </w:tcBorders>
            <w:vAlign w:val="top"/>
          </w:tcPr>
          <w:p w14:paraId="21D53906" w14:textId="77777777" w:rsidR="0083479B" w:rsidRPr="4A81C948" w:rsidRDefault="0083479B" w:rsidP="00902DD1">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4A81C948">
              <w:rPr>
                <w:color w:val="000000" w:themeColor="text1"/>
              </w:rPr>
              <w:t>What are the possible impacts of the financial thresholds proposed on projects in rural and regional Australia?</w:t>
            </w:r>
          </w:p>
        </w:tc>
      </w:tr>
    </w:tbl>
    <w:p w14:paraId="12FAF30D" w14:textId="36D75AC6" w:rsidR="00312639" w:rsidRDefault="00312639" w:rsidP="001B40C2">
      <w:pPr>
        <w:spacing w:before="240" w:after="0"/>
        <w:rPr>
          <w:b/>
          <w:bCs/>
        </w:rPr>
      </w:pPr>
      <w:r w:rsidRPr="5366A694">
        <w:rPr>
          <w:b/>
          <w:bCs/>
        </w:rPr>
        <w:t>Chapter 3</w:t>
      </w:r>
      <w:r>
        <w:rPr>
          <w:b/>
          <w:bCs/>
        </w:rPr>
        <w:t xml:space="preserve"> </w:t>
      </w:r>
      <w:r w:rsidR="00C44973">
        <w:rPr>
          <w:b/>
          <w:bCs/>
        </w:rPr>
        <w:t>– One in 10 target</w:t>
      </w:r>
    </w:p>
    <w:tbl>
      <w:tblPr>
        <w:tblStyle w:val="DESE"/>
        <w:tblW w:w="9067" w:type="dxa"/>
        <w:tblLook w:val="04A0" w:firstRow="1" w:lastRow="0" w:firstColumn="1" w:lastColumn="0" w:noHBand="0" w:noVBand="1"/>
        <w:tblDescription w:val="Discussion paper questions"/>
      </w:tblPr>
      <w:tblGrid>
        <w:gridCol w:w="562"/>
        <w:gridCol w:w="8505"/>
      </w:tblGrid>
      <w:tr w:rsidR="00483844" w14:paraId="5A786BB0" w14:textId="77777777" w:rsidTr="00902DD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5E39ED" w14:textId="77777777" w:rsidR="00483844" w:rsidRPr="00B100CC" w:rsidRDefault="00483844" w:rsidP="00902DD1">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33E1048D" w14:textId="77777777" w:rsidR="00483844" w:rsidRPr="00B100CC" w:rsidRDefault="00483844" w:rsidP="00902DD1">
            <w:pPr>
              <w:spacing w:after="100"/>
              <w:cnfStyle w:val="100000000000" w:firstRow="1" w:lastRow="0" w:firstColumn="0" w:lastColumn="0" w:oddVBand="0" w:evenVBand="0" w:oddHBand="0" w:evenHBand="0" w:firstRowFirstColumn="0" w:firstRowLastColumn="0" w:lastRowFirstColumn="0" w:lastRowLastColumn="0"/>
            </w:pPr>
            <w:r>
              <w:t>Question</w:t>
            </w:r>
          </w:p>
        </w:tc>
      </w:tr>
      <w:tr w:rsidR="00483844" w14:paraId="6711CDC9" w14:textId="77777777" w:rsidTr="00902DD1">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58C8304E" w14:textId="77777777" w:rsidR="00483844" w:rsidRPr="0017294C" w:rsidRDefault="00483844" w:rsidP="00902DD1">
            <w:pPr>
              <w:spacing w:after="100"/>
              <w:rPr>
                <w:rFonts w:ascii="Calibri" w:hAnsi="Calibri"/>
                <w:color w:val="FFFFFF" w:themeColor="background1"/>
              </w:rPr>
            </w:pPr>
            <w:r>
              <w:rPr>
                <w:rFonts w:ascii="Calibri" w:hAnsi="Calibri"/>
                <w:color w:val="FFFFFF" w:themeColor="background1"/>
              </w:rPr>
              <w:t>6</w:t>
            </w:r>
          </w:p>
        </w:tc>
        <w:tc>
          <w:tcPr>
            <w:tcW w:w="8505" w:type="dxa"/>
            <w:tcBorders>
              <w:top w:val="single" w:sz="4" w:space="0" w:color="FFFFFF" w:themeColor="background1"/>
              <w:left w:val="single" w:sz="4" w:space="0" w:color="FFFFFF" w:themeColor="background1"/>
            </w:tcBorders>
            <w:vAlign w:val="top"/>
          </w:tcPr>
          <w:p w14:paraId="12F1F35C" w14:textId="6E582796" w:rsidR="00483844" w:rsidRPr="00E87BC6" w:rsidRDefault="00483844" w:rsidP="00902DD1">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73513313">
              <w:rPr>
                <w:rFonts w:eastAsiaTheme="minorEastAsia"/>
                <w:color w:val="000000" w:themeColor="text1"/>
              </w:rPr>
              <w:t>For major construction projects, w</w:t>
            </w:r>
            <w:r w:rsidRPr="4A81C948">
              <w:rPr>
                <w:rFonts w:eastAsiaTheme="minorEastAsia"/>
                <w:color w:val="000000" w:themeColor="text1"/>
              </w:rPr>
              <w:t xml:space="preserve">hat are the </w:t>
            </w:r>
            <w:r w:rsidRPr="4A81C948">
              <w:rPr>
                <w:color w:val="000000" w:themeColor="text1"/>
              </w:rPr>
              <w:t>benefits and barriers of the one in 10 target being calculated using the total labour hours of the workforce, including sub-contractors?</w:t>
            </w:r>
            <w:r w:rsidR="001A42BA">
              <w:rPr>
                <w:color w:val="000000" w:themeColor="text1"/>
              </w:rPr>
              <w:t xml:space="preserve"> Are there any alternative approaches to calculating the one in 10 target that would address the barriers you have identified?</w:t>
            </w:r>
          </w:p>
        </w:tc>
      </w:tr>
      <w:tr w:rsidR="00483844" w14:paraId="2C7D19DC" w14:textId="77777777" w:rsidTr="00902DD1">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31108F28" w14:textId="77777777" w:rsidR="00483844" w:rsidRPr="0017294C" w:rsidRDefault="00483844" w:rsidP="00902DD1">
            <w:pPr>
              <w:spacing w:beforeAutospacing="0" w:after="0" w:afterAutospacing="0"/>
              <w:rPr>
                <w:rFonts w:ascii="Calibri" w:hAnsi="Calibri"/>
                <w:color w:val="FFFFFF" w:themeColor="background1"/>
              </w:rPr>
            </w:pPr>
            <w:r>
              <w:rPr>
                <w:rFonts w:ascii="Calibri" w:hAnsi="Calibri"/>
                <w:color w:val="FFFFFF" w:themeColor="background1"/>
              </w:rPr>
              <w:t>7</w:t>
            </w:r>
          </w:p>
        </w:tc>
        <w:tc>
          <w:tcPr>
            <w:tcW w:w="8505" w:type="dxa"/>
            <w:tcBorders>
              <w:left w:val="single" w:sz="4" w:space="0" w:color="FFFFFF" w:themeColor="background1"/>
            </w:tcBorders>
            <w:vAlign w:val="top"/>
          </w:tcPr>
          <w:p w14:paraId="6350C407" w14:textId="77777777" w:rsidR="00483844" w:rsidRPr="00E87BC6" w:rsidRDefault="00483844" w:rsidP="00902DD1">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79E1547D">
              <w:rPr>
                <w:color w:val="000000" w:themeColor="text1"/>
              </w:rPr>
              <w:t xml:space="preserve">How should paid cadets be included in the Guarantee? </w:t>
            </w:r>
            <w:r w:rsidRPr="75560E40">
              <w:rPr>
                <w:color w:val="000000" w:themeColor="text1"/>
              </w:rPr>
              <w:t>Do you agree with the proposed definition?</w:t>
            </w:r>
          </w:p>
        </w:tc>
      </w:tr>
      <w:tr w:rsidR="00483844" w14:paraId="30EB1E19" w14:textId="77777777" w:rsidTr="00902DD1">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5655D42D" w14:textId="77777777" w:rsidR="00483844" w:rsidRDefault="00483844" w:rsidP="00902DD1">
            <w:pPr>
              <w:spacing w:after="0"/>
              <w:rPr>
                <w:rFonts w:ascii="Calibri" w:hAnsi="Calibri"/>
                <w:color w:val="FFFFFF" w:themeColor="background1"/>
              </w:rPr>
            </w:pPr>
            <w:r>
              <w:rPr>
                <w:rFonts w:ascii="Calibri" w:hAnsi="Calibri"/>
                <w:color w:val="FFFFFF" w:themeColor="background1"/>
              </w:rPr>
              <w:t>8</w:t>
            </w:r>
          </w:p>
        </w:tc>
        <w:tc>
          <w:tcPr>
            <w:tcW w:w="8505" w:type="dxa"/>
            <w:tcBorders>
              <w:left w:val="single" w:sz="4" w:space="0" w:color="FFFFFF" w:themeColor="background1"/>
            </w:tcBorders>
            <w:vAlign w:val="top"/>
          </w:tcPr>
          <w:p w14:paraId="35B9B896" w14:textId="5AC89236" w:rsidR="00483844" w:rsidRPr="4A81C948" w:rsidRDefault="00483844" w:rsidP="00902DD1">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4D24FCA8">
              <w:rPr>
                <w:color w:val="000000" w:themeColor="text1"/>
              </w:rPr>
              <w:t xml:space="preserve">What are the challenges </w:t>
            </w:r>
            <w:r w:rsidR="00E43155">
              <w:rPr>
                <w:color w:val="000000" w:themeColor="text1"/>
              </w:rPr>
              <w:t>or support needed</w:t>
            </w:r>
            <w:r w:rsidRPr="4D24FCA8">
              <w:rPr>
                <w:color w:val="000000" w:themeColor="text1"/>
              </w:rPr>
              <w:t xml:space="preserve"> to meet the one in 10 target for major </w:t>
            </w:r>
            <w:r w:rsidR="00E43155">
              <w:rPr>
                <w:color w:val="000000" w:themeColor="text1"/>
              </w:rPr>
              <w:t xml:space="preserve">projects </w:t>
            </w:r>
            <w:r w:rsidR="00B56B8F">
              <w:rPr>
                <w:color w:val="000000" w:themeColor="text1"/>
              </w:rPr>
              <w:t>by small to medium enterprises and/or</w:t>
            </w:r>
            <w:r w:rsidRPr="4D24FCA8">
              <w:rPr>
                <w:color w:val="000000" w:themeColor="text1"/>
              </w:rPr>
              <w:t xml:space="preserve"> in rural and regional areas?</w:t>
            </w:r>
          </w:p>
        </w:tc>
      </w:tr>
      <w:tr w:rsidR="00483844" w14:paraId="18D2FABD" w14:textId="77777777" w:rsidTr="00902DD1">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46EE631F" w14:textId="77777777" w:rsidR="00483844" w:rsidRDefault="00483844" w:rsidP="00902DD1">
            <w:pPr>
              <w:spacing w:after="0"/>
              <w:rPr>
                <w:rFonts w:ascii="Calibri" w:hAnsi="Calibri"/>
                <w:color w:val="FFFFFF" w:themeColor="background1"/>
              </w:rPr>
            </w:pPr>
            <w:r>
              <w:rPr>
                <w:rFonts w:ascii="Calibri" w:hAnsi="Calibri"/>
                <w:color w:val="FFFFFF" w:themeColor="background1"/>
              </w:rPr>
              <w:t>9</w:t>
            </w:r>
          </w:p>
        </w:tc>
        <w:tc>
          <w:tcPr>
            <w:tcW w:w="8505" w:type="dxa"/>
            <w:tcBorders>
              <w:left w:val="single" w:sz="4" w:space="0" w:color="FFFFFF" w:themeColor="background1"/>
            </w:tcBorders>
            <w:vAlign w:val="top"/>
          </w:tcPr>
          <w:p w14:paraId="425D8563" w14:textId="2DACF7ED" w:rsidR="00483844" w:rsidRPr="4A81C948" w:rsidRDefault="00483844" w:rsidP="00902DD1">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For projects outside of construction, </w:t>
            </w:r>
            <w:r w:rsidRPr="53749180">
              <w:rPr>
                <w:color w:val="000000" w:themeColor="text1"/>
              </w:rPr>
              <w:t>should</w:t>
            </w:r>
            <w:r>
              <w:rPr>
                <w:color w:val="000000" w:themeColor="text1"/>
              </w:rPr>
              <w:t xml:space="preserve"> the Guarantee </w:t>
            </w:r>
            <w:r w:rsidRPr="797CAC98">
              <w:rPr>
                <w:color w:val="000000" w:themeColor="text1"/>
              </w:rPr>
              <w:t xml:space="preserve">apply </w:t>
            </w:r>
            <w:r w:rsidRPr="68FA55D9">
              <w:rPr>
                <w:color w:val="000000" w:themeColor="text1"/>
              </w:rPr>
              <w:t xml:space="preserve">to </w:t>
            </w:r>
            <w:r>
              <w:rPr>
                <w:color w:val="000000" w:themeColor="text1"/>
              </w:rPr>
              <w:t xml:space="preserve">a broader definition of a ‘learning worker’ </w:t>
            </w:r>
            <w:r w:rsidR="00B56B8F">
              <w:rPr>
                <w:color w:val="000000" w:themeColor="text1"/>
              </w:rPr>
              <w:t>(Option 1)</w:t>
            </w:r>
            <w:r>
              <w:rPr>
                <w:color w:val="000000" w:themeColor="text1"/>
              </w:rPr>
              <w:t>? What are the benefits and risks associated with allowing the Guarantee to be applied differently on a project</w:t>
            </w:r>
            <w:r w:rsidRPr="6938C103">
              <w:rPr>
                <w:color w:val="000000" w:themeColor="text1"/>
              </w:rPr>
              <w:t>-</w:t>
            </w:r>
            <w:r>
              <w:rPr>
                <w:color w:val="000000" w:themeColor="text1"/>
              </w:rPr>
              <w:t>by</w:t>
            </w:r>
            <w:r w:rsidRPr="6938C103">
              <w:rPr>
                <w:color w:val="000000" w:themeColor="text1"/>
              </w:rPr>
              <w:t>-</w:t>
            </w:r>
            <w:r>
              <w:rPr>
                <w:color w:val="000000" w:themeColor="text1"/>
              </w:rPr>
              <w:t xml:space="preserve">project basis </w:t>
            </w:r>
            <w:r w:rsidR="00B56B8F">
              <w:rPr>
                <w:color w:val="000000" w:themeColor="text1"/>
              </w:rPr>
              <w:t>(Option 2)</w:t>
            </w:r>
            <w:r>
              <w:rPr>
                <w:color w:val="000000" w:themeColor="text1"/>
              </w:rPr>
              <w:t>?</w:t>
            </w:r>
          </w:p>
        </w:tc>
      </w:tr>
    </w:tbl>
    <w:p w14:paraId="334961B7" w14:textId="68D7172C" w:rsidR="00C44973" w:rsidRDefault="001F6932" w:rsidP="001B40C2">
      <w:pPr>
        <w:spacing w:before="240" w:after="0"/>
        <w:rPr>
          <w:b/>
          <w:bCs/>
        </w:rPr>
      </w:pPr>
      <w:r w:rsidRPr="5366A694">
        <w:rPr>
          <w:b/>
          <w:bCs/>
        </w:rPr>
        <w:t>Chapter 4</w:t>
      </w:r>
      <w:r>
        <w:rPr>
          <w:b/>
          <w:bCs/>
        </w:rPr>
        <w:t xml:space="preserve"> </w:t>
      </w:r>
      <w:r w:rsidR="00C44973">
        <w:rPr>
          <w:b/>
          <w:bCs/>
        </w:rPr>
        <w:t>– Targets for women</w:t>
      </w:r>
    </w:p>
    <w:tbl>
      <w:tblPr>
        <w:tblStyle w:val="DESE"/>
        <w:tblW w:w="9067" w:type="dxa"/>
        <w:tblLook w:val="04A0" w:firstRow="1" w:lastRow="0" w:firstColumn="1" w:lastColumn="0" w:noHBand="0" w:noVBand="1"/>
        <w:tblDescription w:val="Discussion paper questions"/>
      </w:tblPr>
      <w:tblGrid>
        <w:gridCol w:w="562"/>
        <w:gridCol w:w="8505"/>
      </w:tblGrid>
      <w:tr w:rsidR="004654E8" w14:paraId="5EF9B960"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E2BBF" w14:textId="77777777" w:rsidR="004654E8" w:rsidRPr="00B100CC" w:rsidRDefault="004654E8" w:rsidP="00902DD1">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21413E24" w14:textId="77777777" w:rsidR="004654E8" w:rsidRPr="00B100CC" w:rsidRDefault="004654E8" w:rsidP="00902DD1">
            <w:pPr>
              <w:spacing w:after="100"/>
              <w:cnfStyle w:val="100000000000" w:firstRow="1" w:lastRow="0" w:firstColumn="0" w:lastColumn="0" w:oddVBand="0" w:evenVBand="0" w:oddHBand="0" w:evenHBand="0" w:firstRowFirstColumn="0" w:firstRowLastColumn="0" w:lastRowFirstColumn="0" w:lastRowLastColumn="0"/>
            </w:pPr>
            <w:r>
              <w:t>Question</w:t>
            </w:r>
          </w:p>
        </w:tc>
      </w:tr>
      <w:tr w:rsidR="004654E8" w14:paraId="28AE6CF7"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2D4990F6" w14:textId="77777777" w:rsidR="004654E8" w:rsidRPr="0017294C" w:rsidRDefault="004654E8" w:rsidP="00902DD1">
            <w:pPr>
              <w:spacing w:after="100"/>
              <w:rPr>
                <w:rFonts w:ascii="Calibri" w:hAnsi="Calibri"/>
                <w:color w:val="FFFFFF" w:themeColor="background1"/>
              </w:rPr>
            </w:pPr>
            <w:r>
              <w:rPr>
                <w:rFonts w:ascii="Calibri" w:hAnsi="Calibri"/>
                <w:color w:val="FFFFFF" w:themeColor="background1"/>
              </w:rPr>
              <w:t>10</w:t>
            </w:r>
          </w:p>
        </w:tc>
        <w:tc>
          <w:tcPr>
            <w:tcW w:w="8505" w:type="dxa"/>
            <w:tcBorders>
              <w:top w:val="single" w:sz="4" w:space="0" w:color="FFFFFF" w:themeColor="background1"/>
              <w:left w:val="single" w:sz="4" w:space="0" w:color="FFFFFF" w:themeColor="background1"/>
            </w:tcBorders>
          </w:tcPr>
          <w:p w14:paraId="7A4AF538" w14:textId="00405170" w:rsidR="004654E8" w:rsidRPr="00E87BC6" w:rsidRDefault="61C273F3" w:rsidP="0532A2C5">
            <w:pPr>
              <w:spacing w:after="100"/>
              <w:cnfStyle w:val="000000000000" w:firstRow="0" w:lastRow="0" w:firstColumn="0" w:lastColumn="0" w:oddVBand="0" w:evenVBand="0" w:oddHBand="0" w:evenHBand="0" w:firstRowFirstColumn="0" w:firstRowLastColumn="0" w:lastRowFirstColumn="0" w:lastRowLastColumn="0"/>
            </w:pPr>
            <w:r>
              <w:t xml:space="preserve">Of the options for targets for </w:t>
            </w:r>
            <w:r w:rsidRPr="0532A2C5">
              <w:rPr>
                <w:color w:val="000000" w:themeColor="text1"/>
              </w:rPr>
              <w:t xml:space="preserve">women, which do you prefer and why? For your preferred option, what target percentage of women do you believe would be achievable and by when? </w:t>
            </w:r>
            <w:r w:rsidRPr="0532A2C5">
              <w:rPr>
                <w:i/>
                <w:iCs/>
                <w:color w:val="000000" w:themeColor="text1"/>
              </w:rPr>
              <w:t>For example, in 2 years’ time 10% of all apprentices, trainees and paid cadets</w:t>
            </w:r>
            <w:r w:rsidR="6F121EFF" w:rsidRPr="0532A2C5">
              <w:rPr>
                <w:i/>
                <w:iCs/>
                <w:color w:val="000000" w:themeColor="text1"/>
              </w:rPr>
              <w:t xml:space="preserve"> on construction projects</w:t>
            </w:r>
            <w:r w:rsidR="3AC26B8C" w:rsidRPr="0532A2C5">
              <w:rPr>
                <w:i/>
                <w:iCs/>
                <w:color w:val="000000" w:themeColor="text1"/>
              </w:rPr>
              <w:t xml:space="preserve"> </w:t>
            </w:r>
            <w:r w:rsidRPr="0532A2C5">
              <w:rPr>
                <w:i/>
                <w:iCs/>
                <w:color w:val="000000" w:themeColor="text1"/>
              </w:rPr>
              <w:t>should be women.</w:t>
            </w:r>
          </w:p>
        </w:tc>
      </w:tr>
      <w:tr w:rsidR="004654E8" w14:paraId="465E6F31"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469710E1" w14:textId="77777777" w:rsidR="004654E8" w:rsidRPr="0017294C" w:rsidRDefault="004654E8" w:rsidP="00902DD1">
            <w:pPr>
              <w:spacing w:beforeAutospacing="0" w:after="0" w:afterAutospacing="0"/>
              <w:rPr>
                <w:rFonts w:ascii="Calibri" w:hAnsi="Calibri"/>
                <w:color w:val="FFFFFF" w:themeColor="background1"/>
              </w:rPr>
            </w:pPr>
            <w:r>
              <w:rPr>
                <w:rFonts w:ascii="Calibri" w:hAnsi="Calibri"/>
                <w:color w:val="FFFFFF" w:themeColor="background1"/>
              </w:rPr>
              <w:t>11</w:t>
            </w:r>
          </w:p>
        </w:tc>
        <w:tc>
          <w:tcPr>
            <w:tcW w:w="8505" w:type="dxa"/>
            <w:tcBorders>
              <w:left w:val="single" w:sz="4" w:space="0" w:color="FFFFFF" w:themeColor="background1"/>
            </w:tcBorders>
          </w:tcPr>
          <w:p w14:paraId="2C6F56B7" w14:textId="44BF68C8" w:rsidR="004654E8" w:rsidRPr="00E87BC6" w:rsidRDefault="4182B9D3" w:rsidP="46EEB1BC">
            <w:pPr>
              <w:spacing w:beforeAutospacing="0" w:after="0" w:afterAutospacing="0"/>
              <w:cnfStyle w:val="000000000000" w:firstRow="0" w:lastRow="0" w:firstColumn="0" w:lastColumn="0" w:oddVBand="0" w:evenVBand="0" w:oddHBand="0" w:evenHBand="0" w:firstRowFirstColumn="0" w:firstRowLastColumn="0" w:lastRowFirstColumn="0" w:lastRowLastColumn="0"/>
              <w:rPr>
                <w:color w:val="000000" w:themeColor="text1"/>
              </w:rPr>
            </w:pPr>
            <w:r w:rsidRPr="46EEB1BC">
              <w:rPr>
                <w:color w:val="000000" w:themeColor="text1"/>
              </w:rPr>
              <w:t xml:space="preserve">If your state/territory government or business sets any targets for women working on major projects, what has been your experience implementing the targets? </w:t>
            </w:r>
            <w:r w:rsidR="005F70DF">
              <w:rPr>
                <w:color w:val="000000" w:themeColor="text1"/>
              </w:rPr>
              <w:t>What worked well and what did not work?</w:t>
            </w:r>
          </w:p>
        </w:tc>
      </w:tr>
      <w:tr w:rsidR="004654E8" w14:paraId="52EB8805"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2FDC73EF" w14:textId="77777777" w:rsidR="004654E8" w:rsidRDefault="004654E8" w:rsidP="00902DD1">
            <w:pPr>
              <w:spacing w:after="0"/>
              <w:rPr>
                <w:rFonts w:ascii="Calibri" w:hAnsi="Calibri"/>
                <w:color w:val="FFFFFF" w:themeColor="background1"/>
              </w:rPr>
            </w:pPr>
            <w:r>
              <w:rPr>
                <w:rFonts w:ascii="Calibri" w:hAnsi="Calibri"/>
                <w:color w:val="FFFFFF" w:themeColor="background1"/>
              </w:rPr>
              <w:t>12</w:t>
            </w:r>
          </w:p>
        </w:tc>
        <w:tc>
          <w:tcPr>
            <w:tcW w:w="8505" w:type="dxa"/>
            <w:tcBorders>
              <w:left w:val="single" w:sz="4" w:space="0" w:color="FFFFFF" w:themeColor="background1"/>
            </w:tcBorders>
            <w:vAlign w:val="top"/>
          </w:tcPr>
          <w:p w14:paraId="37585617" w14:textId="39C1BE9D" w:rsidR="004654E8" w:rsidRPr="4A81C948" w:rsidRDefault="004654E8" w:rsidP="00902DD1">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3C7F514E">
              <w:rPr>
                <w:color w:val="000000" w:themeColor="text1"/>
              </w:rPr>
              <w:t xml:space="preserve">What </w:t>
            </w:r>
            <w:r w:rsidR="005F70DF">
              <w:rPr>
                <w:color w:val="000000" w:themeColor="text1"/>
              </w:rPr>
              <w:t>will incentivise you to meet these targets and integrate gender equality strategies within your organisation, and what</w:t>
            </w:r>
            <w:r w:rsidR="005F70DF" w:rsidRPr="3C7F514E">
              <w:rPr>
                <w:color w:val="000000" w:themeColor="text1"/>
              </w:rPr>
              <w:t xml:space="preserve"> </w:t>
            </w:r>
            <w:r w:rsidRPr="3C7F514E">
              <w:rPr>
                <w:color w:val="000000" w:themeColor="text1"/>
              </w:rPr>
              <w:t xml:space="preserve">do you see as potential barriers </w:t>
            </w:r>
            <w:r>
              <w:t>to these targets being met?</w:t>
            </w:r>
          </w:p>
        </w:tc>
      </w:tr>
      <w:tr w:rsidR="00A7554D" w14:paraId="6767CC93"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2BFF8FE6" w14:textId="1B1F9501" w:rsidR="00A7554D" w:rsidRDefault="055D50EF" w:rsidP="00A7554D">
            <w:pPr>
              <w:spacing w:after="0"/>
              <w:rPr>
                <w:rFonts w:ascii="Calibri" w:hAnsi="Calibri"/>
                <w:color w:val="FFFFFF" w:themeColor="background1"/>
              </w:rPr>
            </w:pPr>
            <w:r w:rsidRPr="78C4367D">
              <w:rPr>
                <w:rFonts w:ascii="Calibri" w:hAnsi="Calibri"/>
                <w:color w:val="FFFFFF" w:themeColor="background1"/>
              </w:rPr>
              <w:t>13</w:t>
            </w:r>
          </w:p>
        </w:tc>
        <w:tc>
          <w:tcPr>
            <w:tcW w:w="8505" w:type="dxa"/>
            <w:tcBorders>
              <w:left w:val="single" w:sz="4" w:space="0" w:color="FFFFFF" w:themeColor="background1"/>
            </w:tcBorders>
            <w:vAlign w:val="top"/>
          </w:tcPr>
          <w:p w14:paraId="06402F6B" w14:textId="4808128E" w:rsidR="00A7554D" w:rsidRPr="00736CA4" w:rsidRDefault="00931BB6" w:rsidP="00A7554D">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t>What supports are needed to enable more women to enter, and thrive in these workplaces, enabling businesses to meet these targets?</w:t>
            </w:r>
          </w:p>
        </w:tc>
      </w:tr>
    </w:tbl>
    <w:p w14:paraId="2B418FF9" w14:textId="2AF2E4DB" w:rsidR="006B653D" w:rsidRDefault="006B653D" w:rsidP="001B40C2">
      <w:pPr>
        <w:spacing w:before="240" w:after="0"/>
        <w:rPr>
          <w:b/>
          <w:bCs/>
        </w:rPr>
      </w:pPr>
      <w:r w:rsidRPr="5366A694">
        <w:rPr>
          <w:b/>
          <w:bCs/>
        </w:rPr>
        <w:t>Chapter 5</w:t>
      </w:r>
      <w:r>
        <w:rPr>
          <w:b/>
          <w:bCs/>
        </w:rPr>
        <w:t xml:space="preserve"> </w:t>
      </w:r>
      <w:r w:rsidR="00C44973">
        <w:rPr>
          <w:b/>
          <w:bCs/>
        </w:rPr>
        <w:t>– Implementation approach</w:t>
      </w:r>
    </w:p>
    <w:tbl>
      <w:tblPr>
        <w:tblStyle w:val="DESE"/>
        <w:tblW w:w="9067" w:type="dxa"/>
        <w:tblLook w:val="04A0" w:firstRow="1" w:lastRow="0" w:firstColumn="1" w:lastColumn="0" w:noHBand="0" w:noVBand="1"/>
        <w:tblDescription w:val="Discussion paper questions"/>
      </w:tblPr>
      <w:tblGrid>
        <w:gridCol w:w="562"/>
        <w:gridCol w:w="8505"/>
      </w:tblGrid>
      <w:tr w:rsidR="00EE25E2" w14:paraId="03B5BE5C"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7CA1C7" w14:textId="77777777" w:rsidR="00EE25E2" w:rsidRPr="00B100CC" w:rsidRDefault="00EE25E2" w:rsidP="00902DD1">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01570DB6" w14:textId="77777777" w:rsidR="00EE25E2" w:rsidRPr="00B100CC" w:rsidRDefault="00EE25E2" w:rsidP="00902DD1">
            <w:pPr>
              <w:spacing w:after="100"/>
              <w:cnfStyle w:val="100000000000" w:firstRow="1" w:lastRow="0" w:firstColumn="0" w:lastColumn="0" w:oddVBand="0" w:evenVBand="0" w:oddHBand="0" w:evenHBand="0" w:firstRowFirstColumn="0" w:firstRowLastColumn="0" w:lastRowFirstColumn="0" w:lastRowLastColumn="0"/>
            </w:pPr>
            <w:r>
              <w:t>Question</w:t>
            </w:r>
          </w:p>
        </w:tc>
      </w:tr>
      <w:tr w:rsidR="00EE25E2" w14:paraId="370EB696"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6E548E96" w14:textId="13E10190" w:rsidR="00EE25E2" w:rsidRPr="0017294C" w:rsidRDefault="055D50EF" w:rsidP="00902DD1">
            <w:pPr>
              <w:spacing w:after="100"/>
              <w:rPr>
                <w:rFonts w:ascii="Calibri" w:hAnsi="Calibri"/>
                <w:color w:val="FFFFFF" w:themeColor="background1"/>
              </w:rPr>
            </w:pPr>
            <w:r w:rsidRPr="78C4367D">
              <w:rPr>
                <w:rFonts w:ascii="Calibri" w:hAnsi="Calibri"/>
                <w:color w:val="FFFFFF" w:themeColor="background1"/>
              </w:rPr>
              <w:t>14</w:t>
            </w:r>
          </w:p>
        </w:tc>
        <w:tc>
          <w:tcPr>
            <w:tcW w:w="8505" w:type="dxa"/>
            <w:tcBorders>
              <w:top w:val="single" w:sz="4" w:space="0" w:color="FFFFFF" w:themeColor="background1"/>
              <w:left w:val="single" w:sz="4" w:space="0" w:color="FFFFFF" w:themeColor="background1"/>
            </w:tcBorders>
            <w:vAlign w:val="top"/>
          </w:tcPr>
          <w:p w14:paraId="3CEEFA8D" w14:textId="09E8236F" w:rsidR="00EE25E2" w:rsidRPr="00E87BC6" w:rsidRDefault="00EE25E2" w:rsidP="00902DD1">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956D4C">
              <w:rPr>
                <w:rFonts w:ascii="Calibri" w:eastAsia="Calibri" w:hAnsi="Calibri" w:cs="Calibri"/>
              </w:rPr>
              <w:t xml:space="preserve">Are there any barriers to the proposed implementation approach outlined in Table 2? For sectors where an apprenticeship, traineeship or paid cadetship is not a typical entry pathway, what lead time would be required to adjust to the application of the </w:t>
            </w:r>
            <w:r w:rsidRPr="4923D0B9">
              <w:rPr>
                <w:color w:val="000000" w:themeColor="text1"/>
              </w:rPr>
              <w:t>Guarantee</w:t>
            </w:r>
            <w:r>
              <w:rPr>
                <w:color w:val="000000" w:themeColor="text1"/>
              </w:rPr>
              <w:t xml:space="preserve"> </w:t>
            </w:r>
            <w:r w:rsidR="003F3D31">
              <w:rPr>
                <w:color w:val="000000" w:themeColor="text1"/>
              </w:rPr>
              <w:t>and why</w:t>
            </w:r>
            <w:r w:rsidRPr="4923D0B9">
              <w:rPr>
                <w:color w:val="000000" w:themeColor="text1"/>
              </w:rPr>
              <w:t>?</w:t>
            </w:r>
          </w:p>
        </w:tc>
      </w:tr>
      <w:tr w:rsidR="00EE25E2" w14:paraId="606DC015"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4A7F5748" w14:textId="5375EF16" w:rsidR="00EE25E2" w:rsidRPr="0017294C" w:rsidRDefault="40B27695" w:rsidP="78C4367D">
            <w:pPr>
              <w:spacing w:beforeAutospacing="0" w:after="0" w:afterAutospacing="0"/>
              <w:rPr>
                <w:rFonts w:ascii="Calibri" w:hAnsi="Calibri"/>
                <w:color w:val="FFFFFF" w:themeColor="background1"/>
              </w:rPr>
            </w:pPr>
            <w:r w:rsidRPr="78C4367D">
              <w:rPr>
                <w:rFonts w:ascii="Calibri" w:hAnsi="Calibri"/>
                <w:color w:val="FFFFFF" w:themeColor="background1"/>
              </w:rPr>
              <w:t>1</w:t>
            </w:r>
            <w:r w:rsidR="055D50EF" w:rsidRPr="78C4367D">
              <w:rPr>
                <w:rFonts w:ascii="Calibri" w:hAnsi="Calibri"/>
                <w:color w:val="FFFFFF" w:themeColor="background1"/>
              </w:rPr>
              <w:t>5</w:t>
            </w:r>
          </w:p>
        </w:tc>
        <w:tc>
          <w:tcPr>
            <w:tcW w:w="8505" w:type="dxa"/>
            <w:tcBorders>
              <w:left w:val="single" w:sz="4" w:space="0" w:color="FFFFFF" w:themeColor="background1"/>
            </w:tcBorders>
            <w:vAlign w:val="top"/>
          </w:tcPr>
          <w:p w14:paraId="1244473E" w14:textId="77777777" w:rsidR="00EE25E2" w:rsidRPr="00E87BC6" w:rsidRDefault="00EE25E2" w:rsidP="00902DD1">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4A81C948">
              <w:rPr>
                <w:rFonts w:ascii="Calibri" w:eastAsia="Calibri" w:hAnsi="Calibri" w:cs="Calibri"/>
              </w:rPr>
              <w:t>Do the implementation approaches explored in Chapter 5 cover the greatest opportunities for delivering the Guarantee?</w:t>
            </w:r>
          </w:p>
        </w:tc>
      </w:tr>
      <w:tr w:rsidR="00EE25E2" w14:paraId="1FE0E0A0"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6D6EC60F" w14:textId="3D26E16C" w:rsidR="00EE25E2" w:rsidRDefault="055D50EF" w:rsidP="00902DD1">
            <w:pPr>
              <w:spacing w:after="0"/>
              <w:rPr>
                <w:rFonts w:ascii="Calibri" w:hAnsi="Calibri"/>
                <w:color w:val="FFFFFF" w:themeColor="background1"/>
              </w:rPr>
            </w:pPr>
            <w:r w:rsidRPr="78C4367D">
              <w:rPr>
                <w:rFonts w:ascii="Calibri" w:hAnsi="Calibri"/>
                <w:color w:val="FFFFFF" w:themeColor="background1"/>
              </w:rPr>
              <w:t>16</w:t>
            </w:r>
          </w:p>
        </w:tc>
        <w:tc>
          <w:tcPr>
            <w:tcW w:w="8505" w:type="dxa"/>
            <w:tcBorders>
              <w:left w:val="single" w:sz="4" w:space="0" w:color="FFFFFF" w:themeColor="background1"/>
            </w:tcBorders>
            <w:vAlign w:val="top"/>
          </w:tcPr>
          <w:p w14:paraId="4DB124E2" w14:textId="47D14E10" w:rsidR="00EE25E2" w:rsidRPr="4A81C948" w:rsidRDefault="00EE25E2" w:rsidP="00902DD1">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5366A694">
              <w:rPr>
                <w:rFonts w:ascii="Calibri" w:eastAsia="Calibri" w:hAnsi="Calibri" w:cs="Calibri"/>
              </w:rPr>
              <w:t>What outcomes can be achieved through the Guarantee and how do you think the Guarantee will help build a skilled workforce?</w:t>
            </w:r>
          </w:p>
        </w:tc>
      </w:tr>
    </w:tbl>
    <w:p w14:paraId="211CCDE2" w14:textId="5259F96D" w:rsidR="008E44C6" w:rsidRDefault="008E44C6" w:rsidP="001B40C2">
      <w:pPr>
        <w:spacing w:before="240" w:after="0"/>
        <w:rPr>
          <w:b/>
          <w:bCs/>
        </w:rPr>
      </w:pPr>
      <w:r w:rsidRPr="5366A694">
        <w:rPr>
          <w:b/>
          <w:bCs/>
        </w:rPr>
        <w:t>Chapter 6</w:t>
      </w:r>
      <w:r>
        <w:rPr>
          <w:b/>
          <w:bCs/>
        </w:rPr>
        <w:t xml:space="preserve"> </w:t>
      </w:r>
      <w:r w:rsidR="00C44973">
        <w:rPr>
          <w:b/>
          <w:bCs/>
        </w:rPr>
        <w:t>– Managing performance</w:t>
      </w:r>
    </w:p>
    <w:tbl>
      <w:tblPr>
        <w:tblStyle w:val="DESE"/>
        <w:tblW w:w="9067" w:type="dxa"/>
        <w:tblLook w:val="04A0" w:firstRow="1" w:lastRow="0" w:firstColumn="1" w:lastColumn="0" w:noHBand="0" w:noVBand="1"/>
        <w:tblDescription w:val="Discussion paper questions"/>
      </w:tblPr>
      <w:tblGrid>
        <w:gridCol w:w="562"/>
        <w:gridCol w:w="8505"/>
      </w:tblGrid>
      <w:tr w:rsidR="00A67AEF" w14:paraId="3C8CDDDA"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F038E5" w14:textId="77777777" w:rsidR="00A67AEF" w:rsidRPr="00B100CC" w:rsidRDefault="00A67AEF" w:rsidP="00902DD1">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38C36F2D" w14:textId="77777777" w:rsidR="00A67AEF" w:rsidRPr="00B100CC" w:rsidRDefault="00A67AEF" w:rsidP="00902DD1">
            <w:pPr>
              <w:spacing w:after="100"/>
              <w:cnfStyle w:val="100000000000" w:firstRow="1" w:lastRow="0" w:firstColumn="0" w:lastColumn="0" w:oddVBand="0" w:evenVBand="0" w:oddHBand="0" w:evenHBand="0" w:firstRowFirstColumn="0" w:firstRowLastColumn="0" w:lastRowFirstColumn="0" w:lastRowLastColumn="0"/>
            </w:pPr>
            <w:r>
              <w:t>Question</w:t>
            </w:r>
          </w:p>
        </w:tc>
      </w:tr>
      <w:tr w:rsidR="00A67AEF" w14:paraId="6A2B8F72"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0327B922" w14:textId="41AF62C6" w:rsidR="00A67AEF" w:rsidRPr="0017294C" w:rsidRDefault="055D50EF" w:rsidP="00902DD1">
            <w:pPr>
              <w:spacing w:after="100"/>
              <w:rPr>
                <w:rFonts w:ascii="Calibri" w:hAnsi="Calibri"/>
                <w:color w:val="FFFFFF" w:themeColor="background1"/>
              </w:rPr>
            </w:pPr>
            <w:r w:rsidRPr="78C4367D">
              <w:rPr>
                <w:rFonts w:ascii="Calibri" w:hAnsi="Calibri"/>
                <w:color w:val="FFFFFF" w:themeColor="background1"/>
              </w:rPr>
              <w:t>17</w:t>
            </w:r>
          </w:p>
        </w:tc>
        <w:tc>
          <w:tcPr>
            <w:tcW w:w="8505" w:type="dxa"/>
            <w:tcBorders>
              <w:top w:val="single" w:sz="4" w:space="0" w:color="FFFFFF" w:themeColor="background1"/>
              <w:left w:val="single" w:sz="4" w:space="0" w:color="FFFFFF" w:themeColor="background1"/>
            </w:tcBorders>
            <w:vAlign w:val="top"/>
          </w:tcPr>
          <w:p w14:paraId="25F60506" w14:textId="77777777" w:rsidR="00A67AEF" w:rsidRPr="00E87BC6" w:rsidRDefault="00A67AEF" w:rsidP="00902DD1">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4A81C948">
              <w:rPr>
                <w:rFonts w:ascii="Calibri" w:eastAsia="Calibri" w:hAnsi="Calibri" w:cs="Calibri"/>
              </w:rPr>
              <w:t>If you are a potential supplier or sub-contractor, what would support you to implement the Guarantee and to collect and report data on apprentices, trainees and paid cadets?</w:t>
            </w:r>
          </w:p>
        </w:tc>
      </w:tr>
    </w:tbl>
    <w:p w14:paraId="691F777D" w14:textId="1BB06161" w:rsidR="00F6275E" w:rsidRDefault="00F6275E" w:rsidP="00E57327">
      <w:pPr>
        <w:keepNext/>
        <w:keepLines/>
        <w:spacing w:before="240" w:after="0"/>
        <w:rPr>
          <w:b/>
          <w:bCs/>
        </w:rPr>
      </w:pPr>
      <w:r w:rsidRPr="4A81C948">
        <w:rPr>
          <w:b/>
          <w:bCs/>
        </w:rPr>
        <w:t>Chapter 7</w:t>
      </w:r>
      <w:r>
        <w:rPr>
          <w:b/>
          <w:bCs/>
        </w:rPr>
        <w:t xml:space="preserve"> </w:t>
      </w:r>
      <w:r w:rsidR="00C44973">
        <w:rPr>
          <w:b/>
          <w:bCs/>
        </w:rPr>
        <w:t>– Roles and responsibilities</w:t>
      </w:r>
    </w:p>
    <w:tbl>
      <w:tblPr>
        <w:tblStyle w:val="DESE"/>
        <w:tblW w:w="9067" w:type="dxa"/>
        <w:tblLook w:val="04A0" w:firstRow="1" w:lastRow="0" w:firstColumn="1" w:lastColumn="0" w:noHBand="0" w:noVBand="1"/>
        <w:tblDescription w:val="Discussion paper questions"/>
      </w:tblPr>
      <w:tblGrid>
        <w:gridCol w:w="562"/>
        <w:gridCol w:w="8505"/>
      </w:tblGrid>
      <w:tr w:rsidR="00697699" w14:paraId="73B624D6" w14:textId="77777777" w:rsidTr="78C4367D">
        <w:trPr>
          <w:cnfStyle w:val="100000000000" w:firstRow="1" w:lastRow="0" w:firstColumn="0" w:lastColumn="0" w:oddVBand="0" w:evenVBand="0" w:oddHBand="0" w:evenHBand="0" w:firstRowFirstColumn="0" w:firstRowLastColumn="0" w:lastRowFirstColumn="0" w:lastRowLastColumn="0"/>
          <w:trHeight w:val="11"/>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EB97AE" w14:textId="77777777" w:rsidR="00697699" w:rsidRPr="00B100CC" w:rsidRDefault="00697699" w:rsidP="00E57327">
            <w:pPr>
              <w:keepNext/>
              <w:keepLines/>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0726B9E4" w14:textId="77777777" w:rsidR="00697699" w:rsidRPr="00B100CC" w:rsidRDefault="00697699" w:rsidP="00E57327">
            <w:pPr>
              <w:keepNext/>
              <w:keepLines/>
              <w:spacing w:after="100"/>
              <w:cnfStyle w:val="100000000000" w:firstRow="1" w:lastRow="0" w:firstColumn="0" w:lastColumn="0" w:oddVBand="0" w:evenVBand="0" w:oddHBand="0" w:evenHBand="0" w:firstRowFirstColumn="0" w:firstRowLastColumn="0" w:lastRowFirstColumn="0" w:lastRowLastColumn="0"/>
            </w:pPr>
            <w:r>
              <w:t>Question</w:t>
            </w:r>
          </w:p>
        </w:tc>
      </w:tr>
      <w:tr w:rsidR="00697699" w14:paraId="6CDBDB92"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2DB00ABF" w14:textId="6C343612" w:rsidR="00697699" w:rsidRPr="0017294C" w:rsidRDefault="055D50EF" w:rsidP="00E57327">
            <w:pPr>
              <w:keepNext/>
              <w:keepLines/>
              <w:spacing w:after="100"/>
              <w:rPr>
                <w:rFonts w:ascii="Calibri" w:hAnsi="Calibri"/>
                <w:color w:val="FFFFFF" w:themeColor="background1"/>
              </w:rPr>
            </w:pPr>
            <w:r w:rsidRPr="78C4367D">
              <w:rPr>
                <w:rFonts w:ascii="Calibri" w:hAnsi="Calibri"/>
                <w:color w:val="FFFFFF" w:themeColor="background1"/>
              </w:rPr>
              <w:t>18</w:t>
            </w:r>
          </w:p>
        </w:tc>
        <w:tc>
          <w:tcPr>
            <w:tcW w:w="8505" w:type="dxa"/>
            <w:tcBorders>
              <w:top w:val="single" w:sz="4" w:space="0" w:color="FFFFFF" w:themeColor="background1"/>
              <w:left w:val="single" w:sz="4" w:space="0" w:color="FFFFFF" w:themeColor="background1"/>
            </w:tcBorders>
            <w:vAlign w:val="top"/>
          </w:tcPr>
          <w:p w14:paraId="55991588" w14:textId="4CB1D71F" w:rsidR="00697699" w:rsidRPr="00E87BC6" w:rsidRDefault="77D80855" w:rsidP="78C4367D">
            <w:pPr>
              <w:keepNext/>
              <w:keepLines/>
              <w:spacing w:after="100"/>
              <w:cnfStyle w:val="000000000000" w:firstRow="0" w:lastRow="0" w:firstColumn="0" w:lastColumn="0" w:oddVBand="0" w:evenVBand="0" w:oddHBand="0" w:evenHBand="0" w:firstRowFirstColumn="0" w:firstRowLastColumn="0" w:lastRowFirstColumn="0" w:lastRowLastColumn="0"/>
            </w:pPr>
            <w:r w:rsidRPr="78C4367D">
              <w:rPr>
                <w:color w:val="000000" w:themeColor="text1"/>
              </w:rPr>
              <w:t>What are the additional costs that are likely to be incurred by business to meet the requirements under the Guarantee</w:t>
            </w:r>
            <w:r w:rsidR="5597A516" w:rsidRPr="78C4367D">
              <w:rPr>
                <w:color w:val="000000" w:themeColor="text1"/>
              </w:rPr>
              <w:t>, including</w:t>
            </w:r>
            <w:r w:rsidR="4ACB01C3" w:rsidRPr="78C4367D">
              <w:rPr>
                <w:color w:val="000000" w:themeColor="text1"/>
              </w:rPr>
              <w:t xml:space="preserve"> the need to provide a safe and supportive workplace for women</w:t>
            </w:r>
            <w:r w:rsidRPr="78C4367D">
              <w:rPr>
                <w:color w:val="000000" w:themeColor="text1"/>
              </w:rPr>
              <w:t>?</w:t>
            </w:r>
          </w:p>
        </w:tc>
      </w:tr>
      <w:tr w:rsidR="00697699" w14:paraId="18CACEE1"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49834FB9" w14:textId="516CED52" w:rsidR="00697699" w:rsidRPr="0017294C" w:rsidRDefault="77D80855" w:rsidP="78C4367D">
            <w:pPr>
              <w:keepNext/>
              <w:keepLines/>
              <w:spacing w:beforeAutospacing="0" w:after="0" w:afterAutospacing="0"/>
              <w:rPr>
                <w:rFonts w:ascii="Calibri" w:hAnsi="Calibri"/>
                <w:color w:val="FFFFFF" w:themeColor="background1"/>
              </w:rPr>
            </w:pPr>
            <w:r w:rsidRPr="78C4367D">
              <w:rPr>
                <w:rFonts w:ascii="Calibri" w:hAnsi="Calibri"/>
                <w:color w:val="FFFFFF" w:themeColor="background1"/>
              </w:rPr>
              <w:t>1</w:t>
            </w:r>
            <w:r w:rsidR="055D50EF" w:rsidRPr="78C4367D">
              <w:rPr>
                <w:rFonts w:ascii="Calibri" w:hAnsi="Calibri"/>
                <w:color w:val="FFFFFF" w:themeColor="background1"/>
              </w:rPr>
              <w:t>9</w:t>
            </w:r>
          </w:p>
        </w:tc>
        <w:tc>
          <w:tcPr>
            <w:tcW w:w="8505" w:type="dxa"/>
            <w:tcBorders>
              <w:left w:val="single" w:sz="4" w:space="0" w:color="FFFFFF" w:themeColor="background1"/>
            </w:tcBorders>
            <w:vAlign w:val="top"/>
          </w:tcPr>
          <w:p w14:paraId="4D964466" w14:textId="77777777" w:rsidR="00697699" w:rsidRPr="00E87BC6" w:rsidRDefault="00697699" w:rsidP="00E57327">
            <w:pPr>
              <w:keepNext/>
              <w:keepLines/>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00880698">
              <w:rPr>
                <w:color w:val="000000" w:themeColor="text1"/>
              </w:rPr>
              <w:t>For potential tenderers, what are the likely costs associated with increased time and resources for you to complete tendering requirements?</w:t>
            </w:r>
          </w:p>
        </w:tc>
      </w:tr>
      <w:tr w:rsidR="00697699" w14:paraId="43DFD060"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376F4EB4" w14:textId="4EC77D72" w:rsidR="00697699" w:rsidRDefault="055D50EF" w:rsidP="00E57327">
            <w:pPr>
              <w:keepNext/>
              <w:keepLines/>
              <w:spacing w:after="0"/>
              <w:rPr>
                <w:rFonts w:ascii="Calibri" w:hAnsi="Calibri"/>
                <w:color w:val="FFFFFF" w:themeColor="background1"/>
              </w:rPr>
            </w:pPr>
            <w:r w:rsidRPr="78C4367D">
              <w:rPr>
                <w:rFonts w:ascii="Calibri" w:hAnsi="Calibri"/>
                <w:color w:val="FFFFFF" w:themeColor="background1"/>
              </w:rPr>
              <w:t>20</w:t>
            </w:r>
          </w:p>
        </w:tc>
        <w:tc>
          <w:tcPr>
            <w:tcW w:w="8505" w:type="dxa"/>
            <w:tcBorders>
              <w:left w:val="single" w:sz="4" w:space="0" w:color="FFFFFF" w:themeColor="background1"/>
            </w:tcBorders>
            <w:vAlign w:val="top"/>
          </w:tcPr>
          <w:p w14:paraId="442B1560" w14:textId="5DD65FDE" w:rsidR="00697699" w:rsidRPr="4A81C948" w:rsidRDefault="77D80855" w:rsidP="00E57327">
            <w:pPr>
              <w:keepNext/>
              <w:keepLines/>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78C4367D">
              <w:rPr>
                <w:rFonts w:ascii="Calibri" w:eastAsia="Calibri" w:hAnsi="Calibri" w:cs="Calibri"/>
                <w:color w:val="000000" w:themeColor="text1"/>
              </w:rPr>
              <w:t>For potential suppliers, will you need to change your recruitment practices to meet the targets under the Guarantee and if so, how and what are the likely additional costs of recruitment? What are the likely additional costs of supervising an apprentice, trainee or paid cadet and reporting on progress against the targets in the Guarantee?</w:t>
            </w:r>
            <w:r w:rsidR="00931BB6" w:rsidRPr="78C4367D">
              <w:rPr>
                <w:rFonts w:ascii="Calibri" w:eastAsia="Calibri" w:hAnsi="Calibri" w:cs="Calibri"/>
                <w:color w:val="000000" w:themeColor="text1"/>
              </w:rPr>
              <w:t xml:space="preserve"> </w:t>
            </w:r>
            <w:r w:rsidR="00931BB6" w:rsidRPr="78C4367D">
              <w:rPr>
                <w:color w:val="000000" w:themeColor="text1"/>
              </w:rPr>
              <w:t>Could a community of practice, or similar, provide a useful forum to share learnings on how to support more women to thrive in workplaces in heavily male dominated industries?</w:t>
            </w:r>
          </w:p>
        </w:tc>
      </w:tr>
      <w:tr w:rsidR="00697699" w14:paraId="1588C429"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7C49DE2B" w14:textId="03DBAEA0" w:rsidR="00697699" w:rsidRDefault="77D80855" w:rsidP="00E57327">
            <w:pPr>
              <w:keepNext/>
              <w:keepLines/>
              <w:spacing w:after="0"/>
              <w:rPr>
                <w:rFonts w:ascii="Calibri" w:hAnsi="Calibri"/>
                <w:color w:val="FFFFFF" w:themeColor="background1"/>
              </w:rPr>
            </w:pPr>
            <w:r w:rsidRPr="78C4367D">
              <w:rPr>
                <w:rFonts w:ascii="Calibri" w:hAnsi="Calibri"/>
                <w:color w:val="FFFFFF" w:themeColor="background1"/>
              </w:rPr>
              <w:t>2</w:t>
            </w:r>
            <w:r w:rsidR="055D50EF" w:rsidRPr="78C4367D">
              <w:rPr>
                <w:rFonts w:ascii="Calibri" w:hAnsi="Calibri"/>
                <w:color w:val="FFFFFF" w:themeColor="background1"/>
              </w:rPr>
              <w:t>1</w:t>
            </w:r>
          </w:p>
        </w:tc>
        <w:tc>
          <w:tcPr>
            <w:tcW w:w="8505" w:type="dxa"/>
            <w:tcBorders>
              <w:left w:val="single" w:sz="4" w:space="0" w:color="FFFFFF" w:themeColor="background1"/>
            </w:tcBorders>
            <w:vAlign w:val="top"/>
          </w:tcPr>
          <w:p w14:paraId="38DD1C05" w14:textId="338F4AD0" w:rsidR="00697699" w:rsidRPr="4A81C948" w:rsidRDefault="00697699" w:rsidP="00E57327">
            <w:pPr>
              <w:keepNext/>
              <w:keepLines/>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3374E00D">
              <w:rPr>
                <w:color w:val="000000" w:themeColor="text1"/>
              </w:rPr>
              <w:t>For contracting agencies, what are the likely additional costs of monitoring performance against the targets or providing support to suppliers to understand the Guarantee?</w:t>
            </w:r>
          </w:p>
        </w:tc>
      </w:tr>
    </w:tbl>
    <w:p w14:paraId="7FB54A37" w14:textId="0B3F32DD" w:rsidR="00C44973" w:rsidRDefault="00C44973" w:rsidP="001B40C2">
      <w:pPr>
        <w:spacing w:before="240" w:after="0"/>
        <w:rPr>
          <w:b/>
          <w:bCs/>
        </w:rPr>
      </w:pPr>
      <w:r w:rsidRPr="00A62C0A">
        <w:rPr>
          <w:b/>
          <w:bCs/>
        </w:rPr>
        <w:t>Chapter 8</w:t>
      </w:r>
      <w:r>
        <w:rPr>
          <w:b/>
          <w:bCs/>
        </w:rPr>
        <w:t xml:space="preserve"> – Initiatives to support women in VET</w:t>
      </w:r>
    </w:p>
    <w:tbl>
      <w:tblPr>
        <w:tblStyle w:val="DESE"/>
        <w:tblW w:w="9067" w:type="dxa"/>
        <w:tblLook w:val="04A0" w:firstRow="1" w:lastRow="0" w:firstColumn="1" w:lastColumn="0" w:noHBand="0" w:noVBand="1"/>
        <w:tblDescription w:val="Discussion paper questions"/>
      </w:tblPr>
      <w:tblGrid>
        <w:gridCol w:w="562"/>
        <w:gridCol w:w="8505"/>
      </w:tblGrid>
      <w:tr w:rsidR="00912150" w14:paraId="3E2E0C42" w14:textId="77777777" w:rsidTr="78C4367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59984F" w14:textId="77777777" w:rsidR="00912150" w:rsidRPr="00B100CC" w:rsidRDefault="00912150" w:rsidP="00902DD1">
            <w:pPr>
              <w:spacing w:after="100"/>
            </w:pPr>
            <w:r>
              <w:t>No.</w:t>
            </w:r>
          </w:p>
        </w:tc>
        <w:tc>
          <w:tcPr>
            <w:tcW w:w="85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4F34F87F" w14:textId="77777777" w:rsidR="00912150" w:rsidRPr="00B100CC" w:rsidRDefault="00912150" w:rsidP="00902DD1">
            <w:pPr>
              <w:spacing w:after="100"/>
              <w:cnfStyle w:val="100000000000" w:firstRow="1" w:lastRow="0" w:firstColumn="0" w:lastColumn="0" w:oddVBand="0" w:evenVBand="0" w:oddHBand="0" w:evenHBand="0" w:firstRowFirstColumn="0" w:firstRowLastColumn="0" w:lastRowFirstColumn="0" w:lastRowLastColumn="0"/>
            </w:pPr>
            <w:r>
              <w:t>Question</w:t>
            </w:r>
          </w:p>
        </w:tc>
      </w:tr>
      <w:tr w:rsidR="00912150" w14:paraId="5E28DEF5"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07991DF1" w14:textId="000E240A" w:rsidR="00912150" w:rsidRPr="0017294C" w:rsidRDefault="17B27E19" w:rsidP="00902DD1">
            <w:pPr>
              <w:spacing w:after="100"/>
              <w:rPr>
                <w:rFonts w:ascii="Calibri" w:hAnsi="Calibri"/>
                <w:color w:val="FFFFFF" w:themeColor="background1"/>
              </w:rPr>
            </w:pPr>
            <w:r w:rsidRPr="78C4367D">
              <w:rPr>
                <w:rFonts w:ascii="Calibri" w:hAnsi="Calibri"/>
                <w:color w:val="FFFFFF" w:themeColor="background1"/>
              </w:rPr>
              <w:t>2</w:t>
            </w:r>
            <w:r w:rsidR="055D50EF" w:rsidRPr="78C4367D">
              <w:rPr>
                <w:rFonts w:ascii="Calibri" w:hAnsi="Calibri"/>
                <w:color w:val="FFFFFF" w:themeColor="background1"/>
              </w:rPr>
              <w:t>2</w:t>
            </w:r>
          </w:p>
        </w:tc>
        <w:tc>
          <w:tcPr>
            <w:tcW w:w="8505" w:type="dxa"/>
            <w:tcBorders>
              <w:top w:val="single" w:sz="4" w:space="0" w:color="FFFFFF" w:themeColor="background1"/>
              <w:left w:val="single" w:sz="4" w:space="0" w:color="FFFFFF" w:themeColor="background1"/>
            </w:tcBorders>
            <w:vAlign w:val="top"/>
          </w:tcPr>
          <w:p w14:paraId="181E517D" w14:textId="0CCBE692" w:rsidR="00912150" w:rsidRPr="00E87BC6" w:rsidRDefault="17B27E19" w:rsidP="005A581F">
            <w:pPr>
              <w:spacing w:after="100"/>
              <w:cnfStyle w:val="000000000000" w:firstRow="0" w:lastRow="0" w:firstColumn="0" w:lastColumn="0" w:oddVBand="0" w:evenVBand="0" w:oddHBand="0" w:evenHBand="0" w:firstRowFirstColumn="0" w:firstRowLastColumn="0" w:lastRowFirstColumn="0" w:lastRowLastColumn="0"/>
            </w:pPr>
            <w:r w:rsidRPr="78C4367D">
              <w:rPr>
                <w:rFonts w:ascii="Calibri" w:eastAsia="Calibri" w:hAnsi="Calibri" w:cs="Calibri"/>
                <w:color w:val="000000" w:themeColor="text1"/>
              </w:rPr>
              <w:t xml:space="preserve">How can we encourage </w:t>
            </w:r>
            <w:r w:rsidR="34B73F1E" w:rsidRPr="78C4367D">
              <w:rPr>
                <w:rFonts w:ascii="Calibri" w:eastAsia="Calibri" w:hAnsi="Calibri" w:cs="Calibri"/>
                <w:color w:val="000000" w:themeColor="text1"/>
              </w:rPr>
              <w:t xml:space="preserve">and support </w:t>
            </w:r>
            <w:r w:rsidRPr="78C4367D">
              <w:rPr>
                <w:rFonts w:ascii="Calibri" w:eastAsia="Calibri" w:hAnsi="Calibri" w:cs="Calibri"/>
                <w:color w:val="000000" w:themeColor="text1"/>
              </w:rPr>
              <w:t>more women to consider a career in and undertake trade occupations?</w:t>
            </w:r>
          </w:p>
        </w:tc>
      </w:tr>
      <w:tr w:rsidR="00912150" w14:paraId="0014B75A"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60FE3FD5" w14:textId="0DB382B8" w:rsidR="00912150" w:rsidRPr="0017294C" w:rsidRDefault="17B27E19" w:rsidP="78C4367D">
            <w:pPr>
              <w:spacing w:beforeAutospacing="0" w:after="0" w:afterAutospacing="0"/>
              <w:rPr>
                <w:rFonts w:ascii="Calibri" w:hAnsi="Calibri"/>
                <w:color w:val="FFFFFF" w:themeColor="background1"/>
              </w:rPr>
            </w:pPr>
            <w:r w:rsidRPr="78C4367D">
              <w:rPr>
                <w:rFonts w:ascii="Calibri" w:hAnsi="Calibri"/>
                <w:color w:val="FFFFFF" w:themeColor="background1"/>
              </w:rPr>
              <w:t>2</w:t>
            </w:r>
            <w:r w:rsidR="055D50EF" w:rsidRPr="78C4367D">
              <w:rPr>
                <w:rFonts w:ascii="Calibri" w:hAnsi="Calibri"/>
                <w:color w:val="FFFFFF" w:themeColor="background1"/>
              </w:rPr>
              <w:t>3</w:t>
            </w:r>
          </w:p>
        </w:tc>
        <w:tc>
          <w:tcPr>
            <w:tcW w:w="8505" w:type="dxa"/>
            <w:tcBorders>
              <w:left w:val="single" w:sz="4" w:space="0" w:color="FFFFFF" w:themeColor="background1"/>
            </w:tcBorders>
            <w:vAlign w:val="top"/>
          </w:tcPr>
          <w:p w14:paraId="14E3BEA0" w14:textId="77777777" w:rsidR="00912150" w:rsidRPr="00E87BC6" w:rsidRDefault="00912150" w:rsidP="00902DD1">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sidRPr="79E1547D">
              <w:rPr>
                <w:rFonts w:ascii="Calibri" w:eastAsia="Calibri" w:hAnsi="Calibri" w:cs="Calibri"/>
                <w:color w:val="000000" w:themeColor="text1"/>
              </w:rPr>
              <w:t>What do you consider to be the most effective programs or policies in supporting women to commence and complete a trade apprenticeship?</w:t>
            </w:r>
          </w:p>
        </w:tc>
      </w:tr>
      <w:tr w:rsidR="00912150" w14:paraId="67BAC562"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35CAA627" w14:textId="26967D6C" w:rsidR="00912150" w:rsidRDefault="17B27E19" w:rsidP="00902DD1">
            <w:pPr>
              <w:spacing w:after="0"/>
              <w:rPr>
                <w:rFonts w:ascii="Calibri" w:hAnsi="Calibri"/>
                <w:color w:val="FFFFFF" w:themeColor="background1"/>
              </w:rPr>
            </w:pPr>
            <w:r w:rsidRPr="78C4367D">
              <w:rPr>
                <w:rFonts w:ascii="Calibri" w:hAnsi="Calibri"/>
                <w:color w:val="FFFFFF" w:themeColor="background1"/>
              </w:rPr>
              <w:t>2</w:t>
            </w:r>
            <w:r w:rsidR="055D50EF" w:rsidRPr="78C4367D">
              <w:rPr>
                <w:rFonts w:ascii="Calibri" w:hAnsi="Calibri"/>
                <w:color w:val="FFFFFF" w:themeColor="background1"/>
              </w:rPr>
              <w:t>4</w:t>
            </w:r>
          </w:p>
        </w:tc>
        <w:tc>
          <w:tcPr>
            <w:tcW w:w="8505" w:type="dxa"/>
            <w:tcBorders>
              <w:left w:val="single" w:sz="4" w:space="0" w:color="FFFFFF" w:themeColor="background1"/>
            </w:tcBorders>
            <w:vAlign w:val="top"/>
          </w:tcPr>
          <w:p w14:paraId="3A54F153" w14:textId="77777777" w:rsidR="00912150" w:rsidRPr="4A81C948" w:rsidRDefault="00912150" w:rsidP="00902DD1">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33DE70E5">
              <w:rPr>
                <w:rFonts w:ascii="Calibri" w:eastAsia="Calibri" w:hAnsi="Calibri" w:cs="Calibri"/>
                <w:color w:val="000000" w:themeColor="text1"/>
              </w:rPr>
              <w:t>What could we do to make the culture of male-dominated trades more inclusive?</w:t>
            </w:r>
          </w:p>
        </w:tc>
      </w:tr>
      <w:tr w:rsidR="00912150" w14:paraId="69163EE9"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03331E57" w14:textId="007B15D6" w:rsidR="00912150" w:rsidRDefault="17B27E19" w:rsidP="00902DD1">
            <w:pPr>
              <w:spacing w:after="0"/>
              <w:rPr>
                <w:rFonts w:ascii="Calibri" w:hAnsi="Calibri"/>
                <w:color w:val="FFFFFF" w:themeColor="background1"/>
              </w:rPr>
            </w:pPr>
            <w:r w:rsidRPr="78C4367D">
              <w:rPr>
                <w:rFonts w:ascii="Calibri" w:hAnsi="Calibri"/>
                <w:color w:val="FFFFFF" w:themeColor="background1"/>
              </w:rPr>
              <w:t>2</w:t>
            </w:r>
            <w:r w:rsidR="055D50EF" w:rsidRPr="78C4367D">
              <w:rPr>
                <w:rFonts w:ascii="Calibri" w:hAnsi="Calibri"/>
                <w:color w:val="FFFFFF" w:themeColor="background1"/>
              </w:rPr>
              <w:t>5</w:t>
            </w:r>
          </w:p>
        </w:tc>
        <w:tc>
          <w:tcPr>
            <w:tcW w:w="8505" w:type="dxa"/>
            <w:tcBorders>
              <w:left w:val="single" w:sz="4" w:space="0" w:color="FFFFFF" w:themeColor="background1"/>
            </w:tcBorders>
            <w:vAlign w:val="top"/>
          </w:tcPr>
          <w:p w14:paraId="5B1FABFF" w14:textId="74BDBD55" w:rsidR="00912150" w:rsidRPr="4A81C948" w:rsidRDefault="007C7E3A" w:rsidP="00902DD1">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t>How can we support the retention of women working in major projects and support them to stay in industries over the longer-term?</w:t>
            </w:r>
          </w:p>
        </w:tc>
      </w:tr>
      <w:tr w:rsidR="00912150" w14:paraId="781AFF2F"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1578695B" w14:textId="1D91698E" w:rsidR="00912150" w:rsidRDefault="17B27E19" w:rsidP="00902DD1">
            <w:pPr>
              <w:spacing w:after="0"/>
              <w:rPr>
                <w:rFonts w:ascii="Calibri" w:hAnsi="Calibri"/>
                <w:color w:val="FFFFFF" w:themeColor="background1"/>
              </w:rPr>
            </w:pPr>
            <w:r w:rsidRPr="78C4367D">
              <w:rPr>
                <w:rFonts w:ascii="Calibri" w:hAnsi="Calibri"/>
                <w:color w:val="FFFFFF" w:themeColor="background1"/>
              </w:rPr>
              <w:t>2</w:t>
            </w:r>
            <w:r w:rsidR="055D50EF" w:rsidRPr="78C4367D">
              <w:rPr>
                <w:rFonts w:ascii="Calibri" w:hAnsi="Calibri"/>
                <w:color w:val="FFFFFF" w:themeColor="background1"/>
              </w:rPr>
              <w:t>6</w:t>
            </w:r>
          </w:p>
        </w:tc>
        <w:tc>
          <w:tcPr>
            <w:tcW w:w="8505" w:type="dxa"/>
            <w:tcBorders>
              <w:left w:val="single" w:sz="4" w:space="0" w:color="FFFFFF" w:themeColor="background1"/>
            </w:tcBorders>
            <w:vAlign w:val="top"/>
          </w:tcPr>
          <w:p w14:paraId="476E9370" w14:textId="38CD4FF4" w:rsidR="00912150" w:rsidRPr="4A81C948" w:rsidRDefault="17B27E19" w:rsidP="00902DD1">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78C4367D">
              <w:rPr>
                <w:rFonts w:ascii="Calibri" w:eastAsia="Calibri" w:hAnsi="Calibri" w:cs="Calibri"/>
                <w:color w:val="000000" w:themeColor="text1"/>
              </w:rPr>
              <w:t xml:space="preserve">What can we do to better support women to successfully </w:t>
            </w:r>
            <w:r w:rsidR="73E34540" w:rsidRPr="78C4367D">
              <w:rPr>
                <w:rFonts w:ascii="Calibri" w:eastAsia="Calibri" w:hAnsi="Calibri" w:cs="Calibri"/>
                <w:color w:val="000000" w:themeColor="text1"/>
              </w:rPr>
              <w:t xml:space="preserve">remain, </w:t>
            </w:r>
            <w:r w:rsidRPr="78C4367D">
              <w:rPr>
                <w:rFonts w:ascii="Calibri" w:eastAsia="Calibri" w:hAnsi="Calibri" w:cs="Calibri"/>
                <w:color w:val="000000" w:themeColor="text1"/>
              </w:rPr>
              <w:t xml:space="preserve">re-enter </w:t>
            </w:r>
            <w:r w:rsidR="73E34540" w:rsidRPr="78C4367D">
              <w:rPr>
                <w:rFonts w:ascii="Calibri" w:eastAsia="Calibri" w:hAnsi="Calibri" w:cs="Calibri"/>
                <w:color w:val="000000" w:themeColor="text1"/>
              </w:rPr>
              <w:t xml:space="preserve">and advance in </w:t>
            </w:r>
            <w:r w:rsidRPr="78C4367D">
              <w:rPr>
                <w:rFonts w:ascii="Calibri" w:eastAsia="Calibri" w:hAnsi="Calibri" w:cs="Calibri"/>
                <w:color w:val="000000" w:themeColor="text1"/>
              </w:rPr>
              <w:t>the workforce?</w:t>
            </w:r>
          </w:p>
        </w:tc>
      </w:tr>
      <w:tr w:rsidR="00912150" w14:paraId="3547A742"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3EBCA390" w14:textId="2EE030D8" w:rsidR="00912150" w:rsidRDefault="17B27E19" w:rsidP="00902DD1">
            <w:pPr>
              <w:spacing w:after="0"/>
              <w:rPr>
                <w:rFonts w:ascii="Calibri" w:hAnsi="Calibri"/>
                <w:color w:val="FFFFFF" w:themeColor="background1"/>
              </w:rPr>
            </w:pPr>
            <w:r w:rsidRPr="78C4367D">
              <w:rPr>
                <w:rFonts w:ascii="Calibri" w:hAnsi="Calibri"/>
                <w:color w:val="FFFFFF" w:themeColor="background1"/>
              </w:rPr>
              <w:t>2</w:t>
            </w:r>
            <w:r w:rsidR="055D50EF" w:rsidRPr="78C4367D">
              <w:rPr>
                <w:rFonts w:ascii="Calibri" w:hAnsi="Calibri"/>
                <w:color w:val="FFFFFF" w:themeColor="background1"/>
              </w:rPr>
              <w:t>7</w:t>
            </w:r>
          </w:p>
        </w:tc>
        <w:tc>
          <w:tcPr>
            <w:tcW w:w="8505" w:type="dxa"/>
            <w:tcBorders>
              <w:left w:val="single" w:sz="4" w:space="0" w:color="FFFFFF" w:themeColor="background1"/>
            </w:tcBorders>
            <w:vAlign w:val="top"/>
          </w:tcPr>
          <w:p w14:paraId="65DB9DF5" w14:textId="77777777" w:rsidR="00912150" w:rsidRPr="4A81C948" w:rsidRDefault="00912150" w:rsidP="00902DD1">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33DE70E5">
              <w:rPr>
                <w:rFonts w:ascii="Calibri" w:eastAsia="Calibri" w:hAnsi="Calibri" w:cs="Calibri"/>
                <w:color w:val="000000" w:themeColor="text1"/>
              </w:rPr>
              <w:t>What can we do to support and encourage women to seek a career via a VET pathway?</w:t>
            </w:r>
          </w:p>
        </w:tc>
      </w:tr>
      <w:tr w:rsidR="00912150" w14:paraId="0C28111E" w14:textId="77777777" w:rsidTr="78C4367D">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18E84DFE" w14:textId="67226685" w:rsidR="00912150" w:rsidRDefault="17B27E19" w:rsidP="00902DD1">
            <w:pPr>
              <w:spacing w:after="0"/>
              <w:rPr>
                <w:rFonts w:ascii="Calibri" w:hAnsi="Calibri"/>
                <w:color w:val="FFFFFF" w:themeColor="background1"/>
              </w:rPr>
            </w:pPr>
            <w:r w:rsidRPr="78C4367D">
              <w:rPr>
                <w:rFonts w:ascii="Calibri" w:hAnsi="Calibri"/>
                <w:color w:val="FFFFFF" w:themeColor="background1"/>
              </w:rPr>
              <w:t>2</w:t>
            </w:r>
            <w:r w:rsidR="055D50EF" w:rsidRPr="78C4367D">
              <w:rPr>
                <w:rFonts w:ascii="Calibri" w:hAnsi="Calibri"/>
                <w:color w:val="FFFFFF" w:themeColor="background1"/>
              </w:rPr>
              <w:t>8</w:t>
            </w:r>
          </w:p>
        </w:tc>
        <w:tc>
          <w:tcPr>
            <w:tcW w:w="8505" w:type="dxa"/>
            <w:tcBorders>
              <w:left w:val="single" w:sz="4" w:space="0" w:color="FFFFFF" w:themeColor="background1"/>
            </w:tcBorders>
            <w:vAlign w:val="top"/>
          </w:tcPr>
          <w:p w14:paraId="2304D9E6" w14:textId="77777777" w:rsidR="00912150" w:rsidRPr="4A81C948" w:rsidRDefault="00912150" w:rsidP="00902DD1">
            <w:pPr>
              <w:spacing w:after="0"/>
              <w:cnfStyle w:val="000000000000" w:firstRow="0" w:lastRow="0" w:firstColumn="0" w:lastColumn="0" w:oddVBand="0" w:evenVBand="0" w:oddHBand="0" w:evenHBand="0" w:firstRowFirstColumn="0" w:firstRowLastColumn="0" w:lastRowFirstColumn="0" w:lastRowLastColumn="0"/>
              <w:rPr>
                <w:color w:val="000000" w:themeColor="text1"/>
              </w:rPr>
            </w:pPr>
            <w:r w:rsidRPr="5AECAFDB">
              <w:rPr>
                <w:rFonts w:ascii="Calibri" w:eastAsia="Calibri" w:hAnsi="Calibri" w:cs="Calibri"/>
                <w:color w:val="000000" w:themeColor="text1"/>
              </w:rPr>
              <w:t>Is there an initiative or mechanism that you consider has been successful in supporting and encouraging women to pursue a career via a VET pathway?</w:t>
            </w:r>
          </w:p>
        </w:tc>
      </w:tr>
    </w:tbl>
    <w:p w14:paraId="2E599022" w14:textId="77777777" w:rsidR="00A71DF6" w:rsidRDefault="00A71DF6" w:rsidP="00305D8A">
      <w:pPr>
        <w:pStyle w:val="Heading1"/>
      </w:pPr>
      <w:bookmarkStart w:id="250" w:name="_Toc608000152"/>
      <w:bookmarkStart w:id="251" w:name="_Toc1721688705"/>
      <w:bookmarkStart w:id="252" w:name="_Toc705696444"/>
      <w:bookmarkStart w:id="253" w:name="_Toc501699717"/>
      <w:bookmarkStart w:id="254" w:name="_Toc117246154"/>
    </w:p>
    <w:p w14:paraId="0B69C308" w14:textId="77777777" w:rsidR="00A71DF6" w:rsidRDefault="00A71DF6" w:rsidP="78C4367D">
      <w:pPr>
        <w:spacing w:after="160" w:line="259" w:lineRule="auto"/>
        <w:rPr>
          <w:rFonts w:ascii="Calibri" w:eastAsiaTheme="majorEastAsia" w:hAnsi="Calibri" w:cstheme="majorBidi"/>
          <w:b/>
          <w:bCs/>
          <w:color w:val="789B4A"/>
          <w:sz w:val="32"/>
          <w:szCs w:val="32"/>
        </w:rPr>
      </w:pPr>
      <w:r>
        <w:br w:type="page"/>
      </w:r>
    </w:p>
    <w:p w14:paraId="4B805D1F" w14:textId="3CFB2FE9" w:rsidR="00305D8A" w:rsidRDefault="00305D8A" w:rsidP="00305D8A">
      <w:pPr>
        <w:pStyle w:val="Heading1"/>
      </w:pPr>
      <w:bookmarkStart w:id="255" w:name="_Toc120101391"/>
      <w:r>
        <w:t>Appendices</w:t>
      </w:r>
      <w:bookmarkEnd w:id="250"/>
      <w:bookmarkEnd w:id="251"/>
      <w:bookmarkEnd w:id="252"/>
      <w:bookmarkEnd w:id="253"/>
      <w:bookmarkEnd w:id="254"/>
      <w:bookmarkEnd w:id="255"/>
    </w:p>
    <w:tbl>
      <w:tblPr>
        <w:tblStyle w:val="DESE"/>
        <w:tblW w:w="9067" w:type="dxa"/>
        <w:tblLook w:val="04A0" w:firstRow="1" w:lastRow="0" w:firstColumn="1" w:lastColumn="0" w:noHBand="0" w:noVBand="1"/>
        <w:tblDescription w:val="Appendix Titles"/>
      </w:tblPr>
      <w:tblGrid>
        <w:gridCol w:w="2122"/>
        <w:gridCol w:w="6945"/>
      </w:tblGrid>
      <w:tr w:rsidR="00BC0E23" w14:paraId="7BE42A8D" w14:textId="77777777" w:rsidTr="00902DD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85A903" w14:textId="77777777" w:rsidR="00BC0E23" w:rsidRPr="00B100CC" w:rsidRDefault="00BC0E23" w:rsidP="00902DD1">
            <w:pPr>
              <w:spacing w:after="100"/>
            </w:pPr>
            <w:r>
              <w:t>Appendix</w:t>
            </w:r>
          </w:p>
        </w:tc>
        <w:tc>
          <w:tcPr>
            <w:tcW w:w="6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top"/>
          </w:tcPr>
          <w:p w14:paraId="40B1B11B" w14:textId="77777777" w:rsidR="00BC0E23" w:rsidRPr="00B100CC" w:rsidRDefault="00BC0E23" w:rsidP="00902DD1">
            <w:pPr>
              <w:spacing w:after="100"/>
              <w:cnfStyle w:val="100000000000" w:firstRow="1" w:lastRow="0" w:firstColumn="0" w:lastColumn="0" w:oddVBand="0" w:evenVBand="0" w:oddHBand="0" w:evenHBand="0" w:firstRowFirstColumn="0" w:firstRowLastColumn="0" w:lastRowFirstColumn="0" w:lastRowLastColumn="0"/>
            </w:pPr>
            <w:r>
              <w:t>Title</w:t>
            </w:r>
          </w:p>
        </w:tc>
      </w:tr>
      <w:tr w:rsidR="00BC0E23" w14:paraId="2BD9D2C3" w14:textId="77777777" w:rsidTr="00902DD1">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04246"/>
            <w:vAlign w:val="top"/>
          </w:tcPr>
          <w:p w14:paraId="7B4169F1" w14:textId="77777777" w:rsidR="00BC0E23" w:rsidRPr="0017294C" w:rsidRDefault="00BC0E23" w:rsidP="00902DD1">
            <w:pPr>
              <w:spacing w:after="100"/>
              <w:rPr>
                <w:rFonts w:ascii="Calibri" w:hAnsi="Calibri"/>
                <w:color w:val="FFFFFF" w:themeColor="background1"/>
              </w:rPr>
            </w:pPr>
            <w:r>
              <w:rPr>
                <w:rFonts w:ascii="Calibri" w:hAnsi="Calibri"/>
                <w:color w:val="FFFFFF" w:themeColor="background1"/>
              </w:rPr>
              <w:t>Appendix A</w:t>
            </w:r>
          </w:p>
        </w:tc>
        <w:tc>
          <w:tcPr>
            <w:tcW w:w="6945" w:type="dxa"/>
            <w:tcBorders>
              <w:top w:val="single" w:sz="4" w:space="0" w:color="FFFFFF" w:themeColor="background1"/>
              <w:left w:val="single" w:sz="4" w:space="0" w:color="FFFFFF" w:themeColor="background1"/>
            </w:tcBorders>
            <w:vAlign w:val="top"/>
          </w:tcPr>
          <w:p w14:paraId="178A332C" w14:textId="77777777" w:rsidR="00BC0E23" w:rsidRPr="00E87BC6" w:rsidRDefault="00BC0E23" w:rsidP="00902DD1">
            <w:pPr>
              <w:spacing w:after="100"/>
              <w:cnfStyle w:val="000000000000" w:firstRow="0" w:lastRow="0" w:firstColumn="0" w:lastColumn="0" w:oddVBand="0" w:evenVBand="0" w:oddHBand="0" w:evenHBand="0" w:firstRowFirstColumn="0" w:firstRowLastColumn="0" w:lastRowFirstColumn="0" w:lastRowLastColumn="0"/>
              <w:rPr>
                <w:rFonts w:cstheme="minorHAnsi"/>
              </w:rPr>
            </w:pPr>
            <w:r>
              <w:rPr>
                <w:rFonts w:eastAsia="Calibri" w:cstheme="minorHAnsi"/>
                <w:color w:val="000000" w:themeColor="text1"/>
              </w:rPr>
              <w:t>Glossary of terms</w:t>
            </w:r>
          </w:p>
        </w:tc>
      </w:tr>
      <w:tr w:rsidR="00BC0E23" w14:paraId="6A4DC8B7" w14:textId="77777777" w:rsidTr="00902DD1">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FFFFFF" w:themeColor="background1"/>
              <w:bottom w:val="single" w:sz="4" w:space="0" w:color="FFFFFF" w:themeColor="background1"/>
              <w:right w:val="single" w:sz="4" w:space="0" w:color="FFFFFF" w:themeColor="background1"/>
            </w:tcBorders>
            <w:shd w:val="clear" w:color="auto" w:fill="404246"/>
            <w:vAlign w:val="top"/>
          </w:tcPr>
          <w:p w14:paraId="5E774A05" w14:textId="77777777" w:rsidR="00BC0E23" w:rsidRPr="0017294C" w:rsidRDefault="00BC0E23" w:rsidP="00902DD1">
            <w:pPr>
              <w:spacing w:beforeAutospacing="0" w:after="0" w:afterAutospacing="0"/>
              <w:rPr>
                <w:rFonts w:ascii="Calibri" w:hAnsi="Calibri"/>
                <w:color w:val="FFFFFF" w:themeColor="background1"/>
              </w:rPr>
            </w:pPr>
            <w:r>
              <w:rPr>
                <w:rFonts w:ascii="Calibri" w:hAnsi="Calibri"/>
                <w:color w:val="FFFFFF" w:themeColor="background1"/>
              </w:rPr>
              <w:t>Appendix B</w:t>
            </w:r>
          </w:p>
        </w:tc>
        <w:tc>
          <w:tcPr>
            <w:tcW w:w="6945" w:type="dxa"/>
            <w:tcBorders>
              <w:left w:val="single" w:sz="4" w:space="0" w:color="FFFFFF" w:themeColor="background1"/>
            </w:tcBorders>
            <w:vAlign w:val="top"/>
          </w:tcPr>
          <w:p w14:paraId="215F9116" w14:textId="4EC81740" w:rsidR="00BC0E23" w:rsidRPr="00E87BC6" w:rsidRDefault="00BC0E23" w:rsidP="00902DD1">
            <w:pPr>
              <w:spacing w:beforeAutospacing="0" w:after="0" w:afterAutospacing="0"/>
              <w:cnfStyle w:val="000000000000" w:firstRow="0" w:lastRow="0" w:firstColumn="0" w:lastColumn="0" w:oddVBand="0" w:evenVBand="0" w:oddHBand="0" w:evenHBand="0" w:firstRowFirstColumn="0" w:firstRowLastColumn="0" w:lastRowFirstColumn="0" w:lastRowLastColumn="0"/>
              <w:rPr>
                <w:rFonts w:cstheme="minorHAnsi"/>
              </w:rPr>
            </w:pPr>
            <w:r>
              <w:rPr>
                <w:rFonts w:eastAsia="Calibri" w:cstheme="minorHAnsi"/>
                <w:color w:val="000000" w:themeColor="text1"/>
              </w:rPr>
              <w:t>Existing state and territory government targets for apprentice</w:t>
            </w:r>
            <w:r w:rsidR="00EF00B8">
              <w:rPr>
                <w:rFonts w:eastAsia="Calibri" w:cstheme="minorHAnsi"/>
                <w:color w:val="000000" w:themeColor="text1"/>
              </w:rPr>
              <w:t>s</w:t>
            </w:r>
            <w:r>
              <w:rPr>
                <w:rFonts w:eastAsia="Calibri" w:cstheme="minorHAnsi"/>
                <w:color w:val="000000" w:themeColor="text1"/>
              </w:rPr>
              <w:t>, trainees and cadets</w:t>
            </w:r>
          </w:p>
        </w:tc>
      </w:tr>
    </w:tbl>
    <w:p w14:paraId="456644B0" w14:textId="77777777" w:rsidR="00535F8B" w:rsidRDefault="00535F8B">
      <w:pPr>
        <w:spacing w:after="160" w:line="259" w:lineRule="auto"/>
      </w:pPr>
      <w:r>
        <w:br w:type="page"/>
      </w:r>
    </w:p>
    <w:p w14:paraId="368FE647" w14:textId="33E1CDA1" w:rsidR="006D2AA5" w:rsidRDefault="006D2AA5" w:rsidP="006D2AA5">
      <w:pPr>
        <w:pStyle w:val="Heading2"/>
        <w:ind w:left="720"/>
        <w:jc w:val="right"/>
      </w:pPr>
      <w:bookmarkStart w:id="256" w:name="_Toc1532369"/>
      <w:bookmarkStart w:id="257" w:name="_Toc449973475"/>
      <w:bookmarkStart w:id="258" w:name="_Toc1741151298"/>
      <w:bookmarkStart w:id="259" w:name="_Toc1488466742"/>
      <w:bookmarkStart w:id="260" w:name="_Toc1056972894"/>
      <w:bookmarkStart w:id="261" w:name="_Toc875510075"/>
      <w:bookmarkStart w:id="262" w:name="_Toc175179426"/>
      <w:bookmarkStart w:id="263" w:name="_Toc2043735259"/>
      <w:bookmarkStart w:id="264" w:name="_Toc1303985655"/>
      <w:bookmarkStart w:id="265" w:name="_Toc120189768"/>
      <w:bookmarkStart w:id="266" w:name="_Toc117246155"/>
      <w:bookmarkStart w:id="267" w:name="_Toc120101392"/>
      <w:r>
        <w:t>Appendix A: Glossary of terms</w:t>
      </w:r>
      <w:bookmarkEnd w:id="256"/>
      <w:bookmarkEnd w:id="257"/>
      <w:bookmarkEnd w:id="258"/>
      <w:bookmarkEnd w:id="259"/>
      <w:bookmarkEnd w:id="260"/>
      <w:bookmarkEnd w:id="261"/>
      <w:bookmarkEnd w:id="262"/>
      <w:bookmarkEnd w:id="263"/>
      <w:bookmarkEnd w:id="264"/>
      <w:bookmarkEnd w:id="265"/>
      <w:bookmarkEnd w:id="266"/>
      <w:bookmarkEnd w:id="267"/>
    </w:p>
    <w:tbl>
      <w:tblPr>
        <w:tblStyle w:val="DESE"/>
        <w:tblW w:w="9067" w:type="dxa"/>
        <w:tblLook w:val="04A0" w:firstRow="1" w:lastRow="0" w:firstColumn="1" w:lastColumn="0" w:noHBand="0" w:noVBand="1"/>
        <w:tblDescription w:val="Glossary terms and definitions"/>
      </w:tblPr>
      <w:tblGrid>
        <w:gridCol w:w="1634"/>
        <w:gridCol w:w="7433"/>
      </w:tblGrid>
      <w:tr w:rsidR="00244CC6" w14:paraId="5F03AE52" w14:textId="77777777" w:rsidTr="4FCD50C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34" w:type="dxa"/>
            <w:tcBorders>
              <w:top w:val="single" w:sz="4" w:space="0" w:color="002D3F" w:themeColor="accent1"/>
            </w:tcBorders>
          </w:tcPr>
          <w:p w14:paraId="1F48B9F4" w14:textId="1D1FED1A" w:rsidR="00244CC6" w:rsidRPr="00B100CC" w:rsidRDefault="00244CC6" w:rsidP="001F7F06">
            <w:pPr>
              <w:spacing w:after="100"/>
            </w:pPr>
            <w:r>
              <w:t>Term</w:t>
            </w:r>
          </w:p>
        </w:tc>
        <w:tc>
          <w:tcPr>
            <w:tcW w:w="7433" w:type="dxa"/>
            <w:tcBorders>
              <w:top w:val="single" w:sz="4" w:space="0" w:color="002D3F" w:themeColor="accent1"/>
            </w:tcBorders>
          </w:tcPr>
          <w:p w14:paraId="44127DFD" w14:textId="35DC7E6D" w:rsidR="00244CC6" w:rsidRPr="00B100CC" w:rsidRDefault="00244CC6" w:rsidP="001F7F06">
            <w:pPr>
              <w:spacing w:after="100"/>
              <w:cnfStyle w:val="100000000000" w:firstRow="1" w:lastRow="0" w:firstColumn="0" w:lastColumn="0" w:oddVBand="0" w:evenVBand="0" w:oddHBand="0" w:evenHBand="0" w:firstRowFirstColumn="0" w:firstRowLastColumn="0" w:lastRowFirstColumn="0" w:lastRowLastColumn="0"/>
            </w:pPr>
            <w:r w:rsidRPr="00244CC6">
              <w:t>Definition in the Australian Skills Guarantee context</w:t>
            </w:r>
          </w:p>
        </w:tc>
      </w:tr>
      <w:tr w:rsidR="00244CC6" w14:paraId="68E40636" w14:textId="77777777" w:rsidTr="4FCD50CC">
        <w:tc>
          <w:tcPr>
            <w:cnfStyle w:val="001000000000" w:firstRow="0" w:lastRow="0" w:firstColumn="1" w:lastColumn="0" w:oddVBand="0" w:evenVBand="0" w:oddHBand="0" w:evenHBand="0" w:firstRowFirstColumn="0" w:firstRowLastColumn="0" w:lastRowFirstColumn="0" w:lastRowLastColumn="0"/>
            <w:tcW w:w="1634" w:type="dxa"/>
            <w:vAlign w:val="top"/>
          </w:tcPr>
          <w:p w14:paraId="2B43665E" w14:textId="19E9BF6E" w:rsidR="00244CC6" w:rsidRPr="00E50524" w:rsidRDefault="00244CC6" w:rsidP="00244CC6">
            <w:pPr>
              <w:spacing w:after="100"/>
              <w:rPr>
                <w:b/>
                <w:bCs/>
              </w:rPr>
            </w:pPr>
            <w:r w:rsidRPr="00E50524">
              <w:rPr>
                <w:b/>
                <w:bCs/>
              </w:rPr>
              <w:t>Apprentice/ trainee</w:t>
            </w:r>
          </w:p>
        </w:tc>
        <w:tc>
          <w:tcPr>
            <w:tcW w:w="7433" w:type="dxa"/>
            <w:vAlign w:val="top"/>
          </w:tcPr>
          <w:p w14:paraId="53BAF12D" w14:textId="41FE58D2" w:rsidR="00244CC6" w:rsidRDefault="00244CC6" w:rsidP="00244CC6">
            <w:pPr>
              <w:spacing w:after="100"/>
              <w:cnfStyle w:val="000000000000" w:firstRow="0" w:lastRow="0" w:firstColumn="0" w:lastColumn="0" w:oddVBand="0" w:evenVBand="0" w:oddHBand="0" w:evenHBand="0" w:firstRowFirstColumn="0" w:firstRowLastColumn="0" w:lastRowFirstColumn="0" w:lastRowLastColumn="0"/>
            </w:pPr>
            <w:r w:rsidRPr="00235DE3">
              <w:rPr>
                <w:rFonts w:ascii="Calibri" w:eastAsia="Calibri" w:hAnsi="Calibri" w:cs="Calibri"/>
                <w:color w:val="000000" w:themeColor="text1"/>
              </w:rPr>
              <w:t>Refers to a person undertaking an Australian Apprenticeship that combines a formal qualification with paid employment. It is vocational training underpinned by a training contract approved by the relevant State Training Authority involving on-the-job and off-the-job training.</w:t>
            </w:r>
          </w:p>
        </w:tc>
      </w:tr>
      <w:tr w:rsidR="00244CC6" w14:paraId="2D582A8F" w14:textId="77777777" w:rsidTr="4FCD50CC">
        <w:tc>
          <w:tcPr>
            <w:cnfStyle w:val="001000000000" w:firstRow="0" w:lastRow="0" w:firstColumn="1" w:lastColumn="0" w:oddVBand="0" w:evenVBand="0" w:oddHBand="0" w:evenHBand="0" w:firstRowFirstColumn="0" w:firstRowLastColumn="0" w:lastRowFirstColumn="0" w:lastRowLastColumn="0"/>
            <w:tcW w:w="1634" w:type="dxa"/>
            <w:vAlign w:val="top"/>
          </w:tcPr>
          <w:p w14:paraId="4CAF944F" w14:textId="21DECED8" w:rsidR="00244CC6" w:rsidRPr="00E50524" w:rsidRDefault="00244CC6" w:rsidP="00244CC6">
            <w:pPr>
              <w:spacing w:after="100"/>
              <w:rPr>
                <w:b/>
                <w:bCs/>
              </w:rPr>
            </w:pPr>
            <w:r w:rsidRPr="00E50524">
              <w:rPr>
                <w:b/>
                <w:bCs/>
              </w:rPr>
              <w:t xml:space="preserve">Construction </w:t>
            </w:r>
            <w:r w:rsidR="00441844">
              <w:rPr>
                <w:b/>
                <w:bCs/>
              </w:rPr>
              <w:t>S</w:t>
            </w:r>
            <w:r w:rsidRPr="00E50524">
              <w:rPr>
                <w:b/>
                <w:bCs/>
              </w:rPr>
              <w:t>ervices (as a procurement category)</w:t>
            </w:r>
          </w:p>
        </w:tc>
        <w:tc>
          <w:tcPr>
            <w:tcW w:w="7433" w:type="dxa"/>
            <w:vAlign w:val="top"/>
          </w:tcPr>
          <w:p w14:paraId="06D9791D" w14:textId="3DF0E2D1" w:rsidR="00244CC6" w:rsidRDefault="00244CC6" w:rsidP="00244CC6">
            <w:pPr>
              <w:spacing w:after="100"/>
              <w:cnfStyle w:val="000000000000" w:firstRow="0" w:lastRow="0" w:firstColumn="0" w:lastColumn="0" w:oddVBand="0" w:evenVBand="0" w:oddHBand="0" w:evenHBand="0" w:firstRowFirstColumn="0" w:firstRowLastColumn="0" w:lastRowFirstColumn="0" w:lastRowLastColumn="0"/>
            </w:pPr>
            <w:r>
              <w:rPr>
                <w:rFonts w:ascii="Calibri" w:eastAsia="Calibri" w:hAnsi="Calibri" w:cs="Calibri"/>
                <w:color w:val="000000" w:themeColor="text1"/>
              </w:rPr>
              <w:t xml:space="preserve">Refers to </w:t>
            </w:r>
            <w:r w:rsidRPr="00585D7F">
              <w:rPr>
                <w:rFonts w:ascii="Calibri" w:eastAsia="Calibri" w:hAnsi="Calibri" w:cs="Calibri"/>
                <w:color w:val="000000" w:themeColor="text1"/>
              </w:rPr>
              <w:t>Building and Construction and Maintenance Services</w:t>
            </w:r>
            <w:r>
              <w:rPr>
                <w:rFonts w:ascii="Calibri" w:eastAsia="Calibri" w:hAnsi="Calibri" w:cs="Calibri"/>
                <w:color w:val="000000" w:themeColor="text1"/>
              </w:rPr>
              <w:t xml:space="preserve"> as per </w:t>
            </w:r>
            <w:r w:rsidRPr="5B5FD623">
              <w:rPr>
                <w:rFonts w:eastAsiaTheme="minorEastAsia"/>
              </w:rPr>
              <w:t>United Nations Standard Product and Services Category Codes</w:t>
            </w:r>
            <w:r>
              <w:rPr>
                <w:rFonts w:eastAsiaTheme="minorEastAsia"/>
              </w:rPr>
              <w:t xml:space="preserve"> customised for AusTender. </w:t>
            </w:r>
            <w:r w:rsidRPr="00C05C71">
              <w:rPr>
                <w:rFonts w:ascii="Calibri" w:eastAsia="Calibri" w:hAnsi="Calibri" w:cs="Calibri"/>
                <w:color w:val="000000" w:themeColor="text1"/>
              </w:rPr>
              <w:t>This</w:t>
            </w:r>
            <w:r>
              <w:rPr>
                <w:rFonts w:ascii="Calibri" w:eastAsia="Calibri" w:hAnsi="Calibri" w:cs="Calibri"/>
                <w:color w:val="000000" w:themeColor="text1"/>
              </w:rPr>
              <w:t xml:space="preserve"> procurement category</w:t>
            </w:r>
            <w:r w:rsidRPr="00C05C71">
              <w:rPr>
                <w:rFonts w:ascii="Calibri" w:eastAsia="Calibri" w:hAnsi="Calibri" w:cs="Calibri"/>
                <w:color w:val="000000" w:themeColor="text1"/>
              </w:rPr>
              <w:t xml:space="preserve"> includes services associated with the construction and maintenance of facilities, buildings, structures, roads and infrastructure.</w:t>
            </w:r>
            <w:r>
              <w:rPr>
                <w:rFonts w:ascii="Calibri" w:eastAsia="Calibri" w:hAnsi="Calibri" w:cs="Calibri"/>
                <w:color w:val="000000" w:themeColor="text1"/>
              </w:rPr>
              <w:t xml:space="preserve"> It </w:t>
            </w:r>
            <w:r w:rsidRPr="00C05C71">
              <w:rPr>
                <w:rFonts w:ascii="Calibri" w:eastAsia="Calibri" w:hAnsi="Calibri" w:cs="Calibri"/>
                <w:color w:val="000000" w:themeColor="text1"/>
              </w:rPr>
              <w:t>also includes trades such as general contractors, electricians, plumbers, carpenters, painters, and roofing, landscaping, gardening and pest control.</w:t>
            </w:r>
            <w:r>
              <w:rPr>
                <w:rFonts w:ascii="Calibri" w:eastAsia="Calibri" w:hAnsi="Calibri" w:cs="Calibri"/>
                <w:color w:val="000000" w:themeColor="text1"/>
              </w:rPr>
              <w:t xml:space="preserve"> </w:t>
            </w:r>
            <w:r>
              <w:t>See definition for Procurement category.</w:t>
            </w:r>
          </w:p>
        </w:tc>
      </w:tr>
      <w:tr w:rsidR="00A95985" w14:paraId="0B1F0F0A" w14:textId="77777777" w:rsidTr="4FCD50CC">
        <w:tc>
          <w:tcPr>
            <w:cnfStyle w:val="001000000000" w:firstRow="0" w:lastRow="0" w:firstColumn="1" w:lastColumn="0" w:oddVBand="0" w:evenVBand="0" w:oddHBand="0" w:evenHBand="0" w:firstRowFirstColumn="0" w:firstRowLastColumn="0" w:lastRowFirstColumn="0" w:lastRowLastColumn="0"/>
            <w:tcW w:w="1634" w:type="dxa"/>
            <w:vAlign w:val="top"/>
          </w:tcPr>
          <w:p w14:paraId="75277B66" w14:textId="77777777" w:rsidR="00A95985" w:rsidRPr="00E50524" w:rsidRDefault="00A95985" w:rsidP="008219ED">
            <w:pPr>
              <w:spacing w:after="100"/>
              <w:rPr>
                <w:b/>
                <w:bCs/>
              </w:rPr>
            </w:pPr>
            <w:r w:rsidRPr="00E50524">
              <w:rPr>
                <w:b/>
                <w:bCs/>
              </w:rPr>
              <w:t>Contracting agency</w:t>
            </w:r>
          </w:p>
        </w:tc>
        <w:tc>
          <w:tcPr>
            <w:tcW w:w="7433" w:type="dxa"/>
            <w:vAlign w:val="top"/>
          </w:tcPr>
          <w:p w14:paraId="06B5E501" w14:textId="77777777" w:rsidR="00A95985" w:rsidRDefault="00A95985" w:rsidP="008219ED">
            <w:pPr>
              <w:spacing w:after="10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747B903D">
              <w:rPr>
                <w:rFonts w:eastAsiaTheme="minorEastAsia"/>
              </w:rPr>
              <w:t xml:space="preserve">The </w:t>
            </w:r>
            <w:r>
              <w:rPr>
                <w:rFonts w:eastAsiaTheme="minorEastAsia"/>
              </w:rPr>
              <w:t>government</w:t>
            </w:r>
            <w:r w:rsidRPr="747B903D">
              <w:rPr>
                <w:rFonts w:eastAsiaTheme="minorEastAsia"/>
              </w:rPr>
              <w:t xml:space="preserve"> ‘buyer’ developing and managing the tender process and establishing a contract with a </w:t>
            </w:r>
            <w:r w:rsidRPr="39DD5B07">
              <w:rPr>
                <w:rFonts w:eastAsiaTheme="minorEastAsia"/>
              </w:rPr>
              <w:t>supplier</w:t>
            </w:r>
            <w:r w:rsidRPr="747B903D">
              <w:rPr>
                <w:rFonts w:eastAsiaTheme="minorEastAsia"/>
              </w:rPr>
              <w:t>.</w:t>
            </w:r>
          </w:p>
        </w:tc>
      </w:tr>
      <w:tr w:rsidR="009718B0" w14:paraId="44952CC6" w14:textId="77777777" w:rsidTr="4FCD50CC">
        <w:tc>
          <w:tcPr>
            <w:cnfStyle w:val="001000000000" w:firstRow="0" w:lastRow="0" w:firstColumn="1" w:lastColumn="0" w:oddVBand="0" w:evenVBand="0" w:oddHBand="0" w:evenHBand="0" w:firstRowFirstColumn="0" w:firstRowLastColumn="0" w:lastRowFirstColumn="0" w:lastRowLastColumn="0"/>
            <w:tcW w:w="1634" w:type="dxa"/>
            <w:vAlign w:val="top"/>
          </w:tcPr>
          <w:p w14:paraId="2C09C5BA" w14:textId="77777777" w:rsidR="009D22BD" w:rsidRPr="00E50524" w:rsidRDefault="009D22BD" w:rsidP="008219ED">
            <w:pPr>
              <w:spacing w:after="100"/>
              <w:rPr>
                <w:b/>
                <w:bCs/>
              </w:rPr>
            </w:pPr>
            <w:r w:rsidRPr="00E50524">
              <w:rPr>
                <w:b/>
                <w:bCs/>
              </w:rPr>
              <w:t>Higher/Tertiary Education</w:t>
            </w:r>
          </w:p>
        </w:tc>
        <w:tc>
          <w:tcPr>
            <w:tcW w:w="7433" w:type="dxa"/>
            <w:vAlign w:val="top"/>
          </w:tcPr>
          <w:p w14:paraId="0DF33429" w14:textId="77777777" w:rsidR="009D22BD" w:rsidRPr="39DD5B07" w:rsidRDefault="009D22BD" w:rsidP="008219ED">
            <w:pPr>
              <w:spacing w:after="100"/>
              <w:cnfStyle w:val="000000000000" w:firstRow="0" w:lastRow="0" w:firstColumn="0" w:lastColumn="0" w:oddVBand="0" w:evenVBand="0" w:oddHBand="0" w:evenHBand="0" w:firstRowFirstColumn="0" w:firstRowLastColumn="0" w:lastRowFirstColumn="0" w:lastRowLastColumn="0"/>
              <w:rPr>
                <w:rFonts w:eastAsiaTheme="minorEastAsia"/>
              </w:rPr>
            </w:pPr>
            <w:r>
              <w:t xml:space="preserve">Higher/Tertiary Education consists of awards spanning </w:t>
            </w:r>
            <w:r w:rsidRPr="00F37669">
              <w:rPr>
                <w:i/>
                <w:iCs/>
              </w:rPr>
              <w:t>Australian Qualification Framework</w:t>
            </w:r>
            <w:r>
              <w:t xml:space="preserve"> levels 5-10, which include: </w:t>
            </w:r>
            <w:r w:rsidRPr="00F37669">
              <w:t>diplomas; advanced diplomas; associate degrees; bachelor degrees (including honours); graduate certificates; graduate diplomas; masters degrees; doctoral degrees; and higher doctoral degrees.</w:t>
            </w:r>
            <w:r w:rsidRPr="39DD5B07">
              <w:t xml:space="preserve"> It is mostly theory-based learning </w:t>
            </w:r>
            <w:r w:rsidRPr="00A713BC">
              <w:rPr>
                <w:rFonts w:eastAsiaTheme="minorEastAsia"/>
              </w:rPr>
              <w:t>and some courses include practical elements.</w:t>
            </w:r>
          </w:p>
        </w:tc>
      </w:tr>
      <w:tr w:rsidR="00244CC6" w14:paraId="77CB43D5" w14:textId="77777777" w:rsidTr="4FCD50CC">
        <w:tc>
          <w:tcPr>
            <w:cnfStyle w:val="001000000000" w:firstRow="0" w:lastRow="0" w:firstColumn="1" w:lastColumn="0" w:oddVBand="0" w:evenVBand="0" w:oddHBand="0" w:evenHBand="0" w:firstRowFirstColumn="0" w:firstRowLastColumn="0" w:lastRowFirstColumn="0" w:lastRowLastColumn="0"/>
            <w:tcW w:w="1634" w:type="dxa"/>
            <w:vAlign w:val="top"/>
          </w:tcPr>
          <w:p w14:paraId="72ED8402" w14:textId="4AA3632A" w:rsidR="00244CC6" w:rsidRPr="00E50524" w:rsidRDefault="00244CC6" w:rsidP="00244CC6">
            <w:pPr>
              <w:spacing w:after="100"/>
              <w:rPr>
                <w:b/>
                <w:bCs/>
              </w:rPr>
            </w:pPr>
            <w:r w:rsidRPr="00E50524">
              <w:rPr>
                <w:b/>
                <w:bCs/>
              </w:rPr>
              <w:t>Learning worker</w:t>
            </w:r>
          </w:p>
        </w:tc>
        <w:tc>
          <w:tcPr>
            <w:tcW w:w="7433" w:type="dxa"/>
            <w:vAlign w:val="top"/>
          </w:tcPr>
          <w:p w14:paraId="1CEE29EE" w14:textId="79201ABF" w:rsidR="00244CC6" w:rsidRDefault="00244CC6" w:rsidP="00244CC6">
            <w:pPr>
              <w:spacing w:after="10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78B510CA">
              <w:rPr>
                <w:rFonts w:eastAsiaTheme="minorEastAsia"/>
                <w:color w:val="000000" w:themeColor="text1"/>
              </w:rPr>
              <w:t xml:space="preserve">A paid employee undertaking accredited VET or higher education training </w:t>
            </w:r>
            <w:r w:rsidRPr="2F8D9EA9">
              <w:rPr>
                <w:rFonts w:eastAsiaTheme="minorEastAsia"/>
                <w:color w:val="000000" w:themeColor="text1"/>
              </w:rPr>
              <w:t xml:space="preserve">(full or part qualification), </w:t>
            </w:r>
            <w:r w:rsidRPr="78B510CA">
              <w:rPr>
                <w:rFonts w:eastAsiaTheme="minorEastAsia"/>
                <w:color w:val="000000" w:themeColor="text1"/>
              </w:rPr>
              <w:t>outside of an apprenticeship, traineeship or cadetship arrangement</w:t>
            </w:r>
            <w:r w:rsidRPr="2F8D9EA9">
              <w:rPr>
                <w:rFonts w:eastAsiaTheme="minorEastAsia"/>
                <w:color w:val="000000" w:themeColor="text1"/>
              </w:rPr>
              <w:t>,</w:t>
            </w:r>
            <w:r w:rsidRPr="78B510CA">
              <w:rPr>
                <w:rFonts w:eastAsiaTheme="minorEastAsia"/>
                <w:color w:val="000000" w:themeColor="text1"/>
              </w:rPr>
              <w:t xml:space="preserve"> relevant to the employment and skills needs of the employer.</w:t>
            </w:r>
          </w:p>
        </w:tc>
      </w:tr>
      <w:tr w:rsidR="00A95985" w14:paraId="5EB061BD" w14:textId="77777777" w:rsidTr="4FCD50CC">
        <w:tc>
          <w:tcPr>
            <w:cnfStyle w:val="001000000000" w:firstRow="0" w:lastRow="0" w:firstColumn="1" w:lastColumn="0" w:oddVBand="0" w:evenVBand="0" w:oddHBand="0" w:evenHBand="0" w:firstRowFirstColumn="0" w:firstRowLastColumn="0" w:lastRowFirstColumn="0" w:lastRowLastColumn="0"/>
            <w:tcW w:w="1634" w:type="dxa"/>
            <w:vAlign w:val="top"/>
          </w:tcPr>
          <w:p w14:paraId="00F7FD40" w14:textId="77777777" w:rsidR="00A95985" w:rsidRPr="00E50524" w:rsidRDefault="00A95985" w:rsidP="008219ED">
            <w:pPr>
              <w:spacing w:after="100"/>
              <w:rPr>
                <w:b/>
                <w:bCs/>
              </w:rPr>
            </w:pPr>
            <w:r w:rsidRPr="00E50524">
              <w:rPr>
                <w:b/>
                <w:bCs/>
              </w:rPr>
              <w:t>Paid cadet</w:t>
            </w:r>
          </w:p>
        </w:tc>
        <w:tc>
          <w:tcPr>
            <w:tcW w:w="7433" w:type="dxa"/>
            <w:vAlign w:val="top"/>
          </w:tcPr>
          <w:p w14:paraId="44BB40C3" w14:textId="77777777" w:rsidR="00A95985" w:rsidRDefault="00A95985" w:rsidP="008219ED">
            <w:pPr>
              <w:spacing w:after="100"/>
              <w:cnfStyle w:val="000000000000" w:firstRow="0" w:lastRow="0" w:firstColumn="0" w:lastColumn="0" w:oddVBand="0" w:evenVBand="0" w:oddHBand="0" w:evenHBand="0" w:firstRowFirstColumn="0" w:firstRowLastColumn="0" w:lastRowFirstColumn="0" w:lastRowLastColumn="0"/>
            </w:pPr>
            <w:r w:rsidRPr="7A8EAC4A">
              <w:rPr>
                <w:rFonts w:ascii="Calibri" w:eastAsia="Calibri" w:hAnsi="Calibri" w:cs="Calibri"/>
                <w:color w:val="000000" w:themeColor="text1"/>
              </w:rPr>
              <w:t xml:space="preserve">A paid employee </w:t>
            </w:r>
            <w:r>
              <w:rPr>
                <w:rFonts w:ascii="Calibri" w:eastAsia="Calibri" w:hAnsi="Calibri" w:cs="Calibri"/>
                <w:color w:val="000000" w:themeColor="text1"/>
              </w:rPr>
              <w:t xml:space="preserve">who is employed in an entry-level role and undertaking </w:t>
            </w:r>
            <w:r w:rsidRPr="7A8EAC4A">
              <w:rPr>
                <w:rFonts w:ascii="Calibri" w:eastAsia="Calibri" w:hAnsi="Calibri" w:cs="Calibri"/>
                <w:color w:val="000000" w:themeColor="text1"/>
              </w:rPr>
              <w:t xml:space="preserve">academic study </w:t>
            </w:r>
            <w:r>
              <w:rPr>
                <w:rFonts w:ascii="Calibri" w:eastAsia="Calibri" w:hAnsi="Calibri" w:cs="Calibri"/>
                <w:color w:val="000000" w:themeColor="text1"/>
              </w:rPr>
              <w:t xml:space="preserve">through either the VET or higher education system towards a recognised qualification, where the employer has committed to providing the employee with on-the-job training and support to complete </w:t>
            </w:r>
            <w:r w:rsidRPr="7A8EAC4A">
              <w:rPr>
                <w:rFonts w:ascii="Calibri" w:eastAsia="Calibri" w:hAnsi="Calibri" w:cs="Calibri"/>
                <w:color w:val="000000" w:themeColor="text1"/>
              </w:rPr>
              <w:t>the specified course of academic study.</w:t>
            </w:r>
          </w:p>
        </w:tc>
      </w:tr>
      <w:tr w:rsidR="00244CC6" w14:paraId="452D86F2" w14:textId="77777777" w:rsidTr="4FCD50CC">
        <w:tc>
          <w:tcPr>
            <w:cnfStyle w:val="001000000000" w:firstRow="0" w:lastRow="0" w:firstColumn="1" w:lastColumn="0" w:oddVBand="0" w:evenVBand="0" w:oddHBand="0" w:evenHBand="0" w:firstRowFirstColumn="0" w:firstRowLastColumn="0" w:lastRowFirstColumn="0" w:lastRowLastColumn="0"/>
            <w:tcW w:w="1634" w:type="dxa"/>
            <w:vAlign w:val="top"/>
          </w:tcPr>
          <w:p w14:paraId="354EA33F" w14:textId="62FEAC70" w:rsidR="00244CC6" w:rsidRPr="00E50524" w:rsidRDefault="00244CC6" w:rsidP="00244CC6">
            <w:pPr>
              <w:spacing w:after="100"/>
              <w:rPr>
                <w:b/>
                <w:bCs/>
              </w:rPr>
            </w:pPr>
            <w:r w:rsidRPr="00E50524">
              <w:rPr>
                <w:b/>
                <w:bCs/>
              </w:rPr>
              <w:t>Procurement category</w:t>
            </w:r>
          </w:p>
        </w:tc>
        <w:tc>
          <w:tcPr>
            <w:tcW w:w="7433" w:type="dxa"/>
            <w:vAlign w:val="top"/>
          </w:tcPr>
          <w:p w14:paraId="24D9736B" w14:textId="5F2A2977" w:rsidR="00244CC6" w:rsidRDefault="18CF2251" w:rsidP="00244CC6">
            <w:pPr>
              <w:spacing w:after="10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4FCD50CC">
              <w:rPr>
                <w:rFonts w:eastAsiaTheme="minorEastAsia"/>
              </w:rPr>
              <w:t xml:space="preserve">AusTender uses the United Nations Standard Product and Services Category Codes (UNSPSC) to categorise contracts that have been awarded. A full list of UNSPSC Codes used by AusTender can be found on </w:t>
            </w:r>
            <w:hyperlink r:id="rId30">
              <w:r w:rsidRPr="4FCD50CC">
                <w:rPr>
                  <w:rStyle w:val="Hyperlink"/>
                  <w:rFonts w:eastAsiaTheme="minorEastAsia"/>
                </w:rPr>
                <w:t>data.gov.au</w:t>
              </w:r>
            </w:hyperlink>
            <w:r w:rsidRPr="4FCD50CC">
              <w:rPr>
                <w:rFonts w:eastAsiaTheme="minorEastAsia"/>
              </w:rPr>
              <w:t>.</w:t>
            </w:r>
          </w:p>
        </w:tc>
      </w:tr>
      <w:tr w:rsidR="00244CC6" w14:paraId="58E48860" w14:textId="77777777" w:rsidTr="4FCD50CC">
        <w:tc>
          <w:tcPr>
            <w:cnfStyle w:val="001000000000" w:firstRow="0" w:lastRow="0" w:firstColumn="1" w:lastColumn="0" w:oddVBand="0" w:evenVBand="0" w:oddHBand="0" w:evenHBand="0" w:firstRowFirstColumn="0" w:firstRowLastColumn="0" w:lastRowFirstColumn="0" w:lastRowLastColumn="0"/>
            <w:tcW w:w="1634" w:type="dxa"/>
            <w:vAlign w:val="top"/>
          </w:tcPr>
          <w:p w14:paraId="7C4BB59A" w14:textId="22ED9951" w:rsidR="00244CC6" w:rsidRPr="00E50524" w:rsidRDefault="00244CC6" w:rsidP="00244CC6">
            <w:pPr>
              <w:spacing w:after="100"/>
              <w:rPr>
                <w:b/>
                <w:bCs/>
              </w:rPr>
            </w:pPr>
            <w:r w:rsidRPr="00E50524">
              <w:rPr>
                <w:b/>
                <w:bCs/>
              </w:rPr>
              <w:t xml:space="preserve">Sub-contractor </w:t>
            </w:r>
          </w:p>
        </w:tc>
        <w:tc>
          <w:tcPr>
            <w:tcW w:w="7433" w:type="dxa"/>
            <w:vAlign w:val="top"/>
          </w:tcPr>
          <w:p w14:paraId="7F82D2F9" w14:textId="101F7AF7" w:rsidR="00244CC6" w:rsidRPr="39DD5B07" w:rsidRDefault="00244CC6" w:rsidP="00244CC6">
            <w:pPr>
              <w:spacing w:after="100"/>
              <w:cnfStyle w:val="000000000000" w:firstRow="0" w:lastRow="0" w:firstColumn="0" w:lastColumn="0" w:oddVBand="0" w:evenVBand="0" w:oddHBand="0" w:evenHBand="0" w:firstRowFirstColumn="0" w:firstRowLastColumn="0" w:lastRowFirstColumn="0" w:lastRowLastColumn="0"/>
              <w:rPr>
                <w:rFonts w:eastAsiaTheme="minorEastAsia"/>
              </w:rPr>
            </w:pPr>
            <w:r w:rsidRPr="4D24FCA8">
              <w:rPr>
                <w:rFonts w:eastAsiaTheme="minorEastAsia"/>
              </w:rPr>
              <w:t xml:space="preserve">An individual or business firm contracting to perform part or all of another's contract. </w:t>
            </w:r>
          </w:p>
        </w:tc>
      </w:tr>
      <w:tr w:rsidR="00A95985" w14:paraId="22288111" w14:textId="77777777" w:rsidTr="4FCD50CC">
        <w:tc>
          <w:tcPr>
            <w:cnfStyle w:val="001000000000" w:firstRow="0" w:lastRow="0" w:firstColumn="1" w:lastColumn="0" w:oddVBand="0" w:evenVBand="0" w:oddHBand="0" w:evenHBand="0" w:firstRowFirstColumn="0" w:firstRowLastColumn="0" w:lastRowFirstColumn="0" w:lastRowLastColumn="0"/>
            <w:tcW w:w="1634" w:type="dxa"/>
            <w:vAlign w:val="top"/>
          </w:tcPr>
          <w:p w14:paraId="5C7061C3" w14:textId="77777777" w:rsidR="00A95985" w:rsidRPr="00E50524" w:rsidRDefault="00A95985" w:rsidP="008219ED">
            <w:pPr>
              <w:spacing w:after="100"/>
              <w:rPr>
                <w:b/>
                <w:bCs/>
              </w:rPr>
            </w:pPr>
            <w:r w:rsidRPr="00E50524">
              <w:rPr>
                <w:b/>
                <w:bCs/>
              </w:rPr>
              <w:t xml:space="preserve">Supplier </w:t>
            </w:r>
          </w:p>
        </w:tc>
        <w:tc>
          <w:tcPr>
            <w:tcW w:w="7433" w:type="dxa"/>
            <w:vAlign w:val="top"/>
          </w:tcPr>
          <w:p w14:paraId="5E634A5C" w14:textId="77777777" w:rsidR="00A95985" w:rsidRDefault="00A95985" w:rsidP="008219ED">
            <w:pPr>
              <w:spacing w:after="10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39DD5B07">
              <w:rPr>
                <w:rFonts w:eastAsiaTheme="minorEastAsia"/>
              </w:rPr>
              <w:t>A</w:t>
            </w:r>
            <w:r w:rsidRPr="00F37669">
              <w:rPr>
                <w:rFonts w:eastAsiaTheme="minorEastAsia"/>
              </w:rPr>
              <w:t xml:space="preserve"> person or </w:t>
            </w:r>
            <w:r w:rsidRPr="39DD5B07">
              <w:rPr>
                <w:rFonts w:eastAsiaTheme="minorEastAsia"/>
              </w:rPr>
              <w:t>e</w:t>
            </w:r>
            <w:r w:rsidRPr="39DD5B07">
              <w:rPr>
                <w:rFonts w:ascii="Calibri" w:eastAsia="Calibri" w:hAnsi="Calibri" w:cs="Calibri"/>
              </w:rPr>
              <w:t xml:space="preserve">ntity that has entered into a contract with the Commonwealth to </w:t>
            </w:r>
            <w:r w:rsidRPr="00F37669">
              <w:rPr>
                <w:rFonts w:eastAsiaTheme="minorEastAsia"/>
              </w:rPr>
              <w:t>provide a product or service.</w:t>
            </w:r>
          </w:p>
        </w:tc>
      </w:tr>
      <w:tr w:rsidR="00244CC6" w14:paraId="179D3188" w14:textId="77777777" w:rsidTr="4FCD50CC">
        <w:tc>
          <w:tcPr>
            <w:cnfStyle w:val="001000000000" w:firstRow="0" w:lastRow="0" w:firstColumn="1" w:lastColumn="0" w:oddVBand="0" w:evenVBand="0" w:oddHBand="0" w:evenHBand="0" w:firstRowFirstColumn="0" w:firstRowLastColumn="0" w:lastRowFirstColumn="0" w:lastRowLastColumn="0"/>
            <w:tcW w:w="1634" w:type="dxa"/>
            <w:vAlign w:val="top"/>
          </w:tcPr>
          <w:p w14:paraId="5A4D4151" w14:textId="22BD1499" w:rsidR="00244CC6" w:rsidRPr="00E50524" w:rsidRDefault="00244CC6" w:rsidP="00244CC6">
            <w:pPr>
              <w:spacing w:after="100"/>
              <w:rPr>
                <w:b/>
                <w:bCs/>
              </w:rPr>
            </w:pPr>
            <w:r w:rsidRPr="00E50524">
              <w:rPr>
                <w:b/>
                <w:bCs/>
              </w:rPr>
              <w:t>Trades</w:t>
            </w:r>
          </w:p>
        </w:tc>
        <w:tc>
          <w:tcPr>
            <w:tcW w:w="7433" w:type="dxa"/>
            <w:vAlign w:val="top"/>
          </w:tcPr>
          <w:p w14:paraId="60CF9BE9" w14:textId="4ACBF445" w:rsidR="00244CC6" w:rsidRPr="39DD5B07" w:rsidRDefault="00244CC6" w:rsidP="00244CC6">
            <w:pPr>
              <w:spacing w:after="100"/>
              <w:cnfStyle w:val="000000000000" w:firstRow="0" w:lastRow="0" w:firstColumn="0" w:lastColumn="0" w:oddVBand="0" w:evenVBand="0" w:oddHBand="0" w:evenHBand="0" w:firstRowFirstColumn="0" w:firstRowLastColumn="0" w:lastRowFirstColumn="0" w:lastRowLastColumn="0"/>
              <w:rPr>
                <w:rFonts w:eastAsiaTheme="minorEastAsia"/>
              </w:rPr>
            </w:pPr>
            <w:r w:rsidRPr="15FA2573">
              <w:rPr>
                <w:rFonts w:eastAsiaTheme="minorEastAsia"/>
              </w:rPr>
              <w:t>Occupations that are classified as technicians and trade workers. Occupations are classified using the Australian and New Zealand Standard Classification of Occupations (ANZSCO), First edition, Revision 2.</w:t>
            </w:r>
          </w:p>
        </w:tc>
      </w:tr>
      <w:tr w:rsidR="00244CC6" w14:paraId="368CDC49" w14:textId="77777777" w:rsidTr="4FCD50CC">
        <w:tc>
          <w:tcPr>
            <w:cnfStyle w:val="001000000000" w:firstRow="0" w:lastRow="0" w:firstColumn="1" w:lastColumn="0" w:oddVBand="0" w:evenVBand="0" w:oddHBand="0" w:evenHBand="0" w:firstRowFirstColumn="0" w:firstRowLastColumn="0" w:lastRowFirstColumn="0" w:lastRowLastColumn="0"/>
            <w:tcW w:w="1634" w:type="dxa"/>
            <w:vAlign w:val="top"/>
          </w:tcPr>
          <w:p w14:paraId="0D351E56" w14:textId="0D66C7DF" w:rsidR="00244CC6" w:rsidRPr="00E50524" w:rsidRDefault="00244CC6" w:rsidP="00244CC6">
            <w:pPr>
              <w:spacing w:after="100"/>
              <w:rPr>
                <w:b/>
                <w:bCs/>
              </w:rPr>
            </w:pPr>
            <w:r w:rsidRPr="00E50524">
              <w:rPr>
                <w:b/>
                <w:bCs/>
              </w:rPr>
              <w:t>Vocational Education and Training (VET)</w:t>
            </w:r>
          </w:p>
        </w:tc>
        <w:tc>
          <w:tcPr>
            <w:tcW w:w="7433" w:type="dxa"/>
            <w:vAlign w:val="top"/>
          </w:tcPr>
          <w:p w14:paraId="49D975E6" w14:textId="33B7713D" w:rsidR="00244CC6" w:rsidRPr="39DD5B07" w:rsidRDefault="00244CC6" w:rsidP="00244CC6">
            <w:pPr>
              <w:spacing w:after="100"/>
              <w:cnfStyle w:val="000000000000" w:firstRow="0" w:lastRow="0" w:firstColumn="0" w:lastColumn="0" w:oddVBand="0" w:evenVBand="0" w:oddHBand="0" w:evenHBand="0" w:firstRowFirstColumn="0" w:firstRowLastColumn="0" w:lastRowFirstColumn="0" w:lastRowLastColumn="0"/>
              <w:rPr>
                <w:rFonts w:eastAsiaTheme="minorEastAsia"/>
              </w:rPr>
            </w:pPr>
            <w:r w:rsidRPr="00A713BC">
              <w:rPr>
                <w:rFonts w:eastAsiaTheme="minorEastAsia"/>
              </w:rPr>
              <w:t xml:space="preserve">VET delivers competency-based, nationally-recognised, industry-endorsed training. VET offers qualifications across Certificate I to </w:t>
            </w:r>
            <w:r w:rsidR="00520254">
              <w:rPr>
                <w:rFonts w:eastAsiaTheme="minorEastAsia"/>
              </w:rPr>
              <w:t xml:space="preserve">a </w:t>
            </w:r>
            <w:r w:rsidRPr="00A713BC">
              <w:rPr>
                <w:rFonts w:eastAsiaTheme="minorEastAsia"/>
              </w:rPr>
              <w:t>postgraduate</w:t>
            </w:r>
            <w:r w:rsidR="00520254" w:rsidRPr="65A295D3">
              <w:rPr>
                <w:rFonts w:eastAsiaTheme="minorEastAsia"/>
              </w:rPr>
              <w:t xml:space="preserve"> degree</w:t>
            </w:r>
            <w:r w:rsidRPr="00A713BC">
              <w:rPr>
                <w:rFonts w:eastAsiaTheme="minorEastAsia"/>
              </w:rPr>
              <w:t xml:space="preserve">. </w:t>
            </w:r>
          </w:p>
        </w:tc>
      </w:tr>
    </w:tbl>
    <w:p w14:paraId="1EC794BE" w14:textId="77777777" w:rsidR="00B10B10" w:rsidRDefault="00B10B10" w:rsidP="00D27BE3">
      <w:pPr>
        <w:sectPr w:rsidR="00B10B10" w:rsidSect="00BE7A18">
          <w:type w:val="continuous"/>
          <w:pgSz w:w="11906" w:h="16838"/>
          <w:pgMar w:top="1418" w:right="1418" w:bottom="1418" w:left="1418" w:header="0" w:footer="454" w:gutter="0"/>
          <w:cols w:space="708"/>
          <w:docGrid w:linePitch="360"/>
        </w:sectPr>
      </w:pPr>
    </w:p>
    <w:p w14:paraId="5C44A7D9" w14:textId="77777777" w:rsidR="00E50524" w:rsidRPr="003D3D44" w:rsidRDefault="00E50524" w:rsidP="00E50524">
      <w:pPr>
        <w:pStyle w:val="Heading2"/>
        <w:jc w:val="right"/>
      </w:pPr>
      <w:bookmarkStart w:id="268" w:name="_Toc287852800"/>
      <w:bookmarkStart w:id="269" w:name="_Toc1702574187"/>
      <w:bookmarkStart w:id="270" w:name="_Toc197403026"/>
      <w:bookmarkStart w:id="271" w:name="_Toc925574510"/>
      <w:bookmarkStart w:id="272" w:name="_Toc1446156434"/>
      <w:bookmarkStart w:id="273" w:name="_Toc710673807"/>
      <w:bookmarkStart w:id="274" w:name="_Toc415349598"/>
      <w:bookmarkStart w:id="275" w:name="_Toc1235968760"/>
      <w:bookmarkStart w:id="276" w:name="_Toc816813378"/>
      <w:bookmarkStart w:id="277" w:name="_Toc12751159"/>
      <w:bookmarkStart w:id="278" w:name="_Toc117246156"/>
      <w:bookmarkStart w:id="279" w:name="_Toc120101393"/>
      <w:r>
        <w:t xml:space="preserve">Appendix B: Existing state and territory government </w:t>
      </w:r>
      <w:bookmarkEnd w:id="268"/>
      <w:bookmarkEnd w:id="269"/>
      <w:bookmarkEnd w:id="270"/>
      <w:bookmarkEnd w:id="271"/>
      <w:bookmarkEnd w:id="272"/>
      <w:bookmarkEnd w:id="273"/>
      <w:r>
        <w:t>targets for apprentices, trainees</w:t>
      </w:r>
      <w:bookmarkEnd w:id="274"/>
      <w:bookmarkEnd w:id="275"/>
      <w:bookmarkEnd w:id="276"/>
      <w:bookmarkEnd w:id="277"/>
      <w:r>
        <w:t xml:space="preserve"> and cadets</w:t>
      </w:r>
      <w:bookmarkEnd w:id="278"/>
      <w:bookmarkEnd w:id="279"/>
    </w:p>
    <w:tbl>
      <w:tblPr>
        <w:tblStyle w:val="DESE"/>
        <w:tblW w:w="0" w:type="auto"/>
        <w:tblLook w:val="04A0" w:firstRow="1" w:lastRow="0" w:firstColumn="1" w:lastColumn="0" w:noHBand="0" w:noVBand="1"/>
        <w:tblDescription w:val="Overview of state and territory government targets"/>
      </w:tblPr>
      <w:tblGrid>
        <w:gridCol w:w="692"/>
        <w:gridCol w:w="1667"/>
        <w:gridCol w:w="663"/>
        <w:gridCol w:w="4453"/>
        <w:gridCol w:w="6059"/>
      </w:tblGrid>
      <w:tr w:rsidR="00245C01" w14:paraId="37C5AAAA" w14:textId="48038D7B" w:rsidTr="4FCD50C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92" w:type="dxa"/>
            <w:tcBorders>
              <w:top w:val="single" w:sz="4" w:space="0" w:color="002D3F" w:themeColor="accent1"/>
            </w:tcBorders>
            <w:vAlign w:val="top"/>
          </w:tcPr>
          <w:p w14:paraId="5606DF7F" w14:textId="7EBDD83B" w:rsidR="00245C01" w:rsidRPr="00C05A9B" w:rsidRDefault="00245C01" w:rsidP="00245C01">
            <w:pPr>
              <w:spacing w:after="100"/>
              <w:rPr>
                <w:rFonts w:asciiTheme="minorHAnsi" w:hAnsiTheme="minorHAnsi" w:cstheme="minorHAnsi"/>
              </w:rPr>
            </w:pPr>
            <w:r w:rsidRPr="00C05A9B">
              <w:rPr>
                <w:rFonts w:asciiTheme="minorHAnsi" w:hAnsiTheme="minorHAnsi" w:cstheme="minorHAnsi"/>
                <w:b/>
                <w:bCs/>
              </w:rPr>
              <w:t>State</w:t>
            </w:r>
          </w:p>
        </w:tc>
        <w:tc>
          <w:tcPr>
            <w:tcW w:w="1667" w:type="dxa"/>
            <w:tcBorders>
              <w:top w:val="single" w:sz="4" w:space="0" w:color="002D3F" w:themeColor="accent1"/>
            </w:tcBorders>
            <w:vAlign w:val="top"/>
          </w:tcPr>
          <w:p w14:paraId="60B8E294" w14:textId="01574B0E" w:rsidR="00245C01" w:rsidRPr="00C05A9B" w:rsidRDefault="00245C01" w:rsidP="00245C01">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C05A9B">
              <w:rPr>
                <w:rFonts w:asciiTheme="minorHAnsi" w:hAnsiTheme="minorHAnsi" w:cstheme="minorHAnsi"/>
                <w:b/>
                <w:bCs/>
              </w:rPr>
              <w:t>Program</w:t>
            </w:r>
          </w:p>
        </w:tc>
        <w:tc>
          <w:tcPr>
            <w:tcW w:w="663" w:type="dxa"/>
            <w:vAlign w:val="top"/>
          </w:tcPr>
          <w:p w14:paraId="2FD920A2" w14:textId="16C1C457" w:rsidR="00245C01" w:rsidRPr="00C05A9B" w:rsidRDefault="00245C01" w:rsidP="00245C01">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C05A9B">
              <w:rPr>
                <w:rFonts w:asciiTheme="minorHAnsi" w:hAnsiTheme="minorHAnsi" w:cstheme="minorHAnsi"/>
                <w:b/>
                <w:bCs/>
              </w:rPr>
              <w:t>Start Date</w:t>
            </w:r>
          </w:p>
        </w:tc>
        <w:tc>
          <w:tcPr>
            <w:tcW w:w="4453" w:type="dxa"/>
            <w:vAlign w:val="top"/>
          </w:tcPr>
          <w:p w14:paraId="4B579155" w14:textId="22960DE5" w:rsidR="00245C01" w:rsidRPr="00C05A9B" w:rsidRDefault="00245C01" w:rsidP="00245C01">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C05A9B">
              <w:rPr>
                <w:rFonts w:asciiTheme="minorHAnsi" w:hAnsiTheme="minorHAnsi" w:cstheme="minorHAnsi"/>
                <w:b/>
                <w:bCs/>
              </w:rPr>
              <w:t>Overview</w:t>
            </w:r>
          </w:p>
        </w:tc>
        <w:tc>
          <w:tcPr>
            <w:tcW w:w="6059" w:type="dxa"/>
            <w:vAlign w:val="top"/>
          </w:tcPr>
          <w:p w14:paraId="796F4810" w14:textId="719FC292" w:rsidR="00245C01" w:rsidRPr="00C05A9B" w:rsidRDefault="00245C01" w:rsidP="00245C01">
            <w:pPr>
              <w:spacing w:after="10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C05A9B">
              <w:rPr>
                <w:rFonts w:asciiTheme="minorHAnsi" w:hAnsiTheme="minorHAnsi" w:cstheme="minorHAnsi"/>
                <w:b/>
                <w:bCs/>
              </w:rPr>
              <w:t>Targets</w:t>
            </w:r>
          </w:p>
        </w:tc>
      </w:tr>
      <w:tr w:rsidR="000E1836" w14:paraId="23367FB8" w14:textId="523379F4" w:rsidTr="4FCD50CC">
        <w:tc>
          <w:tcPr>
            <w:cnfStyle w:val="001000000000" w:firstRow="0" w:lastRow="0" w:firstColumn="1" w:lastColumn="0" w:oddVBand="0" w:evenVBand="0" w:oddHBand="0" w:evenHBand="0" w:firstRowFirstColumn="0" w:firstRowLastColumn="0" w:lastRowFirstColumn="0" w:lastRowLastColumn="0"/>
            <w:tcW w:w="692" w:type="dxa"/>
            <w:vAlign w:val="top"/>
          </w:tcPr>
          <w:p w14:paraId="3530FDFF" w14:textId="335FDD6E" w:rsidR="000E1836" w:rsidRPr="00C05A9B" w:rsidRDefault="000E1836" w:rsidP="000E1836">
            <w:pPr>
              <w:spacing w:after="100"/>
              <w:rPr>
                <w:rFonts w:cstheme="minorHAnsi"/>
                <w:b/>
                <w:bCs/>
              </w:rPr>
            </w:pPr>
            <w:r w:rsidRPr="00C05A9B">
              <w:rPr>
                <w:rFonts w:cstheme="minorHAnsi"/>
                <w:b/>
                <w:bCs/>
              </w:rPr>
              <w:t>NSW</w:t>
            </w:r>
          </w:p>
        </w:tc>
        <w:tc>
          <w:tcPr>
            <w:tcW w:w="1667" w:type="dxa"/>
            <w:vAlign w:val="top"/>
          </w:tcPr>
          <w:p w14:paraId="338CE8FE" w14:textId="444CA3B0" w:rsidR="000E1836" w:rsidRPr="00C05A9B" w:rsidRDefault="000E1836" w:rsidP="000E1836">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Style w:val="eop"/>
                <w:rFonts w:cstheme="minorHAnsi"/>
                <w:b/>
                <w:color w:val="000000" w:themeColor="text1"/>
              </w:rPr>
              <w:t>Infrastructure Skills Legacy Program</w:t>
            </w:r>
          </w:p>
        </w:tc>
        <w:tc>
          <w:tcPr>
            <w:tcW w:w="663" w:type="dxa"/>
            <w:vAlign w:val="top"/>
          </w:tcPr>
          <w:p w14:paraId="3FD32B72" w14:textId="568EA4A8" w:rsidR="000E1836" w:rsidRPr="00C05A9B" w:rsidRDefault="000E1836">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2016</w:t>
            </w:r>
          </w:p>
        </w:tc>
        <w:tc>
          <w:tcPr>
            <w:tcW w:w="4453" w:type="dxa"/>
            <w:vAlign w:val="top"/>
          </w:tcPr>
          <w:p w14:paraId="61F7FDB2" w14:textId="77777777" w:rsidR="000E1836" w:rsidRPr="00C05A9B" w:rsidRDefault="000E1836" w:rsidP="000E1836">
            <w:pPr>
              <w:spacing w:after="0"/>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themeColor="text1"/>
              </w:rPr>
            </w:pPr>
            <w:r w:rsidRPr="00C05A9B">
              <w:rPr>
                <w:rStyle w:val="normaltextrun"/>
                <w:rFonts w:cstheme="minorHAnsi"/>
                <w:color w:val="000000" w:themeColor="text1"/>
              </w:rPr>
              <w:t xml:space="preserve">Mandatory since 2020, this program </w:t>
            </w:r>
            <w:r w:rsidRPr="00C05A9B">
              <w:rPr>
                <w:rFonts w:eastAsia="Calibri" w:cstheme="minorHAnsi"/>
                <w:color w:val="000000" w:themeColor="text1"/>
              </w:rPr>
              <w:t>sets minimum targets for employment of apprentices, trainees, learning workers, women, and First Nations people across eligible projects. </w:t>
            </w:r>
          </w:p>
          <w:p w14:paraId="1C31AA47" w14:textId="77777777" w:rsidR="000E1836" w:rsidRPr="00C05A9B" w:rsidRDefault="000E1836" w:rsidP="000E1836">
            <w:pPr>
              <w:spacing w:after="0"/>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themeColor="text1"/>
              </w:rPr>
            </w:pPr>
            <w:r w:rsidRPr="00C05A9B">
              <w:rPr>
                <w:rFonts w:eastAsia="Calibri" w:cstheme="minorHAnsi"/>
              </w:rPr>
              <w:t>It requires sub-contractors to comply with targets on eligible projects and allows suppliers to consider their capacity to do so.</w:t>
            </w:r>
          </w:p>
          <w:p w14:paraId="1BDA6B79" w14:textId="0EC8400D" w:rsidR="000E1836" w:rsidRPr="00C05A9B" w:rsidRDefault="000E1836" w:rsidP="000E1836">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color w:val="000000" w:themeColor="text1"/>
              </w:rPr>
              <w:t>Reporting must include headcount and hours worked to support various reporting needs</w:t>
            </w:r>
            <w:r w:rsidRPr="00C05A9B">
              <w:rPr>
                <w:rFonts w:eastAsia="Calibri" w:cstheme="minorHAnsi"/>
              </w:rPr>
              <w:t>.</w:t>
            </w:r>
          </w:p>
        </w:tc>
        <w:tc>
          <w:tcPr>
            <w:tcW w:w="6059" w:type="dxa"/>
            <w:shd w:val="clear" w:color="auto" w:fill="D7D8D8"/>
            <w:vAlign w:val="top"/>
          </w:tcPr>
          <w:p w14:paraId="334DFBDB" w14:textId="77777777" w:rsidR="000E1836" w:rsidRPr="00C05A9B" w:rsidRDefault="000E1836" w:rsidP="000E1836">
            <w:pPr>
              <w:spacing w:after="0"/>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themeColor="text1"/>
              </w:rPr>
            </w:pPr>
            <w:r w:rsidRPr="00C05A9B">
              <w:rPr>
                <w:rStyle w:val="normaltextrun"/>
                <w:rFonts w:cstheme="minorHAnsi"/>
                <w:color w:val="000000" w:themeColor="text1"/>
              </w:rPr>
              <w:t>Targets are calculated using formulas based on the number of hours worked. Target thresholds vary depending on the size of the project.</w:t>
            </w:r>
          </w:p>
          <w:p w14:paraId="5D7C7C51" w14:textId="14226C55" w:rsidR="000E1836" w:rsidRPr="00C05A9B" w:rsidRDefault="00E10D11" w:rsidP="000E1836">
            <w:pPr>
              <w:spacing w:after="0"/>
              <w:cnfStyle w:val="000000000000" w:firstRow="0" w:lastRow="0" w:firstColumn="0" w:lastColumn="0" w:oddVBand="0" w:evenVBand="0" w:oddHBand="0" w:evenHBand="0" w:firstRowFirstColumn="0" w:firstRowLastColumn="0" w:lastRowFirstColumn="0" w:lastRowLastColumn="0"/>
              <w:rPr>
                <w:rFonts w:cstheme="minorHAnsi"/>
                <w:b/>
                <w:bCs/>
              </w:rPr>
            </w:pPr>
            <w:r>
              <w:rPr>
                <w:rFonts w:cstheme="minorHAnsi"/>
                <w:b/>
                <w:bCs/>
              </w:rPr>
              <w:t>Over</w:t>
            </w:r>
            <w:r w:rsidR="00016EA7" w:rsidRPr="00C05A9B">
              <w:rPr>
                <w:rFonts w:cstheme="minorHAnsi"/>
                <w:b/>
                <w:bCs/>
              </w:rPr>
              <w:t xml:space="preserve"> </w:t>
            </w:r>
            <w:r w:rsidR="000E1836" w:rsidRPr="00C05A9B">
              <w:rPr>
                <w:rFonts w:cstheme="minorHAnsi"/>
                <w:b/>
                <w:bCs/>
              </w:rPr>
              <w:t xml:space="preserve">$7.5 </w:t>
            </w:r>
            <w:r w:rsidR="30600654" w:rsidRPr="231ED899">
              <w:rPr>
                <w:b/>
                <w:bCs/>
              </w:rPr>
              <w:t>million</w:t>
            </w:r>
            <w:r w:rsidR="000E1836" w:rsidRPr="00C05A9B">
              <w:rPr>
                <w:rFonts w:cstheme="minorHAnsi"/>
                <w:b/>
                <w:bCs/>
              </w:rPr>
              <w:t>:</w:t>
            </w:r>
          </w:p>
          <w:p w14:paraId="0BBA1D33" w14:textId="77777777" w:rsidR="000E1836" w:rsidRPr="00C05A9B" w:rsidRDefault="000E1836" w:rsidP="000E1836">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Must apply the relevant Aboriginal Procurement Policy targets.</w:t>
            </w:r>
          </w:p>
          <w:p w14:paraId="36A30E2F" w14:textId="52334047" w:rsidR="000E1836" w:rsidRPr="00C05A9B" w:rsidRDefault="000E1836" w:rsidP="000E1836">
            <w:pPr>
              <w:spacing w:after="0"/>
              <w:cnfStyle w:val="000000000000" w:firstRow="0" w:lastRow="0" w:firstColumn="0" w:lastColumn="0" w:oddVBand="0" w:evenVBand="0" w:oddHBand="0" w:evenHBand="0" w:firstRowFirstColumn="0" w:firstRowLastColumn="0" w:lastRowFirstColumn="0" w:lastRowLastColumn="0"/>
              <w:rPr>
                <w:rFonts w:cstheme="minorHAnsi"/>
                <w:b/>
                <w:bCs/>
              </w:rPr>
            </w:pPr>
            <w:r w:rsidRPr="00C05A9B">
              <w:rPr>
                <w:rFonts w:cstheme="minorHAnsi"/>
                <w:b/>
                <w:bCs/>
              </w:rPr>
              <w:t>Over $10 million</w:t>
            </w:r>
            <w:r w:rsidR="004C6DE5">
              <w:rPr>
                <w:rFonts w:cstheme="minorHAnsi"/>
                <w:b/>
                <w:bCs/>
              </w:rPr>
              <w:t xml:space="preserve">: </w:t>
            </w:r>
            <w:r w:rsidRPr="00C05A9B">
              <w:rPr>
                <w:rFonts w:cstheme="minorHAnsi"/>
                <w:b/>
                <w:bCs/>
              </w:rPr>
              <w:t xml:space="preserve"> </w:t>
            </w:r>
          </w:p>
          <w:p w14:paraId="2863DFF1" w14:textId="77777777" w:rsidR="000E1836" w:rsidRPr="00C05A9B" w:rsidRDefault="000E1836" w:rsidP="000E1836">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rPr>
            </w:pPr>
            <w:r w:rsidRPr="00C05A9B">
              <w:rPr>
                <w:rFonts w:cstheme="minorHAnsi"/>
                <w:b/>
                <w:bCs/>
              </w:rPr>
              <w:t xml:space="preserve">20% </w:t>
            </w:r>
            <w:r w:rsidRPr="00C05A9B">
              <w:rPr>
                <w:rFonts w:cstheme="minorHAnsi"/>
              </w:rPr>
              <w:t>of the trades workforce to be</w:t>
            </w:r>
            <w:r w:rsidRPr="00C05A9B">
              <w:rPr>
                <w:rFonts w:cstheme="minorHAnsi"/>
                <w:b/>
                <w:bCs/>
              </w:rPr>
              <w:t xml:space="preserve"> apprentices</w:t>
            </w:r>
            <w:r w:rsidRPr="00C05A9B">
              <w:rPr>
                <w:rFonts w:cstheme="minorHAnsi"/>
              </w:rPr>
              <w:t>.</w:t>
            </w:r>
          </w:p>
          <w:p w14:paraId="102467F7" w14:textId="77777777" w:rsidR="000E1836" w:rsidRPr="00C05A9B" w:rsidRDefault="000E1836" w:rsidP="000E1836">
            <w:pPr>
              <w:spacing w:after="0"/>
              <w:cnfStyle w:val="000000000000" w:firstRow="0" w:lastRow="0" w:firstColumn="0" w:lastColumn="0" w:oddVBand="0" w:evenVBand="0" w:oddHBand="0" w:evenHBand="0" w:firstRowFirstColumn="0" w:firstRowLastColumn="0" w:lastRowFirstColumn="0" w:lastRowLastColumn="0"/>
              <w:rPr>
                <w:rFonts w:cstheme="minorHAnsi"/>
                <w:b/>
                <w:bCs/>
              </w:rPr>
            </w:pPr>
            <w:r w:rsidRPr="00C05A9B">
              <w:rPr>
                <w:rFonts w:cstheme="minorHAnsi"/>
                <w:b/>
                <w:bCs/>
              </w:rPr>
              <w:t xml:space="preserve">Over $100 million: </w:t>
            </w:r>
          </w:p>
          <w:p w14:paraId="5FB5292C" w14:textId="6A7A5AF6" w:rsidR="000E1836" w:rsidRPr="00C05A9B" w:rsidRDefault="000E1836" w:rsidP="000E1836">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b/>
                <w:bCs/>
              </w:rPr>
              <w:t xml:space="preserve">2% </w:t>
            </w:r>
            <w:r w:rsidRPr="00C05A9B">
              <w:rPr>
                <w:rFonts w:cstheme="minorHAnsi"/>
              </w:rPr>
              <w:t>of the trades workforce to be</w:t>
            </w:r>
            <w:r w:rsidRPr="00C05A9B">
              <w:rPr>
                <w:rFonts w:cstheme="minorHAnsi"/>
                <w:b/>
                <w:bCs/>
              </w:rPr>
              <w:t xml:space="preserve"> women</w:t>
            </w:r>
            <w:r w:rsidR="00AD5EDA" w:rsidRPr="00C05A9B">
              <w:rPr>
                <w:rFonts w:cstheme="minorHAnsi"/>
              </w:rPr>
              <w:t>*</w:t>
            </w:r>
          </w:p>
          <w:p w14:paraId="43F970E6" w14:textId="77777777" w:rsidR="000E1836" w:rsidRPr="00C05A9B" w:rsidRDefault="000E1836" w:rsidP="000E1836">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rPr>
            </w:pPr>
            <w:r w:rsidRPr="00C05A9B">
              <w:rPr>
                <w:rFonts w:cstheme="minorHAnsi"/>
                <w:b/>
                <w:bCs/>
              </w:rPr>
              <w:t>20%</w:t>
            </w:r>
            <w:r w:rsidRPr="00C05A9B">
              <w:rPr>
                <w:rFonts w:cstheme="minorHAnsi"/>
              </w:rPr>
              <w:t xml:space="preserve"> of the project workforce to be </w:t>
            </w:r>
            <w:r w:rsidRPr="00C05A9B">
              <w:rPr>
                <w:rFonts w:cstheme="minorHAnsi"/>
                <w:b/>
                <w:bCs/>
              </w:rPr>
              <w:t>learning workers</w:t>
            </w:r>
          </w:p>
          <w:p w14:paraId="536D0151" w14:textId="77777777" w:rsidR="000E1836" w:rsidRPr="00C05A9B" w:rsidRDefault="000E1836" w:rsidP="000E1836">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b/>
                <w:bCs/>
              </w:rPr>
              <w:t xml:space="preserve">8% </w:t>
            </w:r>
            <w:r w:rsidRPr="00C05A9B">
              <w:rPr>
                <w:rFonts w:cstheme="minorHAnsi"/>
              </w:rPr>
              <w:t xml:space="preserve">of total project workforce to be </w:t>
            </w:r>
            <w:r w:rsidRPr="00C05A9B">
              <w:rPr>
                <w:rFonts w:cstheme="minorHAnsi"/>
                <w:b/>
                <w:bCs/>
              </w:rPr>
              <w:t>young people</w:t>
            </w:r>
            <w:r w:rsidRPr="00C05A9B">
              <w:rPr>
                <w:rFonts w:cstheme="minorHAnsi"/>
              </w:rPr>
              <w:t xml:space="preserve"> (aged less than 25 years)</w:t>
            </w:r>
          </w:p>
          <w:p w14:paraId="17D8717F" w14:textId="4E315102" w:rsidR="000E1836" w:rsidRPr="00C05A9B" w:rsidRDefault="000E1836" w:rsidP="000E1836">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rPr>
            </w:pPr>
            <w:r w:rsidRPr="00C05A9B">
              <w:rPr>
                <w:rFonts w:cstheme="minorHAnsi"/>
              </w:rPr>
              <w:t xml:space="preserve">Report </w:t>
            </w:r>
            <w:r w:rsidRPr="00C05A9B">
              <w:rPr>
                <w:rFonts w:cstheme="minorHAnsi"/>
                <w:b/>
                <w:bCs/>
              </w:rPr>
              <w:t>local employment outcomes</w:t>
            </w:r>
            <w:r w:rsidRPr="00C05A9B">
              <w:rPr>
                <w:rFonts w:cstheme="minorHAnsi"/>
              </w:rPr>
              <w:t>.</w:t>
            </w:r>
          </w:p>
          <w:p w14:paraId="2559AEAA" w14:textId="165F19B8" w:rsidR="000E1836" w:rsidRPr="00C05A9B" w:rsidRDefault="000E1836" w:rsidP="000E1836">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 xml:space="preserve">* It was announced in the NSW 2022-23 Budget that this target will be doubled to 4%, with a target of 15% women in </w:t>
            </w:r>
            <w:r w:rsidR="00A869C1">
              <w:rPr>
                <w:rFonts w:cstheme="minorHAnsi"/>
              </w:rPr>
              <w:t xml:space="preserve">trades and </w:t>
            </w:r>
            <w:r w:rsidRPr="00C05A9B">
              <w:rPr>
                <w:rFonts w:cstheme="minorHAnsi"/>
              </w:rPr>
              <w:t xml:space="preserve">non-traditional roles </w:t>
            </w:r>
            <w:r w:rsidR="00305A66">
              <w:rPr>
                <w:rFonts w:cstheme="minorHAnsi"/>
              </w:rPr>
              <w:t xml:space="preserve">in the construction industry </w:t>
            </w:r>
            <w:r w:rsidRPr="00C05A9B">
              <w:rPr>
                <w:rFonts w:cstheme="minorHAnsi"/>
              </w:rPr>
              <w:t>by 2030.</w:t>
            </w:r>
          </w:p>
        </w:tc>
      </w:tr>
      <w:tr w:rsidR="00AD43D5" w14:paraId="4DDA430D" w14:textId="136D5A28" w:rsidTr="4FCD50CC">
        <w:tc>
          <w:tcPr>
            <w:cnfStyle w:val="001000000000" w:firstRow="0" w:lastRow="0" w:firstColumn="1" w:lastColumn="0" w:oddVBand="0" w:evenVBand="0" w:oddHBand="0" w:evenHBand="0" w:firstRowFirstColumn="0" w:firstRowLastColumn="0" w:lastRowFirstColumn="0" w:lastRowLastColumn="0"/>
            <w:tcW w:w="692" w:type="dxa"/>
            <w:vAlign w:val="top"/>
          </w:tcPr>
          <w:p w14:paraId="7CCE7E5F" w14:textId="4D5DC179" w:rsidR="00AD43D5" w:rsidRPr="00C05A9B" w:rsidRDefault="00AD43D5" w:rsidP="00DD684E">
            <w:pPr>
              <w:spacing w:after="100"/>
              <w:rPr>
                <w:rFonts w:cstheme="minorHAnsi"/>
                <w:b/>
                <w:bCs/>
              </w:rPr>
            </w:pPr>
            <w:r w:rsidRPr="00C05A9B">
              <w:rPr>
                <w:rFonts w:cstheme="minorHAnsi"/>
                <w:b/>
                <w:bCs/>
              </w:rPr>
              <w:t>VIC</w:t>
            </w:r>
          </w:p>
        </w:tc>
        <w:tc>
          <w:tcPr>
            <w:tcW w:w="1667" w:type="dxa"/>
            <w:vAlign w:val="top"/>
          </w:tcPr>
          <w:p w14:paraId="18D2FC20" w14:textId="54FD9E48" w:rsidR="00AD43D5" w:rsidRPr="00C05A9B" w:rsidRDefault="00AD43D5" w:rsidP="00DD684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Style w:val="normaltextrun"/>
                <w:rFonts w:eastAsiaTheme="majorEastAsia" w:cstheme="minorHAnsi"/>
                <w:b/>
                <w:bCs/>
                <w:color w:val="000000" w:themeColor="text1"/>
              </w:rPr>
              <w:t>Major Projects Skills Guarantee</w:t>
            </w:r>
          </w:p>
        </w:tc>
        <w:tc>
          <w:tcPr>
            <w:tcW w:w="663" w:type="dxa"/>
            <w:vAlign w:val="top"/>
          </w:tcPr>
          <w:p w14:paraId="711F039B" w14:textId="3921F554" w:rsidR="00AD43D5" w:rsidRPr="00C05A9B" w:rsidRDefault="00AD43D5" w:rsidP="00DD684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Theme="minorEastAsia" w:cstheme="minorHAnsi"/>
              </w:rPr>
              <w:t>2016</w:t>
            </w:r>
          </w:p>
        </w:tc>
        <w:tc>
          <w:tcPr>
            <w:tcW w:w="4453" w:type="dxa"/>
            <w:vAlign w:val="top"/>
          </w:tcPr>
          <w:p w14:paraId="41ECCEB7" w14:textId="15975547" w:rsidR="00F13C64" w:rsidRPr="00F13C64" w:rsidRDefault="00F13C64" w:rsidP="00F13C64">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F13C64">
              <w:rPr>
                <w:rFonts w:cstheme="minorHAnsi"/>
              </w:rPr>
              <w:t xml:space="preserve">Legislated under the </w:t>
            </w:r>
            <w:r w:rsidRPr="009210F1">
              <w:rPr>
                <w:rFonts w:cstheme="minorHAnsi"/>
                <w:i/>
                <w:iCs/>
              </w:rPr>
              <w:t>Local Jobs First Act 2003</w:t>
            </w:r>
            <w:r w:rsidRPr="00F13C64">
              <w:rPr>
                <w:rFonts w:cstheme="minorHAnsi"/>
              </w:rPr>
              <w:t xml:space="preserve"> in 2018, </w:t>
            </w:r>
            <w:r w:rsidR="00A35D65">
              <w:rPr>
                <w:rFonts w:cstheme="minorHAnsi"/>
              </w:rPr>
              <w:t>this initiative</w:t>
            </w:r>
            <w:r w:rsidRPr="00F13C64">
              <w:rPr>
                <w:rFonts w:cstheme="minorHAnsi"/>
              </w:rPr>
              <w:t xml:space="preserve"> provides opportunities for Victorian apprentices, trainees and cadets (ATCs) to work on high value construction projects. </w:t>
            </w:r>
          </w:p>
          <w:p w14:paraId="65287EE8" w14:textId="7554A549" w:rsidR="00F13C64" w:rsidRPr="00C05A9B" w:rsidRDefault="00F13C64" w:rsidP="00F13C64">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F13C64">
              <w:rPr>
                <w:rFonts w:cstheme="minorHAnsi"/>
              </w:rPr>
              <w:t>ATCs may be directly employed by the principal contractor, by sub</w:t>
            </w:r>
            <w:r w:rsidR="002602EA">
              <w:rPr>
                <w:rFonts w:cstheme="minorHAnsi"/>
              </w:rPr>
              <w:t>-</w:t>
            </w:r>
            <w:r w:rsidRPr="00F13C64">
              <w:rPr>
                <w:rFonts w:cstheme="minorHAnsi"/>
              </w:rPr>
              <w:t>contractors or indirectly employed through group training organisations.</w:t>
            </w:r>
          </w:p>
        </w:tc>
        <w:tc>
          <w:tcPr>
            <w:tcW w:w="6059" w:type="dxa"/>
            <w:shd w:val="clear" w:color="auto" w:fill="D7D8D8"/>
            <w:vAlign w:val="top"/>
          </w:tcPr>
          <w:p w14:paraId="30486C93" w14:textId="20AE00DB" w:rsidR="00AD43D5" w:rsidRPr="00C05A9B" w:rsidRDefault="00AD43D5" w:rsidP="00DD684E">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 xml:space="preserve">Applies to all government construction projects at </w:t>
            </w:r>
            <w:r w:rsidRPr="00C05A9B">
              <w:rPr>
                <w:rFonts w:cstheme="minorHAnsi"/>
                <w:b/>
                <w:bCs/>
              </w:rPr>
              <w:t xml:space="preserve">$20 million </w:t>
            </w:r>
            <w:r w:rsidRPr="00C05A9B">
              <w:rPr>
                <w:rFonts w:cstheme="minorHAnsi"/>
              </w:rPr>
              <w:t>or more.</w:t>
            </w:r>
          </w:p>
          <w:p w14:paraId="5D997AF9" w14:textId="17C0D0B5" w:rsidR="00AD43D5" w:rsidRPr="00C05A9B" w:rsidRDefault="00AD43D5" w:rsidP="00DD684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 xml:space="preserve">Contractors must utilise Victorian registered </w:t>
            </w:r>
            <w:r w:rsidRPr="00C05A9B">
              <w:rPr>
                <w:rFonts w:cstheme="minorHAnsi"/>
                <w:b/>
                <w:bCs/>
              </w:rPr>
              <w:t>apprentices,</w:t>
            </w:r>
            <w:r w:rsidRPr="00C05A9B">
              <w:rPr>
                <w:rFonts w:cstheme="minorHAnsi"/>
                <w:b/>
              </w:rPr>
              <w:t xml:space="preserve"> trainees, or cadet</w:t>
            </w:r>
            <w:r w:rsidRPr="00C05A9B">
              <w:rPr>
                <w:rFonts w:cstheme="minorHAnsi"/>
              </w:rPr>
              <w:t xml:space="preserve">s for at least </w:t>
            </w:r>
            <w:r w:rsidRPr="00C05A9B">
              <w:rPr>
                <w:rFonts w:cstheme="minorHAnsi"/>
                <w:b/>
                <w:bCs/>
              </w:rPr>
              <w:t>10%</w:t>
            </w:r>
            <w:r w:rsidRPr="00C05A9B">
              <w:rPr>
                <w:rFonts w:cstheme="minorHAnsi"/>
              </w:rPr>
              <w:t xml:space="preserve"> of the project’s total estimated labour hours. This is based on estimated labour hours provided in the tender process. </w:t>
            </w:r>
          </w:p>
        </w:tc>
      </w:tr>
      <w:tr w:rsidR="00AD43D5" w14:paraId="2772E576" w14:textId="77777777" w:rsidTr="4FCD50CC">
        <w:trPr>
          <w:trHeight w:val="803"/>
        </w:trPr>
        <w:tc>
          <w:tcPr>
            <w:cnfStyle w:val="001000000000" w:firstRow="0" w:lastRow="0" w:firstColumn="1" w:lastColumn="0" w:oddVBand="0" w:evenVBand="0" w:oddHBand="0" w:evenHBand="0" w:firstRowFirstColumn="0" w:firstRowLastColumn="0" w:lastRowFirstColumn="0" w:lastRowLastColumn="0"/>
            <w:tcW w:w="692" w:type="dxa"/>
            <w:vAlign w:val="top"/>
          </w:tcPr>
          <w:p w14:paraId="67142A78" w14:textId="13971284" w:rsidR="00AD43D5" w:rsidRPr="00C05A9B" w:rsidRDefault="00B126A1" w:rsidP="00DD684E">
            <w:pPr>
              <w:spacing w:after="100"/>
              <w:rPr>
                <w:rFonts w:cstheme="minorHAnsi"/>
                <w:b/>
                <w:bCs/>
              </w:rPr>
            </w:pPr>
            <w:r>
              <w:rPr>
                <w:rFonts w:cstheme="minorHAnsi"/>
                <w:b/>
                <w:bCs/>
              </w:rPr>
              <w:t>VIC</w:t>
            </w:r>
          </w:p>
        </w:tc>
        <w:tc>
          <w:tcPr>
            <w:tcW w:w="1667" w:type="dxa"/>
            <w:vAlign w:val="top"/>
          </w:tcPr>
          <w:p w14:paraId="0BAE29F2" w14:textId="4E639D16" w:rsidR="00AD43D5" w:rsidRPr="00C05A9B" w:rsidRDefault="00AD43D5" w:rsidP="00DD684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b/>
                <w:bCs/>
              </w:rPr>
              <w:t>Building Equality Policy</w:t>
            </w:r>
          </w:p>
        </w:tc>
        <w:tc>
          <w:tcPr>
            <w:tcW w:w="663" w:type="dxa"/>
            <w:vAlign w:val="top"/>
          </w:tcPr>
          <w:p w14:paraId="338BCF0E" w14:textId="14FA5BC5" w:rsidR="00AD43D5" w:rsidRPr="00C05A9B" w:rsidRDefault="00AD43D5" w:rsidP="00DD684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2022</w:t>
            </w:r>
          </w:p>
        </w:tc>
        <w:tc>
          <w:tcPr>
            <w:tcW w:w="4453" w:type="dxa"/>
            <w:vAlign w:val="top"/>
          </w:tcPr>
          <w:p w14:paraId="639F4079" w14:textId="77777777" w:rsidR="00AD43D5" w:rsidRPr="00C05A9B" w:rsidRDefault="00AD43D5" w:rsidP="00DD684E">
            <w:pPr>
              <w:spacing w:after="0"/>
              <w:cnfStyle w:val="000000000000" w:firstRow="0" w:lastRow="0" w:firstColumn="0" w:lastColumn="0" w:oddVBand="0" w:evenVBand="0" w:oddHBand="0" w:evenHBand="0" w:firstRowFirstColumn="0" w:firstRowLastColumn="0" w:lastRowFirstColumn="0" w:lastRowLastColumn="0"/>
              <w:rPr>
                <w:rStyle w:val="eop"/>
                <w:rFonts w:eastAsia="Calibri" w:cstheme="minorHAnsi"/>
              </w:rPr>
            </w:pPr>
            <w:r w:rsidRPr="00C05A9B" w:rsidDel="6F046186">
              <w:rPr>
                <w:rStyle w:val="normaltextrun"/>
                <w:rFonts w:cstheme="minorHAnsi"/>
                <w:color w:val="000000" w:themeColor="text1"/>
              </w:rPr>
              <w:t xml:space="preserve">Applies to all publicly funded construction projects valued at </w:t>
            </w:r>
            <w:r w:rsidRPr="00C05A9B" w:rsidDel="6F046186">
              <w:rPr>
                <w:rStyle w:val="normaltextrun"/>
                <w:rFonts w:cstheme="minorHAnsi"/>
                <w:b/>
                <w:bCs/>
                <w:color w:val="000000" w:themeColor="text1"/>
              </w:rPr>
              <w:t>$20 million or more</w:t>
            </w:r>
            <w:r w:rsidRPr="00C05A9B">
              <w:rPr>
                <w:rStyle w:val="normaltextrun"/>
                <w:rFonts w:cstheme="minorHAnsi"/>
                <w:color w:val="000000" w:themeColor="text1"/>
              </w:rPr>
              <w:t xml:space="preserve"> to c</w:t>
            </w:r>
            <w:r w:rsidRPr="00C05A9B">
              <w:rPr>
                <w:rStyle w:val="normaltextrun"/>
                <w:rFonts w:cstheme="minorHAnsi"/>
                <w:color w:val="000000"/>
                <w:shd w:val="clear" w:color="auto" w:fill="FFFFFF"/>
              </w:rPr>
              <w:t>reate training and employment opportunities</w:t>
            </w:r>
            <w:r w:rsidRPr="00C05A9B" w:rsidDel="6F046186">
              <w:rPr>
                <w:rStyle w:val="normaltextrun"/>
                <w:rFonts w:cstheme="minorHAnsi"/>
                <w:color w:val="000000" w:themeColor="text1"/>
              </w:rPr>
              <w:t xml:space="preserve"> for women</w:t>
            </w:r>
            <w:r w:rsidRPr="00C05A9B">
              <w:rPr>
                <w:rStyle w:val="normaltextrun"/>
                <w:rFonts w:cstheme="minorHAnsi"/>
                <w:color w:val="000000"/>
                <w:shd w:val="clear" w:color="auto" w:fill="FFFFFF"/>
              </w:rPr>
              <w:t xml:space="preserve"> on building, infrastructure, civil engineering, and any other capital works projects.</w:t>
            </w:r>
          </w:p>
          <w:p w14:paraId="5AC3A7E0" w14:textId="30D5D938" w:rsidR="003D6D6B" w:rsidRPr="00A73D2D" w:rsidRDefault="003D6D6B" w:rsidP="009210F1">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9210F1">
              <w:rPr>
                <w:rFonts w:cstheme="minorHAnsi"/>
              </w:rPr>
              <w:t>Under the Building Equality Policy, suppliers are required to:</w:t>
            </w:r>
          </w:p>
          <w:p w14:paraId="36D6D74C" w14:textId="3444FF87" w:rsidR="003D6D6B" w:rsidRPr="003D6D6B" w:rsidRDefault="003D6D6B" w:rsidP="005A33E5">
            <w:pPr>
              <w:pStyle w:val="ListParagraph"/>
              <w:numPr>
                <w:ilvl w:val="0"/>
                <w:numId w:val="36"/>
              </w:numPr>
              <w:spacing w:before="0" w:beforeAutospacing="0" w:after="0" w:afterAutospacing="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pPr>
            <w:r w:rsidRPr="009210F1">
              <w:t>Action 1</w:t>
            </w:r>
            <w:r w:rsidRPr="003D6D6B">
              <w:t xml:space="preserve"> – meet specific gender equality targets</w:t>
            </w:r>
            <w:r w:rsidR="00BF77E1">
              <w:t>;</w:t>
            </w:r>
          </w:p>
          <w:p w14:paraId="1C054F3A" w14:textId="3544E37A" w:rsidR="003D6D6B" w:rsidRDefault="003D6D6B" w:rsidP="005A33E5">
            <w:pPr>
              <w:pStyle w:val="ListParagraph"/>
              <w:numPr>
                <w:ilvl w:val="0"/>
                <w:numId w:val="36"/>
              </w:numPr>
              <w:spacing w:before="0" w:beforeAutospacing="0" w:after="0" w:afterAutospacing="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pPr>
            <w:r w:rsidRPr="009210F1">
              <w:t>Action 2</w:t>
            </w:r>
            <w:r w:rsidRPr="003D6D6B">
              <w:t xml:space="preserve"> – engage women as apprentices and trainees</w:t>
            </w:r>
            <w:r w:rsidR="00BF77E1">
              <w:t xml:space="preserve">; and </w:t>
            </w:r>
          </w:p>
          <w:p w14:paraId="15931106" w14:textId="00022684" w:rsidR="00AD43D5" w:rsidRPr="00C05A9B" w:rsidRDefault="003D6D6B" w:rsidP="005A33E5">
            <w:pPr>
              <w:pStyle w:val="ListParagraph"/>
              <w:numPr>
                <w:ilvl w:val="0"/>
                <w:numId w:val="36"/>
              </w:numPr>
              <w:spacing w:before="0" w:beforeAutospacing="0" w:after="0" w:afterAutospacing="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pPr>
            <w:r>
              <w:t>Action 3 – implement Gender Equality Action Plans</w:t>
            </w:r>
            <w:r w:rsidR="00912C40">
              <w:t xml:space="preserve">. </w:t>
            </w:r>
            <w:r>
              <w:t xml:space="preserve"> </w:t>
            </w:r>
          </w:p>
        </w:tc>
        <w:tc>
          <w:tcPr>
            <w:tcW w:w="6059" w:type="dxa"/>
            <w:shd w:val="clear" w:color="auto" w:fill="D7D8D8"/>
            <w:vAlign w:val="top"/>
          </w:tcPr>
          <w:p w14:paraId="737131CB" w14:textId="6D8C4C6D" w:rsidR="00AD43D5" w:rsidRPr="00C05A9B" w:rsidRDefault="00320AFE" w:rsidP="00DD684E">
            <w:pPr>
              <w:spacing w:after="0"/>
              <w:cnfStyle w:val="000000000000" w:firstRow="0" w:lastRow="0" w:firstColumn="0" w:lastColumn="0" w:oddVBand="0" w:evenVBand="0" w:oddHBand="0" w:evenHBand="0" w:firstRowFirstColumn="0" w:firstRowLastColumn="0" w:lastRowFirstColumn="0" w:lastRowLastColumn="0"/>
              <w:rPr>
                <w:rStyle w:val="normaltextrun"/>
                <w:rFonts w:cstheme="minorHAnsi"/>
                <w:b/>
                <w:bCs/>
                <w:color w:val="000000" w:themeColor="text1"/>
              </w:rPr>
            </w:pPr>
            <w:r>
              <w:rPr>
                <w:rStyle w:val="normaltextrun"/>
                <w:rFonts w:cstheme="minorHAnsi"/>
                <w:b/>
                <w:bCs/>
                <w:color w:val="000000" w:themeColor="text1"/>
              </w:rPr>
              <w:t xml:space="preserve">Acton 1 targets: </w:t>
            </w:r>
          </w:p>
          <w:p w14:paraId="589021F2" w14:textId="77777777" w:rsidR="00AD43D5" w:rsidRPr="00C05A9B" w:rsidRDefault="00AD43D5" w:rsidP="00DD684E">
            <w:pPr>
              <w:pStyle w:val="ListParagraph"/>
              <w:numPr>
                <w:ilvl w:val="0"/>
                <w:numId w:val="28"/>
              </w:numPr>
              <w:spacing w:after="0" w:line="240" w:lineRule="auto"/>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themeColor="text1"/>
              </w:rPr>
            </w:pPr>
            <w:r w:rsidRPr="00C05A9B">
              <w:rPr>
                <w:rStyle w:val="normaltextrun"/>
                <w:rFonts w:cstheme="minorHAnsi"/>
                <w:b/>
                <w:bCs/>
                <w:color w:val="000000" w:themeColor="text1"/>
              </w:rPr>
              <w:t xml:space="preserve">Trade covered labour: </w:t>
            </w:r>
            <w:r w:rsidRPr="00C05A9B">
              <w:rPr>
                <w:rStyle w:val="normaltextrun"/>
                <w:rFonts w:cstheme="minorHAnsi"/>
                <w:color w:val="000000" w:themeColor="text1"/>
              </w:rPr>
              <w:t xml:space="preserve">women are required to perform </w:t>
            </w:r>
            <w:r w:rsidRPr="00C05A9B">
              <w:rPr>
                <w:rStyle w:val="normaltextrun"/>
                <w:rFonts w:cstheme="minorHAnsi"/>
                <w:b/>
                <w:bCs/>
                <w:color w:val="000000" w:themeColor="text1"/>
              </w:rPr>
              <w:t xml:space="preserve">at least 3% </w:t>
            </w:r>
            <w:r w:rsidRPr="00C05A9B">
              <w:rPr>
                <w:rStyle w:val="normaltextrun"/>
                <w:rFonts w:cstheme="minorHAnsi"/>
                <w:color w:val="000000" w:themeColor="text1"/>
              </w:rPr>
              <w:t>of the contract works’ total estimated labour hours for each trade position.</w:t>
            </w:r>
          </w:p>
          <w:p w14:paraId="2C731BA7" w14:textId="77777777" w:rsidR="00AD43D5" w:rsidRPr="00C05A9B" w:rsidRDefault="00AD43D5" w:rsidP="00DD684E">
            <w:pPr>
              <w:pStyle w:val="ListParagraph"/>
              <w:numPr>
                <w:ilvl w:val="0"/>
                <w:numId w:val="28"/>
              </w:numPr>
              <w:spacing w:after="0" w:line="240" w:lineRule="auto"/>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themeColor="text1"/>
              </w:rPr>
            </w:pPr>
            <w:r w:rsidRPr="00C05A9B">
              <w:rPr>
                <w:rStyle w:val="normaltextrun"/>
                <w:rFonts w:cstheme="minorHAnsi"/>
                <w:b/>
                <w:bCs/>
                <w:color w:val="000000" w:themeColor="text1"/>
              </w:rPr>
              <w:t>Management/supervisory and specialist labour (staff):</w:t>
            </w:r>
            <w:r w:rsidRPr="00C05A9B">
              <w:rPr>
                <w:rStyle w:val="normaltextrun"/>
                <w:rFonts w:cstheme="minorHAnsi"/>
                <w:color w:val="000000" w:themeColor="text1"/>
              </w:rPr>
              <w:t xml:space="preserve"> women are required to perform </w:t>
            </w:r>
            <w:r w:rsidRPr="00C05A9B">
              <w:rPr>
                <w:rStyle w:val="normaltextrun"/>
                <w:rFonts w:cstheme="minorHAnsi"/>
                <w:b/>
                <w:bCs/>
                <w:color w:val="000000" w:themeColor="text1"/>
              </w:rPr>
              <w:t>at least 35%</w:t>
            </w:r>
            <w:r w:rsidRPr="00C05A9B">
              <w:rPr>
                <w:rStyle w:val="normaltextrun"/>
                <w:rFonts w:cstheme="minorHAnsi"/>
                <w:color w:val="000000" w:themeColor="text1"/>
              </w:rPr>
              <w:t xml:space="preserve"> of the contract works’ total estimated labour hours for each staff position.</w:t>
            </w:r>
          </w:p>
          <w:p w14:paraId="56F8AE3B" w14:textId="77777777" w:rsidR="00AD43D5" w:rsidRPr="00C05A9B" w:rsidRDefault="00AD43D5" w:rsidP="00DD684E">
            <w:pPr>
              <w:pStyle w:val="ListParagraph"/>
              <w:numPr>
                <w:ilvl w:val="0"/>
                <w:numId w:val="28"/>
              </w:numPr>
              <w:spacing w:after="0" w:line="240" w:lineRule="auto"/>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themeColor="text1"/>
              </w:rPr>
            </w:pPr>
            <w:r w:rsidRPr="00C05A9B">
              <w:rPr>
                <w:rStyle w:val="normaltextrun"/>
                <w:rFonts w:cstheme="minorHAnsi"/>
                <w:b/>
                <w:bCs/>
                <w:color w:val="000000" w:themeColor="text1"/>
              </w:rPr>
              <w:t>Non-trade Construction Award covered labour:</w:t>
            </w:r>
            <w:r w:rsidRPr="00C05A9B">
              <w:rPr>
                <w:rStyle w:val="normaltextrun"/>
                <w:rFonts w:cstheme="minorHAnsi"/>
                <w:color w:val="000000" w:themeColor="text1"/>
              </w:rPr>
              <w:t xml:space="preserve"> women are required to perform </w:t>
            </w:r>
            <w:r w:rsidRPr="00C05A9B">
              <w:rPr>
                <w:rStyle w:val="normaltextrun"/>
                <w:rFonts w:cstheme="minorHAnsi"/>
                <w:b/>
                <w:bCs/>
                <w:color w:val="000000" w:themeColor="text1"/>
              </w:rPr>
              <w:t>at least 7%</w:t>
            </w:r>
            <w:r w:rsidRPr="00C05A9B">
              <w:rPr>
                <w:rStyle w:val="normaltextrun"/>
                <w:rFonts w:cstheme="minorHAnsi"/>
                <w:color w:val="000000" w:themeColor="text1"/>
              </w:rPr>
              <w:t xml:space="preserve"> of the contract works’ total estimated labour hours for each non-trade Construction Award covered labour position.</w:t>
            </w:r>
          </w:p>
          <w:p w14:paraId="4600CADA" w14:textId="30993DFE" w:rsidR="00AD43D5" w:rsidRPr="00C05A9B" w:rsidRDefault="00320AFE" w:rsidP="00DD684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9210F1">
              <w:rPr>
                <w:rFonts w:eastAsia="Calibri" w:cstheme="minorHAnsi"/>
                <w:b/>
                <w:bCs/>
              </w:rPr>
              <w:t>A</w:t>
            </w:r>
            <w:r w:rsidRPr="009210F1">
              <w:rPr>
                <w:rFonts w:eastAsia="Calibri"/>
                <w:b/>
                <w:bCs/>
              </w:rPr>
              <w:t>ction 2 target:</w:t>
            </w:r>
            <w:r>
              <w:rPr>
                <w:rFonts w:eastAsia="Calibri"/>
              </w:rPr>
              <w:t xml:space="preserve"> </w:t>
            </w:r>
            <w:r w:rsidR="00AD43D5" w:rsidRPr="00C05A9B">
              <w:rPr>
                <w:rFonts w:eastAsia="Calibri" w:cstheme="minorHAnsi"/>
              </w:rPr>
              <w:t xml:space="preserve">Engaging women </w:t>
            </w:r>
            <w:r w:rsidR="00AD43D5" w:rsidRPr="00C05A9B">
              <w:rPr>
                <w:rFonts w:cstheme="minorHAnsi"/>
              </w:rPr>
              <w:t>who</w:t>
            </w:r>
            <w:r w:rsidR="00AD43D5" w:rsidRPr="00C05A9B">
              <w:rPr>
                <w:rFonts w:eastAsia="Calibri" w:cstheme="minorHAnsi"/>
              </w:rPr>
              <w:t xml:space="preserve"> are registered </w:t>
            </w:r>
            <w:r w:rsidR="00AD43D5" w:rsidRPr="00C05A9B">
              <w:rPr>
                <w:rFonts w:eastAsia="Calibri" w:cstheme="minorHAnsi"/>
                <w:b/>
                <w:bCs/>
              </w:rPr>
              <w:t xml:space="preserve">apprentices or trainees </w:t>
            </w:r>
            <w:r w:rsidR="00AD43D5" w:rsidRPr="00C05A9B">
              <w:rPr>
                <w:rFonts w:eastAsia="Calibri" w:cstheme="minorHAnsi"/>
              </w:rPr>
              <w:t xml:space="preserve">to perform building and construction work for </w:t>
            </w:r>
            <w:r w:rsidR="00AD43D5" w:rsidRPr="00C05A9B">
              <w:rPr>
                <w:rFonts w:eastAsia="Calibri" w:cstheme="minorHAnsi"/>
                <w:b/>
                <w:bCs/>
              </w:rPr>
              <w:t>at least 4%</w:t>
            </w:r>
            <w:r w:rsidR="00AD43D5" w:rsidRPr="00C05A9B">
              <w:rPr>
                <w:rFonts w:eastAsia="Calibri" w:cstheme="minorHAnsi"/>
              </w:rPr>
              <w:t xml:space="preserve"> of the contract works’ total estimated labour hours. </w:t>
            </w:r>
          </w:p>
        </w:tc>
      </w:tr>
      <w:tr w:rsidR="00AD43D5" w14:paraId="4792D1D6" w14:textId="67DCF60C" w:rsidTr="4FCD50CC">
        <w:tc>
          <w:tcPr>
            <w:cnfStyle w:val="001000000000" w:firstRow="0" w:lastRow="0" w:firstColumn="1" w:lastColumn="0" w:oddVBand="0" w:evenVBand="0" w:oddHBand="0" w:evenHBand="0" w:firstRowFirstColumn="0" w:firstRowLastColumn="0" w:lastRowFirstColumn="0" w:lastRowLastColumn="0"/>
            <w:tcW w:w="692" w:type="dxa"/>
            <w:vAlign w:val="top"/>
          </w:tcPr>
          <w:p w14:paraId="494B195F" w14:textId="6CA3D173" w:rsidR="00AD43D5" w:rsidRPr="00C05A9B" w:rsidRDefault="00AD43D5" w:rsidP="000044DE">
            <w:pPr>
              <w:spacing w:after="100"/>
              <w:rPr>
                <w:rFonts w:cstheme="minorHAnsi"/>
                <w:b/>
                <w:bCs/>
              </w:rPr>
            </w:pPr>
            <w:r w:rsidRPr="00C05A9B">
              <w:rPr>
                <w:rFonts w:cstheme="minorHAnsi"/>
                <w:b/>
                <w:bCs/>
              </w:rPr>
              <w:t>QLD</w:t>
            </w:r>
          </w:p>
        </w:tc>
        <w:tc>
          <w:tcPr>
            <w:tcW w:w="1667" w:type="dxa"/>
            <w:vAlign w:val="top"/>
          </w:tcPr>
          <w:p w14:paraId="61192E92" w14:textId="5708AA6B" w:rsidR="00AD43D5" w:rsidRPr="00C05A9B" w:rsidRDefault="00AD43D5" w:rsidP="000044D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b/>
                <w:bCs/>
              </w:rPr>
              <w:t>Building and Construction Training Policy</w:t>
            </w:r>
          </w:p>
        </w:tc>
        <w:tc>
          <w:tcPr>
            <w:tcW w:w="663" w:type="dxa"/>
            <w:vAlign w:val="top"/>
          </w:tcPr>
          <w:p w14:paraId="1E1C87CF" w14:textId="027E9FD8" w:rsidR="00AD43D5" w:rsidRPr="00C05A9B" w:rsidRDefault="00AD43D5" w:rsidP="000044D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2014</w:t>
            </w:r>
          </w:p>
        </w:tc>
        <w:tc>
          <w:tcPr>
            <w:tcW w:w="4453" w:type="dxa"/>
            <w:vAlign w:val="top"/>
          </w:tcPr>
          <w:p w14:paraId="4EC6D432" w14:textId="77777777" w:rsidR="00AD43D5" w:rsidRPr="00C05A9B" w:rsidRDefault="00AD43D5" w:rsidP="000044DE">
            <w:pPr>
              <w:spacing w:after="0"/>
              <w:cnfStyle w:val="000000000000" w:firstRow="0" w:lastRow="0" w:firstColumn="0" w:lastColumn="0" w:oddVBand="0" w:evenVBand="0" w:oddHBand="0" w:evenHBand="0" w:firstRowFirstColumn="0" w:firstRowLastColumn="0" w:lastRowFirstColumn="0" w:lastRowLastColumn="0"/>
              <w:rPr>
                <w:rFonts w:eastAsia="Calibri" w:cstheme="minorHAnsi"/>
              </w:rPr>
            </w:pPr>
            <w:r w:rsidRPr="00C05A9B">
              <w:rPr>
                <w:rStyle w:val="eop"/>
                <w:rFonts w:cstheme="minorHAnsi"/>
                <w:color w:val="000000"/>
                <w:shd w:val="clear" w:color="auto" w:fill="FFFFFF"/>
              </w:rPr>
              <w:t xml:space="preserve">This policy </w:t>
            </w:r>
            <w:r w:rsidRPr="00C05A9B">
              <w:rPr>
                <w:rFonts w:eastAsia="Calibri" w:cstheme="minorHAnsi"/>
              </w:rPr>
              <w:t>requires a minimum target for apprentices, trainees, and workforce training on eligible projects. It also mandates sub-targets to ensure focus on apprentices and trainees.</w:t>
            </w:r>
          </w:p>
          <w:p w14:paraId="46F65CFA" w14:textId="77777777" w:rsidR="00AD43D5" w:rsidRPr="00C05A9B" w:rsidRDefault="00AD43D5" w:rsidP="000044DE">
            <w:pPr>
              <w:spacing w:after="0"/>
              <w:cnfStyle w:val="000000000000" w:firstRow="0" w:lastRow="0" w:firstColumn="0" w:lastColumn="0" w:oddVBand="0" w:evenVBand="0" w:oddHBand="0" w:evenHBand="0" w:firstRowFirstColumn="0" w:firstRowLastColumn="0" w:lastRowFirstColumn="0" w:lastRowLastColumn="0"/>
              <w:rPr>
                <w:rFonts w:eastAsia="Calibri" w:cstheme="minorHAnsi"/>
              </w:rPr>
            </w:pPr>
            <w:r w:rsidRPr="00C05A9B">
              <w:rPr>
                <w:rFonts w:eastAsia="Calibri" w:cstheme="minorHAnsi"/>
              </w:rPr>
              <w:t>It requires suppliers to consider sub-contractors' capacity to comply with targets.</w:t>
            </w:r>
          </w:p>
          <w:p w14:paraId="22D81C8D" w14:textId="33BE1903" w:rsidR="00AD43D5" w:rsidRPr="00C05A9B" w:rsidRDefault="00AD43D5" w:rsidP="000044D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rPr>
              <w:t>The minimum target is applied to total labour hours.</w:t>
            </w:r>
          </w:p>
        </w:tc>
        <w:tc>
          <w:tcPr>
            <w:tcW w:w="6059" w:type="dxa"/>
            <w:shd w:val="clear" w:color="auto" w:fill="D7D8D8"/>
            <w:vAlign w:val="top"/>
          </w:tcPr>
          <w:p w14:paraId="1ED2623B" w14:textId="5E8E326D" w:rsidR="00AD43D5" w:rsidRPr="00C05A9B" w:rsidRDefault="00AD43D5" w:rsidP="000044DE">
            <w:pPr>
              <w:spacing w:after="0"/>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themeColor="text1"/>
              </w:rPr>
            </w:pPr>
            <w:r w:rsidRPr="00C05A9B">
              <w:rPr>
                <w:rStyle w:val="normaltextrun"/>
                <w:rFonts w:cstheme="minorHAnsi"/>
                <w:color w:val="000000" w:themeColor="text1"/>
              </w:rPr>
              <w:t xml:space="preserve">Public private partnerships - Eligible projects are Queensland Government building and construction projects with a contract sum of </w:t>
            </w:r>
            <w:r w:rsidRPr="00C05A9B">
              <w:rPr>
                <w:rStyle w:val="normaltextrun"/>
                <w:rFonts w:cstheme="minorHAnsi"/>
                <w:b/>
                <w:bCs/>
                <w:color w:val="000000" w:themeColor="text1"/>
              </w:rPr>
              <w:t>$500,000</w:t>
            </w:r>
            <w:r w:rsidRPr="00C05A9B">
              <w:rPr>
                <w:rStyle w:val="normaltextrun"/>
                <w:rFonts w:cstheme="minorHAnsi"/>
                <w:color w:val="000000" w:themeColor="text1"/>
              </w:rPr>
              <w:t xml:space="preserve"> or more, and civil construction projects with a contract sum of $</w:t>
            </w:r>
            <w:r w:rsidRPr="00C05A9B">
              <w:rPr>
                <w:rStyle w:val="normaltextrun"/>
                <w:rFonts w:cstheme="minorHAnsi"/>
                <w:b/>
                <w:bCs/>
                <w:color w:val="000000" w:themeColor="text1"/>
              </w:rPr>
              <w:t xml:space="preserve">3 million </w:t>
            </w:r>
            <w:r w:rsidRPr="00C05A9B">
              <w:rPr>
                <w:rStyle w:val="normaltextrun"/>
                <w:rFonts w:cstheme="minorHAnsi"/>
                <w:color w:val="000000" w:themeColor="text1"/>
              </w:rPr>
              <w:t>or more.</w:t>
            </w:r>
          </w:p>
          <w:p w14:paraId="4AFBCE4E" w14:textId="77777777" w:rsidR="00AD43D5" w:rsidRPr="00C05A9B" w:rsidRDefault="00AD43D5" w:rsidP="000044DE">
            <w:pPr>
              <w:spacing w:after="0"/>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themeColor="text1"/>
              </w:rPr>
            </w:pPr>
            <w:r w:rsidRPr="00C05A9B">
              <w:rPr>
                <w:rStyle w:val="normaltextrun"/>
                <w:rFonts w:cstheme="minorHAnsi"/>
                <w:color w:val="000000" w:themeColor="text1"/>
              </w:rPr>
              <w:t xml:space="preserve">Government owned corporations - projects </w:t>
            </w:r>
            <w:r w:rsidRPr="00C05A9B">
              <w:rPr>
                <w:rStyle w:val="normaltextrun"/>
                <w:rFonts w:cstheme="minorHAnsi"/>
                <w:b/>
                <w:color w:val="000000" w:themeColor="text1"/>
              </w:rPr>
              <w:t>above $20 million</w:t>
            </w:r>
            <w:r w:rsidRPr="00C05A9B">
              <w:rPr>
                <w:rStyle w:val="normaltextrun"/>
                <w:rFonts w:cstheme="minorHAnsi"/>
                <w:color w:val="000000" w:themeColor="text1"/>
              </w:rPr>
              <w:t xml:space="preserve"> for building and/or civil construction.</w:t>
            </w:r>
          </w:p>
          <w:p w14:paraId="0EC0617B" w14:textId="77777777" w:rsidR="00AD43D5" w:rsidRPr="00C05A9B" w:rsidRDefault="00AD43D5" w:rsidP="000044DE">
            <w:pPr>
              <w:spacing w:after="0"/>
              <w:cnfStyle w:val="000000000000" w:firstRow="0" w:lastRow="0" w:firstColumn="0" w:lastColumn="0" w:oddVBand="0" w:evenVBand="0" w:oddHBand="0" w:evenHBand="0" w:firstRowFirstColumn="0" w:firstRowLastColumn="0" w:lastRowFirstColumn="0" w:lastRowLastColumn="0"/>
              <w:rPr>
                <w:rStyle w:val="normaltextrun"/>
                <w:rFonts w:cstheme="minorHAnsi"/>
                <w:color w:val="000000" w:themeColor="text1"/>
              </w:rPr>
            </w:pPr>
            <w:r w:rsidRPr="00C05A9B">
              <w:rPr>
                <w:rStyle w:val="normaltextrun"/>
                <w:rFonts w:cstheme="minorHAnsi"/>
                <w:color w:val="000000" w:themeColor="text1"/>
              </w:rPr>
              <w:t xml:space="preserve">Minimum </w:t>
            </w:r>
            <w:r w:rsidRPr="00C05A9B">
              <w:rPr>
                <w:rStyle w:val="normaltextrun"/>
                <w:rFonts w:cstheme="minorHAnsi"/>
                <w:b/>
                <w:bCs/>
                <w:color w:val="000000" w:themeColor="text1"/>
              </w:rPr>
              <w:t>10% of the total labour hours</w:t>
            </w:r>
            <w:r w:rsidRPr="00C05A9B">
              <w:rPr>
                <w:rStyle w:val="normaltextrun"/>
                <w:rFonts w:cstheme="minorHAnsi"/>
                <w:color w:val="000000" w:themeColor="text1"/>
              </w:rPr>
              <w:t xml:space="preserve"> on eligible projects be undertaken by </w:t>
            </w:r>
            <w:r w:rsidRPr="00C05A9B">
              <w:rPr>
                <w:rStyle w:val="normaltextrun"/>
                <w:rFonts w:cstheme="minorHAnsi"/>
                <w:b/>
                <w:bCs/>
                <w:color w:val="000000" w:themeColor="text1"/>
              </w:rPr>
              <w:t>apprentices</w:t>
            </w:r>
            <w:r w:rsidRPr="00C05A9B">
              <w:rPr>
                <w:rStyle w:val="normaltextrun"/>
                <w:rFonts w:cstheme="minorHAnsi"/>
                <w:color w:val="000000" w:themeColor="text1"/>
              </w:rPr>
              <w:t xml:space="preserve"> and/or trainees and through other workforce training.</w:t>
            </w:r>
          </w:p>
          <w:p w14:paraId="57CC202B" w14:textId="12E8F91C" w:rsidR="00AD43D5" w:rsidRPr="00C05A9B" w:rsidRDefault="00AD43D5" w:rsidP="000044D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Style w:val="normaltextrun"/>
                <w:rFonts w:cstheme="minorHAnsi"/>
                <w:color w:val="000000" w:themeColor="text1"/>
              </w:rPr>
              <w:t xml:space="preserve">Minimum </w:t>
            </w:r>
            <w:r w:rsidRPr="00C05A9B">
              <w:rPr>
                <w:rStyle w:val="normaltextrun"/>
                <w:rFonts w:cstheme="minorHAnsi"/>
                <w:b/>
                <w:color w:val="000000" w:themeColor="text1"/>
              </w:rPr>
              <w:t>15% of the total labour hours</w:t>
            </w:r>
            <w:r w:rsidRPr="00C05A9B">
              <w:rPr>
                <w:rStyle w:val="normaltextrun"/>
                <w:rFonts w:cstheme="minorHAnsi"/>
                <w:color w:val="000000" w:themeColor="text1"/>
              </w:rPr>
              <w:t xml:space="preserve"> applied for projects with a contract sum of </w:t>
            </w:r>
            <w:r w:rsidRPr="00C05A9B">
              <w:rPr>
                <w:rStyle w:val="normaltextrun"/>
                <w:rFonts w:cstheme="minorHAnsi"/>
                <w:b/>
                <w:color w:val="000000" w:themeColor="text1"/>
              </w:rPr>
              <w:t xml:space="preserve">$100 million </w:t>
            </w:r>
            <w:r w:rsidRPr="00C05A9B">
              <w:rPr>
                <w:rStyle w:val="normaltextrun"/>
                <w:rFonts w:cstheme="minorHAnsi"/>
                <w:color w:val="000000" w:themeColor="text1"/>
              </w:rPr>
              <w:t>or greater.</w:t>
            </w:r>
          </w:p>
        </w:tc>
      </w:tr>
      <w:tr w:rsidR="00AD43D5" w14:paraId="69291A2E" w14:textId="77777777" w:rsidTr="4FCD50CC">
        <w:tc>
          <w:tcPr>
            <w:cnfStyle w:val="001000000000" w:firstRow="0" w:lastRow="0" w:firstColumn="1" w:lastColumn="0" w:oddVBand="0" w:evenVBand="0" w:oddHBand="0" w:evenHBand="0" w:firstRowFirstColumn="0" w:firstRowLastColumn="0" w:lastRowFirstColumn="0" w:lastRowLastColumn="0"/>
            <w:tcW w:w="692" w:type="dxa"/>
            <w:vAlign w:val="top"/>
          </w:tcPr>
          <w:p w14:paraId="455710D0" w14:textId="6FC11B64" w:rsidR="00AD43D5" w:rsidRPr="00C05A9B" w:rsidRDefault="00B126A1" w:rsidP="000044DE">
            <w:pPr>
              <w:spacing w:after="100"/>
              <w:rPr>
                <w:rFonts w:cstheme="minorHAnsi"/>
                <w:b/>
                <w:bCs/>
              </w:rPr>
            </w:pPr>
            <w:r>
              <w:rPr>
                <w:rFonts w:cstheme="minorHAnsi"/>
                <w:b/>
                <w:bCs/>
              </w:rPr>
              <w:t>QLD</w:t>
            </w:r>
          </w:p>
        </w:tc>
        <w:tc>
          <w:tcPr>
            <w:tcW w:w="1667" w:type="dxa"/>
            <w:vAlign w:val="top"/>
          </w:tcPr>
          <w:p w14:paraId="382CE656" w14:textId="0EA95BA0" w:rsidR="00AD43D5" w:rsidRPr="00C05A9B" w:rsidRDefault="00AD43D5" w:rsidP="000044D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b/>
                <w:bCs/>
              </w:rPr>
              <w:t>National Association for Women in Construction</w:t>
            </w:r>
          </w:p>
        </w:tc>
        <w:tc>
          <w:tcPr>
            <w:tcW w:w="663" w:type="dxa"/>
            <w:vAlign w:val="top"/>
          </w:tcPr>
          <w:p w14:paraId="2D8D44DD" w14:textId="122CC24C" w:rsidR="00AD43D5" w:rsidRPr="00C05A9B" w:rsidRDefault="00AD43D5" w:rsidP="000044D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2014</w:t>
            </w:r>
          </w:p>
        </w:tc>
        <w:tc>
          <w:tcPr>
            <w:tcW w:w="4453" w:type="dxa"/>
            <w:vAlign w:val="top"/>
          </w:tcPr>
          <w:p w14:paraId="1F97A109" w14:textId="3A5CD8F6" w:rsidR="00AD43D5" w:rsidRPr="00C05A9B" w:rsidRDefault="00AD43D5" w:rsidP="000044D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Style w:val="normaltextrun"/>
                <w:rFonts w:cstheme="minorHAnsi"/>
                <w:color w:val="000000"/>
                <w:shd w:val="clear" w:color="auto" w:fill="FFFFFF"/>
              </w:rPr>
              <w:t>The Queensland Government</w:t>
            </w:r>
            <w:r w:rsidRPr="00C05A9B">
              <w:rPr>
                <w:rStyle w:val="normaltextrun"/>
                <w:rFonts w:cstheme="minorHAnsi"/>
              </w:rPr>
              <w:t xml:space="preserve"> </w:t>
            </w:r>
            <w:r w:rsidRPr="00C05A9B">
              <w:rPr>
                <w:rStyle w:val="normaltextrun"/>
                <w:rFonts w:cstheme="minorHAnsi"/>
                <w:color w:val="000000" w:themeColor="text1"/>
              </w:rPr>
              <w:t>Department of Energy and Public Works has committed to the National Association for Women in Construction (NAWIC) target and is pursuing initiatives to exceed this target</w:t>
            </w:r>
            <w:r w:rsidRPr="00C05A9B">
              <w:rPr>
                <w:rStyle w:val="normaltextrun"/>
                <w:rFonts w:cstheme="minorHAnsi"/>
                <w:color w:val="000000"/>
                <w:shd w:val="clear" w:color="auto" w:fill="FFFFFF"/>
              </w:rPr>
              <w:t xml:space="preserve"> for construction projects.</w:t>
            </w:r>
          </w:p>
        </w:tc>
        <w:tc>
          <w:tcPr>
            <w:tcW w:w="6059" w:type="dxa"/>
            <w:shd w:val="clear" w:color="auto" w:fill="D7D8D8"/>
            <w:vAlign w:val="top"/>
          </w:tcPr>
          <w:p w14:paraId="1709AC71" w14:textId="65A739DC" w:rsidR="00AD43D5" w:rsidRPr="00C05A9B" w:rsidRDefault="00AD43D5" w:rsidP="000044DE">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D2ADC">
              <w:rPr>
                <w:rStyle w:val="normaltextrun"/>
                <w:rFonts w:cstheme="minorHAnsi"/>
                <w:color w:val="000000" w:themeColor="text1"/>
              </w:rPr>
              <w:t>The NAWIC commitment is a minimum</w:t>
            </w:r>
            <w:r w:rsidRPr="00C05A9B">
              <w:rPr>
                <w:rStyle w:val="normaltextrun"/>
                <w:rFonts w:cstheme="minorHAnsi"/>
                <w:color w:val="000000" w:themeColor="text1"/>
              </w:rPr>
              <w:t xml:space="preserve"> </w:t>
            </w:r>
            <w:r w:rsidRPr="00C05A9B">
              <w:rPr>
                <w:rStyle w:val="normaltextrun"/>
                <w:rFonts w:cstheme="minorHAnsi"/>
                <w:b/>
                <w:bCs/>
                <w:color w:val="000000" w:themeColor="text1"/>
              </w:rPr>
              <w:t>11% female trades</w:t>
            </w:r>
            <w:r w:rsidRPr="00C05A9B">
              <w:rPr>
                <w:rStyle w:val="normaltextrun"/>
                <w:rFonts w:cstheme="minorHAnsi"/>
                <w:color w:val="000000" w:themeColor="text1"/>
              </w:rPr>
              <w:t xml:space="preserve"> on all government funded projects.</w:t>
            </w:r>
          </w:p>
        </w:tc>
      </w:tr>
      <w:tr w:rsidR="00D45BFD" w14:paraId="6F84E66C" w14:textId="77777777" w:rsidTr="4FCD50CC">
        <w:tc>
          <w:tcPr>
            <w:cnfStyle w:val="001000000000" w:firstRow="0" w:lastRow="0" w:firstColumn="1" w:lastColumn="0" w:oddVBand="0" w:evenVBand="0" w:oddHBand="0" w:evenHBand="0" w:firstRowFirstColumn="0" w:firstRowLastColumn="0" w:lastRowFirstColumn="0" w:lastRowLastColumn="0"/>
            <w:tcW w:w="692" w:type="dxa"/>
            <w:vAlign w:val="top"/>
          </w:tcPr>
          <w:p w14:paraId="5F639E2F" w14:textId="77777777" w:rsidR="00D45BFD" w:rsidRPr="00C05A9B" w:rsidRDefault="00D45BFD" w:rsidP="008219ED">
            <w:pPr>
              <w:spacing w:after="100"/>
              <w:rPr>
                <w:rFonts w:cstheme="minorHAnsi"/>
                <w:b/>
                <w:bCs/>
              </w:rPr>
            </w:pPr>
            <w:r w:rsidRPr="00C05A9B">
              <w:rPr>
                <w:rFonts w:cstheme="minorHAnsi"/>
                <w:b/>
                <w:bCs/>
              </w:rPr>
              <w:t>WA</w:t>
            </w:r>
          </w:p>
        </w:tc>
        <w:tc>
          <w:tcPr>
            <w:tcW w:w="1667" w:type="dxa"/>
            <w:vAlign w:val="top"/>
          </w:tcPr>
          <w:p w14:paraId="0BB86AC3" w14:textId="77777777" w:rsidR="00D45BFD" w:rsidRPr="00C05A9B" w:rsidRDefault="00D45BFD" w:rsidP="008219ED">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b/>
                <w:bCs/>
              </w:rPr>
              <w:t>Priority Start Policy</w:t>
            </w:r>
          </w:p>
        </w:tc>
        <w:tc>
          <w:tcPr>
            <w:tcW w:w="663" w:type="dxa"/>
            <w:vAlign w:val="top"/>
          </w:tcPr>
          <w:p w14:paraId="3CE46DB7" w14:textId="77777777" w:rsidR="00D45BFD" w:rsidRPr="00C05A9B" w:rsidRDefault="00D45BFD" w:rsidP="008219ED">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2019</w:t>
            </w:r>
          </w:p>
        </w:tc>
        <w:tc>
          <w:tcPr>
            <w:tcW w:w="4453" w:type="dxa"/>
            <w:vAlign w:val="top"/>
          </w:tcPr>
          <w:p w14:paraId="2251EC22" w14:textId="77777777" w:rsidR="00D45BFD" w:rsidRPr="00C05A9B" w:rsidRDefault="00D45BFD" w:rsidP="008219ED">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C05A9B">
              <w:rPr>
                <w:rFonts w:eastAsia="Calibri" w:cstheme="minorHAnsi"/>
                <w:color w:val="000000" w:themeColor="text1"/>
              </w:rPr>
              <w:t>This policy applies to construction and maintenance tenders</w:t>
            </w:r>
            <w:r>
              <w:rPr>
                <w:rFonts w:eastAsia="Calibri" w:cstheme="minorHAnsi"/>
                <w:color w:val="000000" w:themeColor="text1"/>
              </w:rPr>
              <w:t xml:space="preserve"> </w:t>
            </w:r>
            <w:r w:rsidRPr="003B0A2A">
              <w:rPr>
                <w:rFonts w:eastAsia="Calibri" w:cstheme="minorHAnsi"/>
                <w:color w:val="000000" w:themeColor="text1"/>
              </w:rPr>
              <w:t>issued from 1 April 2019</w:t>
            </w:r>
            <w:r w:rsidRPr="00C05A9B">
              <w:rPr>
                <w:rFonts w:eastAsia="Calibri" w:cstheme="minorHAnsi"/>
                <w:color w:val="000000" w:themeColor="text1"/>
              </w:rPr>
              <w:t>. This policy uses the awarding of government building, construction, and maintenance contracts to increase training rates for apprentices and trainees in the building and constructions sector.</w:t>
            </w:r>
          </w:p>
          <w:p w14:paraId="3BDCA859" w14:textId="77777777" w:rsidR="00D45BFD" w:rsidRDefault="00D45BFD" w:rsidP="008219ED">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437BCF">
              <w:rPr>
                <w:rFonts w:eastAsia="Calibri" w:cstheme="minorHAnsi"/>
                <w:color w:val="000000" w:themeColor="text1"/>
              </w:rPr>
              <w:t>Head contractors and the sub</w:t>
            </w:r>
            <w:r>
              <w:rPr>
                <w:rFonts w:eastAsia="Calibri" w:cstheme="minorHAnsi"/>
                <w:color w:val="000000" w:themeColor="text1"/>
              </w:rPr>
              <w:t>-</w:t>
            </w:r>
            <w:r w:rsidRPr="00437BCF">
              <w:rPr>
                <w:rFonts w:eastAsia="Calibri" w:cstheme="minorHAnsi"/>
                <w:color w:val="000000" w:themeColor="text1"/>
              </w:rPr>
              <w:t>contractors used for these contracts are required to meet the industry target training rate, based on their combined WA construction trades workforce.</w:t>
            </w:r>
          </w:p>
          <w:p w14:paraId="1B332990" w14:textId="77777777" w:rsidR="00D45BFD" w:rsidRPr="00C05A9B" w:rsidRDefault="00D45BFD" w:rsidP="008219ED">
            <w:pPr>
              <w:spacing w:after="100"/>
              <w:cnfStyle w:val="000000000000" w:firstRow="0" w:lastRow="0" w:firstColumn="0" w:lastColumn="0" w:oddVBand="0" w:evenVBand="0" w:oddHBand="0" w:evenHBand="0" w:firstRowFirstColumn="0" w:firstRowLastColumn="0" w:lastRowFirstColumn="0" w:lastRowLastColumn="0"/>
              <w:rPr>
                <w:rFonts w:cstheme="minorHAnsi"/>
              </w:rPr>
            </w:pPr>
          </w:p>
        </w:tc>
        <w:tc>
          <w:tcPr>
            <w:tcW w:w="6059" w:type="dxa"/>
            <w:shd w:val="clear" w:color="auto" w:fill="D7D8D8"/>
            <w:vAlign w:val="top"/>
          </w:tcPr>
          <w:p w14:paraId="14CE3AE1" w14:textId="77777777" w:rsidR="00D45BFD" w:rsidRPr="00C05A9B" w:rsidRDefault="00D45BFD" w:rsidP="008219ED">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C05A9B">
              <w:rPr>
                <w:rFonts w:eastAsia="Calibri" w:cstheme="minorHAnsi"/>
                <w:color w:val="000000" w:themeColor="text1"/>
              </w:rPr>
              <w:t xml:space="preserve">State Government building construction, civil construction and maintenance contracts with a total value over </w:t>
            </w:r>
            <w:r w:rsidRPr="00C05A9B">
              <w:rPr>
                <w:rFonts w:eastAsia="Calibri" w:cstheme="minorHAnsi"/>
                <w:b/>
                <w:bCs/>
                <w:color w:val="000000" w:themeColor="text1"/>
              </w:rPr>
              <w:t>$5 million</w:t>
            </w:r>
            <w:r w:rsidRPr="00C05A9B">
              <w:rPr>
                <w:rFonts w:eastAsia="Calibri" w:cstheme="minorHAnsi"/>
                <w:color w:val="000000" w:themeColor="text1"/>
              </w:rPr>
              <w:t xml:space="preserve"> (inclusive of GST) are in scope of the policy.</w:t>
            </w:r>
          </w:p>
          <w:p w14:paraId="46B57ABE" w14:textId="77777777" w:rsidR="00D45BFD" w:rsidRPr="00C05A9B" w:rsidRDefault="00D45BFD" w:rsidP="008219ED">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C05A9B">
              <w:rPr>
                <w:rFonts w:eastAsia="Calibri" w:cstheme="minorHAnsi"/>
                <w:color w:val="000000" w:themeColor="text1"/>
              </w:rPr>
              <w:t>The following targets apply:</w:t>
            </w:r>
          </w:p>
          <w:p w14:paraId="3B329CEC" w14:textId="77777777" w:rsidR="00D45BFD" w:rsidRPr="00C05A9B" w:rsidRDefault="00D45BFD" w:rsidP="008219ED">
            <w:pPr>
              <w:pStyle w:val="ListParagraph"/>
              <w:numPr>
                <w:ilvl w:val="0"/>
                <w:numId w:val="27"/>
              </w:numPr>
              <w:spacing w:after="0" w:line="240" w:lineRule="auto"/>
              <w:ind w:left="360"/>
              <w:cnfStyle w:val="000000000000" w:firstRow="0" w:lastRow="0" w:firstColumn="0" w:lastColumn="0" w:oddVBand="0" w:evenVBand="0" w:oddHBand="0" w:evenHBand="0" w:firstRowFirstColumn="0" w:firstRowLastColumn="0" w:lastRowFirstColumn="0" w:lastRowLastColumn="0"/>
              <w:rPr>
                <w:rStyle w:val="normaltextrun"/>
                <w:rFonts w:cstheme="minorHAnsi"/>
                <w:b/>
                <w:bCs/>
                <w:color w:val="000000" w:themeColor="text1"/>
              </w:rPr>
            </w:pPr>
            <w:r w:rsidRPr="00C05A9B">
              <w:rPr>
                <w:rStyle w:val="normaltextrun"/>
                <w:rFonts w:cstheme="minorHAnsi"/>
                <w:b/>
                <w:color w:val="000000" w:themeColor="text1"/>
              </w:rPr>
              <w:t>11.5% training rate for general building construction</w:t>
            </w:r>
            <w:r w:rsidRPr="00C05A9B">
              <w:rPr>
                <w:rStyle w:val="normaltextrun"/>
                <w:rFonts w:cstheme="minorHAnsi"/>
                <w:color w:val="000000" w:themeColor="text1"/>
              </w:rPr>
              <w:t xml:space="preserve"> and maintenance contracts; and</w:t>
            </w:r>
          </w:p>
          <w:p w14:paraId="1FBAD1AB" w14:textId="77777777" w:rsidR="00D45BFD" w:rsidRDefault="00D45BFD" w:rsidP="008219ED">
            <w:pPr>
              <w:pStyle w:val="ListParagraph"/>
              <w:numPr>
                <w:ilvl w:val="0"/>
                <w:numId w:val="27"/>
              </w:numPr>
              <w:spacing w:after="0" w:line="240" w:lineRule="auto"/>
              <w:ind w:left="360"/>
              <w:cnfStyle w:val="000000000000" w:firstRow="0" w:lastRow="0" w:firstColumn="0" w:lastColumn="0" w:oddVBand="0" w:evenVBand="0" w:oddHBand="0" w:evenHBand="0" w:firstRowFirstColumn="0" w:firstRowLastColumn="0" w:lastRowFirstColumn="0" w:lastRowLastColumn="0"/>
              <w:rPr>
                <w:rStyle w:val="normaltextrun"/>
                <w:rFonts w:cstheme="minorHAnsi"/>
                <w:b/>
                <w:bCs/>
                <w:color w:val="000000" w:themeColor="text1"/>
              </w:rPr>
            </w:pPr>
            <w:r w:rsidRPr="00C05A9B">
              <w:rPr>
                <w:rStyle w:val="normaltextrun"/>
                <w:rFonts w:cstheme="minorHAnsi"/>
                <w:b/>
                <w:bCs/>
                <w:color w:val="000000" w:themeColor="text1"/>
              </w:rPr>
              <w:t>5% training rate for civil construction.</w:t>
            </w:r>
          </w:p>
          <w:p w14:paraId="5D0A4EFB" w14:textId="77777777" w:rsidR="00D45BFD" w:rsidRPr="009210F1" w:rsidRDefault="00D45BFD" w:rsidP="008219E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9210F1">
              <w:rPr>
                <w:rFonts w:cstheme="minorHAnsi"/>
                <w:color w:val="000000" w:themeColor="text1"/>
              </w:rPr>
              <w:t>The target training rate is the required percentage of construction trades workers who are apprentices and trainees in the occupations in scope of the policy, working in WA, as a proportion of the total number construction trades workers for the head contractor and the sub</w:t>
            </w:r>
            <w:r>
              <w:rPr>
                <w:rFonts w:cstheme="minorHAnsi"/>
                <w:color w:val="000000" w:themeColor="text1"/>
              </w:rPr>
              <w:t>-</w:t>
            </w:r>
            <w:r w:rsidRPr="009210F1">
              <w:rPr>
                <w:rFonts w:cstheme="minorHAnsi"/>
                <w:color w:val="000000" w:themeColor="text1"/>
              </w:rPr>
              <w:t>contractors used for the contract.</w:t>
            </w:r>
            <w:r w:rsidRPr="004400AB">
              <w:rPr>
                <w:rFonts w:eastAsia="Calibri" w:cstheme="minorHAnsi"/>
                <w:color w:val="000000" w:themeColor="text1"/>
              </w:rPr>
              <w:t xml:space="preserve"> The target training rate is the benchmark head contractors have to meet for each 12 month reporting period and at the end of the contract.</w:t>
            </w:r>
          </w:p>
        </w:tc>
      </w:tr>
      <w:tr w:rsidR="00733EAD" w14:paraId="4A06D5E1" w14:textId="77777777" w:rsidTr="4FCD50CC">
        <w:tc>
          <w:tcPr>
            <w:cnfStyle w:val="001000000000" w:firstRow="0" w:lastRow="0" w:firstColumn="1" w:lastColumn="0" w:oddVBand="0" w:evenVBand="0" w:oddHBand="0" w:evenHBand="0" w:firstRowFirstColumn="0" w:firstRowLastColumn="0" w:lastRowFirstColumn="0" w:lastRowLastColumn="0"/>
            <w:tcW w:w="692" w:type="dxa"/>
            <w:vAlign w:val="top"/>
          </w:tcPr>
          <w:p w14:paraId="6FCA21D0" w14:textId="659EFE50" w:rsidR="00733EAD" w:rsidRPr="00C05A9B" w:rsidRDefault="00733EAD" w:rsidP="00733EAD">
            <w:pPr>
              <w:spacing w:after="100"/>
              <w:rPr>
                <w:rFonts w:cstheme="minorHAnsi"/>
                <w:b/>
                <w:bCs/>
              </w:rPr>
            </w:pPr>
            <w:r w:rsidRPr="00C05A9B">
              <w:rPr>
                <w:rFonts w:cstheme="minorHAnsi"/>
                <w:b/>
                <w:bCs/>
              </w:rPr>
              <w:t>SA</w:t>
            </w:r>
          </w:p>
        </w:tc>
        <w:tc>
          <w:tcPr>
            <w:tcW w:w="1667" w:type="dxa"/>
            <w:vAlign w:val="top"/>
          </w:tcPr>
          <w:p w14:paraId="388021CC" w14:textId="4F18F94F" w:rsidR="00733EAD" w:rsidRPr="00C05A9B" w:rsidRDefault="00733EAD" w:rsidP="00733EAD">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b/>
                <w:bCs/>
              </w:rPr>
              <w:t xml:space="preserve">The South Australian Industry Participation Policy </w:t>
            </w:r>
          </w:p>
        </w:tc>
        <w:tc>
          <w:tcPr>
            <w:tcW w:w="663" w:type="dxa"/>
            <w:vAlign w:val="top"/>
          </w:tcPr>
          <w:p w14:paraId="269D650E" w14:textId="0C212CF6" w:rsidR="00733EAD" w:rsidRPr="00C05A9B" w:rsidRDefault="00733EAD" w:rsidP="00733EAD">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2018</w:t>
            </w:r>
          </w:p>
        </w:tc>
        <w:tc>
          <w:tcPr>
            <w:tcW w:w="4453" w:type="dxa"/>
            <w:vAlign w:val="top"/>
          </w:tcPr>
          <w:p w14:paraId="6FC68400" w14:textId="77777777" w:rsidR="00733EAD" w:rsidRPr="00C05A9B" w:rsidRDefault="00733EAD" w:rsidP="00733EAD">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C05A9B">
              <w:rPr>
                <w:rFonts w:eastAsia="Calibri" w:cstheme="minorHAnsi"/>
                <w:color w:val="000000" w:themeColor="text1"/>
              </w:rPr>
              <w:t xml:space="preserve">Replacing the 2010 Workforce Participation Policy, this policy </w:t>
            </w:r>
            <w:r w:rsidRPr="00C05A9B">
              <w:rPr>
                <w:rFonts w:eastAsia="Calibri" w:cstheme="minorHAnsi"/>
              </w:rPr>
              <w:t xml:space="preserve">requires a minimum target for nominated groups in eligible construction projects. It allows the South Australian Government to alter targets and include target groups, including cadets and upskilling workers. </w:t>
            </w:r>
          </w:p>
          <w:p w14:paraId="2767CB5F" w14:textId="77777777" w:rsidR="00733EAD" w:rsidRPr="00C05A9B" w:rsidRDefault="00733EAD" w:rsidP="00733EAD">
            <w:pPr>
              <w:spacing w:after="0"/>
              <w:cnfStyle w:val="000000000000" w:firstRow="0" w:lastRow="0" w:firstColumn="0" w:lastColumn="0" w:oddVBand="0" w:evenVBand="0" w:oddHBand="0" w:evenHBand="0" w:firstRowFirstColumn="0" w:firstRowLastColumn="0" w:lastRowFirstColumn="0" w:lastRowLastColumn="0"/>
              <w:rPr>
                <w:rFonts w:eastAsia="Calibri" w:cstheme="minorHAnsi"/>
              </w:rPr>
            </w:pPr>
            <w:r w:rsidRPr="00C05A9B">
              <w:rPr>
                <w:rFonts w:eastAsia="Calibri" w:cstheme="minorHAnsi"/>
              </w:rPr>
              <w:t>It sets a base target for the total labour force hours of a project. Contracting agencies have responsibility for managing performance measures.</w:t>
            </w:r>
          </w:p>
          <w:p w14:paraId="7F3A8AAC" w14:textId="7CF4ED7F" w:rsidR="00733EAD" w:rsidRPr="00C05A9B" w:rsidRDefault="00733EAD" w:rsidP="00733EAD">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rPr>
              <w:t>The minimum target is applied to total labour hours.</w:t>
            </w:r>
          </w:p>
        </w:tc>
        <w:tc>
          <w:tcPr>
            <w:tcW w:w="6059" w:type="dxa"/>
            <w:shd w:val="clear" w:color="auto" w:fill="D7D8D8"/>
            <w:vAlign w:val="top"/>
          </w:tcPr>
          <w:p w14:paraId="5B482203" w14:textId="5B63990B" w:rsidR="00733EAD" w:rsidRPr="00C05A9B" w:rsidRDefault="00733EAD" w:rsidP="00733EAD">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color w:val="000000" w:themeColor="text1"/>
              </w:rPr>
              <w:t xml:space="preserve">Applies to Government construction projects </w:t>
            </w:r>
            <w:r w:rsidRPr="00C05A9B">
              <w:rPr>
                <w:rFonts w:eastAsia="Calibri" w:cstheme="minorHAnsi"/>
                <w:b/>
                <w:bCs/>
                <w:color w:val="000000" w:themeColor="text1"/>
              </w:rPr>
              <w:t>above $50 million</w:t>
            </w:r>
            <w:r w:rsidRPr="00C05A9B">
              <w:rPr>
                <w:rFonts w:eastAsia="Calibri" w:cstheme="minorHAnsi"/>
                <w:color w:val="000000" w:themeColor="text1"/>
              </w:rPr>
              <w:t>.</w:t>
            </w:r>
          </w:p>
          <w:p w14:paraId="3576AE33" w14:textId="0711404E" w:rsidR="00733EAD" w:rsidRPr="00C05A9B" w:rsidRDefault="00733EAD" w:rsidP="00733EAD">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b/>
                <w:bCs/>
                <w:color w:val="000000" w:themeColor="text1"/>
              </w:rPr>
              <w:t>15%</w:t>
            </w:r>
            <w:r w:rsidRPr="00C05A9B">
              <w:rPr>
                <w:rFonts w:eastAsia="Calibri" w:cstheme="minorHAnsi"/>
                <w:color w:val="000000" w:themeColor="text1"/>
              </w:rPr>
              <w:t xml:space="preserve"> of the labour force hours need to be performed by </w:t>
            </w:r>
            <w:r w:rsidRPr="00C05A9B">
              <w:rPr>
                <w:rFonts w:eastAsia="Calibri" w:cstheme="minorHAnsi"/>
                <w:b/>
                <w:bCs/>
                <w:color w:val="000000" w:themeColor="text1"/>
              </w:rPr>
              <w:t>nominated groups</w:t>
            </w:r>
            <w:r w:rsidRPr="00C05A9B">
              <w:rPr>
                <w:rFonts w:eastAsia="Calibri" w:cstheme="minorHAnsi"/>
                <w:color w:val="000000" w:themeColor="text1"/>
              </w:rPr>
              <w:t xml:space="preserve"> as set out in the Industry Participation Plan.</w:t>
            </w:r>
          </w:p>
          <w:p w14:paraId="03E6D85B" w14:textId="385E8A9B" w:rsidR="00733EAD" w:rsidRPr="00C05A9B" w:rsidRDefault="22CE553F" w:rsidP="4FCD50CC">
            <w:pPr>
              <w:spacing w:after="100"/>
              <w:cnfStyle w:val="000000000000" w:firstRow="0" w:lastRow="0" w:firstColumn="0" w:lastColumn="0" w:oddVBand="0" w:evenVBand="0" w:oddHBand="0" w:evenHBand="0" w:firstRowFirstColumn="0" w:firstRowLastColumn="0" w:lastRowFirstColumn="0" w:lastRowLastColumn="0"/>
            </w:pPr>
            <w:r w:rsidRPr="4FCD50CC">
              <w:rPr>
                <w:rFonts w:eastAsia="Calibri"/>
                <w:b/>
                <w:bCs/>
                <w:color w:val="000000" w:themeColor="text1"/>
              </w:rPr>
              <w:t>Nominated groups</w:t>
            </w:r>
            <w:r w:rsidRPr="4FCD50CC">
              <w:rPr>
                <w:rFonts w:eastAsia="Calibri"/>
                <w:color w:val="000000" w:themeColor="text1"/>
              </w:rPr>
              <w:t xml:space="preserve"> are set out in the Industry Participation Plan. Apprentices are a focus but the ‘nominated groups’ also include cadets; upskilling; long-term unemployed with training needs; people with barriers to employment; First Nations jobseekers;</w:t>
            </w:r>
            <w:r w:rsidR="64D49B4E" w:rsidRPr="4FCD50CC">
              <w:rPr>
                <w:rFonts w:eastAsia="Calibri"/>
                <w:color w:val="000000" w:themeColor="text1"/>
              </w:rPr>
              <w:t xml:space="preserve"> </w:t>
            </w:r>
            <w:r w:rsidRPr="4FCD50CC">
              <w:rPr>
                <w:rFonts w:eastAsia="Calibri"/>
                <w:color w:val="000000" w:themeColor="text1"/>
              </w:rPr>
              <w:t>and graduates.</w:t>
            </w:r>
          </w:p>
        </w:tc>
      </w:tr>
      <w:tr w:rsidR="00D67B0D" w14:paraId="669197D3" w14:textId="77777777" w:rsidTr="4FCD50CC">
        <w:tc>
          <w:tcPr>
            <w:cnfStyle w:val="001000000000" w:firstRow="0" w:lastRow="0" w:firstColumn="1" w:lastColumn="0" w:oddVBand="0" w:evenVBand="0" w:oddHBand="0" w:evenHBand="0" w:firstRowFirstColumn="0" w:firstRowLastColumn="0" w:lastRowFirstColumn="0" w:lastRowLastColumn="0"/>
            <w:tcW w:w="692" w:type="dxa"/>
            <w:vAlign w:val="top"/>
          </w:tcPr>
          <w:p w14:paraId="701CFCB9" w14:textId="621A5479" w:rsidR="00D67B0D" w:rsidRPr="00C05A9B" w:rsidRDefault="00D67B0D" w:rsidP="00D67B0D">
            <w:pPr>
              <w:spacing w:after="100"/>
              <w:rPr>
                <w:rFonts w:cstheme="minorHAnsi"/>
                <w:b/>
                <w:bCs/>
              </w:rPr>
            </w:pPr>
            <w:r w:rsidRPr="00C05A9B">
              <w:rPr>
                <w:rFonts w:cstheme="minorHAnsi"/>
                <w:b/>
                <w:bCs/>
              </w:rPr>
              <w:t>TAS</w:t>
            </w:r>
          </w:p>
        </w:tc>
        <w:tc>
          <w:tcPr>
            <w:tcW w:w="1667" w:type="dxa"/>
            <w:vAlign w:val="top"/>
          </w:tcPr>
          <w:p w14:paraId="23183740" w14:textId="0389BD5F" w:rsidR="00D67B0D" w:rsidRPr="00C05A9B" w:rsidRDefault="00D67B0D" w:rsidP="00D67B0D">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b/>
                <w:bCs/>
              </w:rPr>
              <w:t>Building and Construction Training Policy Statement</w:t>
            </w:r>
          </w:p>
        </w:tc>
        <w:tc>
          <w:tcPr>
            <w:tcW w:w="663" w:type="dxa"/>
            <w:vAlign w:val="top"/>
          </w:tcPr>
          <w:p w14:paraId="730C5768" w14:textId="5632A460" w:rsidR="00D67B0D" w:rsidRPr="00C05A9B" w:rsidRDefault="00D67B0D" w:rsidP="00D67B0D">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2002</w:t>
            </w:r>
          </w:p>
        </w:tc>
        <w:tc>
          <w:tcPr>
            <w:tcW w:w="4453" w:type="dxa"/>
            <w:vAlign w:val="top"/>
          </w:tcPr>
          <w:p w14:paraId="6FD8DFEC" w14:textId="77777777" w:rsidR="00D67B0D" w:rsidRPr="00C05A9B" w:rsidRDefault="00D67B0D" w:rsidP="00D67B0D">
            <w:pPr>
              <w:spacing w:after="0"/>
              <w:cnfStyle w:val="000000000000" w:firstRow="0" w:lastRow="0" w:firstColumn="0" w:lastColumn="0" w:oddVBand="0" w:evenVBand="0" w:oddHBand="0" w:evenHBand="0" w:firstRowFirstColumn="0" w:firstRowLastColumn="0" w:lastRowFirstColumn="0" w:lastRowLastColumn="0"/>
              <w:rPr>
                <w:rFonts w:eastAsia="Calibri" w:cstheme="minorHAnsi"/>
              </w:rPr>
            </w:pPr>
            <w:r w:rsidRPr="00C05A9B">
              <w:rPr>
                <w:rFonts w:eastAsia="Calibri" w:cstheme="minorHAnsi"/>
              </w:rPr>
              <w:t>This policy mandates a minimum target for engagement of apprentices and trainees on eligible building and construction projects.</w:t>
            </w:r>
          </w:p>
          <w:p w14:paraId="76867F6F" w14:textId="77777777" w:rsidR="00D67B0D" w:rsidRPr="00C05A9B" w:rsidRDefault="00D67B0D" w:rsidP="00D67B0D">
            <w:pPr>
              <w:spacing w:after="0"/>
              <w:cnfStyle w:val="000000000000" w:firstRow="0" w:lastRow="0" w:firstColumn="0" w:lastColumn="0" w:oddVBand="0" w:evenVBand="0" w:oddHBand="0" w:evenHBand="0" w:firstRowFirstColumn="0" w:firstRowLastColumn="0" w:lastRowFirstColumn="0" w:lastRowLastColumn="0"/>
              <w:rPr>
                <w:rFonts w:eastAsia="Calibri" w:cstheme="minorHAnsi"/>
              </w:rPr>
            </w:pPr>
            <w:r w:rsidRPr="00C05A9B">
              <w:rPr>
                <w:rFonts w:eastAsia="Calibri" w:cstheme="minorHAnsi"/>
              </w:rPr>
              <w:t>It allows for the inclusion of hours worked by apprentices employed by sub-contractors.</w:t>
            </w:r>
          </w:p>
          <w:p w14:paraId="3B8223B9" w14:textId="768466D7" w:rsidR="00D67B0D" w:rsidRPr="00C05A9B" w:rsidRDefault="00D67B0D" w:rsidP="00D67B0D">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rPr>
              <w:t>The minimum target is applied to total labour hours.</w:t>
            </w:r>
          </w:p>
        </w:tc>
        <w:tc>
          <w:tcPr>
            <w:tcW w:w="6059" w:type="dxa"/>
            <w:shd w:val="clear" w:color="auto" w:fill="D7D8D8"/>
            <w:vAlign w:val="top"/>
          </w:tcPr>
          <w:p w14:paraId="506A3A65" w14:textId="10AD13BC" w:rsidR="00D67B0D" w:rsidRPr="00C05A9B" w:rsidRDefault="00D67B0D" w:rsidP="00D67B0D">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color w:val="000000" w:themeColor="text1"/>
              </w:rPr>
              <w:t xml:space="preserve">Applies to building and construction projects valued at </w:t>
            </w:r>
            <w:r w:rsidRPr="00C05A9B">
              <w:rPr>
                <w:rFonts w:eastAsia="Calibri" w:cstheme="minorHAnsi"/>
                <w:b/>
                <w:bCs/>
                <w:color w:val="000000" w:themeColor="text1"/>
              </w:rPr>
              <w:t>$250,000</w:t>
            </w:r>
            <w:r w:rsidRPr="00C05A9B">
              <w:rPr>
                <w:rFonts w:eastAsia="Calibri" w:cstheme="minorHAnsi"/>
                <w:color w:val="000000" w:themeColor="text1"/>
              </w:rPr>
              <w:t xml:space="preserve"> or more and civil construction projects (since 2022) valued at </w:t>
            </w:r>
            <w:r w:rsidRPr="00C05A9B">
              <w:rPr>
                <w:rFonts w:eastAsia="Calibri" w:cstheme="minorHAnsi"/>
                <w:b/>
                <w:bCs/>
                <w:color w:val="000000" w:themeColor="text1"/>
              </w:rPr>
              <w:t xml:space="preserve">$5 million </w:t>
            </w:r>
            <w:r w:rsidRPr="00C05A9B">
              <w:rPr>
                <w:rFonts w:eastAsia="Calibri" w:cstheme="minorHAnsi"/>
                <w:color w:val="000000" w:themeColor="text1"/>
              </w:rPr>
              <w:t>or more</w:t>
            </w:r>
            <w:r w:rsidRPr="00C05A9B">
              <w:rPr>
                <w:rFonts w:eastAsia="Calibri" w:cstheme="minorHAnsi"/>
              </w:rPr>
              <w:t>.</w:t>
            </w:r>
          </w:p>
          <w:p w14:paraId="71634F48" w14:textId="77777777" w:rsidR="00D67B0D" w:rsidRPr="00C05A9B" w:rsidRDefault="00D67B0D" w:rsidP="00D67B0D">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b/>
                <w:bCs/>
                <w:color w:val="000000" w:themeColor="text1"/>
              </w:rPr>
              <w:t xml:space="preserve">Minimum of 20% </w:t>
            </w:r>
            <w:r w:rsidRPr="00C05A9B">
              <w:rPr>
                <w:rFonts w:eastAsia="Calibri" w:cstheme="minorHAnsi"/>
                <w:color w:val="000000" w:themeColor="text1"/>
              </w:rPr>
              <w:t xml:space="preserve">of the total labour hours worked be undertaken by one or more </w:t>
            </w:r>
            <w:r w:rsidRPr="00C05A9B">
              <w:rPr>
                <w:rFonts w:eastAsia="Calibri" w:cstheme="minorHAnsi"/>
                <w:b/>
                <w:bCs/>
                <w:color w:val="000000" w:themeColor="text1"/>
              </w:rPr>
              <w:t>apprentices or trainees.</w:t>
            </w:r>
          </w:p>
          <w:p w14:paraId="0AA13C43" w14:textId="17197F52" w:rsidR="00D67B0D" w:rsidRPr="00C05A9B" w:rsidRDefault="00D67B0D" w:rsidP="00D67B0D">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b/>
                <w:bCs/>
                <w:color w:val="000000" w:themeColor="text1"/>
              </w:rPr>
              <w:t xml:space="preserve">Minimum of 10% </w:t>
            </w:r>
            <w:r w:rsidRPr="00C05A9B">
              <w:rPr>
                <w:rFonts w:eastAsia="Calibri" w:cstheme="minorHAnsi"/>
                <w:color w:val="000000" w:themeColor="text1"/>
              </w:rPr>
              <w:t>of the total labour hours worked on an eligible civil constructions project be undertaken by one or more apprentices under a contract of training in a vocation or people engaged on the project undertaking other workplace training.</w:t>
            </w:r>
          </w:p>
        </w:tc>
      </w:tr>
      <w:tr w:rsidR="003420D1" w14:paraId="3EB29ACB" w14:textId="77777777" w:rsidTr="4FCD50CC">
        <w:tc>
          <w:tcPr>
            <w:cnfStyle w:val="001000000000" w:firstRow="0" w:lastRow="0" w:firstColumn="1" w:lastColumn="0" w:oddVBand="0" w:evenVBand="0" w:oddHBand="0" w:evenHBand="0" w:firstRowFirstColumn="0" w:firstRowLastColumn="0" w:lastRowFirstColumn="0" w:lastRowLastColumn="0"/>
            <w:tcW w:w="692" w:type="dxa"/>
            <w:vAlign w:val="top"/>
          </w:tcPr>
          <w:p w14:paraId="7DC0AA9C" w14:textId="70D937E3" w:rsidR="003420D1" w:rsidRPr="00C05A9B" w:rsidRDefault="003420D1" w:rsidP="003420D1">
            <w:pPr>
              <w:spacing w:after="100"/>
              <w:rPr>
                <w:rFonts w:cstheme="minorHAnsi"/>
                <w:b/>
                <w:bCs/>
              </w:rPr>
            </w:pPr>
            <w:r w:rsidRPr="00C05A9B">
              <w:rPr>
                <w:rFonts w:cstheme="minorHAnsi"/>
                <w:b/>
                <w:bCs/>
              </w:rPr>
              <w:t>ACT</w:t>
            </w:r>
          </w:p>
        </w:tc>
        <w:tc>
          <w:tcPr>
            <w:tcW w:w="1667" w:type="dxa"/>
            <w:vAlign w:val="top"/>
          </w:tcPr>
          <w:p w14:paraId="635E2B0A" w14:textId="3E4776B0" w:rsidR="003420D1" w:rsidRPr="00C05A9B" w:rsidRDefault="003420D1" w:rsidP="003420D1">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b/>
                <w:bCs/>
              </w:rPr>
              <w:t xml:space="preserve">Inclusive apprenticeships under the Skilled to Succeed Policy </w:t>
            </w:r>
          </w:p>
        </w:tc>
        <w:tc>
          <w:tcPr>
            <w:tcW w:w="663" w:type="dxa"/>
            <w:vAlign w:val="top"/>
          </w:tcPr>
          <w:p w14:paraId="2EA60EF4" w14:textId="56A11D05" w:rsidR="003420D1" w:rsidRPr="00C05A9B" w:rsidRDefault="003420D1" w:rsidP="003420D1">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2019</w:t>
            </w:r>
          </w:p>
        </w:tc>
        <w:tc>
          <w:tcPr>
            <w:tcW w:w="4453" w:type="dxa"/>
            <w:vAlign w:val="top"/>
          </w:tcPr>
          <w:p w14:paraId="7DE335E9" w14:textId="77777777" w:rsidR="003420D1" w:rsidRPr="00C05A9B" w:rsidRDefault="003420D1" w:rsidP="003420D1">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C05A9B">
              <w:rPr>
                <w:rFonts w:eastAsia="Calibri" w:cstheme="minorHAnsi"/>
                <w:color w:val="000000" w:themeColor="text1"/>
              </w:rPr>
              <w:t xml:space="preserve">The Australian Capital Territory Government sets dedicated targets for apprentices and trainees on each major infrastructure project. This policy </w:t>
            </w:r>
            <w:r w:rsidRPr="00C05A9B">
              <w:rPr>
                <w:rFonts w:eastAsia="Calibri" w:cstheme="minorHAnsi"/>
              </w:rPr>
              <w:t>features dedicated targets for apprentice employment on major infrastructure projects. It sets targets for employing and supporting apprentices and trainees, with identified focus groups for each.</w:t>
            </w:r>
          </w:p>
          <w:p w14:paraId="35C918C2" w14:textId="77777777" w:rsidR="003420D1" w:rsidRPr="00C05A9B" w:rsidRDefault="003420D1" w:rsidP="003420D1">
            <w:pPr>
              <w:spacing w:after="0"/>
              <w:cnfStyle w:val="000000000000" w:firstRow="0" w:lastRow="0" w:firstColumn="0" w:lastColumn="0" w:oddVBand="0" w:evenVBand="0" w:oddHBand="0" w:evenHBand="0" w:firstRowFirstColumn="0" w:firstRowLastColumn="0" w:lastRowFirstColumn="0" w:lastRowLastColumn="0"/>
              <w:rPr>
                <w:rFonts w:eastAsia="Calibri" w:cstheme="minorHAnsi"/>
              </w:rPr>
            </w:pPr>
            <w:r w:rsidRPr="00C05A9B">
              <w:rPr>
                <w:rFonts w:eastAsia="Calibri" w:cstheme="minorHAnsi"/>
              </w:rPr>
              <w:t>This policy requires targets to be met by the total workforce/labour spend. For one project it has identified a specific target for sub-contractors.</w:t>
            </w:r>
          </w:p>
          <w:p w14:paraId="339864D5" w14:textId="4873D194" w:rsidR="003420D1" w:rsidRPr="00C05A9B" w:rsidRDefault="003420D1" w:rsidP="003420D1">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rPr>
              <w:t>Key indicators measure and track benefits outlined in project business cases. Economic analysis identifies benefits.</w:t>
            </w:r>
          </w:p>
        </w:tc>
        <w:tc>
          <w:tcPr>
            <w:tcW w:w="6059" w:type="dxa"/>
            <w:shd w:val="clear" w:color="auto" w:fill="D7D8D8"/>
            <w:vAlign w:val="top"/>
          </w:tcPr>
          <w:p w14:paraId="1E3BE5C5" w14:textId="483617F3" w:rsidR="003420D1" w:rsidRPr="00C05A9B" w:rsidRDefault="003420D1" w:rsidP="003420D1">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C05A9B">
              <w:rPr>
                <w:rFonts w:eastAsia="Calibri" w:cstheme="minorHAnsi"/>
                <w:color w:val="000000" w:themeColor="text1"/>
              </w:rPr>
              <w:t>There is no minimum threshold for major projects that are in scope.</w:t>
            </w:r>
          </w:p>
          <w:p w14:paraId="12AD233A" w14:textId="5E4190BB" w:rsidR="003420D1" w:rsidRPr="00C05A9B" w:rsidRDefault="003420D1" w:rsidP="003420D1">
            <w:pPr>
              <w:spacing w:after="0"/>
              <w:cnfStyle w:val="000000000000" w:firstRow="0" w:lastRow="0" w:firstColumn="0" w:lastColumn="0" w:oddVBand="0" w:evenVBand="0" w:oddHBand="0" w:evenHBand="0" w:firstRowFirstColumn="0" w:firstRowLastColumn="0" w:lastRowFirstColumn="0" w:lastRowLastColumn="0"/>
              <w:rPr>
                <w:rFonts w:cstheme="minorHAnsi"/>
                <w:b/>
                <w:bCs/>
              </w:rPr>
            </w:pPr>
            <w:r w:rsidRPr="00C05A9B">
              <w:rPr>
                <w:rFonts w:cstheme="minorHAnsi"/>
                <w:b/>
                <w:bCs/>
              </w:rPr>
              <w:t>Raising London Circuit and light rail Stage 2A</w:t>
            </w:r>
          </w:p>
          <w:p w14:paraId="172D128F" w14:textId="77777777" w:rsidR="003420D1" w:rsidRPr="00C05A9B" w:rsidRDefault="003420D1" w:rsidP="003420D1">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Minimum 10% of labour spend on employing and supporting apprentices and trainees, and an additional focus on supporting women in trades and Aboriginal and Torres Strait Islander apprentices.</w:t>
            </w:r>
          </w:p>
          <w:p w14:paraId="32BFD491" w14:textId="77777777" w:rsidR="00B3439A" w:rsidRDefault="00B3439A" w:rsidP="003420D1">
            <w:pPr>
              <w:spacing w:after="0"/>
              <w:cnfStyle w:val="000000000000" w:firstRow="0" w:lastRow="0" w:firstColumn="0" w:lastColumn="0" w:oddVBand="0" w:evenVBand="0" w:oddHBand="0" w:evenHBand="0" w:firstRowFirstColumn="0" w:firstRowLastColumn="0" w:lastRowFirstColumn="0" w:lastRowLastColumn="0"/>
              <w:rPr>
                <w:rFonts w:cstheme="minorHAnsi"/>
                <w:b/>
                <w:bCs/>
              </w:rPr>
            </w:pPr>
          </w:p>
          <w:p w14:paraId="6E07E6EA" w14:textId="2C4D764B" w:rsidR="003420D1" w:rsidRPr="00C05A9B" w:rsidRDefault="003420D1" w:rsidP="003420D1">
            <w:pPr>
              <w:spacing w:after="0"/>
              <w:cnfStyle w:val="000000000000" w:firstRow="0" w:lastRow="0" w:firstColumn="0" w:lastColumn="0" w:oddVBand="0" w:evenVBand="0" w:oddHBand="0" w:evenHBand="0" w:firstRowFirstColumn="0" w:firstRowLastColumn="0" w:lastRowFirstColumn="0" w:lastRowLastColumn="0"/>
              <w:rPr>
                <w:rFonts w:cstheme="minorHAnsi"/>
                <w:b/>
                <w:bCs/>
              </w:rPr>
            </w:pPr>
            <w:r w:rsidRPr="00C05A9B">
              <w:rPr>
                <w:rFonts w:cstheme="minorHAnsi"/>
                <w:b/>
                <w:bCs/>
              </w:rPr>
              <w:t xml:space="preserve">The Canberra Hospital Expansion project </w:t>
            </w:r>
          </w:p>
          <w:p w14:paraId="40328D01" w14:textId="145A2C67" w:rsidR="003420D1" w:rsidRPr="00C05A9B" w:rsidRDefault="003420D1" w:rsidP="003420D1">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30% ratio of apprentices, trainees and cadets across its total workforce.</w:t>
            </w:r>
          </w:p>
          <w:p w14:paraId="6E582BB6" w14:textId="77777777" w:rsidR="003420D1" w:rsidRPr="00C05A9B" w:rsidRDefault="003420D1" w:rsidP="003420D1">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10% of total subcontracted trades budget on the employment of Aboriginal and Torres Strait Islander people.</w:t>
            </w:r>
          </w:p>
          <w:p w14:paraId="439E6688" w14:textId="77777777" w:rsidR="003420D1" w:rsidRPr="00C05A9B" w:rsidRDefault="003420D1" w:rsidP="003420D1">
            <w:pPr>
              <w:spacing w:after="0"/>
              <w:cnfStyle w:val="000000000000" w:firstRow="0" w:lastRow="0" w:firstColumn="0" w:lastColumn="0" w:oddVBand="0" w:evenVBand="0" w:oddHBand="0" w:evenHBand="0" w:firstRowFirstColumn="0" w:firstRowLastColumn="0" w:lastRowFirstColumn="0" w:lastRowLastColumn="0"/>
              <w:rPr>
                <w:rFonts w:cstheme="minorHAnsi"/>
                <w:b/>
                <w:bCs/>
              </w:rPr>
            </w:pPr>
            <w:r w:rsidRPr="00C05A9B">
              <w:rPr>
                <w:rFonts w:cstheme="minorHAnsi"/>
                <w:b/>
                <w:bCs/>
              </w:rPr>
              <w:t xml:space="preserve">The construction of CIT Woden </w:t>
            </w:r>
          </w:p>
          <w:p w14:paraId="2799D351" w14:textId="588888DF" w:rsidR="00D4061F" w:rsidRPr="00C05A9B" w:rsidRDefault="003420D1" w:rsidP="003420D1">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Minimum requirements for the employment of women in construction roles.</w:t>
            </w:r>
          </w:p>
          <w:p w14:paraId="78611013" w14:textId="0642A042" w:rsidR="003420D1" w:rsidRPr="00A73D2D" w:rsidRDefault="003420D1" w:rsidP="009210F1">
            <w:pPr>
              <w:pStyle w:val="ListParagraph"/>
              <w:numPr>
                <w:ilvl w:val="0"/>
                <w:numId w:val="26"/>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t>A minimum of 10% of work on the project is to be undertaken by apprentices and trainees.</w:t>
            </w:r>
          </w:p>
        </w:tc>
      </w:tr>
      <w:tr w:rsidR="008A20B6" w14:paraId="0578B90E" w14:textId="77777777" w:rsidTr="4FCD50CC">
        <w:tc>
          <w:tcPr>
            <w:cnfStyle w:val="001000000000" w:firstRow="0" w:lastRow="0" w:firstColumn="1" w:lastColumn="0" w:oddVBand="0" w:evenVBand="0" w:oddHBand="0" w:evenHBand="0" w:firstRowFirstColumn="0" w:firstRowLastColumn="0" w:lastRowFirstColumn="0" w:lastRowLastColumn="0"/>
            <w:tcW w:w="692" w:type="dxa"/>
            <w:vAlign w:val="top"/>
          </w:tcPr>
          <w:p w14:paraId="7F371E74" w14:textId="775EB06A" w:rsidR="008A20B6" w:rsidRPr="00C05A9B" w:rsidRDefault="008A20B6" w:rsidP="00145A2E">
            <w:pPr>
              <w:spacing w:after="100"/>
              <w:rPr>
                <w:rFonts w:cstheme="minorHAnsi"/>
                <w:b/>
                <w:bCs/>
              </w:rPr>
            </w:pPr>
            <w:r w:rsidRPr="00C05A9B">
              <w:rPr>
                <w:rFonts w:cstheme="minorHAnsi"/>
                <w:b/>
                <w:bCs/>
              </w:rPr>
              <w:t>NT</w:t>
            </w:r>
          </w:p>
        </w:tc>
        <w:tc>
          <w:tcPr>
            <w:tcW w:w="1667" w:type="dxa"/>
            <w:vAlign w:val="top"/>
          </w:tcPr>
          <w:p w14:paraId="00983D2F" w14:textId="449BFABF" w:rsidR="008A20B6" w:rsidRPr="00C05A9B" w:rsidRDefault="008A20B6" w:rsidP="008A20B6">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b/>
                <w:bCs/>
              </w:rPr>
              <w:t>Indigenous Participation on Construction Projects Policy</w:t>
            </w:r>
          </w:p>
        </w:tc>
        <w:tc>
          <w:tcPr>
            <w:tcW w:w="663" w:type="dxa"/>
            <w:vAlign w:val="top"/>
          </w:tcPr>
          <w:p w14:paraId="6B6FDD0F" w14:textId="0242813B" w:rsidR="008A20B6" w:rsidRPr="00C05A9B" w:rsidRDefault="008A20B6" w:rsidP="008A20B6">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cstheme="minorHAnsi"/>
              </w:rPr>
              <w:t>2017</w:t>
            </w:r>
          </w:p>
        </w:tc>
        <w:tc>
          <w:tcPr>
            <w:tcW w:w="4453" w:type="dxa"/>
            <w:vAlign w:val="top"/>
          </w:tcPr>
          <w:p w14:paraId="4C646D9A" w14:textId="7D022FEA" w:rsidR="008A20B6" w:rsidRPr="00C05A9B" w:rsidRDefault="008A20B6" w:rsidP="008A20B6">
            <w:pPr>
              <w:spacing w:after="0"/>
              <w:cnfStyle w:val="000000000000" w:firstRow="0" w:lastRow="0" w:firstColumn="0" w:lastColumn="0" w:oddVBand="0" w:evenVBand="0" w:oddHBand="0" w:evenHBand="0" w:firstRowFirstColumn="0" w:firstRowLastColumn="0" w:lastRowFirstColumn="0" w:lastRowLastColumn="0"/>
              <w:rPr>
                <w:rFonts w:eastAsia="Calibri" w:cstheme="minorHAnsi"/>
                <w:i/>
                <w:iCs/>
                <w:color w:val="000000" w:themeColor="text1"/>
              </w:rPr>
            </w:pPr>
            <w:r w:rsidRPr="00C05A9B">
              <w:rPr>
                <w:rFonts w:eastAsia="Calibri" w:cstheme="minorHAnsi"/>
                <w:i/>
                <w:iCs/>
                <w:color w:val="000000" w:themeColor="text1"/>
              </w:rPr>
              <w:t>The Northern Territory Government does not have overarching targets for apprentices and trainees, so this section focuses on the Indigenous Participation on Construction Projects Policy, which is construction focused and applies to Department of Infrastructure, Planning and Logistics only.</w:t>
            </w:r>
          </w:p>
          <w:p w14:paraId="421FAE82" w14:textId="5CA8D1F6" w:rsidR="008A20B6" w:rsidRPr="00C05A9B" w:rsidRDefault="008A20B6" w:rsidP="008A20B6">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C05A9B">
              <w:rPr>
                <w:rFonts w:eastAsia="Calibri" w:cstheme="minorHAnsi"/>
                <w:color w:val="000000" w:themeColor="text1"/>
              </w:rPr>
              <w:t>Indigenous participation is a mandatory requirement for all tenders for Northern Territory Government construction procurements</w:t>
            </w:r>
            <w:r w:rsidR="00D1525D">
              <w:rPr>
                <w:rFonts w:eastAsia="Calibri" w:cstheme="minorHAnsi"/>
                <w:color w:val="000000" w:themeColor="text1"/>
              </w:rPr>
              <w:t xml:space="preserve"> </w:t>
            </w:r>
            <w:r w:rsidR="00D1525D" w:rsidRPr="00D1525D">
              <w:rPr>
                <w:rFonts w:eastAsia="Calibri" w:cstheme="minorHAnsi"/>
                <w:color w:val="000000" w:themeColor="text1"/>
              </w:rPr>
              <w:t>with an estimated value of over $500,000</w:t>
            </w:r>
            <w:r w:rsidRPr="00C05A9B">
              <w:rPr>
                <w:rFonts w:eastAsia="Calibri" w:cstheme="minorHAnsi"/>
                <w:color w:val="000000" w:themeColor="text1"/>
              </w:rPr>
              <w:t>.</w:t>
            </w:r>
          </w:p>
          <w:p w14:paraId="63ECCF65" w14:textId="4A542BD4" w:rsidR="008A20B6" w:rsidRPr="00C05A9B" w:rsidRDefault="008A20B6" w:rsidP="008A20B6">
            <w:pPr>
              <w:spacing w:after="0"/>
              <w:cnfStyle w:val="000000000000" w:firstRow="0" w:lastRow="0" w:firstColumn="0" w:lastColumn="0" w:oddVBand="0" w:evenVBand="0" w:oddHBand="0" w:evenHBand="0" w:firstRowFirstColumn="0" w:firstRowLastColumn="0" w:lastRowFirstColumn="0" w:lastRowLastColumn="0"/>
              <w:rPr>
                <w:rFonts w:eastAsia="Calibri" w:cstheme="minorHAnsi"/>
              </w:rPr>
            </w:pPr>
            <w:r w:rsidRPr="00C05A9B">
              <w:rPr>
                <w:rFonts w:eastAsia="Calibri" w:cstheme="minorHAnsi"/>
              </w:rPr>
              <w:t>The Northern Territory procurement framework allows for the assessment of First Nations apprentices and trainees, including those employed by sub-contractors</w:t>
            </w:r>
            <w:r w:rsidR="00800F9B">
              <w:rPr>
                <w:rFonts w:eastAsia="Calibri" w:cstheme="minorHAnsi"/>
              </w:rPr>
              <w:t xml:space="preserve">, </w:t>
            </w:r>
            <w:r w:rsidR="00800F9B" w:rsidRPr="00800F9B">
              <w:rPr>
                <w:rFonts w:eastAsia="Calibri" w:cstheme="minorHAnsi"/>
              </w:rPr>
              <w:t>under the Local Content assessment criteria</w:t>
            </w:r>
            <w:r w:rsidRPr="00C05A9B">
              <w:rPr>
                <w:rFonts w:eastAsia="Calibri" w:cstheme="minorHAnsi"/>
              </w:rPr>
              <w:t>.</w:t>
            </w:r>
          </w:p>
          <w:p w14:paraId="3D807000" w14:textId="5B26D005" w:rsidR="008A20B6" w:rsidRPr="00C05A9B" w:rsidRDefault="008A20B6" w:rsidP="008A20B6">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rPr>
              <w:t>Participation anticipated in the tender response is tracked in hours worked directly on each project.</w:t>
            </w:r>
          </w:p>
        </w:tc>
        <w:tc>
          <w:tcPr>
            <w:tcW w:w="6059" w:type="dxa"/>
            <w:vAlign w:val="top"/>
          </w:tcPr>
          <w:p w14:paraId="7B072CF3" w14:textId="77777777" w:rsidR="008A20B6" w:rsidRPr="00C05A9B" w:rsidRDefault="008A20B6" w:rsidP="008A20B6">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000000" w:themeColor="text1"/>
              </w:rPr>
            </w:pPr>
            <w:r w:rsidRPr="00C05A9B">
              <w:rPr>
                <w:rFonts w:eastAsia="Calibri" w:cstheme="minorHAnsi"/>
              </w:rPr>
              <w:t xml:space="preserve">Applies to </w:t>
            </w:r>
            <w:r w:rsidRPr="00C05A9B">
              <w:rPr>
                <w:rFonts w:eastAsia="Calibri" w:cstheme="minorHAnsi"/>
                <w:color w:val="000000" w:themeColor="text1"/>
              </w:rPr>
              <w:t xml:space="preserve">Tier 4 </w:t>
            </w:r>
            <w:r w:rsidRPr="00C05A9B">
              <w:rPr>
                <w:rFonts w:eastAsia="Calibri" w:cstheme="minorHAnsi"/>
                <w:b/>
                <w:bCs/>
                <w:color w:val="000000" w:themeColor="text1"/>
              </w:rPr>
              <w:t>($500,000 but less than $2 million</w:t>
            </w:r>
            <w:r w:rsidRPr="00C05A9B">
              <w:rPr>
                <w:rFonts w:eastAsia="Calibri" w:cstheme="minorHAnsi"/>
                <w:color w:val="000000" w:themeColor="text1"/>
              </w:rPr>
              <w:t>) and Tier 5 (</w:t>
            </w:r>
            <w:r w:rsidRPr="00C05A9B">
              <w:rPr>
                <w:rFonts w:eastAsia="Calibri" w:cstheme="minorHAnsi"/>
                <w:b/>
                <w:bCs/>
                <w:color w:val="000000" w:themeColor="text1"/>
              </w:rPr>
              <w:t>$2 million and more</w:t>
            </w:r>
            <w:r w:rsidRPr="00C05A9B">
              <w:rPr>
                <w:rFonts w:eastAsia="Calibri" w:cstheme="minorHAnsi"/>
                <w:color w:val="000000" w:themeColor="text1"/>
              </w:rPr>
              <w:t>) procurement activities.</w:t>
            </w:r>
          </w:p>
          <w:p w14:paraId="08A77D1F" w14:textId="73A0302B" w:rsidR="008A20B6" w:rsidRPr="00C05A9B" w:rsidRDefault="008A20B6" w:rsidP="008A20B6">
            <w:pPr>
              <w:spacing w:after="0"/>
              <w:cnfStyle w:val="000000000000" w:firstRow="0" w:lastRow="0" w:firstColumn="0" w:lastColumn="0" w:oddVBand="0" w:evenVBand="0" w:oddHBand="0" w:evenHBand="0" w:firstRowFirstColumn="0" w:firstRowLastColumn="0" w:lastRowFirstColumn="0" w:lastRowLastColumn="0"/>
              <w:rPr>
                <w:rFonts w:eastAsia="Calibri" w:cstheme="minorHAnsi"/>
              </w:rPr>
            </w:pPr>
            <w:r w:rsidRPr="00C05A9B">
              <w:rPr>
                <w:rFonts w:eastAsia="Calibri" w:cstheme="minorHAnsi"/>
              </w:rPr>
              <w:t>Contractors are required to provide proposals in the tender response schedule to allow for assessment of:</w:t>
            </w:r>
          </w:p>
          <w:p w14:paraId="1C77D48C" w14:textId="77777777" w:rsidR="008A20B6" w:rsidRPr="00C05A9B" w:rsidRDefault="008A20B6" w:rsidP="008A20B6">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C05A9B">
              <w:rPr>
                <w:rFonts w:eastAsia="Calibri" w:cstheme="minorHAnsi"/>
              </w:rPr>
              <w:t>Indigenous employees, including apprentices/trainees directly employed on the works;</w:t>
            </w:r>
          </w:p>
          <w:p w14:paraId="1CBEEEF5" w14:textId="12EB2606" w:rsidR="008A20B6" w:rsidRPr="00C05A9B" w:rsidRDefault="008A20B6" w:rsidP="3B9CFF51">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pPr>
            <w:r w:rsidRPr="3B9CFF51">
              <w:rPr>
                <w:rFonts w:eastAsia="Calibri"/>
              </w:rPr>
              <w:t xml:space="preserve">the intended use of group training schemes or recognised Territory Indigenous community organisations to deliver the proposed works; and </w:t>
            </w:r>
          </w:p>
          <w:p w14:paraId="0355966E" w14:textId="0CE32548" w:rsidR="008A20B6" w:rsidRPr="00C05A9B" w:rsidRDefault="008A20B6" w:rsidP="3B9CFF51">
            <w:pPr>
              <w:pStyle w:val="ListParagraph"/>
              <w:numPr>
                <w:ilvl w:val="0"/>
                <w:numId w:val="25"/>
              </w:numPr>
              <w:spacing w:after="0" w:line="240" w:lineRule="auto"/>
              <w:cnfStyle w:val="000000000000" w:firstRow="0" w:lastRow="0" w:firstColumn="0" w:lastColumn="0" w:oddVBand="0" w:evenVBand="0" w:oddHBand="0" w:evenHBand="0" w:firstRowFirstColumn="0" w:firstRowLastColumn="0" w:lastRowFirstColumn="0" w:lastRowLastColumn="0"/>
            </w:pPr>
            <w:r w:rsidRPr="3B9CFF51">
              <w:rPr>
                <w:rFonts w:eastAsia="Calibri"/>
              </w:rPr>
              <w:t>nominated sub-contractor usage of Indigenous employees, including registered Indigenous apprentices or trainees.</w:t>
            </w:r>
          </w:p>
        </w:tc>
      </w:tr>
    </w:tbl>
    <w:p w14:paraId="0FEE1EE0" w14:textId="5A41023E" w:rsidR="00244CC6" w:rsidRPr="00BF2511" w:rsidRDefault="00C37263" w:rsidP="00D27BE3">
      <w:pPr>
        <w:rPr>
          <w:rFonts w:ascii="Calibri" w:eastAsia="Calibri" w:hAnsi="Calibri" w:cs="Calibri"/>
        </w:rPr>
      </w:pPr>
      <w:r w:rsidRPr="049CBBED">
        <w:rPr>
          <w:rFonts w:ascii="Calibri" w:eastAsia="Calibri" w:hAnsi="Calibri" w:cs="Calibri"/>
          <w:color w:val="000000" w:themeColor="text1"/>
        </w:rPr>
        <w:t>Information correct as at 14 October 2022.</w:t>
      </w:r>
      <w:bookmarkEnd w:id="0"/>
    </w:p>
    <w:sectPr w:rsidR="00244CC6" w:rsidRPr="00BF2511" w:rsidSect="00B10B10">
      <w:pgSz w:w="16838" w:h="11906" w:orient="landscape"/>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2E77A" w14:textId="77777777" w:rsidR="002C1FAA" w:rsidRDefault="002C1FAA" w:rsidP="0051352E">
      <w:pPr>
        <w:spacing w:after="0" w:line="240" w:lineRule="auto"/>
      </w:pPr>
      <w:r>
        <w:separator/>
      </w:r>
    </w:p>
  </w:endnote>
  <w:endnote w:type="continuationSeparator" w:id="0">
    <w:p w14:paraId="765ADF58" w14:textId="77777777" w:rsidR="002C1FAA" w:rsidRDefault="002C1FAA" w:rsidP="0051352E">
      <w:pPr>
        <w:spacing w:after="0" w:line="240" w:lineRule="auto"/>
      </w:pPr>
      <w:r>
        <w:continuationSeparator/>
      </w:r>
    </w:p>
  </w:endnote>
  <w:endnote w:type="continuationNotice" w:id="1">
    <w:p w14:paraId="39997FEB" w14:textId="77777777" w:rsidR="002C1FAA" w:rsidRDefault="002C1F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264C8" w14:textId="77777777" w:rsidR="00364564" w:rsidRDefault="003645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2A269A2B"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3EF7" w14:textId="77777777" w:rsidR="00364564" w:rsidRDefault="003645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1E4724B3" w:rsidR="00EA67FC" w:rsidRDefault="005C2218">
    <w:pPr>
      <w:pStyle w:val="Footer"/>
      <w:jc w:val="right"/>
    </w:pPr>
    <w:r>
      <w:t>Australian Skills Guarantee – Discussion Paper</w:t>
    </w:r>
    <w:r w:rsidR="00EA67FC">
      <w:t xml:space="preserve"> | </w:t>
    </w:r>
    <w:sdt>
      <w:sdtPr>
        <w:rPr>
          <w:color w:val="2B579A"/>
          <w:shd w:val="clear" w:color="auto" w:fill="E6E6E6"/>
        </w:rPr>
        <w:id w:val="1230123552"/>
        <w:docPartObj>
          <w:docPartGallery w:val="Page Numbers (Bottom of Page)"/>
          <w:docPartUnique/>
        </w:docPartObj>
      </w:sdtPr>
      <w:sdtEndPr>
        <w:rPr>
          <w:noProof/>
          <w:color w:val="auto"/>
          <w:shd w:val="clear" w:color="auto" w:fill="auto"/>
        </w:rPr>
      </w:sdtEndPr>
      <w:sdtContent>
        <w:r w:rsidR="00EA67FC">
          <w:rPr>
            <w:color w:val="2B579A"/>
            <w:shd w:val="clear" w:color="auto" w:fill="E6E6E6"/>
          </w:rPr>
          <w:fldChar w:fldCharType="begin"/>
        </w:r>
        <w:r w:rsidR="00EA67FC">
          <w:instrText xml:space="preserve"> PAGE   \* MERGEFORMAT </w:instrText>
        </w:r>
        <w:r w:rsidR="00EA67FC">
          <w:rPr>
            <w:color w:val="2B579A"/>
            <w:shd w:val="clear" w:color="auto" w:fill="E6E6E6"/>
          </w:rPr>
          <w:fldChar w:fldCharType="separate"/>
        </w:r>
        <w:r w:rsidR="00FF61BE">
          <w:rPr>
            <w:noProof/>
          </w:rPr>
          <w:t>3</w:t>
        </w:r>
        <w:r w:rsidR="00EA67FC">
          <w:rPr>
            <w:noProof/>
            <w:color w:val="2B579A"/>
            <w:shd w:val="clear" w:color="auto" w:fill="E6E6E6"/>
          </w:rPr>
          <w:fldChar w:fldCharType="end"/>
        </w:r>
      </w:sdtContent>
    </w:sdt>
  </w:p>
  <w:p w14:paraId="5620B9A1" w14:textId="3B696ECA" w:rsidR="00EA67FC" w:rsidRDefault="00BE737E">
    <w:pPr>
      <w:pStyle w:val="Footer"/>
    </w:pPr>
    <w:r>
      <w:rPr>
        <w:noProof/>
        <w:color w:val="2B579A"/>
        <w:shd w:val="clear" w:color="auto" w:fill="E6E6E6"/>
      </w:rPr>
      <mc:AlternateContent>
        <mc:Choice Requires="wps">
          <w:drawing>
            <wp:anchor distT="0" distB="0" distL="114300" distR="114300" simplePos="0" relativeHeight="251658240" behindDoc="0" locked="0" layoutInCell="1" allowOverlap="1" wp14:anchorId="04F7627B" wp14:editId="18C355FA">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789B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DDFE3"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" fillcolor="#789b4a"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C8F97" w14:textId="77777777" w:rsidR="002C1FAA" w:rsidRDefault="002C1FAA" w:rsidP="0051352E">
      <w:pPr>
        <w:spacing w:after="0" w:line="240" w:lineRule="auto"/>
      </w:pPr>
      <w:r>
        <w:separator/>
      </w:r>
    </w:p>
  </w:footnote>
  <w:footnote w:type="continuationSeparator" w:id="0">
    <w:p w14:paraId="2C64B8E8" w14:textId="77777777" w:rsidR="002C1FAA" w:rsidRDefault="002C1FAA" w:rsidP="0051352E">
      <w:pPr>
        <w:spacing w:after="0" w:line="240" w:lineRule="auto"/>
      </w:pPr>
      <w:r>
        <w:continuationSeparator/>
      </w:r>
    </w:p>
  </w:footnote>
  <w:footnote w:type="continuationNotice" w:id="1">
    <w:p w14:paraId="0C091193" w14:textId="77777777" w:rsidR="002C1FAA" w:rsidRDefault="002C1FAA">
      <w:pPr>
        <w:spacing w:after="0" w:line="240" w:lineRule="auto"/>
      </w:pPr>
    </w:p>
  </w:footnote>
  <w:footnote w:id="2">
    <w:p w14:paraId="36A161F3" w14:textId="372DA372" w:rsidR="008D36D3" w:rsidRDefault="008D36D3" w:rsidP="008D36D3">
      <w:pPr>
        <w:pStyle w:val="FootnoteText"/>
        <w:rPr>
          <w:rFonts w:ascii="Calibri" w:eastAsia="Calibri" w:hAnsi="Calibri" w:cs="Calibri"/>
        </w:rPr>
      </w:pPr>
      <w:r>
        <w:rPr>
          <w:rStyle w:val="FootnoteReference"/>
        </w:rPr>
        <w:footnoteRef/>
      </w:r>
      <w:r w:rsidRPr="66F7DAA5">
        <w:rPr>
          <w:rFonts w:ascii="Calibri" w:eastAsia="Calibri" w:hAnsi="Calibri" w:cs="Calibri"/>
        </w:rPr>
        <w:t xml:space="preserve"> Australian Government, Jobs and Skills Summit Outcomes, 1-2 September 2022. </w:t>
      </w:r>
      <w:hyperlink r:id="rId1" w:history="1">
        <w:r w:rsidR="00F537AB">
          <w:rPr>
            <w:rStyle w:val="Hyperlink"/>
            <w:rFonts w:ascii="Calibri" w:eastAsia="Calibri" w:hAnsi="Calibri" w:cs="Calibri"/>
          </w:rPr>
          <w:t>treasury.gov.au/sites/default/files/inline-files/Jobs-and-Skills-Summit-Outcomes-Document.pdf</w:t>
        </w:r>
      </w:hyperlink>
    </w:p>
  </w:footnote>
  <w:footnote w:id="3">
    <w:p w14:paraId="683771D4" w14:textId="5F85BD2C" w:rsidR="008D36D3" w:rsidRPr="00446BA1" w:rsidRDefault="008D36D3" w:rsidP="008D36D3">
      <w:pPr>
        <w:pStyle w:val="FootnoteText"/>
        <w:rPr>
          <w:highlight w:val="yellow"/>
        </w:rPr>
      </w:pPr>
      <w:r w:rsidRPr="6F57B389">
        <w:rPr>
          <w:rStyle w:val="FootnoteReference"/>
        </w:rPr>
        <w:footnoteRef/>
      </w:r>
      <w:r>
        <w:t xml:space="preserve"> </w:t>
      </w:r>
      <w:r w:rsidR="00EC2B8C" w:rsidRPr="00081912">
        <w:t>The Future Made in Australia Office (</w:t>
      </w:r>
      <w:hyperlink r:id="rId2" w:history="1">
        <w:r w:rsidR="003F591A" w:rsidRPr="0014006C">
          <w:rPr>
            <w:rStyle w:val="Hyperlink"/>
          </w:rPr>
          <w:t>fmiao@finance.gov.au</w:t>
        </w:r>
      </w:hyperlink>
      <w:r w:rsidR="00EC2B8C" w:rsidRPr="00081912">
        <w:t xml:space="preserve">) in the Department of Finance is coordinating delivery of the </w:t>
      </w:r>
      <w:r w:rsidR="00EC2B8C" w:rsidRPr="00081912">
        <w:rPr>
          <w:i/>
          <w:iCs/>
        </w:rPr>
        <w:t>Buy Australian Plan</w:t>
      </w:r>
      <w:r w:rsidR="00EC2B8C" w:rsidRPr="00081912">
        <w:t>.</w:t>
      </w:r>
    </w:p>
  </w:footnote>
  <w:footnote w:id="4">
    <w:p w14:paraId="3216C7F4" w14:textId="3046312F" w:rsidR="008D36D3" w:rsidRDefault="008D36D3" w:rsidP="008D36D3">
      <w:pPr>
        <w:pStyle w:val="FootnoteText"/>
        <w:rPr>
          <w:highlight w:val="yellow"/>
        </w:rPr>
      </w:pPr>
      <w:r w:rsidRPr="6F57B389">
        <w:rPr>
          <w:rStyle w:val="FootnoteReference"/>
        </w:rPr>
        <w:footnoteRef/>
      </w:r>
      <w:r>
        <w:t xml:space="preserve"> The department is leading on this consultation. </w:t>
      </w:r>
      <w:r w:rsidRPr="263C6571">
        <w:rPr>
          <w:rFonts w:ascii="Calibri" w:eastAsia="Calibri" w:hAnsi="Calibri" w:cs="Calibri"/>
        </w:rPr>
        <w:t>Australian</w:t>
      </w:r>
      <w:r w:rsidRPr="6D9F04C3">
        <w:rPr>
          <w:rFonts w:ascii="Calibri" w:eastAsia="Calibri" w:hAnsi="Calibri" w:cs="Calibri"/>
        </w:rPr>
        <w:t xml:space="preserve"> Government, Jobs and Skills Summit Outcomes, 1-2 September 2022.</w:t>
      </w:r>
      <w:r>
        <w:t xml:space="preserve"> </w:t>
      </w:r>
      <w:hyperlink r:id="rId3" w:history="1">
        <w:r w:rsidRPr="003F591A">
          <w:rPr>
            <w:rStyle w:val="Hyperlink"/>
          </w:rPr>
          <w:t>treasury.gov.au/sites/default/files/inline-files/Jobs-and-Skills-Summit-Outcomes-Document.pdf</w:t>
        </w:r>
      </w:hyperlink>
    </w:p>
  </w:footnote>
  <w:footnote w:id="5">
    <w:p w14:paraId="093AD09E" w14:textId="4C57281E" w:rsidR="00721619" w:rsidRDefault="00721619" w:rsidP="00721619">
      <w:pPr>
        <w:pStyle w:val="FootnoteText"/>
      </w:pPr>
      <w:r>
        <w:rPr>
          <w:rStyle w:val="FootnoteReference"/>
        </w:rPr>
        <w:footnoteRef/>
      </w:r>
      <w:r>
        <w:t xml:space="preserve"> </w:t>
      </w:r>
      <w:r w:rsidRPr="00EC3B8A">
        <w:t>Causa, O., et al. (2022), "The post-COVID-19 rise in labour shortages", </w:t>
      </w:r>
      <w:r w:rsidRPr="00EC3B8A">
        <w:rPr>
          <w:i/>
          <w:iCs/>
        </w:rPr>
        <w:t>OECD Economics Department Working Papers</w:t>
      </w:r>
      <w:r w:rsidRPr="00EC3B8A">
        <w:t>, No. 1721, OECD Publishing, Paris</w:t>
      </w:r>
      <w:r>
        <w:t>.</w:t>
      </w:r>
      <w:r w:rsidRPr="00EC3B8A">
        <w:t> </w:t>
      </w:r>
      <w:hyperlink r:id="rId4" w:history="1">
        <w:r w:rsidRPr="00EF5061">
          <w:rPr>
            <w:rStyle w:val="Hyperlink"/>
          </w:rPr>
          <w:t>doi.org/10.1787/e60c2d1c-en</w:t>
        </w:r>
      </w:hyperlink>
    </w:p>
  </w:footnote>
  <w:footnote w:id="6">
    <w:p w14:paraId="30620016" w14:textId="2215E31A" w:rsidR="00721619" w:rsidRDefault="00721619" w:rsidP="00721619">
      <w:pPr>
        <w:pStyle w:val="FootnoteText"/>
      </w:pPr>
      <w:r w:rsidRPr="33DE70E5">
        <w:rPr>
          <w:rStyle w:val="FootnoteReference"/>
        </w:rPr>
        <w:footnoteRef/>
      </w:r>
      <w:r>
        <w:t xml:space="preserve"> National Skills Commission, Skills Priority List 2022. </w:t>
      </w:r>
      <w:hyperlink r:id="rId5" w:history="1">
        <w:r w:rsidRPr="00EF5061">
          <w:rPr>
            <w:rStyle w:val="Hyperlink"/>
          </w:rPr>
          <w:t>nationalskillscommission.gov.au/skills-priority-list</w:t>
        </w:r>
      </w:hyperlink>
      <w:r>
        <w:t>.</w:t>
      </w:r>
    </w:p>
  </w:footnote>
  <w:footnote w:id="7">
    <w:p w14:paraId="3AAA18CB" w14:textId="2D44303B" w:rsidR="00721619" w:rsidRDefault="00721619" w:rsidP="00721619">
      <w:pPr>
        <w:pStyle w:val="FootnoteText"/>
      </w:pPr>
      <w:r>
        <w:rPr>
          <w:rStyle w:val="FootnoteReference"/>
        </w:rPr>
        <w:footnoteRef/>
      </w:r>
      <w:r w:rsidR="0BC73B42">
        <w:t xml:space="preserve"> National Skills Commission, Recruitment Insights Report – September 202</w:t>
      </w:r>
      <w:r w:rsidR="0BC73B42" w:rsidRPr="00AE7B19">
        <w:t xml:space="preserve">2. </w:t>
      </w:r>
      <w:r w:rsidR="0BC73B42">
        <w:t xml:space="preserve"> nationalskillscommission.gov.au/sites/default/files/2022-10/Recruitment%20Insights%20Report%20%20-%20September%202022.pdf</w:t>
      </w:r>
    </w:p>
  </w:footnote>
  <w:footnote w:id="8">
    <w:p w14:paraId="2A86048E" w14:textId="0B791FF6" w:rsidR="00721619" w:rsidRDefault="00721619" w:rsidP="00721619">
      <w:pPr>
        <w:pStyle w:val="FootnoteText"/>
      </w:pPr>
      <w:r>
        <w:rPr>
          <w:rStyle w:val="FootnoteReference"/>
        </w:rPr>
        <w:footnoteRef/>
      </w:r>
      <w:r w:rsidRPr="66F7DAA5">
        <w:rPr>
          <w:rFonts w:ascii="Calibri" w:eastAsia="Calibri" w:hAnsi="Calibri" w:cs="Calibri"/>
        </w:rPr>
        <w:t xml:space="preserve"> Reserve Bank of Australia, Statement on Monetary Policy – August 2022</w:t>
      </w:r>
      <w:r>
        <w:rPr>
          <w:rFonts w:ascii="Calibri" w:eastAsia="Calibri" w:hAnsi="Calibri" w:cs="Calibri"/>
        </w:rPr>
        <w:t>.</w:t>
      </w:r>
      <w:r w:rsidRPr="66F7DAA5">
        <w:rPr>
          <w:rFonts w:ascii="Calibri" w:eastAsia="Calibri" w:hAnsi="Calibri" w:cs="Calibri"/>
        </w:rPr>
        <w:t xml:space="preserve"> </w:t>
      </w:r>
      <w:hyperlink r:id="rId6" w:history="1">
        <w:r w:rsidRPr="00EF5061">
          <w:rPr>
            <w:rStyle w:val="Hyperlink"/>
            <w:rFonts w:ascii="Calibri" w:eastAsia="Calibri" w:hAnsi="Calibri" w:cs="Calibri"/>
          </w:rPr>
          <w:t>rba.gov.au/publications/smp/2022/aug/domestic-economic-conditions.html</w:t>
        </w:r>
      </w:hyperlink>
      <w:r w:rsidRPr="66F7DAA5">
        <w:rPr>
          <w:rFonts w:ascii="Calibri" w:eastAsia="Calibri" w:hAnsi="Calibri" w:cs="Calibri"/>
        </w:rPr>
        <w:t xml:space="preserve"> </w:t>
      </w:r>
    </w:p>
  </w:footnote>
  <w:footnote w:id="9">
    <w:p w14:paraId="16D1ECD0" w14:textId="04FE9B6C" w:rsidR="000126E1" w:rsidRDefault="000126E1" w:rsidP="000126E1">
      <w:pPr>
        <w:pStyle w:val="FootnoteText"/>
        <w:rPr>
          <w:rFonts w:ascii="Calibri" w:eastAsia="Calibri" w:hAnsi="Calibri" w:cs="Calibri"/>
        </w:rPr>
      </w:pPr>
      <w:r w:rsidRPr="73AE0306">
        <w:rPr>
          <w:rStyle w:val="FootnoteReference"/>
        </w:rPr>
        <w:footnoteRef/>
      </w:r>
      <w:r>
        <w:t xml:space="preserve"> </w:t>
      </w:r>
      <w:r w:rsidRPr="73AE0306">
        <w:rPr>
          <w:rFonts w:ascii="Calibri" w:eastAsia="Calibri" w:hAnsi="Calibri" w:cs="Calibri"/>
        </w:rPr>
        <w:t>Departmental analysis of data from Australian Bureau of Statistics, Labour Force, Detailed, Quarterly, cat no. 6291.0.55.001, August 2022 release.</w:t>
      </w:r>
      <w:r w:rsidR="001433EF">
        <w:rPr>
          <w:rFonts w:ascii="Calibri" w:eastAsia="Calibri" w:hAnsi="Calibri" w:cs="Calibri"/>
        </w:rPr>
        <w:t xml:space="preserve"> </w:t>
      </w:r>
      <w:hyperlink r:id="rId7" w:history="1">
        <w:r w:rsidR="002F112B" w:rsidRPr="00F916C5">
          <w:rPr>
            <w:rStyle w:val="Hyperlink"/>
            <w:rFonts w:ascii="Calibri" w:eastAsia="Calibri" w:hAnsi="Calibri" w:cs="Calibri"/>
          </w:rPr>
          <w:t>abs.gov.au/statistics/labour/employment-and-unemployment/labour-force-australia-detailed/aug-2022</w:t>
        </w:r>
      </w:hyperlink>
      <w:r w:rsidR="002F112B">
        <w:rPr>
          <w:rFonts w:ascii="Calibri" w:eastAsia="Calibri" w:hAnsi="Calibri" w:cs="Calibri"/>
        </w:rPr>
        <w:t xml:space="preserve"> </w:t>
      </w:r>
    </w:p>
  </w:footnote>
  <w:footnote w:id="10">
    <w:p w14:paraId="0E76AD53" w14:textId="5C5F11B6" w:rsidR="000126E1" w:rsidRDefault="000126E1" w:rsidP="000126E1">
      <w:pPr>
        <w:pStyle w:val="FootnoteText"/>
      </w:pPr>
      <w:r w:rsidRPr="73AE0306">
        <w:rPr>
          <w:rStyle w:val="FootnoteReference"/>
        </w:rPr>
        <w:footnoteRef/>
      </w:r>
      <w:r>
        <w:t xml:space="preserve"> </w:t>
      </w:r>
      <w:r w:rsidRPr="73AE0306">
        <w:rPr>
          <w:rFonts w:ascii="Calibri" w:eastAsia="Calibri" w:hAnsi="Calibri" w:cs="Calibri"/>
        </w:rPr>
        <w:t>National Centre for Vocational Education Research (NCVER) 2022, Australian vocational education and training statistics: apprentices and trainees 2022 — March quarter</w:t>
      </w:r>
      <w:r w:rsidRPr="350A4AB1">
        <w:rPr>
          <w:rFonts w:ascii="Calibri" w:eastAsia="Calibri" w:hAnsi="Calibri" w:cs="Calibri"/>
        </w:rPr>
        <w:t xml:space="preserve">. </w:t>
      </w:r>
      <w:hyperlink r:id="rId8" w:history="1">
        <w:r w:rsidRPr="003322B6">
          <w:rPr>
            <w:rStyle w:val="Hyperlink"/>
            <w:rFonts w:ascii="Calibri" w:eastAsia="Calibri" w:hAnsi="Calibri" w:cs="Calibri"/>
          </w:rPr>
          <w:t>ncver.edu.au/research-and-statistics/publications/all-publications/apprentices-and-trainees-2022-march-quarter</w:t>
        </w:r>
      </w:hyperlink>
    </w:p>
  </w:footnote>
  <w:footnote w:id="11">
    <w:p w14:paraId="79E400BF" w14:textId="2BFB23DC" w:rsidR="000126E1" w:rsidRDefault="000126E1" w:rsidP="000126E1">
      <w:pPr>
        <w:pStyle w:val="FootnoteText"/>
      </w:pPr>
      <w:r>
        <w:rPr>
          <w:rStyle w:val="FootnoteReference"/>
        </w:rPr>
        <w:footnoteRef/>
      </w:r>
      <w:r w:rsidR="0BC73B42">
        <w:t xml:space="preserve"> </w:t>
      </w:r>
      <w:r w:rsidR="0BC73B42" w:rsidRPr="66F7DAA5">
        <w:rPr>
          <w:rFonts w:ascii="Calibri" w:eastAsia="Calibri" w:hAnsi="Calibri" w:cs="Calibri"/>
        </w:rPr>
        <w:t xml:space="preserve">NCVER 2022, </w:t>
      </w:r>
      <w:r w:rsidR="0BC73B42" w:rsidRPr="0BC73B42">
        <w:rPr>
          <w:rFonts w:ascii="Calibri" w:eastAsia="Calibri" w:hAnsi="Calibri" w:cs="Calibri"/>
        </w:rPr>
        <w:t>Australian vocational education and training statistics: apprentices and trainees 2022</w:t>
      </w:r>
      <w:r w:rsidR="0BC73B42" w:rsidRPr="66F7DAA5">
        <w:rPr>
          <w:rFonts w:ascii="Calibri" w:eastAsia="Calibri" w:hAnsi="Calibri" w:cs="Calibri"/>
        </w:rPr>
        <w:t xml:space="preserve">, </w:t>
      </w:r>
      <w:r w:rsidR="0BC73B42">
        <w:rPr>
          <w:rFonts w:ascii="Calibri" w:eastAsia="Calibri" w:hAnsi="Calibri" w:cs="Calibri"/>
        </w:rPr>
        <w:t>March</w:t>
      </w:r>
      <w:r w:rsidR="0BC73B42" w:rsidRPr="66F7DAA5">
        <w:rPr>
          <w:rFonts w:ascii="Calibri" w:eastAsia="Calibri" w:hAnsi="Calibri" w:cs="Calibri"/>
        </w:rPr>
        <w:t xml:space="preserve"> quarter.</w:t>
      </w:r>
      <w:r w:rsidR="0BC73B42">
        <w:rPr>
          <w:rFonts w:ascii="Calibri" w:eastAsia="Calibri" w:hAnsi="Calibri" w:cs="Calibri"/>
        </w:rPr>
        <w:t xml:space="preserve"> </w:t>
      </w:r>
      <w:hyperlink r:id="rId9" w:history="1">
        <w:r w:rsidR="0BC73B42" w:rsidRPr="003322B6">
          <w:rPr>
            <w:rStyle w:val="Hyperlink"/>
          </w:rPr>
          <w:t>ncver.edu.au/research-and-statistics/publications/all-publications/apprentices-and-trainees-2022-march-quarter</w:t>
        </w:r>
      </w:hyperlink>
    </w:p>
  </w:footnote>
  <w:footnote w:id="12">
    <w:p w14:paraId="645C723B" w14:textId="4A1B3696" w:rsidR="00F84965" w:rsidRDefault="00F84965" w:rsidP="00F84965">
      <w:pPr>
        <w:pStyle w:val="FootnoteText"/>
        <w:rPr>
          <w:sz w:val="18"/>
          <w:szCs w:val="18"/>
        </w:rPr>
      </w:pPr>
      <w:r w:rsidRPr="66F7DAA5">
        <w:rPr>
          <w:rStyle w:val="FootnoteReference"/>
          <w:rFonts w:ascii="Calibri" w:eastAsia="Calibri" w:hAnsi="Calibri" w:cs="Calibri"/>
        </w:rPr>
        <w:footnoteRef/>
      </w:r>
      <w:r w:rsidRPr="66F7DAA5">
        <w:rPr>
          <w:rFonts w:ascii="Calibri" w:eastAsia="Calibri" w:hAnsi="Calibri" w:cs="Calibri"/>
        </w:rPr>
        <w:t xml:space="preserve"> The rate is derived by calculating the number of apprentices and trainees in-training as at Q1 2022 as a percentage of employed persons as at February 2022. </w:t>
      </w:r>
      <w:r>
        <w:rPr>
          <w:rFonts w:ascii="Calibri" w:eastAsia="Calibri" w:hAnsi="Calibri" w:cs="Calibri"/>
        </w:rPr>
        <w:t>Australian Bureau of Statistics</w:t>
      </w:r>
      <w:r w:rsidRPr="66F7DAA5">
        <w:rPr>
          <w:rFonts w:ascii="Calibri" w:eastAsia="Calibri" w:hAnsi="Calibri" w:cs="Calibri"/>
        </w:rPr>
        <w:t>, Labour Force, Detailed, Quarterly, cat no. 6291.0.55.001, August 2022 release.</w:t>
      </w:r>
      <w:r>
        <w:rPr>
          <w:rFonts w:ascii="Calibri" w:eastAsia="Calibri" w:hAnsi="Calibri" w:cs="Calibri"/>
        </w:rPr>
        <w:t xml:space="preserve"> </w:t>
      </w:r>
      <w:hyperlink r:id="rId10" w:history="1">
        <w:r w:rsidR="00A44971" w:rsidRPr="00F916C5">
          <w:rPr>
            <w:rStyle w:val="Hyperlink"/>
            <w:rFonts w:ascii="Calibri" w:eastAsia="Calibri" w:hAnsi="Calibri" w:cs="Calibri"/>
          </w:rPr>
          <w:t>abs.gov.au/statistics/labour/employment-and-unemployment/labour-force-australia-detailed/aug-2022</w:t>
        </w:r>
      </w:hyperlink>
      <w:r w:rsidR="00A44971">
        <w:rPr>
          <w:rFonts w:ascii="Calibri" w:eastAsia="Calibri" w:hAnsi="Calibri" w:cs="Calibri"/>
        </w:rPr>
        <w:t xml:space="preserve"> </w:t>
      </w:r>
      <w:r>
        <w:rPr>
          <w:rFonts w:ascii="Calibri" w:eastAsia="Calibri" w:hAnsi="Calibri" w:cs="Calibri"/>
        </w:rPr>
        <w:t>NCVER</w:t>
      </w:r>
      <w:r w:rsidRPr="66F7DAA5">
        <w:rPr>
          <w:rFonts w:ascii="Calibri" w:eastAsia="Calibri" w:hAnsi="Calibri" w:cs="Calibri"/>
        </w:rPr>
        <w:t xml:space="preserve"> 2022, Australian vocational education and training statistics: apprentices and trainees 2022 — March quarter. </w:t>
      </w:r>
      <w:hyperlink r:id="rId11" w:history="1">
        <w:r w:rsidRPr="00B06D63">
          <w:rPr>
            <w:rStyle w:val="Hyperlink"/>
            <w:rFonts w:ascii="Calibri" w:eastAsia="Calibri" w:hAnsi="Calibri" w:cs="Calibri"/>
          </w:rPr>
          <w:t>ncver.edu.au/research-and-statistics/publications/all-publications/apprentices-and-trainees-2022-march-quarter</w:t>
        </w:r>
      </w:hyperlink>
    </w:p>
  </w:footnote>
  <w:footnote w:id="13">
    <w:p w14:paraId="49971F8B" w14:textId="47A5A37F" w:rsidR="00F84965" w:rsidRDefault="00F84965" w:rsidP="00F84965">
      <w:pPr>
        <w:pStyle w:val="FootnoteText"/>
        <w:rPr>
          <w:rStyle w:val="Hyperlink"/>
        </w:rPr>
      </w:pPr>
      <w:r w:rsidRPr="75E64FEC">
        <w:rPr>
          <w:rStyle w:val="FootnoteReference"/>
        </w:rPr>
        <w:footnoteRef/>
      </w:r>
      <w:r>
        <w:t xml:space="preserve"> </w:t>
      </w:r>
      <w:r w:rsidRPr="33DE70E5">
        <w:rPr>
          <w:rFonts w:ascii="Calibri" w:eastAsia="Calibri" w:hAnsi="Calibri" w:cs="Calibri"/>
        </w:rPr>
        <w:t>Departmental analysis of data from AusTender</w:t>
      </w:r>
      <w:r w:rsidR="00D10EE4">
        <w:rPr>
          <w:rFonts w:ascii="Calibri" w:eastAsia="Calibri" w:hAnsi="Calibri" w:cs="Calibri"/>
        </w:rPr>
        <w:t xml:space="preserve"> </w:t>
      </w:r>
      <w:r w:rsidRPr="33DE70E5">
        <w:rPr>
          <w:rFonts w:ascii="Calibri" w:eastAsia="Calibri" w:hAnsi="Calibri" w:cs="Calibri"/>
        </w:rPr>
        <w:t xml:space="preserve">2021-22 (as at 12 August 2022). </w:t>
      </w:r>
      <w:hyperlink r:id="rId12" w:history="1">
        <w:r w:rsidRPr="00B06D63">
          <w:rPr>
            <w:rStyle w:val="Hyperlink"/>
          </w:rPr>
          <w:t>help.tenders.gov.au/getting-started-with-austender/information-made-easy/what-the-government-buys/</w:t>
        </w:r>
      </w:hyperlink>
      <w:r>
        <w:t xml:space="preserve">. ‘Construction </w:t>
      </w:r>
      <w:r w:rsidR="00B06D63">
        <w:t>S</w:t>
      </w:r>
      <w:r>
        <w:t>ervices’ include those from ‘</w:t>
      </w:r>
      <w:r w:rsidRPr="33DE70E5">
        <w:rPr>
          <w:rFonts w:ascii="Calibri" w:eastAsia="Calibri" w:hAnsi="Calibri" w:cs="Calibri"/>
        </w:rPr>
        <w:t>Building and Construction and Maintenance Services’ as per the United Nations Standard Product and Services Category Codes (UNSPSC).</w:t>
      </w:r>
      <w:r>
        <w:t xml:space="preserve"> </w:t>
      </w:r>
      <w:r w:rsidRPr="33DE70E5">
        <w:rPr>
          <w:rFonts w:ascii="Calibri" w:eastAsia="Calibri" w:hAnsi="Calibri" w:cs="Calibri"/>
        </w:rPr>
        <w:t>AusTender uses the UNSPSC to categorise contracts that have been awarded.</w:t>
      </w:r>
    </w:p>
  </w:footnote>
  <w:footnote w:id="14">
    <w:p w14:paraId="45A1F6BB" w14:textId="7CB7668E" w:rsidR="00F84965" w:rsidRDefault="00F84965" w:rsidP="00F84965">
      <w:pPr>
        <w:pStyle w:val="FootnoteText"/>
        <w:rPr>
          <w:rFonts w:ascii="Calibri" w:eastAsia="Calibri" w:hAnsi="Calibri" w:cs="Calibri"/>
        </w:rPr>
      </w:pPr>
      <w:r>
        <w:rPr>
          <w:rStyle w:val="FootnoteReference"/>
        </w:rPr>
        <w:footnoteRef/>
      </w:r>
      <w:r>
        <w:t xml:space="preserve">  </w:t>
      </w:r>
      <w:r w:rsidRPr="33DE70E5">
        <w:rPr>
          <w:rFonts w:ascii="Calibri" w:eastAsia="Calibri" w:hAnsi="Calibri" w:cs="Calibri"/>
        </w:rPr>
        <w:t xml:space="preserve">Departmental analysis of data from </w:t>
      </w:r>
      <w:r>
        <w:rPr>
          <w:rFonts w:ascii="Calibri" w:eastAsia="Calibri" w:hAnsi="Calibri" w:cs="Calibri"/>
        </w:rPr>
        <w:t>A</w:t>
      </w:r>
      <w:r w:rsidRPr="006F74B5">
        <w:rPr>
          <w:rFonts w:ascii="Calibri" w:eastAsia="Calibri" w:hAnsi="Calibri" w:cs="Calibri"/>
        </w:rPr>
        <w:t>us</w:t>
      </w:r>
      <w:r>
        <w:rPr>
          <w:rFonts w:ascii="Calibri" w:eastAsia="Calibri" w:hAnsi="Calibri" w:cs="Calibri"/>
        </w:rPr>
        <w:t>T</w:t>
      </w:r>
      <w:r w:rsidRPr="006F74B5">
        <w:rPr>
          <w:rFonts w:ascii="Calibri" w:eastAsia="Calibri" w:hAnsi="Calibri" w:cs="Calibri"/>
        </w:rPr>
        <w:t>ender</w:t>
      </w:r>
      <w:r>
        <w:rPr>
          <w:rFonts w:ascii="Calibri" w:eastAsia="Calibri" w:hAnsi="Calibri" w:cs="Calibri"/>
        </w:rPr>
        <w:t xml:space="preserve"> </w:t>
      </w:r>
      <w:r w:rsidRPr="006F74B5">
        <w:rPr>
          <w:rFonts w:ascii="Calibri" w:eastAsia="Calibri" w:hAnsi="Calibri" w:cs="Calibri"/>
        </w:rPr>
        <w:t>customised</w:t>
      </w:r>
      <w:r>
        <w:rPr>
          <w:rFonts w:ascii="Calibri" w:eastAsia="Calibri" w:hAnsi="Calibri" w:cs="Calibri"/>
        </w:rPr>
        <w:t xml:space="preserve"> UNSPSC </w:t>
      </w:r>
      <w:r w:rsidRPr="006F74B5">
        <w:rPr>
          <w:rFonts w:ascii="Calibri" w:eastAsia="Calibri" w:hAnsi="Calibri" w:cs="Calibri"/>
        </w:rPr>
        <w:t>codeset May</w:t>
      </w:r>
      <w:r>
        <w:rPr>
          <w:rFonts w:ascii="Calibri" w:eastAsia="Calibri" w:hAnsi="Calibri" w:cs="Calibri"/>
        </w:rPr>
        <w:t xml:space="preserve"> </w:t>
      </w:r>
      <w:r w:rsidRPr="006F74B5">
        <w:rPr>
          <w:rFonts w:ascii="Calibri" w:eastAsia="Calibri" w:hAnsi="Calibri" w:cs="Calibri"/>
        </w:rPr>
        <w:t>2021</w:t>
      </w:r>
      <w:r w:rsidR="00D10EE4">
        <w:rPr>
          <w:rFonts w:ascii="Calibri" w:eastAsia="Calibri" w:hAnsi="Calibri" w:cs="Calibri"/>
        </w:rPr>
        <w:t xml:space="preserve"> </w:t>
      </w:r>
      <w:r w:rsidRPr="33DE70E5">
        <w:rPr>
          <w:rFonts w:ascii="Calibri" w:eastAsia="Calibri" w:hAnsi="Calibri" w:cs="Calibri"/>
        </w:rPr>
        <w:t>(</w:t>
      </w:r>
      <w:r>
        <w:rPr>
          <w:rFonts w:ascii="Calibri" w:eastAsia="Calibri" w:hAnsi="Calibri" w:cs="Calibri"/>
        </w:rPr>
        <w:t xml:space="preserve">updated </w:t>
      </w:r>
      <w:r w:rsidRPr="00B32D0E">
        <w:rPr>
          <w:rFonts w:ascii="Calibri" w:eastAsia="Calibri" w:hAnsi="Calibri" w:cs="Calibri"/>
        </w:rPr>
        <w:t>29/03/</w:t>
      </w:r>
      <w:r w:rsidRPr="33DE70E5">
        <w:rPr>
          <w:rFonts w:ascii="Calibri" w:eastAsia="Calibri" w:hAnsi="Calibri" w:cs="Calibri"/>
        </w:rPr>
        <w:t xml:space="preserve">2022). </w:t>
      </w:r>
      <w:hyperlink r:id="rId13" w:history="1">
        <w:r w:rsidRPr="00B06D63">
          <w:rPr>
            <w:rStyle w:val="Hyperlink"/>
            <w:rFonts w:ascii="Calibri" w:eastAsia="Calibri" w:hAnsi="Calibri" w:cs="Calibri"/>
          </w:rPr>
          <w:t>data.gov.au/dataset/ds-dga-5c7fa69b-b0e9-4553-b8df-2a022dd2e982/details?q=austender</w:t>
        </w:r>
      </w:hyperlink>
    </w:p>
  </w:footnote>
  <w:footnote w:id="15">
    <w:p w14:paraId="7183389A" w14:textId="77777777" w:rsidR="00F84965" w:rsidRDefault="00F84965" w:rsidP="00F84965">
      <w:pPr>
        <w:pStyle w:val="FootnoteText"/>
      </w:pPr>
      <w:r w:rsidRPr="4CAA7689">
        <w:rPr>
          <w:rStyle w:val="FootnoteReference"/>
        </w:rPr>
        <w:footnoteRef/>
      </w:r>
      <w:r>
        <w:t xml:space="preserve"> </w:t>
      </w:r>
      <w:r w:rsidRPr="4CAA7689">
        <w:t>Data from the Department of Infrastructure, Transport, Regional Development, Communications and the Arts</w:t>
      </w:r>
      <w:r>
        <w:t xml:space="preserve">. </w:t>
      </w:r>
    </w:p>
  </w:footnote>
  <w:footnote w:id="16">
    <w:p w14:paraId="4040EEE8" w14:textId="3FFF44CE" w:rsidR="001D107A" w:rsidRDefault="001D107A" w:rsidP="001D107A">
      <w:pPr>
        <w:pStyle w:val="FootnoteText"/>
      </w:pPr>
      <w:r w:rsidRPr="3DFB259F">
        <w:rPr>
          <w:rStyle w:val="FootnoteReference"/>
        </w:rPr>
        <w:footnoteRef/>
      </w:r>
      <w:r>
        <w:t xml:space="preserve"> National Indigenous Australians Agency, Indigenous Procurement Policy, December 2020. </w:t>
      </w:r>
      <w:hyperlink r:id="rId14" w:history="1">
        <w:r w:rsidRPr="00B46063">
          <w:rPr>
            <w:rStyle w:val="Hyperlink"/>
          </w:rPr>
          <w:t>niaa.gov.au/sites/default/files/publications/ipp-guide_0.pdf</w:t>
        </w:r>
      </w:hyperlink>
    </w:p>
  </w:footnote>
  <w:footnote w:id="17">
    <w:p w14:paraId="163AB0F5" w14:textId="2441BC5A" w:rsidR="00F84965" w:rsidRPr="00A6048B" w:rsidRDefault="00F84965" w:rsidP="00F84965">
      <w:pPr>
        <w:pStyle w:val="FootnoteText"/>
      </w:pPr>
      <w:r w:rsidRPr="66F7DAA5">
        <w:rPr>
          <w:rStyle w:val="FootnoteReference"/>
          <w:rFonts w:ascii="Calibri" w:eastAsia="Calibri" w:hAnsi="Calibri" w:cs="Calibri"/>
        </w:rPr>
        <w:footnoteRef/>
      </w:r>
      <w:r w:rsidRPr="66F7DAA5">
        <w:rPr>
          <w:rFonts w:ascii="Calibri" w:eastAsia="Calibri" w:hAnsi="Calibri" w:cs="Calibri"/>
        </w:rPr>
        <w:t xml:space="preserve"> The rate is derived by calculating the number of apprentices and trainees in-training as at Q1 2022 as a percentage of employed persons as at February 2022. </w:t>
      </w:r>
      <w:r w:rsidR="00DE2468">
        <w:rPr>
          <w:rFonts w:ascii="Calibri" w:eastAsia="Calibri" w:hAnsi="Calibri" w:cs="Calibri"/>
        </w:rPr>
        <w:t>Australian Bureau of Statistics</w:t>
      </w:r>
      <w:r w:rsidRPr="66F7DAA5">
        <w:rPr>
          <w:rFonts w:ascii="Calibri" w:eastAsia="Calibri" w:hAnsi="Calibri" w:cs="Calibri"/>
        </w:rPr>
        <w:t xml:space="preserve">, Labour Force, Detailed, Quarterly, cat no. 6291.0.55.001, August 2022 release. </w:t>
      </w:r>
      <w:hyperlink r:id="rId15" w:history="1">
        <w:r w:rsidR="003A56F2" w:rsidRPr="00F916C5">
          <w:rPr>
            <w:rStyle w:val="Hyperlink"/>
            <w:rFonts w:ascii="Calibri" w:eastAsia="Calibri" w:hAnsi="Calibri" w:cs="Calibri"/>
          </w:rPr>
          <w:t>abs.gov.au/statistics/labour/employment-and-unemployment/labour-force-australia-detailed/aug-2022</w:t>
        </w:r>
      </w:hyperlink>
      <w:r>
        <w:rPr>
          <w:rFonts w:ascii="Calibri" w:eastAsia="Calibri" w:hAnsi="Calibri" w:cs="Calibri"/>
        </w:rPr>
        <w:t>;</w:t>
      </w:r>
      <w:r w:rsidRPr="66F7DAA5" w:rsidDel="003D3DC3">
        <w:rPr>
          <w:rFonts w:ascii="Calibri" w:eastAsia="Calibri" w:hAnsi="Calibri" w:cs="Calibri"/>
        </w:rPr>
        <w:t xml:space="preserve"> </w:t>
      </w:r>
      <w:r w:rsidRPr="66F7DAA5">
        <w:rPr>
          <w:rFonts w:ascii="Calibri" w:eastAsia="Calibri" w:hAnsi="Calibri" w:cs="Calibri"/>
        </w:rPr>
        <w:t xml:space="preserve">NCVER 2022, Australian vocational education and training statistics: apprentices and trainees 2022 — March quarter. </w:t>
      </w:r>
      <w:hyperlink r:id="rId16" w:history="1">
        <w:r w:rsidRPr="00B46063">
          <w:rPr>
            <w:rStyle w:val="Hyperlink"/>
            <w:rFonts w:ascii="Calibri" w:eastAsia="Calibri" w:hAnsi="Calibri" w:cs="Calibri"/>
          </w:rPr>
          <w:t>ncver.edu.au/research-and-statistics/publications/all-publications/apprentices-and-trainees-2022-march-quarter</w:t>
        </w:r>
      </w:hyperlink>
    </w:p>
  </w:footnote>
  <w:footnote w:id="18">
    <w:p w14:paraId="5C0661AD" w14:textId="46C92C91" w:rsidR="0025348A" w:rsidRDefault="0025348A" w:rsidP="0025348A">
      <w:pPr>
        <w:pStyle w:val="FootnoteText"/>
      </w:pPr>
      <w:r>
        <w:rPr>
          <w:rStyle w:val="FootnoteReference"/>
        </w:rPr>
        <w:footnoteRef/>
      </w:r>
      <w:r>
        <w:t xml:space="preserve"> </w:t>
      </w:r>
      <w:r>
        <w:rPr>
          <w:rFonts w:ascii="Calibri" w:eastAsia="Calibri" w:hAnsi="Calibri" w:cs="Calibri"/>
        </w:rPr>
        <w:t>Australian Bureau of Statistics</w:t>
      </w:r>
      <w:r w:rsidRPr="66F7DAA5">
        <w:rPr>
          <w:rFonts w:ascii="Calibri" w:eastAsia="Calibri" w:hAnsi="Calibri" w:cs="Calibri"/>
        </w:rPr>
        <w:t>, Labour Force, Detailed, Quarterly, cat no. 6291.0.55.001, August 2022 release.</w:t>
      </w:r>
      <w:r>
        <w:rPr>
          <w:rFonts w:ascii="Calibri" w:eastAsia="Calibri" w:hAnsi="Calibri" w:cs="Calibri"/>
        </w:rPr>
        <w:t xml:space="preserve"> </w:t>
      </w:r>
      <w:hyperlink r:id="rId17" w:history="1">
        <w:r w:rsidR="003A56F2" w:rsidRPr="00F916C5">
          <w:rPr>
            <w:rStyle w:val="Hyperlink"/>
            <w:rFonts w:ascii="Calibri" w:eastAsia="Calibri" w:hAnsi="Calibri" w:cs="Calibri"/>
          </w:rPr>
          <w:t>abs.gov.au/statistics/labour/employment-and-unemployment/labour-force-australia-detailed/aug-2022</w:t>
        </w:r>
      </w:hyperlink>
      <w:r>
        <w:rPr>
          <w:rFonts w:ascii="Calibri" w:eastAsia="Calibri" w:hAnsi="Calibri" w:cs="Calibri"/>
        </w:rPr>
        <w:t>; NCVER</w:t>
      </w:r>
      <w:r w:rsidRPr="66F7DAA5">
        <w:rPr>
          <w:rFonts w:ascii="Calibri" w:eastAsia="Calibri" w:hAnsi="Calibri" w:cs="Calibri"/>
        </w:rPr>
        <w:t xml:space="preserve"> 2022, Australian vocational education and training statistics: apprentices and trainees 2022 — March quarter</w:t>
      </w:r>
      <w:r>
        <w:rPr>
          <w:rFonts w:ascii="Calibri" w:eastAsia="Calibri" w:hAnsi="Calibri" w:cs="Calibri"/>
        </w:rPr>
        <w:t xml:space="preserve">. </w:t>
      </w:r>
      <w:hyperlink r:id="rId18" w:history="1">
        <w:r w:rsidRPr="00B46063">
          <w:rPr>
            <w:rStyle w:val="Hyperlink"/>
            <w:rFonts w:ascii="Calibri" w:eastAsia="Calibri" w:hAnsi="Calibri" w:cs="Calibri"/>
          </w:rPr>
          <w:t>ncver.edu.au/research-and-statistics/publications/all-publications/apprentices-and-trainees-2022-march-quarter</w:t>
        </w:r>
      </w:hyperlink>
      <w:r>
        <w:rPr>
          <w:rFonts w:ascii="Calibri" w:eastAsia="Calibri" w:hAnsi="Calibri" w:cs="Calibri"/>
        </w:rPr>
        <w:t xml:space="preserve">. </w:t>
      </w:r>
      <w:r>
        <w:t>It is important to note that it is more challenging to provide comprehensive data on the IT workforce given the workforce is split across and within industries, compared with data on construction workers who are within one industry.</w:t>
      </w:r>
    </w:p>
  </w:footnote>
  <w:footnote w:id="19">
    <w:p w14:paraId="1501A2FE" w14:textId="42CCCE7C" w:rsidR="0017294C" w:rsidRDefault="0017294C" w:rsidP="0017294C">
      <w:pPr>
        <w:pStyle w:val="FootnoteText"/>
        <w:rPr>
          <w:rFonts w:ascii="Calibri" w:eastAsia="Calibri" w:hAnsi="Calibri" w:cs="Calibri"/>
        </w:rPr>
      </w:pPr>
      <w:r w:rsidRPr="69FE9937">
        <w:rPr>
          <w:rStyle w:val="FootnoteReference"/>
        </w:rPr>
        <w:footnoteRef/>
      </w:r>
      <w:r>
        <w:t xml:space="preserve"> </w:t>
      </w:r>
      <w:r w:rsidRPr="69FE9937">
        <w:rPr>
          <w:rFonts w:ascii="Calibri" w:eastAsia="Calibri" w:hAnsi="Calibri" w:cs="Calibri"/>
        </w:rPr>
        <w:t>Departmental analysis of data from AusTender, 2021-22 (as at 12 August 2022</w:t>
      </w:r>
      <w:hyperlink r:id="rId19" w:history="1">
        <w:r w:rsidRPr="009718B0">
          <w:rPr>
            <w:rStyle w:val="Hyperlink"/>
            <w:rFonts w:ascii="Calibri" w:eastAsia="Calibri" w:hAnsi="Calibri" w:cs="Calibri"/>
          </w:rPr>
          <w:t xml:space="preserve">). </w:t>
        </w:r>
        <w:r w:rsidRPr="009718B0">
          <w:rPr>
            <w:rStyle w:val="Hyperlink"/>
          </w:rPr>
          <w:t>help.tenders.gov.au/getting-started-with-austender/information-made-easy/what-the-government-buys/</w:t>
        </w:r>
      </w:hyperlink>
      <w:r>
        <w:t>. Only</w:t>
      </w:r>
      <w:r w:rsidRPr="69FE9937">
        <w:rPr>
          <w:rFonts w:eastAsia="Calibri"/>
        </w:rPr>
        <w:t xml:space="preserve"> contracts from ‘</w:t>
      </w:r>
      <w:r w:rsidRPr="69FE9937">
        <w:rPr>
          <w:rFonts w:ascii="Calibri" w:eastAsia="Calibri" w:hAnsi="Calibri" w:cs="Calibri"/>
        </w:rPr>
        <w:t>Building and Construction and Maintenance Services’ as per the United Nations Standard Product and Services Category Codes (UNSPSC) are included. AusTender uses the UNSPSC to categorise contracts that have been awarded.</w:t>
      </w:r>
    </w:p>
  </w:footnote>
  <w:footnote w:id="20">
    <w:p w14:paraId="7AD6B9FE" w14:textId="57734782" w:rsidR="0017294C" w:rsidRDefault="0017294C" w:rsidP="0017294C">
      <w:pPr>
        <w:pStyle w:val="FootnoteText"/>
      </w:pPr>
      <w:r w:rsidRPr="69FE9937">
        <w:rPr>
          <w:rStyle w:val="FootnoteReference"/>
        </w:rPr>
        <w:footnoteRef/>
      </w:r>
      <w:r>
        <w:t xml:space="preserve"> </w:t>
      </w:r>
      <w:r w:rsidRPr="69FE9937">
        <w:rPr>
          <w:rFonts w:ascii="Calibri" w:eastAsia="Calibri" w:hAnsi="Calibri" w:cs="Calibri"/>
        </w:rPr>
        <w:t xml:space="preserve">Departmental analysis of data from AusTender, 2021-22 (as at 12 August 2022). </w:t>
      </w:r>
      <w:hyperlink r:id="rId20" w:history="1">
        <w:r w:rsidRPr="009718B0">
          <w:rPr>
            <w:rStyle w:val="Hyperlink"/>
          </w:rPr>
          <w:t>help.tenders.gov.au/getting-started-with-austender/information-made-easy/what-the-government-buys/</w:t>
        </w:r>
      </w:hyperlink>
    </w:p>
  </w:footnote>
  <w:footnote w:id="21">
    <w:p w14:paraId="1AAA4FAB" w14:textId="55D34E64" w:rsidR="0017294C" w:rsidRDefault="0017294C" w:rsidP="0017294C">
      <w:pPr>
        <w:pStyle w:val="FootnoteText"/>
      </w:pPr>
      <w:r>
        <w:rPr>
          <w:rStyle w:val="FootnoteReference"/>
        </w:rPr>
        <w:footnoteRef/>
      </w:r>
      <w:r>
        <w:t xml:space="preserve"> </w:t>
      </w:r>
      <w:r w:rsidRPr="69FE9937">
        <w:rPr>
          <w:rFonts w:ascii="Calibri" w:eastAsia="Calibri" w:hAnsi="Calibri" w:cs="Calibri"/>
        </w:rPr>
        <w:t xml:space="preserve">Departmental analysis of data from AusTender, 2021-22 (as at 12 August 2022). </w:t>
      </w:r>
      <w:hyperlink r:id="rId21" w:history="1">
        <w:r w:rsidRPr="009718B0">
          <w:rPr>
            <w:rStyle w:val="Hyperlink"/>
          </w:rPr>
          <w:t>help.tenders.gov.au/getting-started-with-austender/information-made-easy/what-the-government-buys/</w:t>
        </w:r>
      </w:hyperlink>
    </w:p>
  </w:footnote>
  <w:footnote w:id="22">
    <w:p w14:paraId="12BF197B" w14:textId="28827C79" w:rsidR="0017294C" w:rsidRDefault="0017294C" w:rsidP="0017294C">
      <w:pPr>
        <w:pStyle w:val="FootnoteText"/>
      </w:pPr>
      <w:r>
        <w:rPr>
          <w:rStyle w:val="FootnoteReference"/>
        </w:rPr>
        <w:footnoteRef/>
      </w:r>
      <w:r>
        <w:t xml:space="preserve"> </w:t>
      </w:r>
      <w:r>
        <w:rPr>
          <w:rFonts w:ascii="Calibri" w:eastAsia="Calibri" w:hAnsi="Calibri" w:cs="Calibri"/>
        </w:rPr>
        <w:t>Departmental analysis</w:t>
      </w:r>
      <w:r w:rsidRPr="66F7DAA5">
        <w:rPr>
          <w:rFonts w:ascii="Calibri" w:eastAsia="Calibri" w:hAnsi="Calibri" w:cs="Calibri"/>
        </w:rPr>
        <w:t xml:space="preserve"> </w:t>
      </w:r>
      <w:r>
        <w:rPr>
          <w:rFonts w:ascii="Calibri" w:eastAsia="Calibri" w:hAnsi="Calibri" w:cs="Calibri"/>
        </w:rPr>
        <w:t xml:space="preserve">of </w:t>
      </w:r>
      <w:r w:rsidRPr="66F7DAA5">
        <w:rPr>
          <w:rFonts w:ascii="Calibri" w:eastAsia="Calibri" w:hAnsi="Calibri" w:cs="Calibri"/>
        </w:rPr>
        <w:t>data from</w:t>
      </w:r>
      <w:r>
        <w:rPr>
          <w:rFonts w:ascii="Calibri" w:eastAsia="Calibri" w:hAnsi="Calibri" w:cs="Calibri"/>
        </w:rPr>
        <w:t xml:space="preserve"> AusTender, 2021-22 (as at 12 August 2022).</w:t>
      </w:r>
      <w:r w:rsidRPr="66F7DAA5">
        <w:rPr>
          <w:rFonts w:ascii="Calibri" w:eastAsia="Calibri" w:hAnsi="Calibri" w:cs="Calibri"/>
        </w:rPr>
        <w:t xml:space="preserve"> </w:t>
      </w:r>
      <w:hyperlink r:id="rId22" w:history="1">
        <w:r w:rsidRPr="009718B0">
          <w:rPr>
            <w:rStyle w:val="Hyperlink"/>
          </w:rPr>
          <w:t>help.tenders.gov.au/getting-started-with-austender/information-made-easy/what-the-government-buys/</w:t>
        </w:r>
      </w:hyperlink>
    </w:p>
  </w:footnote>
  <w:footnote w:id="23">
    <w:p w14:paraId="741A9F78" w14:textId="0C401CB2" w:rsidR="00A268D7" w:rsidRDefault="00A268D7" w:rsidP="00A268D7">
      <w:pPr>
        <w:pStyle w:val="FootnoteText"/>
      </w:pPr>
      <w:r>
        <w:rPr>
          <w:rStyle w:val="FootnoteReference"/>
        </w:rPr>
        <w:footnoteRef/>
      </w:r>
      <w:r>
        <w:t xml:space="preserve"> National Indigenous Australians Agency, </w:t>
      </w:r>
      <w:r w:rsidRPr="00A25E8A">
        <w:t>Indigenous Procurement Policy</w:t>
      </w:r>
      <w:r>
        <w:t xml:space="preserve">, </w:t>
      </w:r>
      <w:r w:rsidRPr="0079135C">
        <w:t>December 2020</w:t>
      </w:r>
      <w:r>
        <w:t xml:space="preserve">. </w:t>
      </w:r>
      <w:hyperlink r:id="rId23" w:history="1">
        <w:r w:rsidRPr="009718B0">
          <w:rPr>
            <w:rStyle w:val="Hyperlink"/>
          </w:rPr>
          <w:t>niaa.gov.au/sites/default/files/publications/ipp-guide_0.pdf</w:t>
        </w:r>
      </w:hyperlink>
    </w:p>
  </w:footnote>
  <w:footnote w:id="24">
    <w:p w14:paraId="3C64C5D7" w14:textId="1EAC7B97" w:rsidR="00A268D7" w:rsidRDefault="00A268D7" w:rsidP="00A268D7">
      <w:pPr>
        <w:pStyle w:val="FootnoteText"/>
      </w:pPr>
      <w:r>
        <w:rPr>
          <w:rStyle w:val="FootnoteReference"/>
        </w:rPr>
        <w:footnoteRef/>
      </w:r>
      <w:r>
        <w:t xml:space="preserve"> </w:t>
      </w:r>
      <w:r w:rsidRPr="00A2404D">
        <w:t>The Department of Infrastructure, Transport, Regional Development, Communications and the Arts</w:t>
      </w:r>
      <w:r>
        <w:t xml:space="preserve">, Indigenous Employment and Supplier-Use Infrastructure Framework, February 2019. </w:t>
      </w:r>
      <w:hyperlink r:id="rId24" w:history="1">
        <w:r w:rsidRPr="009718B0">
          <w:rPr>
            <w:rStyle w:val="Hyperlink"/>
          </w:rPr>
          <w:t>investment.infrastructure.gov.au/files/Indigenous_Employment_and_Supplier-use_Infrastructure_Framework.pdf</w:t>
        </w:r>
      </w:hyperlink>
    </w:p>
  </w:footnote>
  <w:footnote w:id="25">
    <w:p w14:paraId="01069DB4" w14:textId="7FD80BDE" w:rsidR="00A268D7" w:rsidRDefault="00A268D7" w:rsidP="00A268D7">
      <w:pPr>
        <w:pStyle w:val="FootnoteText"/>
      </w:pPr>
      <w:r>
        <w:rPr>
          <w:rStyle w:val="FootnoteReference"/>
        </w:rPr>
        <w:footnoteRef/>
      </w:r>
      <w:r>
        <w:t xml:space="preserve"> Department of Finance, Commonwealth Procurement Rules – 1 July 2022. </w:t>
      </w:r>
      <w:hyperlink r:id="rId25" w:history="1">
        <w:r w:rsidRPr="009718B0">
          <w:rPr>
            <w:rStyle w:val="Hyperlink"/>
          </w:rPr>
          <w:t>finance.gov.au/government/procurement/commonwealth-procurement-rules</w:t>
        </w:r>
      </w:hyperlink>
    </w:p>
  </w:footnote>
  <w:footnote w:id="26">
    <w:p w14:paraId="75DCB8A3" w14:textId="549D5C3B" w:rsidR="00A268D7" w:rsidRDefault="00A268D7" w:rsidP="00A268D7">
      <w:pPr>
        <w:pStyle w:val="FootnoteText"/>
      </w:pPr>
      <w:r>
        <w:rPr>
          <w:rStyle w:val="FootnoteReference"/>
        </w:rPr>
        <w:footnoteRef/>
      </w:r>
      <w:r>
        <w:t xml:space="preserve"> Department of Industry, Science and Resources, Australian industry participation. </w:t>
      </w:r>
      <w:hyperlink r:id="rId26" w:history="1">
        <w:r w:rsidRPr="009718B0">
          <w:rPr>
            <w:rStyle w:val="Hyperlink"/>
          </w:rPr>
          <w:t>industry.gov.au/major-projects-and-procurement/australian-industry-participation</w:t>
        </w:r>
      </w:hyperlink>
    </w:p>
  </w:footnote>
  <w:footnote w:id="27">
    <w:p w14:paraId="7527777D" w14:textId="76C5E82A" w:rsidR="008A4614" w:rsidRDefault="008A4614">
      <w:pPr>
        <w:pStyle w:val="FootnoteText"/>
      </w:pPr>
      <w:r>
        <w:rPr>
          <w:rStyle w:val="FootnoteReference"/>
        </w:rPr>
        <w:footnoteRef/>
      </w:r>
      <w:r>
        <w:t xml:space="preserve"> </w:t>
      </w:r>
      <w:r w:rsidRPr="008A4614">
        <w:t xml:space="preserve">Australian Apprenticeships Pathways, How does Employment Work. </w:t>
      </w:r>
      <w:hyperlink r:id="rId27" w:history="1">
        <w:r w:rsidRPr="00284C09">
          <w:rPr>
            <w:rStyle w:val="Hyperlink"/>
          </w:rPr>
          <w:t>aapathways.com.au/about/employment</w:t>
        </w:r>
      </w:hyperlink>
    </w:p>
  </w:footnote>
  <w:footnote w:id="28">
    <w:p w14:paraId="5BC658B0" w14:textId="24EA4F97" w:rsidR="007F48EC" w:rsidRDefault="007F48EC" w:rsidP="007F48EC">
      <w:pPr>
        <w:pStyle w:val="FootnoteText"/>
        <w:rPr>
          <w:rFonts w:ascii="Calibri" w:eastAsia="Calibri" w:hAnsi="Calibri" w:cs="Calibri"/>
        </w:rPr>
      </w:pPr>
      <w:r w:rsidRPr="66F7DAA5">
        <w:rPr>
          <w:rStyle w:val="FootnoteReference"/>
          <w:rFonts w:ascii="Calibri" w:eastAsia="Calibri" w:hAnsi="Calibri" w:cs="Calibri"/>
        </w:rPr>
        <w:footnoteRef/>
      </w:r>
      <w:r w:rsidRPr="66F7DAA5">
        <w:rPr>
          <w:rFonts w:ascii="Calibri" w:eastAsia="Calibri" w:hAnsi="Calibri" w:cs="Calibri"/>
        </w:rPr>
        <w:t xml:space="preserve"> Infrastructure Australia, Infrastructure workforce and skills supply report, 2021. </w:t>
      </w:r>
      <w:hyperlink r:id="rId28" w:history="1">
        <w:r w:rsidRPr="009718B0">
          <w:rPr>
            <w:rStyle w:val="Hyperlink"/>
            <w:rFonts w:ascii="Calibri" w:eastAsia="Calibri" w:hAnsi="Calibri" w:cs="Calibri"/>
          </w:rPr>
          <w:t>infrastructureaustralia.gov.au/sites/default/files/2021-11/Infrastructure%20Workforce%20and%20Skills%20Supply%20report%20211117.pdf</w:t>
        </w:r>
      </w:hyperlink>
    </w:p>
  </w:footnote>
  <w:footnote w:id="29">
    <w:p w14:paraId="09F247C0" w14:textId="6A7A6061" w:rsidR="0022307D" w:rsidRDefault="0022307D" w:rsidP="0022307D">
      <w:pPr>
        <w:pStyle w:val="FootnoteText"/>
      </w:pPr>
      <w:r>
        <w:rPr>
          <w:rStyle w:val="FootnoteReference"/>
        </w:rPr>
        <w:footnoteRef/>
      </w:r>
      <w:r>
        <w:t xml:space="preserve"> </w:t>
      </w:r>
      <w:r w:rsidRPr="66F7DAA5">
        <w:rPr>
          <w:rFonts w:ascii="Calibri" w:eastAsia="Calibri" w:hAnsi="Calibri" w:cs="Calibri"/>
        </w:rPr>
        <w:t xml:space="preserve">Australian Government, Jobs and Skills Summit Outcomes, 1-2 September 2022. </w:t>
      </w:r>
      <w:hyperlink r:id="rId29" w:history="1">
        <w:r w:rsidRPr="009718B0">
          <w:rPr>
            <w:rStyle w:val="Hyperlink"/>
            <w:rFonts w:ascii="Calibri" w:eastAsia="Calibri" w:hAnsi="Calibri" w:cs="Calibri"/>
          </w:rPr>
          <w:t>treasury.gov.au/sites/default/files/inline-files/Jobs-and-Skills-Summit-Outcomes-Document.pdf</w:t>
        </w:r>
      </w:hyperlink>
      <w:r w:rsidDel="00B21168">
        <w:t xml:space="preserve"> </w:t>
      </w:r>
    </w:p>
  </w:footnote>
  <w:footnote w:id="30">
    <w:p w14:paraId="2EB74247" w14:textId="6B595256" w:rsidR="0022307D" w:rsidRDefault="0022307D" w:rsidP="0022307D">
      <w:pPr>
        <w:pStyle w:val="FootnoteText"/>
        <w:rPr>
          <w:rFonts w:ascii="Calibri" w:eastAsia="Calibri" w:hAnsi="Calibri" w:cs="Calibri"/>
        </w:rPr>
      </w:pPr>
      <w:r>
        <w:rPr>
          <w:rStyle w:val="FootnoteReference"/>
        </w:rPr>
        <w:footnoteRef/>
      </w:r>
      <w:r>
        <w:t xml:space="preserve"> </w:t>
      </w:r>
      <w:r>
        <w:rPr>
          <w:rFonts w:ascii="Calibri" w:eastAsia="Calibri" w:hAnsi="Calibri" w:cs="Calibri"/>
        </w:rPr>
        <w:t>Australian Bureau of</w:t>
      </w:r>
      <w:r w:rsidRPr="66F7DAA5">
        <w:rPr>
          <w:rFonts w:ascii="Calibri" w:eastAsia="Calibri" w:hAnsi="Calibri" w:cs="Calibri"/>
        </w:rPr>
        <w:t xml:space="preserve"> Statistics, </w:t>
      </w:r>
      <w:r>
        <w:rPr>
          <w:rFonts w:ascii="Calibri" w:eastAsia="Calibri" w:hAnsi="Calibri" w:cs="Calibri"/>
        </w:rPr>
        <w:t xml:space="preserve">Labour Force, </w:t>
      </w:r>
      <w:r w:rsidR="002B3201">
        <w:rPr>
          <w:rFonts w:ascii="Calibri" w:eastAsia="Calibri" w:hAnsi="Calibri" w:cs="Calibri"/>
        </w:rPr>
        <w:t xml:space="preserve">September </w:t>
      </w:r>
      <w:r>
        <w:rPr>
          <w:rFonts w:ascii="Calibri" w:eastAsia="Calibri" w:hAnsi="Calibri" w:cs="Calibri"/>
        </w:rPr>
        <w:t xml:space="preserve">2022 - </w:t>
      </w:r>
      <w:r w:rsidRPr="66F7DAA5">
        <w:rPr>
          <w:rFonts w:ascii="Calibri" w:eastAsia="Calibri" w:hAnsi="Calibri" w:cs="Calibri"/>
        </w:rPr>
        <w:t>Participation rate, seasonally adjusted</w:t>
      </w:r>
      <w:r>
        <w:rPr>
          <w:rFonts w:ascii="Calibri" w:eastAsia="Calibri" w:hAnsi="Calibri" w:cs="Calibri"/>
        </w:rPr>
        <w:t>, and unemployment rate.</w:t>
      </w:r>
      <w:r w:rsidRPr="66F7DAA5">
        <w:rPr>
          <w:rFonts w:ascii="Calibri" w:eastAsia="Calibri" w:hAnsi="Calibri" w:cs="Calibri"/>
        </w:rPr>
        <w:t xml:space="preserve"> </w:t>
      </w:r>
      <w:hyperlink r:id="rId30" w:history="1">
        <w:r w:rsidRPr="009718B0">
          <w:rPr>
            <w:rStyle w:val="Hyperlink"/>
            <w:rFonts w:ascii="Calibri" w:eastAsia="Calibri" w:hAnsi="Calibri" w:cs="Calibri"/>
          </w:rPr>
          <w:t>abs.gov.au/statistics/labour/employment-and-unemployment/labour-force-australia/</w:t>
        </w:r>
        <w:r w:rsidR="002B3201" w:rsidRPr="009718B0">
          <w:rPr>
            <w:rStyle w:val="Hyperlink"/>
            <w:rFonts w:ascii="Calibri" w:eastAsia="Calibri" w:hAnsi="Calibri" w:cs="Calibri"/>
          </w:rPr>
          <w:t>sep</w:t>
        </w:r>
        <w:r w:rsidRPr="009718B0">
          <w:rPr>
            <w:rStyle w:val="Hyperlink"/>
            <w:rFonts w:ascii="Calibri" w:eastAsia="Calibri" w:hAnsi="Calibri" w:cs="Calibri"/>
          </w:rPr>
          <w:t>-2022</w:t>
        </w:r>
      </w:hyperlink>
    </w:p>
  </w:footnote>
  <w:footnote w:id="31">
    <w:p w14:paraId="4B9BC8EB" w14:textId="2D155F26" w:rsidR="00C4056F" w:rsidRDefault="00C4056F" w:rsidP="00C4056F">
      <w:pPr>
        <w:pStyle w:val="FootnoteText"/>
      </w:pPr>
      <w:r>
        <w:rPr>
          <w:rStyle w:val="FootnoteReference"/>
        </w:rPr>
        <w:footnoteRef/>
      </w:r>
      <w:r>
        <w:t xml:space="preserve"> </w:t>
      </w:r>
      <w:r>
        <w:rPr>
          <w:rFonts w:ascii="Calibri" w:eastAsia="Calibri" w:hAnsi="Calibri" w:cs="Calibri"/>
        </w:rPr>
        <w:t xml:space="preserve">Workplace Gender Equality Agency, </w:t>
      </w:r>
      <w:r w:rsidRPr="00273004">
        <w:t>Gender segregation in Australia's workforce</w:t>
      </w:r>
      <w:r>
        <w:rPr>
          <w:rFonts w:ascii="Calibri" w:eastAsia="Calibri" w:hAnsi="Calibri" w:cs="Calibri"/>
        </w:rPr>
        <w:t>, April 2019.</w:t>
      </w:r>
      <w:r w:rsidR="0090725C">
        <w:t xml:space="preserve"> </w:t>
      </w:r>
      <w:hyperlink r:id="rId31" w:history="1">
        <w:r w:rsidR="0090725C" w:rsidRPr="009718B0">
          <w:rPr>
            <w:rStyle w:val="Hyperlink"/>
            <w:rFonts w:ascii="Calibri" w:eastAsia="Calibri" w:hAnsi="Calibri" w:cs="Calibri"/>
          </w:rPr>
          <w:t>wgea.gov.au/publications/gender-segregation-in-australias-workforce</w:t>
        </w:r>
      </w:hyperlink>
    </w:p>
  </w:footnote>
  <w:footnote w:id="32">
    <w:p w14:paraId="5D473B0A" w14:textId="5EE96A7E" w:rsidR="000B062F" w:rsidRDefault="000B062F">
      <w:pPr>
        <w:pStyle w:val="FootnoteText"/>
      </w:pPr>
      <w:r>
        <w:rPr>
          <w:rStyle w:val="FootnoteReference"/>
        </w:rPr>
        <w:footnoteRef/>
      </w:r>
      <w:r>
        <w:t xml:space="preserve"> </w:t>
      </w:r>
      <w:r w:rsidR="001720B0">
        <w:t>Australian Government, Women’s Budget Statement</w:t>
      </w:r>
      <w:r w:rsidR="0038422E">
        <w:t xml:space="preserve">, October 2022-23 Budget. </w:t>
      </w:r>
      <w:hyperlink r:id="rId32" w:history="1">
        <w:r w:rsidR="00EB1ADB" w:rsidRPr="009718B0">
          <w:rPr>
            <w:rStyle w:val="Hyperlink"/>
          </w:rPr>
          <w:t>budget.gov.au/2022-23-october/content/womens-statement/download/womens_budget_statement_2022-23.pdf</w:t>
        </w:r>
      </w:hyperlink>
    </w:p>
  </w:footnote>
  <w:footnote w:id="33">
    <w:p w14:paraId="27372F42" w14:textId="3A80F12A" w:rsidR="0022307D" w:rsidRDefault="0022307D" w:rsidP="0022307D">
      <w:pPr>
        <w:pStyle w:val="FootnoteText"/>
      </w:pPr>
      <w:r w:rsidRPr="66F7DAA5">
        <w:rPr>
          <w:rStyle w:val="FootnoteReference"/>
          <w:rFonts w:ascii="Calibri" w:eastAsia="Calibri" w:hAnsi="Calibri" w:cs="Calibri"/>
        </w:rPr>
        <w:footnoteRef/>
      </w:r>
      <w:r w:rsidRPr="66F7DAA5">
        <w:rPr>
          <w:rFonts w:ascii="Calibri" w:eastAsia="Calibri" w:hAnsi="Calibri" w:cs="Calibri"/>
        </w:rPr>
        <w:t xml:space="preserve"> </w:t>
      </w:r>
      <w:r>
        <w:rPr>
          <w:rFonts w:ascii="Calibri" w:eastAsia="Calibri" w:hAnsi="Calibri" w:cs="Calibri"/>
        </w:rPr>
        <w:t xml:space="preserve">Workplace Gender Equality Agency, </w:t>
      </w:r>
      <w:r>
        <w:t>Australia’s gender equality scorecard</w:t>
      </w:r>
      <w:r>
        <w:rPr>
          <w:rFonts w:ascii="Calibri" w:eastAsia="Calibri" w:hAnsi="Calibri" w:cs="Calibri"/>
        </w:rPr>
        <w:t xml:space="preserve">, February 2022. </w:t>
      </w:r>
      <w:hyperlink r:id="rId33" w:history="1">
        <w:r w:rsidRPr="009718B0">
          <w:rPr>
            <w:rStyle w:val="Hyperlink"/>
          </w:rPr>
          <w:t>wgea.gov.au/sites/default/files/documents/2020-21_WGEA_SCORECARD.pdf</w:t>
        </w:r>
      </w:hyperlink>
    </w:p>
  </w:footnote>
  <w:footnote w:id="34">
    <w:p w14:paraId="0B1CBB77" w14:textId="69E8A985" w:rsidR="0022307D" w:rsidRDefault="0022307D" w:rsidP="0022307D">
      <w:pPr>
        <w:pStyle w:val="FootnoteText"/>
      </w:pPr>
      <w:r>
        <w:rPr>
          <w:rStyle w:val="FootnoteReference"/>
        </w:rPr>
        <w:footnoteRef/>
      </w:r>
      <w:r>
        <w:t xml:space="preserve"> Australian Bureau of Statistics, </w:t>
      </w:r>
      <w:r w:rsidRPr="00FC0A22">
        <w:t>Labour Force, Australia,</w:t>
      </w:r>
      <w:r>
        <w:t xml:space="preserve"> </w:t>
      </w:r>
      <w:r w:rsidRPr="00FC0A22">
        <w:t>Detailed</w:t>
      </w:r>
      <w:r>
        <w:t xml:space="preserve"> August 2022. </w:t>
      </w:r>
      <w:hyperlink r:id="rId34" w:history="1">
        <w:r w:rsidRPr="009718B0">
          <w:rPr>
            <w:rStyle w:val="Hyperlink"/>
          </w:rPr>
          <w:t>abs.gov.au/statistics/labour/employment-and-unemployment/labour-force-australia-detailed/aug-2022</w:t>
        </w:r>
      </w:hyperlink>
      <w:r>
        <w:t xml:space="preserve"> Australian Bureau of Statistics,</w:t>
      </w:r>
      <w:r w:rsidRPr="00D26AC2">
        <w:t xml:space="preserve"> Changing female employment over time</w:t>
      </w:r>
      <w:r>
        <w:t xml:space="preserve">, February 2021. </w:t>
      </w:r>
      <w:hyperlink r:id="rId35" w:history="1">
        <w:r w:rsidRPr="009718B0">
          <w:rPr>
            <w:rStyle w:val="Hyperlink"/>
          </w:rPr>
          <w:t>abs.gov.au/articles/changing-female-employment-over-time</w:t>
        </w:r>
      </w:hyperlink>
    </w:p>
  </w:footnote>
  <w:footnote w:id="35">
    <w:p w14:paraId="68507874" w14:textId="5349A010" w:rsidR="0022307D" w:rsidRDefault="0022307D" w:rsidP="0022307D">
      <w:pPr>
        <w:pStyle w:val="FootnoteText"/>
      </w:pPr>
      <w:r w:rsidRPr="66F7DAA5">
        <w:rPr>
          <w:rStyle w:val="FootnoteReference"/>
          <w:rFonts w:ascii="Calibri" w:eastAsia="Calibri" w:hAnsi="Calibri" w:cs="Calibri"/>
        </w:rPr>
        <w:footnoteRef/>
      </w:r>
      <w:r w:rsidR="0BC73B42" w:rsidRPr="66F7DAA5">
        <w:rPr>
          <w:rFonts w:ascii="Calibri" w:eastAsia="Calibri" w:hAnsi="Calibri" w:cs="Calibri"/>
        </w:rPr>
        <w:t xml:space="preserve"> NCVER 2022, </w:t>
      </w:r>
      <w:r w:rsidR="0BC73B42" w:rsidRPr="0BC73B42">
        <w:rPr>
          <w:rFonts w:ascii="Calibri" w:eastAsia="Calibri" w:hAnsi="Calibri" w:cs="Calibri"/>
        </w:rPr>
        <w:t>Australian vocational education and training statistics: apprentices and trainees 2022</w:t>
      </w:r>
      <w:r w:rsidR="0BC73B42" w:rsidRPr="66F7DAA5">
        <w:rPr>
          <w:rFonts w:ascii="Calibri" w:eastAsia="Calibri" w:hAnsi="Calibri" w:cs="Calibri"/>
        </w:rPr>
        <w:t xml:space="preserve">, </w:t>
      </w:r>
      <w:r w:rsidR="0BC73B42">
        <w:rPr>
          <w:rFonts w:ascii="Calibri" w:eastAsia="Calibri" w:hAnsi="Calibri" w:cs="Calibri"/>
        </w:rPr>
        <w:t>March</w:t>
      </w:r>
      <w:r w:rsidR="0BC73B42" w:rsidRPr="66F7DAA5">
        <w:rPr>
          <w:rFonts w:ascii="Calibri" w:eastAsia="Calibri" w:hAnsi="Calibri" w:cs="Calibri"/>
        </w:rPr>
        <w:t xml:space="preserve"> quarter.</w:t>
      </w:r>
      <w:r w:rsidR="0BC73B42">
        <w:rPr>
          <w:rFonts w:ascii="Calibri" w:eastAsia="Calibri" w:hAnsi="Calibri" w:cs="Calibri"/>
        </w:rPr>
        <w:t xml:space="preserve"> </w:t>
      </w:r>
      <w:hyperlink r:id="rId36" w:history="1">
        <w:r w:rsidR="0BC73B42" w:rsidRPr="009718B0">
          <w:rPr>
            <w:rStyle w:val="Hyperlink"/>
          </w:rPr>
          <w:t>ncver.edu.au/research-and-statistics/publications/all-publications/apprentices-and-trainees-2022-march-quarter</w:t>
        </w:r>
      </w:hyperlink>
    </w:p>
  </w:footnote>
  <w:footnote w:id="36">
    <w:p w14:paraId="7229EB21" w14:textId="581658BC" w:rsidR="0022307D" w:rsidRDefault="0022307D" w:rsidP="0022307D">
      <w:pPr>
        <w:pStyle w:val="FootnoteText"/>
      </w:pPr>
      <w:r>
        <w:rPr>
          <w:rStyle w:val="FootnoteReference"/>
        </w:rPr>
        <w:footnoteRef/>
      </w:r>
      <w:r>
        <w:t xml:space="preserve"> Australian Bureau of Statistics, </w:t>
      </w:r>
      <w:r w:rsidRPr="00FC0A22">
        <w:t>Labour Force, Australia,</w:t>
      </w:r>
      <w:r>
        <w:t xml:space="preserve"> </w:t>
      </w:r>
      <w:r w:rsidRPr="00FC0A22">
        <w:t>Detailed</w:t>
      </w:r>
      <w:r>
        <w:t xml:space="preserve"> August 2022. </w:t>
      </w:r>
      <w:hyperlink r:id="rId37" w:history="1">
        <w:r w:rsidRPr="009718B0">
          <w:rPr>
            <w:rStyle w:val="Hyperlink"/>
          </w:rPr>
          <w:t>abs.gov.au/statistics/labour/employment-and-unemployment/labour-force-australia-detailed/aug-2022</w:t>
        </w:r>
      </w:hyperlink>
      <w:r>
        <w:t xml:space="preserve"> </w:t>
      </w:r>
    </w:p>
  </w:footnote>
  <w:footnote w:id="37">
    <w:p w14:paraId="3E7B75E0" w14:textId="10C9858F" w:rsidR="00C839EC" w:rsidRDefault="00C839EC" w:rsidP="00C839EC">
      <w:pPr>
        <w:pStyle w:val="FootnoteText"/>
      </w:pPr>
      <w:r>
        <w:rPr>
          <w:rStyle w:val="FootnoteReference"/>
        </w:rPr>
        <w:footnoteRef/>
      </w:r>
      <w:r>
        <w:t xml:space="preserve"> Training Contract IDs are also known as a Tracking Code in the Training Contract which is signed by the employer and apprentice.</w:t>
      </w:r>
    </w:p>
  </w:footnote>
  <w:footnote w:id="38">
    <w:p w14:paraId="2165F56F" w14:textId="3AD5D966" w:rsidR="00C839EC" w:rsidRDefault="00C839EC" w:rsidP="00C839EC">
      <w:pPr>
        <w:pStyle w:val="FootnoteText"/>
      </w:pPr>
      <w:r w:rsidRPr="02BDE6D0">
        <w:rPr>
          <w:rStyle w:val="FootnoteReference"/>
        </w:rPr>
        <w:footnoteRef/>
      </w:r>
      <w:r>
        <w:t xml:space="preserve"> </w:t>
      </w:r>
      <w:r w:rsidRPr="00BA4F85">
        <w:t>Department of Infrastructure, Transport</w:t>
      </w:r>
      <w:r>
        <w:t>,</w:t>
      </w:r>
      <w:r w:rsidRPr="00BA4F85">
        <w:t xml:space="preserve"> Regional Development, Communications and the Arts</w:t>
      </w:r>
      <w:r>
        <w:t xml:space="preserve">, Notes on Administration for Land Transport Infrastructure Projects 2019 – 2024, </w:t>
      </w:r>
      <w:r w:rsidRPr="009A00D8">
        <w:t>January 2021</w:t>
      </w:r>
      <w:r>
        <w:t xml:space="preserve">. </w:t>
      </w:r>
      <w:hyperlink r:id="rId38" w:history="1">
        <w:r w:rsidRPr="009718B0">
          <w:rPr>
            <w:rStyle w:val="Hyperlink"/>
          </w:rPr>
          <w:t>investment.infrastructure.gov.au/files/notes_on_administration/notes-on-administration-january-2021.pdf</w:t>
        </w:r>
      </w:hyperlink>
    </w:p>
  </w:footnote>
  <w:footnote w:id="39">
    <w:p w14:paraId="3854D0B7" w14:textId="6B3812E4" w:rsidR="004072C7" w:rsidRDefault="004072C7" w:rsidP="004072C7">
      <w:pPr>
        <w:pStyle w:val="FootnoteText"/>
      </w:pPr>
      <w:r>
        <w:rPr>
          <w:rStyle w:val="FootnoteReference"/>
        </w:rPr>
        <w:footnoteRef/>
      </w:r>
      <w:r>
        <w:t xml:space="preserve"> United Nations Women, Facts and Figures: Economic Empowerment, July 2018. </w:t>
      </w:r>
      <w:hyperlink r:id="rId39" w:history="1">
        <w:r w:rsidRPr="009718B0">
          <w:rPr>
            <w:rStyle w:val="Hyperlink"/>
          </w:rPr>
          <w:t>unwomen.org/en/what-we-do/economic-empowerment/facts-and-figures</w:t>
        </w:r>
      </w:hyperlink>
    </w:p>
  </w:footnote>
  <w:footnote w:id="40">
    <w:p w14:paraId="28D7C47D" w14:textId="65FF6056" w:rsidR="004072C7" w:rsidRDefault="004072C7" w:rsidP="004072C7">
      <w:pPr>
        <w:pStyle w:val="FootnoteText"/>
      </w:pPr>
      <w:r>
        <w:rPr>
          <w:rStyle w:val="FootnoteReference"/>
        </w:rPr>
        <w:footnoteRef/>
      </w:r>
      <w:r>
        <w:t xml:space="preserve"> L. Wheelahan, G. Moodie, </w:t>
      </w:r>
      <w:r w:rsidRPr="009D59E1">
        <w:t>Gig qualifications for the gig economy: micro-credentials and the ‘hungry mile’</w:t>
      </w:r>
      <w:r>
        <w:t xml:space="preserve">, Higher Education, 83, 1279-1295, 2022. </w:t>
      </w:r>
      <w:hyperlink r:id="rId40" w:history="1">
        <w:r w:rsidRPr="009718B0">
          <w:rPr>
            <w:rStyle w:val="Hyperlink"/>
          </w:rPr>
          <w:t>link.springer.com/article/10.1007/s10734-021-00742-3</w:t>
        </w:r>
      </w:hyperlink>
      <w:r>
        <w:t xml:space="preserve">; G. Psacharopoulos, H. A. Patrinos, </w:t>
      </w:r>
      <w:r w:rsidRPr="0056075E">
        <w:t>Returns to investment in education: a decennial review of the global literature</w:t>
      </w:r>
      <w:r>
        <w:t>, Education Economics, volume 26, 2018, issue 5.</w:t>
      </w:r>
      <w:r w:rsidRPr="0023439C">
        <w:t xml:space="preserve"> </w:t>
      </w:r>
      <w:hyperlink r:id="rId41" w:history="1">
        <w:r w:rsidR="007C55E0">
          <w:rPr>
            <w:rStyle w:val="Hyperlink"/>
          </w:rPr>
          <w:t>doi.org/10.1080/09645292.2018.1484426</w:t>
        </w:r>
      </w:hyperlink>
      <w:r>
        <w:t xml:space="preserve">; World Bank, Skills Development, 21 July 2021. </w:t>
      </w:r>
      <w:hyperlink r:id="rId42" w:history="1">
        <w:r w:rsidRPr="009718B0">
          <w:rPr>
            <w:rStyle w:val="Hyperlink"/>
          </w:rPr>
          <w:t>worldbank.org/en/topic/skillsdevelopment</w:t>
        </w:r>
      </w:hyperlink>
    </w:p>
  </w:footnote>
  <w:footnote w:id="41">
    <w:p w14:paraId="77F9A4F5" w14:textId="0DA71B6D" w:rsidR="006A5AC0" w:rsidRDefault="006A5AC0">
      <w:pPr>
        <w:pStyle w:val="FootnoteText"/>
      </w:pPr>
      <w:r>
        <w:rPr>
          <w:rStyle w:val="FootnoteReference"/>
        </w:rPr>
        <w:footnoteRef/>
      </w:r>
      <w:r w:rsidR="6433F422">
        <w:t xml:space="preserve"> Workplace Gender Equality Agency, Gender Segregation in Australia’s Workforce, April 2019. </w:t>
      </w:r>
      <w:hyperlink r:id="rId43" w:anchor="remuneration-gender-segregation" w:history="1">
        <w:r w:rsidR="6433F422" w:rsidRPr="00A64A59">
          <w:rPr>
            <w:rStyle w:val="Hyperlink"/>
          </w:rPr>
          <w:t>wgea.gov.au/publications/gender-segregation-in-australias-workforce#remuneration-gender-segregation</w:t>
        </w:r>
      </w:hyperlink>
      <w:r w:rsidR="6433F422">
        <w:t xml:space="preserve"> </w:t>
      </w:r>
    </w:p>
  </w:footnote>
  <w:footnote w:id="42">
    <w:p w14:paraId="560BB3D1" w14:textId="7AED465A" w:rsidR="00E70286" w:rsidRDefault="00E70286" w:rsidP="00E70286">
      <w:pPr>
        <w:pStyle w:val="FootnoteText"/>
      </w:pPr>
      <w:r w:rsidRPr="7F03B339">
        <w:rPr>
          <w:rStyle w:val="FootnoteReference"/>
        </w:rPr>
        <w:footnoteRef/>
      </w:r>
      <w:r>
        <w:t xml:space="preserve"> </w:t>
      </w:r>
      <w:r w:rsidRPr="007C68B2">
        <w:rPr>
          <w:rFonts w:ascii="Calibri" w:eastAsia="Calibri" w:hAnsi="Calibri" w:cs="Calibri"/>
        </w:rPr>
        <w:t>Donna Bridges et al. (2022), Girls in Trades, Tokenism and Sexual Harassment inside the VET classroom, Journal of Vocational Education and Training</w:t>
      </w:r>
      <w:r w:rsidR="00D45BFD">
        <w:rPr>
          <w:rFonts w:ascii="Calibri" w:eastAsia="Calibri" w:hAnsi="Calibri" w:cs="Calibri"/>
        </w:rPr>
        <w:t xml:space="preserve">. </w:t>
      </w:r>
      <w:hyperlink r:id="rId44" w:history="1">
        <w:r w:rsidR="00D45BFD" w:rsidRPr="006E73F6">
          <w:rPr>
            <w:rStyle w:val="Hyperlink"/>
            <w:rFonts w:eastAsia="Times New Roman"/>
          </w:rPr>
          <w:t>tandfonline.com/doi/full/10.1080/13636820.2022.2084768?casa_token=Dnqafilr160AAAAA%3AKWj1Z8EhkSEvXwJsCa71b_bqgxMvb2TQk6KJbPEAkYO4zrJVg-AB3a9xqJuCzFTsdG9Ec2xy2hClHQ</w:t>
        </w:r>
      </w:hyperlink>
    </w:p>
  </w:footnote>
  <w:footnote w:id="43">
    <w:p w14:paraId="19FE328B" w14:textId="6040CD74" w:rsidR="00E70286" w:rsidRDefault="00E70286" w:rsidP="00E70286">
      <w:pPr>
        <w:pStyle w:val="FootnoteText"/>
      </w:pPr>
      <w:r w:rsidRPr="745F578F">
        <w:rPr>
          <w:rStyle w:val="FootnoteReference"/>
        </w:rPr>
        <w:footnoteRef/>
      </w:r>
      <w:r>
        <w:t xml:space="preserve"> </w:t>
      </w:r>
      <w:r w:rsidRPr="001746BD">
        <w:rPr>
          <w:rFonts w:ascii="Calibri" w:eastAsia="Calibri" w:hAnsi="Calibri" w:cs="Calibri"/>
        </w:rPr>
        <w:t>AHRC (2020) Respect@Work: National Inquiry into Sexual Harassment in Australian Workplaces</w:t>
      </w:r>
      <w:r w:rsidR="00EF00B8">
        <w:rPr>
          <w:rFonts w:ascii="Calibri" w:eastAsia="Calibri" w:hAnsi="Calibri" w:cs="Calibri"/>
        </w:rPr>
        <w:t xml:space="preserve">. </w:t>
      </w:r>
      <w:hyperlink r:id="rId45" w:history="1">
        <w:r w:rsidR="00EF00B8" w:rsidRPr="00EF00B8">
          <w:rPr>
            <w:rStyle w:val="Hyperlink"/>
            <w:rFonts w:eastAsia="Times New Roman"/>
          </w:rPr>
          <w:t>humanrights.gov.au/sites/default/files/document/publication/ahrc_respectwork_community_guide_2020.pdf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FABBD" w14:textId="77777777" w:rsidR="00364564" w:rsidRDefault="00364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C3E54" w14:textId="77777777" w:rsidR="00364564" w:rsidRDefault="003645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F347" w14:textId="77777777" w:rsidR="00364564" w:rsidRDefault="003645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1AA35802"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96DD6"/>
    <w:multiLevelType w:val="hybridMultilevel"/>
    <w:tmpl w:val="F126D770"/>
    <w:lvl w:ilvl="0" w:tplc="738648BA">
      <w:start w:val="1"/>
      <w:numFmt w:val="bullet"/>
      <w:lvlText w:val=""/>
      <w:lvlJc w:val="left"/>
      <w:pPr>
        <w:ind w:left="720" w:hanging="360"/>
      </w:pPr>
      <w:rPr>
        <w:rFonts w:ascii="Symbol" w:hAnsi="Symbol" w:hint="default"/>
      </w:rPr>
    </w:lvl>
    <w:lvl w:ilvl="1" w:tplc="91AA9A1A">
      <w:start w:val="1"/>
      <w:numFmt w:val="bullet"/>
      <w:lvlText w:val="o"/>
      <w:lvlJc w:val="left"/>
      <w:pPr>
        <w:ind w:left="1440" w:hanging="360"/>
      </w:pPr>
      <w:rPr>
        <w:rFonts w:ascii="Courier New" w:hAnsi="Courier New" w:hint="default"/>
      </w:rPr>
    </w:lvl>
    <w:lvl w:ilvl="2" w:tplc="420E9DE8">
      <w:start w:val="1"/>
      <w:numFmt w:val="bullet"/>
      <w:lvlText w:val=""/>
      <w:lvlJc w:val="left"/>
      <w:pPr>
        <w:ind w:left="2160" w:hanging="360"/>
      </w:pPr>
      <w:rPr>
        <w:rFonts w:ascii="Wingdings" w:hAnsi="Wingdings" w:hint="default"/>
      </w:rPr>
    </w:lvl>
    <w:lvl w:ilvl="3" w:tplc="3698AFD8">
      <w:start w:val="1"/>
      <w:numFmt w:val="bullet"/>
      <w:lvlText w:val=""/>
      <w:lvlJc w:val="left"/>
      <w:pPr>
        <w:ind w:left="2880" w:hanging="360"/>
      </w:pPr>
      <w:rPr>
        <w:rFonts w:ascii="Symbol" w:hAnsi="Symbol" w:hint="default"/>
      </w:rPr>
    </w:lvl>
    <w:lvl w:ilvl="4" w:tplc="9130780E">
      <w:start w:val="1"/>
      <w:numFmt w:val="bullet"/>
      <w:lvlText w:val="o"/>
      <w:lvlJc w:val="left"/>
      <w:pPr>
        <w:ind w:left="3600" w:hanging="360"/>
      </w:pPr>
      <w:rPr>
        <w:rFonts w:ascii="Courier New" w:hAnsi="Courier New" w:hint="default"/>
      </w:rPr>
    </w:lvl>
    <w:lvl w:ilvl="5" w:tplc="0EF67566">
      <w:start w:val="1"/>
      <w:numFmt w:val="bullet"/>
      <w:lvlText w:val=""/>
      <w:lvlJc w:val="left"/>
      <w:pPr>
        <w:ind w:left="4320" w:hanging="360"/>
      </w:pPr>
      <w:rPr>
        <w:rFonts w:ascii="Wingdings" w:hAnsi="Wingdings" w:hint="default"/>
      </w:rPr>
    </w:lvl>
    <w:lvl w:ilvl="6" w:tplc="2590675C">
      <w:start w:val="1"/>
      <w:numFmt w:val="bullet"/>
      <w:lvlText w:val=""/>
      <w:lvlJc w:val="left"/>
      <w:pPr>
        <w:ind w:left="5040" w:hanging="360"/>
      </w:pPr>
      <w:rPr>
        <w:rFonts w:ascii="Symbol" w:hAnsi="Symbol" w:hint="default"/>
      </w:rPr>
    </w:lvl>
    <w:lvl w:ilvl="7" w:tplc="B226CD94">
      <w:start w:val="1"/>
      <w:numFmt w:val="bullet"/>
      <w:lvlText w:val="o"/>
      <w:lvlJc w:val="left"/>
      <w:pPr>
        <w:ind w:left="5760" w:hanging="360"/>
      </w:pPr>
      <w:rPr>
        <w:rFonts w:ascii="Courier New" w:hAnsi="Courier New" w:hint="default"/>
      </w:rPr>
    </w:lvl>
    <w:lvl w:ilvl="8" w:tplc="4DAA02DC">
      <w:start w:val="1"/>
      <w:numFmt w:val="bullet"/>
      <w:lvlText w:val=""/>
      <w:lvlJc w:val="left"/>
      <w:pPr>
        <w:ind w:left="6480" w:hanging="360"/>
      </w:pPr>
      <w:rPr>
        <w:rFonts w:ascii="Wingdings" w:hAnsi="Wingdings" w:hint="default"/>
      </w:rPr>
    </w:lvl>
  </w:abstractNum>
  <w:abstractNum w:abstractNumId="11" w15:restartNumberingAfterBreak="0">
    <w:nsid w:val="072A74D5"/>
    <w:multiLevelType w:val="hybridMultilevel"/>
    <w:tmpl w:val="E79CDE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725452"/>
    <w:multiLevelType w:val="hybridMultilevel"/>
    <w:tmpl w:val="4BF8C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EC837A8"/>
    <w:multiLevelType w:val="hybridMultilevel"/>
    <w:tmpl w:val="C7409494"/>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49A1E0B"/>
    <w:multiLevelType w:val="hybridMultilevel"/>
    <w:tmpl w:val="A0240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6FA3530"/>
    <w:multiLevelType w:val="hybridMultilevel"/>
    <w:tmpl w:val="4664E9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C1D4AFC"/>
    <w:multiLevelType w:val="hybridMultilevel"/>
    <w:tmpl w:val="7130C9C8"/>
    <w:lvl w:ilvl="0" w:tplc="1C6A5A10">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B870E1"/>
    <w:multiLevelType w:val="hybridMultilevel"/>
    <w:tmpl w:val="75E680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20A0BAD"/>
    <w:multiLevelType w:val="hybridMultilevel"/>
    <w:tmpl w:val="1E2A9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AE4025D"/>
    <w:multiLevelType w:val="hybridMultilevel"/>
    <w:tmpl w:val="C2C48CEE"/>
    <w:lvl w:ilvl="0" w:tplc="33304A7A">
      <w:start w:val="1"/>
      <w:numFmt w:val="upperLetter"/>
      <w:lvlText w:val="%1."/>
      <w:lvlJc w:val="left"/>
      <w:pPr>
        <w:ind w:left="360" w:hanging="360"/>
      </w:pPr>
      <w:rPr>
        <w:rFonts w:hint="default"/>
        <w:sz w:val="32"/>
        <w:u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4C18383"/>
    <w:multiLevelType w:val="hybridMultilevel"/>
    <w:tmpl w:val="4AA4D922"/>
    <w:lvl w:ilvl="0" w:tplc="791EE13A">
      <w:start w:val="1"/>
      <w:numFmt w:val="bullet"/>
      <w:lvlText w:val=""/>
      <w:lvlJc w:val="left"/>
      <w:pPr>
        <w:ind w:left="360" w:hanging="360"/>
      </w:pPr>
      <w:rPr>
        <w:rFonts w:ascii="Symbol" w:hAnsi="Symbol" w:hint="default"/>
      </w:rPr>
    </w:lvl>
    <w:lvl w:ilvl="1" w:tplc="30B87D3E">
      <w:start w:val="1"/>
      <w:numFmt w:val="bullet"/>
      <w:lvlText w:val="o"/>
      <w:lvlJc w:val="left"/>
      <w:pPr>
        <w:ind w:left="1080" w:hanging="360"/>
      </w:pPr>
      <w:rPr>
        <w:rFonts w:ascii="Courier New" w:hAnsi="Courier New" w:hint="default"/>
      </w:rPr>
    </w:lvl>
    <w:lvl w:ilvl="2" w:tplc="1388CCAE">
      <w:start w:val="1"/>
      <w:numFmt w:val="bullet"/>
      <w:lvlText w:val=""/>
      <w:lvlJc w:val="left"/>
      <w:pPr>
        <w:ind w:left="1800" w:hanging="360"/>
      </w:pPr>
      <w:rPr>
        <w:rFonts w:ascii="Wingdings" w:hAnsi="Wingdings" w:hint="default"/>
      </w:rPr>
    </w:lvl>
    <w:lvl w:ilvl="3" w:tplc="C478ABBE">
      <w:start w:val="1"/>
      <w:numFmt w:val="bullet"/>
      <w:lvlText w:val=""/>
      <w:lvlJc w:val="left"/>
      <w:pPr>
        <w:ind w:left="2520" w:hanging="360"/>
      </w:pPr>
      <w:rPr>
        <w:rFonts w:ascii="Symbol" w:hAnsi="Symbol" w:hint="default"/>
      </w:rPr>
    </w:lvl>
    <w:lvl w:ilvl="4" w:tplc="0AAA7672">
      <w:start w:val="1"/>
      <w:numFmt w:val="bullet"/>
      <w:lvlText w:val="o"/>
      <w:lvlJc w:val="left"/>
      <w:pPr>
        <w:ind w:left="3240" w:hanging="360"/>
      </w:pPr>
      <w:rPr>
        <w:rFonts w:ascii="Courier New" w:hAnsi="Courier New" w:hint="default"/>
      </w:rPr>
    </w:lvl>
    <w:lvl w:ilvl="5" w:tplc="83D04508">
      <w:start w:val="1"/>
      <w:numFmt w:val="bullet"/>
      <w:lvlText w:val=""/>
      <w:lvlJc w:val="left"/>
      <w:pPr>
        <w:ind w:left="3960" w:hanging="360"/>
      </w:pPr>
      <w:rPr>
        <w:rFonts w:ascii="Wingdings" w:hAnsi="Wingdings" w:hint="default"/>
      </w:rPr>
    </w:lvl>
    <w:lvl w:ilvl="6" w:tplc="B0F05896">
      <w:start w:val="1"/>
      <w:numFmt w:val="bullet"/>
      <w:lvlText w:val=""/>
      <w:lvlJc w:val="left"/>
      <w:pPr>
        <w:ind w:left="4680" w:hanging="360"/>
      </w:pPr>
      <w:rPr>
        <w:rFonts w:ascii="Symbol" w:hAnsi="Symbol" w:hint="default"/>
      </w:rPr>
    </w:lvl>
    <w:lvl w:ilvl="7" w:tplc="C9A4338E">
      <w:start w:val="1"/>
      <w:numFmt w:val="bullet"/>
      <w:lvlText w:val="o"/>
      <w:lvlJc w:val="left"/>
      <w:pPr>
        <w:ind w:left="5400" w:hanging="360"/>
      </w:pPr>
      <w:rPr>
        <w:rFonts w:ascii="Courier New" w:hAnsi="Courier New" w:hint="default"/>
      </w:rPr>
    </w:lvl>
    <w:lvl w:ilvl="8" w:tplc="3EDE3A7A">
      <w:start w:val="1"/>
      <w:numFmt w:val="bullet"/>
      <w:lvlText w:val=""/>
      <w:lvlJc w:val="left"/>
      <w:pPr>
        <w:ind w:left="6120" w:hanging="360"/>
      </w:pPr>
      <w:rPr>
        <w:rFonts w:ascii="Wingdings" w:hAnsi="Wingdings" w:hint="default"/>
      </w:rPr>
    </w:lvl>
  </w:abstractNum>
  <w:abstractNum w:abstractNumId="25" w15:restartNumberingAfterBreak="0">
    <w:nsid w:val="47CD430F"/>
    <w:multiLevelType w:val="hybridMultilevel"/>
    <w:tmpl w:val="034CF8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0B9477"/>
    <w:multiLevelType w:val="hybridMultilevel"/>
    <w:tmpl w:val="FFFFFFFF"/>
    <w:lvl w:ilvl="0" w:tplc="2E8C04C4">
      <w:start w:val="1"/>
      <w:numFmt w:val="bullet"/>
      <w:lvlText w:val=""/>
      <w:lvlJc w:val="left"/>
      <w:pPr>
        <w:ind w:left="720" w:hanging="360"/>
      </w:pPr>
      <w:rPr>
        <w:rFonts w:ascii="Symbol" w:hAnsi="Symbol" w:hint="default"/>
      </w:rPr>
    </w:lvl>
    <w:lvl w:ilvl="1" w:tplc="340611E8">
      <w:start w:val="1"/>
      <w:numFmt w:val="bullet"/>
      <w:lvlText w:val="o"/>
      <w:lvlJc w:val="left"/>
      <w:pPr>
        <w:ind w:left="1440" w:hanging="360"/>
      </w:pPr>
      <w:rPr>
        <w:rFonts w:ascii="Courier New" w:hAnsi="Courier New" w:hint="default"/>
      </w:rPr>
    </w:lvl>
    <w:lvl w:ilvl="2" w:tplc="42264232">
      <w:start w:val="1"/>
      <w:numFmt w:val="bullet"/>
      <w:lvlText w:val=""/>
      <w:lvlJc w:val="left"/>
      <w:pPr>
        <w:ind w:left="2160" w:hanging="360"/>
      </w:pPr>
      <w:rPr>
        <w:rFonts w:ascii="Wingdings" w:hAnsi="Wingdings" w:hint="default"/>
      </w:rPr>
    </w:lvl>
    <w:lvl w:ilvl="3" w:tplc="CFC6559C">
      <w:start w:val="1"/>
      <w:numFmt w:val="bullet"/>
      <w:lvlText w:val=""/>
      <w:lvlJc w:val="left"/>
      <w:pPr>
        <w:ind w:left="2880" w:hanging="360"/>
      </w:pPr>
      <w:rPr>
        <w:rFonts w:ascii="Symbol" w:hAnsi="Symbol" w:hint="default"/>
      </w:rPr>
    </w:lvl>
    <w:lvl w:ilvl="4" w:tplc="93DC0A4C">
      <w:start w:val="1"/>
      <w:numFmt w:val="bullet"/>
      <w:lvlText w:val="o"/>
      <w:lvlJc w:val="left"/>
      <w:pPr>
        <w:ind w:left="3600" w:hanging="360"/>
      </w:pPr>
      <w:rPr>
        <w:rFonts w:ascii="Courier New" w:hAnsi="Courier New" w:hint="default"/>
      </w:rPr>
    </w:lvl>
    <w:lvl w:ilvl="5" w:tplc="76E6C478">
      <w:start w:val="1"/>
      <w:numFmt w:val="bullet"/>
      <w:lvlText w:val=""/>
      <w:lvlJc w:val="left"/>
      <w:pPr>
        <w:ind w:left="4320" w:hanging="360"/>
      </w:pPr>
      <w:rPr>
        <w:rFonts w:ascii="Wingdings" w:hAnsi="Wingdings" w:hint="default"/>
      </w:rPr>
    </w:lvl>
    <w:lvl w:ilvl="6" w:tplc="E7AA046E">
      <w:start w:val="1"/>
      <w:numFmt w:val="bullet"/>
      <w:lvlText w:val=""/>
      <w:lvlJc w:val="left"/>
      <w:pPr>
        <w:ind w:left="5040" w:hanging="360"/>
      </w:pPr>
      <w:rPr>
        <w:rFonts w:ascii="Symbol" w:hAnsi="Symbol" w:hint="default"/>
      </w:rPr>
    </w:lvl>
    <w:lvl w:ilvl="7" w:tplc="65BAFAE8">
      <w:start w:val="1"/>
      <w:numFmt w:val="bullet"/>
      <w:lvlText w:val="o"/>
      <w:lvlJc w:val="left"/>
      <w:pPr>
        <w:ind w:left="5760" w:hanging="360"/>
      </w:pPr>
      <w:rPr>
        <w:rFonts w:ascii="Courier New" w:hAnsi="Courier New" w:hint="default"/>
      </w:rPr>
    </w:lvl>
    <w:lvl w:ilvl="8" w:tplc="3042DCA4">
      <w:start w:val="1"/>
      <w:numFmt w:val="bullet"/>
      <w:lvlText w:val=""/>
      <w:lvlJc w:val="left"/>
      <w:pPr>
        <w:ind w:left="6480" w:hanging="360"/>
      </w:pPr>
      <w:rPr>
        <w:rFonts w:ascii="Wingdings" w:hAnsi="Wingdings" w:hint="default"/>
      </w:rPr>
    </w:lvl>
  </w:abstractNum>
  <w:abstractNum w:abstractNumId="27" w15:restartNumberingAfterBreak="0">
    <w:nsid w:val="4A6C5D85"/>
    <w:multiLevelType w:val="hybridMultilevel"/>
    <w:tmpl w:val="DF789B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81635C"/>
    <w:multiLevelType w:val="hybridMultilevel"/>
    <w:tmpl w:val="FFFFFFFF"/>
    <w:lvl w:ilvl="0" w:tplc="FFFFFFFF">
      <w:start w:val="1"/>
      <w:numFmt w:val="bullet"/>
      <w:lvlText w:val=""/>
      <w:lvlJc w:val="left"/>
      <w:pPr>
        <w:ind w:left="720" w:hanging="360"/>
      </w:pPr>
      <w:rPr>
        <w:rFonts w:ascii="Symbol" w:hAnsi="Symbol" w:hint="default"/>
      </w:rPr>
    </w:lvl>
    <w:lvl w:ilvl="1" w:tplc="A3D223DE">
      <w:start w:val="1"/>
      <w:numFmt w:val="bullet"/>
      <w:lvlText w:val="o"/>
      <w:lvlJc w:val="left"/>
      <w:pPr>
        <w:ind w:left="1440" w:hanging="360"/>
      </w:pPr>
      <w:rPr>
        <w:rFonts w:ascii="Courier New" w:hAnsi="Courier New" w:hint="default"/>
      </w:rPr>
    </w:lvl>
    <w:lvl w:ilvl="2" w:tplc="57F0F5DE">
      <w:start w:val="1"/>
      <w:numFmt w:val="bullet"/>
      <w:lvlText w:val=""/>
      <w:lvlJc w:val="left"/>
      <w:pPr>
        <w:ind w:left="2160" w:hanging="360"/>
      </w:pPr>
      <w:rPr>
        <w:rFonts w:ascii="Wingdings" w:hAnsi="Wingdings" w:hint="default"/>
      </w:rPr>
    </w:lvl>
    <w:lvl w:ilvl="3" w:tplc="FC0ABFF0">
      <w:start w:val="1"/>
      <w:numFmt w:val="bullet"/>
      <w:lvlText w:val=""/>
      <w:lvlJc w:val="left"/>
      <w:pPr>
        <w:ind w:left="2880" w:hanging="360"/>
      </w:pPr>
      <w:rPr>
        <w:rFonts w:ascii="Symbol" w:hAnsi="Symbol" w:hint="default"/>
      </w:rPr>
    </w:lvl>
    <w:lvl w:ilvl="4" w:tplc="1316B164">
      <w:start w:val="1"/>
      <w:numFmt w:val="bullet"/>
      <w:lvlText w:val="o"/>
      <w:lvlJc w:val="left"/>
      <w:pPr>
        <w:ind w:left="3600" w:hanging="360"/>
      </w:pPr>
      <w:rPr>
        <w:rFonts w:ascii="Courier New" w:hAnsi="Courier New" w:hint="default"/>
      </w:rPr>
    </w:lvl>
    <w:lvl w:ilvl="5" w:tplc="C264EF3A">
      <w:start w:val="1"/>
      <w:numFmt w:val="bullet"/>
      <w:lvlText w:val=""/>
      <w:lvlJc w:val="left"/>
      <w:pPr>
        <w:ind w:left="4320" w:hanging="360"/>
      </w:pPr>
      <w:rPr>
        <w:rFonts w:ascii="Wingdings" w:hAnsi="Wingdings" w:hint="default"/>
      </w:rPr>
    </w:lvl>
    <w:lvl w:ilvl="6" w:tplc="486CDC30">
      <w:start w:val="1"/>
      <w:numFmt w:val="bullet"/>
      <w:lvlText w:val=""/>
      <w:lvlJc w:val="left"/>
      <w:pPr>
        <w:ind w:left="5040" w:hanging="360"/>
      </w:pPr>
      <w:rPr>
        <w:rFonts w:ascii="Symbol" w:hAnsi="Symbol" w:hint="default"/>
      </w:rPr>
    </w:lvl>
    <w:lvl w:ilvl="7" w:tplc="99DAC7A4">
      <w:start w:val="1"/>
      <w:numFmt w:val="bullet"/>
      <w:lvlText w:val="o"/>
      <w:lvlJc w:val="left"/>
      <w:pPr>
        <w:ind w:left="5760" w:hanging="360"/>
      </w:pPr>
      <w:rPr>
        <w:rFonts w:ascii="Courier New" w:hAnsi="Courier New" w:hint="default"/>
      </w:rPr>
    </w:lvl>
    <w:lvl w:ilvl="8" w:tplc="5D9CA580">
      <w:start w:val="1"/>
      <w:numFmt w:val="bullet"/>
      <w:lvlText w:val=""/>
      <w:lvlJc w:val="left"/>
      <w:pPr>
        <w:ind w:left="6480" w:hanging="360"/>
      </w:pPr>
      <w:rPr>
        <w:rFonts w:ascii="Wingdings" w:hAnsi="Wingdings" w:hint="default"/>
      </w:rPr>
    </w:lvl>
  </w:abstractNum>
  <w:abstractNum w:abstractNumId="29" w15:restartNumberingAfterBreak="0">
    <w:nsid w:val="56536D10"/>
    <w:multiLevelType w:val="hybridMultilevel"/>
    <w:tmpl w:val="32E6F0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BE8CA2E6">
      <w:numFmt w:val="bullet"/>
      <w:lvlText w:val="-"/>
      <w:lvlJc w:val="left"/>
      <w:pPr>
        <w:ind w:left="2520" w:hanging="720"/>
      </w:pPr>
      <w:rPr>
        <w:rFonts w:ascii="Calibri" w:eastAsia="Calibr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014469"/>
    <w:multiLevelType w:val="hybridMultilevel"/>
    <w:tmpl w:val="4BE29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4A290B"/>
    <w:multiLevelType w:val="hybridMultilevel"/>
    <w:tmpl w:val="6CB24BDE"/>
    <w:lvl w:ilvl="0" w:tplc="19181760">
      <w:start w:val="1"/>
      <w:numFmt w:val="bullet"/>
      <w:lvlText w:val=""/>
      <w:lvlJc w:val="left"/>
      <w:pPr>
        <w:ind w:left="720" w:hanging="360"/>
      </w:pPr>
      <w:rPr>
        <w:rFonts w:ascii="Symbol" w:hAnsi="Symbol" w:hint="default"/>
      </w:rPr>
    </w:lvl>
    <w:lvl w:ilvl="1" w:tplc="398032FA">
      <w:start w:val="1"/>
      <w:numFmt w:val="bullet"/>
      <w:lvlText w:val="o"/>
      <w:lvlJc w:val="left"/>
      <w:pPr>
        <w:ind w:left="1440" w:hanging="360"/>
      </w:pPr>
      <w:rPr>
        <w:rFonts w:ascii="Courier New" w:hAnsi="Courier New" w:hint="default"/>
      </w:rPr>
    </w:lvl>
    <w:lvl w:ilvl="2" w:tplc="0988F4CA">
      <w:start w:val="1"/>
      <w:numFmt w:val="bullet"/>
      <w:lvlText w:val=""/>
      <w:lvlJc w:val="left"/>
      <w:pPr>
        <w:ind w:left="2160" w:hanging="360"/>
      </w:pPr>
      <w:rPr>
        <w:rFonts w:ascii="Wingdings" w:hAnsi="Wingdings" w:hint="default"/>
      </w:rPr>
    </w:lvl>
    <w:lvl w:ilvl="3" w:tplc="717C24D8">
      <w:start w:val="1"/>
      <w:numFmt w:val="bullet"/>
      <w:lvlText w:val=""/>
      <w:lvlJc w:val="left"/>
      <w:pPr>
        <w:ind w:left="2880" w:hanging="360"/>
      </w:pPr>
      <w:rPr>
        <w:rFonts w:ascii="Symbol" w:hAnsi="Symbol" w:hint="default"/>
      </w:rPr>
    </w:lvl>
    <w:lvl w:ilvl="4" w:tplc="D5E694AE">
      <w:start w:val="1"/>
      <w:numFmt w:val="bullet"/>
      <w:lvlText w:val="o"/>
      <w:lvlJc w:val="left"/>
      <w:pPr>
        <w:ind w:left="3600" w:hanging="360"/>
      </w:pPr>
      <w:rPr>
        <w:rFonts w:ascii="Courier New" w:hAnsi="Courier New" w:hint="default"/>
      </w:rPr>
    </w:lvl>
    <w:lvl w:ilvl="5" w:tplc="6D0E35A6">
      <w:start w:val="1"/>
      <w:numFmt w:val="bullet"/>
      <w:lvlText w:val=""/>
      <w:lvlJc w:val="left"/>
      <w:pPr>
        <w:ind w:left="4320" w:hanging="360"/>
      </w:pPr>
      <w:rPr>
        <w:rFonts w:ascii="Wingdings" w:hAnsi="Wingdings" w:hint="default"/>
      </w:rPr>
    </w:lvl>
    <w:lvl w:ilvl="6" w:tplc="6E3EC1D8">
      <w:start w:val="1"/>
      <w:numFmt w:val="bullet"/>
      <w:lvlText w:val=""/>
      <w:lvlJc w:val="left"/>
      <w:pPr>
        <w:ind w:left="5040" w:hanging="360"/>
      </w:pPr>
      <w:rPr>
        <w:rFonts w:ascii="Symbol" w:hAnsi="Symbol" w:hint="default"/>
      </w:rPr>
    </w:lvl>
    <w:lvl w:ilvl="7" w:tplc="04EAF31C">
      <w:start w:val="1"/>
      <w:numFmt w:val="bullet"/>
      <w:lvlText w:val="o"/>
      <w:lvlJc w:val="left"/>
      <w:pPr>
        <w:ind w:left="5760" w:hanging="360"/>
      </w:pPr>
      <w:rPr>
        <w:rFonts w:ascii="Courier New" w:hAnsi="Courier New" w:hint="default"/>
      </w:rPr>
    </w:lvl>
    <w:lvl w:ilvl="8" w:tplc="1D5CC7F6">
      <w:start w:val="1"/>
      <w:numFmt w:val="bullet"/>
      <w:lvlText w:val=""/>
      <w:lvlJc w:val="left"/>
      <w:pPr>
        <w:ind w:left="6480" w:hanging="360"/>
      </w:pPr>
      <w:rPr>
        <w:rFonts w:ascii="Wingdings" w:hAnsi="Wingdings" w:hint="default"/>
      </w:rPr>
    </w:lvl>
  </w:abstractNum>
  <w:abstractNum w:abstractNumId="32" w15:restartNumberingAfterBreak="0">
    <w:nsid w:val="62570246"/>
    <w:multiLevelType w:val="hybridMultilevel"/>
    <w:tmpl w:val="ECD41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063229"/>
    <w:multiLevelType w:val="hybridMultilevel"/>
    <w:tmpl w:val="AC8AACB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0F66108"/>
    <w:multiLevelType w:val="hybridMultilevel"/>
    <w:tmpl w:val="79124006"/>
    <w:lvl w:ilvl="0" w:tplc="0C090005">
      <w:start w:val="1"/>
      <w:numFmt w:val="bullet"/>
      <w:lvlText w:val=""/>
      <w:lvlJc w:val="left"/>
      <w:pPr>
        <w:ind w:left="1440" w:hanging="360"/>
      </w:pPr>
      <w:rPr>
        <w:rFonts w:ascii="Wingdings" w:hAnsi="Wingding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5" w15:restartNumberingAfterBreak="0">
    <w:nsid w:val="72AE5F48"/>
    <w:multiLevelType w:val="hybridMultilevel"/>
    <w:tmpl w:val="52FE3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B07E91"/>
    <w:multiLevelType w:val="hybridMultilevel"/>
    <w:tmpl w:val="95DA3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1"/>
  </w:num>
  <w:num w:numId="13">
    <w:abstractNumId w:val="2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23"/>
  </w:num>
  <w:num w:numId="17">
    <w:abstractNumId w:val="31"/>
  </w:num>
  <w:num w:numId="18">
    <w:abstractNumId w:val="18"/>
  </w:num>
  <w:num w:numId="19">
    <w:abstractNumId w:val="25"/>
  </w:num>
  <w:num w:numId="20">
    <w:abstractNumId w:val="32"/>
  </w:num>
  <w:num w:numId="21">
    <w:abstractNumId w:val="19"/>
  </w:num>
  <w:num w:numId="22">
    <w:abstractNumId w:val="29"/>
  </w:num>
  <w:num w:numId="23">
    <w:abstractNumId w:val="10"/>
  </w:num>
  <w:num w:numId="24">
    <w:abstractNumId w:val="28"/>
  </w:num>
  <w:num w:numId="25">
    <w:abstractNumId w:val="24"/>
  </w:num>
  <w:num w:numId="26">
    <w:abstractNumId w:val="36"/>
  </w:num>
  <w:num w:numId="27">
    <w:abstractNumId w:val="26"/>
  </w:num>
  <w:num w:numId="28">
    <w:abstractNumId w:val="13"/>
  </w:num>
  <w:num w:numId="29">
    <w:abstractNumId w:val="16"/>
  </w:num>
  <w:num w:numId="30">
    <w:abstractNumId w:val="35"/>
  </w:num>
  <w:num w:numId="31">
    <w:abstractNumId w:val="17"/>
  </w:num>
  <w:num w:numId="32">
    <w:abstractNumId w:val="27"/>
  </w:num>
  <w:num w:numId="33">
    <w:abstractNumId w:val="11"/>
  </w:num>
  <w:num w:numId="34">
    <w:abstractNumId w:val="20"/>
  </w:num>
  <w:num w:numId="35">
    <w:abstractNumId w:val="12"/>
  </w:num>
  <w:num w:numId="36">
    <w:abstractNumId w:val="30"/>
  </w:num>
  <w:num w:numId="37">
    <w:abstractNumId w:val="34"/>
  </w:num>
  <w:num w:numId="38">
    <w:abstractNumId w:val="3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1450"/>
    <w:rsid w:val="000044DE"/>
    <w:rsid w:val="0000479D"/>
    <w:rsid w:val="0000638D"/>
    <w:rsid w:val="0000732E"/>
    <w:rsid w:val="000126E1"/>
    <w:rsid w:val="00013ADA"/>
    <w:rsid w:val="00014DBD"/>
    <w:rsid w:val="00016603"/>
    <w:rsid w:val="00016EA7"/>
    <w:rsid w:val="00021F71"/>
    <w:rsid w:val="00022851"/>
    <w:rsid w:val="000264B2"/>
    <w:rsid w:val="00027341"/>
    <w:rsid w:val="00030DC6"/>
    <w:rsid w:val="00030EAA"/>
    <w:rsid w:val="0003124D"/>
    <w:rsid w:val="000337D6"/>
    <w:rsid w:val="00035AEC"/>
    <w:rsid w:val="00036EE6"/>
    <w:rsid w:val="00040D39"/>
    <w:rsid w:val="0004332A"/>
    <w:rsid w:val="0004446A"/>
    <w:rsid w:val="000464A6"/>
    <w:rsid w:val="00046789"/>
    <w:rsid w:val="00046C0A"/>
    <w:rsid w:val="00047AA5"/>
    <w:rsid w:val="00052BBC"/>
    <w:rsid w:val="0005392C"/>
    <w:rsid w:val="000542E2"/>
    <w:rsid w:val="00056CDF"/>
    <w:rsid w:val="00061F09"/>
    <w:rsid w:val="00063768"/>
    <w:rsid w:val="00064113"/>
    <w:rsid w:val="00065150"/>
    <w:rsid w:val="00065485"/>
    <w:rsid w:val="000663B3"/>
    <w:rsid w:val="000676B4"/>
    <w:rsid w:val="00067C37"/>
    <w:rsid w:val="0007214F"/>
    <w:rsid w:val="00072A5B"/>
    <w:rsid w:val="0007335F"/>
    <w:rsid w:val="0007401C"/>
    <w:rsid w:val="0007545B"/>
    <w:rsid w:val="000759A8"/>
    <w:rsid w:val="00080295"/>
    <w:rsid w:val="00084C04"/>
    <w:rsid w:val="00085A3D"/>
    <w:rsid w:val="000866C7"/>
    <w:rsid w:val="00087307"/>
    <w:rsid w:val="00090373"/>
    <w:rsid w:val="00093DFB"/>
    <w:rsid w:val="00094706"/>
    <w:rsid w:val="00094E4F"/>
    <w:rsid w:val="000A0276"/>
    <w:rsid w:val="000A26F7"/>
    <w:rsid w:val="000A453D"/>
    <w:rsid w:val="000A46A8"/>
    <w:rsid w:val="000A5AE5"/>
    <w:rsid w:val="000A729C"/>
    <w:rsid w:val="000A7D47"/>
    <w:rsid w:val="000B062F"/>
    <w:rsid w:val="000B0E9A"/>
    <w:rsid w:val="000B3C88"/>
    <w:rsid w:val="000B40FC"/>
    <w:rsid w:val="000B4EA3"/>
    <w:rsid w:val="000C06C8"/>
    <w:rsid w:val="000C2D9C"/>
    <w:rsid w:val="000C4007"/>
    <w:rsid w:val="000C541E"/>
    <w:rsid w:val="000C616E"/>
    <w:rsid w:val="000C629E"/>
    <w:rsid w:val="000C68A1"/>
    <w:rsid w:val="000C7C15"/>
    <w:rsid w:val="000D1570"/>
    <w:rsid w:val="000D382B"/>
    <w:rsid w:val="000D4289"/>
    <w:rsid w:val="000D4EB0"/>
    <w:rsid w:val="000D5879"/>
    <w:rsid w:val="000D5A07"/>
    <w:rsid w:val="000D6071"/>
    <w:rsid w:val="000D724E"/>
    <w:rsid w:val="000E07C3"/>
    <w:rsid w:val="000E1836"/>
    <w:rsid w:val="000E25D3"/>
    <w:rsid w:val="000E3B0A"/>
    <w:rsid w:val="000E3D80"/>
    <w:rsid w:val="000E53E1"/>
    <w:rsid w:val="000E65C4"/>
    <w:rsid w:val="000F2200"/>
    <w:rsid w:val="000F4929"/>
    <w:rsid w:val="000F4E4C"/>
    <w:rsid w:val="000F52DA"/>
    <w:rsid w:val="000F57F3"/>
    <w:rsid w:val="000F7686"/>
    <w:rsid w:val="00101CE2"/>
    <w:rsid w:val="001118B9"/>
    <w:rsid w:val="00113051"/>
    <w:rsid w:val="001143C1"/>
    <w:rsid w:val="00120C9A"/>
    <w:rsid w:val="0012440D"/>
    <w:rsid w:val="00130010"/>
    <w:rsid w:val="00131838"/>
    <w:rsid w:val="00136D83"/>
    <w:rsid w:val="0014058C"/>
    <w:rsid w:val="001419B8"/>
    <w:rsid w:val="001433EF"/>
    <w:rsid w:val="00144CA4"/>
    <w:rsid w:val="00145A2E"/>
    <w:rsid w:val="001467C5"/>
    <w:rsid w:val="001468EA"/>
    <w:rsid w:val="001501A7"/>
    <w:rsid w:val="00150C9A"/>
    <w:rsid w:val="001528F1"/>
    <w:rsid w:val="00152A17"/>
    <w:rsid w:val="00153FBB"/>
    <w:rsid w:val="001550A8"/>
    <w:rsid w:val="001552BE"/>
    <w:rsid w:val="00156FC9"/>
    <w:rsid w:val="00157F35"/>
    <w:rsid w:val="0016289D"/>
    <w:rsid w:val="001650CD"/>
    <w:rsid w:val="001666BD"/>
    <w:rsid w:val="00171F97"/>
    <w:rsid w:val="001720B0"/>
    <w:rsid w:val="00172542"/>
    <w:rsid w:val="0017294C"/>
    <w:rsid w:val="00173584"/>
    <w:rsid w:val="001746BD"/>
    <w:rsid w:val="001757B3"/>
    <w:rsid w:val="00176604"/>
    <w:rsid w:val="001807F1"/>
    <w:rsid w:val="00181102"/>
    <w:rsid w:val="0018156F"/>
    <w:rsid w:val="00181BAC"/>
    <w:rsid w:val="00181BB1"/>
    <w:rsid w:val="0018225C"/>
    <w:rsid w:val="001832E1"/>
    <w:rsid w:val="0018376A"/>
    <w:rsid w:val="001874BF"/>
    <w:rsid w:val="0019076D"/>
    <w:rsid w:val="001914CB"/>
    <w:rsid w:val="0019268E"/>
    <w:rsid w:val="00192F37"/>
    <w:rsid w:val="001948AA"/>
    <w:rsid w:val="001950D6"/>
    <w:rsid w:val="0019567C"/>
    <w:rsid w:val="00195DC6"/>
    <w:rsid w:val="00196B9F"/>
    <w:rsid w:val="001A0BF4"/>
    <w:rsid w:val="001A23BA"/>
    <w:rsid w:val="001A2ABF"/>
    <w:rsid w:val="001A305E"/>
    <w:rsid w:val="001A42BA"/>
    <w:rsid w:val="001A48C1"/>
    <w:rsid w:val="001A5BB8"/>
    <w:rsid w:val="001A7961"/>
    <w:rsid w:val="001B13ED"/>
    <w:rsid w:val="001B40C2"/>
    <w:rsid w:val="001B4422"/>
    <w:rsid w:val="001B5483"/>
    <w:rsid w:val="001B63FC"/>
    <w:rsid w:val="001B6A52"/>
    <w:rsid w:val="001C4742"/>
    <w:rsid w:val="001C6713"/>
    <w:rsid w:val="001C7B99"/>
    <w:rsid w:val="001C7D6C"/>
    <w:rsid w:val="001C7D7E"/>
    <w:rsid w:val="001C7E52"/>
    <w:rsid w:val="001D031F"/>
    <w:rsid w:val="001D0505"/>
    <w:rsid w:val="001D0DF3"/>
    <w:rsid w:val="001D107A"/>
    <w:rsid w:val="001D4A12"/>
    <w:rsid w:val="001D4B53"/>
    <w:rsid w:val="001D6FD0"/>
    <w:rsid w:val="001D72A9"/>
    <w:rsid w:val="001E0A93"/>
    <w:rsid w:val="001E0B49"/>
    <w:rsid w:val="001E1933"/>
    <w:rsid w:val="001E4BD6"/>
    <w:rsid w:val="001E7552"/>
    <w:rsid w:val="001E7E0B"/>
    <w:rsid w:val="001E7EB1"/>
    <w:rsid w:val="001F05C2"/>
    <w:rsid w:val="001F1CB3"/>
    <w:rsid w:val="001F247D"/>
    <w:rsid w:val="001F2C71"/>
    <w:rsid w:val="001F586E"/>
    <w:rsid w:val="001F64B2"/>
    <w:rsid w:val="001F6932"/>
    <w:rsid w:val="001F7F06"/>
    <w:rsid w:val="001FDBFD"/>
    <w:rsid w:val="00200B77"/>
    <w:rsid w:val="0020125B"/>
    <w:rsid w:val="00202612"/>
    <w:rsid w:val="00211BDB"/>
    <w:rsid w:val="00215AFE"/>
    <w:rsid w:val="00217121"/>
    <w:rsid w:val="00217CEC"/>
    <w:rsid w:val="00217EAB"/>
    <w:rsid w:val="00220099"/>
    <w:rsid w:val="00220ADB"/>
    <w:rsid w:val="00221E95"/>
    <w:rsid w:val="0022307D"/>
    <w:rsid w:val="0022454B"/>
    <w:rsid w:val="0022498C"/>
    <w:rsid w:val="00224B68"/>
    <w:rsid w:val="00224ECD"/>
    <w:rsid w:val="00225BB5"/>
    <w:rsid w:val="00227D54"/>
    <w:rsid w:val="002300B1"/>
    <w:rsid w:val="002301A9"/>
    <w:rsid w:val="002311E1"/>
    <w:rsid w:val="0023133C"/>
    <w:rsid w:val="00232E40"/>
    <w:rsid w:val="00234AC4"/>
    <w:rsid w:val="002376EC"/>
    <w:rsid w:val="00237BD5"/>
    <w:rsid w:val="0024239B"/>
    <w:rsid w:val="0024262F"/>
    <w:rsid w:val="00242DD5"/>
    <w:rsid w:val="00244549"/>
    <w:rsid w:val="0024490B"/>
    <w:rsid w:val="00244CC6"/>
    <w:rsid w:val="00245404"/>
    <w:rsid w:val="002457BD"/>
    <w:rsid w:val="00245A13"/>
    <w:rsid w:val="00245C01"/>
    <w:rsid w:val="002460AA"/>
    <w:rsid w:val="00250247"/>
    <w:rsid w:val="00252600"/>
    <w:rsid w:val="00253350"/>
    <w:rsid w:val="0025348A"/>
    <w:rsid w:val="00253799"/>
    <w:rsid w:val="00254823"/>
    <w:rsid w:val="00257703"/>
    <w:rsid w:val="00257754"/>
    <w:rsid w:val="002602EA"/>
    <w:rsid w:val="002611E5"/>
    <w:rsid w:val="0026274D"/>
    <w:rsid w:val="002627B9"/>
    <w:rsid w:val="002648CD"/>
    <w:rsid w:val="002657DB"/>
    <w:rsid w:val="00265F3A"/>
    <w:rsid w:val="00270AB2"/>
    <w:rsid w:val="00270F7C"/>
    <w:rsid w:val="00271443"/>
    <w:rsid w:val="002724D0"/>
    <w:rsid w:val="0027317E"/>
    <w:rsid w:val="00274453"/>
    <w:rsid w:val="002769D4"/>
    <w:rsid w:val="00282402"/>
    <w:rsid w:val="002840AF"/>
    <w:rsid w:val="00284603"/>
    <w:rsid w:val="00284669"/>
    <w:rsid w:val="00284C09"/>
    <w:rsid w:val="00284E5C"/>
    <w:rsid w:val="00286458"/>
    <w:rsid w:val="00287487"/>
    <w:rsid w:val="0028751D"/>
    <w:rsid w:val="00294074"/>
    <w:rsid w:val="002A5390"/>
    <w:rsid w:val="002A5D8A"/>
    <w:rsid w:val="002A68D4"/>
    <w:rsid w:val="002A706B"/>
    <w:rsid w:val="002A72A3"/>
    <w:rsid w:val="002A7384"/>
    <w:rsid w:val="002B157A"/>
    <w:rsid w:val="002B19E8"/>
    <w:rsid w:val="002B1CE5"/>
    <w:rsid w:val="002B1D9C"/>
    <w:rsid w:val="002B3201"/>
    <w:rsid w:val="002B5C5C"/>
    <w:rsid w:val="002B645D"/>
    <w:rsid w:val="002C0827"/>
    <w:rsid w:val="002C1FAA"/>
    <w:rsid w:val="002C2A8B"/>
    <w:rsid w:val="002D018D"/>
    <w:rsid w:val="002D0EA1"/>
    <w:rsid w:val="002D111F"/>
    <w:rsid w:val="002D12B5"/>
    <w:rsid w:val="002D167B"/>
    <w:rsid w:val="002D26CE"/>
    <w:rsid w:val="002D2B63"/>
    <w:rsid w:val="002D2DD8"/>
    <w:rsid w:val="002D6CF0"/>
    <w:rsid w:val="002E0F14"/>
    <w:rsid w:val="002E23B6"/>
    <w:rsid w:val="002E2D10"/>
    <w:rsid w:val="002E3302"/>
    <w:rsid w:val="002E362B"/>
    <w:rsid w:val="002E37AF"/>
    <w:rsid w:val="002E3A9E"/>
    <w:rsid w:val="002E55ED"/>
    <w:rsid w:val="002E7111"/>
    <w:rsid w:val="002E774B"/>
    <w:rsid w:val="002E7C46"/>
    <w:rsid w:val="002F112B"/>
    <w:rsid w:val="002F3B1B"/>
    <w:rsid w:val="002F485F"/>
    <w:rsid w:val="002F4DB3"/>
    <w:rsid w:val="002F509A"/>
    <w:rsid w:val="002F5AF6"/>
    <w:rsid w:val="00300A67"/>
    <w:rsid w:val="00301E6C"/>
    <w:rsid w:val="00302D8A"/>
    <w:rsid w:val="0030370E"/>
    <w:rsid w:val="00305A66"/>
    <w:rsid w:val="00305D8A"/>
    <w:rsid w:val="0030602C"/>
    <w:rsid w:val="00307425"/>
    <w:rsid w:val="00307E34"/>
    <w:rsid w:val="00310962"/>
    <w:rsid w:val="00311C99"/>
    <w:rsid w:val="00311EC2"/>
    <w:rsid w:val="00312639"/>
    <w:rsid w:val="00313A1F"/>
    <w:rsid w:val="00314999"/>
    <w:rsid w:val="0031508F"/>
    <w:rsid w:val="00315952"/>
    <w:rsid w:val="003176B4"/>
    <w:rsid w:val="00320175"/>
    <w:rsid w:val="00320AFE"/>
    <w:rsid w:val="00322DAB"/>
    <w:rsid w:val="00323672"/>
    <w:rsid w:val="003258F1"/>
    <w:rsid w:val="00326997"/>
    <w:rsid w:val="00330B34"/>
    <w:rsid w:val="00330C9B"/>
    <w:rsid w:val="0033135D"/>
    <w:rsid w:val="00331A6B"/>
    <w:rsid w:val="00331DB3"/>
    <w:rsid w:val="003322B6"/>
    <w:rsid w:val="00333FFD"/>
    <w:rsid w:val="0033552A"/>
    <w:rsid w:val="0033696C"/>
    <w:rsid w:val="00337D19"/>
    <w:rsid w:val="0034053C"/>
    <w:rsid w:val="003420D1"/>
    <w:rsid w:val="0034284F"/>
    <w:rsid w:val="00344A48"/>
    <w:rsid w:val="00345B2B"/>
    <w:rsid w:val="00350C0C"/>
    <w:rsid w:val="00350FFA"/>
    <w:rsid w:val="00352547"/>
    <w:rsid w:val="0035275D"/>
    <w:rsid w:val="0035319A"/>
    <w:rsid w:val="0035519A"/>
    <w:rsid w:val="00360B4E"/>
    <w:rsid w:val="003628D3"/>
    <w:rsid w:val="00364564"/>
    <w:rsid w:val="003656F4"/>
    <w:rsid w:val="00370C3E"/>
    <w:rsid w:val="003711DD"/>
    <w:rsid w:val="003754AB"/>
    <w:rsid w:val="00376119"/>
    <w:rsid w:val="00377D78"/>
    <w:rsid w:val="00382F07"/>
    <w:rsid w:val="003838EB"/>
    <w:rsid w:val="00383E05"/>
    <w:rsid w:val="0038422E"/>
    <w:rsid w:val="00384689"/>
    <w:rsid w:val="00384C06"/>
    <w:rsid w:val="00384ED9"/>
    <w:rsid w:val="003855DA"/>
    <w:rsid w:val="003902F3"/>
    <w:rsid w:val="00390581"/>
    <w:rsid w:val="00390891"/>
    <w:rsid w:val="0039340C"/>
    <w:rsid w:val="00393A6A"/>
    <w:rsid w:val="00394810"/>
    <w:rsid w:val="003A0DEC"/>
    <w:rsid w:val="003A12EE"/>
    <w:rsid w:val="003A24B8"/>
    <w:rsid w:val="003A32EE"/>
    <w:rsid w:val="003A54BC"/>
    <w:rsid w:val="003A56F2"/>
    <w:rsid w:val="003B00B7"/>
    <w:rsid w:val="003B0A2A"/>
    <w:rsid w:val="003B1BBF"/>
    <w:rsid w:val="003B2374"/>
    <w:rsid w:val="003B40C8"/>
    <w:rsid w:val="003B5F42"/>
    <w:rsid w:val="003C262A"/>
    <w:rsid w:val="003C3BAB"/>
    <w:rsid w:val="003C42D8"/>
    <w:rsid w:val="003D2529"/>
    <w:rsid w:val="003D2609"/>
    <w:rsid w:val="003D2647"/>
    <w:rsid w:val="003D2AE7"/>
    <w:rsid w:val="003D2AF0"/>
    <w:rsid w:val="003D305B"/>
    <w:rsid w:val="003D3113"/>
    <w:rsid w:val="003D4285"/>
    <w:rsid w:val="003D64B4"/>
    <w:rsid w:val="003D6D6B"/>
    <w:rsid w:val="003E29A6"/>
    <w:rsid w:val="003E2D04"/>
    <w:rsid w:val="003E32D5"/>
    <w:rsid w:val="003F2BE0"/>
    <w:rsid w:val="003F3D31"/>
    <w:rsid w:val="003F55AD"/>
    <w:rsid w:val="003F591A"/>
    <w:rsid w:val="003F611E"/>
    <w:rsid w:val="003F6280"/>
    <w:rsid w:val="003F72C3"/>
    <w:rsid w:val="00403AC0"/>
    <w:rsid w:val="00404223"/>
    <w:rsid w:val="00404A96"/>
    <w:rsid w:val="00404FC4"/>
    <w:rsid w:val="004072C7"/>
    <w:rsid w:val="00410B44"/>
    <w:rsid w:val="00414592"/>
    <w:rsid w:val="00414D4B"/>
    <w:rsid w:val="00414D67"/>
    <w:rsid w:val="00415567"/>
    <w:rsid w:val="00415C6D"/>
    <w:rsid w:val="00416672"/>
    <w:rsid w:val="0041753E"/>
    <w:rsid w:val="004202C5"/>
    <w:rsid w:val="0042171D"/>
    <w:rsid w:val="00421DF8"/>
    <w:rsid w:val="00422864"/>
    <w:rsid w:val="00422F9A"/>
    <w:rsid w:val="00423B89"/>
    <w:rsid w:val="00423C8A"/>
    <w:rsid w:val="004244BF"/>
    <w:rsid w:val="004301A4"/>
    <w:rsid w:val="004311B4"/>
    <w:rsid w:val="004339F0"/>
    <w:rsid w:val="004341F9"/>
    <w:rsid w:val="00437BCF"/>
    <w:rsid w:val="00440028"/>
    <w:rsid w:val="00441844"/>
    <w:rsid w:val="004418C8"/>
    <w:rsid w:val="004444B1"/>
    <w:rsid w:val="004448DB"/>
    <w:rsid w:val="00446BA1"/>
    <w:rsid w:val="00447780"/>
    <w:rsid w:val="004477E2"/>
    <w:rsid w:val="00447AD9"/>
    <w:rsid w:val="00451370"/>
    <w:rsid w:val="004538E8"/>
    <w:rsid w:val="00453C04"/>
    <w:rsid w:val="00455149"/>
    <w:rsid w:val="004558A2"/>
    <w:rsid w:val="00455A4B"/>
    <w:rsid w:val="00455E43"/>
    <w:rsid w:val="004603D9"/>
    <w:rsid w:val="004609AF"/>
    <w:rsid w:val="00460EEB"/>
    <w:rsid w:val="00461301"/>
    <w:rsid w:val="004629FC"/>
    <w:rsid w:val="00463F8E"/>
    <w:rsid w:val="004654E8"/>
    <w:rsid w:val="00465562"/>
    <w:rsid w:val="00466618"/>
    <w:rsid w:val="004671BA"/>
    <w:rsid w:val="00470AF0"/>
    <w:rsid w:val="004711D5"/>
    <w:rsid w:val="00472FBF"/>
    <w:rsid w:val="004775BD"/>
    <w:rsid w:val="00480F90"/>
    <w:rsid w:val="0048124E"/>
    <w:rsid w:val="004825BA"/>
    <w:rsid w:val="00482BDC"/>
    <w:rsid w:val="00483844"/>
    <w:rsid w:val="00485D9D"/>
    <w:rsid w:val="00486576"/>
    <w:rsid w:val="00487FDD"/>
    <w:rsid w:val="00492A76"/>
    <w:rsid w:val="00495AB6"/>
    <w:rsid w:val="00497053"/>
    <w:rsid w:val="00497764"/>
    <w:rsid w:val="00497ED0"/>
    <w:rsid w:val="004A1098"/>
    <w:rsid w:val="004A4724"/>
    <w:rsid w:val="004A51B7"/>
    <w:rsid w:val="004A5810"/>
    <w:rsid w:val="004A7183"/>
    <w:rsid w:val="004B2B74"/>
    <w:rsid w:val="004C0BB7"/>
    <w:rsid w:val="004C1E50"/>
    <w:rsid w:val="004C4980"/>
    <w:rsid w:val="004C4FF4"/>
    <w:rsid w:val="004C58A4"/>
    <w:rsid w:val="004C6DE5"/>
    <w:rsid w:val="004D177C"/>
    <w:rsid w:val="004D22AC"/>
    <w:rsid w:val="004D45C5"/>
    <w:rsid w:val="004D64F0"/>
    <w:rsid w:val="004E1788"/>
    <w:rsid w:val="004E214C"/>
    <w:rsid w:val="004E3EF9"/>
    <w:rsid w:val="004E41E8"/>
    <w:rsid w:val="004E4CE6"/>
    <w:rsid w:val="004F22C2"/>
    <w:rsid w:val="004F2828"/>
    <w:rsid w:val="004F39E9"/>
    <w:rsid w:val="004F5836"/>
    <w:rsid w:val="004F6881"/>
    <w:rsid w:val="00501C6E"/>
    <w:rsid w:val="00507F47"/>
    <w:rsid w:val="0051352E"/>
    <w:rsid w:val="00517525"/>
    <w:rsid w:val="00517DA7"/>
    <w:rsid w:val="005200B6"/>
    <w:rsid w:val="00520254"/>
    <w:rsid w:val="00520A33"/>
    <w:rsid w:val="00520CAE"/>
    <w:rsid w:val="005242E0"/>
    <w:rsid w:val="0052441F"/>
    <w:rsid w:val="00524FAF"/>
    <w:rsid w:val="00527732"/>
    <w:rsid w:val="00527749"/>
    <w:rsid w:val="0052797E"/>
    <w:rsid w:val="00527AE4"/>
    <w:rsid w:val="00527B6A"/>
    <w:rsid w:val="00532AE1"/>
    <w:rsid w:val="00534C71"/>
    <w:rsid w:val="00535F8B"/>
    <w:rsid w:val="00536E58"/>
    <w:rsid w:val="00540605"/>
    <w:rsid w:val="00541261"/>
    <w:rsid w:val="00543581"/>
    <w:rsid w:val="00543958"/>
    <w:rsid w:val="0054402B"/>
    <w:rsid w:val="005441D5"/>
    <w:rsid w:val="0054572C"/>
    <w:rsid w:val="00545D98"/>
    <w:rsid w:val="00546945"/>
    <w:rsid w:val="00550DEE"/>
    <w:rsid w:val="0055221D"/>
    <w:rsid w:val="0055350D"/>
    <w:rsid w:val="0055488A"/>
    <w:rsid w:val="005577EB"/>
    <w:rsid w:val="00560134"/>
    <w:rsid w:val="00561C37"/>
    <w:rsid w:val="005634DD"/>
    <w:rsid w:val="00563FDE"/>
    <w:rsid w:val="00564684"/>
    <w:rsid w:val="00564983"/>
    <w:rsid w:val="00566DD5"/>
    <w:rsid w:val="0056722A"/>
    <w:rsid w:val="00571AF4"/>
    <w:rsid w:val="00571D8A"/>
    <w:rsid w:val="00572B52"/>
    <w:rsid w:val="005759D7"/>
    <w:rsid w:val="00575CA1"/>
    <w:rsid w:val="00575D87"/>
    <w:rsid w:val="00580B2E"/>
    <w:rsid w:val="00582D30"/>
    <w:rsid w:val="005837A7"/>
    <w:rsid w:val="00584129"/>
    <w:rsid w:val="0058535E"/>
    <w:rsid w:val="00590878"/>
    <w:rsid w:val="0059260F"/>
    <w:rsid w:val="00592B00"/>
    <w:rsid w:val="00594078"/>
    <w:rsid w:val="005944B6"/>
    <w:rsid w:val="0059471E"/>
    <w:rsid w:val="00594B39"/>
    <w:rsid w:val="0059591A"/>
    <w:rsid w:val="00596385"/>
    <w:rsid w:val="00596966"/>
    <w:rsid w:val="00597384"/>
    <w:rsid w:val="005979C0"/>
    <w:rsid w:val="005A33E5"/>
    <w:rsid w:val="005A4646"/>
    <w:rsid w:val="005A581F"/>
    <w:rsid w:val="005A6314"/>
    <w:rsid w:val="005A7BB2"/>
    <w:rsid w:val="005B0B89"/>
    <w:rsid w:val="005B1033"/>
    <w:rsid w:val="005B146B"/>
    <w:rsid w:val="005B2B63"/>
    <w:rsid w:val="005B33BC"/>
    <w:rsid w:val="005C0403"/>
    <w:rsid w:val="005C2218"/>
    <w:rsid w:val="005C24FA"/>
    <w:rsid w:val="005C4D95"/>
    <w:rsid w:val="005C69D9"/>
    <w:rsid w:val="005C6AB8"/>
    <w:rsid w:val="005D0450"/>
    <w:rsid w:val="005D1396"/>
    <w:rsid w:val="005D6A69"/>
    <w:rsid w:val="005D7B3A"/>
    <w:rsid w:val="005D7CDE"/>
    <w:rsid w:val="005E02DF"/>
    <w:rsid w:val="005E0A67"/>
    <w:rsid w:val="005E2221"/>
    <w:rsid w:val="005E2FDF"/>
    <w:rsid w:val="005E43E4"/>
    <w:rsid w:val="005E5B8D"/>
    <w:rsid w:val="005E6109"/>
    <w:rsid w:val="005E6394"/>
    <w:rsid w:val="005E6406"/>
    <w:rsid w:val="005E70D3"/>
    <w:rsid w:val="005F1DEA"/>
    <w:rsid w:val="005F42CC"/>
    <w:rsid w:val="005F70DF"/>
    <w:rsid w:val="0060588A"/>
    <w:rsid w:val="006058FB"/>
    <w:rsid w:val="0061070E"/>
    <w:rsid w:val="006138EE"/>
    <w:rsid w:val="0061468A"/>
    <w:rsid w:val="006159A9"/>
    <w:rsid w:val="00622975"/>
    <w:rsid w:val="00626C08"/>
    <w:rsid w:val="0062744F"/>
    <w:rsid w:val="006277E5"/>
    <w:rsid w:val="00630DDF"/>
    <w:rsid w:val="006321A8"/>
    <w:rsid w:val="00632851"/>
    <w:rsid w:val="00633CAE"/>
    <w:rsid w:val="0063723F"/>
    <w:rsid w:val="00642D96"/>
    <w:rsid w:val="00647C34"/>
    <w:rsid w:val="00650237"/>
    <w:rsid w:val="00651991"/>
    <w:rsid w:val="00652814"/>
    <w:rsid w:val="00655571"/>
    <w:rsid w:val="00656B92"/>
    <w:rsid w:val="00660541"/>
    <w:rsid w:val="006615DA"/>
    <w:rsid w:val="0066279E"/>
    <w:rsid w:val="006637A5"/>
    <w:rsid w:val="00663BDA"/>
    <w:rsid w:val="0066564F"/>
    <w:rsid w:val="00672151"/>
    <w:rsid w:val="00675CD3"/>
    <w:rsid w:val="00677EFD"/>
    <w:rsid w:val="0068057E"/>
    <w:rsid w:val="0068134B"/>
    <w:rsid w:val="00682433"/>
    <w:rsid w:val="00684A2C"/>
    <w:rsid w:val="00684B01"/>
    <w:rsid w:val="00685DD1"/>
    <w:rsid w:val="00685FEA"/>
    <w:rsid w:val="006870D2"/>
    <w:rsid w:val="00692291"/>
    <w:rsid w:val="006923DE"/>
    <w:rsid w:val="00692B16"/>
    <w:rsid w:val="00695A81"/>
    <w:rsid w:val="00697699"/>
    <w:rsid w:val="006A1F94"/>
    <w:rsid w:val="006A508E"/>
    <w:rsid w:val="006A5AC0"/>
    <w:rsid w:val="006A6A32"/>
    <w:rsid w:val="006B0785"/>
    <w:rsid w:val="006B228E"/>
    <w:rsid w:val="006B2918"/>
    <w:rsid w:val="006B4579"/>
    <w:rsid w:val="006B653D"/>
    <w:rsid w:val="006B6BE4"/>
    <w:rsid w:val="006B7337"/>
    <w:rsid w:val="006C0A04"/>
    <w:rsid w:val="006C10DE"/>
    <w:rsid w:val="006C431A"/>
    <w:rsid w:val="006C56D8"/>
    <w:rsid w:val="006C6043"/>
    <w:rsid w:val="006C6871"/>
    <w:rsid w:val="006D0B84"/>
    <w:rsid w:val="006D20EC"/>
    <w:rsid w:val="006D232B"/>
    <w:rsid w:val="006D2AA5"/>
    <w:rsid w:val="006D327C"/>
    <w:rsid w:val="006D4D29"/>
    <w:rsid w:val="006D6279"/>
    <w:rsid w:val="006DA9AF"/>
    <w:rsid w:val="006E0C68"/>
    <w:rsid w:val="006E0ECC"/>
    <w:rsid w:val="006E2453"/>
    <w:rsid w:val="006E4A37"/>
    <w:rsid w:val="006E5D6E"/>
    <w:rsid w:val="006E6255"/>
    <w:rsid w:val="006E73F6"/>
    <w:rsid w:val="006F2CEC"/>
    <w:rsid w:val="006F45F1"/>
    <w:rsid w:val="006F492E"/>
    <w:rsid w:val="006F59D3"/>
    <w:rsid w:val="0070156C"/>
    <w:rsid w:val="00714E4C"/>
    <w:rsid w:val="00721619"/>
    <w:rsid w:val="00721B03"/>
    <w:rsid w:val="00721BD6"/>
    <w:rsid w:val="00724A83"/>
    <w:rsid w:val="007269DB"/>
    <w:rsid w:val="00730699"/>
    <w:rsid w:val="00731384"/>
    <w:rsid w:val="0073348E"/>
    <w:rsid w:val="00733DF8"/>
    <w:rsid w:val="00733EAD"/>
    <w:rsid w:val="00734EB1"/>
    <w:rsid w:val="00736CA4"/>
    <w:rsid w:val="007374CB"/>
    <w:rsid w:val="007375B7"/>
    <w:rsid w:val="0074270F"/>
    <w:rsid w:val="00746A31"/>
    <w:rsid w:val="00751C81"/>
    <w:rsid w:val="00753492"/>
    <w:rsid w:val="00753C32"/>
    <w:rsid w:val="00755714"/>
    <w:rsid w:val="00760BC1"/>
    <w:rsid w:val="007621F0"/>
    <w:rsid w:val="00764184"/>
    <w:rsid w:val="007641A8"/>
    <w:rsid w:val="00766268"/>
    <w:rsid w:val="007663CE"/>
    <w:rsid w:val="0076657A"/>
    <w:rsid w:val="0076739D"/>
    <w:rsid w:val="00773A0D"/>
    <w:rsid w:val="00773E34"/>
    <w:rsid w:val="007744BD"/>
    <w:rsid w:val="00782F4B"/>
    <w:rsid w:val="00784269"/>
    <w:rsid w:val="00784F6E"/>
    <w:rsid w:val="007853C7"/>
    <w:rsid w:val="007855CC"/>
    <w:rsid w:val="007861D2"/>
    <w:rsid w:val="00793C96"/>
    <w:rsid w:val="0079464F"/>
    <w:rsid w:val="00794CBD"/>
    <w:rsid w:val="00794E91"/>
    <w:rsid w:val="007975E5"/>
    <w:rsid w:val="00797F45"/>
    <w:rsid w:val="007A2B23"/>
    <w:rsid w:val="007A3A96"/>
    <w:rsid w:val="007A3D86"/>
    <w:rsid w:val="007A6008"/>
    <w:rsid w:val="007B1ABA"/>
    <w:rsid w:val="007B3B53"/>
    <w:rsid w:val="007B5FA8"/>
    <w:rsid w:val="007B614E"/>
    <w:rsid w:val="007B74C5"/>
    <w:rsid w:val="007C0F07"/>
    <w:rsid w:val="007C15A0"/>
    <w:rsid w:val="007C1ABA"/>
    <w:rsid w:val="007C287B"/>
    <w:rsid w:val="007C4F23"/>
    <w:rsid w:val="007C55E0"/>
    <w:rsid w:val="007C5CB0"/>
    <w:rsid w:val="007C5F6A"/>
    <w:rsid w:val="007C614F"/>
    <w:rsid w:val="007C68B2"/>
    <w:rsid w:val="007C7E3A"/>
    <w:rsid w:val="007D15FA"/>
    <w:rsid w:val="007D1932"/>
    <w:rsid w:val="007D5DC5"/>
    <w:rsid w:val="007D6949"/>
    <w:rsid w:val="007D7214"/>
    <w:rsid w:val="007E1099"/>
    <w:rsid w:val="007E1380"/>
    <w:rsid w:val="007E1517"/>
    <w:rsid w:val="007E2350"/>
    <w:rsid w:val="007E53E4"/>
    <w:rsid w:val="007E6221"/>
    <w:rsid w:val="007E7835"/>
    <w:rsid w:val="007F067E"/>
    <w:rsid w:val="007F0A87"/>
    <w:rsid w:val="007F1A65"/>
    <w:rsid w:val="007F225D"/>
    <w:rsid w:val="007F48EC"/>
    <w:rsid w:val="007F606E"/>
    <w:rsid w:val="007F7BAD"/>
    <w:rsid w:val="007F7D2C"/>
    <w:rsid w:val="008000AB"/>
    <w:rsid w:val="00800F9B"/>
    <w:rsid w:val="00804EC8"/>
    <w:rsid w:val="008061B6"/>
    <w:rsid w:val="00810227"/>
    <w:rsid w:val="00812602"/>
    <w:rsid w:val="00813C1E"/>
    <w:rsid w:val="008162B0"/>
    <w:rsid w:val="008167F9"/>
    <w:rsid w:val="0081697C"/>
    <w:rsid w:val="00820981"/>
    <w:rsid w:val="00820EC0"/>
    <w:rsid w:val="008219ED"/>
    <w:rsid w:val="00822216"/>
    <w:rsid w:val="00822406"/>
    <w:rsid w:val="00822B19"/>
    <w:rsid w:val="0082385B"/>
    <w:rsid w:val="008278D0"/>
    <w:rsid w:val="00827AB9"/>
    <w:rsid w:val="00830A38"/>
    <w:rsid w:val="00833E8B"/>
    <w:rsid w:val="0083479B"/>
    <w:rsid w:val="00834B94"/>
    <w:rsid w:val="008363EF"/>
    <w:rsid w:val="00836EA3"/>
    <w:rsid w:val="008457F8"/>
    <w:rsid w:val="00846094"/>
    <w:rsid w:val="00846C95"/>
    <w:rsid w:val="00846D0B"/>
    <w:rsid w:val="00846F6C"/>
    <w:rsid w:val="00847D02"/>
    <w:rsid w:val="008507C1"/>
    <w:rsid w:val="00850B4E"/>
    <w:rsid w:val="008527E9"/>
    <w:rsid w:val="00854066"/>
    <w:rsid w:val="00855C2A"/>
    <w:rsid w:val="00855F1E"/>
    <w:rsid w:val="008562BD"/>
    <w:rsid w:val="00861934"/>
    <w:rsid w:val="00861CFF"/>
    <w:rsid w:val="00863C1A"/>
    <w:rsid w:val="008641BB"/>
    <w:rsid w:val="008668A5"/>
    <w:rsid w:val="00874DA9"/>
    <w:rsid w:val="00875AF2"/>
    <w:rsid w:val="00877D80"/>
    <w:rsid w:val="00880E58"/>
    <w:rsid w:val="00881700"/>
    <w:rsid w:val="008818D3"/>
    <w:rsid w:val="00882FB6"/>
    <w:rsid w:val="0088645F"/>
    <w:rsid w:val="00887645"/>
    <w:rsid w:val="00891083"/>
    <w:rsid w:val="008935D6"/>
    <w:rsid w:val="00894412"/>
    <w:rsid w:val="00895919"/>
    <w:rsid w:val="00897114"/>
    <w:rsid w:val="008A20B6"/>
    <w:rsid w:val="008A4614"/>
    <w:rsid w:val="008A56F1"/>
    <w:rsid w:val="008A78BF"/>
    <w:rsid w:val="008B25F9"/>
    <w:rsid w:val="008B3545"/>
    <w:rsid w:val="008B3F47"/>
    <w:rsid w:val="008B6807"/>
    <w:rsid w:val="008C3B20"/>
    <w:rsid w:val="008C4698"/>
    <w:rsid w:val="008C4B75"/>
    <w:rsid w:val="008C683F"/>
    <w:rsid w:val="008C712E"/>
    <w:rsid w:val="008D0776"/>
    <w:rsid w:val="008D36D3"/>
    <w:rsid w:val="008E2364"/>
    <w:rsid w:val="008E264C"/>
    <w:rsid w:val="008E2854"/>
    <w:rsid w:val="008E44C6"/>
    <w:rsid w:val="008E47C9"/>
    <w:rsid w:val="008E4C90"/>
    <w:rsid w:val="008E4CAB"/>
    <w:rsid w:val="008E5A17"/>
    <w:rsid w:val="008E5E64"/>
    <w:rsid w:val="008F0AC9"/>
    <w:rsid w:val="008F1C7F"/>
    <w:rsid w:val="008F235B"/>
    <w:rsid w:val="008F2495"/>
    <w:rsid w:val="008F2E07"/>
    <w:rsid w:val="008F30C3"/>
    <w:rsid w:val="008F4674"/>
    <w:rsid w:val="008F7855"/>
    <w:rsid w:val="008F7F4B"/>
    <w:rsid w:val="009016AA"/>
    <w:rsid w:val="0090251E"/>
    <w:rsid w:val="00902DD1"/>
    <w:rsid w:val="00904947"/>
    <w:rsid w:val="00904E3A"/>
    <w:rsid w:val="00906A5A"/>
    <w:rsid w:val="0090725C"/>
    <w:rsid w:val="00907B98"/>
    <w:rsid w:val="009102D3"/>
    <w:rsid w:val="00912150"/>
    <w:rsid w:val="0091239B"/>
    <w:rsid w:val="00912C40"/>
    <w:rsid w:val="00913F3F"/>
    <w:rsid w:val="00914CA7"/>
    <w:rsid w:val="00915FDA"/>
    <w:rsid w:val="00916CEF"/>
    <w:rsid w:val="00920088"/>
    <w:rsid w:val="009210F1"/>
    <w:rsid w:val="0092177F"/>
    <w:rsid w:val="00921B30"/>
    <w:rsid w:val="00925057"/>
    <w:rsid w:val="00926407"/>
    <w:rsid w:val="00930CDA"/>
    <w:rsid w:val="00931BB6"/>
    <w:rsid w:val="00933DF4"/>
    <w:rsid w:val="0093473D"/>
    <w:rsid w:val="00935E23"/>
    <w:rsid w:val="00935E56"/>
    <w:rsid w:val="0093684F"/>
    <w:rsid w:val="0093743C"/>
    <w:rsid w:val="009402D1"/>
    <w:rsid w:val="009407FE"/>
    <w:rsid w:val="00942585"/>
    <w:rsid w:val="009433C7"/>
    <w:rsid w:val="00944F1A"/>
    <w:rsid w:val="00945776"/>
    <w:rsid w:val="00947BC4"/>
    <w:rsid w:val="0095101C"/>
    <w:rsid w:val="00951483"/>
    <w:rsid w:val="00951FA9"/>
    <w:rsid w:val="00953A52"/>
    <w:rsid w:val="00954747"/>
    <w:rsid w:val="0095636C"/>
    <w:rsid w:val="0095729B"/>
    <w:rsid w:val="00957B38"/>
    <w:rsid w:val="00957F46"/>
    <w:rsid w:val="00960081"/>
    <w:rsid w:val="009609C5"/>
    <w:rsid w:val="00962944"/>
    <w:rsid w:val="0096373C"/>
    <w:rsid w:val="0096410B"/>
    <w:rsid w:val="0096458B"/>
    <w:rsid w:val="009718B0"/>
    <w:rsid w:val="00971B69"/>
    <w:rsid w:val="00972900"/>
    <w:rsid w:val="00972F57"/>
    <w:rsid w:val="009745DC"/>
    <w:rsid w:val="0097569E"/>
    <w:rsid w:val="0097749B"/>
    <w:rsid w:val="009833FF"/>
    <w:rsid w:val="00983ECE"/>
    <w:rsid w:val="009864B4"/>
    <w:rsid w:val="009919B5"/>
    <w:rsid w:val="00991CB4"/>
    <w:rsid w:val="00992B23"/>
    <w:rsid w:val="00992EE8"/>
    <w:rsid w:val="009941AA"/>
    <w:rsid w:val="00995280"/>
    <w:rsid w:val="00995475"/>
    <w:rsid w:val="00997F1A"/>
    <w:rsid w:val="009A0E7D"/>
    <w:rsid w:val="009A19EC"/>
    <w:rsid w:val="009A48AF"/>
    <w:rsid w:val="009A6E05"/>
    <w:rsid w:val="009B0005"/>
    <w:rsid w:val="009B21FB"/>
    <w:rsid w:val="009B247F"/>
    <w:rsid w:val="009B24F5"/>
    <w:rsid w:val="009B2FFE"/>
    <w:rsid w:val="009B3106"/>
    <w:rsid w:val="009B4A77"/>
    <w:rsid w:val="009B6136"/>
    <w:rsid w:val="009B61A2"/>
    <w:rsid w:val="009B7ACF"/>
    <w:rsid w:val="009D090D"/>
    <w:rsid w:val="009D145D"/>
    <w:rsid w:val="009D22BD"/>
    <w:rsid w:val="009D54BD"/>
    <w:rsid w:val="009D66B6"/>
    <w:rsid w:val="009E1242"/>
    <w:rsid w:val="009E5330"/>
    <w:rsid w:val="009E5C86"/>
    <w:rsid w:val="009E6B50"/>
    <w:rsid w:val="009F3EDB"/>
    <w:rsid w:val="009F571D"/>
    <w:rsid w:val="009F798A"/>
    <w:rsid w:val="00A0177A"/>
    <w:rsid w:val="00A018B3"/>
    <w:rsid w:val="00A10CBF"/>
    <w:rsid w:val="00A11004"/>
    <w:rsid w:val="00A12BE1"/>
    <w:rsid w:val="00A133DD"/>
    <w:rsid w:val="00A144AF"/>
    <w:rsid w:val="00A153C4"/>
    <w:rsid w:val="00A17974"/>
    <w:rsid w:val="00A21376"/>
    <w:rsid w:val="00A22236"/>
    <w:rsid w:val="00A22849"/>
    <w:rsid w:val="00A24E6E"/>
    <w:rsid w:val="00A25729"/>
    <w:rsid w:val="00A268D7"/>
    <w:rsid w:val="00A2712D"/>
    <w:rsid w:val="00A30CCF"/>
    <w:rsid w:val="00A319D3"/>
    <w:rsid w:val="00A32F47"/>
    <w:rsid w:val="00A35D65"/>
    <w:rsid w:val="00A42B71"/>
    <w:rsid w:val="00A4342F"/>
    <w:rsid w:val="00A43694"/>
    <w:rsid w:val="00A43E85"/>
    <w:rsid w:val="00A44971"/>
    <w:rsid w:val="00A47444"/>
    <w:rsid w:val="00A50093"/>
    <w:rsid w:val="00A525C0"/>
    <w:rsid w:val="00A56B34"/>
    <w:rsid w:val="00A56FC7"/>
    <w:rsid w:val="00A60E0F"/>
    <w:rsid w:val="00A615B5"/>
    <w:rsid w:val="00A61BEE"/>
    <w:rsid w:val="00A634E7"/>
    <w:rsid w:val="00A63A5B"/>
    <w:rsid w:val="00A63E5A"/>
    <w:rsid w:val="00A64292"/>
    <w:rsid w:val="00A67ABE"/>
    <w:rsid w:val="00A67AEF"/>
    <w:rsid w:val="00A716BD"/>
    <w:rsid w:val="00A71DF6"/>
    <w:rsid w:val="00A72575"/>
    <w:rsid w:val="00A72942"/>
    <w:rsid w:val="00A73BA1"/>
    <w:rsid w:val="00A73D2D"/>
    <w:rsid w:val="00A73F20"/>
    <w:rsid w:val="00A74071"/>
    <w:rsid w:val="00A7554D"/>
    <w:rsid w:val="00A75900"/>
    <w:rsid w:val="00A80D76"/>
    <w:rsid w:val="00A812F6"/>
    <w:rsid w:val="00A81A1E"/>
    <w:rsid w:val="00A83CA2"/>
    <w:rsid w:val="00A842D9"/>
    <w:rsid w:val="00A850F5"/>
    <w:rsid w:val="00A869C1"/>
    <w:rsid w:val="00A94230"/>
    <w:rsid w:val="00A95985"/>
    <w:rsid w:val="00A97395"/>
    <w:rsid w:val="00AA0699"/>
    <w:rsid w:val="00AA124A"/>
    <w:rsid w:val="00AA1F87"/>
    <w:rsid w:val="00AA2A96"/>
    <w:rsid w:val="00AA4E8C"/>
    <w:rsid w:val="00AA585C"/>
    <w:rsid w:val="00AA7133"/>
    <w:rsid w:val="00AB0393"/>
    <w:rsid w:val="00AB3265"/>
    <w:rsid w:val="00AB3F13"/>
    <w:rsid w:val="00AB3F55"/>
    <w:rsid w:val="00AB4517"/>
    <w:rsid w:val="00AB5A5F"/>
    <w:rsid w:val="00AB60FF"/>
    <w:rsid w:val="00AB773B"/>
    <w:rsid w:val="00AB77C7"/>
    <w:rsid w:val="00AC0D4A"/>
    <w:rsid w:val="00AC131A"/>
    <w:rsid w:val="00AC18BF"/>
    <w:rsid w:val="00AC1B93"/>
    <w:rsid w:val="00AC1E35"/>
    <w:rsid w:val="00AC1ECA"/>
    <w:rsid w:val="00AC28AB"/>
    <w:rsid w:val="00AC3367"/>
    <w:rsid w:val="00AC36FD"/>
    <w:rsid w:val="00AC6986"/>
    <w:rsid w:val="00AC714B"/>
    <w:rsid w:val="00AD1714"/>
    <w:rsid w:val="00AD2F62"/>
    <w:rsid w:val="00AD43D5"/>
    <w:rsid w:val="00AD5B73"/>
    <w:rsid w:val="00AD5EDA"/>
    <w:rsid w:val="00AD7E6E"/>
    <w:rsid w:val="00AE11B8"/>
    <w:rsid w:val="00AE193A"/>
    <w:rsid w:val="00AE1961"/>
    <w:rsid w:val="00AE5634"/>
    <w:rsid w:val="00AE63CA"/>
    <w:rsid w:val="00AF056A"/>
    <w:rsid w:val="00AF45F0"/>
    <w:rsid w:val="00B019FB"/>
    <w:rsid w:val="00B01E6D"/>
    <w:rsid w:val="00B023D4"/>
    <w:rsid w:val="00B06D63"/>
    <w:rsid w:val="00B0734C"/>
    <w:rsid w:val="00B100CC"/>
    <w:rsid w:val="00B10B10"/>
    <w:rsid w:val="00B12353"/>
    <w:rsid w:val="00B126A1"/>
    <w:rsid w:val="00B1322C"/>
    <w:rsid w:val="00B1431B"/>
    <w:rsid w:val="00B14B2B"/>
    <w:rsid w:val="00B16826"/>
    <w:rsid w:val="00B200FA"/>
    <w:rsid w:val="00B22213"/>
    <w:rsid w:val="00B3013F"/>
    <w:rsid w:val="00B3081A"/>
    <w:rsid w:val="00B31501"/>
    <w:rsid w:val="00B31607"/>
    <w:rsid w:val="00B31E2C"/>
    <w:rsid w:val="00B32280"/>
    <w:rsid w:val="00B33A52"/>
    <w:rsid w:val="00B3439A"/>
    <w:rsid w:val="00B34484"/>
    <w:rsid w:val="00B34AAB"/>
    <w:rsid w:val="00B34C2F"/>
    <w:rsid w:val="00B35F1E"/>
    <w:rsid w:val="00B41077"/>
    <w:rsid w:val="00B42D56"/>
    <w:rsid w:val="00B448F1"/>
    <w:rsid w:val="00B44A97"/>
    <w:rsid w:val="00B45FF7"/>
    <w:rsid w:val="00B46063"/>
    <w:rsid w:val="00B46FEE"/>
    <w:rsid w:val="00B474AE"/>
    <w:rsid w:val="00B543B4"/>
    <w:rsid w:val="00B56B8F"/>
    <w:rsid w:val="00B6171B"/>
    <w:rsid w:val="00B6521F"/>
    <w:rsid w:val="00B66398"/>
    <w:rsid w:val="00B6689D"/>
    <w:rsid w:val="00B70042"/>
    <w:rsid w:val="00B72368"/>
    <w:rsid w:val="00B73A35"/>
    <w:rsid w:val="00B747FB"/>
    <w:rsid w:val="00B75752"/>
    <w:rsid w:val="00B7748D"/>
    <w:rsid w:val="00B80470"/>
    <w:rsid w:val="00B8084B"/>
    <w:rsid w:val="00B82B8F"/>
    <w:rsid w:val="00B84504"/>
    <w:rsid w:val="00B87318"/>
    <w:rsid w:val="00B91F4F"/>
    <w:rsid w:val="00B93C07"/>
    <w:rsid w:val="00B93FF9"/>
    <w:rsid w:val="00B9494D"/>
    <w:rsid w:val="00B9641E"/>
    <w:rsid w:val="00B96DC1"/>
    <w:rsid w:val="00BA4196"/>
    <w:rsid w:val="00BA7534"/>
    <w:rsid w:val="00BB08AB"/>
    <w:rsid w:val="00BB5052"/>
    <w:rsid w:val="00BB6568"/>
    <w:rsid w:val="00BB65D2"/>
    <w:rsid w:val="00BB664A"/>
    <w:rsid w:val="00BB6F59"/>
    <w:rsid w:val="00BC0E23"/>
    <w:rsid w:val="00BC1718"/>
    <w:rsid w:val="00BC296F"/>
    <w:rsid w:val="00BC347F"/>
    <w:rsid w:val="00BC666B"/>
    <w:rsid w:val="00BD0763"/>
    <w:rsid w:val="00BD0BC7"/>
    <w:rsid w:val="00BD11A7"/>
    <w:rsid w:val="00BD1945"/>
    <w:rsid w:val="00BD198F"/>
    <w:rsid w:val="00BD22B4"/>
    <w:rsid w:val="00BD242C"/>
    <w:rsid w:val="00BD29F7"/>
    <w:rsid w:val="00BD3A8B"/>
    <w:rsid w:val="00BD50F1"/>
    <w:rsid w:val="00BD576D"/>
    <w:rsid w:val="00BE3951"/>
    <w:rsid w:val="00BE655F"/>
    <w:rsid w:val="00BE737E"/>
    <w:rsid w:val="00BE7A18"/>
    <w:rsid w:val="00BF0D30"/>
    <w:rsid w:val="00BF1FAE"/>
    <w:rsid w:val="00BF2511"/>
    <w:rsid w:val="00BF29FD"/>
    <w:rsid w:val="00BF333D"/>
    <w:rsid w:val="00BF77E1"/>
    <w:rsid w:val="00C02420"/>
    <w:rsid w:val="00C03401"/>
    <w:rsid w:val="00C035EF"/>
    <w:rsid w:val="00C045ED"/>
    <w:rsid w:val="00C05A9B"/>
    <w:rsid w:val="00C0632B"/>
    <w:rsid w:val="00C0657C"/>
    <w:rsid w:val="00C0694D"/>
    <w:rsid w:val="00C079BD"/>
    <w:rsid w:val="00C1188C"/>
    <w:rsid w:val="00C11D79"/>
    <w:rsid w:val="00C127BE"/>
    <w:rsid w:val="00C13FD0"/>
    <w:rsid w:val="00C14374"/>
    <w:rsid w:val="00C179DC"/>
    <w:rsid w:val="00C20230"/>
    <w:rsid w:val="00C20CDA"/>
    <w:rsid w:val="00C23B7D"/>
    <w:rsid w:val="00C24EAA"/>
    <w:rsid w:val="00C3029A"/>
    <w:rsid w:val="00C307BE"/>
    <w:rsid w:val="00C319E4"/>
    <w:rsid w:val="00C335A1"/>
    <w:rsid w:val="00C33AA9"/>
    <w:rsid w:val="00C34DAE"/>
    <w:rsid w:val="00C3541B"/>
    <w:rsid w:val="00C354C6"/>
    <w:rsid w:val="00C35ECC"/>
    <w:rsid w:val="00C37263"/>
    <w:rsid w:val="00C4056F"/>
    <w:rsid w:val="00C4134E"/>
    <w:rsid w:val="00C4239C"/>
    <w:rsid w:val="00C44973"/>
    <w:rsid w:val="00C4636C"/>
    <w:rsid w:val="00C47639"/>
    <w:rsid w:val="00C500A3"/>
    <w:rsid w:val="00C51067"/>
    <w:rsid w:val="00C519E8"/>
    <w:rsid w:val="00C51DA6"/>
    <w:rsid w:val="00C530C9"/>
    <w:rsid w:val="00C54D58"/>
    <w:rsid w:val="00C54FEA"/>
    <w:rsid w:val="00C5704D"/>
    <w:rsid w:val="00C573E1"/>
    <w:rsid w:val="00C57E59"/>
    <w:rsid w:val="00C60D59"/>
    <w:rsid w:val="00C63213"/>
    <w:rsid w:val="00C64A3A"/>
    <w:rsid w:val="00C66349"/>
    <w:rsid w:val="00C70770"/>
    <w:rsid w:val="00C741F9"/>
    <w:rsid w:val="00C76AA5"/>
    <w:rsid w:val="00C772AC"/>
    <w:rsid w:val="00C7785F"/>
    <w:rsid w:val="00C8123B"/>
    <w:rsid w:val="00C8131F"/>
    <w:rsid w:val="00C81F03"/>
    <w:rsid w:val="00C82DE7"/>
    <w:rsid w:val="00C839EC"/>
    <w:rsid w:val="00C83FE3"/>
    <w:rsid w:val="00C844EB"/>
    <w:rsid w:val="00C8585C"/>
    <w:rsid w:val="00C90478"/>
    <w:rsid w:val="00C9438C"/>
    <w:rsid w:val="00C94B69"/>
    <w:rsid w:val="00C95DF6"/>
    <w:rsid w:val="00C96EDC"/>
    <w:rsid w:val="00CA4CE7"/>
    <w:rsid w:val="00CA5A88"/>
    <w:rsid w:val="00CB211E"/>
    <w:rsid w:val="00CB2AC2"/>
    <w:rsid w:val="00CB52E3"/>
    <w:rsid w:val="00CC0985"/>
    <w:rsid w:val="00CD1DF2"/>
    <w:rsid w:val="00CD2ADC"/>
    <w:rsid w:val="00CD422F"/>
    <w:rsid w:val="00CD53C9"/>
    <w:rsid w:val="00CD68D8"/>
    <w:rsid w:val="00CD77EB"/>
    <w:rsid w:val="00CD787C"/>
    <w:rsid w:val="00CE0E99"/>
    <w:rsid w:val="00CE15EF"/>
    <w:rsid w:val="00CE2CA5"/>
    <w:rsid w:val="00CE720B"/>
    <w:rsid w:val="00CF1C6C"/>
    <w:rsid w:val="00CF3A7F"/>
    <w:rsid w:val="00CF52EB"/>
    <w:rsid w:val="00CF6EC1"/>
    <w:rsid w:val="00CF7BF9"/>
    <w:rsid w:val="00D0154F"/>
    <w:rsid w:val="00D0292A"/>
    <w:rsid w:val="00D03023"/>
    <w:rsid w:val="00D04940"/>
    <w:rsid w:val="00D05A69"/>
    <w:rsid w:val="00D063FC"/>
    <w:rsid w:val="00D07589"/>
    <w:rsid w:val="00D10EE4"/>
    <w:rsid w:val="00D13BC4"/>
    <w:rsid w:val="00D1525D"/>
    <w:rsid w:val="00D16FA8"/>
    <w:rsid w:val="00D175D3"/>
    <w:rsid w:val="00D1779E"/>
    <w:rsid w:val="00D22624"/>
    <w:rsid w:val="00D23254"/>
    <w:rsid w:val="00D258CF"/>
    <w:rsid w:val="00D27BE3"/>
    <w:rsid w:val="00D3256D"/>
    <w:rsid w:val="00D36B04"/>
    <w:rsid w:val="00D4061F"/>
    <w:rsid w:val="00D41E94"/>
    <w:rsid w:val="00D41EBF"/>
    <w:rsid w:val="00D4271A"/>
    <w:rsid w:val="00D440D1"/>
    <w:rsid w:val="00D451C3"/>
    <w:rsid w:val="00D45318"/>
    <w:rsid w:val="00D45BFD"/>
    <w:rsid w:val="00D4711A"/>
    <w:rsid w:val="00D51389"/>
    <w:rsid w:val="00D5162B"/>
    <w:rsid w:val="00D51FA7"/>
    <w:rsid w:val="00D52779"/>
    <w:rsid w:val="00D52C1A"/>
    <w:rsid w:val="00D56C36"/>
    <w:rsid w:val="00D571D6"/>
    <w:rsid w:val="00D622D1"/>
    <w:rsid w:val="00D64A14"/>
    <w:rsid w:val="00D67B0D"/>
    <w:rsid w:val="00D7001C"/>
    <w:rsid w:val="00D70FA6"/>
    <w:rsid w:val="00D767B9"/>
    <w:rsid w:val="00D769C3"/>
    <w:rsid w:val="00D80107"/>
    <w:rsid w:val="00D805AF"/>
    <w:rsid w:val="00D80789"/>
    <w:rsid w:val="00D8652F"/>
    <w:rsid w:val="00D87584"/>
    <w:rsid w:val="00D87BDB"/>
    <w:rsid w:val="00D91932"/>
    <w:rsid w:val="00D93ADB"/>
    <w:rsid w:val="00D950F5"/>
    <w:rsid w:val="00D95698"/>
    <w:rsid w:val="00D95826"/>
    <w:rsid w:val="00D96F22"/>
    <w:rsid w:val="00D970A4"/>
    <w:rsid w:val="00DA02A9"/>
    <w:rsid w:val="00DA050D"/>
    <w:rsid w:val="00DA1379"/>
    <w:rsid w:val="00DA1B7B"/>
    <w:rsid w:val="00DA593B"/>
    <w:rsid w:val="00DB0256"/>
    <w:rsid w:val="00DB0B3F"/>
    <w:rsid w:val="00DB14BE"/>
    <w:rsid w:val="00DB295B"/>
    <w:rsid w:val="00DB3D95"/>
    <w:rsid w:val="00DB4651"/>
    <w:rsid w:val="00DB6528"/>
    <w:rsid w:val="00DB79DF"/>
    <w:rsid w:val="00DC1B3C"/>
    <w:rsid w:val="00DC2F6B"/>
    <w:rsid w:val="00DC5C6A"/>
    <w:rsid w:val="00DC7523"/>
    <w:rsid w:val="00DD0DF9"/>
    <w:rsid w:val="00DD205D"/>
    <w:rsid w:val="00DD28F4"/>
    <w:rsid w:val="00DD44BF"/>
    <w:rsid w:val="00DD46EC"/>
    <w:rsid w:val="00DD47E1"/>
    <w:rsid w:val="00DD499C"/>
    <w:rsid w:val="00DD4B57"/>
    <w:rsid w:val="00DD5705"/>
    <w:rsid w:val="00DD684E"/>
    <w:rsid w:val="00DE0429"/>
    <w:rsid w:val="00DE2468"/>
    <w:rsid w:val="00DE4697"/>
    <w:rsid w:val="00DE49F9"/>
    <w:rsid w:val="00DE4F44"/>
    <w:rsid w:val="00DE5BEF"/>
    <w:rsid w:val="00DE606C"/>
    <w:rsid w:val="00DE79A7"/>
    <w:rsid w:val="00DF103A"/>
    <w:rsid w:val="00DF153F"/>
    <w:rsid w:val="00DF162C"/>
    <w:rsid w:val="00DF2492"/>
    <w:rsid w:val="00DF4614"/>
    <w:rsid w:val="00DF78F5"/>
    <w:rsid w:val="00DF7EE5"/>
    <w:rsid w:val="00E03097"/>
    <w:rsid w:val="00E03456"/>
    <w:rsid w:val="00E03670"/>
    <w:rsid w:val="00E06232"/>
    <w:rsid w:val="00E07B3D"/>
    <w:rsid w:val="00E10D11"/>
    <w:rsid w:val="00E1362A"/>
    <w:rsid w:val="00E16533"/>
    <w:rsid w:val="00E201AA"/>
    <w:rsid w:val="00E202B5"/>
    <w:rsid w:val="00E20709"/>
    <w:rsid w:val="00E23E0B"/>
    <w:rsid w:val="00E252ED"/>
    <w:rsid w:val="00E25A5F"/>
    <w:rsid w:val="00E318F2"/>
    <w:rsid w:val="00E3288E"/>
    <w:rsid w:val="00E32D51"/>
    <w:rsid w:val="00E3311D"/>
    <w:rsid w:val="00E33D68"/>
    <w:rsid w:val="00E345C5"/>
    <w:rsid w:val="00E35E3E"/>
    <w:rsid w:val="00E372CF"/>
    <w:rsid w:val="00E426A5"/>
    <w:rsid w:val="00E42BAB"/>
    <w:rsid w:val="00E43155"/>
    <w:rsid w:val="00E45A4B"/>
    <w:rsid w:val="00E45E76"/>
    <w:rsid w:val="00E500CF"/>
    <w:rsid w:val="00E50524"/>
    <w:rsid w:val="00E50F8A"/>
    <w:rsid w:val="00E552E8"/>
    <w:rsid w:val="00E56825"/>
    <w:rsid w:val="00E57327"/>
    <w:rsid w:val="00E60EF7"/>
    <w:rsid w:val="00E61F6F"/>
    <w:rsid w:val="00E63685"/>
    <w:rsid w:val="00E639E9"/>
    <w:rsid w:val="00E657E4"/>
    <w:rsid w:val="00E66256"/>
    <w:rsid w:val="00E667DA"/>
    <w:rsid w:val="00E70286"/>
    <w:rsid w:val="00E7095C"/>
    <w:rsid w:val="00E71CBE"/>
    <w:rsid w:val="00E72A04"/>
    <w:rsid w:val="00E72F8C"/>
    <w:rsid w:val="00E733C7"/>
    <w:rsid w:val="00E74633"/>
    <w:rsid w:val="00E7730F"/>
    <w:rsid w:val="00E80816"/>
    <w:rsid w:val="00E83D74"/>
    <w:rsid w:val="00E84171"/>
    <w:rsid w:val="00E854F2"/>
    <w:rsid w:val="00E85558"/>
    <w:rsid w:val="00E8562D"/>
    <w:rsid w:val="00E861FB"/>
    <w:rsid w:val="00E866AC"/>
    <w:rsid w:val="00E87BC6"/>
    <w:rsid w:val="00E90EFA"/>
    <w:rsid w:val="00E935F6"/>
    <w:rsid w:val="00E943CA"/>
    <w:rsid w:val="00E96065"/>
    <w:rsid w:val="00EA32F7"/>
    <w:rsid w:val="00EA4B8F"/>
    <w:rsid w:val="00EA5965"/>
    <w:rsid w:val="00EA67FC"/>
    <w:rsid w:val="00EB1ADB"/>
    <w:rsid w:val="00EB267B"/>
    <w:rsid w:val="00EB2942"/>
    <w:rsid w:val="00EB40B2"/>
    <w:rsid w:val="00EC1E2C"/>
    <w:rsid w:val="00EC2B8C"/>
    <w:rsid w:val="00EC310C"/>
    <w:rsid w:val="00EC3468"/>
    <w:rsid w:val="00EC470A"/>
    <w:rsid w:val="00EC47BB"/>
    <w:rsid w:val="00EC49B8"/>
    <w:rsid w:val="00EC6EBB"/>
    <w:rsid w:val="00ED07E7"/>
    <w:rsid w:val="00ED3309"/>
    <w:rsid w:val="00ED34DE"/>
    <w:rsid w:val="00ED36AF"/>
    <w:rsid w:val="00ED42F8"/>
    <w:rsid w:val="00ED6A6D"/>
    <w:rsid w:val="00ED7B6F"/>
    <w:rsid w:val="00EE2505"/>
    <w:rsid w:val="00EE25E2"/>
    <w:rsid w:val="00EE2A3F"/>
    <w:rsid w:val="00EE2EDD"/>
    <w:rsid w:val="00EE49A0"/>
    <w:rsid w:val="00EF00B8"/>
    <w:rsid w:val="00EF2D38"/>
    <w:rsid w:val="00EF5061"/>
    <w:rsid w:val="00EF5404"/>
    <w:rsid w:val="00EF5E5E"/>
    <w:rsid w:val="00EF6CA6"/>
    <w:rsid w:val="00F01C4A"/>
    <w:rsid w:val="00F02971"/>
    <w:rsid w:val="00F069CA"/>
    <w:rsid w:val="00F10612"/>
    <w:rsid w:val="00F1135F"/>
    <w:rsid w:val="00F13695"/>
    <w:rsid w:val="00F1374E"/>
    <w:rsid w:val="00F13C64"/>
    <w:rsid w:val="00F142CA"/>
    <w:rsid w:val="00F14B49"/>
    <w:rsid w:val="00F150C4"/>
    <w:rsid w:val="00F1514D"/>
    <w:rsid w:val="00F160BB"/>
    <w:rsid w:val="00F1617F"/>
    <w:rsid w:val="00F21DE9"/>
    <w:rsid w:val="00F230CD"/>
    <w:rsid w:val="00F2347E"/>
    <w:rsid w:val="00F23610"/>
    <w:rsid w:val="00F23BEF"/>
    <w:rsid w:val="00F31200"/>
    <w:rsid w:val="00F31A56"/>
    <w:rsid w:val="00F3458B"/>
    <w:rsid w:val="00F42BFE"/>
    <w:rsid w:val="00F45C46"/>
    <w:rsid w:val="00F46D2A"/>
    <w:rsid w:val="00F4753A"/>
    <w:rsid w:val="00F47586"/>
    <w:rsid w:val="00F51C18"/>
    <w:rsid w:val="00F537AB"/>
    <w:rsid w:val="00F539E9"/>
    <w:rsid w:val="00F5719A"/>
    <w:rsid w:val="00F572E5"/>
    <w:rsid w:val="00F576E4"/>
    <w:rsid w:val="00F60235"/>
    <w:rsid w:val="00F60490"/>
    <w:rsid w:val="00F6053B"/>
    <w:rsid w:val="00F617FC"/>
    <w:rsid w:val="00F6275E"/>
    <w:rsid w:val="00F64466"/>
    <w:rsid w:val="00F7096D"/>
    <w:rsid w:val="00F71E78"/>
    <w:rsid w:val="00F729C6"/>
    <w:rsid w:val="00F7370F"/>
    <w:rsid w:val="00F777D3"/>
    <w:rsid w:val="00F8406E"/>
    <w:rsid w:val="00F84965"/>
    <w:rsid w:val="00F849C4"/>
    <w:rsid w:val="00F84ED4"/>
    <w:rsid w:val="00F9163F"/>
    <w:rsid w:val="00F91C43"/>
    <w:rsid w:val="00F928CA"/>
    <w:rsid w:val="00F929F1"/>
    <w:rsid w:val="00F95F83"/>
    <w:rsid w:val="00F9782A"/>
    <w:rsid w:val="00FA1071"/>
    <w:rsid w:val="00FA1A41"/>
    <w:rsid w:val="00FA1E7C"/>
    <w:rsid w:val="00FA31E2"/>
    <w:rsid w:val="00FA40CA"/>
    <w:rsid w:val="00FB113B"/>
    <w:rsid w:val="00FB2E9B"/>
    <w:rsid w:val="00FB3A73"/>
    <w:rsid w:val="00FB4773"/>
    <w:rsid w:val="00FB7287"/>
    <w:rsid w:val="00FC4F22"/>
    <w:rsid w:val="00FC6D4B"/>
    <w:rsid w:val="00FD2030"/>
    <w:rsid w:val="00FD4845"/>
    <w:rsid w:val="00FD4B59"/>
    <w:rsid w:val="00FD52C1"/>
    <w:rsid w:val="00FD534D"/>
    <w:rsid w:val="00FE0923"/>
    <w:rsid w:val="00FE2369"/>
    <w:rsid w:val="00FE2881"/>
    <w:rsid w:val="00FE31D4"/>
    <w:rsid w:val="00FE34EF"/>
    <w:rsid w:val="00FE3F11"/>
    <w:rsid w:val="00FE42D3"/>
    <w:rsid w:val="00FF1F8C"/>
    <w:rsid w:val="00FF3961"/>
    <w:rsid w:val="00FF58FD"/>
    <w:rsid w:val="00FF5B70"/>
    <w:rsid w:val="00FF5BB9"/>
    <w:rsid w:val="00FF61BE"/>
    <w:rsid w:val="00FF68FB"/>
    <w:rsid w:val="00FF6D41"/>
    <w:rsid w:val="00FF7AB1"/>
    <w:rsid w:val="00FF7EE1"/>
    <w:rsid w:val="021EDC43"/>
    <w:rsid w:val="03C84C4F"/>
    <w:rsid w:val="044896E5"/>
    <w:rsid w:val="0532A2C5"/>
    <w:rsid w:val="055D50EF"/>
    <w:rsid w:val="05AE723A"/>
    <w:rsid w:val="062BBD24"/>
    <w:rsid w:val="0645EB48"/>
    <w:rsid w:val="074CCBFB"/>
    <w:rsid w:val="07F4E18D"/>
    <w:rsid w:val="0A166678"/>
    <w:rsid w:val="0A2D66CC"/>
    <w:rsid w:val="0A7609B7"/>
    <w:rsid w:val="0B2EB9A2"/>
    <w:rsid w:val="0B4FB310"/>
    <w:rsid w:val="0B708B40"/>
    <w:rsid w:val="0BBE10CA"/>
    <w:rsid w:val="0BC73B42"/>
    <w:rsid w:val="0C799187"/>
    <w:rsid w:val="0C9DEBE8"/>
    <w:rsid w:val="0D939B8E"/>
    <w:rsid w:val="0DE11680"/>
    <w:rsid w:val="0E2C4BF3"/>
    <w:rsid w:val="0F4835A8"/>
    <w:rsid w:val="0F5DB343"/>
    <w:rsid w:val="0FBEF079"/>
    <w:rsid w:val="11120AE9"/>
    <w:rsid w:val="1143A7F0"/>
    <w:rsid w:val="114AA759"/>
    <w:rsid w:val="11866386"/>
    <w:rsid w:val="11B1D0C5"/>
    <w:rsid w:val="11D4EAE1"/>
    <w:rsid w:val="12124712"/>
    <w:rsid w:val="1286469B"/>
    <w:rsid w:val="1333C388"/>
    <w:rsid w:val="1530C7B9"/>
    <w:rsid w:val="153B8807"/>
    <w:rsid w:val="1540BF5F"/>
    <w:rsid w:val="1559E11B"/>
    <w:rsid w:val="15B4009A"/>
    <w:rsid w:val="161D0D60"/>
    <w:rsid w:val="16A63FF2"/>
    <w:rsid w:val="16A93748"/>
    <w:rsid w:val="16CBB962"/>
    <w:rsid w:val="174B0928"/>
    <w:rsid w:val="17ADE325"/>
    <w:rsid w:val="17B27E19"/>
    <w:rsid w:val="183CEAED"/>
    <w:rsid w:val="18CF2251"/>
    <w:rsid w:val="18EFC6E6"/>
    <w:rsid w:val="199B7F14"/>
    <w:rsid w:val="1A158CED"/>
    <w:rsid w:val="1A569F5D"/>
    <w:rsid w:val="1B74FA1A"/>
    <w:rsid w:val="1B7684E8"/>
    <w:rsid w:val="1CF72018"/>
    <w:rsid w:val="1D3625C6"/>
    <w:rsid w:val="1D7D4F4A"/>
    <w:rsid w:val="1D889C32"/>
    <w:rsid w:val="1E1AD3DB"/>
    <w:rsid w:val="1E4DEE68"/>
    <w:rsid w:val="1E70F96E"/>
    <w:rsid w:val="1FD847C6"/>
    <w:rsid w:val="20330330"/>
    <w:rsid w:val="20E96AE0"/>
    <w:rsid w:val="2111E331"/>
    <w:rsid w:val="21B948CD"/>
    <w:rsid w:val="222EF6A1"/>
    <w:rsid w:val="22817C9B"/>
    <w:rsid w:val="22CE553F"/>
    <w:rsid w:val="231ED899"/>
    <w:rsid w:val="2348D80A"/>
    <w:rsid w:val="24BEEFC1"/>
    <w:rsid w:val="257E529E"/>
    <w:rsid w:val="25CB4274"/>
    <w:rsid w:val="25DE824D"/>
    <w:rsid w:val="2651D67D"/>
    <w:rsid w:val="269742B9"/>
    <w:rsid w:val="2697E86F"/>
    <w:rsid w:val="271A9D6F"/>
    <w:rsid w:val="274D0038"/>
    <w:rsid w:val="276444ED"/>
    <w:rsid w:val="276EDF69"/>
    <w:rsid w:val="27745C35"/>
    <w:rsid w:val="27EE7002"/>
    <w:rsid w:val="2810F88A"/>
    <w:rsid w:val="285B7F1F"/>
    <w:rsid w:val="28F4ABD3"/>
    <w:rsid w:val="2961CF37"/>
    <w:rsid w:val="29F355BD"/>
    <w:rsid w:val="2AD446E7"/>
    <w:rsid w:val="2AF13896"/>
    <w:rsid w:val="2B6782B7"/>
    <w:rsid w:val="2BAB6A52"/>
    <w:rsid w:val="2CC96290"/>
    <w:rsid w:val="2D2D100A"/>
    <w:rsid w:val="2D75B5D3"/>
    <w:rsid w:val="2DADC96C"/>
    <w:rsid w:val="2E3FA21A"/>
    <w:rsid w:val="2E7B5EFD"/>
    <w:rsid w:val="2ECBDACC"/>
    <w:rsid w:val="2EF7EFE7"/>
    <w:rsid w:val="2F050785"/>
    <w:rsid w:val="2F9E19C1"/>
    <w:rsid w:val="30600654"/>
    <w:rsid w:val="30DA4447"/>
    <w:rsid w:val="31AAAB62"/>
    <w:rsid w:val="322AE26F"/>
    <w:rsid w:val="3249F2A2"/>
    <w:rsid w:val="324B4F73"/>
    <w:rsid w:val="32B17A14"/>
    <w:rsid w:val="32DED486"/>
    <w:rsid w:val="34299F98"/>
    <w:rsid w:val="34779D6C"/>
    <w:rsid w:val="34B73F1E"/>
    <w:rsid w:val="34F269CD"/>
    <w:rsid w:val="35044DD1"/>
    <w:rsid w:val="35BE2BA7"/>
    <w:rsid w:val="36E38FDC"/>
    <w:rsid w:val="37190A60"/>
    <w:rsid w:val="3826F516"/>
    <w:rsid w:val="389CDA03"/>
    <w:rsid w:val="38BD5773"/>
    <w:rsid w:val="39074581"/>
    <w:rsid w:val="3982894D"/>
    <w:rsid w:val="3AC26B8C"/>
    <w:rsid w:val="3B9CFF51"/>
    <w:rsid w:val="3BADC458"/>
    <w:rsid w:val="3BC68BCC"/>
    <w:rsid w:val="3C87B92E"/>
    <w:rsid w:val="3C8E68B3"/>
    <w:rsid w:val="3D8D2FB6"/>
    <w:rsid w:val="3DD6D118"/>
    <w:rsid w:val="3EEB9E17"/>
    <w:rsid w:val="3F011C64"/>
    <w:rsid w:val="40460459"/>
    <w:rsid w:val="40B27695"/>
    <w:rsid w:val="41254AFF"/>
    <w:rsid w:val="412922F2"/>
    <w:rsid w:val="4182B9D3"/>
    <w:rsid w:val="41B92514"/>
    <w:rsid w:val="41DC667F"/>
    <w:rsid w:val="41DD3B3C"/>
    <w:rsid w:val="41FA76B6"/>
    <w:rsid w:val="426F8BD6"/>
    <w:rsid w:val="437FF4DA"/>
    <w:rsid w:val="44C34B99"/>
    <w:rsid w:val="453C15B9"/>
    <w:rsid w:val="455B982F"/>
    <w:rsid w:val="4584BA29"/>
    <w:rsid w:val="4613C339"/>
    <w:rsid w:val="4666681B"/>
    <w:rsid w:val="466B165F"/>
    <w:rsid w:val="4683163F"/>
    <w:rsid w:val="468E1632"/>
    <w:rsid w:val="46D07BBD"/>
    <w:rsid w:val="46EEB1BC"/>
    <w:rsid w:val="47A2EC4A"/>
    <w:rsid w:val="47D989F7"/>
    <w:rsid w:val="47F8CB18"/>
    <w:rsid w:val="487B8827"/>
    <w:rsid w:val="49BBA859"/>
    <w:rsid w:val="49BBC277"/>
    <w:rsid w:val="4A5BA539"/>
    <w:rsid w:val="4A5FA45E"/>
    <w:rsid w:val="4A78BDF0"/>
    <w:rsid w:val="4ACB01C3"/>
    <w:rsid w:val="4AE7E661"/>
    <w:rsid w:val="4AE95599"/>
    <w:rsid w:val="4B407486"/>
    <w:rsid w:val="4BC20A45"/>
    <w:rsid w:val="4BEFFB64"/>
    <w:rsid w:val="4C937646"/>
    <w:rsid w:val="4CA35AEF"/>
    <w:rsid w:val="4D22E45D"/>
    <w:rsid w:val="4D75C7FD"/>
    <w:rsid w:val="4DAC58B1"/>
    <w:rsid w:val="4E0BC22A"/>
    <w:rsid w:val="4EBC2564"/>
    <w:rsid w:val="4ECCB999"/>
    <w:rsid w:val="4F7AF986"/>
    <w:rsid w:val="4FBC4531"/>
    <w:rsid w:val="4FCD50CC"/>
    <w:rsid w:val="501C1D03"/>
    <w:rsid w:val="504ECEBE"/>
    <w:rsid w:val="507EFC56"/>
    <w:rsid w:val="50BBA118"/>
    <w:rsid w:val="510D0B93"/>
    <w:rsid w:val="5191A0EB"/>
    <w:rsid w:val="51AF5785"/>
    <w:rsid w:val="51C251ED"/>
    <w:rsid w:val="51F42829"/>
    <w:rsid w:val="524E87D4"/>
    <w:rsid w:val="52F0EFF7"/>
    <w:rsid w:val="536A6D5D"/>
    <w:rsid w:val="53CCCEF8"/>
    <w:rsid w:val="54178C66"/>
    <w:rsid w:val="5597A516"/>
    <w:rsid w:val="567DCA4C"/>
    <w:rsid w:val="56A05D46"/>
    <w:rsid w:val="5701E6A7"/>
    <w:rsid w:val="580BF6D8"/>
    <w:rsid w:val="585CA3A9"/>
    <w:rsid w:val="593591F5"/>
    <w:rsid w:val="59881F2D"/>
    <w:rsid w:val="5ABD8B27"/>
    <w:rsid w:val="5AE36208"/>
    <w:rsid w:val="5B20DCF3"/>
    <w:rsid w:val="5B547363"/>
    <w:rsid w:val="5B8DDC61"/>
    <w:rsid w:val="5D101417"/>
    <w:rsid w:val="5D3EA63F"/>
    <w:rsid w:val="5F06CACB"/>
    <w:rsid w:val="5F0E025B"/>
    <w:rsid w:val="5F167330"/>
    <w:rsid w:val="5F6B2205"/>
    <w:rsid w:val="6004EA08"/>
    <w:rsid w:val="6058D37F"/>
    <w:rsid w:val="609CFDA4"/>
    <w:rsid w:val="615D2FD3"/>
    <w:rsid w:val="61B8F491"/>
    <w:rsid w:val="61C273F3"/>
    <w:rsid w:val="62C1ADAF"/>
    <w:rsid w:val="62E0B64E"/>
    <w:rsid w:val="631420CF"/>
    <w:rsid w:val="6317B12F"/>
    <w:rsid w:val="63B40DD2"/>
    <w:rsid w:val="6433F422"/>
    <w:rsid w:val="64D49B4E"/>
    <w:rsid w:val="652ABD91"/>
    <w:rsid w:val="655507E3"/>
    <w:rsid w:val="65709E57"/>
    <w:rsid w:val="65E19FED"/>
    <w:rsid w:val="68B47C77"/>
    <w:rsid w:val="693FCC2A"/>
    <w:rsid w:val="69F93E68"/>
    <w:rsid w:val="6A2ECF29"/>
    <w:rsid w:val="6A9673C6"/>
    <w:rsid w:val="6AD2B2D2"/>
    <w:rsid w:val="6B16C347"/>
    <w:rsid w:val="6B242AE2"/>
    <w:rsid w:val="6BE8554A"/>
    <w:rsid w:val="6C10BDBF"/>
    <w:rsid w:val="6D61E193"/>
    <w:rsid w:val="6D6B9472"/>
    <w:rsid w:val="6DCC4D11"/>
    <w:rsid w:val="6E5B1B6D"/>
    <w:rsid w:val="6E8AE280"/>
    <w:rsid w:val="6E9DE6C1"/>
    <w:rsid w:val="6EDC4CFB"/>
    <w:rsid w:val="6F121EFF"/>
    <w:rsid w:val="6F63FB34"/>
    <w:rsid w:val="6FB1EF63"/>
    <w:rsid w:val="6FB7B394"/>
    <w:rsid w:val="7072CBE8"/>
    <w:rsid w:val="708A2F02"/>
    <w:rsid w:val="7124D1F4"/>
    <w:rsid w:val="713E1F5E"/>
    <w:rsid w:val="714C801A"/>
    <w:rsid w:val="71F901E1"/>
    <w:rsid w:val="7264F57F"/>
    <w:rsid w:val="7293F9ED"/>
    <w:rsid w:val="73317C14"/>
    <w:rsid w:val="7394D242"/>
    <w:rsid w:val="73E34540"/>
    <w:rsid w:val="7498EBA5"/>
    <w:rsid w:val="75BD09B3"/>
    <w:rsid w:val="75BE5074"/>
    <w:rsid w:val="75CBFCE4"/>
    <w:rsid w:val="7605BE39"/>
    <w:rsid w:val="76410344"/>
    <w:rsid w:val="7651A594"/>
    <w:rsid w:val="7700219B"/>
    <w:rsid w:val="77D80855"/>
    <w:rsid w:val="77EEA4E5"/>
    <w:rsid w:val="78A9C72C"/>
    <w:rsid w:val="78C4367D"/>
    <w:rsid w:val="79275E6F"/>
    <w:rsid w:val="7949628B"/>
    <w:rsid w:val="79ADAE0A"/>
    <w:rsid w:val="79DC5665"/>
    <w:rsid w:val="7A6D5163"/>
    <w:rsid w:val="7AC57979"/>
    <w:rsid w:val="7AC67BAB"/>
    <w:rsid w:val="7B3C1514"/>
    <w:rsid w:val="7C114120"/>
    <w:rsid w:val="7CAC3ECF"/>
    <w:rsid w:val="7CC61C93"/>
    <w:rsid w:val="7CCC7965"/>
    <w:rsid w:val="7D27E1DD"/>
    <w:rsid w:val="7D5E8DEA"/>
    <w:rsid w:val="7D67F867"/>
    <w:rsid w:val="7DC597B3"/>
    <w:rsid w:val="7E2E276F"/>
    <w:rsid w:val="7E489774"/>
    <w:rsid w:val="7E52D2C4"/>
    <w:rsid w:val="7E765024"/>
    <w:rsid w:val="7EDFFB8B"/>
    <w:rsid w:val="7F055D5B"/>
    <w:rsid w:val="7F1AEE75"/>
    <w:rsid w:val="7F7CADA5"/>
    <w:rsid w:val="7FD8BBD6"/>
    <w:rsid w:val="7FF2F94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52797E"/>
    <w:pPr>
      <w:keepNext/>
      <w:keepLines/>
      <w:spacing w:before="240" w:after="0"/>
      <w:outlineLvl w:val="0"/>
    </w:pPr>
    <w:rPr>
      <w:rFonts w:ascii="Calibri" w:eastAsiaTheme="majorEastAsia" w:hAnsi="Calibri" w:cstheme="majorBidi"/>
      <w:b/>
      <w:color w:val="789B4A"/>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90478"/>
    <w:pPr>
      <w:spacing w:before="1800" w:after="0" w:line="1080" w:lineRule="exact"/>
      <w:ind w:left="1304"/>
    </w:pPr>
    <w:rPr>
      <w:rFonts w:ascii="Calibri" w:eastAsiaTheme="majorEastAsia" w:hAnsi="Calibri" w:cstheme="majorBidi"/>
      <w:b/>
      <w:color w:val="90AD6B"/>
      <w:spacing w:val="-10"/>
      <w:kern w:val="28"/>
      <w:sz w:val="100"/>
      <w:szCs w:val="56"/>
    </w:rPr>
  </w:style>
  <w:style w:type="character" w:customStyle="1" w:styleId="TitleChar">
    <w:name w:val="Title Char"/>
    <w:basedOn w:val="DefaultParagraphFont"/>
    <w:link w:val="Title"/>
    <w:uiPriority w:val="7"/>
    <w:rsid w:val="00C90478"/>
    <w:rPr>
      <w:rFonts w:ascii="Calibri" w:eastAsiaTheme="majorEastAsia" w:hAnsi="Calibri" w:cstheme="majorBidi"/>
      <w:b/>
      <w:color w:val="90AD6B"/>
      <w:spacing w:val="-10"/>
      <w:kern w:val="28"/>
      <w:sz w:val="100"/>
      <w:szCs w:val="56"/>
    </w:rPr>
  </w:style>
  <w:style w:type="paragraph" w:styleId="Subtitle">
    <w:name w:val="Subtitle"/>
    <w:basedOn w:val="Normal"/>
    <w:next w:val="Normal"/>
    <w:link w:val="SubtitleChar"/>
    <w:uiPriority w:val="8"/>
    <w:qFormat/>
    <w:rsid w:val="00C90478"/>
    <w:pPr>
      <w:numPr>
        <w:ilvl w:val="1"/>
      </w:numPr>
      <w:spacing w:before="680" w:after="0"/>
    </w:pPr>
    <w:rPr>
      <w:rFonts w:ascii="Calibri" w:eastAsiaTheme="minorEastAsia" w:hAnsi="Calibri"/>
      <w:color w:val="FFFFFF" w:themeColor="background1"/>
      <w:spacing w:val="15"/>
      <w:sz w:val="56"/>
    </w:rPr>
  </w:style>
  <w:style w:type="character" w:customStyle="1" w:styleId="SubtitleChar">
    <w:name w:val="Subtitle Char"/>
    <w:basedOn w:val="DefaultParagraphFont"/>
    <w:link w:val="Subtitle"/>
    <w:uiPriority w:val="8"/>
    <w:rsid w:val="00C90478"/>
    <w:rPr>
      <w:rFonts w:ascii="Calibri" w:eastAsiaTheme="minorEastAsia" w:hAnsi="Calibri"/>
      <w:color w:val="FFFFFF" w:themeColor="background1"/>
      <w:spacing w:val="15"/>
      <w:sz w:val="56"/>
    </w:rPr>
  </w:style>
  <w:style w:type="character" w:customStyle="1" w:styleId="Heading1Char">
    <w:name w:val="Heading 1 Char"/>
    <w:basedOn w:val="DefaultParagraphFont"/>
    <w:link w:val="Heading1"/>
    <w:uiPriority w:val="9"/>
    <w:rsid w:val="0052797E"/>
    <w:rPr>
      <w:rFonts w:ascii="Calibri" w:eastAsiaTheme="majorEastAsia" w:hAnsi="Calibri" w:cstheme="majorBidi"/>
      <w:b/>
      <w:color w:val="789B4A"/>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Coverdate">
    <w:name w:val="Cover date"/>
    <w:basedOn w:val="Normal"/>
    <w:qFormat/>
    <w:rsid w:val="0052797E"/>
    <w:pPr>
      <w:spacing w:before="7400"/>
      <w:jc w:val="right"/>
    </w:pPr>
    <w:rPr>
      <w:sz w:val="30"/>
      <w:szCs w:val="30"/>
      <w:lang w:eastAsia="en-AU"/>
    </w:rPr>
  </w:style>
  <w:style w:type="paragraph" w:styleId="FootnoteText">
    <w:name w:val="footnote text"/>
    <w:basedOn w:val="Normal"/>
    <w:link w:val="FootnoteTextChar"/>
    <w:uiPriority w:val="99"/>
    <w:unhideWhenUsed/>
    <w:rsid w:val="008D36D3"/>
    <w:pPr>
      <w:spacing w:after="0" w:line="240" w:lineRule="auto"/>
    </w:pPr>
    <w:rPr>
      <w:sz w:val="20"/>
      <w:szCs w:val="20"/>
    </w:rPr>
  </w:style>
  <w:style w:type="character" w:customStyle="1" w:styleId="FootnoteTextChar">
    <w:name w:val="Footnote Text Char"/>
    <w:basedOn w:val="DefaultParagraphFont"/>
    <w:link w:val="FootnoteText"/>
    <w:uiPriority w:val="99"/>
    <w:rsid w:val="008D36D3"/>
    <w:rPr>
      <w:sz w:val="20"/>
      <w:szCs w:val="20"/>
    </w:rPr>
  </w:style>
  <w:style w:type="character" w:styleId="FootnoteReference">
    <w:name w:val="footnote reference"/>
    <w:basedOn w:val="DefaultParagraphFont"/>
    <w:uiPriority w:val="99"/>
    <w:semiHidden/>
    <w:unhideWhenUsed/>
    <w:rsid w:val="008D36D3"/>
    <w:rPr>
      <w:vertAlign w:val="superscript"/>
    </w:rPr>
  </w:style>
  <w:style w:type="character" w:customStyle="1" w:styleId="normaltextrun">
    <w:name w:val="normaltextrun"/>
    <w:basedOn w:val="DefaultParagraphFont"/>
    <w:rsid w:val="00F84965"/>
  </w:style>
  <w:style w:type="character" w:styleId="CommentReference">
    <w:name w:val="annotation reference"/>
    <w:basedOn w:val="DefaultParagraphFont"/>
    <w:uiPriority w:val="99"/>
    <w:semiHidden/>
    <w:unhideWhenUsed/>
    <w:rsid w:val="0054572C"/>
    <w:rPr>
      <w:sz w:val="16"/>
      <w:szCs w:val="16"/>
    </w:rPr>
  </w:style>
  <w:style w:type="paragraph" w:styleId="CommentText">
    <w:name w:val="annotation text"/>
    <w:basedOn w:val="Normal"/>
    <w:link w:val="CommentTextChar"/>
    <w:uiPriority w:val="99"/>
    <w:unhideWhenUsed/>
    <w:rsid w:val="0054572C"/>
    <w:pPr>
      <w:spacing w:line="240" w:lineRule="auto"/>
    </w:pPr>
    <w:rPr>
      <w:sz w:val="20"/>
      <w:szCs w:val="20"/>
    </w:rPr>
  </w:style>
  <w:style w:type="character" w:customStyle="1" w:styleId="CommentTextChar">
    <w:name w:val="Comment Text Char"/>
    <w:basedOn w:val="DefaultParagraphFont"/>
    <w:link w:val="CommentText"/>
    <w:uiPriority w:val="99"/>
    <w:rsid w:val="0054572C"/>
    <w:rPr>
      <w:sz w:val="20"/>
      <w:szCs w:val="20"/>
    </w:rPr>
  </w:style>
  <w:style w:type="character" w:styleId="UnresolvedMention">
    <w:name w:val="Unresolved Mention"/>
    <w:basedOn w:val="DefaultParagraphFont"/>
    <w:uiPriority w:val="99"/>
    <w:semiHidden/>
    <w:unhideWhenUsed/>
    <w:rsid w:val="0090725C"/>
    <w:rPr>
      <w:color w:val="605E5C"/>
      <w:shd w:val="clear" w:color="auto" w:fill="E1DFDD"/>
    </w:rPr>
  </w:style>
  <w:style w:type="character" w:customStyle="1" w:styleId="eop">
    <w:name w:val="eop"/>
    <w:basedOn w:val="DefaultParagraphFont"/>
    <w:rsid w:val="00794E91"/>
  </w:style>
  <w:style w:type="paragraph" w:styleId="CommentSubject">
    <w:name w:val="annotation subject"/>
    <w:basedOn w:val="CommentText"/>
    <w:next w:val="CommentText"/>
    <w:link w:val="CommentSubjectChar"/>
    <w:uiPriority w:val="99"/>
    <w:semiHidden/>
    <w:unhideWhenUsed/>
    <w:rsid w:val="005E43E4"/>
    <w:rPr>
      <w:b/>
      <w:bCs/>
    </w:rPr>
  </w:style>
  <w:style w:type="character" w:customStyle="1" w:styleId="CommentSubjectChar">
    <w:name w:val="Comment Subject Char"/>
    <w:basedOn w:val="CommentTextChar"/>
    <w:link w:val="CommentSubject"/>
    <w:uiPriority w:val="99"/>
    <w:semiHidden/>
    <w:rsid w:val="005E43E4"/>
    <w:rPr>
      <w:b/>
      <w:bCs/>
      <w:sz w:val="20"/>
      <w:szCs w:val="20"/>
    </w:rPr>
  </w:style>
  <w:style w:type="paragraph" w:styleId="Revision">
    <w:name w:val="Revision"/>
    <w:hidden/>
    <w:uiPriority w:val="99"/>
    <w:semiHidden/>
    <w:rsid w:val="00564684"/>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ED42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D42F8"/>
    <w:rPr>
      <w:sz w:val="20"/>
      <w:szCs w:val="20"/>
    </w:rPr>
  </w:style>
  <w:style w:type="character" w:styleId="EndnoteReference">
    <w:name w:val="endnote reference"/>
    <w:basedOn w:val="DefaultParagraphFont"/>
    <w:uiPriority w:val="99"/>
    <w:semiHidden/>
    <w:unhideWhenUsed/>
    <w:rsid w:val="00ED4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95982">
      <w:bodyDiv w:val="1"/>
      <w:marLeft w:val="0"/>
      <w:marRight w:val="0"/>
      <w:marTop w:val="0"/>
      <w:marBottom w:val="0"/>
      <w:divBdr>
        <w:top w:val="none" w:sz="0" w:space="0" w:color="auto"/>
        <w:left w:val="none" w:sz="0" w:space="0" w:color="auto"/>
        <w:bottom w:val="none" w:sz="0" w:space="0" w:color="auto"/>
        <w:right w:val="none" w:sz="0" w:space="0" w:color="auto"/>
      </w:divBdr>
    </w:div>
    <w:div w:id="393815105">
      <w:bodyDiv w:val="1"/>
      <w:marLeft w:val="0"/>
      <w:marRight w:val="0"/>
      <w:marTop w:val="0"/>
      <w:marBottom w:val="0"/>
      <w:divBdr>
        <w:top w:val="none" w:sz="0" w:space="0" w:color="auto"/>
        <w:left w:val="none" w:sz="0" w:space="0" w:color="auto"/>
        <w:bottom w:val="none" w:sz="0" w:space="0" w:color="auto"/>
        <w:right w:val="none" w:sz="0" w:space="0" w:color="auto"/>
      </w:divBdr>
    </w:div>
    <w:div w:id="542793423">
      <w:bodyDiv w:val="1"/>
      <w:marLeft w:val="0"/>
      <w:marRight w:val="0"/>
      <w:marTop w:val="0"/>
      <w:marBottom w:val="0"/>
      <w:divBdr>
        <w:top w:val="none" w:sz="0" w:space="0" w:color="auto"/>
        <w:left w:val="none" w:sz="0" w:space="0" w:color="auto"/>
        <w:bottom w:val="none" w:sz="0" w:space="0" w:color="auto"/>
        <w:right w:val="none" w:sz="0" w:space="0" w:color="auto"/>
      </w:divBdr>
    </w:div>
    <w:div w:id="997883498">
      <w:bodyDiv w:val="1"/>
      <w:marLeft w:val="0"/>
      <w:marRight w:val="0"/>
      <w:marTop w:val="0"/>
      <w:marBottom w:val="0"/>
      <w:divBdr>
        <w:top w:val="none" w:sz="0" w:space="0" w:color="auto"/>
        <w:left w:val="none" w:sz="0" w:space="0" w:color="auto"/>
        <w:bottom w:val="none" w:sz="0" w:space="0" w:color="auto"/>
        <w:right w:val="none" w:sz="0" w:space="0" w:color="auto"/>
      </w:divBdr>
    </w:div>
    <w:div w:id="1030645254">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55588502">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95783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yperlink" Target="https://creativecommons.org/licenses/by/4.0/"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creativecommons.org/licenses/by/4.0/legalcod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cid:image001.png@01CC5B5E.C6C84990" TargetMode="External"/><Relationship Id="rId25" Type="http://schemas.openxmlformats.org/officeDocument/2006/relationships/hyperlink" Target="http://www.dewr.gov.au/australian-apprenticeships"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creativecommons.org/licenses/by/4.0/legalcode" TargetMode="External"/><Relationship Id="rId29" Type="http://schemas.openxmlformats.org/officeDocument/2006/relationships/hyperlink" Target="mailto:asg@dewr.gov.au?subject=ASG%20Discussion%20Pap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finance.gov.au/business/buyaustralianpla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sharedservicescentre.sharepoint.com/sites/DEWR-SkillsSupplyPolicy/Shared%20Documents/Australian%20Skills%20Guarantee/Consultation/Discussion%20Paper/www.dewr.gov.au/australian-skills-guarantee" TargetMode="External"/><Relationship Id="rId28" Type="http://schemas.openxmlformats.org/officeDocument/2006/relationships/hyperlink" Target="https://www.dewr.gov.au/australian-skills-guarantee" TargetMode="External"/><Relationship Id="rId10" Type="http://schemas.openxmlformats.org/officeDocument/2006/relationships/header" Target="header1.xml"/><Relationship Id="rId19" Type="http://schemas.openxmlformats.org/officeDocument/2006/relationships/hyperlink" Target="https://creativecommons.org/licenses/by/4.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mailto:asg@dewr.gov.au?subject=ASG%20Discussion%20Paper" TargetMode="External"/><Relationship Id="rId27" Type="http://schemas.openxmlformats.org/officeDocument/2006/relationships/footer" Target="footer4.xml"/><Relationship Id="rId30" Type="http://schemas.openxmlformats.org/officeDocument/2006/relationships/hyperlink" Target="http://www.data.gov.au"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data.gov.au/dataset/ds-dga-5c7fa69b-b0e9-4553-b8df-2a022dd2e982/details?q=austender" TargetMode="External"/><Relationship Id="rId18" Type="http://schemas.openxmlformats.org/officeDocument/2006/relationships/hyperlink" Target="http://www.ncver.edu.au/research-and-statistics/publications/all-publications/apprentices-and-trainees-2022-march-quarter" TargetMode="External"/><Relationship Id="rId26" Type="http://schemas.openxmlformats.org/officeDocument/2006/relationships/hyperlink" Target="http://www.industry.gov.au/major-projects-and-procurement/australian-industry-participation" TargetMode="External"/><Relationship Id="rId39" Type="http://schemas.openxmlformats.org/officeDocument/2006/relationships/hyperlink" Target="http://www.unwomen.org/en/what-we-do/economic-empowerment/facts-and-figures" TargetMode="External"/><Relationship Id="rId21" Type="http://schemas.openxmlformats.org/officeDocument/2006/relationships/hyperlink" Target="http://www.help.tenders.gov.au/getting-started-with-austender/information-made-easy/what-the-government-buys/" TargetMode="External"/><Relationship Id="rId34" Type="http://schemas.openxmlformats.org/officeDocument/2006/relationships/hyperlink" Target="http://www.abs.gov.au/statistics/labour/employment-and-unemployment/labour-force-australia-detailed/aug-2022" TargetMode="External"/><Relationship Id="rId42" Type="http://schemas.openxmlformats.org/officeDocument/2006/relationships/hyperlink" Target="http://www.worldbank.org/en/topic/skillsdevelopment" TargetMode="External"/><Relationship Id="rId7" Type="http://schemas.openxmlformats.org/officeDocument/2006/relationships/hyperlink" Target="https://www.abs.gov.au/statistics/labour/employment-and-unemployment/labour-force-australia-detailed/aug-2022" TargetMode="External"/><Relationship Id="rId2" Type="http://schemas.openxmlformats.org/officeDocument/2006/relationships/hyperlink" Target="mailto:fmiao@finance.gov.au" TargetMode="External"/><Relationship Id="rId16" Type="http://schemas.openxmlformats.org/officeDocument/2006/relationships/hyperlink" Target="http://www.ncver.edu.au/research-and-statistics/publications/all-publications/apprentices-and-trainees-2022-march-quarter" TargetMode="External"/><Relationship Id="rId29" Type="http://schemas.openxmlformats.org/officeDocument/2006/relationships/hyperlink" Target="http://www.treasury.gov.au/sites/default/files/inline-files/Jobs-and-Skills-Summit-Outcomes-Document.pdf" TargetMode="External"/><Relationship Id="rId1" Type="http://schemas.openxmlformats.org/officeDocument/2006/relationships/hyperlink" Target="https://www.treasury.gov.au/sites/default/files/inline-files/Jobs-and-Skills-Summit-Outcomes-Document.pdf" TargetMode="External"/><Relationship Id="rId6" Type="http://schemas.openxmlformats.org/officeDocument/2006/relationships/hyperlink" Target="http://www.rba.gov.au/publications/smp/2022/aug/domestic-economic-conditions.html" TargetMode="External"/><Relationship Id="rId11" Type="http://schemas.openxmlformats.org/officeDocument/2006/relationships/hyperlink" Target="http://www.ncver.edu.au/research-and-statistics/publications/all-publications/apprentices-and-trainees-2022-march-quarter" TargetMode="External"/><Relationship Id="rId24" Type="http://schemas.openxmlformats.org/officeDocument/2006/relationships/hyperlink" Target="http://www.investment.infrastructure.gov.au/files/Indigenous_Employment_and_Supplier-use_Infrastructure_Framework.pdf" TargetMode="External"/><Relationship Id="rId32" Type="http://schemas.openxmlformats.org/officeDocument/2006/relationships/hyperlink" Target="http://www.budget.gov.au/2022-23-october/content/womens-statement/download/womens_budget_statement_2022-23.pdf" TargetMode="External"/><Relationship Id="rId37" Type="http://schemas.openxmlformats.org/officeDocument/2006/relationships/hyperlink" Target="http://www.abs.gov.au/statistics/labour/employment-and-unemployment/labour-force-australia-detailed/aug-2022" TargetMode="External"/><Relationship Id="rId40" Type="http://schemas.openxmlformats.org/officeDocument/2006/relationships/hyperlink" Target="http://www.link.springer.com/article/10.1007/s10734-021-00742-3" TargetMode="External"/><Relationship Id="rId45" Type="http://schemas.openxmlformats.org/officeDocument/2006/relationships/hyperlink" Target="http://www.humanrights.gov.au/sites/default/files/document/publication/ahrc_respectwork_community_guide_2020.pdf" TargetMode="External"/><Relationship Id="rId5" Type="http://schemas.openxmlformats.org/officeDocument/2006/relationships/hyperlink" Target="http://www.nationalskillscommission.gov.au/skills-priority-list" TargetMode="External"/><Relationship Id="rId15" Type="http://schemas.openxmlformats.org/officeDocument/2006/relationships/hyperlink" Target="https://www.abs.gov.au/statistics/labour/employment-and-unemployment/labour-force-australia-detailed/aug-2022" TargetMode="External"/><Relationship Id="rId23" Type="http://schemas.openxmlformats.org/officeDocument/2006/relationships/hyperlink" Target="http://www.niaa.gov.au/sites/default/files/publications/ipp-guide_0.pdf" TargetMode="External"/><Relationship Id="rId28" Type="http://schemas.openxmlformats.org/officeDocument/2006/relationships/hyperlink" Target="http://www.infrastructureaustralia.gov.au/sites/default/files/2021-11/Infrastructure%20Workforce%20and%20Skills%20Supply%20report%20211117.pdf" TargetMode="External"/><Relationship Id="rId36" Type="http://schemas.openxmlformats.org/officeDocument/2006/relationships/hyperlink" Target="http://www.ncver.edu.au/research-and-statistics/publications/all-publications/apprentices-and-trainees-2022-march-quarter" TargetMode="External"/><Relationship Id="rId10" Type="http://schemas.openxmlformats.org/officeDocument/2006/relationships/hyperlink" Target="https://www.abs.gov.au/statistics/labour/employment-and-unemployment/labour-force-australia-detailed/aug-2022" TargetMode="External"/><Relationship Id="rId19" Type="http://schemas.openxmlformats.org/officeDocument/2006/relationships/hyperlink" Target="http://www.help.tenders.gov.au/getting-started-with-austender/information-made-easy/what-the-government-buys/" TargetMode="External"/><Relationship Id="rId31" Type="http://schemas.openxmlformats.org/officeDocument/2006/relationships/hyperlink" Target="http://www.wgea.gov.au/publications/gender-segregation-in-australias-workforce" TargetMode="External"/><Relationship Id="rId44" Type="http://schemas.openxmlformats.org/officeDocument/2006/relationships/hyperlink" Target="http://www.tandfonline.com/doi/full/10.1080/13636820.2022.2084768?casa_token=Dnqafilr160AAAAA%3AKWj1Z8EhkSEvXwJsCa71b_bqgxMvb2TQk6KJbPEAkYO4zrJVg-AB3a9xqJuCzFTsdG9Ec2xy2hClHQ" TargetMode="External"/><Relationship Id="rId4" Type="http://schemas.openxmlformats.org/officeDocument/2006/relationships/hyperlink" Target="http://www.doi.org/10.1787/e60c2d1c-en" TargetMode="External"/><Relationship Id="rId9" Type="http://schemas.openxmlformats.org/officeDocument/2006/relationships/hyperlink" Target="http://www.ncver.edu.au/research-and-statistics/publications/all-publications/apprentices-and-trainees-2022-march-quarter" TargetMode="External"/><Relationship Id="rId14" Type="http://schemas.openxmlformats.org/officeDocument/2006/relationships/hyperlink" Target="http://www.niaa.gov.au/sites/default/files/publications/ipp-guide_0.pdf" TargetMode="External"/><Relationship Id="rId22" Type="http://schemas.openxmlformats.org/officeDocument/2006/relationships/hyperlink" Target="http://www.help.tenders.gov.au/getting-started-with-austender/information-made-easy/what-the-government-buys/" TargetMode="External"/><Relationship Id="rId27" Type="http://schemas.openxmlformats.org/officeDocument/2006/relationships/hyperlink" Target="aapathways.com.au/about/employment" TargetMode="External"/><Relationship Id="rId30" Type="http://schemas.openxmlformats.org/officeDocument/2006/relationships/hyperlink" Target="http://www.abs.gov.au/statistics/labour/employment-and-unemployment/labour-force-australia/sep-2022" TargetMode="External"/><Relationship Id="rId35" Type="http://schemas.openxmlformats.org/officeDocument/2006/relationships/hyperlink" Target="http://www.abs.gov.au/articles/changing-female-employment-over-time" TargetMode="External"/><Relationship Id="rId43" Type="http://schemas.openxmlformats.org/officeDocument/2006/relationships/hyperlink" Target="https://www.wgea.gov.au/publications/gender-segregation-in-australias-workforce" TargetMode="External"/><Relationship Id="rId8" Type="http://schemas.openxmlformats.org/officeDocument/2006/relationships/hyperlink" Target="http://www.ncver.edu.au/research-and-statistics/publications/all-publications/apprentices-and-trainees-2022-march-quarter" TargetMode="External"/><Relationship Id="rId3" Type="http://schemas.openxmlformats.org/officeDocument/2006/relationships/hyperlink" Target="http://www.treasury.gov.au/sites/default/files/inline-files/Jobs-and-Skills-Summit-Outcomes-Document.pdf" TargetMode="External"/><Relationship Id="rId12" Type="http://schemas.openxmlformats.org/officeDocument/2006/relationships/hyperlink" Target="http://www.help.tenders.gov.au/getting-started-with-austender/information-made-easy/what-the-government-buys/" TargetMode="External"/><Relationship Id="rId17" Type="http://schemas.openxmlformats.org/officeDocument/2006/relationships/hyperlink" Target="https://www.abs.gov.au/statistics/labour/employment-and-unemployment/labour-force-australia-detailed/aug-2022" TargetMode="External"/><Relationship Id="rId25" Type="http://schemas.openxmlformats.org/officeDocument/2006/relationships/hyperlink" Target="http://www.finance.gov.au/government/procurement/commonwealth-procurement-rules" TargetMode="External"/><Relationship Id="rId33" Type="http://schemas.openxmlformats.org/officeDocument/2006/relationships/hyperlink" Target="http://www.wgea.gov.au/sites/default/files/documents/2020-21_WGEA_SCORECARD.pdf" TargetMode="External"/><Relationship Id="rId38" Type="http://schemas.openxmlformats.org/officeDocument/2006/relationships/hyperlink" Target="http://www.investment.infrastructure.gov.au/files/notes_on_administration/notes-on-administration-january-2021.pdf" TargetMode="External"/><Relationship Id="rId20" Type="http://schemas.openxmlformats.org/officeDocument/2006/relationships/hyperlink" Target="http://www.help.tenders.gov.au/getting-started-with-austender/information-made-easy/what-the-government-buys/" TargetMode="External"/><Relationship Id="rId41" Type="http://schemas.openxmlformats.org/officeDocument/2006/relationships/hyperlink" Target="http://www.doi.org/10.1080/09645292.2018.1484426"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11095</Words>
  <Characters>63242</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Skills Guarantee – Discussion Paper</dc:title>
  <dc:subject/>
  <dc:creator/>
  <cp:keywords/>
  <dc:description/>
  <cp:lastModifiedBy/>
  <cp:revision>1</cp:revision>
  <dcterms:created xsi:type="dcterms:W3CDTF">2022-11-23T05:24:00Z</dcterms:created>
  <dcterms:modified xsi:type="dcterms:W3CDTF">2022-11-23T05:24:00Z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2022-11-23T05:24:58Z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a58237d6-f3bf-42e8-935f-0a2470d2990f</vt:lpwstr>
  </property>
  <property fmtid="{D5CDD505-2E9C-101B-9397-08002B2CF9AE}" pid="8" name="MSIP_Label_79d889eb-932f-4752-8739-64d25806ef64_ContentBits">
    <vt:lpwstr>0</vt:lpwstr>
  </property>
</Properties>
</file>