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9F15C" w14:textId="33781963" w:rsidR="00067075" w:rsidRDefault="003A2EFF" w:rsidP="00DE0402">
      <w:pPr>
        <w:pStyle w:val="Title"/>
        <w:spacing w:before="120"/>
      </w:pPr>
      <w:r>
        <w:rPr>
          <w:noProof/>
        </w:rPr>
        <w:drawing>
          <wp:inline distT="0" distB="0" distL="0" distR="0" wp14:anchorId="0368C25A" wp14:editId="1EC0F928">
            <wp:extent cx="2383155" cy="727075"/>
            <wp:effectExtent l="0" t="0" r="0" b="0"/>
            <wp:docPr id="1"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1">
                      <a:extLst>
                        <a:ext uri="{96DAC541-7B7A-43D3-8B79-37D633B846F1}">
                          <asvg:svgBlip xmlns:asvg="http://schemas.microsoft.com/office/drawing/2016/SVG/main" r:embed="rId12"/>
                        </a:ext>
                      </a:extLst>
                    </a:blip>
                    <a:stretch>
                      <a:fillRect/>
                    </a:stretch>
                  </pic:blipFill>
                  <pic:spPr>
                    <a:xfrm>
                      <a:off x="0" y="0"/>
                      <a:ext cx="2383155" cy="727075"/>
                    </a:xfrm>
                    <a:prstGeom prst="rect">
                      <a:avLst/>
                    </a:prstGeom>
                  </pic:spPr>
                </pic:pic>
              </a:graphicData>
            </a:graphic>
          </wp:inline>
        </w:drawing>
      </w:r>
      <w:r>
        <w:rPr>
          <w:noProof/>
        </w:rPr>
        <w:drawing>
          <wp:anchor distT="0" distB="0" distL="114300" distR="114300" simplePos="0" relativeHeight="251658240" behindDoc="1" locked="0" layoutInCell="1" allowOverlap="1" wp14:anchorId="584B30EC" wp14:editId="20996649">
            <wp:simplePos x="0" y="0"/>
            <wp:positionH relativeFrom="column">
              <wp:posOffset>-900431</wp:posOffset>
            </wp:positionH>
            <wp:positionV relativeFrom="page">
              <wp:posOffset>0</wp:posOffset>
            </wp:positionV>
            <wp:extent cx="7559675" cy="1676964"/>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13"/>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29E1914A" w14:textId="4D8F9C99" w:rsidR="00EC6A53" w:rsidRDefault="00EC6A53" w:rsidP="00067075">
      <w:pPr>
        <w:spacing w:before="100" w:beforeAutospacing="1" w:after="0"/>
        <w:sectPr w:rsidR="00EC6A53" w:rsidSect="00DE0402">
          <w:headerReference w:type="even" r:id="rId14"/>
          <w:headerReference w:type="default" r:id="rId15"/>
          <w:footerReference w:type="even" r:id="rId16"/>
          <w:footerReference w:type="default" r:id="rId17"/>
          <w:headerReference w:type="first" r:id="rId18"/>
          <w:footerReference w:type="first" r:id="rId19"/>
          <w:type w:val="continuous"/>
          <w:pgSz w:w="11906" w:h="16838"/>
          <w:pgMar w:top="851" w:right="1418" w:bottom="1418" w:left="1418" w:header="0" w:footer="709" w:gutter="0"/>
          <w:cols w:space="708"/>
          <w:titlePg/>
          <w:docGrid w:linePitch="360"/>
        </w:sectPr>
      </w:pPr>
    </w:p>
    <w:p w14:paraId="607DC5D1" w14:textId="1D6F80AA" w:rsidR="00B62D7C" w:rsidRPr="00B62D7C" w:rsidRDefault="00B62D7C" w:rsidP="00B62D7C">
      <w:pPr>
        <w:pStyle w:val="Title"/>
        <w:spacing w:before="480"/>
        <w:jc w:val="right"/>
        <w:rPr>
          <w:b w:val="0"/>
          <w:sz w:val="24"/>
          <w:szCs w:val="24"/>
        </w:rPr>
      </w:pPr>
      <w:r>
        <w:rPr>
          <w:b w:val="0"/>
          <w:sz w:val="24"/>
          <w:szCs w:val="24"/>
        </w:rPr>
        <w:t>DECEMBER 2022</w:t>
      </w:r>
    </w:p>
    <w:p w14:paraId="0050C021" w14:textId="21CD6A8F" w:rsidR="00656374" w:rsidRPr="00656374" w:rsidRDefault="00724838" w:rsidP="00656374">
      <w:pPr>
        <w:pStyle w:val="Title"/>
        <w:jc w:val="center"/>
        <w:rPr>
          <w:bCs/>
          <w:sz w:val="36"/>
          <w:szCs w:val="36"/>
        </w:rPr>
      </w:pPr>
      <w:r>
        <w:rPr>
          <w:bCs/>
          <w:sz w:val="36"/>
          <w:szCs w:val="36"/>
        </w:rPr>
        <w:t xml:space="preserve">REPORT OF THE </w:t>
      </w:r>
      <w:r w:rsidR="00656374" w:rsidRPr="00656374">
        <w:rPr>
          <w:bCs/>
          <w:sz w:val="36"/>
          <w:szCs w:val="36"/>
        </w:rPr>
        <w:t xml:space="preserve">REVIEW OF THE OPERATION OF THE </w:t>
      </w:r>
      <w:r w:rsidR="00656374" w:rsidRPr="00656374">
        <w:rPr>
          <w:bCs/>
          <w:i/>
          <w:iCs/>
          <w:sz w:val="36"/>
          <w:szCs w:val="36"/>
        </w:rPr>
        <w:t>FAIR WORK (REGISTERED ORGANISATIONS) AMENDMENT (WITHDRAWAL FROM AMALGAMATIONS) ACT 2020</w:t>
      </w:r>
    </w:p>
    <w:p w14:paraId="4467E95D" w14:textId="4207E8CF" w:rsidR="00E41EFE" w:rsidRDefault="00E41EFE" w:rsidP="00656374">
      <w:pPr>
        <w:pStyle w:val="Title"/>
        <w:jc w:val="center"/>
        <w:rPr>
          <w:sz w:val="36"/>
          <w:szCs w:val="36"/>
        </w:rPr>
      </w:pPr>
    </w:p>
    <w:p w14:paraId="447B25FD" w14:textId="436D3E1E" w:rsidR="00656374" w:rsidRDefault="00656374" w:rsidP="00656374"/>
    <w:p w14:paraId="50F4CB41" w14:textId="5A266BF5" w:rsidR="00656374" w:rsidRDefault="00656374" w:rsidP="00656374"/>
    <w:p w14:paraId="0F086CB3" w14:textId="513EC892" w:rsidR="00656374" w:rsidRDefault="00656374" w:rsidP="00656374"/>
    <w:p w14:paraId="70A1760F" w14:textId="7D3B024D" w:rsidR="00656374" w:rsidRDefault="00656374" w:rsidP="00656374"/>
    <w:p w14:paraId="5BD430B1" w14:textId="765CE5B7" w:rsidR="00656374" w:rsidRDefault="00656374" w:rsidP="00656374"/>
    <w:p w14:paraId="64E5A181" w14:textId="5871ADCD" w:rsidR="00656374" w:rsidRDefault="00656374" w:rsidP="00656374"/>
    <w:p w14:paraId="1C256672" w14:textId="61D7D624" w:rsidR="00656374" w:rsidRDefault="00656374" w:rsidP="00656374"/>
    <w:p w14:paraId="303EFBCB" w14:textId="7B4E76FB" w:rsidR="00656374" w:rsidRDefault="00656374" w:rsidP="00656374"/>
    <w:p w14:paraId="0C376C07" w14:textId="4538114C" w:rsidR="00656374" w:rsidRDefault="00656374" w:rsidP="00656374"/>
    <w:p w14:paraId="12FC78C3" w14:textId="7AB196BF" w:rsidR="00656374" w:rsidRDefault="00656374" w:rsidP="00656374"/>
    <w:p w14:paraId="09F10949" w14:textId="7EFDFE92" w:rsidR="00656374" w:rsidRDefault="00656374" w:rsidP="00656374"/>
    <w:p w14:paraId="711C2B0F" w14:textId="60ACE0BF" w:rsidR="00656374" w:rsidRDefault="00656374" w:rsidP="00656374"/>
    <w:p w14:paraId="6336FACB" w14:textId="4F401DCE" w:rsidR="00656374" w:rsidRDefault="00656374" w:rsidP="00656374"/>
    <w:p w14:paraId="69C43C6E" w14:textId="284F2493" w:rsidR="00656374" w:rsidRDefault="00656374" w:rsidP="00656374"/>
    <w:p w14:paraId="35E1E31E" w14:textId="35D2BAAF" w:rsidR="00656374" w:rsidRDefault="00656374" w:rsidP="00656374"/>
    <w:p w14:paraId="76F9CFA3" w14:textId="77777777" w:rsidR="00656374" w:rsidRPr="00656374" w:rsidRDefault="00656374" w:rsidP="00656374">
      <w:pPr>
        <w:pStyle w:val="ListParagraph"/>
        <w:keepNext/>
        <w:keepLines/>
        <w:numPr>
          <w:ilvl w:val="0"/>
          <w:numId w:val="37"/>
        </w:numPr>
        <w:pBdr>
          <w:bottom w:val="single" w:sz="4" w:space="1" w:color="595959"/>
        </w:pBdr>
        <w:spacing w:before="360" w:after="160" w:line="259" w:lineRule="auto"/>
        <w:ind w:left="426" w:hanging="426"/>
        <w:outlineLvl w:val="0"/>
        <w:rPr>
          <w:rFonts w:ascii="Calibri Light" w:eastAsia="Yu Gothic Light" w:hAnsi="Calibri Light" w:cs="Times New Roman"/>
          <w:b/>
          <w:bCs/>
          <w:smallCaps/>
          <w:color w:val="000000"/>
          <w:sz w:val="36"/>
          <w:szCs w:val="36"/>
        </w:rPr>
      </w:pPr>
      <w:bookmarkStart w:id="0" w:name="_Toc121826054"/>
      <w:bookmarkStart w:id="1" w:name="_Hlk129855840"/>
      <w:bookmarkStart w:id="2" w:name="_Hlk129855518"/>
      <w:r w:rsidRPr="00656374">
        <w:rPr>
          <w:rFonts w:ascii="Calibri Light" w:eastAsia="Yu Gothic Light" w:hAnsi="Calibri Light" w:cs="Times New Roman"/>
          <w:b/>
          <w:bCs/>
          <w:smallCaps/>
          <w:color w:val="000000"/>
          <w:sz w:val="36"/>
          <w:szCs w:val="36"/>
        </w:rPr>
        <w:lastRenderedPageBreak/>
        <w:t>Introduction: the review</w:t>
      </w:r>
      <w:bookmarkEnd w:id="0"/>
    </w:p>
    <w:p w14:paraId="689F8CDC" w14:textId="77777777" w:rsidR="00656374" w:rsidRPr="00656374" w:rsidRDefault="00656374" w:rsidP="00656374">
      <w:pPr>
        <w:spacing w:after="160" w:line="259" w:lineRule="auto"/>
        <w:rPr>
          <w:rFonts w:ascii="Calibri" w:eastAsia="Yu Mincho" w:hAnsi="Calibri" w:cs="Arial"/>
        </w:rPr>
      </w:pPr>
      <w:r w:rsidRPr="00656374">
        <w:rPr>
          <w:rFonts w:ascii="Calibri" w:eastAsia="Yu Mincho" w:hAnsi="Calibri" w:cs="Arial"/>
        </w:rPr>
        <w:t xml:space="preserve">This document constitutes the review by the Department of Employment and Workplace Relations (the department) required by s 92A of the </w:t>
      </w:r>
      <w:r w:rsidRPr="00656374">
        <w:rPr>
          <w:rFonts w:ascii="Calibri" w:eastAsia="Yu Mincho" w:hAnsi="Calibri" w:cs="Arial"/>
          <w:i/>
          <w:iCs/>
        </w:rPr>
        <w:t xml:space="preserve">Fair Work (Registered Organisations) Act 2009 </w:t>
      </w:r>
      <w:r w:rsidRPr="00656374">
        <w:rPr>
          <w:rFonts w:ascii="Calibri" w:eastAsia="Yu Mincho" w:hAnsi="Calibri" w:cs="Arial"/>
        </w:rPr>
        <w:t>(</w:t>
      </w:r>
      <w:r w:rsidRPr="00656374">
        <w:rPr>
          <w:rFonts w:ascii="Calibri" w:eastAsia="Yu Mincho" w:hAnsi="Calibri" w:cs="Arial"/>
          <w:b/>
          <w:bCs/>
        </w:rPr>
        <w:t>RO Act</w:t>
      </w:r>
      <w:r w:rsidRPr="00656374">
        <w:rPr>
          <w:rFonts w:ascii="Calibri" w:eastAsia="Yu Mincho" w:hAnsi="Calibri" w:cs="Arial"/>
        </w:rPr>
        <w:t>), s 92A. That section requires:</w:t>
      </w:r>
    </w:p>
    <w:p w14:paraId="4BEBBC72" w14:textId="77777777" w:rsidR="00656374" w:rsidRPr="00656374" w:rsidRDefault="00656374" w:rsidP="00656374">
      <w:pPr>
        <w:numPr>
          <w:ilvl w:val="0"/>
          <w:numId w:val="32"/>
        </w:numPr>
        <w:spacing w:after="160" w:line="259" w:lineRule="auto"/>
        <w:contextualSpacing/>
        <w:rPr>
          <w:rFonts w:ascii="Calibri" w:eastAsia="Yu Mincho" w:hAnsi="Calibri" w:cs="Arial"/>
        </w:rPr>
      </w:pPr>
      <w:r w:rsidRPr="00656374">
        <w:rPr>
          <w:rFonts w:ascii="Calibri" w:eastAsia="Yu Mincho" w:hAnsi="Calibri" w:cs="Arial"/>
        </w:rPr>
        <w:t xml:space="preserve">the Minister to cause a review to be conducted of the operation of the amendments made to Part 3 (Withdrawal from Amalgamations) made by Schedule 1 to the </w:t>
      </w:r>
      <w:r w:rsidRPr="00656374">
        <w:rPr>
          <w:rFonts w:ascii="Calibri" w:eastAsia="Yu Mincho" w:hAnsi="Calibri" w:cs="Arial"/>
          <w:i/>
          <w:iCs/>
        </w:rPr>
        <w:t xml:space="preserve">Fair Work (Registered Organisations) Amendment (Withdrawal from Amalgamations) Act 2020 </w:t>
      </w:r>
      <w:r w:rsidRPr="00656374">
        <w:rPr>
          <w:rFonts w:ascii="Calibri" w:eastAsia="Yu Mincho" w:hAnsi="Calibri" w:cs="Arial"/>
        </w:rPr>
        <w:t>(2020 Amendment Act)</w:t>
      </w:r>
    </w:p>
    <w:p w14:paraId="2DA94A2A" w14:textId="77777777" w:rsidR="00656374" w:rsidRPr="00656374" w:rsidRDefault="00656374" w:rsidP="00656374">
      <w:pPr>
        <w:numPr>
          <w:ilvl w:val="0"/>
          <w:numId w:val="32"/>
        </w:numPr>
        <w:spacing w:after="160" w:line="259" w:lineRule="auto"/>
        <w:contextualSpacing/>
        <w:rPr>
          <w:rFonts w:ascii="Calibri" w:eastAsia="Yu Mincho" w:hAnsi="Calibri" w:cs="Arial"/>
        </w:rPr>
      </w:pPr>
      <w:r w:rsidRPr="00656374">
        <w:rPr>
          <w:rFonts w:ascii="Calibri" w:eastAsia="Yu Mincho" w:hAnsi="Calibri" w:cs="Arial"/>
        </w:rPr>
        <w:t>the review to be completed, and a written report given to the Minister, no later than the second anniversary of the day the amendments commenced (</w:t>
      </w:r>
      <w:proofErr w:type="spellStart"/>
      <w:proofErr w:type="gramStart"/>
      <w:r w:rsidRPr="00656374">
        <w:rPr>
          <w:rFonts w:ascii="Calibri" w:eastAsia="Yu Mincho" w:hAnsi="Calibri" w:cs="Arial"/>
        </w:rPr>
        <w:t>ie</w:t>
      </w:r>
      <w:proofErr w:type="spellEnd"/>
      <w:proofErr w:type="gramEnd"/>
      <w:r w:rsidRPr="00656374">
        <w:rPr>
          <w:rFonts w:ascii="Calibri" w:eastAsia="Yu Mincho" w:hAnsi="Calibri" w:cs="Arial"/>
        </w:rPr>
        <w:t xml:space="preserve"> the due date being 16 December 2022), and</w:t>
      </w:r>
    </w:p>
    <w:p w14:paraId="528F048C" w14:textId="77777777" w:rsidR="00656374" w:rsidRPr="00656374" w:rsidRDefault="00656374" w:rsidP="00656374">
      <w:pPr>
        <w:numPr>
          <w:ilvl w:val="0"/>
          <w:numId w:val="32"/>
        </w:numPr>
        <w:spacing w:after="160" w:line="259" w:lineRule="auto"/>
        <w:contextualSpacing/>
        <w:rPr>
          <w:rFonts w:ascii="Calibri" w:eastAsia="Yu Mincho" w:hAnsi="Calibri" w:cs="Arial"/>
        </w:rPr>
      </w:pPr>
      <w:r w:rsidRPr="00656374">
        <w:rPr>
          <w:rFonts w:ascii="Calibri" w:eastAsia="Yu Mincho" w:hAnsi="Calibri" w:cs="Arial"/>
        </w:rPr>
        <w:t>the Minister to cause a copy of the report to be laid before each House of the Parliament within 15 sitting days of that House after the day the Minister receives the report.</w:t>
      </w:r>
    </w:p>
    <w:p w14:paraId="53AE6026" w14:textId="77777777" w:rsidR="00656374" w:rsidRPr="00656374" w:rsidRDefault="00656374" w:rsidP="008B449C">
      <w:pPr>
        <w:spacing w:before="240" w:after="160" w:line="259" w:lineRule="auto"/>
        <w:rPr>
          <w:rFonts w:ascii="Calibri" w:eastAsia="Yu Mincho" w:hAnsi="Calibri" w:cs="Arial"/>
          <w:b/>
          <w:bCs/>
        </w:rPr>
      </w:pPr>
      <w:r w:rsidRPr="00656374">
        <w:rPr>
          <w:rFonts w:ascii="Calibri" w:eastAsia="Yu Mincho" w:hAnsi="Calibri" w:cs="Arial"/>
          <w:b/>
          <w:bCs/>
        </w:rPr>
        <w:t>Key findings</w:t>
      </w:r>
    </w:p>
    <w:p w14:paraId="63AB8438" w14:textId="77777777" w:rsidR="00656374" w:rsidRPr="00656374" w:rsidRDefault="00656374" w:rsidP="00656374">
      <w:pPr>
        <w:spacing w:after="160" w:line="259" w:lineRule="auto"/>
        <w:rPr>
          <w:rFonts w:ascii="Calibri" w:eastAsia="Yu Mincho" w:hAnsi="Calibri" w:cs="Arial"/>
        </w:rPr>
      </w:pPr>
      <w:r w:rsidRPr="00656374">
        <w:rPr>
          <w:rFonts w:ascii="Calibri" w:eastAsia="Yu Mincho" w:hAnsi="Calibri" w:cs="Arial"/>
        </w:rPr>
        <w:t>The department’s review of the provisions has been informed by analysis of the use of the relevant provisions. The department’s key findings are that:</w:t>
      </w:r>
    </w:p>
    <w:p w14:paraId="45FC4032" w14:textId="77777777" w:rsidR="00656374" w:rsidRPr="00656374" w:rsidRDefault="00656374" w:rsidP="00656374">
      <w:pPr>
        <w:numPr>
          <w:ilvl w:val="0"/>
          <w:numId w:val="33"/>
        </w:numPr>
        <w:spacing w:after="160" w:line="259" w:lineRule="auto"/>
        <w:contextualSpacing/>
        <w:rPr>
          <w:rFonts w:ascii="Calibri" w:eastAsia="Yu Mincho" w:hAnsi="Calibri" w:cs="Arial"/>
          <w:sz w:val="20"/>
          <w:szCs w:val="20"/>
        </w:rPr>
      </w:pPr>
      <w:r w:rsidRPr="00656374">
        <w:rPr>
          <w:rFonts w:ascii="Calibri" w:eastAsia="Yu Mincho" w:hAnsi="Calibri" w:cs="Arial"/>
          <w:sz w:val="20"/>
          <w:szCs w:val="20"/>
        </w:rPr>
        <w:t>there has been only one application made in reliance of the principal statutory amendment, to extend operation of the withdrawal provisions (s 94A and related amendments), which was undecided at the time of writing, meaning the operation of the provisions could not be evaluated, and</w:t>
      </w:r>
    </w:p>
    <w:p w14:paraId="79378E8F" w14:textId="77777777" w:rsidR="00656374" w:rsidRPr="00656374" w:rsidRDefault="00656374" w:rsidP="00656374">
      <w:pPr>
        <w:spacing w:after="160" w:line="259" w:lineRule="auto"/>
        <w:ind w:left="1080"/>
        <w:contextualSpacing/>
        <w:rPr>
          <w:rFonts w:ascii="Calibri" w:eastAsia="Yu Mincho" w:hAnsi="Calibri" w:cs="Arial"/>
          <w:sz w:val="20"/>
          <w:szCs w:val="20"/>
        </w:rPr>
      </w:pPr>
    </w:p>
    <w:p w14:paraId="63650054" w14:textId="77777777" w:rsidR="00656374" w:rsidRPr="00656374" w:rsidRDefault="00656374" w:rsidP="00656374">
      <w:pPr>
        <w:numPr>
          <w:ilvl w:val="0"/>
          <w:numId w:val="33"/>
        </w:numPr>
        <w:spacing w:after="160" w:line="259" w:lineRule="auto"/>
        <w:contextualSpacing/>
        <w:rPr>
          <w:rFonts w:ascii="Calibri" w:eastAsia="Yu Mincho" w:hAnsi="Calibri" w:cs="Arial"/>
          <w:sz w:val="20"/>
          <w:szCs w:val="20"/>
        </w:rPr>
      </w:pPr>
      <w:r w:rsidRPr="00656374">
        <w:rPr>
          <w:rFonts w:ascii="Calibri" w:eastAsia="Yu Mincho" w:hAnsi="Calibri" w:cs="Arial"/>
          <w:sz w:val="20"/>
          <w:szCs w:val="20"/>
        </w:rPr>
        <w:t>the remaining provisions are technical in nature and infrequently used, meaning there was only limited evidence available about their practical operation. There has been no substantive tribunal or court commentary about their operation.</w:t>
      </w:r>
    </w:p>
    <w:p w14:paraId="34CA8470" w14:textId="77777777" w:rsidR="00656374" w:rsidRPr="00656374" w:rsidRDefault="00656374" w:rsidP="008B449C">
      <w:pPr>
        <w:pStyle w:val="ListParagraph"/>
        <w:keepNext/>
        <w:keepLines/>
        <w:numPr>
          <w:ilvl w:val="0"/>
          <w:numId w:val="37"/>
        </w:numPr>
        <w:pBdr>
          <w:bottom w:val="single" w:sz="4" w:space="1" w:color="595959"/>
        </w:pBdr>
        <w:spacing w:before="360" w:after="160" w:line="259" w:lineRule="auto"/>
        <w:ind w:left="426" w:hanging="426"/>
        <w:outlineLvl w:val="0"/>
        <w:rPr>
          <w:rFonts w:ascii="Calibri Light" w:eastAsia="Yu Gothic Light" w:hAnsi="Calibri Light" w:cs="Times New Roman"/>
          <w:b/>
          <w:bCs/>
          <w:smallCaps/>
          <w:color w:val="000000"/>
          <w:sz w:val="36"/>
          <w:szCs w:val="36"/>
        </w:rPr>
      </w:pPr>
      <w:bookmarkStart w:id="3" w:name="_Toc121826055"/>
      <w:bookmarkEnd w:id="1"/>
      <w:r w:rsidRPr="00656374">
        <w:rPr>
          <w:rFonts w:ascii="Calibri Light" w:eastAsia="Yu Gothic Light" w:hAnsi="Calibri Light" w:cs="Times New Roman"/>
          <w:b/>
          <w:bCs/>
          <w:smallCaps/>
          <w:color w:val="000000"/>
          <w:sz w:val="36"/>
          <w:szCs w:val="36"/>
        </w:rPr>
        <w:t>Background: 2020 Amendment Act</w:t>
      </w:r>
      <w:bookmarkEnd w:id="3"/>
    </w:p>
    <w:p w14:paraId="58478212" w14:textId="77777777" w:rsidR="00656374" w:rsidRPr="00656374" w:rsidRDefault="00656374" w:rsidP="00656374">
      <w:pPr>
        <w:spacing w:after="160" w:line="259" w:lineRule="auto"/>
        <w:rPr>
          <w:rFonts w:ascii="Calibri" w:eastAsia="Yu Mincho" w:hAnsi="Calibri" w:cs="Arial"/>
        </w:rPr>
      </w:pPr>
      <w:r w:rsidRPr="00656374">
        <w:rPr>
          <w:rFonts w:ascii="Calibri" w:eastAsia="Yu Mincho" w:hAnsi="Calibri" w:cs="Arial"/>
        </w:rPr>
        <w:t>The RO Act provides for the registration of certain employee and employer organisations and related matters including governance. Organisations registered under the RO Act have certain rights under the </w:t>
      </w:r>
      <w:hyperlink r:id="rId20">
        <w:r w:rsidRPr="00656374">
          <w:rPr>
            <w:rFonts w:ascii="Calibri" w:eastAsia="Yu Mincho" w:hAnsi="Calibri" w:cs="Arial"/>
            <w:i/>
            <w:iCs/>
          </w:rPr>
          <w:t>Fair Work Act 2009</w:t>
        </w:r>
      </w:hyperlink>
      <w:r w:rsidRPr="00656374">
        <w:rPr>
          <w:rFonts w:ascii="Calibri" w:eastAsia="Yu Mincho" w:hAnsi="Calibri" w:cs="Arial"/>
        </w:rPr>
        <w:t> (FW Act) and other legislation, including in relation to bargaining for enterprise agreements. Registered organisations that represent the interests of employees include trade unions and professional associations, whilst registered organisations that represent the interests of employers or an industry are referred to as employer organisations.</w:t>
      </w:r>
    </w:p>
    <w:p w14:paraId="4A55CE05" w14:textId="77777777" w:rsidR="00656374" w:rsidRPr="00656374" w:rsidRDefault="00656374" w:rsidP="00656374">
      <w:pPr>
        <w:spacing w:after="160" w:line="257" w:lineRule="auto"/>
        <w:rPr>
          <w:rFonts w:ascii="Calibri" w:eastAsia="Yu Mincho" w:hAnsi="Calibri" w:cs="Arial"/>
        </w:rPr>
      </w:pPr>
      <w:r w:rsidRPr="00656374">
        <w:rPr>
          <w:rFonts w:ascii="Calibri" w:eastAsia="Calibri" w:hAnsi="Calibri" w:cs="Calibri"/>
        </w:rPr>
        <w:t>The RO Act provides for the following (amongst other things):</w:t>
      </w:r>
    </w:p>
    <w:p w14:paraId="58CD7BB8" w14:textId="77777777" w:rsidR="00656374" w:rsidRPr="00656374" w:rsidRDefault="00656374" w:rsidP="00656374">
      <w:pPr>
        <w:numPr>
          <w:ilvl w:val="0"/>
          <w:numId w:val="31"/>
        </w:numPr>
        <w:spacing w:after="160" w:line="259" w:lineRule="auto"/>
        <w:contextualSpacing/>
        <w:rPr>
          <w:rFonts w:ascii="Calibri" w:eastAsia="Calibri" w:hAnsi="Calibri" w:cs="Calibri"/>
        </w:rPr>
      </w:pPr>
      <w:r w:rsidRPr="00656374">
        <w:rPr>
          <w:rFonts w:ascii="Calibri" w:eastAsia="Calibri" w:hAnsi="Calibri" w:cs="Calibri"/>
        </w:rPr>
        <w:t>the registration of employee and employer associations (registered organisations)</w:t>
      </w:r>
    </w:p>
    <w:p w14:paraId="5E101CE1" w14:textId="77777777" w:rsidR="00656374" w:rsidRPr="00656374" w:rsidRDefault="00656374" w:rsidP="00656374">
      <w:pPr>
        <w:numPr>
          <w:ilvl w:val="0"/>
          <w:numId w:val="31"/>
        </w:numPr>
        <w:spacing w:after="160" w:line="259" w:lineRule="auto"/>
        <w:contextualSpacing/>
        <w:rPr>
          <w:rFonts w:ascii="Calibri" w:eastAsia="Calibri" w:hAnsi="Calibri" w:cs="Calibri"/>
        </w:rPr>
      </w:pPr>
      <w:r w:rsidRPr="00656374">
        <w:rPr>
          <w:rFonts w:ascii="Calibri" w:eastAsia="Calibri" w:hAnsi="Calibri" w:cs="Calibri"/>
        </w:rPr>
        <w:t>the cancellation of registration of registered organisations</w:t>
      </w:r>
    </w:p>
    <w:p w14:paraId="2B30D82E" w14:textId="77777777" w:rsidR="00656374" w:rsidRPr="00656374" w:rsidRDefault="00656374" w:rsidP="00656374">
      <w:pPr>
        <w:numPr>
          <w:ilvl w:val="0"/>
          <w:numId w:val="31"/>
        </w:numPr>
        <w:spacing w:after="160" w:line="259" w:lineRule="auto"/>
        <w:contextualSpacing/>
        <w:rPr>
          <w:rFonts w:ascii="Calibri" w:eastAsia="Calibri" w:hAnsi="Calibri" w:cs="Calibri"/>
        </w:rPr>
      </w:pPr>
      <w:r w:rsidRPr="00656374">
        <w:rPr>
          <w:rFonts w:ascii="Calibri" w:eastAsia="Calibri" w:hAnsi="Calibri" w:cs="Calibri"/>
        </w:rPr>
        <w:t>the amalgamation of, and withdrawal from amalgamation from, registered organisations and associations</w:t>
      </w:r>
    </w:p>
    <w:p w14:paraId="0BE21A88" w14:textId="77777777" w:rsidR="00656374" w:rsidRPr="00656374" w:rsidRDefault="00656374" w:rsidP="00656374">
      <w:pPr>
        <w:numPr>
          <w:ilvl w:val="0"/>
          <w:numId w:val="31"/>
        </w:numPr>
        <w:spacing w:after="160" w:line="259" w:lineRule="auto"/>
        <w:contextualSpacing/>
        <w:rPr>
          <w:rFonts w:ascii="Calibri" w:eastAsia="Calibri" w:hAnsi="Calibri" w:cs="Calibri"/>
        </w:rPr>
      </w:pPr>
      <w:r w:rsidRPr="00656374">
        <w:rPr>
          <w:rFonts w:ascii="Calibri" w:eastAsia="Calibri" w:hAnsi="Calibri" w:cs="Calibri"/>
        </w:rPr>
        <w:t xml:space="preserve">the making of orders regarding the representation rights of registered </w:t>
      </w:r>
      <w:proofErr w:type="gramStart"/>
      <w:r w:rsidRPr="00656374">
        <w:rPr>
          <w:rFonts w:ascii="Calibri" w:eastAsia="Calibri" w:hAnsi="Calibri" w:cs="Calibri"/>
        </w:rPr>
        <w:t>organisations;</w:t>
      </w:r>
      <w:proofErr w:type="gramEnd"/>
    </w:p>
    <w:p w14:paraId="7C208142" w14:textId="77777777" w:rsidR="00656374" w:rsidRPr="00656374" w:rsidRDefault="00656374" w:rsidP="00656374">
      <w:pPr>
        <w:numPr>
          <w:ilvl w:val="0"/>
          <w:numId w:val="31"/>
        </w:numPr>
        <w:spacing w:after="160" w:line="259" w:lineRule="auto"/>
        <w:contextualSpacing/>
        <w:rPr>
          <w:rFonts w:ascii="Calibri" w:eastAsia="Calibri" w:hAnsi="Calibri" w:cs="Calibri"/>
        </w:rPr>
      </w:pPr>
      <w:r w:rsidRPr="00656374">
        <w:rPr>
          <w:rFonts w:ascii="Calibri" w:eastAsia="Calibri" w:hAnsi="Calibri" w:cs="Calibri"/>
        </w:rPr>
        <w:t>requirements for the rules of registered organisations</w:t>
      </w:r>
    </w:p>
    <w:p w14:paraId="060BC77A" w14:textId="77777777" w:rsidR="00656374" w:rsidRPr="00656374" w:rsidRDefault="00656374" w:rsidP="00656374">
      <w:pPr>
        <w:numPr>
          <w:ilvl w:val="0"/>
          <w:numId w:val="31"/>
        </w:numPr>
        <w:spacing w:after="160" w:line="259" w:lineRule="auto"/>
        <w:contextualSpacing/>
        <w:rPr>
          <w:rFonts w:ascii="Calibri" w:eastAsia="Calibri" w:hAnsi="Calibri" w:cs="Calibri"/>
        </w:rPr>
      </w:pPr>
      <w:r w:rsidRPr="00656374">
        <w:rPr>
          <w:rFonts w:ascii="Calibri" w:eastAsia="Calibri" w:hAnsi="Calibri" w:cs="Calibri"/>
        </w:rPr>
        <w:t>entitlements to become and remain a member and the termination of membership of registered organisations</w:t>
      </w:r>
    </w:p>
    <w:p w14:paraId="0CF04899" w14:textId="77777777" w:rsidR="00656374" w:rsidRPr="00656374" w:rsidRDefault="00656374" w:rsidP="00656374">
      <w:pPr>
        <w:numPr>
          <w:ilvl w:val="0"/>
          <w:numId w:val="31"/>
        </w:numPr>
        <w:spacing w:after="160" w:line="259" w:lineRule="auto"/>
        <w:contextualSpacing/>
        <w:rPr>
          <w:rFonts w:ascii="Calibri" w:eastAsia="Calibri" w:hAnsi="Calibri" w:cs="Calibri"/>
        </w:rPr>
      </w:pPr>
      <w:r w:rsidRPr="00656374">
        <w:rPr>
          <w:rFonts w:ascii="Calibri" w:eastAsia="Calibri" w:hAnsi="Calibri" w:cs="Calibri"/>
        </w:rPr>
        <w:lastRenderedPageBreak/>
        <w:t>the democratic control of registered organisations including the conduct of elections for office</w:t>
      </w:r>
    </w:p>
    <w:p w14:paraId="791DCEAD" w14:textId="77777777" w:rsidR="00656374" w:rsidRPr="00656374" w:rsidRDefault="00656374" w:rsidP="00656374">
      <w:pPr>
        <w:numPr>
          <w:ilvl w:val="0"/>
          <w:numId w:val="31"/>
        </w:numPr>
        <w:spacing w:after="160" w:line="259" w:lineRule="auto"/>
        <w:contextualSpacing/>
        <w:rPr>
          <w:rFonts w:ascii="Calibri" w:eastAsia="Calibri" w:hAnsi="Calibri" w:cs="Calibri"/>
        </w:rPr>
      </w:pPr>
      <w:r w:rsidRPr="00656374">
        <w:rPr>
          <w:rFonts w:ascii="Calibri" w:eastAsia="Calibri" w:hAnsi="Calibri" w:cs="Calibri"/>
        </w:rPr>
        <w:t>the keeping, reporting and lodgement of financial records and accounts, and disclosure obligations, of registered organisations</w:t>
      </w:r>
    </w:p>
    <w:p w14:paraId="078EAC6D" w14:textId="77777777" w:rsidR="00656374" w:rsidRPr="00656374" w:rsidRDefault="00656374" w:rsidP="00656374">
      <w:pPr>
        <w:numPr>
          <w:ilvl w:val="0"/>
          <w:numId w:val="31"/>
        </w:numPr>
        <w:spacing w:after="160" w:line="259" w:lineRule="auto"/>
        <w:contextualSpacing/>
        <w:rPr>
          <w:rFonts w:ascii="Calibri" w:eastAsia="Calibri" w:hAnsi="Calibri" w:cs="Calibri"/>
        </w:rPr>
      </w:pPr>
      <w:r w:rsidRPr="00656374">
        <w:rPr>
          <w:rFonts w:ascii="Calibri" w:eastAsia="Calibri" w:hAnsi="Calibri" w:cs="Calibri"/>
        </w:rPr>
        <w:t>the duties of officers of registered organisations</w:t>
      </w:r>
    </w:p>
    <w:p w14:paraId="07798288" w14:textId="77777777" w:rsidR="00656374" w:rsidRPr="00656374" w:rsidRDefault="00656374" w:rsidP="00656374">
      <w:pPr>
        <w:numPr>
          <w:ilvl w:val="0"/>
          <w:numId w:val="31"/>
        </w:numPr>
        <w:spacing w:after="160" w:line="259" w:lineRule="auto"/>
        <w:contextualSpacing/>
        <w:rPr>
          <w:rFonts w:ascii="Calibri" w:eastAsia="Calibri" w:hAnsi="Calibri" w:cs="Calibri"/>
        </w:rPr>
      </w:pPr>
      <w:r w:rsidRPr="00656374">
        <w:rPr>
          <w:rFonts w:ascii="Calibri" w:eastAsia="Calibri" w:hAnsi="Calibri" w:cs="Calibri"/>
        </w:rPr>
        <w:t>the imposition of civil penalties and bringing proceedings for contraventions of the RO Act</w:t>
      </w:r>
    </w:p>
    <w:p w14:paraId="5B913FF8" w14:textId="77777777" w:rsidR="00656374" w:rsidRPr="00656374" w:rsidRDefault="00656374" w:rsidP="00656374">
      <w:pPr>
        <w:numPr>
          <w:ilvl w:val="0"/>
          <w:numId w:val="31"/>
        </w:numPr>
        <w:spacing w:after="160" w:line="259" w:lineRule="auto"/>
        <w:contextualSpacing/>
        <w:rPr>
          <w:rFonts w:ascii="Calibri" w:eastAsia="Calibri" w:hAnsi="Calibri" w:cs="Calibri"/>
        </w:rPr>
      </w:pPr>
      <w:r w:rsidRPr="00656374">
        <w:rPr>
          <w:rFonts w:ascii="Calibri" w:eastAsia="Calibri" w:hAnsi="Calibri" w:cs="Calibri"/>
        </w:rPr>
        <w:t xml:space="preserve">the establishment, and the functions and powers, of the Registered Organisations Commissioner (the RO Commissioner) and the Registered Organisations Commission (the ROC) (noting that the </w:t>
      </w:r>
      <w:r w:rsidRPr="00656374">
        <w:rPr>
          <w:rFonts w:ascii="Calibri" w:eastAsia="Calibri" w:hAnsi="Calibri" w:cs="Calibri"/>
          <w:i/>
          <w:iCs/>
        </w:rPr>
        <w:t>Fair Work Legislation Amendment (Secure Jobs, Better Pay) Act 2022</w:t>
      </w:r>
      <w:r w:rsidRPr="00656374">
        <w:rPr>
          <w:rFonts w:ascii="Calibri" w:eastAsia="Calibri" w:hAnsi="Calibri" w:cs="Calibri"/>
        </w:rPr>
        <w:t xml:space="preserve"> will abolish the office of RO Commissioner and the ROC)</w:t>
      </w:r>
    </w:p>
    <w:p w14:paraId="6E4FFF82" w14:textId="77777777" w:rsidR="00656374" w:rsidRPr="00656374" w:rsidRDefault="00656374" w:rsidP="00656374">
      <w:pPr>
        <w:numPr>
          <w:ilvl w:val="0"/>
          <w:numId w:val="31"/>
        </w:numPr>
        <w:spacing w:after="160" w:line="259" w:lineRule="auto"/>
        <w:contextualSpacing/>
        <w:rPr>
          <w:rFonts w:ascii="Calibri" w:eastAsia="Calibri" w:hAnsi="Calibri" w:cs="Calibri"/>
        </w:rPr>
      </w:pPr>
      <w:r w:rsidRPr="00656374">
        <w:rPr>
          <w:rFonts w:ascii="Calibri" w:eastAsia="Calibri" w:hAnsi="Calibri" w:cs="Calibri"/>
        </w:rPr>
        <w:t>the functions and powers of the General Manager and the Fair Work Commission (FWC) with respect to the RO Act</w:t>
      </w:r>
    </w:p>
    <w:p w14:paraId="0E0A0615" w14:textId="77777777" w:rsidR="00656374" w:rsidRPr="00656374" w:rsidRDefault="00656374" w:rsidP="00656374">
      <w:pPr>
        <w:numPr>
          <w:ilvl w:val="0"/>
          <w:numId w:val="31"/>
        </w:numPr>
        <w:spacing w:after="160" w:line="259" w:lineRule="auto"/>
        <w:contextualSpacing/>
        <w:rPr>
          <w:rFonts w:ascii="Calibri" w:eastAsia="Calibri" w:hAnsi="Calibri" w:cs="Calibri"/>
        </w:rPr>
      </w:pPr>
      <w:r w:rsidRPr="00656374">
        <w:rPr>
          <w:rFonts w:ascii="Calibri" w:eastAsia="Calibri" w:hAnsi="Calibri" w:cs="Calibri"/>
        </w:rPr>
        <w:t>the conduct of inquiries and investigations, and</w:t>
      </w:r>
    </w:p>
    <w:p w14:paraId="3197FDD1" w14:textId="77777777" w:rsidR="00656374" w:rsidRPr="00656374" w:rsidRDefault="00656374" w:rsidP="00656374">
      <w:pPr>
        <w:numPr>
          <w:ilvl w:val="0"/>
          <w:numId w:val="31"/>
        </w:numPr>
        <w:spacing w:after="160" w:line="259" w:lineRule="auto"/>
        <w:contextualSpacing/>
        <w:rPr>
          <w:rFonts w:ascii="Calibri" w:eastAsia="Calibri" w:hAnsi="Calibri" w:cs="Calibri"/>
        </w:rPr>
      </w:pPr>
      <w:r w:rsidRPr="00656374">
        <w:rPr>
          <w:rFonts w:ascii="Calibri" w:eastAsia="Calibri" w:hAnsi="Calibri" w:cs="Calibri"/>
        </w:rPr>
        <w:t xml:space="preserve">protections for </w:t>
      </w:r>
      <w:proofErr w:type="spellStart"/>
      <w:r w:rsidRPr="00656374">
        <w:rPr>
          <w:rFonts w:ascii="Calibri" w:eastAsia="Calibri" w:hAnsi="Calibri" w:cs="Calibri"/>
        </w:rPr>
        <w:t>whistleblowers</w:t>
      </w:r>
      <w:proofErr w:type="spellEnd"/>
      <w:r w:rsidRPr="00656374">
        <w:rPr>
          <w:rFonts w:ascii="Calibri" w:eastAsia="Calibri" w:hAnsi="Calibri" w:cs="Calibri"/>
        </w:rPr>
        <w:t>.</w:t>
      </w:r>
    </w:p>
    <w:p w14:paraId="2EF0F885" w14:textId="77777777" w:rsidR="00656374" w:rsidRPr="00656374" w:rsidRDefault="00656374" w:rsidP="008B449C">
      <w:pPr>
        <w:spacing w:before="240" w:after="160" w:line="259" w:lineRule="auto"/>
        <w:rPr>
          <w:rFonts w:ascii="Calibri" w:eastAsia="Yu Mincho" w:hAnsi="Calibri" w:cs="Arial"/>
        </w:rPr>
      </w:pPr>
      <w:r w:rsidRPr="00656374">
        <w:rPr>
          <w:rFonts w:ascii="Calibri" w:eastAsia="Yu Mincho" w:hAnsi="Calibri" w:cs="Arial"/>
        </w:rPr>
        <w:t>Part 2 of Chapter 3 of the RO Act provides a framework for two or more organisations to amalgamate, and Part 3 sets out a process that enables a constituent part of the amalgamated organisation to withdraw from the amalgamated organisation. An application can be made to the FWC for a ballot to allow members of the constituent part to vote on whether that part of an amalgamated organisation can withdraw from the organisation.</w:t>
      </w:r>
    </w:p>
    <w:p w14:paraId="6D7AC5A1" w14:textId="77777777" w:rsidR="00656374" w:rsidRPr="00656374" w:rsidRDefault="00656374" w:rsidP="00656374">
      <w:pPr>
        <w:spacing w:after="160" w:line="259" w:lineRule="auto"/>
        <w:rPr>
          <w:rFonts w:ascii="Calibri" w:eastAsia="Yu Mincho" w:hAnsi="Calibri" w:cs="Arial"/>
        </w:rPr>
      </w:pPr>
      <w:r w:rsidRPr="00656374">
        <w:rPr>
          <w:rFonts w:ascii="Calibri" w:eastAsia="Yu Mincho" w:hAnsi="Calibri" w:cs="Arial"/>
        </w:rPr>
        <w:t xml:space="preserve">The 2020 Amendment Act addressed the time limitation in the RO Act by establishing a procedure by which a constituent part of an amalgamated organisation may withdraw from that organisation beyond the </w:t>
      </w:r>
      <w:proofErr w:type="gramStart"/>
      <w:r w:rsidRPr="00656374">
        <w:rPr>
          <w:rFonts w:ascii="Calibri" w:eastAsia="Yu Mincho" w:hAnsi="Calibri" w:cs="Arial"/>
        </w:rPr>
        <w:t>five year</w:t>
      </w:r>
      <w:proofErr w:type="gramEnd"/>
      <w:r w:rsidRPr="00656374">
        <w:rPr>
          <w:rFonts w:ascii="Calibri" w:eastAsia="Yu Mincho" w:hAnsi="Calibri" w:cs="Arial"/>
        </w:rPr>
        <w:t xml:space="preserve"> time limit (RO Act, s 94A). In such circumstances, the FWC may accept an application from a constituent part to hold a ballot of its members on the question of whether to withdraw from an amalgamated organisation if the FWC is satisfied it is appropriate to accept the application having regard to the following matters:</w:t>
      </w:r>
    </w:p>
    <w:p w14:paraId="19FC9DFD" w14:textId="77777777" w:rsidR="00656374" w:rsidRPr="00656374" w:rsidRDefault="00656374" w:rsidP="00656374">
      <w:pPr>
        <w:numPr>
          <w:ilvl w:val="0"/>
          <w:numId w:val="36"/>
        </w:numPr>
        <w:spacing w:after="160" w:line="259" w:lineRule="auto"/>
        <w:contextualSpacing/>
        <w:rPr>
          <w:rFonts w:ascii="Calibri" w:eastAsia="Yu Mincho" w:hAnsi="Calibri" w:cs="Arial"/>
          <w:sz w:val="20"/>
          <w:szCs w:val="20"/>
        </w:rPr>
      </w:pPr>
      <w:r w:rsidRPr="00656374">
        <w:rPr>
          <w:rFonts w:ascii="Calibri" w:eastAsia="Yu Mincho" w:hAnsi="Calibri" w:cs="Arial"/>
          <w:sz w:val="20"/>
          <w:szCs w:val="20"/>
        </w:rPr>
        <w:t>whether the amalgamated organisation has a record of not complying with workplace or safety laws (as defined in the amendments) and any contribution of the constituent part to that record, and</w:t>
      </w:r>
    </w:p>
    <w:p w14:paraId="0B45A6FD" w14:textId="77777777" w:rsidR="00656374" w:rsidRPr="00656374" w:rsidRDefault="00656374" w:rsidP="00656374">
      <w:pPr>
        <w:numPr>
          <w:ilvl w:val="0"/>
          <w:numId w:val="36"/>
        </w:numPr>
        <w:spacing w:after="160" w:line="259" w:lineRule="auto"/>
        <w:contextualSpacing/>
        <w:rPr>
          <w:rFonts w:ascii="Calibri" w:eastAsia="Yu Mincho" w:hAnsi="Calibri" w:cs="Arial"/>
          <w:sz w:val="20"/>
          <w:szCs w:val="20"/>
        </w:rPr>
      </w:pPr>
      <w:r w:rsidRPr="00656374">
        <w:rPr>
          <w:rFonts w:ascii="Calibri" w:eastAsia="Yu Mincho" w:hAnsi="Calibri" w:cs="Arial"/>
          <w:sz w:val="20"/>
          <w:szCs w:val="20"/>
        </w:rPr>
        <w:t>the likely capacity of the constituent part seeking to withdraw to promote and protect the economic and social interests of its members as an independent registered organisation.</w:t>
      </w:r>
    </w:p>
    <w:p w14:paraId="0A23F49B" w14:textId="77777777" w:rsidR="00656374" w:rsidRPr="00656374" w:rsidRDefault="00656374" w:rsidP="008B449C">
      <w:pPr>
        <w:spacing w:before="240" w:after="160" w:line="259" w:lineRule="auto"/>
        <w:rPr>
          <w:rFonts w:ascii="Calibri" w:eastAsia="Yu Mincho" w:hAnsi="Calibri" w:cs="Arial"/>
        </w:rPr>
      </w:pPr>
      <w:r w:rsidRPr="00656374">
        <w:rPr>
          <w:rFonts w:ascii="Calibri" w:eastAsia="Yu Mincho" w:hAnsi="Calibri" w:cs="Arial"/>
        </w:rPr>
        <w:t>The Explanatory Memorandum to the 2020 Amendment Act stated the underlying objective was to uphold the principle of freedom of association, by giving all constituent parts of amalgamated organisations ‘the freedom to decide on the governance and structure that will allow them to best represent the interests of their members’. The second reading speech further explained that the intention was to ‘give greater flexibility to constituent parts, such as branches and divisions, of amalgamated registered organisations by providing them with an opportunity to withdraw from an amalgamation if that will better serve them and their members’.</w:t>
      </w:r>
      <w:r w:rsidRPr="00656374">
        <w:rPr>
          <w:rFonts w:ascii="Calibri" w:eastAsia="Yu Mincho" w:hAnsi="Calibri" w:cs="Arial"/>
          <w:vertAlign w:val="superscript"/>
        </w:rPr>
        <w:footnoteReference w:id="1"/>
      </w:r>
    </w:p>
    <w:p w14:paraId="206B96BB" w14:textId="77777777" w:rsidR="00656374" w:rsidRPr="00656374" w:rsidRDefault="00656374" w:rsidP="00656374">
      <w:pPr>
        <w:spacing w:after="160" w:line="259" w:lineRule="auto"/>
        <w:rPr>
          <w:rFonts w:ascii="Calibri" w:eastAsia="Yu Mincho" w:hAnsi="Calibri" w:cs="Arial"/>
        </w:rPr>
      </w:pPr>
      <w:r w:rsidRPr="00656374">
        <w:rPr>
          <w:rFonts w:ascii="Calibri" w:eastAsia="Yu Mincho" w:hAnsi="Calibri" w:cs="Arial"/>
        </w:rPr>
        <w:t>The 2020 Amendment Act also amended the RO Act to:</w:t>
      </w:r>
    </w:p>
    <w:p w14:paraId="5A825528" w14:textId="77777777" w:rsidR="00656374" w:rsidRPr="00656374" w:rsidRDefault="00656374" w:rsidP="00656374">
      <w:pPr>
        <w:numPr>
          <w:ilvl w:val="0"/>
          <w:numId w:val="34"/>
        </w:numPr>
        <w:spacing w:after="160" w:line="259" w:lineRule="auto"/>
        <w:contextualSpacing/>
        <w:rPr>
          <w:rFonts w:ascii="Calibri" w:eastAsia="Yu Mincho" w:hAnsi="Calibri" w:cs="Arial"/>
          <w:sz w:val="20"/>
          <w:szCs w:val="20"/>
        </w:rPr>
      </w:pPr>
      <w:r w:rsidRPr="00656374">
        <w:rPr>
          <w:rFonts w:ascii="Calibri" w:eastAsia="Yu Mincho" w:hAnsi="Calibri" w:cs="Arial"/>
          <w:sz w:val="20"/>
          <w:szCs w:val="20"/>
        </w:rPr>
        <w:t>provide for the naming and rules of the new organisation and amalgamated organisation (s 95A)</w:t>
      </w:r>
    </w:p>
    <w:p w14:paraId="5509B579" w14:textId="77777777" w:rsidR="00656374" w:rsidRPr="00656374" w:rsidRDefault="00656374" w:rsidP="00656374">
      <w:pPr>
        <w:numPr>
          <w:ilvl w:val="0"/>
          <w:numId w:val="34"/>
        </w:numPr>
        <w:spacing w:after="160" w:line="259" w:lineRule="auto"/>
        <w:contextualSpacing/>
        <w:rPr>
          <w:rFonts w:ascii="Calibri" w:eastAsia="Yu Mincho" w:hAnsi="Calibri" w:cs="Arial"/>
          <w:sz w:val="20"/>
          <w:szCs w:val="20"/>
        </w:rPr>
      </w:pPr>
      <w:r w:rsidRPr="00656374">
        <w:rPr>
          <w:rFonts w:ascii="Calibri" w:eastAsia="Yu Mincho" w:hAnsi="Calibri" w:cs="Arial"/>
          <w:sz w:val="20"/>
          <w:szCs w:val="20"/>
        </w:rPr>
        <w:t>amend the rules for giving effect to ballots, to determine the assets and liabilities etc. of the new organisation (s 109(2))</w:t>
      </w:r>
    </w:p>
    <w:p w14:paraId="7083C9E8" w14:textId="77777777" w:rsidR="00656374" w:rsidRPr="00656374" w:rsidRDefault="00656374" w:rsidP="00656374">
      <w:pPr>
        <w:numPr>
          <w:ilvl w:val="0"/>
          <w:numId w:val="34"/>
        </w:numPr>
        <w:spacing w:after="160" w:line="259" w:lineRule="auto"/>
        <w:contextualSpacing/>
        <w:rPr>
          <w:rFonts w:ascii="Calibri" w:eastAsia="Yu Mincho" w:hAnsi="Calibri" w:cs="Arial"/>
          <w:sz w:val="20"/>
          <w:szCs w:val="20"/>
        </w:rPr>
      </w:pPr>
      <w:r w:rsidRPr="00656374">
        <w:rPr>
          <w:rFonts w:ascii="Calibri" w:eastAsia="Yu Mincho" w:hAnsi="Calibri" w:cs="Arial"/>
          <w:sz w:val="20"/>
          <w:szCs w:val="20"/>
        </w:rPr>
        <w:t>specify when the rules of the amalgamated organisation and newly registered organisation take effect (s 110A)</w:t>
      </w:r>
    </w:p>
    <w:p w14:paraId="0AE5B927" w14:textId="77777777" w:rsidR="00656374" w:rsidRPr="00656374" w:rsidRDefault="00656374" w:rsidP="00656374">
      <w:pPr>
        <w:numPr>
          <w:ilvl w:val="0"/>
          <w:numId w:val="34"/>
        </w:numPr>
        <w:spacing w:after="160" w:line="259" w:lineRule="auto"/>
        <w:contextualSpacing/>
        <w:rPr>
          <w:rFonts w:ascii="Calibri" w:eastAsia="Yu Mincho" w:hAnsi="Calibri" w:cs="Arial"/>
          <w:sz w:val="20"/>
          <w:szCs w:val="20"/>
        </w:rPr>
      </w:pPr>
      <w:r w:rsidRPr="00656374">
        <w:rPr>
          <w:rFonts w:ascii="Calibri" w:eastAsia="Yu Mincho" w:hAnsi="Calibri" w:cs="Arial"/>
          <w:sz w:val="20"/>
          <w:szCs w:val="20"/>
        </w:rPr>
        <w:lastRenderedPageBreak/>
        <w:t>establish a process for the FWC to accept undertakings in the specified circumstances (s 110B)</w:t>
      </w:r>
    </w:p>
    <w:p w14:paraId="29FCC7FD" w14:textId="77777777" w:rsidR="00656374" w:rsidRPr="00656374" w:rsidRDefault="00656374" w:rsidP="00656374">
      <w:pPr>
        <w:numPr>
          <w:ilvl w:val="0"/>
          <w:numId w:val="34"/>
        </w:numPr>
        <w:spacing w:after="160" w:line="259" w:lineRule="auto"/>
        <w:contextualSpacing/>
        <w:rPr>
          <w:rFonts w:ascii="Calibri" w:eastAsia="Yu Mincho" w:hAnsi="Calibri" w:cs="Arial"/>
          <w:sz w:val="20"/>
          <w:szCs w:val="20"/>
        </w:rPr>
      </w:pPr>
      <w:r w:rsidRPr="00656374">
        <w:rPr>
          <w:rFonts w:ascii="Calibri" w:eastAsia="Yu Mincho" w:hAnsi="Calibri" w:cs="Arial"/>
          <w:sz w:val="20"/>
          <w:szCs w:val="20"/>
        </w:rPr>
        <w:t>establish a process for the constituent part’s members to cease being members of the amalgamated organisations (and become a member of the newly registered organisation) (s 111)</w:t>
      </w:r>
    </w:p>
    <w:p w14:paraId="6190FEF0" w14:textId="77777777" w:rsidR="00656374" w:rsidRPr="00656374" w:rsidRDefault="00656374" w:rsidP="00656374">
      <w:pPr>
        <w:numPr>
          <w:ilvl w:val="0"/>
          <w:numId w:val="34"/>
        </w:numPr>
        <w:spacing w:after="160" w:line="259" w:lineRule="auto"/>
        <w:contextualSpacing/>
        <w:rPr>
          <w:rFonts w:ascii="Calibri" w:eastAsia="Yu Mincho" w:hAnsi="Calibri" w:cs="Arial"/>
          <w:sz w:val="20"/>
          <w:szCs w:val="20"/>
        </w:rPr>
      </w:pPr>
      <w:r w:rsidRPr="00656374">
        <w:rPr>
          <w:rFonts w:ascii="Calibri" w:eastAsia="Yu Mincho" w:hAnsi="Calibri" w:cs="Arial"/>
          <w:sz w:val="20"/>
          <w:szCs w:val="20"/>
        </w:rPr>
        <w:t>establish procedural requirements for ballot applications, whether postal or other forms (</w:t>
      </w:r>
      <w:proofErr w:type="spellStart"/>
      <w:proofErr w:type="gramStart"/>
      <w:r w:rsidRPr="00656374">
        <w:rPr>
          <w:rFonts w:ascii="Calibri" w:eastAsia="Yu Mincho" w:hAnsi="Calibri" w:cs="Arial"/>
          <w:sz w:val="20"/>
          <w:szCs w:val="20"/>
        </w:rPr>
        <w:t>eg</w:t>
      </w:r>
      <w:proofErr w:type="spellEnd"/>
      <w:proofErr w:type="gramEnd"/>
      <w:r w:rsidRPr="00656374">
        <w:rPr>
          <w:rFonts w:ascii="Calibri" w:eastAsia="Yu Mincho" w:hAnsi="Calibri" w:cs="Arial"/>
          <w:sz w:val="20"/>
          <w:szCs w:val="20"/>
        </w:rPr>
        <w:t xml:space="preserve"> attendance ballot) (s 102(2) – (4))</w:t>
      </w:r>
    </w:p>
    <w:p w14:paraId="129128B6" w14:textId="77777777" w:rsidR="00656374" w:rsidRPr="00656374" w:rsidRDefault="00656374" w:rsidP="00656374">
      <w:pPr>
        <w:numPr>
          <w:ilvl w:val="0"/>
          <w:numId w:val="34"/>
        </w:numPr>
        <w:spacing w:after="160" w:line="259" w:lineRule="auto"/>
        <w:contextualSpacing/>
        <w:rPr>
          <w:rFonts w:ascii="Calibri" w:eastAsia="Yu Mincho" w:hAnsi="Calibri" w:cs="Arial"/>
          <w:sz w:val="20"/>
          <w:szCs w:val="20"/>
        </w:rPr>
      </w:pPr>
      <w:r w:rsidRPr="00656374">
        <w:rPr>
          <w:rFonts w:ascii="Calibri" w:eastAsia="Yu Mincho" w:hAnsi="Calibri" w:cs="Arial"/>
          <w:sz w:val="20"/>
          <w:szCs w:val="20"/>
        </w:rPr>
        <w:t>permit a ballot to be conducted by a designated official (rather than the Australian Electoral Commission) in certain circumstances (ss 102(1A), 103(1A) – (1C)), and</w:t>
      </w:r>
    </w:p>
    <w:p w14:paraId="65D39AB1" w14:textId="77777777" w:rsidR="00656374" w:rsidRPr="00656374" w:rsidRDefault="00656374" w:rsidP="00656374">
      <w:pPr>
        <w:numPr>
          <w:ilvl w:val="0"/>
          <w:numId w:val="34"/>
        </w:numPr>
        <w:spacing w:after="160" w:line="259" w:lineRule="auto"/>
        <w:contextualSpacing/>
        <w:rPr>
          <w:rFonts w:ascii="Calibri" w:eastAsia="Yu Mincho" w:hAnsi="Calibri" w:cs="Arial"/>
          <w:sz w:val="20"/>
          <w:szCs w:val="20"/>
        </w:rPr>
      </w:pPr>
      <w:r w:rsidRPr="00656374">
        <w:rPr>
          <w:rFonts w:ascii="Calibri" w:eastAsia="Yu Mincho" w:hAnsi="Calibri" w:cs="Arial"/>
          <w:sz w:val="20"/>
          <w:szCs w:val="20"/>
        </w:rPr>
        <w:t>make technical amendments to support the substantive amendments.</w:t>
      </w:r>
    </w:p>
    <w:p w14:paraId="01E26A92" w14:textId="77777777" w:rsidR="00656374" w:rsidRPr="00656374" w:rsidRDefault="00656374" w:rsidP="008B449C">
      <w:pPr>
        <w:spacing w:before="240" w:after="160" w:line="259" w:lineRule="auto"/>
        <w:rPr>
          <w:rFonts w:ascii="Calibri" w:eastAsia="Yu Mincho" w:hAnsi="Calibri" w:cs="Arial"/>
        </w:rPr>
      </w:pPr>
      <w:r w:rsidRPr="00656374">
        <w:rPr>
          <w:rFonts w:ascii="Calibri" w:eastAsia="Yu Mincho" w:hAnsi="Calibri" w:cs="Arial"/>
        </w:rPr>
        <w:t xml:space="preserve">In 2022 the </w:t>
      </w:r>
      <w:r w:rsidRPr="00656374">
        <w:rPr>
          <w:rFonts w:ascii="Calibri" w:eastAsia="Yu Mincho" w:hAnsi="Calibri" w:cs="Arial"/>
          <w:i/>
          <w:iCs/>
        </w:rPr>
        <w:t>Fair Work Legislation Amendment (Secure Jobs, Better Pay) Act 2022</w:t>
      </w:r>
      <w:r w:rsidRPr="00656374">
        <w:rPr>
          <w:rFonts w:ascii="Calibri" w:eastAsia="Yu Mincho" w:hAnsi="Calibri" w:cs="Arial"/>
        </w:rPr>
        <w:t xml:space="preserve"> was enacted, and included substantial amendments to the RO Act, including by abolishing the ROC and transferring the relevant functions to the General Manager of the FWC. (At the time of writing this report, the relevant amendments were yet to commence). No amendments were made however to the provisions under review here.</w:t>
      </w:r>
    </w:p>
    <w:p w14:paraId="661F1696" w14:textId="77777777" w:rsidR="00656374" w:rsidRPr="00656374" w:rsidRDefault="00656374" w:rsidP="008B449C">
      <w:pPr>
        <w:pStyle w:val="Heading1"/>
        <w:numPr>
          <w:ilvl w:val="0"/>
          <w:numId w:val="37"/>
        </w:numPr>
        <w:pBdr>
          <w:bottom w:val="single" w:sz="4" w:space="1" w:color="595959" w:themeColor="text1" w:themeTint="A6"/>
        </w:pBdr>
        <w:spacing w:before="360" w:after="160" w:line="259" w:lineRule="auto"/>
        <w:ind w:left="432" w:hanging="432"/>
        <w:rPr>
          <w:rFonts w:ascii="Calibri Light" w:eastAsia="Yu Gothic Light" w:hAnsi="Calibri Light" w:cs="Times New Roman"/>
          <w:bCs/>
          <w:smallCaps/>
          <w:color w:val="000000"/>
          <w:sz w:val="36"/>
          <w:szCs w:val="36"/>
        </w:rPr>
      </w:pPr>
      <w:bookmarkStart w:id="4" w:name="_Toc121826056"/>
      <w:r w:rsidRPr="00656374">
        <w:rPr>
          <w:rFonts w:ascii="Calibri Light" w:eastAsia="Yu Gothic Light" w:hAnsi="Calibri Light" w:cs="Times New Roman"/>
          <w:bCs/>
          <w:smallCaps/>
          <w:color w:val="000000"/>
          <w:sz w:val="36"/>
          <w:szCs w:val="36"/>
        </w:rPr>
        <w:t>Operation of the principal statutory provisions:  The withdrawal/de-merger provisions, ss 94, 94A</w:t>
      </w:r>
      <w:bookmarkEnd w:id="4"/>
    </w:p>
    <w:p w14:paraId="51B2777F" w14:textId="77777777" w:rsidR="00656374" w:rsidRPr="00656374" w:rsidRDefault="00656374" w:rsidP="00656374">
      <w:pPr>
        <w:spacing w:after="160" w:line="259" w:lineRule="auto"/>
        <w:rPr>
          <w:rFonts w:ascii="Calibri" w:eastAsia="Yu Mincho" w:hAnsi="Calibri" w:cs="Calibri"/>
        </w:rPr>
      </w:pPr>
      <w:r w:rsidRPr="00656374">
        <w:rPr>
          <w:rFonts w:ascii="Calibri" w:eastAsia="Yu Mincho" w:hAnsi="Calibri" w:cs="Calibri"/>
        </w:rPr>
        <w:t>Chapter 3 of the RO Act deals with both amalgamation and withdrawal from amalgamation, the first in Part 2 (ss 35–91), the second in Part 3 (ss 92–131).</w:t>
      </w:r>
    </w:p>
    <w:p w14:paraId="469F2F68" w14:textId="77777777" w:rsidR="00656374" w:rsidRPr="00656374" w:rsidRDefault="00656374" w:rsidP="00656374">
      <w:pPr>
        <w:spacing w:after="160" w:line="259" w:lineRule="auto"/>
        <w:rPr>
          <w:rFonts w:ascii="Calibri" w:eastAsia="Yu Mincho" w:hAnsi="Calibri" w:cs="Calibri"/>
        </w:rPr>
      </w:pPr>
      <w:r w:rsidRPr="00656374">
        <w:rPr>
          <w:rFonts w:ascii="Calibri" w:eastAsia="Yu Mincho" w:hAnsi="Calibri" w:cs="Calibri"/>
        </w:rPr>
        <w:t>The objects of Part 3 are set out in section 92, which reads:</w:t>
      </w:r>
    </w:p>
    <w:p w14:paraId="63EA94AD" w14:textId="77777777" w:rsidR="00656374" w:rsidRPr="00656374" w:rsidRDefault="00656374" w:rsidP="00B8601A">
      <w:pPr>
        <w:shd w:val="clear" w:color="auto" w:fill="FFFFFF"/>
        <w:spacing w:after="0" w:line="240" w:lineRule="auto"/>
        <w:ind w:left="709" w:right="1017"/>
        <w:jc w:val="both"/>
        <w:textAlignment w:val="baseline"/>
        <w:rPr>
          <w:rFonts w:ascii="Calibri" w:eastAsia="Times New Roman" w:hAnsi="Calibri" w:cs="Calibri"/>
          <w:color w:val="000000"/>
          <w:sz w:val="20"/>
          <w:szCs w:val="20"/>
          <w:lang w:eastAsia="en-AU"/>
        </w:rPr>
      </w:pPr>
      <w:r w:rsidRPr="00656374">
        <w:rPr>
          <w:rFonts w:ascii="Calibri" w:eastAsia="Times New Roman" w:hAnsi="Calibri" w:cs="Calibri"/>
          <w:b/>
          <w:bCs/>
          <w:color w:val="000000"/>
          <w:sz w:val="20"/>
          <w:szCs w:val="20"/>
          <w:bdr w:val="none" w:sz="0" w:space="0" w:color="auto" w:frame="1"/>
          <w:lang w:eastAsia="en-AU"/>
        </w:rPr>
        <w:t>92    Object of Part</w:t>
      </w:r>
    </w:p>
    <w:p w14:paraId="3956A044" w14:textId="77777777" w:rsidR="00656374" w:rsidRPr="00656374" w:rsidRDefault="00656374" w:rsidP="00B8601A">
      <w:pPr>
        <w:shd w:val="clear" w:color="auto" w:fill="FFFFFF"/>
        <w:spacing w:after="0" w:line="240" w:lineRule="auto"/>
        <w:ind w:left="851" w:right="1017"/>
        <w:jc w:val="both"/>
        <w:textAlignment w:val="baseline"/>
        <w:rPr>
          <w:rFonts w:ascii="Calibri" w:eastAsia="Times New Roman" w:hAnsi="Calibri" w:cs="Calibri"/>
          <w:color w:val="000000"/>
          <w:sz w:val="20"/>
          <w:szCs w:val="20"/>
          <w:lang w:eastAsia="en-AU"/>
        </w:rPr>
      </w:pPr>
      <w:r w:rsidRPr="00656374">
        <w:rPr>
          <w:rFonts w:ascii="Calibri" w:eastAsia="Times New Roman" w:hAnsi="Calibri" w:cs="Calibri"/>
          <w:color w:val="000000"/>
          <w:sz w:val="20"/>
          <w:szCs w:val="20"/>
          <w:bdr w:val="none" w:sz="0" w:space="0" w:color="auto" w:frame="1"/>
          <w:lang w:eastAsia="en-AU"/>
        </w:rPr>
        <w:t>The object of this Part is to provide for:</w:t>
      </w:r>
    </w:p>
    <w:p w14:paraId="4B4F2E5D" w14:textId="49812431" w:rsidR="00656374" w:rsidRPr="00656374" w:rsidRDefault="00656374" w:rsidP="00B8601A">
      <w:pPr>
        <w:shd w:val="clear" w:color="auto" w:fill="FFFFFF"/>
        <w:spacing w:after="0" w:line="240" w:lineRule="auto"/>
        <w:ind w:left="1418" w:right="1017" w:hanging="284"/>
        <w:jc w:val="both"/>
        <w:textAlignment w:val="baseline"/>
        <w:rPr>
          <w:rFonts w:ascii="Calibri" w:eastAsia="Times New Roman" w:hAnsi="Calibri" w:cs="Calibri"/>
          <w:color w:val="000000"/>
          <w:sz w:val="20"/>
          <w:szCs w:val="20"/>
          <w:lang w:eastAsia="en-AU"/>
        </w:rPr>
      </w:pPr>
      <w:r w:rsidRPr="00656374">
        <w:rPr>
          <w:rFonts w:ascii="Calibri" w:eastAsia="Times New Roman" w:hAnsi="Calibri" w:cs="Calibri"/>
          <w:color w:val="000000"/>
          <w:sz w:val="20"/>
          <w:szCs w:val="20"/>
          <w:bdr w:val="none" w:sz="0" w:space="0" w:color="auto" w:frame="1"/>
          <w:lang w:eastAsia="en-AU"/>
        </w:rPr>
        <w:t>(a) </w:t>
      </w:r>
      <w:r w:rsidR="00060E27">
        <w:rPr>
          <w:rFonts w:ascii="Calibri" w:eastAsia="Times New Roman" w:hAnsi="Calibri" w:cs="Calibri"/>
          <w:color w:val="000000"/>
          <w:sz w:val="20"/>
          <w:szCs w:val="20"/>
          <w:bdr w:val="none" w:sz="0" w:space="0" w:color="auto" w:frame="1"/>
          <w:lang w:eastAsia="en-AU"/>
        </w:rPr>
        <w:tab/>
      </w:r>
      <w:r w:rsidRPr="00656374">
        <w:rPr>
          <w:rFonts w:ascii="Calibri" w:eastAsia="Times New Roman" w:hAnsi="Calibri" w:cs="Calibri"/>
          <w:color w:val="000000"/>
          <w:sz w:val="20"/>
          <w:szCs w:val="20"/>
          <w:bdr w:val="none" w:sz="0" w:space="0" w:color="auto" w:frame="1"/>
          <w:lang w:eastAsia="en-AU"/>
        </w:rPr>
        <w:t>certain organisations that have taken part in amalgamations (either under this Act or the </w:t>
      </w:r>
      <w:r w:rsidRPr="00656374">
        <w:rPr>
          <w:rFonts w:ascii="Calibri" w:eastAsia="Times New Roman" w:hAnsi="Calibri" w:cs="Calibri"/>
          <w:i/>
          <w:iCs/>
          <w:color w:val="000000"/>
          <w:sz w:val="20"/>
          <w:szCs w:val="20"/>
          <w:bdr w:val="none" w:sz="0" w:space="0" w:color="auto" w:frame="1"/>
          <w:lang w:eastAsia="en-AU"/>
        </w:rPr>
        <w:t>Workplace Relations Act 1996</w:t>
      </w:r>
      <w:r w:rsidRPr="00656374">
        <w:rPr>
          <w:rFonts w:ascii="Calibri" w:eastAsia="Times New Roman" w:hAnsi="Calibri" w:cs="Calibri"/>
          <w:color w:val="000000"/>
          <w:sz w:val="20"/>
          <w:szCs w:val="20"/>
          <w:bdr w:val="none" w:sz="0" w:space="0" w:color="auto" w:frame="1"/>
          <w:lang w:eastAsia="en-AU"/>
        </w:rPr>
        <w:t> as in force before the commencement of this Part) to be reconstituted and re-registered; and</w:t>
      </w:r>
    </w:p>
    <w:p w14:paraId="37B28193" w14:textId="49709AAD" w:rsidR="00656374" w:rsidRPr="00656374" w:rsidRDefault="00656374" w:rsidP="00B8601A">
      <w:pPr>
        <w:shd w:val="clear" w:color="auto" w:fill="FFFFFF"/>
        <w:spacing w:after="0" w:line="240" w:lineRule="auto"/>
        <w:ind w:left="1418" w:right="1017" w:hanging="284"/>
        <w:jc w:val="both"/>
        <w:textAlignment w:val="baseline"/>
        <w:rPr>
          <w:rFonts w:ascii="Calibri" w:eastAsia="Times New Roman" w:hAnsi="Calibri" w:cs="Calibri"/>
          <w:color w:val="000000"/>
          <w:sz w:val="20"/>
          <w:szCs w:val="20"/>
          <w:lang w:eastAsia="en-AU"/>
        </w:rPr>
      </w:pPr>
      <w:r w:rsidRPr="00656374">
        <w:rPr>
          <w:rFonts w:ascii="Calibri" w:eastAsia="Times New Roman" w:hAnsi="Calibri" w:cs="Calibri"/>
          <w:color w:val="000000"/>
          <w:sz w:val="20"/>
          <w:szCs w:val="20"/>
          <w:bdr w:val="none" w:sz="0" w:space="0" w:color="auto" w:frame="1"/>
          <w:lang w:eastAsia="en-AU"/>
        </w:rPr>
        <w:t>(b)</w:t>
      </w:r>
      <w:r w:rsidR="00060E27">
        <w:rPr>
          <w:rFonts w:ascii="Calibri" w:eastAsia="Times New Roman" w:hAnsi="Calibri" w:cs="Calibri"/>
          <w:color w:val="000000"/>
          <w:sz w:val="20"/>
          <w:szCs w:val="20"/>
          <w:bdr w:val="none" w:sz="0" w:space="0" w:color="auto" w:frame="1"/>
          <w:lang w:eastAsia="en-AU"/>
        </w:rPr>
        <w:tab/>
      </w:r>
      <w:r w:rsidRPr="00656374">
        <w:rPr>
          <w:rFonts w:ascii="Calibri" w:eastAsia="Times New Roman" w:hAnsi="Calibri" w:cs="Calibri"/>
          <w:color w:val="000000"/>
          <w:sz w:val="20"/>
          <w:szCs w:val="20"/>
          <w:bdr w:val="none" w:sz="0" w:space="0" w:color="auto" w:frame="1"/>
          <w:lang w:eastAsia="en-AU"/>
        </w:rPr>
        <w:t xml:space="preserve">branches, divisions or parts of organisations of that kind to be formed into organisations and </w:t>
      </w:r>
      <w:proofErr w:type="gramStart"/>
      <w:r w:rsidRPr="00656374">
        <w:rPr>
          <w:rFonts w:ascii="Calibri" w:eastAsia="Times New Roman" w:hAnsi="Calibri" w:cs="Calibri"/>
          <w:color w:val="000000"/>
          <w:sz w:val="20"/>
          <w:szCs w:val="20"/>
          <w:bdr w:val="none" w:sz="0" w:space="0" w:color="auto" w:frame="1"/>
          <w:lang w:eastAsia="en-AU"/>
        </w:rPr>
        <w:t>registered;</w:t>
      </w:r>
      <w:proofErr w:type="gramEnd"/>
    </w:p>
    <w:p w14:paraId="5621AB6F" w14:textId="77777777" w:rsidR="00656374" w:rsidRPr="00656374" w:rsidRDefault="00656374" w:rsidP="00B8601A">
      <w:pPr>
        <w:shd w:val="clear" w:color="auto" w:fill="FFFFFF"/>
        <w:spacing w:after="0" w:line="240" w:lineRule="auto"/>
        <w:ind w:left="851" w:right="1017"/>
        <w:jc w:val="both"/>
        <w:textAlignment w:val="baseline"/>
        <w:rPr>
          <w:rFonts w:ascii="Calibri" w:eastAsia="Times New Roman" w:hAnsi="Calibri" w:cs="Calibri"/>
          <w:color w:val="000000"/>
          <w:sz w:val="20"/>
          <w:szCs w:val="20"/>
          <w:bdr w:val="none" w:sz="0" w:space="0" w:color="auto" w:frame="1"/>
          <w:lang w:eastAsia="en-AU"/>
        </w:rPr>
      </w:pPr>
      <w:r w:rsidRPr="00656374">
        <w:rPr>
          <w:rFonts w:ascii="Calibri" w:eastAsia="Times New Roman" w:hAnsi="Calibri" w:cs="Calibri"/>
          <w:color w:val="000000"/>
          <w:sz w:val="20"/>
          <w:szCs w:val="20"/>
          <w:bdr w:val="none" w:sz="0" w:space="0" w:color="auto" w:frame="1"/>
          <w:lang w:eastAsia="en-AU"/>
        </w:rPr>
        <w:t>in a way that is fair to the members of the organisations concerned and the creditors of those organisations.</w:t>
      </w:r>
    </w:p>
    <w:p w14:paraId="64BAA2A7" w14:textId="77777777" w:rsidR="00656374" w:rsidRPr="00656374" w:rsidRDefault="00656374" w:rsidP="00656374">
      <w:pPr>
        <w:shd w:val="clear" w:color="auto" w:fill="FFFFFF"/>
        <w:spacing w:after="0" w:line="240" w:lineRule="auto"/>
        <w:ind w:left="1317" w:right="1017"/>
        <w:jc w:val="both"/>
        <w:textAlignment w:val="baseline"/>
        <w:rPr>
          <w:rFonts w:ascii="Calibri" w:eastAsia="Times New Roman" w:hAnsi="Calibri" w:cs="Calibri"/>
          <w:color w:val="000000"/>
          <w:lang w:eastAsia="en-AU"/>
        </w:rPr>
      </w:pPr>
    </w:p>
    <w:p w14:paraId="66FEDEFF" w14:textId="77777777" w:rsidR="00656374" w:rsidRPr="00656374" w:rsidRDefault="00656374" w:rsidP="00656374">
      <w:pPr>
        <w:spacing w:after="160" w:line="259" w:lineRule="auto"/>
        <w:rPr>
          <w:rFonts w:ascii="Calibri" w:eastAsia="Yu Mincho" w:hAnsi="Calibri" w:cs="Arial"/>
        </w:rPr>
      </w:pPr>
      <w:r w:rsidRPr="00656374">
        <w:rPr>
          <w:rFonts w:ascii="Calibri" w:eastAsia="Yu Mincho" w:hAnsi="Calibri" w:cs="Arial"/>
        </w:rPr>
        <w:t>The words ‘divisions or parts’ in paragraph 92(b) were added by the 2020 Amendment Act.</w:t>
      </w:r>
    </w:p>
    <w:p w14:paraId="5ABDBFEA" w14:textId="77777777" w:rsidR="00656374" w:rsidRPr="00656374" w:rsidRDefault="00656374" w:rsidP="00656374">
      <w:pPr>
        <w:spacing w:after="160" w:line="259" w:lineRule="auto"/>
        <w:rPr>
          <w:rFonts w:ascii="Calibri" w:eastAsia="Yu Mincho" w:hAnsi="Calibri" w:cs="Arial"/>
          <w:color w:val="000000"/>
          <w:bdr w:val="none" w:sz="0" w:space="0" w:color="auto" w:frame="1"/>
          <w:shd w:val="clear" w:color="auto" w:fill="FFFFFF"/>
        </w:rPr>
      </w:pPr>
      <w:r w:rsidRPr="00656374">
        <w:rPr>
          <w:rFonts w:ascii="Calibri" w:eastAsia="Yu Mincho" w:hAnsi="Calibri" w:cs="Arial"/>
          <w:color w:val="000000"/>
          <w:bdr w:val="none" w:sz="0" w:space="0" w:color="auto" w:frame="1"/>
          <w:shd w:val="clear" w:color="auto" w:fill="FFFFFF"/>
        </w:rPr>
        <w:t xml:space="preserve">Subsection 94(1) allows an application to be made for a secret ballot to be held to decide whether a constituent part of an amalgamated organisation should withdraw from the </w:t>
      </w:r>
      <w:proofErr w:type="gramStart"/>
      <w:r w:rsidRPr="00656374">
        <w:rPr>
          <w:rFonts w:ascii="Calibri" w:eastAsia="Yu Mincho" w:hAnsi="Calibri" w:cs="Arial"/>
          <w:color w:val="000000"/>
          <w:bdr w:val="none" w:sz="0" w:space="0" w:color="auto" w:frame="1"/>
          <w:shd w:val="clear" w:color="auto" w:fill="FFFFFF"/>
        </w:rPr>
        <w:t>organisation, if</w:t>
      </w:r>
      <w:proofErr w:type="gramEnd"/>
      <w:r w:rsidRPr="00656374">
        <w:rPr>
          <w:rFonts w:ascii="Calibri" w:eastAsia="Yu Mincho" w:hAnsi="Calibri" w:cs="Arial"/>
          <w:color w:val="000000"/>
          <w:bdr w:val="none" w:sz="0" w:space="0" w:color="auto" w:frame="1"/>
          <w:shd w:val="clear" w:color="auto" w:fill="FFFFFF"/>
        </w:rPr>
        <w:t> the conditions in paragraphs (a) – (c) are satisfied. Section 94(3) identifies the persons who may make an application.</w:t>
      </w:r>
    </w:p>
    <w:p w14:paraId="3C7867B3" w14:textId="77777777" w:rsidR="00656374" w:rsidRPr="00656374" w:rsidRDefault="00656374" w:rsidP="00656374">
      <w:pPr>
        <w:spacing w:after="160" w:line="259" w:lineRule="auto"/>
        <w:rPr>
          <w:rFonts w:ascii="Calibri" w:eastAsia="Yu Mincho" w:hAnsi="Calibri" w:cs="Calibri"/>
        </w:rPr>
      </w:pPr>
      <w:r w:rsidRPr="00656374">
        <w:rPr>
          <w:rFonts w:ascii="Calibri" w:eastAsia="Yu Mincho" w:hAnsi="Calibri" w:cs="Calibri"/>
        </w:rPr>
        <w:t>Section 94 relevantly provides:</w:t>
      </w:r>
    </w:p>
    <w:p w14:paraId="722F02E2" w14:textId="77777777" w:rsidR="00656374" w:rsidRPr="00656374" w:rsidRDefault="00656374" w:rsidP="00B8601A">
      <w:pPr>
        <w:shd w:val="clear" w:color="auto" w:fill="FFFFFF"/>
        <w:spacing w:after="0" w:line="240" w:lineRule="auto"/>
        <w:ind w:left="709" w:right="1017"/>
        <w:jc w:val="both"/>
        <w:textAlignment w:val="baseline"/>
        <w:rPr>
          <w:rFonts w:ascii="Calibri" w:eastAsia="Times New Roman" w:hAnsi="Calibri" w:cs="Calibri"/>
          <w:color w:val="000000"/>
          <w:sz w:val="20"/>
          <w:szCs w:val="20"/>
          <w:lang w:eastAsia="en-AU"/>
        </w:rPr>
      </w:pPr>
      <w:r w:rsidRPr="00656374">
        <w:rPr>
          <w:rFonts w:ascii="Calibri" w:eastAsia="Times New Roman" w:hAnsi="Calibri" w:cs="Calibri"/>
          <w:b/>
          <w:bCs/>
          <w:color w:val="000000"/>
          <w:sz w:val="20"/>
          <w:szCs w:val="20"/>
          <w:bdr w:val="none" w:sz="0" w:space="0" w:color="auto" w:frame="1"/>
          <w:lang w:eastAsia="en-AU"/>
        </w:rPr>
        <w:t>94    Application to the FWC for ballots</w:t>
      </w:r>
    </w:p>
    <w:p w14:paraId="108E9589" w14:textId="77777777" w:rsidR="00656374" w:rsidRPr="00656374" w:rsidRDefault="00656374" w:rsidP="00656374">
      <w:pPr>
        <w:shd w:val="clear" w:color="auto" w:fill="FFFFFF"/>
        <w:spacing w:after="0" w:line="240" w:lineRule="auto"/>
        <w:ind w:left="164" w:right="1017" w:firstLine="82"/>
        <w:jc w:val="both"/>
        <w:textAlignment w:val="baseline"/>
        <w:rPr>
          <w:rFonts w:ascii="Calibri" w:eastAsia="Times New Roman" w:hAnsi="Calibri" w:cs="Calibri"/>
          <w:color w:val="000000"/>
          <w:sz w:val="20"/>
          <w:szCs w:val="20"/>
          <w:bdr w:val="none" w:sz="0" w:space="0" w:color="auto" w:frame="1"/>
          <w:lang w:eastAsia="en-AU"/>
        </w:rPr>
      </w:pPr>
    </w:p>
    <w:p w14:paraId="490B5EF1" w14:textId="2BA1BD9C" w:rsidR="00656374" w:rsidRPr="00656374" w:rsidRDefault="00656374" w:rsidP="00B8601A">
      <w:pPr>
        <w:shd w:val="clear" w:color="auto" w:fill="FFFFFF"/>
        <w:spacing w:after="0" w:line="240" w:lineRule="auto"/>
        <w:ind w:left="1134" w:right="1017" w:hanging="283"/>
        <w:jc w:val="both"/>
        <w:textAlignment w:val="baseline"/>
        <w:rPr>
          <w:rFonts w:ascii="Calibri" w:eastAsia="Times New Roman" w:hAnsi="Calibri" w:cs="Calibri"/>
          <w:color w:val="000000"/>
          <w:sz w:val="20"/>
          <w:szCs w:val="20"/>
          <w:lang w:eastAsia="en-AU"/>
        </w:rPr>
      </w:pPr>
      <w:r w:rsidRPr="00656374">
        <w:rPr>
          <w:rFonts w:ascii="Calibri" w:eastAsia="Times New Roman" w:hAnsi="Calibri" w:cs="Calibri"/>
          <w:color w:val="000000"/>
          <w:sz w:val="20"/>
          <w:szCs w:val="20"/>
          <w:bdr w:val="none" w:sz="0" w:space="0" w:color="auto" w:frame="1"/>
          <w:lang w:eastAsia="en-AU"/>
        </w:rPr>
        <w:t>(1) </w:t>
      </w:r>
      <w:r w:rsidR="00B8601A">
        <w:rPr>
          <w:rFonts w:ascii="Calibri" w:eastAsia="Times New Roman" w:hAnsi="Calibri" w:cs="Calibri"/>
          <w:color w:val="000000"/>
          <w:sz w:val="20"/>
          <w:szCs w:val="20"/>
          <w:bdr w:val="none" w:sz="0" w:space="0" w:color="auto" w:frame="1"/>
          <w:lang w:eastAsia="en-AU"/>
        </w:rPr>
        <w:tab/>
      </w:r>
      <w:r w:rsidRPr="00656374">
        <w:rPr>
          <w:rFonts w:ascii="Calibri" w:eastAsia="Times New Roman" w:hAnsi="Calibri" w:cs="Calibri"/>
          <w:color w:val="000000"/>
          <w:sz w:val="20"/>
          <w:szCs w:val="20"/>
          <w:bdr w:val="none" w:sz="0" w:space="0" w:color="auto" w:frame="1"/>
          <w:lang w:eastAsia="en-AU"/>
        </w:rPr>
        <w:t>An application may be made to the FWC for a secret ballot to be held, to decide whether a constituent part of an amalgamated organisation should withdraw from the organisation, if:</w:t>
      </w:r>
    </w:p>
    <w:p w14:paraId="544629E7" w14:textId="27C5A4C0" w:rsidR="00656374" w:rsidRPr="00656374" w:rsidRDefault="00656374" w:rsidP="0016182E">
      <w:pPr>
        <w:shd w:val="clear" w:color="auto" w:fill="FFFFFF"/>
        <w:spacing w:after="0" w:line="240" w:lineRule="auto"/>
        <w:ind w:left="1418" w:right="1017" w:hanging="284"/>
        <w:jc w:val="both"/>
        <w:textAlignment w:val="baseline"/>
        <w:rPr>
          <w:rFonts w:ascii="Calibri" w:eastAsia="Times New Roman" w:hAnsi="Calibri" w:cs="Calibri"/>
          <w:color w:val="000000"/>
          <w:sz w:val="20"/>
          <w:szCs w:val="20"/>
          <w:lang w:eastAsia="en-AU"/>
        </w:rPr>
      </w:pPr>
      <w:r w:rsidRPr="00656374">
        <w:rPr>
          <w:rFonts w:ascii="Calibri" w:eastAsia="Times New Roman" w:hAnsi="Calibri" w:cs="Calibri"/>
          <w:color w:val="000000"/>
          <w:sz w:val="20"/>
          <w:szCs w:val="20"/>
          <w:bdr w:val="none" w:sz="0" w:space="0" w:color="auto" w:frame="1"/>
          <w:lang w:eastAsia="en-AU"/>
        </w:rPr>
        <w:t>(a)</w:t>
      </w:r>
      <w:r w:rsidR="0016182E">
        <w:rPr>
          <w:rFonts w:ascii="Calibri" w:eastAsia="Times New Roman" w:hAnsi="Calibri" w:cs="Calibri"/>
          <w:color w:val="000000"/>
          <w:sz w:val="20"/>
          <w:szCs w:val="20"/>
          <w:bdr w:val="none" w:sz="0" w:space="0" w:color="auto" w:frame="1"/>
          <w:lang w:eastAsia="en-AU"/>
        </w:rPr>
        <w:tab/>
      </w:r>
      <w:r w:rsidRPr="00656374">
        <w:rPr>
          <w:rFonts w:ascii="Calibri" w:eastAsia="Times New Roman" w:hAnsi="Calibri" w:cs="Calibri"/>
          <w:color w:val="000000"/>
          <w:sz w:val="20"/>
          <w:szCs w:val="20"/>
          <w:bdr w:val="none" w:sz="0" w:space="0" w:color="auto" w:frame="1"/>
          <w:lang w:eastAsia="en-AU"/>
        </w:rPr>
        <w:t xml:space="preserve">the constituent part became part of the organisation </w:t>
      </w:r>
      <w:proofErr w:type="gramStart"/>
      <w:r w:rsidRPr="00656374">
        <w:rPr>
          <w:rFonts w:ascii="Calibri" w:eastAsia="Times New Roman" w:hAnsi="Calibri" w:cs="Calibri"/>
          <w:color w:val="000000"/>
          <w:sz w:val="20"/>
          <w:szCs w:val="20"/>
          <w:bdr w:val="none" w:sz="0" w:space="0" w:color="auto" w:frame="1"/>
          <w:lang w:eastAsia="en-AU"/>
        </w:rPr>
        <w:t>as a result of</w:t>
      </w:r>
      <w:proofErr w:type="gramEnd"/>
      <w:r w:rsidRPr="00656374">
        <w:rPr>
          <w:rFonts w:ascii="Calibri" w:eastAsia="Times New Roman" w:hAnsi="Calibri" w:cs="Calibri"/>
          <w:color w:val="000000"/>
          <w:sz w:val="20"/>
          <w:szCs w:val="20"/>
          <w:bdr w:val="none" w:sz="0" w:space="0" w:color="auto" w:frame="1"/>
          <w:lang w:eastAsia="en-AU"/>
        </w:rPr>
        <w:t xml:space="preserve"> an amalgamation under Part 2 or a predecessor law; and</w:t>
      </w:r>
    </w:p>
    <w:p w14:paraId="22C26168" w14:textId="4A7299A7" w:rsidR="00656374" w:rsidRPr="00656374" w:rsidRDefault="00656374" w:rsidP="0016182E">
      <w:pPr>
        <w:shd w:val="clear" w:color="auto" w:fill="FFFFFF"/>
        <w:spacing w:after="0" w:line="240" w:lineRule="auto"/>
        <w:ind w:left="1418" w:right="1017" w:hanging="284"/>
        <w:jc w:val="both"/>
        <w:textAlignment w:val="baseline"/>
        <w:rPr>
          <w:rFonts w:ascii="Calibri" w:eastAsia="Times New Roman" w:hAnsi="Calibri" w:cs="Calibri"/>
          <w:color w:val="000000"/>
          <w:sz w:val="20"/>
          <w:szCs w:val="20"/>
          <w:lang w:eastAsia="en-AU"/>
        </w:rPr>
      </w:pPr>
      <w:r w:rsidRPr="00656374">
        <w:rPr>
          <w:rFonts w:ascii="Calibri" w:eastAsia="Times New Roman" w:hAnsi="Calibri" w:cs="Calibri"/>
          <w:color w:val="000000"/>
          <w:sz w:val="20"/>
          <w:szCs w:val="20"/>
          <w:bdr w:val="none" w:sz="0" w:space="0" w:color="auto" w:frame="1"/>
          <w:lang w:eastAsia="en-AU"/>
        </w:rPr>
        <w:t>(b) </w:t>
      </w:r>
      <w:r w:rsidR="0016182E">
        <w:rPr>
          <w:rFonts w:ascii="Calibri" w:eastAsia="Times New Roman" w:hAnsi="Calibri" w:cs="Calibri"/>
          <w:color w:val="000000"/>
          <w:sz w:val="20"/>
          <w:szCs w:val="20"/>
          <w:bdr w:val="none" w:sz="0" w:space="0" w:color="auto" w:frame="1"/>
          <w:lang w:eastAsia="en-AU"/>
        </w:rPr>
        <w:tab/>
      </w:r>
      <w:r w:rsidRPr="00656374">
        <w:rPr>
          <w:rFonts w:ascii="Calibri" w:eastAsia="Times New Roman" w:hAnsi="Calibri" w:cs="Calibri"/>
          <w:color w:val="000000"/>
          <w:sz w:val="20"/>
          <w:szCs w:val="20"/>
          <w:bdr w:val="none" w:sz="0" w:space="0" w:color="auto" w:frame="1"/>
          <w:lang w:eastAsia="en-AU"/>
        </w:rPr>
        <w:t>the amalgamation occurred no less than 2 years prior to the date of the application; and</w:t>
      </w:r>
    </w:p>
    <w:p w14:paraId="161F8822" w14:textId="1CF5C04C" w:rsidR="00656374" w:rsidRPr="00656374" w:rsidRDefault="00656374" w:rsidP="0016182E">
      <w:pPr>
        <w:shd w:val="clear" w:color="auto" w:fill="FFFFFF"/>
        <w:spacing w:after="0" w:line="240" w:lineRule="auto"/>
        <w:ind w:left="1418" w:right="1017" w:hanging="284"/>
        <w:jc w:val="both"/>
        <w:textAlignment w:val="baseline"/>
        <w:rPr>
          <w:rFonts w:ascii="Calibri" w:eastAsia="Times New Roman" w:hAnsi="Calibri" w:cs="Calibri"/>
          <w:color w:val="000000"/>
          <w:sz w:val="20"/>
          <w:szCs w:val="20"/>
          <w:lang w:eastAsia="en-AU"/>
        </w:rPr>
      </w:pPr>
      <w:r w:rsidRPr="00656374">
        <w:rPr>
          <w:rFonts w:ascii="Calibri" w:eastAsia="Times New Roman" w:hAnsi="Calibri" w:cs="Calibri"/>
          <w:color w:val="000000"/>
          <w:sz w:val="20"/>
          <w:szCs w:val="20"/>
          <w:bdr w:val="none" w:sz="0" w:space="0" w:color="auto" w:frame="1"/>
          <w:lang w:eastAsia="en-AU"/>
        </w:rPr>
        <w:t>(c)</w:t>
      </w:r>
      <w:r w:rsidR="0016182E">
        <w:rPr>
          <w:rFonts w:ascii="Calibri" w:eastAsia="Times New Roman" w:hAnsi="Calibri" w:cs="Calibri"/>
          <w:color w:val="000000"/>
          <w:sz w:val="20"/>
          <w:szCs w:val="20"/>
          <w:bdr w:val="none" w:sz="0" w:space="0" w:color="auto" w:frame="1"/>
          <w:lang w:eastAsia="en-AU"/>
        </w:rPr>
        <w:tab/>
      </w:r>
      <w:r w:rsidRPr="00656374">
        <w:rPr>
          <w:rFonts w:ascii="Calibri" w:eastAsia="Times New Roman" w:hAnsi="Calibri" w:cs="Calibri"/>
          <w:color w:val="000000"/>
          <w:sz w:val="20"/>
          <w:szCs w:val="20"/>
          <w:bdr w:val="none" w:sz="0" w:space="0" w:color="auto" w:frame="1"/>
          <w:lang w:eastAsia="en-AU"/>
        </w:rPr>
        <w:t>the application is made before the period of 5 years after the amalgamation occurred has elapsed.</w:t>
      </w:r>
    </w:p>
    <w:p w14:paraId="52B6406A" w14:textId="77777777" w:rsidR="00656374" w:rsidRPr="00656374" w:rsidRDefault="00656374" w:rsidP="00656374">
      <w:pPr>
        <w:spacing w:after="160" w:line="259" w:lineRule="auto"/>
        <w:rPr>
          <w:rFonts w:ascii="Calibri" w:eastAsia="Yu Mincho" w:hAnsi="Calibri" w:cs="Calibri"/>
        </w:rPr>
      </w:pPr>
    </w:p>
    <w:p w14:paraId="34D207F6" w14:textId="77777777" w:rsidR="00656374" w:rsidRPr="00656374" w:rsidRDefault="00656374" w:rsidP="00C31689">
      <w:pPr>
        <w:tabs>
          <w:tab w:val="left" w:pos="1134"/>
        </w:tabs>
        <w:spacing w:after="160" w:line="259" w:lineRule="auto"/>
        <w:rPr>
          <w:rFonts w:ascii="Calibri" w:eastAsia="Yu Mincho" w:hAnsi="Calibri" w:cs="Arial"/>
        </w:rPr>
      </w:pPr>
      <w:r w:rsidRPr="00656374">
        <w:rPr>
          <w:rFonts w:ascii="Calibri" w:eastAsia="Yu Mincho" w:hAnsi="Calibri" w:cs="Arial"/>
        </w:rPr>
        <w:lastRenderedPageBreak/>
        <w:t xml:space="preserve">The 2020 Amendment Act inserted section 94A, which allows </w:t>
      </w:r>
      <w:r w:rsidRPr="00656374">
        <w:rPr>
          <w:rFonts w:ascii="Calibri" w:eastAsia="Yu Mincho" w:hAnsi="Calibri" w:cs="Arial"/>
          <w:color w:val="000000"/>
          <w:bdr w:val="none" w:sz="0" w:space="0" w:color="auto" w:frame="1"/>
          <w:shd w:val="clear" w:color="auto" w:fill="FFFFFF"/>
        </w:rPr>
        <w:t xml:space="preserve">the FWC to accept an application made under that section after the end of the </w:t>
      </w:r>
      <w:proofErr w:type="gramStart"/>
      <w:r w:rsidRPr="00656374">
        <w:rPr>
          <w:rFonts w:ascii="Calibri" w:eastAsia="Yu Mincho" w:hAnsi="Calibri" w:cs="Arial"/>
          <w:color w:val="000000"/>
          <w:bdr w:val="none" w:sz="0" w:space="0" w:color="auto" w:frame="1"/>
          <w:shd w:val="clear" w:color="auto" w:fill="FFFFFF"/>
        </w:rPr>
        <w:t>five year</w:t>
      </w:r>
      <w:proofErr w:type="gramEnd"/>
      <w:r w:rsidRPr="00656374">
        <w:rPr>
          <w:rFonts w:ascii="Calibri" w:eastAsia="Yu Mincho" w:hAnsi="Calibri" w:cs="Arial"/>
          <w:color w:val="000000"/>
          <w:bdr w:val="none" w:sz="0" w:space="0" w:color="auto" w:frame="1"/>
          <w:shd w:val="clear" w:color="auto" w:fill="FFFFFF"/>
        </w:rPr>
        <w:t xml:space="preserve"> period set out by paragraph 94(1)(c) for making an application. The FWC must be satisfied, however, that it is appropriate to accept the application having regard to </w:t>
      </w:r>
      <w:proofErr w:type="gramStart"/>
      <w:r w:rsidRPr="00656374">
        <w:rPr>
          <w:rFonts w:ascii="Calibri" w:eastAsia="Yu Mincho" w:hAnsi="Calibri" w:cs="Arial"/>
        </w:rPr>
        <w:t>a number</w:t>
      </w:r>
      <w:r w:rsidRPr="00656374">
        <w:rPr>
          <w:rFonts w:ascii="Calibri" w:eastAsia="Yu Mincho" w:hAnsi="Calibri" w:cs="Arial"/>
          <w:color w:val="000000"/>
          <w:bdr w:val="none" w:sz="0" w:space="0" w:color="auto" w:frame="1"/>
          <w:shd w:val="clear" w:color="auto" w:fill="FFFFFF"/>
        </w:rPr>
        <w:t xml:space="preserve"> of</w:t>
      </w:r>
      <w:proofErr w:type="gramEnd"/>
      <w:r w:rsidRPr="00656374">
        <w:rPr>
          <w:rFonts w:ascii="Calibri" w:eastAsia="Yu Mincho" w:hAnsi="Calibri" w:cs="Arial"/>
          <w:color w:val="000000"/>
          <w:bdr w:val="none" w:sz="0" w:space="0" w:color="auto" w:frame="1"/>
          <w:shd w:val="clear" w:color="auto" w:fill="FFFFFF"/>
        </w:rPr>
        <w:t xml:space="preserve"> matters. Those matters include ‘whether the amalgamated organisation has a record of not complying with workplace or safety laws and any contribution of the constituent part to that record’.</w:t>
      </w:r>
    </w:p>
    <w:p w14:paraId="78883FF5" w14:textId="77777777" w:rsidR="00656374" w:rsidRPr="00656374" w:rsidRDefault="00656374" w:rsidP="00656374">
      <w:pPr>
        <w:spacing w:after="160" w:line="259" w:lineRule="auto"/>
        <w:rPr>
          <w:rFonts w:ascii="Calibri" w:eastAsia="Yu Mincho" w:hAnsi="Calibri" w:cs="Calibri"/>
        </w:rPr>
      </w:pPr>
      <w:r w:rsidRPr="00656374">
        <w:rPr>
          <w:rFonts w:ascii="Calibri" w:eastAsia="Yu Mincho" w:hAnsi="Calibri" w:cs="Calibri"/>
        </w:rPr>
        <w:t>Section 93(4) provides that, for the purpose of Part 3, ‘a reference to a constituent part becoming part of an amalgamated organisation includes a reference to a constituent part becoming part of that organisation as it existed before any subsequent amalgamation under Part 2 or a predecessor law’.</w:t>
      </w:r>
    </w:p>
    <w:p w14:paraId="1E0A80CF" w14:textId="77777777" w:rsidR="00656374" w:rsidRPr="00656374" w:rsidRDefault="00656374" w:rsidP="00656374">
      <w:pPr>
        <w:spacing w:after="160" w:line="259" w:lineRule="auto"/>
        <w:rPr>
          <w:rFonts w:ascii="Calibri" w:eastAsia="Yu Mincho" w:hAnsi="Calibri" w:cs="Calibri"/>
        </w:rPr>
      </w:pPr>
      <w:r w:rsidRPr="00656374">
        <w:rPr>
          <w:rFonts w:ascii="Calibri" w:eastAsia="Yu Mincho" w:hAnsi="Calibri" w:cs="Calibri"/>
        </w:rPr>
        <w:t>Section 100(1) provides that the FWC must order that a vote of the constituent members be taken by secret ballot to decide whether a constituent part of the amalgamated organisation should withdraw from the organisation if, among other things, it is satisfied that the application for the ballot is validly made under section 94.</w:t>
      </w:r>
    </w:p>
    <w:p w14:paraId="13FC40C5" w14:textId="77777777" w:rsidR="00656374" w:rsidRPr="00656374" w:rsidRDefault="00656374" w:rsidP="00656374">
      <w:pPr>
        <w:spacing w:after="160" w:line="259" w:lineRule="auto"/>
        <w:rPr>
          <w:rFonts w:ascii="Calibri" w:eastAsia="Yu Mincho" w:hAnsi="Calibri" w:cs="Calibri"/>
        </w:rPr>
      </w:pPr>
      <w:r w:rsidRPr="00656374">
        <w:rPr>
          <w:rFonts w:ascii="Calibri" w:eastAsia="Yu Mincho" w:hAnsi="Calibri" w:cs="Calibri"/>
        </w:rPr>
        <w:t>‘Amalgamated organisation’, in relation to an amalgamation, means:</w:t>
      </w:r>
    </w:p>
    <w:p w14:paraId="4F4D888D" w14:textId="77777777" w:rsidR="00656374" w:rsidRPr="00656374" w:rsidRDefault="00656374" w:rsidP="00656374">
      <w:pPr>
        <w:shd w:val="clear" w:color="auto" w:fill="FFFFFF"/>
        <w:spacing w:after="0" w:line="240" w:lineRule="auto"/>
        <w:ind w:left="720" w:right="1017"/>
        <w:jc w:val="both"/>
        <w:textAlignment w:val="baseline"/>
        <w:rPr>
          <w:rFonts w:ascii="Calibri" w:eastAsia="Times New Roman" w:hAnsi="Calibri" w:cs="Calibri"/>
          <w:color w:val="000000"/>
          <w:sz w:val="20"/>
          <w:szCs w:val="20"/>
          <w:lang w:eastAsia="en-AU"/>
        </w:rPr>
      </w:pPr>
      <w:r w:rsidRPr="00656374">
        <w:rPr>
          <w:rFonts w:ascii="Calibri" w:eastAsia="Times New Roman" w:hAnsi="Calibri" w:cs="Calibri"/>
          <w:color w:val="000000"/>
          <w:sz w:val="20"/>
          <w:szCs w:val="20"/>
          <w:bdr w:val="none" w:sz="0" w:space="0" w:color="auto" w:frame="1"/>
          <w:lang w:eastAsia="en-AU"/>
        </w:rPr>
        <w:t>the organisation of which members of a de-registered organisation became members under paragraph 73(3)(d) of Part 2, or an equivalent provision of a predecessor law, but does not include any such organisation that was subsequently de-registered under Part 2 or a predecessor law.</w:t>
      </w:r>
    </w:p>
    <w:p w14:paraId="6C7C71E5" w14:textId="77777777" w:rsidR="00656374" w:rsidRPr="00656374" w:rsidRDefault="00656374" w:rsidP="00656374">
      <w:pPr>
        <w:shd w:val="clear" w:color="auto" w:fill="FFFFFF"/>
        <w:spacing w:after="0" w:line="240" w:lineRule="auto"/>
        <w:textAlignment w:val="baseline"/>
        <w:rPr>
          <w:rFonts w:ascii="Calibri" w:eastAsia="Times New Roman" w:hAnsi="Calibri" w:cs="Calibri"/>
          <w:color w:val="000000"/>
          <w:lang w:eastAsia="en-AU"/>
        </w:rPr>
      </w:pPr>
    </w:p>
    <w:p w14:paraId="7D2A54E0" w14:textId="77777777" w:rsidR="00656374" w:rsidRPr="00656374" w:rsidRDefault="00656374" w:rsidP="00656374">
      <w:pPr>
        <w:spacing w:after="160" w:line="259" w:lineRule="auto"/>
        <w:rPr>
          <w:rFonts w:ascii="Calibri" w:eastAsia="Yu Mincho" w:hAnsi="Calibri" w:cs="Calibri"/>
        </w:rPr>
      </w:pPr>
      <w:r w:rsidRPr="00656374">
        <w:rPr>
          <w:rFonts w:ascii="Calibri" w:eastAsia="Yu Mincho" w:hAnsi="Calibri" w:cs="Calibri"/>
        </w:rPr>
        <w:t>‘Constituent part’, in relation to an amalgamated organisation, means:</w:t>
      </w:r>
    </w:p>
    <w:p w14:paraId="5C070AC9" w14:textId="77777777" w:rsidR="00656374" w:rsidRPr="00656374" w:rsidRDefault="00656374" w:rsidP="00656374">
      <w:pPr>
        <w:shd w:val="clear" w:color="auto" w:fill="FFFFFF"/>
        <w:spacing w:after="0" w:line="240" w:lineRule="auto"/>
        <w:ind w:left="720" w:right="1017"/>
        <w:jc w:val="both"/>
        <w:textAlignment w:val="baseline"/>
        <w:rPr>
          <w:rFonts w:ascii="Calibri" w:eastAsia="Times New Roman" w:hAnsi="Calibri" w:cs="Calibri"/>
          <w:color w:val="000000"/>
          <w:sz w:val="20"/>
          <w:szCs w:val="20"/>
          <w:lang w:eastAsia="en-AU"/>
        </w:rPr>
      </w:pPr>
      <w:r w:rsidRPr="00656374">
        <w:rPr>
          <w:rFonts w:ascii="Calibri" w:eastAsia="Times New Roman" w:hAnsi="Calibri" w:cs="Calibri"/>
          <w:color w:val="000000"/>
          <w:sz w:val="20"/>
          <w:szCs w:val="20"/>
          <w:bdr w:val="none" w:sz="0" w:space="0" w:color="auto" w:frame="1"/>
          <w:lang w:eastAsia="en-AU"/>
        </w:rPr>
        <w:t>(a)    a separately identifiable constituent part; or</w:t>
      </w:r>
    </w:p>
    <w:p w14:paraId="1535B323" w14:textId="371D00A4" w:rsidR="00656374" w:rsidRPr="00656374" w:rsidRDefault="00656374" w:rsidP="00C31689">
      <w:pPr>
        <w:shd w:val="clear" w:color="auto" w:fill="FFFFFF"/>
        <w:spacing w:after="0" w:line="240" w:lineRule="auto"/>
        <w:ind w:left="1134" w:right="1017" w:hanging="414"/>
        <w:jc w:val="both"/>
        <w:textAlignment w:val="baseline"/>
        <w:rPr>
          <w:rFonts w:ascii="Calibri" w:eastAsia="Times New Roman" w:hAnsi="Calibri" w:cs="Calibri"/>
          <w:color w:val="000000"/>
          <w:sz w:val="20"/>
          <w:szCs w:val="20"/>
          <w:lang w:eastAsia="en-AU"/>
        </w:rPr>
      </w:pPr>
      <w:r w:rsidRPr="00656374">
        <w:rPr>
          <w:rFonts w:ascii="Calibri" w:eastAsia="Times New Roman" w:hAnsi="Calibri" w:cs="Calibri"/>
          <w:color w:val="000000"/>
          <w:sz w:val="20"/>
          <w:szCs w:val="20"/>
          <w:bdr w:val="none" w:sz="0" w:space="0" w:color="auto" w:frame="1"/>
          <w:lang w:eastAsia="en-AU"/>
        </w:rPr>
        <w:t>(b)    a part of the membership of the amalgamated organisation that would have been eligible for membership of:</w:t>
      </w:r>
    </w:p>
    <w:p w14:paraId="482611B1" w14:textId="2B2F84CE" w:rsidR="00656374" w:rsidRPr="00656374" w:rsidRDefault="00656374" w:rsidP="00C31689">
      <w:pPr>
        <w:shd w:val="clear" w:color="auto" w:fill="FFFFFF"/>
        <w:spacing w:after="0" w:line="240" w:lineRule="auto"/>
        <w:ind w:left="1701" w:right="1017" w:hanging="283"/>
        <w:jc w:val="both"/>
        <w:textAlignment w:val="baseline"/>
        <w:rPr>
          <w:rFonts w:ascii="Calibri" w:eastAsia="Times New Roman" w:hAnsi="Calibri" w:cs="Calibri"/>
          <w:color w:val="000000"/>
          <w:sz w:val="20"/>
          <w:szCs w:val="20"/>
          <w:lang w:eastAsia="en-AU"/>
        </w:rPr>
      </w:pPr>
      <w:r w:rsidRPr="00656374">
        <w:rPr>
          <w:rFonts w:ascii="Calibri" w:eastAsia="Times New Roman" w:hAnsi="Calibri" w:cs="Calibri"/>
          <w:color w:val="000000"/>
          <w:sz w:val="20"/>
          <w:szCs w:val="20"/>
          <w:bdr w:val="none" w:sz="0" w:space="0" w:color="auto" w:frame="1"/>
          <w:lang w:eastAsia="en-AU"/>
        </w:rPr>
        <w:t>(</w:t>
      </w:r>
      <w:proofErr w:type="spellStart"/>
      <w:r w:rsidRPr="00656374">
        <w:rPr>
          <w:rFonts w:ascii="Calibri" w:eastAsia="Times New Roman" w:hAnsi="Calibri" w:cs="Calibri"/>
          <w:color w:val="000000"/>
          <w:sz w:val="20"/>
          <w:szCs w:val="20"/>
          <w:bdr w:val="none" w:sz="0" w:space="0" w:color="auto" w:frame="1"/>
          <w:lang w:eastAsia="en-AU"/>
        </w:rPr>
        <w:t>i</w:t>
      </w:r>
      <w:proofErr w:type="spellEnd"/>
      <w:r w:rsidRPr="00656374">
        <w:rPr>
          <w:rFonts w:ascii="Calibri" w:eastAsia="Times New Roman" w:hAnsi="Calibri" w:cs="Calibri"/>
          <w:color w:val="000000"/>
          <w:sz w:val="20"/>
          <w:szCs w:val="20"/>
          <w:bdr w:val="none" w:sz="0" w:space="0" w:color="auto" w:frame="1"/>
          <w:lang w:eastAsia="en-AU"/>
        </w:rPr>
        <w:t>)  </w:t>
      </w:r>
      <w:r w:rsidR="00C31689">
        <w:rPr>
          <w:rFonts w:ascii="Calibri" w:eastAsia="Times New Roman" w:hAnsi="Calibri" w:cs="Calibri"/>
          <w:color w:val="000000"/>
          <w:sz w:val="20"/>
          <w:szCs w:val="20"/>
          <w:bdr w:val="none" w:sz="0" w:space="0" w:color="auto" w:frame="1"/>
          <w:lang w:eastAsia="en-AU"/>
        </w:rPr>
        <w:tab/>
      </w:r>
      <w:r w:rsidRPr="00656374">
        <w:rPr>
          <w:rFonts w:ascii="Calibri" w:eastAsia="Times New Roman" w:hAnsi="Calibri" w:cs="Calibri"/>
          <w:color w:val="000000"/>
          <w:sz w:val="20"/>
          <w:szCs w:val="20"/>
          <w:bdr w:val="none" w:sz="0" w:space="0" w:color="auto" w:frame="1"/>
          <w:lang w:eastAsia="en-AU"/>
        </w:rPr>
        <w:t>an organisation de-registered under Part 2 or a predecessor law in connection with the formation of the amalgamated organisation; or</w:t>
      </w:r>
    </w:p>
    <w:p w14:paraId="7781942E" w14:textId="229DCBFE" w:rsidR="00656374" w:rsidRPr="00656374" w:rsidRDefault="00656374" w:rsidP="00C31689">
      <w:pPr>
        <w:shd w:val="clear" w:color="auto" w:fill="FFFFFF"/>
        <w:spacing w:after="0" w:line="240" w:lineRule="auto"/>
        <w:ind w:left="1701" w:right="1017" w:hanging="283"/>
        <w:jc w:val="both"/>
        <w:textAlignment w:val="baseline"/>
        <w:rPr>
          <w:rFonts w:ascii="Calibri" w:eastAsia="Times New Roman" w:hAnsi="Calibri" w:cs="Calibri"/>
          <w:color w:val="000000"/>
          <w:sz w:val="20"/>
          <w:szCs w:val="20"/>
          <w:lang w:eastAsia="en-AU"/>
        </w:rPr>
      </w:pPr>
      <w:r w:rsidRPr="00656374">
        <w:rPr>
          <w:rFonts w:ascii="Calibri" w:eastAsia="Times New Roman" w:hAnsi="Calibri" w:cs="Calibri"/>
          <w:color w:val="000000"/>
          <w:sz w:val="20"/>
          <w:szCs w:val="20"/>
          <w:bdr w:val="none" w:sz="0" w:space="0" w:color="auto" w:frame="1"/>
          <w:lang w:eastAsia="en-AU"/>
        </w:rPr>
        <w:t>(ii) </w:t>
      </w:r>
      <w:r w:rsidR="00C31689">
        <w:rPr>
          <w:rFonts w:ascii="Calibri" w:eastAsia="Times New Roman" w:hAnsi="Calibri" w:cs="Calibri"/>
          <w:color w:val="000000"/>
          <w:sz w:val="20"/>
          <w:szCs w:val="20"/>
          <w:bdr w:val="none" w:sz="0" w:space="0" w:color="auto" w:frame="1"/>
          <w:lang w:eastAsia="en-AU"/>
        </w:rPr>
        <w:tab/>
      </w:r>
      <w:r w:rsidRPr="00656374">
        <w:rPr>
          <w:rFonts w:ascii="Calibri" w:eastAsia="Times New Roman" w:hAnsi="Calibri" w:cs="Calibri"/>
          <w:color w:val="000000"/>
          <w:sz w:val="20"/>
          <w:szCs w:val="20"/>
          <w:bdr w:val="none" w:sz="0" w:space="0" w:color="auto" w:frame="1"/>
          <w:lang w:eastAsia="en-AU"/>
        </w:rPr>
        <w:t xml:space="preserve">a State or Territory branch of such a de-registered </w:t>
      </w:r>
      <w:proofErr w:type="gramStart"/>
      <w:r w:rsidRPr="00656374">
        <w:rPr>
          <w:rFonts w:ascii="Calibri" w:eastAsia="Times New Roman" w:hAnsi="Calibri" w:cs="Calibri"/>
          <w:color w:val="000000"/>
          <w:sz w:val="20"/>
          <w:szCs w:val="20"/>
          <w:bdr w:val="none" w:sz="0" w:space="0" w:color="auto" w:frame="1"/>
          <w:lang w:eastAsia="en-AU"/>
        </w:rPr>
        <w:t>organisation;</w:t>
      </w:r>
      <w:proofErr w:type="gramEnd"/>
    </w:p>
    <w:p w14:paraId="411EA398" w14:textId="4E8BE3D2" w:rsidR="00656374" w:rsidRPr="00656374" w:rsidRDefault="00C31689" w:rsidP="00C31689">
      <w:pPr>
        <w:shd w:val="clear" w:color="auto" w:fill="FFFFFF"/>
        <w:spacing w:after="0" w:line="240" w:lineRule="auto"/>
        <w:ind w:left="1701" w:right="1017" w:hanging="283"/>
        <w:jc w:val="both"/>
        <w:textAlignment w:val="baseline"/>
        <w:rPr>
          <w:rFonts w:ascii="Calibri" w:eastAsia="Times New Roman" w:hAnsi="Calibri" w:cs="Calibri"/>
          <w:color w:val="000000"/>
          <w:sz w:val="20"/>
          <w:szCs w:val="20"/>
          <w:bdr w:val="none" w:sz="0" w:space="0" w:color="auto" w:frame="1"/>
          <w:lang w:eastAsia="en-AU"/>
        </w:rPr>
      </w:pPr>
      <w:r>
        <w:rPr>
          <w:rFonts w:ascii="Calibri" w:eastAsia="Times New Roman" w:hAnsi="Calibri" w:cs="Calibri"/>
          <w:color w:val="000000"/>
          <w:sz w:val="20"/>
          <w:szCs w:val="20"/>
          <w:bdr w:val="none" w:sz="0" w:space="0" w:color="auto" w:frame="1"/>
          <w:lang w:eastAsia="en-AU"/>
        </w:rPr>
        <w:tab/>
      </w:r>
      <w:r w:rsidR="00656374" w:rsidRPr="00656374">
        <w:rPr>
          <w:rFonts w:ascii="Calibri" w:eastAsia="Times New Roman" w:hAnsi="Calibri" w:cs="Calibri"/>
          <w:color w:val="000000"/>
          <w:sz w:val="20"/>
          <w:szCs w:val="20"/>
          <w:bdr w:val="none" w:sz="0" w:space="0" w:color="auto" w:frame="1"/>
          <w:lang w:eastAsia="en-AU"/>
        </w:rPr>
        <w:t>if the de-registration had not occurred.</w:t>
      </w:r>
    </w:p>
    <w:p w14:paraId="4F76D3DC" w14:textId="77777777" w:rsidR="00656374" w:rsidRPr="00656374" w:rsidRDefault="00656374" w:rsidP="00656374">
      <w:pPr>
        <w:shd w:val="clear" w:color="auto" w:fill="FFFFFF"/>
        <w:spacing w:after="0" w:line="240" w:lineRule="auto"/>
        <w:ind w:left="1880" w:right="1017" w:firstLine="160"/>
        <w:jc w:val="both"/>
        <w:textAlignment w:val="baseline"/>
        <w:rPr>
          <w:rFonts w:ascii="Calibri" w:eastAsia="Times New Roman" w:hAnsi="Calibri" w:cs="Calibri"/>
          <w:color w:val="000000"/>
          <w:lang w:eastAsia="en-AU"/>
        </w:rPr>
      </w:pPr>
    </w:p>
    <w:p w14:paraId="1CAA905E" w14:textId="77777777" w:rsidR="00656374" w:rsidRPr="00656374" w:rsidRDefault="00656374" w:rsidP="00656374">
      <w:pPr>
        <w:spacing w:after="160" w:line="259" w:lineRule="auto"/>
        <w:rPr>
          <w:rFonts w:ascii="Calibri" w:eastAsia="Yu Mincho" w:hAnsi="Calibri" w:cs="Calibri"/>
        </w:rPr>
      </w:pPr>
      <w:r w:rsidRPr="00656374">
        <w:rPr>
          <w:rFonts w:ascii="Calibri" w:eastAsia="Yu Mincho" w:hAnsi="Calibri" w:cs="Calibri"/>
        </w:rPr>
        <w:t>‘Separately identifiable constituent part’, in relation to an amalgamated organisation, means:</w:t>
      </w:r>
    </w:p>
    <w:p w14:paraId="567119C6" w14:textId="54B43BA3" w:rsidR="00656374" w:rsidRPr="00656374" w:rsidRDefault="00656374" w:rsidP="00F900F8">
      <w:pPr>
        <w:shd w:val="clear" w:color="auto" w:fill="FFFFFF"/>
        <w:spacing w:after="0" w:line="240" w:lineRule="auto"/>
        <w:ind w:left="1134" w:right="1017" w:hanging="425"/>
        <w:jc w:val="both"/>
        <w:textAlignment w:val="baseline"/>
        <w:rPr>
          <w:rFonts w:ascii="Calibri" w:eastAsia="Times New Roman" w:hAnsi="Calibri" w:cs="Calibri"/>
          <w:color w:val="000000"/>
          <w:sz w:val="20"/>
          <w:szCs w:val="20"/>
          <w:bdr w:val="none" w:sz="0" w:space="0" w:color="auto" w:frame="1"/>
          <w:lang w:eastAsia="en-AU"/>
        </w:rPr>
      </w:pPr>
      <w:r w:rsidRPr="00656374">
        <w:rPr>
          <w:rFonts w:ascii="Calibri" w:eastAsia="Times New Roman" w:hAnsi="Calibri" w:cs="Calibri"/>
          <w:color w:val="000000"/>
          <w:sz w:val="20"/>
          <w:szCs w:val="20"/>
          <w:bdr w:val="none" w:sz="0" w:space="0" w:color="auto" w:frame="1"/>
          <w:lang w:eastAsia="en-AU"/>
        </w:rPr>
        <w:t xml:space="preserve">(a)    if an organisation de-registered under Part 2 or a predecessor law in connection with the formation of the amalgamated organisation remains separately identifiable under the rules of the amalgamated organisation as a branch, </w:t>
      </w:r>
      <w:proofErr w:type="gramStart"/>
      <w:r w:rsidRPr="00656374">
        <w:rPr>
          <w:rFonts w:ascii="Calibri" w:eastAsia="Times New Roman" w:hAnsi="Calibri" w:cs="Calibri"/>
          <w:color w:val="000000"/>
          <w:sz w:val="20"/>
          <w:szCs w:val="20"/>
          <w:bdr w:val="none" w:sz="0" w:space="0" w:color="auto" w:frame="1"/>
          <w:lang w:eastAsia="en-AU"/>
        </w:rPr>
        <w:t>division</w:t>
      </w:r>
      <w:proofErr w:type="gramEnd"/>
      <w:r w:rsidRPr="00656374">
        <w:rPr>
          <w:rFonts w:ascii="Calibri" w:eastAsia="Times New Roman" w:hAnsi="Calibri" w:cs="Calibri"/>
          <w:color w:val="000000"/>
          <w:sz w:val="20"/>
          <w:szCs w:val="20"/>
          <w:bdr w:val="none" w:sz="0" w:space="0" w:color="auto" w:frame="1"/>
          <w:lang w:eastAsia="en-AU"/>
        </w:rPr>
        <w:t xml:space="preserve"> or part of that organisation—that branch, division or part; or</w:t>
      </w:r>
    </w:p>
    <w:p w14:paraId="4BF6A08A" w14:textId="77777777" w:rsidR="00656374" w:rsidRPr="00656374" w:rsidRDefault="00656374" w:rsidP="00F900F8">
      <w:pPr>
        <w:shd w:val="clear" w:color="auto" w:fill="FFFFFF"/>
        <w:spacing w:after="0" w:line="240" w:lineRule="auto"/>
        <w:ind w:left="1134" w:right="1017" w:hanging="425"/>
        <w:jc w:val="both"/>
        <w:textAlignment w:val="baseline"/>
        <w:rPr>
          <w:rFonts w:ascii="Calibri" w:eastAsia="Times New Roman" w:hAnsi="Calibri" w:cs="Calibri"/>
          <w:color w:val="000000"/>
          <w:sz w:val="20"/>
          <w:szCs w:val="20"/>
          <w:bdr w:val="none" w:sz="0" w:space="0" w:color="auto" w:frame="1"/>
          <w:lang w:eastAsia="en-AU"/>
        </w:rPr>
      </w:pPr>
      <w:r w:rsidRPr="00656374">
        <w:rPr>
          <w:rFonts w:ascii="Calibri" w:eastAsia="Times New Roman" w:hAnsi="Calibri" w:cs="Calibri"/>
          <w:color w:val="000000"/>
          <w:sz w:val="20"/>
          <w:szCs w:val="20"/>
          <w:bdr w:val="none" w:sz="0" w:space="0" w:color="auto" w:frame="1"/>
          <w:lang w:eastAsia="en-AU"/>
        </w:rPr>
        <w:t xml:space="preserve">(b)    if a State or Territory branch of such a de-registered organisation under its rules as in force immediately before its de-registration remains separately identifiable under the rules of the amalgamated organisation as a branch, </w:t>
      </w:r>
      <w:proofErr w:type="gramStart"/>
      <w:r w:rsidRPr="00656374">
        <w:rPr>
          <w:rFonts w:ascii="Calibri" w:eastAsia="Times New Roman" w:hAnsi="Calibri" w:cs="Calibri"/>
          <w:color w:val="000000"/>
          <w:sz w:val="20"/>
          <w:szCs w:val="20"/>
          <w:bdr w:val="none" w:sz="0" w:space="0" w:color="auto" w:frame="1"/>
          <w:lang w:eastAsia="en-AU"/>
        </w:rPr>
        <w:t>division</w:t>
      </w:r>
      <w:proofErr w:type="gramEnd"/>
      <w:r w:rsidRPr="00656374">
        <w:rPr>
          <w:rFonts w:ascii="Calibri" w:eastAsia="Times New Roman" w:hAnsi="Calibri" w:cs="Calibri"/>
          <w:color w:val="000000"/>
          <w:sz w:val="20"/>
          <w:szCs w:val="20"/>
          <w:bdr w:val="none" w:sz="0" w:space="0" w:color="auto" w:frame="1"/>
          <w:lang w:eastAsia="en-AU"/>
        </w:rPr>
        <w:t xml:space="preserve"> or part of that organisation—that branch, division or part; or</w:t>
      </w:r>
    </w:p>
    <w:p w14:paraId="4F799F48" w14:textId="77777777" w:rsidR="00656374" w:rsidRPr="00656374" w:rsidRDefault="00656374" w:rsidP="00F900F8">
      <w:pPr>
        <w:shd w:val="clear" w:color="auto" w:fill="FFFFFF"/>
        <w:spacing w:after="0" w:line="240" w:lineRule="auto"/>
        <w:ind w:left="1134" w:right="1017" w:hanging="425"/>
        <w:jc w:val="both"/>
        <w:textAlignment w:val="baseline"/>
        <w:rPr>
          <w:rFonts w:ascii="Calibri" w:eastAsia="Times New Roman" w:hAnsi="Calibri" w:cs="Calibri"/>
          <w:color w:val="000000"/>
          <w:sz w:val="20"/>
          <w:szCs w:val="20"/>
          <w:bdr w:val="none" w:sz="0" w:space="0" w:color="auto" w:frame="1"/>
          <w:lang w:eastAsia="en-AU"/>
        </w:rPr>
      </w:pPr>
      <w:r w:rsidRPr="00656374">
        <w:rPr>
          <w:rFonts w:ascii="Calibri" w:eastAsia="Times New Roman" w:hAnsi="Calibri" w:cs="Calibri"/>
          <w:color w:val="000000"/>
          <w:sz w:val="20"/>
          <w:szCs w:val="20"/>
          <w:bdr w:val="none" w:sz="0" w:space="0" w:color="auto" w:frame="1"/>
          <w:lang w:eastAsia="en-AU"/>
        </w:rPr>
        <w:t>(c)    any branch, division or part of the amalgamated organisation not covered by paragraph (a) or (b) that is separately identifiable under the rules of the organisation.</w:t>
      </w:r>
    </w:p>
    <w:p w14:paraId="07E05C22" w14:textId="77777777" w:rsidR="00656374" w:rsidRPr="00656374" w:rsidRDefault="00656374" w:rsidP="00656374">
      <w:pPr>
        <w:shd w:val="clear" w:color="auto" w:fill="FFFFFF"/>
        <w:spacing w:after="0" w:line="240" w:lineRule="auto"/>
        <w:textAlignment w:val="baseline"/>
        <w:rPr>
          <w:rFonts w:ascii="Calibri" w:eastAsia="Times New Roman" w:hAnsi="Calibri" w:cs="Calibri"/>
          <w:color w:val="000000"/>
          <w:bdr w:val="none" w:sz="0" w:space="0" w:color="auto" w:frame="1"/>
          <w:lang w:eastAsia="en-AU"/>
        </w:rPr>
      </w:pPr>
    </w:p>
    <w:p w14:paraId="453B4910" w14:textId="77777777" w:rsidR="00656374" w:rsidRPr="00656374" w:rsidRDefault="00656374" w:rsidP="00656374">
      <w:pPr>
        <w:spacing w:after="160" w:line="259" w:lineRule="auto"/>
        <w:rPr>
          <w:rFonts w:ascii="Calibri" w:eastAsia="Yu Mincho" w:hAnsi="Calibri" w:cs="Calibri"/>
        </w:rPr>
      </w:pPr>
      <w:r w:rsidRPr="00656374">
        <w:rPr>
          <w:rFonts w:ascii="Calibri" w:eastAsia="Yu Mincho" w:hAnsi="Calibri" w:cs="Calibri"/>
        </w:rPr>
        <w:t xml:space="preserve">The 2020 Amendment Act inserted paragraph (c) of this definition. In </w:t>
      </w:r>
      <w:r w:rsidRPr="00656374">
        <w:rPr>
          <w:rFonts w:ascii="Calibri" w:eastAsia="Yu Mincho" w:hAnsi="Calibri" w:cs="Calibri"/>
          <w:i/>
          <w:iCs/>
        </w:rPr>
        <w:t xml:space="preserve">Kelly v Construction, Forestry, Maritime, Mining and Energy Union </w:t>
      </w:r>
      <w:hyperlink r:id="rId21" w:history="1">
        <w:r w:rsidRPr="00656374">
          <w:rPr>
            <w:rFonts w:ascii="Calibri" w:eastAsia="Yu Mincho" w:hAnsi="Calibri" w:cs="Calibri"/>
            <w:color w:val="0000FF"/>
            <w:u w:val="single"/>
          </w:rPr>
          <w:t>[2022] FCAFC 130</w:t>
        </w:r>
      </w:hyperlink>
      <w:r w:rsidRPr="00656374">
        <w:rPr>
          <w:rFonts w:ascii="Calibri" w:eastAsia="Yu Mincho" w:hAnsi="Calibri" w:cs="Calibri"/>
        </w:rPr>
        <w:t>, a Full Court of the Federal Court of Australia (</w:t>
      </w:r>
      <w:proofErr w:type="spellStart"/>
      <w:r w:rsidRPr="00656374">
        <w:rPr>
          <w:rFonts w:ascii="Calibri" w:eastAsia="Yu Mincho" w:hAnsi="Calibri" w:cs="Calibri"/>
        </w:rPr>
        <w:t>Katzmann</w:t>
      </w:r>
      <w:proofErr w:type="spellEnd"/>
      <w:r w:rsidRPr="00656374">
        <w:rPr>
          <w:rFonts w:ascii="Calibri" w:eastAsia="Yu Mincho" w:hAnsi="Calibri" w:cs="Calibri"/>
        </w:rPr>
        <w:t xml:space="preserve">, </w:t>
      </w:r>
      <w:proofErr w:type="spellStart"/>
      <w:r w:rsidRPr="00656374">
        <w:rPr>
          <w:rFonts w:ascii="Calibri" w:eastAsia="Yu Mincho" w:hAnsi="Calibri" w:cs="Calibri"/>
        </w:rPr>
        <w:t>Rangiah</w:t>
      </w:r>
      <w:proofErr w:type="spellEnd"/>
      <w:r w:rsidRPr="00656374">
        <w:rPr>
          <w:rFonts w:ascii="Calibri" w:eastAsia="Yu Mincho" w:hAnsi="Calibri" w:cs="Calibri"/>
        </w:rPr>
        <w:t xml:space="preserve"> and O’Callaghan JJ) held that:</w:t>
      </w:r>
    </w:p>
    <w:p w14:paraId="0E6EB3F2" w14:textId="77777777" w:rsidR="00656374" w:rsidRPr="00656374" w:rsidRDefault="00656374" w:rsidP="00656374">
      <w:pPr>
        <w:numPr>
          <w:ilvl w:val="0"/>
          <w:numId w:val="35"/>
        </w:numPr>
        <w:spacing w:after="160" w:line="259" w:lineRule="auto"/>
        <w:contextualSpacing/>
        <w:rPr>
          <w:rFonts w:ascii="Calibri" w:eastAsia="Yu Mincho" w:hAnsi="Calibri" w:cs="Arial"/>
          <w:sz w:val="20"/>
          <w:szCs w:val="20"/>
        </w:rPr>
      </w:pPr>
      <w:r w:rsidRPr="00656374">
        <w:rPr>
          <w:rFonts w:ascii="Calibri" w:eastAsia="Yu Mincho" w:hAnsi="Calibri" w:cs="Arial"/>
          <w:color w:val="000000"/>
          <w:sz w:val="20"/>
          <w:szCs w:val="20"/>
          <w:bdr w:val="none" w:sz="0" w:space="0" w:color="auto" w:frame="1"/>
          <w:shd w:val="clear" w:color="auto" w:fill="FFFFFF"/>
        </w:rPr>
        <w:t>the legislative intention [behind the addition of para (c)] was to expand the range of constituent parts capable of withdrawing from an amalgamated organisation [87], and</w:t>
      </w:r>
    </w:p>
    <w:p w14:paraId="47FA092E" w14:textId="77777777" w:rsidR="00656374" w:rsidRPr="00656374" w:rsidRDefault="00656374" w:rsidP="00656374">
      <w:pPr>
        <w:numPr>
          <w:ilvl w:val="0"/>
          <w:numId w:val="35"/>
        </w:numPr>
        <w:spacing w:after="160" w:line="259" w:lineRule="auto"/>
        <w:contextualSpacing/>
        <w:rPr>
          <w:rFonts w:ascii="Calibri" w:eastAsia="Yu Mincho" w:hAnsi="Calibri" w:cs="Arial"/>
          <w:sz w:val="20"/>
          <w:szCs w:val="20"/>
        </w:rPr>
      </w:pPr>
      <w:r w:rsidRPr="00656374">
        <w:rPr>
          <w:rFonts w:ascii="Calibri" w:eastAsia="Yu Mincho" w:hAnsi="Calibri" w:cs="Arial"/>
          <w:sz w:val="20"/>
          <w:szCs w:val="20"/>
        </w:rPr>
        <w:t xml:space="preserve">the paragraph (c) of the definition of ‘separately identifiable constituent part’ is not limited to a branch, </w:t>
      </w:r>
      <w:proofErr w:type="gramStart"/>
      <w:r w:rsidRPr="00656374">
        <w:rPr>
          <w:rFonts w:ascii="Calibri" w:eastAsia="Yu Mincho" w:hAnsi="Calibri" w:cs="Arial"/>
          <w:sz w:val="20"/>
          <w:szCs w:val="20"/>
        </w:rPr>
        <w:t>division</w:t>
      </w:r>
      <w:proofErr w:type="gramEnd"/>
      <w:r w:rsidRPr="00656374">
        <w:rPr>
          <w:rFonts w:ascii="Calibri" w:eastAsia="Yu Mincho" w:hAnsi="Calibri" w:cs="Arial"/>
          <w:sz w:val="20"/>
          <w:szCs w:val="20"/>
        </w:rPr>
        <w:t xml:space="preserve"> or part of a de-registered organisation [98].</w:t>
      </w:r>
    </w:p>
    <w:p w14:paraId="5E3F0160" w14:textId="77777777" w:rsidR="00656374" w:rsidRPr="00656374" w:rsidRDefault="00656374" w:rsidP="00656374">
      <w:pPr>
        <w:spacing w:after="160" w:line="259" w:lineRule="auto"/>
        <w:rPr>
          <w:rFonts w:ascii="Calibri" w:eastAsia="Yu Mincho" w:hAnsi="Calibri" w:cs="Calibri"/>
        </w:rPr>
      </w:pPr>
      <w:r w:rsidRPr="00656374">
        <w:rPr>
          <w:rFonts w:ascii="Calibri" w:eastAsia="Yu Mincho" w:hAnsi="Calibri" w:cs="Calibri"/>
        </w:rPr>
        <w:lastRenderedPageBreak/>
        <w:t>‘Predecessor law’ (in effect) means the relevant parts of the legislation enacted since 1 February 1991 which provide for the amalgamation of organisations.</w:t>
      </w:r>
    </w:p>
    <w:p w14:paraId="3224ADA5" w14:textId="77777777" w:rsidR="00656374" w:rsidRPr="00656374" w:rsidRDefault="00656374" w:rsidP="008B449C">
      <w:pPr>
        <w:pStyle w:val="ListParagraph"/>
        <w:keepNext/>
        <w:keepLines/>
        <w:numPr>
          <w:ilvl w:val="0"/>
          <w:numId w:val="37"/>
        </w:numPr>
        <w:pBdr>
          <w:bottom w:val="single" w:sz="4" w:space="1" w:color="595959"/>
        </w:pBdr>
        <w:spacing w:before="360" w:after="160" w:line="259" w:lineRule="auto"/>
        <w:ind w:left="426" w:hanging="426"/>
        <w:outlineLvl w:val="0"/>
        <w:rPr>
          <w:rFonts w:ascii="Calibri Light" w:eastAsia="Yu Gothic Light" w:hAnsi="Calibri Light" w:cs="Times New Roman"/>
          <w:b/>
          <w:bCs/>
          <w:smallCaps/>
          <w:color w:val="000000"/>
          <w:sz w:val="36"/>
          <w:szCs w:val="36"/>
        </w:rPr>
      </w:pPr>
      <w:bookmarkStart w:id="5" w:name="_Toc121826057"/>
      <w:r w:rsidRPr="00656374">
        <w:rPr>
          <w:rFonts w:ascii="Calibri Light" w:eastAsia="Yu Gothic Light" w:hAnsi="Calibri Light" w:cs="Times New Roman"/>
          <w:b/>
          <w:bCs/>
          <w:smallCaps/>
          <w:color w:val="000000"/>
          <w:sz w:val="36"/>
          <w:szCs w:val="36"/>
        </w:rPr>
        <w:t>Use and impact of the provisions</w:t>
      </w:r>
      <w:bookmarkEnd w:id="5"/>
    </w:p>
    <w:p w14:paraId="442670C0" w14:textId="77777777" w:rsidR="00656374" w:rsidRPr="00656374" w:rsidRDefault="00656374" w:rsidP="00656374">
      <w:pPr>
        <w:spacing w:after="160" w:line="257" w:lineRule="auto"/>
        <w:rPr>
          <w:rFonts w:ascii="Calibri" w:eastAsia="Calibri" w:hAnsi="Calibri" w:cs="Calibri"/>
        </w:rPr>
      </w:pPr>
      <w:r w:rsidRPr="00656374">
        <w:rPr>
          <w:rFonts w:ascii="Calibri" w:eastAsia="Calibri" w:hAnsi="Calibri" w:cs="Calibri"/>
        </w:rPr>
        <w:t>Since the commencement of the 2020 Amendment Act, there have been three applications made under s 94 of the RO Act for a secret ballot to be held to decide whether a constituent part of an amalgamated organisation should withdraw from the organisation.</w:t>
      </w:r>
    </w:p>
    <w:p w14:paraId="11C05F7A" w14:textId="77777777" w:rsidR="00656374" w:rsidRPr="00656374" w:rsidRDefault="00656374" w:rsidP="00656374">
      <w:pPr>
        <w:spacing w:after="160" w:line="257" w:lineRule="auto"/>
        <w:rPr>
          <w:rFonts w:ascii="Calibri" w:eastAsia="Yu Mincho" w:hAnsi="Calibri" w:cs="Arial"/>
        </w:rPr>
      </w:pPr>
      <w:r w:rsidRPr="00656374">
        <w:rPr>
          <w:rFonts w:ascii="Calibri" w:eastAsia="Calibri" w:hAnsi="Calibri" w:cs="Calibri"/>
        </w:rPr>
        <w:t xml:space="preserve">Only one of those applications has sought the exercise of the FWC’s discretion pursuant to s 94A of the RO Act to accept the application after the period of 5 years from the date that the relevant amalgamation occurred had elapsed. </w:t>
      </w:r>
    </w:p>
    <w:p w14:paraId="1C1B8A1D" w14:textId="77777777" w:rsidR="00656374" w:rsidRPr="00656374" w:rsidRDefault="00656374" w:rsidP="00656374">
      <w:pPr>
        <w:spacing w:after="160" w:line="257" w:lineRule="auto"/>
        <w:rPr>
          <w:rFonts w:ascii="Calibri" w:eastAsia="Calibri" w:hAnsi="Calibri" w:cs="Calibri"/>
        </w:rPr>
      </w:pPr>
      <w:r w:rsidRPr="00656374">
        <w:rPr>
          <w:rFonts w:ascii="Calibri" w:eastAsia="Calibri" w:hAnsi="Calibri" w:cs="Calibri"/>
        </w:rPr>
        <w:t>Specifically, on 15 September 2022, Mr Grahame Kelly, the General Secretary of the Mining and Energy Division of the Construction, Forestry, Maritime, Mining and Energy Union (CFMMEU), made an application to the FWC under section 94A for a ballot to be held to decide whether the relevant constituent part should withdraw from the CFMMEU (FWC matter no: D2022/10). This application had not been determined at the time of writing of this report.</w:t>
      </w:r>
    </w:p>
    <w:p w14:paraId="678E3640" w14:textId="77777777" w:rsidR="00656374" w:rsidRPr="00656374" w:rsidRDefault="00656374" w:rsidP="00656374">
      <w:pPr>
        <w:spacing w:after="160" w:line="257" w:lineRule="auto"/>
        <w:rPr>
          <w:rFonts w:ascii="Calibri" w:eastAsia="Calibri" w:hAnsi="Calibri" w:cs="Calibri"/>
        </w:rPr>
      </w:pPr>
      <w:r w:rsidRPr="00656374">
        <w:rPr>
          <w:rFonts w:ascii="Calibri" w:eastAsia="Calibri" w:hAnsi="Calibri" w:cs="Calibri"/>
        </w:rPr>
        <w:t xml:space="preserve">A previous application made by Mr Kelly on 26 March 2021 did not rely upon section 94A and was dismissed by a Full Bench of the FWC </w:t>
      </w:r>
      <w:r w:rsidRPr="00656374">
        <w:rPr>
          <w:rFonts w:ascii="Calibri" w:eastAsia="Calibri" w:hAnsi="Calibri" w:cs="Calibri"/>
          <w:i/>
          <w:iCs/>
        </w:rPr>
        <w:t>Application by Grahame Patrick Kelly – withdrawal from amalgamated organisation – Mining and Energy Division – Construction, Forestry, Maritime, Mining and Energy Union</w:t>
      </w:r>
      <w:r w:rsidRPr="00656374">
        <w:rPr>
          <w:rFonts w:ascii="Calibri" w:eastAsia="Calibri" w:hAnsi="Calibri" w:cs="Calibri"/>
        </w:rPr>
        <w:t xml:space="preserve"> (2021) 310 IR 270). A Full Court of the Federal Court subsequently dismissed Mr Kelly’s application for judicial review (</w:t>
      </w:r>
      <w:r w:rsidRPr="00656374">
        <w:rPr>
          <w:rFonts w:ascii="Calibri" w:eastAsia="Calibri" w:hAnsi="Calibri" w:cs="Calibri"/>
          <w:i/>
          <w:iCs/>
        </w:rPr>
        <w:t xml:space="preserve">Kelly v Construction, Forestry, Maritime, Mining and Energy Union </w:t>
      </w:r>
      <w:r w:rsidRPr="00656374">
        <w:rPr>
          <w:rFonts w:ascii="Calibri" w:eastAsia="Calibri" w:hAnsi="Calibri" w:cs="Calibri"/>
        </w:rPr>
        <w:t>[2022] FCAFC 130).</w:t>
      </w:r>
    </w:p>
    <w:p w14:paraId="55C42C89" w14:textId="77777777" w:rsidR="00656374" w:rsidRPr="00656374" w:rsidRDefault="00656374" w:rsidP="00656374">
      <w:pPr>
        <w:spacing w:after="160" w:line="257" w:lineRule="auto"/>
        <w:rPr>
          <w:rFonts w:ascii="Calibri" w:eastAsia="Calibri" w:hAnsi="Calibri" w:cs="Calibri"/>
        </w:rPr>
      </w:pPr>
      <w:bookmarkStart w:id="6" w:name="_Hlk122109081"/>
      <w:r w:rsidRPr="00656374">
        <w:rPr>
          <w:rFonts w:ascii="Calibri" w:eastAsia="Calibri" w:hAnsi="Calibri" w:cs="Calibri"/>
        </w:rPr>
        <w:t>A further application by Mr Michael O’Connor, the Divisional Secretary of the Manufacturing Division of the CFMMEU, on 15 September 2022 and currently before the FWC also does not rely on section 94A (FWC matter no: D2022/11).</w:t>
      </w:r>
    </w:p>
    <w:bookmarkEnd w:id="6"/>
    <w:p w14:paraId="61ED6433" w14:textId="77777777" w:rsidR="00656374" w:rsidRPr="00656374" w:rsidRDefault="00656374" w:rsidP="00656374">
      <w:pPr>
        <w:spacing w:after="160" w:line="259" w:lineRule="auto"/>
        <w:rPr>
          <w:rFonts w:ascii="Calibri" w:eastAsia="Yu Mincho" w:hAnsi="Calibri" w:cs="Arial"/>
          <w:b/>
          <w:bCs/>
        </w:rPr>
      </w:pPr>
      <w:r w:rsidRPr="00656374">
        <w:rPr>
          <w:rFonts w:ascii="Calibri" w:eastAsia="Yu Mincho" w:hAnsi="Calibri" w:cs="Arial"/>
          <w:b/>
          <w:bCs/>
        </w:rPr>
        <w:t>Impact of the provisions</w:t>
      </w:r>
    </w:p>
    <w:p w14:paraId="6B29EFF6" w14:textId="77777777" w:rsidR="00656374" w:rsidRPr="00656374" w:rsidRDefault="00656374" w:rsidP="00656374">
      <w:pPr>
        <w:spacing w:after="160" w:line="259" w:lineRule="auto"/>
        <w:rPr>
          <w:rFonts w:ascii="Calibri" w:eastAsia="Yu Mincho" w:hAnsi="Calibri" w:cs="Arial"/>
        </w:rPr>
      </w:pPr>
      <w:bookmarkStart w:id="7" w:name="_Hlk121829718"/>
      <w:r w:rsidRPr="00656374">
        <w:rPr>
          <w:rFonts w:ascii="Calibri" w:eastAsia="Yu Mincho" w:hAnsi="Calibri" w:cs="Arial"/>
        </w:rPr>
        <w:t>Given the limited use of the provisions, the department considers that there is insufficient information to meaningfully assess the impact of the provisions.</w:t>
      </w:r>
    </w:p>
    <w:p w14:paraId="42E79EBD" w14:textId="77777777" w:rsidR="00656374" w:rsidRPr="00656374" w:rsidRDefault="00656374" w:rsidP="00656374">
      <w:pPr>
        <w:spacing w:after="160" w:line="259" w:lineRule="auto"/>
        <w:rPr>
          <w:rFonts w:ascii="Calibri" w:eastAsia="Yu Mincho" w:hAnsi="Calibri" w:cs="Arial"/>
        </w:rPr>
      </w:pPr>
      <w:r w:rsidRPr="00656374">
        <w:rPr>
          <w:rFonts w:ascii="Calibri" w:eastAsia="Yu Mincho" w:hAnsi="Calibri" w:cs="Arial"/>
        </w:rPr>
        <w:t>In relation to the principal statutory provisions in section 94A, there has been only one application which was still on foot before the FWC at the time of the writing of this report. As such there are no relevant decisions from which to draw any conclusions about the impact of the provisions.</w:t>
      </w:r>
    </w:p>
    <w:p w14:paraId="4AC18191" w14:textId="77777777" w:rsidR="00656374" w:rsidRPr="00656374" w:rsidRDefault="00656374" w:rsidP="00656374">
      <w:pPr>
        <w:spacing w:after="160" w:line="259" w:lineRule="auto"/>
        <w:rPr>
          <w:rFonts w:ascii="Calibri" w:eastAsia="Yu Mincho" w:hAnsi="Calibri" w:cs="Arial"/>
        </w:rPr>
      </w:pPr>
      <w:r w:rsidRPr="00656374">
        <w:rPr>
          <w:rFonts w:ascii="Calibri" w:eastAsia="Yu Mincho" w:hAnsi="Calibri" w:cs="Arial"/>
        </w:rPr>
        <w:t>The department is not aware of any substantive judicial or other commentary on the operation of the remaining provisions inserted into the RO Act by the 2020 Amendment Act.</w:t>
      </w:r>
    </w:p>
    <w:p w14:paraId="7C946765" w14:textId="77777777" w:rsidR="00656374" w:rsidRPr="00656374" w:rsidRDefault="00656374" w:rsidP="008B449C">
      <w:pPr>
        <w:pStyle w:val="ListParagraph"/>
        <w:keepNext/>
        <w:keepLines/>
        <w:numPr>
          <w:ilvl w:val="0"/>
          <w:numId w:val="37"/>
        </w:numPr>
        <w:pBdr>
          <w:bottom w:val="single" w:sz="4" w:space="1" w:color="595959"/>
        </w:pBdr>
        <w:spacing w:before="360" w:after="160" w:line="259" w:lineRule="auto"/>
        <w:ind w:left="426" w:hanging="426"/>
        <w:outlineLvl w:val="0"/>
        <w:rPr>
          <w:rFonts w:ascii="Calibri Light" w:eastAsia="Yu Gothic Light" w:hAnsi="Calibri Light" w:cs="Times New Roman"/>
          <w:b/>
          <w:bCs/>
          <w:smallCaps/>
          <w:color w:val="000000"/>
          <w:sz w:val="36"/>
          <w:szCs w:val="36"/>
        </w:rPr>
      </w:pPr>
      <w:bookmarkStart w:id="8" w:name="_Toc121826058"/>
      <w:bookmarkEnd w:id="7"/>
      <w:r w:rsidRPr="00656374">
        <w:rPr>
          <w:rFonts w:ascii="Calibri Light" w:eastAsia="Yu Gothic Light" w:hAnsi="Calibri Light" w:cs="Times New Roman"/>
          <w:b/>
          <w:bCs/>
          <w:smallCaps/>
          <w:color w:val="000000"/>
          <w:sz w:val="36"/>
          <w:szCs w:val="36"/>
        </w:rPr>
        <w:t>Conclusion</w:t>
      </w:r>
      <w:bookmarkEnd w:id="8"/>
    </w:p>
    <w:p w14:paraId="644F9815" w14:textId="77777777" w:rsidR="00656374" w:rsidRPr="00656374" w:rsidRDefault="00656374" w:rsidP="00656374">
      <w:pPr>
        <w:spacing w:after="160" w:line="259" w:lineRule="auto"/>
        <w:rPr>
          <w:rFonts w:ascii="Calibri" w:eastAsia="Yu Mincho" w:hAnsi="Calibri" w:cs="Arial"/>
        </w:rPr>
      </w:pPr>
      <w:r w:rsidRPr="00656374">
        <w:rPr>
          <w:rFonts w:ascii="Calibri" w:eastAsia="Yu Mincho" w:hAnsi="Calibri" w:cs="Arial"/>
        </w:rPr>
        <w:t>The department makes no recommendations at this time, given the limited data and evidence about the use and impact of these provisions.</w:t>
      </w:r>
    </w:p>
    <w:bookmarkEnd w:id="2"/>
    <w:p w14:paraId="394BA245" w14:textId="259CF64D" w:rsidR="00656374" w:rsidRDefault="00656374" w:rsidP="00656374"/>
    <w:p w14:paraId="11A1BB85" w14:textId="77777777" w:rsidR="00656374" w:rsidRPr="00656374" w:rsidRDefault="00656374" w:rsidP="00656374"/>
    <w:sectPr w:rsidR="00656374" w:rsidRPr="00656374" w:rsidSect="00656374">
      <w:type w:val="continuous"/>
      <w:pgSz w:w="11906" w:h="16838"/>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70B25" w14:textId="77777777" w:rsidR="00800E44" w:rsidRDefault="00800E44" w:rsidP="0051352E">
      <w:pPr>
        <w:spacing w:after="0" w:line="240" w:lineRule="auto"/>
      </w:pPr>
      <w:r>
        <w:separator/>
      </w:r>
    </w:p>
  </w:endnote>
  <w:endnote w:type="continuationSeparator" w:id="0">
    <w:p w14:paraId="0F90544D" w14:textId="77777777" w:rsidR="00800E44" w:rsidRDefault="00800E44"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ABC7C" w14:textId="77777777" w:rsidR="00E41EFE" w:rsidRDefault="00E41E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7335050"/>
      <w:docPartObj>
        <w:docPartGallery w:val="Page Numbers (Bottom of Page)"/>
        <w:docPartUnique/>
      </w:docPartObj>
    </w:sdtPr>
    <w:sdtEndPr>
      <w:rPr>
        <w:noProof/>
      </w:rPr>
    </w:sdtEndPr>
    <w:sdtContent>
      <w:p w14:paraId="15358D9C" w14:textId="34F1607D" w:rsidR="00CF327F" w:rsidRDefault="00CF327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4FC0874" w14:textId="4E2FA764" w:rsidR="00662A42" w:rsidRDefault="00662A4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6251" w14:textId="724AA478" w:rsidR="00662A42" w:rsidRDefault="00662A42">
    <w:pPr>
      <w:pStyle w:val="Footer"/>
    </w:pPr>
    <w:r>
      <w:rPr>
        <w:noProof/>
      </w:rPr>
      <mc:AlternateContent>
        <mc:Choice Requires="wps">
          <w:drawing>
            <wp:anchor distT="0" distB="0" distL="114300" distR="114300" simplePos="0" relativeHeight="251659264" behindDoc="0" locked="0" layoutInCell="1" allowOverlap="1" wp14:anchorId="3494854F" wp14:editId="5A637210">
              <wp:simplePos x="0" y="0"/>
              <wp:positionH relativeFrom="page">
                <wp:posOffset>0</wp:posOffset>
              </wp:positionH>
              <wp:positionV relativeFrom="paragraph">
                <wp:posOffset>415974</wp:posOffset>
              </wp:positionV>
              <wp:extent cx="7560000" cy="198000"/>
              <wp:effectExtent l="0" t="0" r="0" b="5715"/>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88D36"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" fillcolor="#404246"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3E803" w14:textId="77777777" w:rsidR="00800E44" w:rsidRDefault="00800E44" w:rsidP="0051352E">
      <w:pPr>
        <w:spacing w:after="0" w:line="240" w:lineRule="auto"/>
      </w:pPr>
      <w:r>
        <w:separator/>
      </w:r>
    </w:p>
  </w:footnote>
  <w:footnote w:type="continuationSeparator" w:id="0">
    <w:p w14:paraId="63341CF4" w14:textId="77777777" w:rsidR="00800E44" w:rsidRDefault="00800E44" w:rsidP="0051352E">
      <w:pPr>
        <w:spacing w:after="0" w:line="240" w:lineRule="auto"/>
      </w:pPr>
      <w:r>
        <w:continuationSeparator/>
      </w:r>
    </w:p>
  </w:footnote>
  <w:footnote w:id="1">
    <w:p w14:paraId="5C8A4A59" w14:textId="77777777" w:rsidR="00656374" w:rsidRDefault="00656374" w:rsidP="00656374">
      <w:pPr>
        <w:pStyle w:val="FootnoteText"/>
      </w:pPr>
      <w:r>
        <w:rPr>
          <w:rStyle w:val="FootnoteReference"/>
        </w:rPr>
        <w:footnoteRef/>
      </w:r>
      <w:r>
        <w:t xml:space="preserve"> Commonwealth, </w:t>
      </w:r>
      <w:r>
        <w:rPr>
          <w:i/>
          <w:iCs/>
        </w:rPr>
        <w:t>Parliamentary Debates</w:t>
      </w:r>
      <w:r>
        <w:t xml:space="preserve">, House of Representatives, 9 December 2020, 11006 (Christian Porter, </w:t>
      </w:r>
      <w:r w:rsidRPr="00B75E08">
        <w:t>Attorney-General, Minister for Industrial Relations and Leader of the House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C2639" w14:textId="4D95E2F6" w:rsidR="00E36EF8" w:rsidRDefault="00E36EF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58EE" w14:textId="0A30CC57" w:rsidR="00E36EF8" w:rsidRDefault="00E36E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70B81" w14:textId="4679E6BE" w:rsidR="00E36EF8" w:rsidRDefault="00E36EF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4ADA7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1464A"/>
    <w:multiLevelType w:val="hybridMultilevel"/>
    <w:tmpl w:val="F7541064"/>
    <w:lvl w:ilvl="0" w:tplc="FFFFFFFF">
      <w:start w:val="1"/>
      <w:numFmt w:val="lowerLetter"/>
      <w:lvlText w:val="(%1)"/>
      <w:lvlJc w:val="left"/>
      <w:pPr>
        <w:ind w:left="1080" w:hanging="360"/>
      </w:pPr>
      <w:rPr>
        <w:rFonts w:hint="default"/>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09E01112"/>
    <w:multiLevelType w:val="multilevel"/>
    <w:tmpl w:val="06DA566E"/>
    <w:lvl w:ilvl="0">
      <w:start w:val="1"/>
      <w:numFmt w:val="decimal"/>
      <w:lvlText w:val="%1."/>
      <w:lvlJc w:val="left"/>
      <w:pPr>
        <w:ind w:left="357" w:hanging="357"/>
      </w:pPr>
      <w:rPr>
        <w:rFonts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B3236CE"/>
    <w:multiLevelType w:val="multilevel"/>
    <w:tmpl w:val="C85C1B18"/>
    <w:lvl w:ilvl="0">
      <w:start w:val="1"/>
      <w:numFmt w:val="decimal"/>
      <w:lvlText w:val="%1."/>
      <w:lvlJc w:val="left"/>
      <w:pPr>
        <w:ind w:left="357" w:hanging="357"/>
      </w:pPr>
      <w:rPr>
        <w:rFonts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F1D7E72"/>
    <w:multiLevelType w:val="multilevel"/>
    <w:tmpl w:val="C85C1B18"/>
    <w:lvl w:ilvl="0">
      <w:start w:val="1"/>
      <w:numFmt w:val="decimal"/>
      <w:lvlText w:val="%1."/>
      <w:lvlJc w:val="left"/>
      <w:pPr>
        <w:ind w:left="357" w:hanging="357"/>
      </w:pPr>
      <w:rPr>
        <w:rFonts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FBB26E8"/>
    <w:multiLevelType w:val="hybridMultilevel"/>
    <w:tmpl w:val="F7541064"/>
    <w:lvl w:ilvl="0" w:tplc="FFFFFFFF">
      <w:start w:val="1"/>
      <w:numFmt w:val="lowerLetter"/>
      <w:lvlText w:val="(%1)"/>
      <w:lvlJc w:val="left"/>
      <w:pPr>
        <w:ind w:left="1080" w:hanging="360"/>
      </w:pPr>
      <w:rPr>
        <w:rFonts w:hint="default"/>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350173C"/>
    <w:multiLevelType w:val="hybridMultilevel"/>
    <w:tmpl w:val="F7541064"/>
    <w:lvl w:ilvl="0" w:tplc="FFFFFFFF">
      <w:start w:val="1"/>
      <w:numFmt w:val="lowerLetter"/>
      <w:lvlText w:val="(%1)"/>
      <w:lvlJc w:val="left"/>
      <w:pPr>
        <w:ind w:left="1080" w:hanging="360"/>
      </w:pPr>
      <w:rPr>
        <w:rFonts w:hint="default"/>
        <w:sz w:val="20"/>
        <w:szCs w:val="2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4966FF4"/>
    <w:multiLevelType w:val="multilevel"/>
    <w:tmpl w:val="06DA566E"/>
    <w:lvl w:ilvl="0">
      <w:start w:val="1"/>
      <w:numFmt w:val="decimal"/>
      <w:lvlText w:val="%1."/>
      <w:lvlJc w:val="left"/>
      <w:pPr>
        <w:ind w:left="357" w:hanging="357"/>
      </w:pPr>
      <w:rPr>
        <w:rFonts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173D46B8"/>
    <w:multiLevelType w:val="hybridMultilevel"/>
    <w:tmpl w:val="68B683B2"/>
    <w:lvl w:ilvl="0" w:tplc="0C09000F">
      <w:start w:val="5"/>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1B746A20"/>
    <w:multiLevelType w:val="hybridMultilevel"/>
    <w:tmpl w:val="F7541064"/>
    <w:lvl w:ilvl="0" w:tplc="416C547A">
      <w:start w:val="1"/>
      <w:numFmt w:val="lowerLetter"/>
      <w:lvlText w:val="(%1)"/>
      <w:lvlJc w:val="left"/>
      <w:pPr>
        <w:ind w:left="1080" w:hanging="360"/>
      </w:pPr>
      <w:rPr>
        <w:rFonts w:hint="default"/>
        <w:sz w:val="20"/>
        <w:szCs w:val="2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15:restartNumberingAfterBreak="0">
    <w:nsid w:val="299F6252"/>
    <w:multiLevelType w:val="multilevel"/>
    <w:tmpl w:val="BCE2DA2C"/>
    <w:lvl w:ilvl="0">
      <w:start w:val="2"/>
      <w:numFmt w:val="decimal"/>
      <w:lvlText w:val="%1."/>
      <w:lvlJc w:val="left"/>
      <w:pPr>
        <w:ind w:left="357" w:hanging="357"/>
      </w:pPr>
      <w:rPr>
        <w:rFonts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4BBF578"/>
    <w:multiLevelType w:val="hybridMultilevel"/>
    <w:tmpl w:val="41CA5C58"/>
    <w:lvl w:ilvl="0" w:tplc="320C62D0">
      <w:start w:val="1"/>
      <w:numFmt w:val="bullet"/>
      <w:lvlText w:val="·"/>
      <w:lvlJc w:val="left"/>
      <w:pPr>
        <w:ind w:left="720" w:hanging="360"/>
      </w:pPr>
      <w:rPr>
        <w:rFonts w:ascii="Symbol" w:hAnsi="Symbol" w:hint="default"/>
      </w:rPr>
    </w:lvl>
    <w:lvl w:ilvl="1" w:tplc="1B54A734">
      <w:start w:val="1"/>
      <w:numFmt w:val="bullet"/>
      <w:lvlText w:val="o"/>
      <w:lvlJc w:val="left"/>
      <w:pPr>
        <w:ind w:left="1440" w:hanging="360"/>
      </w:pPr>
      <w:rPr>
        <w:rFonts w:ascii="Courier New" w:hAnsi="Courier New" w:hint="default"/>
      </w:rPr>
    </w:lvl>
    <w:lvl w:ilvl="2" w:tplc="20748C02">
      <w:start w:val="1"/>
      <w:numFmt w:val="bullet"/>
      <w:lvlText w:val=""/>
      <w:lvlJc w:val="left"/>
      <w:pPr>
        <w:ind w:left="2160" w:hanging="360"/>
      </w:pPr>
      <w:rPr>
        <w:rFonts w:ascii="Wingdings" w:hAnsi="Wingdings" w:hint="default"/>
      </w:rPr>
    </w:lvl>
    <w:lvl w:ilvl="3" w:tplc="93DCD23E">
      <w:start w:val="1"/>
      <w:numFmt w:val="bullet"/>
      <w:lvlText w:val=""/>
      <w:lvlJc w:val="left"/>
      <w:pPr>
        <w:ind w:left="2880" w:hanging="360"/>
      </w:pPr>
      <w:rPr>
        <w:rFonts w:ascii="Symbol" w:hAnsi="Symbol" w:hint="default"/>
      </w:rPr>
    </w:lvl>
    <w:lvl w:ilvl="4" w:tplc="2EB2CF6A">
      <w:start w:val="1"/>
      <w:numFmt w:val="bullet"/>
      <w:lvlText w:val="o"/>
      <w:lvlJc w:val="left"/>
      <w:pPr>
        <w:ind w:left="3600" w:hanging="360"/>
      </w:pPr>
      <w:rPr>
        <w:rFonts w:ascii="Courier New" w:hAnsi="Courier New" w:hint="default"/>
      </w:rPr>
    </w:lvl>
    <w:lvl w:ilvl="5" w:tplc="972055B0">
      <w:start w:val="1"/>
      <w:numFmt w:val="bullet"/>
      <w:lvlText w:val=""/>
      <w:lvlJc w:val="left"/>
      <w:pPr>
        <w:ind w:left="4320" w:hanging="360"/>
      </w:pPr>
      <w:rPr>
        <w:rFonts w:ascii="Wingdings" w:hAnsi="Wingdings" w:hint="default"/>
      </w:rPr>
    </w:lvl>
    <w:lvl w:ilvl="6" w:tplc="C74895D8">
      <w:start w:val="1"/>
      <w:numFmt w:val="bullet"/>
      <w:lvlText w:val=""/>
      <w:lvlJc w:val="left"/>
      <w:pPr>
        <w:ind w:left="5040" w:hanging="360"/>
      </w:pPr>
      <w:rPr>
        <w:rFonts w:ascii="Symbol" w:hAnsi="Symbol" w:hint="default"/>
      </w:rPr>
    </w:lvl>
    <w:lvl w:ilvl="7" w:tplc="E48669E8">
      <w:start w:val="1"/>
      <w:numFmt w:val="bullet"/>
      <w:lvlText w:val="o"/>
      <w:lvlJc w:val="left"/>
      <w:pPr>
        <w:ind w:left="5760" w:hanging="360"/>
      </w:pPr>
      <w:rPr>
        <w:rFonts w:ascii="Courier New" w:hAnsi="Courier New" w:hint="default"/>
      </w:rPr>
    </w:lvl>
    <w:lvl w:ilvl="8" w:tplc="5DFAD86C">
      <w:start w:val="1"/>
      <w:numFmt w:val="bullet"/>
      <w:lvlText w:val=""/>
      <w:lvlJc w:val="left"/>
      <w:pPr>
        <w:ind w:left="6480" w:hanging="360"/>
      </w:pPr>
      <w:rPr>
        <w:rFonts w:ascii="Wingdings" w:hAnsi="Wingdings" w:hint="default"/>
      </w:rPr>
    </w:lvl>
  </w:abstractNum>
  <w:abstractNum w:abstractNumId="24" w15:restartNumberingAfterBreak="0">
    <w:nsid w:val="3ED47DF1"/>
    <w:multiLevelType w:val="hybridMultilevel"/>
    <w:tmpl w:val="96C45C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85A6CCC"/>
    <w:multiLevelType w:val="multilevel"/>
    <w:tmpl w:val="C85C1B18"/>
    <w:lvl w:ilvl="0">
      <w:start w:val="1"/>
      <w:numFmt w:val="decimal"/>
      <w:lvlText w:val="%1."/>
      <w:lvlJc w:val="left"/>
      <w:pPr>
        <w:ind w:left="357" w:hanging="357"/>
      </w:pPr>
      <w:rPr>
        <w:rFonts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A001ADC"/>
    <w:multiLevelType w:val="hybridMultilevel"/>
    <w:tmpl w:val="59E61E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9C0EE6"/>
    <w:multiLevelType w:val="hybridMultilevel"/>
    <w:tmpl w:val="0632068E"/>
    <w:lvl w:ilvl="0" w:tplc="19A089C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BE14677"/>
    <w:multiLevelType w:val="multilevel"/>
    <w:tmpl w:val="C85C1B18"/>
    <w:lvl w:ilvl="0">
      <w:start w:val="1"/>
      <w:numFmt w:val="decimal"/>
      <w:lvlText w:val="%1."/>
      <w:lvlJc w:val="left"/>
      <w:pPr>
        <w:ind w:left="357" w:hanging="357"/>
      </w:pPr>
      <w:rPr>
        <w:rFonts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0162107"/>
    <w:multiLevelType w:val="multilevel"/>
    <w:tmpl w:val="68867E10"/>
    <w:lvl w:ilvl="0">
      <w:start w:val="2"/>
      <w:numFmt w:val="decimal"/>
      <w:lvlText w:val="%1."/>
      <w:lvlJc w:val="left"/>
      <w:pPr>
        <w:ind w:left="357" w:hanging="357"/>
      </w:pPr>
      <w:rPr>
        <w:rFonts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519E6EFF"/>
    <w:multiLevelType w:val="hybridMultilevel"/>
    <w:tmpl w:val="123CF22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8E63D98"/>
    <w:multiLevelType w:val="hybridMultilevel"/>
    <w:tmpl w:val="36D02C10"/>
    <w:lvl w:ilvl="0" w:tplc="ACD6F872">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C1D1444"/>
    <w:multiLevelType w:val="hybridMultilevel"/>
    <w:tmpl w:val="34E47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B84A7D"/>
    <w:multiLevelType w:val="multilevel"/>
    <w:tmpl w:val="C85C1B18"/>
    <w:lvl w:ilvl="0">
      <w:start w:val="1"/>
      <w:numFmt w:val="decimal"/>
      <w:lvlText w:val="%1."/>
      <w:lvlJc w:val="left"/>
      <w:pPr>
        <w:ind w:left="357" w:hanging="357"/>
      </w:pPr>
      <w:rPr>
        <w:rFonts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64931C73"/>
    <w:multiLevelType w:val="multilevel"/>
    <w:tmpl w:val="27847372"/>
    <w:lvl w:ilvl="0">
      <w:start w:val="1"/>
      <w:numFmt w:val="decimal"/>
      <w:lvlText w:val="%1."/>
      <w:lvlJc w:val="left"/>
      <w:pPr>
        <w:ind w:left="357" w:hanging="357"/>
      </w:pPr>
      <w:rPr>
        <w:rFonts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1"/>
  </w:num>
  <w:num w:numId="13">
    <w:abstractNumId w:val="22"/>
  </w:num>
  <w:num w:numId="14">
    <w:abstractNumId w:val="21"/>
  </w:num>
  <w:num w:numId="15">
    <w:abstractNumId w:val="31"/>
  </w:num>
  <w:num w:numId="16">
    <w:abstractNumId w:val="21"/>
  </w:num>
  <w:num w:numId="17">
    <w:abstractNumId w:val="30"/>
  </w:num>
  <w:num w:numId="18">
    <w:abstractNumId w:val="34"/>
  </w:num>
  <w:num w:numId="19">
    <w:abstractNumId w:val="33"/>
  </w:num>
  <w:num w:numId="20">
    <w:abstractNumId w:val="25"/>
  </w:num>
  <w:num w:numId="21">
    <w:abstractNumId w:val="28"/>
  </w:num>
  <w:num w:numId="22">
    <w:abstractNumId w:val="12"/>
  </w:num>
  <w:num w:numId="23">
    <w:abstractNumId w:val="29"/>
  </w:num>
  <w:num w:numId="24">
    <w:abstractNumId w:val="20"/>
  </w:num>
  <w:num w:numId="25">
    <w:abstractNumId w:val="11"/>
  </w:num>
  <w:num w:numId="26">
    <w:abstractNumId w:val="17"/>
  </w:num>
  <w:num w:numId="27">
    <w:abstractNumId w:val="26"/>
  </w:num>
  <w:num w:numId="28">
    <w:abstractNumId w:val="24"/>
  </w:num>
  <w:num w:numId="29">
    <w:abstractNumId w:val="13"/>
  </w:num>
  <w:num w:numId="30">
    <w:abstractNumId w:val="18"/>
  </w:num>
  <w:num w:numId="31">
    <w:abstractNumId w:val="23"/>
  </w:num>
  <w:num w:numId="32">
    <w:abstractNumId w:val="32"/>
  </w:num>
  <w:num w:numId="33">
    <w:abstractNumId w:val="19"/>
  </w:num>
  <w:num w:numId="34">
    <w:abstractNumId w:val="14"/>
  </w:num>
  <w:num w:numId="35">
    <w:abstractNumId w:val="16"/>
  </w:num>
  <w:num w:numId="36">
    <w:abstractNumId w:val="10"/>
  </w:num>
  <w:num w:numId="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178B"/>
    <w:rsid w:val="00011604"/>
    <w:rsid w:val="00012CC1"/>
    <w:rsid w:val="0001668B"/>
    <w:rsid w:val="0002093A"/>
    <w:rsid w:val="00041679"/>
    <w:rsid w:val="00042203"/>
    <w:rsid w:val="00044A4A"/>
    <w:rsid w:val="00046813"/>
    <w:rsid w:val="0005031B"/>
    <w:rsid w:val="00052BBC"/>
    <w:rsid w:val="00052CDE"/>
    <w:rsid w:val="00060555"/>
    <w:rsid w:val="00060E27"/>
    <w:rsid w:val="00067075"/>
    <w:rsid w:val="00070122"/>
    <w:rsid w:val="00070DF0"/>
    <w:rsid w:val="00071D97"/>
    <w:rsid w:val="00072297"/>
    <w:rsid w:val="00074CA4"/>
    <w:rsid w:val="00081ECB"/>
    <w:rsid w:val="00082D0F"/>
    <w:rsid w:val="000878C1"/>
    <w:rsid w:val="00094E3A"/>
    <w:rsid w:val="00097286"/>
    <w:rsid w:val="000A453D"/>
    <w:rsid w:val="000D6E85"/>
    <w:rsid w:val="000E77ED"/>
    <w:rsid w:val="000F4E5B"/>
    <w:rsid w:val="000F5AB2"/>
    <w:rsid w:val="000F611D"/>
    <w:rsid w:val="00111085"/>
    <w:rsid w:val="001115CB"/>
    <w:rsid w:val="00121140"/>
    <w:rsid w:val="00121A59"/>
    <w:rsid w:val="00124227"/>
    <w:rsid w:val="001277A9"/>
    <w:rsid w:val="0014396C"/>
    <w:rsid w:val="00144272"/>
    <w:rsid w:val="001442AD"/>
    <w:rsid w:val="00144F9E"/>
    <w:rsid w:val="00145593"/>
    <w:rsid w:val="00157F35"/>
    <w:rsid w:val="0016182E"/>
    <w:rsid w:val="00162939"/>
    <w:rsid w:val="001738DC"/>
    <w:rsid w:val="00181166"/>
    <w:rsid w:val="00182B60"/>
    <w:rsid w:val="0018729A"/>
    <w:rsid w:val="00193562"/>
    <w:rsid w:val="00193F05"/>
    <w:rsid w:val="00195334"/>
    <w:rsid w:val="001D00DA"/>
    <w:rsid w:val="001D2E2D"/>
    <w:rsid w:val="001E6139"/>
    <w:rsid w:val="001F17A3"/>
    <w:rsid w:val="001F2997"/>
    <w:rsid w:val="00206957"/>
    <w:rsid w:val="00217EAB"/>
    <w:rsid w:val="0022498C"/>
    <w:rsid w:val="0022626C"/>
    <w:rsid w:val="00231518"/>
    <w:rsid w:val="00241DD3"/>
    <w:rsid w:val="00253E14"/>
    <w:rsid w:val="0025566E"/>
    <w:rsid w:val="00264128"/>
    <w:rsid w:val="002724D0"/>
    <w:rsid w:val="00274011"/>
    <w:rsid w:val="002750C8"/>
    <w:rsid w:val="00280CB7"/>
    <w:rsid w:val="00284F07"/>
    <w:rsid w:val="00285663"/>
    <w:rsid w:val="00296732"/>
    <w:rsid w:val="002A26FF"/>
    <w:rsid w:val="002A4EB6"/>
    <w:rsid w:val="002A5EB2"/>
    <w:rsid w:val="002A7840"/>
    <w:rsid w:val="002B1CE5"/>
    <w:rsid w:val="002B2A53"/>
    <w:rsid w:val="002E0622"/>
    <w:rsid w:val="002E5862"/>
    <w:rsid w:val="002E5E58"/>
    <w:rsid w:val="002F4DB3"/>
    <w:rsid w:val="002F7A8D"/>
    <w:rsid w:val="003125D9"/>
    <w:rsid w:val="003277BB"/>
    <w:rsid w:val="003426FC"/>
    <w:rsid w:val="00344B86"/>
    <w:rsid w:val="00350FFA"/>
    <w:rsid w:val="00351550"/>
    <w:rsid w:val="003546E4"/>
    <w:rsid w:val="00357A67"/>
    <w:rsid w:val="00366781"/>
    <w:rsid w:val="00366A87"/>
    <w:rsid w:val="0036793C"/>
    <w:rsid w:val="00370D5C"/>
    <w:rsid w:val="00376EDF"/>
    <w:rsid w:val="00381961"/>
    <w:rsid w:val="00382F07"/>
    <w:rsid w:val="00385A75"/>
    <w:rsid w:val="003912E8"/>
    <w:rsid w:val="00391905"/>
    <w:rsid w:val="00396E60"/>
    <w:rsid w:val="003A2EFF"/>
    <w:rsid w:val="003B27EB"/>
    <w:rsid w:val="003B44A4"/>
    <w:rsid w:val="003B59E3"/>
    <w:rsid w:val="003B7B4A"/>
    <w:rsid w:val="003C08BC"/>
    <w:rsid w:val="003C226F"/>
    <w:rsid w:val="003C3421"/>
    <w:rsid w:val="003C36E1"/>
    <w:rsid w:val="003C3FE6"/>
    <w:rsid w:val="003C69CD"/>
    <w:rsid w:val="003D6835"/>
    <w:rsid w:val="003F01AE"/>
    <w:rsid w:val="0040390F"/>
    <w:rsid w:val="00407CD9"/>
    <w:rsid w:val="00414677"/>
    <w:rsid w:val="00415C8E"/>
    <w:rsid w:val="00432D52"/>
    <w:rsid w:val="00453C04"/>
    <w:rsid w:val="0046128F"/>
    <w:rsid w:val="00463EA6"/>
    <w:rsid w:val="00470CE5"/>
    <w:rsid w:val="00497764"/>
    <w:rsid w:val="004A0FE7"/>
    <w:rsid w:val="004A1C9F"/>
    <w:rsid w:val="004F2410"/>
    <w:rsid w:val="004F41A7"/>
    <w:rsid w:val="004F6924"/>
    <w:rsid w:val="0050318B"/>
    <w:rsid w:val="00504309"/>
    <w:rsid w:val="0051352E"/>
    <w:rsid w:val="00517489"/>
    <w:rsid w:val="00517DA7"/>
    <w:rsid w:val="00520A33"/>
    <w:rsid w:val="00527AE4"/>
    <w:rsid w:val="00546223"/>
    <w:rsid w:val="00546E35"/>
    <w:rsid w:val="0055106E"/>
    <w:rsid w:val="0055569D"/>
    <w:rsid w:val="0057458D"/>
    <w:rsid w:val="00574DC4"/>
    <w:rsid w:val="00576F6D"/>
    <w:rsid w:val="0057772D"/>
    <w:rsid w:val="0058520C"/>
    <w:rsid w:val="00596A88"/>
    <w:rsid w:val="005A5D10"/>
    <w:rsid w:val="005A76C2"/>
    <w:rsid w:val="005B017B"/>
    <w:rsid w:val="005B1263"/>
    <w:rsid w:val="005B289E"/>
    <w:rsid w:val="005D46DF"/>
    <w:rsid w:val="005D7CE7"/>
    <w:rsid w:val="005F09CB"/>
    <w:rsid w:val="005F137C"/>
    <w:rsid w:val="006026B3"/>
    <w:rsid w:val="00603C28"/>
    <w:rsid w:val="0060463E"/>
    <w:rsid w:val="00610A38"/>
    <w:rsid w:val="006148A0"/>
    <w:rsid w:val="00620D86"/>
    <w:rsid w:val="00622918"/>
    <w:rsid w:val="00630DDF"/>
    <w:rsid w:val="00637A43"/>
    <w:rsid w:val="00647C69"/>
    <w:rsid w:val="00651ED8"/>
    <w:rsid w:val="00651FE0"/>
    <w:rsid w:val="0065214C"/>
    <w:rsid w:val="00654284"/>
    <w:rsid w:val="0065470E"/>
    <w:rsid w:val="00656374"/>
    <w:rsid w:val="00660585"/>
    <w:rsid w:val="006618F6"/>
    <w:rsid w:val="00662A42"/>
    <w:rsid w:val="0066563D"/>
    <w:rsid w:val="00667FFB"/>
    <w:rsid w:val="0068053D"/>
    <w:rsid w:val="00697A8C"/>
    <w:rsid w:val="006A0B4C"/>
    <w:rsid w:val="006A1A86"/>
    <w:rsid w:val="006A62E3"/>
    <w:rsid w:val="006B065F"/>
    <w:rsid w:val="006B0B39"/>
    <w:rsid w:val="006C5E44"/>
    <w:rsid w:val="006D154E"/>
    <w:rsid w:val="006D6250"/>
    <w:rsid w:val="006D6541"/>
    <w:rsid w:val="006D7330"/>
    <w:rsid w:val="006E5D6E"/>
    <w:rsid w:val="007033C3"/>
    <w:rsid w:val="00713AC9"/>
    <w:rsid w:val="007140BA"/>
    <w:rsid w:val="007177F6"/>
    <w:rsid w:val="00721B03"/>
    <w:rsid w:val="00724838"/>
    <w:rsid w:val="00725E42"/>
    <w:rsid w:val="00737384"/>
    <w:rsid w:val="00741E43"/>
    <w:rsid w:val="00743CEB"/>
    <w:rsid w:val="007570DC"/>
    <w:rsid w:val="00762E1B"/>
    <w:rsid w:val="0078455A"/>
    <w:rsid w:val="00784AE7"/>
    <w:rsid w:val="0079062A"/>
    <w:rsid w:val="0079234D"/>
    <w:rsid w:val="007A2840"/>
    <w:rsid w:val="007B1ABA"/>
    <w:rsid w:val="007B74C5"/>
    <w:rsid w:val="007D104C"/>
    <w:rsid w:val="007D6B29"/>
    <w:rsid w:val="007E27F3"/>
    <w:rsid w:val="007E3BCE"/>
    <w:rsid w:val="007F0D2D"/>
    <w:rsid w:val="007F49F9"/>
    <w:rsid w:val="007F5CE8"/>
    <w:rsid w:val="007F7571"/>
    <w:rsid w:val="00800E44"/>
    <w:rsid w:val="008011DC"/>
    <w:rsid w:val="0081407E"/>
    <w:rsid w:val="008246B1"/>
    <w:rsid w:val="00842C50"/>
    <w:rsid w:val="00843321"/>
    <w:rsid w:val="008507C1"/>
    <w:rsid w:val="00861934"/>
    <w:rsid w:val="0088448C"/>
    <w:rsid w:val="008879E7"/>
    <w:rsid w:val="00893E81"/>
    <w:rsid w:val="008A00E8"/>
    <w:rsid w:val="008A73AD"/>
    <w:rsid w:val="008B3A0B"/>
    <w:rsid w:val="008B449C"/>
    <w:rsid w:val="008B65AC"/>
    <w:rsid w:val="008C11BC"/>
    <w:rsid w:val="008C7748"/>
    <w:rsid w:val="008C79A8"/>
    <w:rsid w:val="008D7440"/>
    <w:rsid w:val="008E22BA"/>
    <w:rsid w:val="008E5B5D"/>
    <w:rsid w:val="008E7789"/>
    <w:rsid w:val="008E78CD"/>
    <w:rsid w:val="008F0AC9"/>
    <w:rsid w:val="008F1FCD"/>
    <w:rsid w:val="008F2F92"/>
    <w:rsid w:val="008F77CD"/>
    <w:rsid w:val="00900F7F"/>
    <w:rsid w:val="0093473D"/>
    <w:rsid w:val="00934FF1"/>
    <w:rsid w:val="00942CF0"/>
    <w:rsid w:val="00943768"/>
    <w:rsid w:val="00944ECC"/>
    <w:rsid w:val="00967BAC"/>
    <w:rsid w:val="009705F4"/>
    <w:rsid w:val="00972F57"/>
    <w:rsid w:val="00973BC9"/>
    <w:rsid w:val="0097552D"/>
    <w:rsid w:val="00977D99"/>
    <w:rsid w:val="0098149A"/>
    <w:rsid w:val="00984717"/>
    <w:rsid w:val="00994F8C"/>
    <w:rsid w:val="0099513B"/>
    <w:rsid w:val="00995280"/>
    <w:rsid w:val="009B4D17"/>
    <w:rsid w:val="009C44ED"/>
    <w:rsid w:val="009C571F"/>
    <w:rsid w:val="009D6EDF"/>
    <w:rsid w:val="009E219A"/>
    <w:rsid w:val="00A01074"/>
    <w:rsid w:val="00A07C27"/>
    <w:rsid w:val="00A07DB4"/>
    <w:rsid w:val="00A1383C"/>
    <w:rsid w:val="00A144CA"/>
    <w:rsid w:val="00A15FE4"/>
    <w:rsid w:val="00A20596"/>
    <w:rsid w:val="00A24E6E"/>
    <w:rsid w:val="00A25B2E"/>
    <w:rsid w:val="00A263EB"/>
    <w:rsid w:val="00A30B00"/>
    <w:rsid w:val="00A42E5B"/>
    <w:rsid w:val="00A43694"/>
    <w:rsid w:val="00A4492C"/>
    <w:rsid w:val="00A54687"/>
    <w:rsid w:val="00A56FC7"/>
    <w:rsid w:val="00A61C0E"/>
    <w:rsid w:val="00A6527B"/>
    <w:rsid w:val="00A662C7"/>
    <w:rsid w:val="00A668BF"/>
    <w:rsid w:val="00A72575"/>
    <w:rsid w:val="00A74071"/>
    <w:rsid w:val="00A754E4"/>
    <w:rsid w:val="00A827FD"/>
    <w:rsid w:val="00A853A2"/>
    <w:rsid w:val="00A862F2"/>
    <w:rsid w:val="00A9121E"/>
    <w:rsid w:val="00AA01C2"/>
    <w:rsid w:val="00AA124A"/>
    <w:rsid w:val="00AA2A96"/>
    <w:rsid w:val="00AA725B"/>
    <w:rsid w:val="00AC1745"/>
    <w:rsid w:val="00AD13CA"/>
    <w:rsid w:val="00AE27FC"/>
    <w:rsid w:val="00AF6E07"/>
    <w:rsid w:val="00B03A71"/>
    <w:rsid w:val="00B100CC"/>
    <w:rsid w:val="00B13491"/>
    <w:rsid w:val="00B13876"/>
    <w:rsid w:val="00B24902"/>
    <w:rsid w:val="00B30063"/>
    <w:rsid w:val="00B3734D"/>
    <w:rsid w:val="00B40800"/>
    <w:rsid w:val="00B456C5"/>
    <w:rsid w:val="00B4723B"/>
    <w:rsid w:val="00B62614"/>
    <w:rsid w:val="00B62D7C"/>
    <w:rsid w:val="00B66006"/>
    <w:rsid w:val="00B6689D"/>
    <w:rsid w:val="00B72368"/>
    <w:rsid w:val="00B772A3"/>
    <w:rsid w:val="00B8601A"/>
    <w:rsid w:val="00B875DD"/>
    <w:rsid w:val="00B97F00"/>
    <w:rsid w:val="00BA36DA"/>
    <w:rsid w:val="00BA69DD"/>
    <w:rsid w:val="00BB499A"/>
    <w:rsid w:val="00BB6DAB"/>
    <w:rsid w:val="00BE5D72"/>
    <w:rsid w:val="00C31689"/>
    <w:rsid w:val="00C34A5F"/>
    <w:rsid w:val="00C35997"/>
    <w:rsid w:val="00C41691"/>
    <w:rsid w:val="00C45224"/>
    <w:rsid w:val="00C54D58"/>
    <w:rsid w:val="00C573E1"/>
    <w:rsid w:val="00C60222"/>
    <w:rsid w:val="00C736D3"/>
    <w:rsid w:val="00C74138"/>
    <w:rsid w:val="00C869B5"/>
    <w:rsid w:val="00C9115C"/>
    <w:rsid w:val="00C93CC8"/>
    <w:rsid w:val="00C95DF6"/>
    <w:rsid w:val="00CA2600"/>
    <w:rsid w:val="00CA3928"/>
    <w:rsid w:val="00CA5B2F"/>
    <w:rsid w:val="00CC35E7"/>
    <w:rsid w:val="00CC3BA4"/>
    <w:rsid w:val="00CC5EFB"/>
    <w:rsid w:val="00CE546A"/>
    <w:rsid w:val="00CF327F"/>
    <w:rsid w:val="00D05C7E"/>
    <w:rsid w:val="00D1091F"/>
    <w:rsid w:val="00D11044"/>
    <w:rsid w:val="00D14C33"/>
    <w:rsid w:val="00D224EF"/>
    <w:rsid w:val="00D312B0"/>
    <w:rsid w:val="00D31CFD"/>
    <w:rsid w:val="00D32E9F"/>
    <w:rsid w:val="00D35110"/>
    <w:rsid w:val="00D36E7A"/>
    <w:rsid w:val="00D464E8"/>
    <w:rsid w:val="00D64138"/>
    <w:rsid w:val="00D654DD"/>
    <w:rsid w:val="00D8283F"/>
    <w:rsid w:val="00D86D9A"/>
    <w:rsid w:val="00D90D21"/>
    <w:rsid w:val="00D950A8"/>
    <w:rsid w:val="00D96FBE"/>
    <w:rsid w:val="00DA1B7B"/>
    <w:rsid w:val="00DA701B"/>
    <w:rsid w:val="00DA742F"/>
    <w:rsid w:val="00DB2505"/>
    <w:rsid w:val="00DB79DF"/>
    <w:rsid w:val="00DE0402"/>
    <w:rsid w:val="00DE482F"/>
    <w:rsid w:val="00DE64D8"/>
    <w:rsid w:val="00DF0F42"/>
    <w:rsid w:val="00DF4924"/>
    <w:rsid w:val="00E02099"/>
    <w:rsid w:val="00E113E6"/>
    <w:rsid w:val="00E334CE"/>
    <w:rsid w:val="00E36EF8"/>
    <w:rsid w:val="00E41EFE"/>
    <w:rsid w:val="00E61520"/>
    <w:rsid w:val="00E62E5D"/>
    <w:rsid w:val="00E652E5"/>
    <w:rsid w:val="00E66930"/>
    <w:rsid w:val="00E67289"/>
    <w:rsid w:val="00E71B34"/>
    <w:rsid w:val="00E764AD"/>
    <w:rsid w:val="00E861C2"/>
    <w:rsid w:val="00E8697B"/>
    <w:rsid w:val="00EA32F7"/>
    <w:rsid w:val="00EA3C11"/>
    <w:rsid w:val="00EB0935"/>
    <w:rsid w:val="00EB0AE8"/>
    <w:rsid w:val="00EC2F1D"/>
    <w:rsid w:val="00EC545C"/>
    <w:rsid w:val="00EC6A53"/>
    <w:rsid w:val="00ED05C6"/>
    <w:rsid w:val="00ED4DED"/>
    <w:rsid w:val="00ED5E29"/>
    <w:rsid w:val="00ED5FA2"/>
    <w:rsid w:val="00ED6AE7"/>
    <w:rsid w:val="00EE3B01"/>
    <w:rsid w:val="00EE5EEB"/>
    <w:rsid w:val="00EE5F48"/>
    <w:rsid w:val="00F10433"/>
    <w:rsid w:val="00F149D7"/>
    <w:rsid w:val="00F230CD"/>
    <w:rsid w:val="00F2435F"/>
    <w:rsid w:val="00F30AF9"/>
    <w:rsid w:val="00F30E51"/>
    <w:rsid w:val="00F351E6"/>
    <w:rsid w:val="00F51C18"/>
    <w:rsid w:val="00F61952"/>
    <w:rsid w:val="00F765F7"/>
    <w:rsid w:val="00F900F8"/>
    <w:rsid w:val="00F93518"/>
    <w:rsid w:val="00F93EC9"/>
    <w:rsid w:val="00F95AA4"/>
    <w:rsid w:val="00F977B2"/>
    <w:rsid w:val="00FA31E2"/>
    <w:rsid w:val="00FB2587"/>
    <w:rsid w:val="00FB6477"/>
    <w:rsid w:val="00FB79F5"/>
    <w:rsid w:val="00FD11A8"/>
    <w:rsid w:val="00FD290C"/>
    <w:rsid w:val="00FF5B70"/>
    <w:rsid w:val="00FF5BB9"/>
    <w:rsid w:val="292CE95B"/>
    <w:rsid w:val="7439D35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DE0402"/>
    <w:pPr>
      <w:keepNext/>
      <w:keepLines/>
      <w:spacing w:before="240" w:after="0"/>
      <w:outlineLvl w:val="0"/>
    </w:pPr>
    <w:rPr>
      <w:rFonts w:ascii="Calibri" w:eastAsiaTheme="majorEastAsia" w:hAnsi="Calibri" w:cstheme="majorBidi"/>
      <w:b/>
      <w:color w:val="404246"/>
      <w:sz w:val="32"/>
      <w:szCs w:val="32"/>
    </w:rPr>
  </w:style>
  <w:style w:type="paragraph" w:styleId="Heading2">
    <w:name w:val="heading 2"/>
    <w:basedOn w:val="Normal"/>
    <w:next w:val="Normal"/>
    <w:link w:val="Heading2Char"/>
    <w:uiPriority w:val="9"/>
    <w:unhideWhenUsed/>
    <w:qFormat/>
    <w:rsid w:val="00DE0402"/>
    <w:pPr>
      <w:keepNext/>
      <w:keepLines/>
      <w:spacing w:before="240" w:after="0"/>
      <w:outlineLvl w:val="1"/>
    </w:pPr>
    <w:rPr>
      <w:rFonts w:ascii="Calibri" w:eastAsiaTheme="majorEastAsia" w:hAnsi="Calibri" w:cstheme="majorBidi"/>
      <w:b/>
      <w:color w:val="404246"/>
      <w:sz w:val="30"/>
      <w:szCs w:val="26"/>
    </w:rPr>
  </w:style>
  <w:style w:type="paragraph" w:styleId="Heading3">
    <w:name w:val="heading 3"/>
    <w:basedOn w:val="Normal"/>
    <w:next w:val="Normal"/>
    <w:link w:val="Heading3Char"/>
    <w:uiPriority w:val="9"/>
    <w:unhideWhenUsed/>
    <w:qFormat/>
    <w:rsid w:val="00DE0402"/>
    <w:pPr>
      <w:keepNext/>
      <w:keepLines/>
      <w:spacing w:before="240" w:after="0"/>
      <w:outlineLvl w:val="2"/>
    </w:pPr>
    <w:rPr>
      <w:rFonts w:ascii="Calibri" w:eastAsiaTheme="majorEastAsia" w:hAnsi="Calibri" w:cstheme="majorBidi"/>
      <w:color w:val="000000" w:themeColor="text1"/>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E36EF8"/>
    <w:pPr>
      <w:spacing w:before="1080" w:after="0"/>
    </w:pPr>
    <w:rPr>
      <w:rFonts w:ascii="Calibri" w:eastAsiaTheme="majorEastAsia" w:hAnsi="Calibri" w:cstheme="majorBidi"/>
      <w:b/>
      <w:color w:val="404246"/>
      <w:spacing w:val="-10"/>
      <w:kern w:val="28"/>
      <w:sz w:val="60"/>
      <w:szCs w:val="56"/>
    </w:rPr>
  </w:style>
  <w:style w:type="character" w:customStyle="1" w:styleId="TitleChar">
    <w:name w:val="Title Char"/>
    <w:basedOn w:val="DefaultParagraphFont"/>
    <w:link w:val="Title"/>
    <w:uiPriority w:val="7"/>
    <w:rsid w:val="00E36EF8"/>
    <w:rPr>
      <w:rFonts w:ascii="Calibri" w:eastAsiaTheme="majorEastAsia" w:hAnsi="Calibri" w:cstheme="majorBidi"/>
      <w:b/>
      <w:color w:val="404246"/>
      <w:spacing w:val="-10"/>
      <w:kern w:val="28"/>
      <w:sz w:val="60"/>
      <w:szCs w:val="56"/>
    </w:rPr>
  </w:style>
  <w:style w:type="paragraph" w:styleId="Subtitle">
    <w:name w:val="Subtitle"/>
    <w:basedOn w:val="Normal"/>
    <w:next w:val="Normal"/>
    <w:link w:val="SubtitleChar"/>
    <w:uiPriority w:val="8"/>
    <w:qFormat/>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DE0402"/>
    <w:rPr>
      <w:rFonts w:ascii="Calibri" w:eastAsiaTheme="majorEastAsia" w:hAnsi="Calibri" w:cstheme="majorBidi"/>
      <w:b/>
      <w:color w:val="404246"/>
      <w:sz w:val="32"/>
      <w:szCs w:val="32"/>
    </w:rPr>
  </w:style>
  <w:style w:type="character" w:customStyle="1" w:styleId="Heading2Char">
    <w:name w:val="Heading 2 Char"/>
    <w:basedOn w:val="DefaultParagraphFont"/>
    <w:link w:val="Heading2"/>
    <w:uiPriority w:val="9"/>
    <w:rsid w:val="00DE0402"/>
    <w:rPr>
      <w:rFonts w:ascii="Calibri" w:eastAsiaTheme="majorEastAsia" w:hAnsi="Calibri" w:cstheme="majorBidi"/>
      <w:b/>
      <w:color w:val="404246"/>
      <w:sz w:val="30"/>
      <w:szCs w:val="26"/>
    </w:rPr>
  </w:style>
  <w:style w:type="character" w:customStyle="1" w:styleId="Heading3Char">
    <w:name w:val="Heading 3 Char"/>
    <w:basedOn w:val="DefaultParagraphFont"/>
    <w:link w:val="Heading3"/>
    <w:uiPriority w:val="9"/>
    <w:rsid w:val="00DE0402"/>
    <w:rPr>
      <w:rFonts w:ascii="Calibri" w:eastAsiaTheme="majorEastAsia" w:hAnsi="Calibri" w:cstheme="majorBidi"/>
      <w:color w:val="000000" w:themeColor="text1"/>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CommentReference">
    <w:name w:val="annotation reference"/>
    <w:basedOn w:val="DefaultParagraphFont"/>
    <w:uiPriority w:val="99"/>
    <w:semiHidden/>
    <w:unhideWhenUsed/>
    <w:rsid w:val="00CA3928"/>
    <w:rPr>
      <w:sz w:val="16"/>
      <w:szCs w:val="16"/>
    </w:rPr>
  </w:style>
  <w:style w:type="paragraph" w:styleId="CommentText">
    <w:name w:val="annotation text"/>
    <w:basedOn w:val="Normal"/>
    <w:link w:val="CommentTextChar"/>
    <w:uiPriority w:val="99"/>
    <w:unhideWhenUsed/>
    <w:rsid w:val="00CA3928"/>
    <w:pPr>
      <w:spacing w:after="120" w:line="240" w:lineRule="auto"/>
    </w:pPr>
    <w:rPr>
      <w:sz w:val="20"/>
      <w:szCs w:val="20"/>
    </w:rPr>
  </w:style>
  <w:style w:type="character" w:customStyle="1" w:styleId="CommentTextChar">
    <w:name w:val="Comment Text Char"/>
    <w:basedOn w:val="DefaultParagraphFont"/>
    <w:link w:val="CommentText"/>
    <w:uiPriority w:val="99"/>
    <w:rsid w:val="00CA3928"/>
    <w:rPr>
      <w:sz w:val="20"/>
      <w:szCs w:val="20"/>
    </w:rPr>
  </w:style>
  <w:style w:type="paragraph" w:styleId="FootnoteText">
    <w:name w:val="footnote text"/>
    <w:basedOn w:val="Normal"/>
    <w:link w:val="FootnoteTextChar"/>
    <w:uiPriority w:val="99"/>
    <w:unhideWhenUsed/>
    <w:rsid w:val="005B289E"/>
    <w:pPr>
      <w:spacing w:after="0" w:line="240" w:lineRule="auto"/>
    </w:pPr>
    <w:rPr>
      <w:sz w:val="20"/>
      <w:szCs w:val="20"/>
    </w:rPr>
  </w:style>
  <w:style w:type="character" w:customStyle="1" w:styleId="FootnoteTextChar">
    <w:name w:val="Footnote Text Char"/>
    <w:basedOn w:val="DefaultParagraphFont"/>
    <w:link w:val="FootnoteText"/>
    <w:uiPriority w:val="99"/>
    <w:rsid w:val="005B289E"/>
    <w:rPr>
      <w:sz w:val="20"/>
      <w:szCs w:val="20"/>
    </w:rPr>
  </w:style>
  <w:style w:type="character" w:styleId="FootnoteReference">
    <w:name w:val="footnote reference"/>
    <w:basedOn w:val="DefaultParagraphFont"/>
    <w:uiPriority w:val="99"/>
    <w:semiHidden/>
    <w:unhideWhenUsed/>
    <w:rsid w:val="005B289E"/>
    <w:rPr>
      <w:vertAlign w:val="superscript"/>
    </w:rPr>
  </w:style>
  <w:style w:type="paragraph" w:styleId="CommentSubject">
    <w:name w:val="annotation subject"/>
    <w:basedOn w:val="CommentText"/>
    <w:next w:val="CommentText"/>
    <w:link w:val="CommentSubjectChar"/>
    <w:uiPriority w:val="99"/>
    <w:semiHidden/>
    <w:unhideWhenUsed/>
    <w:rsid w:val="00603C28"/>
    <w:pPr>
      <w:spacing w:after="200"/>
    </w:pPr>
    <w:rPr>
      <w:b/>
      <w:bCs/>
    </w:rPr>
  </w:style>
  <w:style w:type="character" w:customStyle="1" w:styleId="CommentSubjectChar">
    <w:name w:val="Comment Subject Char"/>
    <w:basedOn w:val="CommentTextChar"/>
    <w:link w:val="CommentSubject"/>
    <w:uiPriority w:val="99"/>
    <w:semiHidden/>
    <w:rsid w:val="00603C28"/>
    <w:rPr>
      <w:b/>
      <w:bCs/>
      <w:sz w:val="20"/>
      <w:szCs w:val="20"/>
    </w:rPr>
  </w:style>
  <w:style w:type="character" w:styleId="UnresolvedMention">
    <w:name w:val="Unresolved Mention"/>
    <w:basedOn w:val="DefaultParagraphFont"/>
    <w:uiPriority w:val="99"/>
    <w:semiHidden/>
    <w:unhideWhenUsed/>
    <w:rsid w:val="00193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www.judgments.fedcourt.gov.au/judgments/Judgments/fca/full/2022/2022fcafc0130" TargetMode="Externa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legislation.gov.au/Series/C2009A00028"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da686254-28fc-4a80-a15e-fc33c1b94c7e" xsi:nil="true"/>
    <Date xmlns="da686254-28fc-4a80-a15e-fc33c1b94c7e" xsi:nil="true"/>
    <lcf76f155ced4ddcb4097134ff3c332f xmlns="da686254-28fc-4a80-a15e-fc33c1b94c7e">
      <Terms xmlns="http://schemas.microsoft.com/office/infopath/2007/PartnerControls"/>
    </lcf76f155ced4ddcb4097134ff3c332f>
    <TaxCatchAll xmlns="04a9a847-fe22-44bb-bb48-4bc4e99aed0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37FBC52F13C904AAA1CF5EC39138230" ma:contentTypeVersion="18" ma:contentTypeDescription="Create a new document." ma:contentTypeScope="" ma:versionID="03556411244c83d66f5875600dc0f244">
  <xsd:schema xmlns:xsd="http://www.w3.org/2001/XMLSchema" xmlns:xs="http://www.w3.org/2001/XMLSchema" xmlns:p="http://schemas.microsoft.com/office/2006/metadata/properties" xmlns:ns2="da686254-28fc-4a80-a15e-fc33c1b94c7e" xmlns:ns3="04a9a847-fe22-44bb-bb48-4bc4e99aed03" targetNamespace="http://schemas.microsoft.com/office/2006/metadata/properties" ma:root="true" ma:fieldsID="1bfc866ff62746da1fa24139ec597706" ns2:_="" ns3:_="">
    <xsd:import namespace="da686254-28fc-4a80-a15e-fc33c1b94c7e"/>
    <xsd:import namespace="04a9a847-fe22-44bb-bb48-4bc4e99aed0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Date"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686254-28fc-4a80-a15e-fc33c1b94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 ma:index="22" nillable="true" ma:displayName="Date" ma:description="test" ma:format="DateOnly" ma:internalName="Date">
      <xsd:simpleType>
        <xsd:restriction base="dms:DateTime"/>
      </xsd:simpleType>
    </xsd:element>
    <xsd:element name="Comments" ma:index="23"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a9a847-fe22-44bb-bb48-4bc4e99aed0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7fe9c6c-d96a-467c-b41a-bb0452157a0a}" ma:internalName="TaxCatchAll" ma:showField="CatchAllData" ma:web="04a9a847-fe22-44bb-bb48-4bc4e99aed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da686254-28fc-4a80-a15e-fc33c1b94c7e"/>
    <ds:schemaRef ds:uri="04a9a847-fe22-44bb-bb48-4bc4e99aed03"/>
  </ds:schemaRefs>
</ds:datastoreItem>
</file>

<file path=customXml/itemProps2.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CD4A9F10-CE03-4D3E-8EDC-C51C38B25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686254-28fc-4a80-a15e-fc33c1b94c7e"/>
    <ds:schemaRef ds:uri="04a9a847-fe22-44bb-bb48-4bc4e99aed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2403</Words>
  <Characters>12812</Characters>
  <Application>Microsoft Office Word</Application>
  <DocSecurity>0</DocSecurity>
  <Lines>237</Lines>
  <Paragraphs>107</Paragraphs>
  <ScaleCrop>false</ScaleCrop>
  <HeadingPairs>
    <vt:vector size="2" baseType="variant">
      <vt:variant>
        <vt:lpstr>Title</vt:lpstr>
      </vt:variant>
      <vt:variant>
        <vt:i4>1</vt:i4>
      </vt:variant>
    </vt:vector>
  </HeadingPairs>
  <TitlesOfParts>
    <vt:vector size="1" baseType="lpstr">
      <vt:lpstr>0008_DEWR A4 factsheet portrait</vt:lpstr>
    </vt:vector>
  </TitlesOfParts>
  <Company/>
  <LinksUpToDate>false</LinksUpToDate>
  <CharactersWithSpaces>15108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0008_DEWR A4 factsheet portrait</dc:title>
  <dc:subject/>
  <dc:creator/>
  <cp:keywords>0008_DEWR A4 factsheet portrait</cp:keywords>
  <dc:description/>
  <cp:lastModifiedBy/>
  <cp:revision>1</cp:revision>
  <dcterms:created xsi:type="dcterms:W3CDTF">2023-03-21T03:34:00Z</dcterms:created>
  <dcterms:modified xsi:type="dcterms:W3CDTF">2023-03-21T03:35:00Z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0x010100A37FBC52F13C904AAA1CF5EC39138230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MediaServiceImageTags">
    <vt:lpwstr/>
  </property>
  <property fmtid="{D5CDD505-2E9C-101B-9397-08002B2CF9AE}" pid="14" name="Order">
    <vt:r8>100</vt:r8>
  </property>
</Properties>
</file>