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60F64286" w:rsidR="006E5D6E" w:rsidRPr="007A3506" w:rsidRDefault="006E5D6E" w:rsidP="00350FFA">
      <w:pPr>
        <w:ind w:left="-1474"/>
        <w:rPr>
          <w:rFonts w:cstheme="minorHAnsi"/>
        </w:rPr>
      </w:pPr>
    </w:p>
    <w:p w14:paraId="63D254A0" w14:textId="0F050FF7" w:rsidR="008A6C8B" w:rsidRPr="007A3506" w:rsidRDefault="00936A15" w:rsidP="00965488">
      <w:pPr>
        <w:pStyle w:val="Title"/>
        <w:spacing w:before="2640" w:line="240" w:lineRule="auto"/>
        <w:ind w:left="1276"/>
        <w:rPr>
          <w:rFonts w:asciiTheme="minorHAnsi" w:hAnsiTheme="minorHAnsi" w:cstheme="minorHAnsi"/>
          <w:noProof/>
          <w:sz w:val="56"/>
          <w:lang w:eastAsia="en-AU"/>
        </w:rPr>
      </w:pPr>
      <w:r w:rsidRPr="007A3506">
        <w:rPr>
          <w:rFonts w:asciiTheme="minorHAnsi" w:hAnsiTheme="minorHAnsi" w:cstheme="minorHAnsi"/>
          <w:noProof/>
          <w:sz w:val="56"/>
          <w:lang w:eastAsia="en-AU"/>
        </w:rPr>
        <w:br/>
      </w:r>
      <w:r w:rsidRPr="007A3506">
        <w:rPr>
          <w:rFonts w:asciiTheme="minorHAnsi" w:hAnsiTheme="minorHAnsi" w:cstheme="minorHAnsi"/>
          <w:noProof/>
          <w:sz w:val="56"/>
          <w:lang w:eastAsia="en-AU"/>
        </w:rPr>
        <w:br/>
        <w:t>I</w:t>
      </w:r>
      <w:r w:rsidR="00AC0AD5" w:rsidRPr="007A3506">
        <w:rPr>
          <w:rFonts w:asciiTheme="minorHAnsi" w:hAnsiTheme="minorHAnsi" w:cstheme="minorHAnsi"/>
          <w:noProof/>
          <w:sz w:val="56"/>
          <w:lang w:eastAsia="en-AU"/>
        </w:rPr>
        <w:t xml:space="preserve">ndependent Review </w:t>
      </w:r>
      <w:r w:rsidR="004A0F5C" w:rsidRPr="007A3506">
        <w:rPr>
          <w:rFonts w:asciiTheme="minorHAnsi" w:hAnsiTheme="minorHAnsi" w:cstheme="minorHAnsi"/>
          <w:noProof/>
          <w:sz w:val="56"/>
          <w:lang w:eastAsia="en-AU"/>
        </w:rPr>
        <w:br/>
      </w:r>
      <w:r w:rsidR="00AC0AD5" w:rsidRPr="007A3506">
        <w:rPr>
          <w:rFonts w:asciiTheme="minorHAnsi" w:hAnsiTheme="minorHAnsi" w:cstheme="minorHAnsi"/>
          <w:noProof/>
          <w:sz w:val="56"/>
          <w:lang w:eastAsia="en-AU"/>
        </w:rPr>
        <w:t>of the</w:t>
      </w:r>
      <w:r w:rsidR="00AC0AD5" w:rsidRPr="007A3506">
        <w:rPr>
          <w:rFonts w:asciiTheme="minorHAnsi" w:hAnsiTheme="minorHAnsi" w:cstheme="minorHAnsi"/>
          <w:noProof/>
          <w:sz w:val="56"/>
          <w:lang w:eastAsia="en-AU"/>
        </w:rPr>
        <w:br/>
        <w:t>Federal Safety Commissioner</w:t>
      </w:r>
    </w:p>
    <w:p w14:paraId="1E148B0F" w14:textId="077DB081" w:rsidR="007855CC" w:rsidRPr="007A3506" w:rsidRDefault="000709BF" w:rsidP="007855CC">
      <w:pPr>
        <w:pStyle w:val="Subtitle"/>
        <w:spacing w:before="240"/>
        <w:ind w:left="1276"/>
        <w:rPr>
          <w:rFonts w:asciiTheme="minorHAnsi" w:hAnsiTheme="minorHAnsi" w:cstheme="minorHAnsi"/>
          <w:noProof/>
          <w:lang w:eastAsia="en-AU"/>
        </w:rPr>
      </w:pPr>
      <w:r w:rsidRPr="007A3506">
        <w:rPr>
          <w:rFonts w:asciiTheme="minorHAnsi" w:hAnsiTheme="minorHAnsi" w:cstheme="minorHAnsi"/>
          <w:noProof/>
        </w:rPr>
        <w:drawing>
          <wp:anchor distT="0" distB="0" distL="114300" distR="114300" simplePos="0" relativeHeight="251658244" behindDoc="1" locked="1" layoutInCell="1" allowOverlap="1" wp14:anchorId="504CC202" wp14:editId="3235DFC0">
            <wp:simplePos x="0" y="0"/>
            <wp:positionH relativeFrom="page">
              <wp:posOffset>1905</wp:posOffset>
            </wp:positionH>
            <wp:positionV relativeFrom="page">
              <wp:posOffset>11430</wp:posOffset>
            </wp:positionV>
            <wp:extent cx="7548245" cy="1067689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48245" cy="10676890"/>
                    </a:xfrm>
                    <a:prstGeom prst="rect">
                      <a:avLst/>
                    </a:prstGeom>
                  </pic:spPr>
                </pic:pic>
              </a:graphicData>
            </a:graphic>
            <wp14:sizeRelH relativeFrom="page">
              <wp14:pctWidth>0</wp14:pctWidth>
            </wp14:sizeRelH>
            <wp14:sizeRelV relativeFrom="page">
              <wp14:pctHeight>0</wp14:pctHeight>
            </wp14:sizeRelV>
          </wp:anchor>
        </w:drawing>
      </w:r>
      <w:r w:rsidR="00F640C3" w:rsidRPr="007A3506">
        <w:rPr>
          <w:rFonts w:asciiTheme="minorHAnsi" w:hAnsiTheme="minorHAnsi" w:cstheme="minorHAnsi"/>
          <w:noProof/>
          <w:lang w:eastAsia="en-AU"/>
        </w:rPr>
        <w:t xml:space="preserve">Discussion Paper </w:t>
      </w:r>
      <w:r w:rsidR="00D953C3" w:rsidRPr="007A3506">
        <w:rPr>
          <w:rFonts w:asciiTheme="minorHAnsi" w:hAnsiTheme="minorHAnsi" w:cstheme="minorHAnsi"/>
          <w:lang w:eastAsia="en-AU"/>
        </w:rPr>
        <w:t xml:space="preserve">30 </w:t>
      </w:r>
      <w:r w:rsidR="005257FB" w:rsidRPr="007A3506">
        <w:rPr>
          <w:rFonts w:asciiTheme="minorHAnsi" w:hAnsiTheme="minorHAnsi" w:cstheme="minorHAnsi"/>
          <w:lang w:eastAsia="en-AU"/>
        </w:rPr>
        <w:t>June</w:t>
      </w:r>
      <w:r w:rsidR="005257FB" w:rsidRPr="007A3506">
        <w:rPr>
          <w:rFonts w:asciiTheme="minorHAnsi" w:hAnsiTheme="minorHAnsi" w:cstheme="minorHAnsi"/>
          <w:noProof/>
          <w:lang w:eastAsia="en-AU"/>
        </w:rPr>
        <w:t xml:space="preserve"> </w:t>
      </w:r>
      <w:r w:rsidR="00F640C3" w:rsidRPr="007A3506">
        <w:rPr>
          <w:rFonts w:asciiTheme="minorHAnsi" w:hAnsiTheme="minorHAnsi" w:cstheme="minorHAnsi"/>
          <w:noProof/>
          <w:lang w:eastAsia="en-AU"/>
        </w:rPr>
        <w:t>2023</w:t>
      </w:r>
    </w:p>
    <w:p w14:paraId="15277A78" w14:textId="77777777" w:rsidR="00930CDA" w:rsidRPr="007A3506" w:rsidRDefault="00930CDA" w:rsidP="0095636C">
      <w:pPr>
        <w:rPr>
          <w:rFonts w:cstheme="minorHAnsi"/>
        </w:rPr>
      </w:pPr>
      <w:r w:rsidRPr="007A3506">
        <w:rPr>
          <w:rFonts w:cstheme="minorHAnsi"/>
          <w:lang w:eastAsia="en-AU"/>
        </w:rPr>
        <w:br w:type="page"/>
      </w:r>
    </w:p>
    <w:p w14:paraId="1F73C362" w14:textId="77777777" w:rsidR="00242EE5" w:rsidRPr="007A3506" w:rsidRDefault="00242EE5" w:rsidP="00242EE5">
      <w:pPr>
        <w:tabs>
          <w:tab w:val="left" w:pos="5856"/>
        </w:tabs>
        <w:spacing w:before="120"/>
        <w:contextualSpacing/>
        <w:rPr>
          <w:rFonts w:cstheme="minorHAnsi"/>
        </w:rPr>
        <w:sectPr w:rsidR="00242EE5" w:rsidRPr="007A3506" w:rsidSect="00661119">
          <w:footerReference w:type="default" r:id="rId9"/>
          <w:type w:val="continuous"/>
          <w:pgSz w:w="11906" w:h="16838"/>
          <w:pgMar w:top="1418" w:right="1418" w:bottom="1418" w:left="1418" w:header="708" w:footer="708" w:gutter="0"/>
          <w:cols w:space="708"/>
          <w:titlePg/>
          <w:docGrid w:linePitch="360"/>
        </w:sectPr>
      </w:pPr>
      <w:bookmarkStart w:id="0" w:name="_Toc30065222"/>
    </w:p>
    <w:sdt>
      <w:sdtPr>
        <w:rPr>
          <w:rFonts w:asciiTheme="minorHAnsi" w:eastAsiaTheme="minorHAnsi" w:hAnsiTheme="minorHAnsi" w:cstheme="minorHAnsi"/>
          <w:b w:val="0"/>
          <w:color w:val="auto"/>
          <w:sz w:val="22"/>
          <w:szCs w:val="22"/>
        </w:rPr>
        <w:id w:val="-139263470"/>
        <w:docPartObj>
          <w:docPartGallery w:val="Table of Contents"/>
          <w:docPartUnique/>
        </w:docPartObj>
      </w:sdtPr>
      <w:sdtContent>
        <w:p w14:paraId="01D5BB99" w14:textId="644583DC" w:rsidR="007855CC" w:rsidRPr="007A3506" w:rsidRDefault="007855CC" w:rsidP="007855CC">
          <w:pPr>
            <w:pStyle w:val="TOCHeading"/>
            <w:rPr>
              <w:rFonts w:asciiTheme="minorHAnsi" w:hAnsiTheme="minorHAnsi" w:cstheme="minorHAnsi"/>
            </w:rPr>
          </w:pPr>
          <w:r w:rsidRPr="007A3506">
            <w:rPr>
              <w:rFonts w:asciiTheme="minorHAnsi" w:hAnsiTheme="minorHAnsi" w:cstheme="minorHAnsi"/>
            </w:rPr>
            <w:t>Contents</w:t>
          </w:r>
        </w:p>
        <w:p w14:paraId="458E0007" w14:textId="58AB9D79" w:rsidR="00C4511B" w:rsidRDefault="00A73C6B">
          <w:pPr>
            <w:pStyle w:val="TOC1"/>
            <w:rPr>
              <w:rFonts w:eastAsiaTheme="minorEastAsia"/>
              <w:b w:val="0"/>
              <w:noProof/>
              <w:kern w:val="2"/>
              <w:lang w:eastAsia="en-AU"/>
              <w14:ligatures w14:val="standardContextual"/>
            </w:rPr>
          </w:pPr>
          <w:r w:rsidRPr="007A3506">
            <w:rPr>
              <w:rFonts w:eastAsiaTheme="majorEastAsia" w:cstheme="minorHAnsi"/>
              <w:color w:val="343741"/>
              <w:sz w:val="32"/>
              <w:szCs w:val="32"/>
            </w:rPr>
            <w:fldChar w:fldCharType="begin"/>
          </w:r>
          <w:r w:rsidRPr="007A3506">
            <w:rPr>
              <w:rFonts w:eastAsiaTheme="majorEastAsia" w:cstheme="minorHAnsi"/>
              <w:color w:val="343741"/>
              <w:sz w:val="32"/>
              <w:szCs w:val="32"/>
            </w:rPr>
            <w:instrText xml:space="preserve"> TOC \o "1-3" \h \z \u </w:instrText>
          </w:r>
          <w:r w:rsidRPr="007A3506">
            <w:rPr>
              <w:rFonts w:eastAsiaTheme="majorEastAsia" w:cstheme="minorHAnsi"/>
              <w:color w:val="343741"/>
              <w:sz w:val="32"/>
              <w:szCs w:val="32"/>
            </w:rPr>
            <w:fldChar w:fldCharType="separate"/>
          </w:r>
          <w:hyperlink w:anchor="_Toc139261428" w:history="1">
            <w:r w:rsidR="00C4511B" w:rsidRPr="00835847">
              <w:rPr>
                <w:rStyle w:val="Hyperlink"/>
                <w:rFonts w:cstheme="minorHAnsi"/>
                <w:noProof/>
              </w:rPr>
              <w:t>Foreword</w:t>
            </w:r>
            <w:r w:rsidR="00C4511B">
              <w:rPr>
                <w:noProof/>
                <w:webHidden/>
              </w:rPr>
              <w:tab/>
            </w:r>
            <w:r w:rsidR="00C4511B">
              <w:rPr>
                <w:noProof/>
                <w:webHidden/>
              </w:rPr>
              <w:fldChar w:fldCharType="begin"/>
            </w:r>
            <w:r w:rsidR="00C4511B">
              <w:rPr>
                <w:noProof/>
                <w:webHidden/>
              </w:rPr>
              <w:instrText xml:space="preserve"> PAGEREF _Toc139261428 \h </w:instrText>
            </w:r>
            <w:r w:rsidR="00C4511B">
              <w:rPr>
                <w:noProof/>
                <w:webHidden/>
              </w:rPr>
            </w:r>
            <w:r w:rsidR="00C4511B">
              <w:rPr>
                <w:noProof/>
                <w:webHidden/>
              </w:rPr>
              <w:fldChar w:fldCharType="separate"/>
            </w:r>
            <w:r w:rsidR="003179E0">
              <w:rPr>
                <w:noProof/>
                <w:webHidden/>
              </w:rPr>
              <w:t>4</w:t>
            </w:r>
            <w:r w:rsidR="00C4511B">
              <w:rPr>
                <w:noProof/>
                <w:webHidden/>
              </w:rPr>
              <w:fldChar w:fldCharType="end"/>
            </w:r>
          </w:hyperlink>
        </w:p>
        <w:p w14:paraId="73A3DF56" w14:textId="09055811" w:rsidR="00C4511B" w:rsidRDefault="00000000">
          <w:pPr>
            <w:pStyle w:val="TOC1"/>
            <w:rPr>
              <w:rFonts w:eastAsiaTheme="minorEastAsia"/>
              <w:b w:val="0"/>
              <w:noProof/>
              <w:kern w:val="2"/>
              <w:lang w:eastAsia="en-AU"/>
              <w14:ligatures w14:val="standardContextual"/>
            </w:rPr>
          </w:pPr>
          <w:hyperlink w:anchor="_Toc139261429" w:history="1">
            <w:r w:rsidR="00C4511B" w:rsidRPr="00835847">
              <w:rPr>
                <w:rStyle w:val="Hyperlink"/>
                <w:rFonts w:cstheme="minorHAnsi"/>
                <w:noProof/>
              </w:rPr>
              <w:t>The Review Process</w:t>
            </w:r>
            <w:r w:rsidR="00C4511B">
              <w:rPr>
                <w:noProof/>
                <w:webHidden/>
              </w:rPr>
              <w:tab/>
            </w:r>
            <w:r w:rsidR="00C4511B">
              <w:rPr>
                <w:noProof/>
                <w:webHidden/>
              </w:rPr>
              <w:fldChar w:fldCharType="begin"/>
            </w:r>
            <w:r w:rsidR="00C4511B">
              <w:rPr>
                <w:noProof/>
                <w:webHidden/>
              </w:rPr>
              <w:instrText xml:space="preserve"> PAGEREF _Toc139261429 \h </w:instrText>
            </w:r>
            <w:r w:rsidR="00C4511B">
              <w:rPr>
                <w:noProof/>
                <w:webHidden/>
              </w:rPr>
            </w:r>
            <w:r w:rsidR="00C4511B">
              <w:rPr>
                <w:noProof/>
                <w:webHidden/>
              </w:rPr>
              <w:fldChar w:fldCharType="separate"/>
            </w:r>
            <w:r w:rsidR="003179E0">
              <w:rPr>
                <w:noProof/>
                <w:webHidden/>
              </w:rPr>
              <w:t>5</w:t>
            </w:r>
            <w:r w:rsidR="00C4511B">
              <w:rPr>
                <w:noProof/>
                <w:webHidden/>
              </w:rPr>
              <w:fldChar w:fldCharType="end"/>
            </w:r>
          </w:hyperlink>
        </w:p>
        <w:p w14:paraId="70BBDB6D" w14:textId="64479B6A" w:rsidR="00C4511B" w:rsidRDefault="00000000">
          <w:pPr>
            <w:pStyle w:val="TOC2"/>
            <w:rPr>
              <w:rFonts w:eastAsiaTheme="minorEastAsia"/>
              <w:noProof/>
              <w:kern w:val="2"/>
              <w:lang w:eastAsia="en-AU"/>
              <w14:ligatures w14:val="standardContextual"/>
            </w:rPr>
          </w:pPr>
          <w:hyperlink w:anchor="_Toc139261430" w:history="1">
            <w:r w:rsidR="00C4511B" w:rsidRPr="00835847">
              <w:rPr>
                <w:rStyle w:val="Hyperlink"/>
                <w:rFonts w:cstheme="minorHAnsi"/>
                <w:noProof/>
              </w:rPr>
              <w:t>How to Contribute Your Views</w:t>
            </w:r>
            <w:r w:rsidR="00C4511B">
              <w:rPr>
                <w:noProof/>
                <w:webHidden/>
              </w:rPr>
              <w:tab/>
            </w:r>
            <w:r w:rsidR="00C4511B">
              <w:rPr>
                <w:noProof/>
                <w:webHidden/>
              </w:rPr>
              <w:fldChar w:fldCharType="begin"/>
            </w:r>
            <w:r w:rsidR="00C4511B">
              <w:rPr>
                <w:noProof/>
                <w:webHidden/>
              </w:rPr>
              <w:instrText xml:space="preserve"> PAGEREF _Toc139261430 \h </w:instrText>
            </w:r>
            <w:r w:rsidR="00C4511B">
              <w:rPr>
                <w:noProof/>
                <w:webHidden/>
              </w:rPr>
            </w:r>
            <w:r w:rsidR="00C4511B">
              <w:rPr>
                <w:noProof/>
                <w:webHidden/>
              </w:rPr>
              <w:fldChar w:fldCharType="separate"/>
            </w:r>
            <w:r w:rsidR="003179E0">
              <w:rPr>
                <w:noProof/>
                <w:webHidden/>
              </w:rPr>
              <w:t>5</w:t>
            </w:r>
            <w:r w:rsidR="00C4511B">
              <w:rPr>
                <w:noProof/>
                <w:webHidden/>
              </w:rPr>
              <w:fldChar w:fldCharType="end"/>
            </w:r>
          </w:hyperlink>
        </w:p>
        <w:p w14:paraId="71DDE818" w14:textId="77C3BF5F" w:rsidR="00C4511B" w:rsidRDefault="00000000">
          <w:pPr>
            <w:pStyle w:val="TOC1"/>
            <w:rPr>
              <w:rFonts w:eastAsiaTheme="minorEastAsia"/>
              <w:b w:val="0"/>
              <w:noProof/>
              <w:kern w:val="2"/>
              <w:lang w:eastAsia="en-AU"/>
              <w14:ligatures w14:val="standardContextual"/>
            </w:rPr>
          </w:pPr>
          <w:hyperlink w:anchor="_Toc139261431" w:history="1">
            <w:r w:rsidR="00C4511B" w:rsidRPr="00835847">
              <w:rPr>
                <w:rStyle w:val="Hyperlink"/>
                <w:rFonts w:cstheme="minorHAnsi"/>
                <w:noProof/>
              </w:rPr>
              <w:t>1. Setting the Scene</w:t>
            </w:r>
            <w:r w:rsidR="00C4511B">
              <w:rPr>
                <w:noProof/>
                <w:webHidden/>
              </w:rPr>
              <w:tab/>
            </w:r>
            <w:r w:rsidR="00C4511B">
              <w:rPr>
                <w:noProof/>
                <w:webHidden/>
              </w:rPr>
              <w:fldChar w:fldCharType="begin"/>
            </w:r>
            <w:r w:rsidR="00C4511B">
              <w:rPr>
                <w:noProof/>
                <w:webHidden/>
              </w:rPr>
              <w:instrText xml:space="preserve"> PAGEREF _Toc139261431 \h </w:instrText>
            </w:r>
            <w:r w:rsidR="00C4511B">
              <w:rPr>
                <w:noProof/>
                <w:webHidden/>
              </w:rPr>
            </w:r>
            <w:r w:rsidR="00C4511B">
              <w:rPr>
                <w:noProof/>
                <w:webHidden/>
              </w:rPr>
              <w:fldChar w:fldCharType="separate"/>
            </w:r>
            <w:r w:rsidR="003179E0">
              <w:rPr>
                <w:noProof/>
                <w:webHidden/>
              </w:rPr>
              <w:t>6</w:t>
            </w:r>
            <w:r w:rsidR="00C4511B">
              <w:rPr>
                <w:noProof/>
                <w:webHidden/>
              </w:rPr>
              <w:fldChar w:fldCharType="end"/>
            </w:r>
          </w:hyperlink>
        </w:p>
        <w:p w14:paraId="691DD887" w14:textId="0AA6784E" w:rsidR="00C4511B" w:rsidRDefault="00000000">
          <w:pPr>
            <w:pStyle w:val="TOC2"/>
            <w:rPr>
              <w:rFonts w:eastAsiaTheme="minorEastAsia"/>
              <w:noProof/>
              <w:kern w:val="2"/>
              <w:lang w:eastAsia="en-AU"/>
              <w14:ligatures w14:val="standardContextual"/>
            </w:rPr>
          </w:pPr>
          <w:hyperlink w:anchor="_Toc139261432" w:history="1">
            <w:r w:rsidR="00C4511B" w:rsidRPr="00835847">
              <w:rPr>
                <w:rStyle w:val="Hyperlink"/>
                <w:rFonts w:cstheme="minorHAnsi"/>
                <w:noProof/>
              </w:rPr>
              <w:t>1.1 The Work Health and Safety Accreditation Scheme</w:t>
            </w:r>
            <w:r w:rsidR="00C4511B">
              <w:rPr>
                <w:noProof/>
                <w:webHidden/>
              </w:rPr>
              <w:tab/>
            </w:r>
            <w:r w:rsidR="00C4511B">
              <w:rPr>
                <w:noProof/>
                <w:webHidden/>
              </w:rPr>
              <w:fldChar w:fldCharType="begin"/>
            </w:r>
            <w:r w:rsidR="00C4511B">
              <w:rPr>
                <w:noProof/>
                <w:webHidden/>
              </w:rPr>
              <w:instrText xml:space="preserve"> PAGEREF _Toc139261432 \h </w:instrText>
            </w:r>
            <w:r w:rsidR="00C4511B">
              <w:rPr>
                <w:noProof/>
                <w:webHidden/>
              </w:rPr>
            </w:r>
            <w:r w:rsidR="00C4511B">
              <w:rPr>
                <w:noProof/>
                <w:webHidden/>
              </w:rPr>
              <w:fldChar w:fldCharType="separate"/>
            </w:r>
            <w:r w:rsidR="003179E0">
              <w:rPr>
                <w:noProof/>
                <w:webHidden/>
              </w:rPr>
              <w:t>6</w:t>
            </w:r>
            <w:r w:rsidR="00C4511B">
              <w:rPr>
                <w:noProof/>
                <w:webHidden/>
              </w:rPr>
              <w:fldChar w:fldCharType="end"/>
            </w:r>
          </w:hyperlink>
        </w:p>
        <w:p w14:paraId="39089DF7" w14:textId="5E453DE1" w:rsidR="00C4511B" w:rsidRDefault="00000000">
          <w:pPr>
            <w:pStyle w:val="TOC2"/>
            <w:rPr>
              <w:rFonts w:eastAsiaTheme="minorEastAsia"/>
              <w:noProof/>
              <w:kern w:val="2"/>
              <w:lang w:eastAsia="en-AU"/>
              <w14:ligatures w14:val="standardContextual"/>
            </w:rPr>
          </w:pPr>
          <w:hyperlink w:anchor="_Toc139261433" w:history="1">
            <w:r w:rsidR="00C4511B" w:rsidRPr="00835847">
              <w:rPr>
                <w:rStyle w:val="Hyperlink"/>
                <w:rFonts w:cstheme="minorHAnsi"/>
                <w:noProof/>
              </w:rPr>
              <w:t>1.2 Gaining Accreditation</w:t>
            </w:r>
            <w:r w:rsidR="00C4511B">
              <w:rPr>
                <w:noProof/>
                <w:webHidden/>
              </w:rPr>
              <w:tab/>
            </w:r>
            <w:r w:rsidR="00C4511B">
              <w:rPr>
                <w:noProof/>
                <w:webHidden/>
              </w:rPr>
              <w:fldChar w:fldCharType="begin"/>
            </w:r>
            <w:r w:rsidR="00C4511B">
              <w:rPr>
                <w:noProof/>
                <w:webHidden/>
              </w:rPr>
              <w:instrText xml:space="preserve"> PAGEREF _Toc139261433 \h </w:instrText>
            </w:r>
            <w:r w:rsidR="00C4511B">
              <w:rPr>
                <w:noProof/>
                <w:webHidden/>
              </w:rPr>
            </w:r>
            <w:r w:rsidR="00C4511B">
              <w:rPr>
                <w:noProof/>
                <w:webHidden/>
              </w:rPr>
              <w:fldChar w:fldCharType="separate"/>
            </w:r>
            <w:r w:rsidR="003179E0">
              <w:rPr>
                <w:noProof/>
                <w:webHidden/>
              </w:rPr>
              <w:t>6</w:t>
            </w:r>
            <w:r w:rsidR="00C4511B">
              <w:rPr>
                <w:noProof/>
                <w:webHidden/>
              </w:rPr>
              <w:fldChar w:fldCharType="end"/>
            </w:r>
          </w:hyperlink>
        </w:p>
        <w:p w14:paraId="1AA0EE4A" w14:textId="0A586D2C" w:rsidR="00C4511B" w:rsidRDefault="00000000">
          <w:pPr>
            <w:pStyle w:val="TOC2"/>
            <w:rPr>
              <w:rFonts w:eastAsiaTheme="minorEastAsia"/>
              <w:noProof/>
              <w:kern w:val="2"/>
              <w:lang w:eastAsia="en-AU"/>
              <w14:ligatures w14:val="standardContextual"/>
            </w:rPr>
          </w:pPr>
          <w:hyperlink w:anchor="_Toc139261434" w:history="1">
            <w:r w:rsidR="00C4511B" w:rsidRPr="00835847">
              <w:rPr>
                <w:rStyle w:val="Hyperlink"/>
                <w:rFonts w:cstheme="minorHAnsi"/>
                <w:noProof/>
              </w:rPr>
              <w:t>1.3 Maintaining Accreditation</w:t>
            </w:r>
            <w:r w:rsidR="00C4511B">
              <w:rPr>
                <w:noProof/>
                <w:webHidden/>
              </w:rPr>
              <w:tab/>
            </w:r>
            <w:r w:rsidR="00C4511B">
              <w:rPr>
                <w:noProof/>
                <w:webHidden/>
              </w:rPr>
              <w:fldChar w:fldCharType="begin"/>
            </w:r>
            <w:r w:rsidR="00C4511B">
              <w:rPr>
                <w:noProof/>
                <w:webHidden/>
              </w:rPr>
              <w:instrText xml:space="preserve"> PAGEREF _Toc139261434 \h </w:instrText>
            </w:r>
            <w:r w:rsidR="00C4511B">
              <w:rPr>
                <w:noProof/>
                <w:webHidden/>
              </w:rPr>
            </w:r>
            <w:r w:rsidR="00C4511B">
              <w:rPr>
                <w:noProof/>
                <w:webHidden/>
              </w:rPr>
              <w:fldChar w:fldCharType="separate"/>
            </w:r>
            <w:r w:rsidR="003179E0">
              <w:rPr>
                <w:noProof/>
                <w:webHidden/>
              </w:rPr>
              <w:t>7</w:t>
            </w:r>
            <w:r w:rsidR="00C4511B">
              <w:rPr>
                <w:noProof/>
                <w:webHidden/>
              </w:rPr>
              <w:fldChar w:fldCharType="end"/>
            </w:r>
          </w:hyperlink>
        </w:p>
        <w:p w14:paraId="2AE25364" w14:textId="0BB5D730" w:rsidR="00C4511B" w:rsidRDefault="00000000">
          <w:pPr>
            <w:pStyle w:val="TOC2"/>
            <w:rPr>
              <w:rFonts w:eastAsiaTheme="minorEastAsia"/>
              <w:noProof/>
              <w:kern w:val="2"/>
              <w:lang w:eastAsia="en-AU"/>
              <w14:ligatures w14:val="standardContextual"/>
            </w:rPr>
          </w:pPr>
          <w:hyperlink w:anchor="_Toc139261435" w:history="1">
            <w:r w:rsidR="00C4511B" w:rsidRPr="00835847">
              <w:rPr>
                <w:rStyle w:val="Hyperlink"/>
                <w:rFonts w:cstheme="minorHAnsi"/>
                <w:noProof/>
              </w:rPr>
              <w:t>1.4 Risk Ratings and Compliance</w:t>
            </w:r>
            <w:r w:rsidR="00C4511B">
              <w:rPr>
                <w:noProof/>
                <w:webHidden/>
              </w:rPr>
              <w:tab/>
            </w:r>
            <w:r w:rsidR="00C4511B">
              <w:rPr>
                <w:noProof/>
                <w:webHidden/>
              </w:rPr>
              <w:fldChar w:fldCharType="begin"/>
            </w:r>
            <w:r w:rsidR="00C4511B">
              <w:rPr>
                <w:noProof/>
                <w:webHidden/>
              </w:rPr>
              <w:instrText xml:space="preserve"> PAGEREF _Toc139261435 \h </w:instrText>
            </w:r>
            <w:r w:rsidR="00C4511B">
              <w:rPr>
                <w:noProof/>
                <w:webHidden/>
              </w:rPr>
            </w:r>
            <w:r w:rsidR="00C4511B">
              <w:rPr>
                <w:noProof/>
                <w:webHidden/>
              </w:rPr>
              <w:fldChar w:fldCharType="separate"/>
            </w:r>
            <w:r w:rsidR="003179E0">
              <w:rPr>
                <w:noProof/>
                <w:webHidden/>
              </w:rPr>
              <w:t>8</w:t>
            </w:r>
            <w:r w:rsidR="00C4511B">
              <w:rPr>
                <w:noProof/>
                <w:webHidden/>
              </w:rPr>
              <w:fldChar w:fldCharType="end"/>
            </w:r>
          </w:hyperlink>
        </w:p>
        <w:p w14:paraId="47A5FA3F" w14:textId="3D7DDFCE" w:rsidR="00C4511B" w:rsidRDefault="00000000">
          <w:pPr>
            <w:pStyle w:val="TOC3"/>
            <w:rPr>
              <w:rFonts w:eastAsiaTheme="minorEastAsia"/>
              <w:noProof/>
              <w:kern w:val="2"/>
              <w:lang w:eastAsia="en-AU"/>
              <w14:ligatures w14:val="standardContextual"/>
            </w:rPr>
          </w:pPr>
          <w:hyperlink w:anchor="_Toc139261436" w:history="1">
            <w:r w:rsidR="00C4511B" w:rsidRPr="00835847">
              <w:rPr>
                <w:rStyle w:val="Hyperlink"/>
                <w:rFonts w:cstheme="minorHAnsi"/>
                <w:noProof/>
              </w:rPr>
              <w:t>1.4.1 Administrative</w:t>
            </w:r>
            <w:r w:rsidR="00C4511B">
              <w:rPr>
                <w:noProof/>
                <w:webHidden/>
              </w:rPr>
              <w:tab/>
            </w:r>
            <w:r w:rsidR="00C4511B">
              <w:rPr>
                <w:noProof/>
                <w:webHidden/>
              </w:rPr>
              <w:fldChar w:fldCharType="begin"/>
            </w:r>
            <w:r w:rsidR="00C4511B">
              <w:rPr>
                <w:noProof/>
                <w:webHidden/>
              </w:rPr>
              <w:instrText xml:space="preserve"> PAGEREF _Toc139261436 \h </w:instrText>
            </w:r>
            <w:r w:rsidR="00C4511B">
              <w:rPr>
                <w:noProof/>
                <w:webHidden/>
              </w:rPr>
            </w:r>
            <w:r w:rsidR="00C4511B">
              <w:rPr>
                <w:noProof/>
                <w:webHidden/>
              </w:rPr>
              <w:fldChar w:fldCharType="separate"/>
            </w:r>
            <w:r w:rsidR="003179E0">
              <w:rPr>
                <w:noProof/>
                <w:webHidden/>
              </w:rPr>
              <w:t>9</w:t>
            </w:r>
            <w:r w:rsidR="00C4511B">
              <w:rPr>
                <w:noProof/>
                <w:webHidden/>
              </w:rPr>
              <w:fldChar w:fldCharType="end"/>
            </w:r>
          </w:hyperlink>
        </w:p>
        <w:p w14:paraId="457E1156" w14:textId="0C03C237" w:rsidR="00C4511B" w:rsidRDefault="00000000">
          <w:pPr>
            <w:pStyle w:val="TOC3"/>
            <w:rPr>
              <w:rFonts w:eastAsiaTheme="minorEastAsia"/>
              <w:noProof/>
              <w:kern w:val="2"/>
              <w:lang w:eastAsia="en-AU"/>
              <w14:ligatures w14:val="standardContextual"/>
            </w:rPr>
          </w:pPr>
          <w:hyperlink w:anchor="_Toc139261437" w:history="1">
            <w:r w:rsidR="00C4511B" w:rsidRPr="00835847">
              <w:rPr>
                <w:rStyle w:val="Hyperlink"/>
                <w:rFonts w:cstheme="minorHAnsi"/>
                <w:noProof/>
              </w:rPr>
              <w:t>1.4.2 Legislative</w:t>
            </w:r>
            <w:r w:rsidR="00C4511B">
              <w:rPr>
                <w:noProof/>
                <w:webHidden/>
              </w:rPr>
              <w:tab/>
            </w:r>
            <w:r w:rsidR="00C4511B">
              <w:rPr>
                <w:noProof/>
                <w:webHidden/>
              </w:rPr>
              <w:fldChar w:fldCharType="begin"/>
            </w:r>
            <w:r w:rsidR="00C4511B">
              <w:rPr>
                <w:noProof/>
                <w:webHidden/>
              </w:rPr>
              <w:instrText xml:space="preserve"> PAGEREF _Toc139261437 \h </w:instrText>
            </w:r>
            <w:r w:rsidR="00C4511B">
              <w:rPr>
                <w:noProof/>
                <w:webHidden/>
              </w:rPr>
            </w:r>
            <w:r w:rsidR="00C4511B">
              <w:rPr>
                <w:noProof/>
                <w:webHidden/>
              </w:rPr>
              <w:fldChar w:fldCharType="separate"/>
            </w:r>
            <w:r w:rsidR="003179E0">
              <w:rPr>
                <w:noProof/>
                <w:webHidden/>
              </w:rPr>
              <w:t>9</w:t>
            </w:r>
            <w:r w:rsidR="00C4511B">
              <w:rPr>
                <w:noProof/>
                <w:webHidden/>
              </w:rPr>
              <w:fldChar w:fldCharType="end"/>
            </w:r>
          </w:hyperlink>
        </w:p>
        <w:p w14:paraId="106BF0E7" w14:textId="01AFED8A" w:rsidR="00C4511B" w:rsidRDefault="00000000">
          <w:pPr>
            <w:pStyle w:val="TOC2"/>
            <w:rPr>
              <w:rFonts w:eastAsiaTheme="minorEastAsia"/>
              <w:noProof/>
              <w:kern w:val="2"/>
              <w:lang w:eastAsia="en-AU"/>
              <w14:ligatures w14:val="standardContextual"/>
            </w:rPr>
          </w:pPr>
          <w:hyperlink w:anchor="_Toc139261438" w:history="1">
            <w:r w:rsidR="00C4511B" w:rsidRPr="00835847">
              <w:rPr>
                <w:rStyle w:val="Hyperlink"/>
                <w:rFonts w:cstheme="minorHAnsi"/>
                <w:noProof/>
              </w:rPr>
              <w:t>1.5 Reporting</w:t>
            </w:r>
            <w:r w:rsidR="00C4511B">
              <w:rPr>
                <w:noProof/>
                <w:webHidden/>
              </w:rPr>
              <w:tab/>
            </w:r>
            <w:r w:rsidR="00C4511B">
              <w:rPr>
                <w:noProof/>
                <w:webHidden/>
              </w:rPr>
              <w:fldChar w:fldCharType="begin"/>
            </w:r>
            <w:r w:rsidR="00C4511B">
              <w:rPr>
                <w:noProof/>
                <w:webHidden/>
              </w:rPr>
              <w:instrText xml:space="preserve"> PAGEREF _Toc139261438 \h </w:instrText>
            </w:r>
            <w:r w:rsidR="00C4511B">
              <w:rPr>
                <w:noProof/>
                <w:webHidden/>
              </w:rPr>
            </w:r>
            <w:r w:rsidR="00C4511B">
              <w:rPr>
                <w:noProof/>
                <w:webHidden/>
              </w:rPr>
              <w:fldChar w:fldCharType="separate"/>
            </w:r>
            <w:r w:rsidR="003179E0">
              <w:rPr>
                <w:noProof/>
                <w:webHidden/>
              </w:rPr>
              <w:t>10</w:t>
            </w:r>
            <w:r w:rsidR="00C4511B">
              <w:rPr>
                <w:noProof/>
                <w:webHidden/>
              </w:rPr>
              <w:fldChar w:fldCharType="end"/>
            </w:r>
          </w:hyperlink>
        </w:p>
        <w:p w14:paraId="18058D89" w14:textId="749BEF22" w:rsidR="00C4511B" w:rsidRDefault="00000000">
          <w:pPr>
            <w:pStyle w:val="TOC2"/>
            <w:rPr>
              <w:rFonts w:eastAsiaTheme="minorEastAsia"/>
              <w:noProof/>
              <w:kern w:val="2"/>
              <w:lang w:eastAsia="en-AU"/>
              <w14:ligatures w14:val="standardContextual"/>
            </w:rPr>
          </w:pPr>
          <w:hyperlink w:anchor="_Toc139261439" w:history="1">
            <w:r w:rsidR="00C4511B" w:rsidRPr="00835847">
              <w:rPr>
                <w:rStyle w:val="Hyperlink"/>
                <w:rFonts w:cstheme="minorHAnsi"/>
                <w:noProof/>
              </w:rPr>
              <w:t>1.6 The Office of the Federal Safety Commissioner</w:t>
            </w:r>
            <w:r w:rsidR="00C4511B">
              <w:rPr>
                <w:noProof/>
                <w:webHidden/>
              </w:rPr>
              <w:tab/>
            </w:r>
            <w:r w:rsidR="00C4511B">
              <w:rPr>
                <w:noProof/>
                <w:webHidden/>
              </w:rPr>
              <w:fldChar w:fldCharType="begin"/>
            </w:r>
            <w:r w:rsidR="00C4511B">
              <w:rPr>
                <w:noProof/>
                <w:webHidden/>
              </w:rPr>
              <w:instrText xml:space="preserve"> PAGEREF _Toc139261439 \h </w:instrText>
            </w:r>
            <w:r w:rsidR="00C4511B">
              <w:rPr>
                <w:noProof/>
                <w:webHidden/>
              </w:rPr>
            </w:r>
            <w:r w:rsidR="00C4511B">
              <w:rPr>
                <w:noProof/>
                <w:webHidden/>
              </w:rPr>
              <w:fldChar w:fldCharType="separate"/>
            </w:r>
            <w:r w:rsidR="003179E0">
              <w:rPr>
                <w:noProof/>
                <w:webHidden/>
              </w:rPr>
              <w:t>11</w:t>
            </w:r>
            <w:r w:rsidR="00C4511B">
              <w:rPr>
                <w:noProof/>
                <w:webHidden/>
              </w:rPr>
              <w:fldChar w:fldCharType="end"/>
            </w:r>
          </w:hyperlink>
        </w:p>
        <w:p w14:paraId="28137C6A" w14:textId="1EFB5A33" w:rsidR="00C4511B" w:rsidRDefault="00000000">
          <w:pPr>
            <w:pStyle w:val="TOC2"/>
            <w:rPr>
              <w:rFonts w:eastAsiaTheme="minorEastAsia"/>
              <w:noProof/>
              <w:kern w:val="2"/>
              <w:lang w:eastAsia="en-AU"/>
              <w14:ligatures w14:val="standardContextual"/>
            </w:rPr>
          </w:pPr>
          <w:hyperlink w:anchor="_Toc139261440" w:history="1">
            <w:r w:rsidR="00C4511B" w:rsidRPr="00835847">
              <w:rPr>
                <w:rStyle w:val="Hyperlink"/>
                <w:rFonts w:cstheme="minorHAnsi"/>
                <w:noProof/>
              </w:rPr>
              <w:t>1.7 Procurement</w:t>
            </w:r>
            <w:r w:rsidR="00C4511B">
              <w:rPr>
                <w:noProof/>
                <w:webHidden/>
              </w:rPr>
              <w:tab/>
            </w:r>
            <w:r w:rsidR="00C4511B">
              <w:rPr>
                <w:noProof/>
                <w:webHidden/>
              </w:rPr>
              <w:fldChar w:fldCharType="begin"/>
            </w:r>
            <w:r w:rsidR="00C4511B">
              <w:rPr>
                <w:noProof/>
                <w:webHidden/>
              </w:rPr>
              <w:instrText xml:space="preserve"> PAGEREF _Toc139261440 \h </w:instrText>
            </w:r>
            <w:r w:rsidR="00C4511B">
              <w:rPr>
                <w:noProof/>
                <w:webHidden/>
              </w:rPr>
            </w:r>
            <w:r w:rsidR="00C4511B">
              <w:rPr>
                <w:noProof/>
                <w:webHidden/>
              </w:rPr>
              <w:fldChar w:fldCharType="separate"/>
            </w:r>
            <w:r w:rsidR="003179E0">
              <w:rPr>
                <w:noProof/>
                <w:webHidden/>
              </w:rPr>
              <w:t>11</w:t>
            </w:r>
            <w:r w:rsidR="00C4511B">
              <w:rPr>
                <w:noProof/>
                <w:webHidden/>
              </w:rPr>
              <w:fldChar w:fldCharType="end"/>
            </w:r>
          </w:hyperlink>
        </w:p>
        <w:p w14:paraId="0E98B877" w14:textId="04BF1256" w:rsidR="00C4511B" w:rsidRDefault="00000000">
          <w:pPr>
            <w:pStyle w:val="TOC1"/>
            <w:rPr>
              <w:rFonts w:eastAsiaTheme="minorEastAsia"/>
              <w:b w:val="0"/>
              <w:noProof/>
              <w:kern w:val="2"/>
              <w:lang w:eastAsia="en-AU"/>
              <w14:ligatures w14:val="standardContextual"/>
            </w:rPr>
          </w:pPr>
          <w:hyperlink w:anchor="_Toc139261441" w:history="1">
            <w:r w:rsidR="00C4511B" w:rsidRPr="00835847">
              <w:rPr>
                <w:rStyle w:val="Hyperlink"/>
                <w:rFonts w:cstheme="minorHAnsi"/>
                <w:noProof/>
              </w:rPr>
              <w:t>2. Statistics</w:t>
            </w:r>
            <w:r w:rsidR="00C4511B">
              <w:rPr>
                <w:noProof/>
                <w:webHidden/>
              </w:rPr>
              <w:tab/>
            </w:r>
            <w:r w:rsidR="00C4511B">
              <w:rPr>
                <w:noProof/>
                <w:webHidden/>
              </w:rPr>
              <w:fldChar w:fldCharType="begin"/>
            </w:r>
            <w:r w:rsidR="00C4511B">
              <w:rPr>
                <w:noProof/>
                <w:webHidden/>
              </w:rPr>
              <w:instrText xml:space="preserve"> PAGEREF _Toc139261441 \h </w:instrText>
            </w:r>
            <w:r w:rsidR="00C4511B">
              <w:rPr>
                <w:noProof/>
                <w:webHidden/>
              </w:rPr>
            </w:r>
            <w:r w:rsidR="00C4511B">
              <w:rPr>
                <w:noProof/>
                <w:webHidden/>
              </w:rPr>
              <w:fldChar w:fldCharType="separate"/>
            </w:r>
            <w:r w:rsidR="003179E0">
              <w:rPr>
                <w:noProof/>
                <w:webHidden/>
              </w:rPr>
              <w:t>12</w:t>
            </w:r>
            <w:r w:rsidR="00C4511B">
              <w:rPr>
                <w:noProof/>
                <w:webHidden/>
              </w:rPr>
              <w:fldChar w:fldCharType="end"/>
            </w:r>
          </w:hyperlink>
        </w:p>
        <w:p w14:paraId="13E96B6D" w14:textId="781563DE" w:rsidR="00C4511B" w:rsidRDefault="00000000">
          <w:pPr>
            <w:pStyle w:val="TOC2"/>
            <w:rPr>
              <w:rFonts w:eastAsiaTheme="minorEastAsia"/>
              <w:noProof/>
              <w:kern w:val="2"/>
              <w:lang w:eastAsia="en-AU"/>
              <w14:ligatures w14:val="standardContextual"/>
            </w:rPr>
          </w:pPr>
          <w:hyperlink w:anchor="_Toc139261442" w:history="1">
            <w:r w:rsidR="00C4511B" w:rsidRPr="00835847">
              <w:rPr>
                <w:rStyle w:val="Hyperlink"/>
                <w:rFonts w:cstheme="minorHAnsi"/>
                <w:noProof/>
              </w:rPr>
              <w:t>2.1 Whole of Industry Statistics</w:t>
            </w:r>
            <w:r w:rsidR="00C4511B">
              <w:rPr>
                <w:noProof/>
                <w:webHidden/>
              </w:rPr>
              <w:tab/>
            </w:r>
            <w:r w:rsidR="00C4511B">
              <w:rPr>
                <w:noProof/>
                <w:webHidden/>
              </w:rPr>
              <w:fldChar w:fldCharType="begin"/>
            </w:r>
            <w:r w:rsidR="00C4511B">
              <w:rPr>
                <w:noProof/>
                <w:webHidden/>
              </w:rPr>
              <w:instrText xml:space="preserve"> PAGEREF _Toc139261442 \h </w:instrText>
            </w:r>
            <w:r w:rsidR="00C4511B">
              <w:rPr>
                <w:noProof/>
                <w:webHidden/>
              </w:rPr>
            </w:r>
            <w:r w:rsidR="00C4511B">
              <w:rPr>
                <w:noProof/>
                <w:webHidden/>
              </w:rPr>
              <w:fldChar w:fldCharType="separate"/>
            </w:r>
            <w:r w:rsidR="003179E0">
              <w:rPr>
                <w:noProof/>
                <w:webHidden/>
              </w:rPr>
              <w:t>12</w:t>
            </w:r>
            <w:r w:rsidR="00C4511B">
              <w:rPr>
                <w:noProof/>
                <w:webHidden/>
              </w:rPr>
              <w:fldChar w:fldCharType="end"/>
            </w:r>
          </w:hyperlink>
        </w:p>
        <w:p w14:paraId="7CCADEEE" w14:textId="45CE305C" w:rsidR="00C4511B" w:rsidRDefault="00000000">
          <w:pPr>
            <w:pStyle w:val="TOC3"/>
            <w:rPr>
              <w:rFonts w:eastAsiaTheme="minorEastAsia"/>
              <w:noProof/>
              <w:kern w:val="2"/>
              <w:lang w:eastAsia="en-AU"/>
              <w14:ligatures w14:val="standardContextual"/>
            </w:rPr>
          </w:pPr>
          <w:hyperlink w:anchor="_Toc139261443" w:history="1">
            <w:r w:rsidR="00C4511B" w:rsidRPr="00835847">
              <w:rPr>
                <w:rStyle w:val="Hyperlink"/>
                <w:rFonts w:cstheme="minorHAnsi"/>
                <w:noProof/>
              </w:rPr>
              <w:t>2.1.1 Fatalities in the Construction Industry</w:t>
            </w:r>
            <w:r w:rsidR="00C4511B">
              <w:rPr>
                <w:noProof/>
                <w:webHidden/>
              </w:rPr>
              <w:tab/>
            </w:r>
            <w:r w:rsidR="00C4511B">
              <w:rPr>
                <w:noProof/>
                <w:webHidden/>
              </w:rPr>
              <w:fldChar w:fldCharType="begin"/>
            </w:r>
            <w:r w:rsidR="00C4511B">
              <w:rPr>
                <w:noProof/>
                <w:webHidden/>
              </w:rPr>
              <w:instrText xml:space="preserve"> PAGEREF _Toc139261443 \h </w:instrText>
            </w:r>
            <w:r w:rsidR="00C4511B">
              <w:rPr>
                <w:noProof/>
                <w:webHidden/>
              </w:rPr>
            </w:r>
            <w:r w:rsidR="00C4511B">
              <w:rPr>
                <w:noProof/>
                <w:webHidden/>
              </w:rPr>
              <w:fldChar w:fldCharType="separate"/>
            </w:r>
            <w:r w:rsidR="003179E0">
              <w:rPr>
                <w:noProof/>
                <w:webHidden/>
              </w:rPr>
              <w:t>12</w:t>
            </w:r>
            <w:r w:rsidR="00C4511B">
              <w:rPr>
                <w:noProof/>
                <w:webHidden/>
              </w:rPr>
              <w:fldChar w:fldCharType="end"/>
            </w:r>
          </w:hyperlink>
        </w:p>
        <w:p w14:paraId="0DD7425B" w14:textId="3DA081AA" w:rsidR="00C4511B" w:rsidRDefault="00000000">
          <w:pPr>
            <w:pStyle w:val="TOC3"/>
            <w:rPr>
              <w:rFonts w:eastAsiaTheme="minorEastAsia"/>
              <w:noProof/>
              <w:kern w:val="2"/>
              <w:lang w:eastAsia="en-AU"/>
              <w14:ligatures w14:val="standardContextual"/>
            </w:rPr>
          </w:pPr>
          <w:hyperlink w:anchor="_Toc139261444" w:history="1">
            <w:r w:rsidR="00C4511B" w:rsidRPr="00835847">
              <w:rPr>
                <w:rStyle w:val="Hyperlink"/>
                <w:rFonts w:cstheme="minorHAnsi"/>
                <w:noProof/>
              </w:rPr>
              <w:t>2.1.2 Workers’ Compensation in the Construction Industry</w:t>
            </w:r>
            <w:r w:rsidR="00C4511B">
              <w:rPr>
                <w:noProof/>
                <w:webHidden/>
              </w:rPr>
              <w:tab/>
            </w:r>
            <w:r w:rsidR="00C4511B">
              <w:rPr>
                <w:noProof/>
                <w:webHidden/>
              </w:rPr>
              <w:fldChar w:fldCharType="begin"/>
            </w:r>
            <w:r w:rsidR="00C4511B">
              <w:rPr>
                <w:noProof/>
                <w:webHidden/>
              </w:rPr>
              <w:instrText xml:space="preserve"> PAGEREF _Toc139261444 \h </w:instrText>
            </w:r>
            <w:r w:rsidR="00C4511B">
              <w:rPr>
                <w:noProof/>
                <w:webHidden/>
              </w:rPr>
            </w:r>
            <w:r w:rsidR="00C4511B">
              <w:rPr>
                <w:noProof/>
                <w:webHidden/>
              </w:rPr>
              <w:fldChar w:fldCharType="separate"/>
            </w:r>
            <w:r w:rsidR="003179E0">
              <w:rPr>
                <w:noProof/>
                <w:webHidden/>
              </w:rPr>
              <w:t>13</w:t>
            </w:r>
            <w:r w:rsidR="00C4511B">
              <w:rPr>
                <w:noProof/>
                <w:webHidden/>
              </w:rPr>
              <w:fldChar w:fldCharType="end"/>
            </w:r>
          </w:hyperlink>
        </w:p>
        <w:p w14:paraId="16195422" w14:textId="4676B3DA" w:rsidR="00C4511B" w:rsidRDefault="00000000">
          <w:pPr>
            <w:pStyle w:val="TOC3"/>
            <w:rPr>
              <w:rFonts w:eastAsiaTheme="minorEastAsia"/>
              <w:noProof/>
              <w:kern w:val="2"/>
              <w:lang w:eastAsia="en-AU"/>
              <w14:ligatures w14:val="standardContextual"/>
            </w:rPr>
          </w:pPr>
          <w:hyperlink w:anchor="_Toc139261445" w:history="1">
            <w:r w:rsidR="00C4511B" w:rsidRPr="00835847">
              <w:rPr>
                <w:rStyle w:val="Hyperlink"/>
                <w:rFonts w:cstheme="minorHAnsi"/>
                <w:noProof/>
              </w:rPr>
              <w:t>2.1.3 Lost-time injury frequency rates in the construction industry</w:t>
            </w:r>
            <w:r w:rsidR="00C4511B">
              <w:rPr>
                <w:noProof/>
                <w:webHidden/>
              </w:rPr>
              <w:tab/>
            </w:r>
            <w:r w:rsidR="00C4511B">
              <w:rPr>
                <w:noProof/>
                <w:webHidden/>
              </w:rPr>
              <w:fldChar w:fldCharType="begin"/>
            </w:r>
            <w:r w:rsidR="00C4511B">
              <w:rPr>
                <w:noProof/>
                <w:webHidden/>
              </w:rPr>
              <w:instrText xml:space="preserve"> PAGEREF _Toc139261445 \h </w:instrText>
            </w:r>
            <w:r w:rsidR="00C4511B">
              <w:rPr>
                <w:noProof/>
                <w:webHidden/>
              </w:rPr>
            </w:r>
            <w:r w:rsidR="00C4511B">
              <w:rPr>
                <w:noProof/>
                <w:webHidden/>
              </w:rPr>
              <w:fldChar w:fldCharType="separate"/>
            </w:r>
            <w:r w:rsidR="003179E0">
              <w:rPr>
                <w:noProof/>
                <w:webHidden/>
              </w:rPr>
              <w:t>15</w:t>
            </w:r>
            <w:r w:rsidR="00C4511B">
              <w:rPr>
                <w:noProof/>
                <w:webHidden/>
              </w:rPr>
              <w:fldChar w:fldCharType="end"/>
            </w:r>
          </w:hyperlink>
        </w:p>
        <w:p w14:paraId="64BD633B" w14:textId="40EB0D35" w:rsidR="00C4511B" w:rsidRDefault="00000000">
          <w:pPr>
            <w:pStyle w:val="TOC2"/>
            <w:rPr>
              <w:rFonts w:eastAsiaTheme="minorEastAsia"/>
              <w:noProof/>
              <w:kern w:val="2"/>
              <w:lang w:eastAsia="en-AU"/>
              <w14:ligatures w14:val="standardContextual"/>
            </w:rPr>
          </w:pPr>
          <w:hyperlink w:anchor="_Toc139261446" w:history="1">
            <w:r w:rsidR="00C4511B" w:rsidRPr="00835847">
              <w:rPr>
                <w:rStyle w:val="Hyperlink"/>
                <w:rFonts w:cstheme="minorHAnsi"/>
                <w:noProof/>
              </w:rPr>
              <w:t>2.2 Scheme Statistics</w:t>
            </w:r>
            <w:r w:rsidR="00C4511B">
              <w:rPr>
                <w:noProof/>
                <w:webHidden/>
              </w:rPr>
              <w:tab/>
            </w:r>
            <w:r w:rsidR="00C4511B">
              <w:rPr>
                <w:noProof/>
                <w:webHidden/>
              </w:rPr>
              <w:fldChar w:fldCharType="begin"/>
            </w:r>
            <w:r w:rsidR="00C4511B">
              <w:rPr>
                <w:noProof/>
                <w:webHidden/>
              </w:rPr>
              <w:instrText xml:space="preserve"> PAGEREF _Toc139261446 \h </w:instrText>
            </w:r>
            <w:r w:rsidR="00C4511B">
              <w:rPr>
                <w:noProof/>
                <w:webHidden/>
              </w:rPr>
            </w:r>
            <w:r w:rsidR="00C4511B">
              <w:rPr>
                <w:noProof/>
                <w:webHidden/>
              </w:rPr>
              <w:fldChar w:fldCharType="separate"/>
            </w:r>
            <w:r w:rsidR="003179E0">
              <w:rPr>
                <w:noProof/>
                <w:webHidden/>
              </w:rPr>
              <w:t>15</w:t>
            </w:r>
            <w:r w:rsidR="00C4511B">
              <w:rPr>
                <w:noProof/>
                <w:webHidden/>
              </w:rPr>
              <w:fldChar w:fldCharType="end"/>
            </w:r>
          </w:hyperlink>
        </w:p>
        <w:p w14:paraId="5094C831" w14:textId="39AA5821" w:rsidR="00C4511B" w:rsidRDefault="00000000">
          <w:pPr>
            <w:pStyle w:val="TOC3"/>
            <w:rPr>
              <w:rFonts w:eastAsiaTheme="minorEastAsia"/>
              <w:noProof/>
              <w:kern w:val="2"/>
              <w:lang w:eastAsia="en-AU"/>
              <w14:ligatures w14:val="standardContextual"/>
            </w:rPr>
          </w:pPr>
          <w:hyperlink w:anchor="_Toc139261447" w:history="1">
            <w:r w:rsidR="00C4511B" w:rsidRPr="00835847">
              <w:rPr>
                <w:rStyle w:val="Hyperlink"/>
                <w:rFonts w:cstheme="minorHAnsi"/>
                <w:noProof/>
              </w:rPr>
              <w:t>2.2.1 Scheme operations</w:t>
            </w:r>
            <w:r w:rsidR="00C4511B">
              <w:rPr>
                <w:noProof/>
                <w:webHidden/>
              </w:rPr>
              <w:tab/>
            </w:r>
            <w:r w:rsidR="00C4511B">
              <w:rPr>
                <w:noProof/>
                <w:webHidden/>
              </w:rPr>
              <w:fldChar w:fldCharType="begin"/>
            </w:r>
            <w:r w:rsidR="00C4511B">
              <w:rPr>
                <w:noProof/>
                <w:webHidden/>
              </w:rPr>
              <w:instrText xml:space="preserve"> PAGEREF _Toc139261447 \h </w:instrText>
            </w:r>
            <w:r w:rsidR="00C4511B">
              <w:rPr>
                <w:noProof/>
                <w:webHidden/>
              </w:rPr>
            </w:r>
            <w:r w:rsidR="00C4511B">
              <w:rPr>
                <w:noProof/>
                <w:webHidden/>
              </w:rPr>
              <w:fldChar w:fldCharType="separate"/>
            </w:r>
            <w:r w:rsidR="003179E0">
              <w:rPr>
                <w:noProof/>
                <w:webHidden/>
              </w:rPr>
              <w:t>15</w:t>
            </w:r>
            <w:r w:rsidR="00C4511B">
              <w:rPr>
                <w:noProof/>
                <w:webHidden/>
              </w:rPr>
              <w:fldChar w:fldCharType="end"/>
            </w:r>
          </w:hyperlink>
        </w:p>
        <w:p w14:paraId="76D0E001" w14:textId="42D637B8" w:rsidR="00C4511B" w:rsidRDefault="00000000">
          <w:pPr>
            <w:pStyle w:val="TOC3"/>
            <w:rPr>
              <w:rFonts w:eastAsiaTheme="minorEastAsia"/>
              <w:noProof/>
              <w:kern w:val="2"/>
              <w:lang w:eastAsia="en-AU"/>
              <w14:ligatures w14:val="standardContextual"/>
            </w:rPr>
          </w:pPr>
          <w:hyperlink w:anchor="_Toc139261448" w:history="1">
            <w:r w:rsidR="00C4511B" w:rsidRPr="00835847">
              <w:rPr>
                <w:rStyle w:val="Hyperlink"/>
                <w:rFonts w:cstheme="minorHAnsi"/>
                <w:noProof/>
              </w:rPr>
              <w:t>2.2.2 Accredited Entities – Years Holding Accreditation</w:t>
            </w:r>
            <w:r w:rsidR="00C4511B">
              <w:rPr>
                <w:noProof/>
                <w:webHidden/>
              </w:rPr>
              <w:tab/>
            </w:r>
            <w:r w:rsidR="00C4511B">
              <w:rPr>
                <w:noProof/>
                <w:webHidden/>
              </w:rPr>
              <w:fldChar w:fldCharType="begin"/>
            </w:r>
            <w:r w:rsidR="00C4511B">
              <w:rPr>
                <w:noProof/>
                <w:webHidden/>
              </w:rPr>
              <w:instrText xml:space="preserve"> PAGEREF _Toc139261448 \h </w:instrText>
            </w:r>
            <w:r w:rsidR="00C4511B">
              <w:rPr>
                <w:noProof/>
                <w:webHidden/>
              </w:rPr>
            </w:r>
            <w:r w:rsidR="00C4511B">
              <w:rPr>
                <w:noProof/>
                <w:webHidden/>
              </w:rPr>
              <w:fldChar w:fldCharType="separate"/>
            </w:r>
            <w:r w:rsidR="003179E0">
              <w:rPr>
                <w:noProof/>
                <w:webHidden/>
              </w:rPr>
              <w:t>16</w:t>
            </w:r>
            <w:r w:rsidR="00C4511B">
              <w:rPr>
                <w:noProof/>
                <w:webHidden/>
              </w:rPr>
              <w:fldChar w:fldCharType="end"/>
            </w:r>
          </w:hyperlink>
        </w:p>
        <w:p w14:paraId="462E8F42" w14:textId="2217DCD8" w:rsidR="00C4511B" w:rsidRDefault="00000000">
          <w:pPr>
            <w:pStyle w:val="TOC3"/>
            <w:rPr>
              <w:rFonts w:eastAsiaTheme="minorEastAsia"/>
              <w:noProof/>
              <w:kern w:val="2"/>
              <w:lang w:eastAsia="en-AU"/>
              <w14:ligatures w14:val="standardContextual"/>
            </w:rPr>
          </w:pPr>
          <w:hyperlink w:anchor="_Toc139261449" w:history="1">
            <w:r w:rsidR="00C4511B" w:rsidRPr="00835847">
              <w:rPr>
                <w:rStyle w:val="Hyperlink"/>
                <w:rFonts w:cstheme="minorHAnsi"/>
                <w:noProof/>
              </w:rPr>
              <w:t>2.2.3 Scheme Lost Time Injury Frequency Rates 2012 - 2022</w:t>
            </w:r>
            <w:r w:rsidR="00C4511B">
              <w:rPr>
                <w:noProof/>
                <w:webHidden/>
              </w:rPr>
              <w:tab/>
            </w:r>
            <w:r w:rsidR="00C4511B">
              <w:rPr>
                <w:noProof/>
                <w:webHidden/>
              </w:rPr>
              <w:fldChar w:fldCharType="begin"/>
            </w:r>
            <w:r w:rsidR="00C4511B">
              <w:rPr>
                <w:noProof/>
                <w:webHidden/>
              </w:rPr>
              <w:instrText xml:space="preserve"> PAGEREF _Toc139261449 \h </w:instrText>
            </w:r>
            <w:r w:rsidR="00C4511B">
              <w:rPr>
                <w:noProof/>
                <w:webHidden/>
              </w:rPr>
            </w:r>
            <w:r w:rsidR="00C4511B">
              <w:rPr>
                <w:noProof/>
                <w:webHidden/>
              </w:rPr>
              <w:fldChar w:fldCharType="separate"/>
            </w:r>
            <w:r w:rsidR="003179E0">
              <w:rPr>
                <w:noProof/>
                <w:webHidden/>
              </w:rPr>
              <w:t>16</w:t>
            </w:r>
            <w:r w:rsidR="00C4511B">
              <w:rPr>
                <w:noProof/>
                <w:webHidden/>
              </w:rPr>
              <w:fldChar w:fldCharType="end"/>
            </w:r>
          </w:hyperlink>
        </w:p>
        <w:p w14:paraId="033AAB6D" w14:textId="33ECFFAE" w:rsidR="00C4511B" w:rsidRDefault="00000000">
          <w:pPr>
            <w:pStyle w:val="TOC3"/>
            <w:rPr>
              <w:rFonts w:eastAsiaTheme="minorEastAsia"/>
              <w:noProof/>
              <w:kern w:val="2"/>
              <w:lang w:eastAsia="en-AU"/>
              <w14:ligatures w14:val="standardContextual"/>
            </w:rPr>
          </w:pPr>
          <w:hyperlink w:anchor="_Toc139261450" w:history="1">
            <w:r w:rsidR="00C4511B" w:rsidRPr="00835847">
              <w:rPr>
                <w:rStyle w:val="Hyperlink"/>
                <w:rFonts w:cstheme="minorHAnsi"/>
                <w:noProof/>
              </w:rPr>
              <w:t>2.2.4 Lost Time Injury Frequency Rates – Performance Over Time</w:t>
            </w:r>
            <w:r w:rsidR="00C4511B">
              <w:rPr>
                <w:noProof/>
                <w:webHidden/>
              </w:rPr>
              <w:tab/>
            </w:r>
            <w:r w:rsidR="00C4511B">
              <w:rPr>
                <w:noProof/>
                <w:webHidden/>
              </w:rPr>
              <w:fldChar w:fldCharType="begin"/>
            </w:r>
            <w:r w:rsidR="00C4511B">
              <w:rPr>
                <w:noProof/>
                <w:webHidden/>
              </w:rPr>
              <w:instrText xml:space="preserve"> PAGEREF _Toc139261450 \h </w:instrText>
            </w:r>
            <w:r w:rsidR="00C4511B">
              <w:rPr>
                <w:noProof/>
                <w:webHidden/>
              </w:rPr>
            </w:r>
            <w:r w:rsidR="00C4511B">
              <w:rPr>
                <w:noProof/>
                <w:webHidden/>
              </w:rPr>
              <w:fldChar w:fldCharType="separate"/>
            </w:r>
            <w:r w:rsidR="003179E0">
              <w:rPr>
                <w:noProof/>
                <w:webHidden/>
              </w:rPr>
              <w:t>17</w:t>
            </w:r>
            <w:r w:rsidR="00C4511B">
              <w:rPr>
                <w:noProof/>
                <w:webHidden/>
              </w:rPr>
              <w:fldChar w:fldCharType="end"/>
            </w:r>
          </w:hyperlink>
        </w:p>
        <w:p w14:paraId="7CCF1CE8" w14:textId="39C721CA" w:rsidR="00C4511B" w:rsidRDefault="00000000">
          <w:pPr>
            <w:pStyle w:val="TOC3"/>
            <w:rPr>
              <w:rFonts w:eastAsiaTheme="minorEastAsia"/>
              <w:noProof/>
              <w:kern w:val="2"/>
              <w:lang w:eastAsia="en-AU"/>
              <w14:ligatures w14:val="standardContextual"/>
            </w:rPr>
          </w:pPr>
          <w:hyperlink w:anchor="_Toc139261451" w:history="1">
            <w:r w:rsidR="00C4511B" w:rsidRPr="00835847">
              <w:rPr>
                <w:rStyle w:val="Hyperlink"/>
                <w:rFonts w:cstheme="minorHAnsi"/>
                <w:noProof/>
              </w:rPr>
              <w:t>2.2.5 Workers’ Compensation Premium Rate – Performance Over Time</w:t>
            </w:r>
            <w:r w:rsidR="00C4511B">
              <w:rPr>
                <w:noProof/>
                <w:webHidden/>
              </w:rPr>
              <w:tab/>
            </w:r>
            <w:r w:rsidR="00C4511B">
              <w:rPr>
                <w:noProof/>
                <w:webHidden/>
              </w:rPr>
              <w:fldChar w:fldCharType="begin"/>
            </w:r>
            <w:r w:rsidR="00C4511B">
              <w:rPr>
                <w:noProof/>
                <w:webHidden/>
              </w:rPr>
              <w:instrText xml:space="preserve"> PAGEREF _Toc139261451 \h </w:instrText>
            </w:r>
            <w:r w:rsidR="00C4511B">
              <w:rPr>
                <w:noProof/>
                <w:webHidden/>
              </w:rPr>
            </w:r>
            <w:r w:rsidR="00C4511B">
              <w:rPr>
                <w:noProof/>
                <w:webHidden/>
              </w:rPr>
              <w:fldChar w:fldCharType="separate"/>
            </w:r>
            <w:r w:rsidR="003179E0">
              <w:rPr>
                <w:noProof/>
                <w:webHidden/>
              </w:rPr>
              <w:t>17</w:t>
            </w:r>
            <w:r w:rsidR="00C4511B">
              <w:rPr>
                <w:noProof/>
                <w:webHidden/>
              </w:rPr>
              <w:fldChar w:fldCharType="end"/>
            </w:r>
          </w:hyperlink>
        </w:p>
        <w:p w14:paraId="3094E5D9" w14:textId="5E4C3CAE" w:rsidR="00C4511B" w:rsidRDefault="00000000">
          <w:pPr>
            <w:pStyle w:val="TOC3"/>
            <w:rPr>
              <w:rFonts w:eastAsiaTheme="minorEastAsia"/>
              <w:noProof/>
              <w:kern w:val="2"/>
              <w:lang w:eastAsia="en-AU"/>
              <w14:ligatures w14:val="standardContextual"/>
            </w:rPr>
          </w:pPr>
          <w:hyperlink w:anchor="_Toc139261452" w:history="1">
            <w:r w:rsidR="00C4511B" w:rsidRPr="00835847">
              <w:rPr>
                <w:rStyle w:val="Hyperlink"/>
                <w:rFonts w:cstheme="minorHAnsi"/>
                <w:noProof/>
              </w:rPr>
              <w:t>2.2.6 Fatalities</w:t>
            </w:r>
            <w:r w:rsidR="00C4511B">
              <w:rPr>
                <w:noProof/>
                <w:webHidden/>
              </w:rPr>
              <w:tab/>
            </w:r>
            <w:r w:rsidR="00C4511B">
              <w:rPr>
                <w:noProof/>
                <w:webHidden/>
              </w:rPr>
              <w:fldChar w:fldCharType="begin"/>
            </w:r>
            <w:r w:rsidR="00C4511B">
              <w:rPr>
                <w:noProof/>
                <w:webHidden/>
              </w:rPr>
              <w:instrText xml:space="preserve"> PAGEREF _Toc139261452 \h </w:instrText>
            </w:r>
            <w:r w:rsidR="00C4511B">
              <w:rPr>
                <w:noProof/>
                <w:webHidden/>
              </w:rPr>
            </w:r>
            <w:r w:rsidR="00C4511B">
              <w:rPr>
                <w:noProof/>
                <w:webHidden/>
              </w:rPr>
              <w:fldChar w:fldCharType="separate"/>
            </w:r>
            <w:r w:rsidR="003179E0">
              <w:rPr>
                <w:noProof/>
                <w:webHidden/>
              </w:rPr>
              <w:t>17</w:t>
            </w:r>
            <w:r w:rsidR="00C4511B">
              <w:rPr>
                <w:noProof/>
                <w:webHidden/>
              </w:rPr>
              <w:fldChar w:fldCharType="end"/>
            </w:r>
          </w:hyperlink>
        </w:p>
        <w:p w14:paraId="5B428016" w14:textId="5A7020E1" w:rsidR="00C4511B" w:rsidRDefault="00000000">
          <w:pPr>
            <w:pStyle w:val="TOC1"/>
            <w:rPr>
              <w:rFonts w:eastAsiaTheme="minorEastAsia"/>
              <w:b w:val="0"/>
              <w:noProof/>
              <w:kern w:val="2"/>
              <w:lang w:eastAsia="en-AU"/>
              <w14:ligatures w14:val="standardContextual"/>
            </w:rPr>
          </w:pPr>
          <w:hyperlink w:anchor="_Toc139261453" w:history="1">
            <w:r w:rsidR="00C4511B" w:rsidRPr="00835847">
              <w:rPr>
                <w:rStyle w:val="Hyperlink"/>
                <w:rFonts w:cstheme="minorHAnsi"/>
                <w:noProof/>
              </w:rPr>
              <w:t>3. Issues for Consideration</w:t>
            </w:r>
            <w:r w:rsidR="00C4511B">
              <w:rPr>
                <w:noProof/>
                <w:webHidden/>
              </w:rPr>
              <w:tab/>
            </w:r>
            <w:r w:rsidR="00C4511B">
              <w:rPr>
                <w:noProof/>
                <w:webHidden/>
              </w:rPr>
              <w:fldChar w:fldCharType="begin"/>
            </w:r>
            <w:r w:rsidR="00C4511B">
              <w:rPr>
                <w:noProof/>
                <w:webHidden/>
              </w:rPr>
              <w:instrText xml:space="preserve"> PAGEREF _Toc139261453 \h </w:instrText>
            </w:r>
            <w:r w:rsidR="00C4511B">
              <w:rPr>
                <w:noProof/>
                <w:webHidden/>
              </w:rPr>
            </w:r>
            <w:r w:rsidR="00C4511B">
              <w:rPr>
                <w:noProof/>
                <w:webHidden/>
              </w:rPr>
              <w:fldChar w:fldCharType="separate"/>
            </w:r>
            <w:r w:rsidR="003179E0">
              <w:rPr>
                <w:noProof/>
                <w:webHidden/>
              </w:rPr>
              <w:t>18</w:t>
            </w:r>
            <w:r w:rsidR="00C4511B">
              <w:rPr>
                <w:noProof/>
                <w:webHidden/>
              </w:rPr>
              <w:fldChar w:fldCharType="end"/>
            </w:r>
          </w:hyperlink>
        </w:p>
        <w:p w14:paraId="2138A60F" w14:textId="0E7EE977" w:rsidR="00C4511B" w:rsidRDefault="00000000">
          <w:pPr>
            <w:pStyle w:val="TOC2"/>
            <w:rPr>
              <w:rFonts w:eastAsiaTheme="minorEastAsia"/>
              <w:noProof/>
              <w:kern w:val="2"/>
              <w:lang w:eastAsia="en-AU"/>
              <w14:ligatures w14:val="standardContextual"/>
            </w:rPr>
          </w:pPr>
          <w:hyperlink w:anchor="_Toc139261454" w:history="1">
            <w:r w:rsidR="00C4511B" w:rsidRPr="00835847">
              <w:rPr>
                <w:rStyle w:val="Hyperlink"/>
                <w:rFonts w:cstheme="minorHAnsi"/>
                <w:noProof/>
              </w:rPr>
              <w:t>3.1 Improving Work Health and Safety Practices</w:t>
            </w:r>
            <w:r w:rsidR="00C4511B">
              <w:rPr>
                <w:noProof/>
                <w:webHidden/>
              </w:rPr>
              <w:tab/>
            </w:r>
            <w:r w:rsidR="00C4511B">
              <w:rPr>
                <w:noProof/>
                <w:webHidden/>
              </w:rPr>
              <w:fldChar w:fldCharType="begin"/>
            </w:r>
            <w:r w:rsidR="00C4511B">
              <w:rPr>
                <w:noProof/>
                <w:webHidden/>
              </w:rPr>
              <w:instrText xml:space="preserve"> PAGEREF _Toc139261454 \h </w:instrText>
            </w:r>
            <w:r w:rsidR="00C4511B">
              <w:rPr>
                <w:noProof/>
                <w:webHidden/>
              </w:rPr>
            </w:r>
            <w:r w:rsidR="00C4511B">
              <w:rPr>
                <w:noProof/>
                <w:webHidden/>
              </w:rPr>
              <w:fldChar w:fldCharType="separate"/>
            </w:r>
            <w:r w:rsidR="003179E0">
              <w:rPr>
                <w:noProof/>
                <w:webHidden/>
              </w:rPr>
              <w:t>18</w:t>
            </w:r>
            <w:r w:rsidR="00C4511B">
              <w:rPr>
                <w:noProof/>
                <w:webHidden/>
              </w:rPr>
              <w:fldChar w:fldCharType="end"/>
            </w:r>
          </w:hyperlink>
        </w:p>
        <w:p w14:paraId="15474DAA" w14:textId="6B130827" w:rsidR="00C4511B" w:rsidRDefault="00000000">
          <w:pPr>
            <w:pStyle w:val="TOC2"/>
            <w:rPr>
              <w:rFonts w:eastAsiaTheme="minorEastAsia"/>
              <w:noProof/>
              <w:kern w:val="2"/>
              <w:lang w:eastAsia="en-AU"/>
              <w14:ligatures w14:val="standardContextual"/>
            </w:rPr>
          </w:pPr>
          <w:hyperlink w:anchor="_Toc139261455" w:history="1">
            <w:r w:rsidR="00C4511B" w:rsidRPr="00835847">
              <w:rPr>
                <w:rStyle w:val="Hyperlink"/>
                <w:rFonts w:cstheme="minorHAnsi"/>
                <w:noProof/>
              </w:rPr>
              <w:t>3.2 Powers and functions</w:t>
            </w:r>
            <w:r w:rsidR="00C4511B">
              <w:rPr>
                <w:noProof/>
                <w:webHidden/>
              </w:rPr>
              <w:tab/>
            </w:r>
            <w:r w:rsidR="00C4511B">
              <w:rPr>
                <w:noProof/>
                <w:webHidden/>
              </w:rPr>
              <w:fldChar w:fldCharType="begin"/>
            </w:r>
            <w:r w:rsidR="00C4511B">
              <w:rPr>
                <w:noProof/>
                <w:webHidden/>
              </w:rPr>
              <w:instrText xml:space="preserve"> PAGEREF _Toc139261455 \h </w:instrText>
            </w:r>
            <w:r w:rsidR="00C4511B">
              <w:rPr>
                <w:noProof/>
                <w:webHidden/>
              </w:rPr>
            </w:r>
            <w:r w:rsidR="00C4511B">
              <w:rPr>
                <w:noProof/>
                <w:webHidden/>
              </w:rPr>
              <w:fldChar w:fldCharType="separate"/>
            </w:r>
            <w:r w:rsidR="003179E0">
              <w:rPr>
                <w:noProof/>
                <w:webHidden/>
              </w:rPr>
              <w:t>19</w:t>
            </w:r>
            <w:r w:rsidR="00C4511B">
              <w:rPr>
                <w:noProof/>
                <w:webHidden/>
              </w:rPr>
              <w:fldChar w:fldCharType="end"/>
            </w:r>
          </w:hyperlink>
        </w:p>
        <w:p w14:paraId="6B7B3FC8" w14:textId="511C8E04" w:rsidR="00C4511B" w:rsidRDefault="00000000">
          <w:pPr>
            <w:pStyle w:val="TOC3"/>
            <w:rPr>
              <w:rFonts w:eastAsiaTheme="minorEastAsia"/>
              <w:noProof/>
              <w:kern w:val="2"/>
              <w:lang w:eastAsia="en-AU"/>
              <w14:ligatures w14:val="standardContextual"/>
            </w:rPr>
          </w:pPr>
          <w:hyperlink w:anchor="_Toc139261456" w:history="1">
            <w:r w:rsidR="00C4511B" w:rsidRPr="00835847">
              <w:rPr>
                <w:rStyle w:val="Hyperlink"/>
                <w:rFonts w:cstheme="minorHAnsi"/>
                <w:noProof/>
              </w:rPr>
              <w:t>3.2.1 Federal Safety Commissioner - Functions</w:t>
            </w:r>
            <w:r w:rsidR="00C4511B">
              <w:rPr>
                <w:noProof/>
                <w:webHidden/>
              </w:rPr>
              <w:tab/>
            </w:r>
            <w:r w:rsidR="00C4511B">
              <w:rPr>
                <w:noProof/>
                <w:webHidden/>
              </w:rPr>
              <w:fldChar w:fldCharType="begin"/>
            </w:r>
            <w:r w:rsidR="00C4511B">
              <w:rPr>
                <w:noProof/>
                <w:webHidden/>
              </w:rPr>
              <w:instrText xml:space="preserve"> PAGEREF _Toc139261456 \h </w:instrText>
            </w:r>
            <w:r w:rsidR="00C4511B">
              <w:rPr>
                <w:noProof/>
                <w:webHidden/>
              </w:rPr>
            </w:r>
            <w:r w:rsidR="00C4511B">
              <w:rPr>
                <w:noProof/>
                <w:webHidden/>
              </w:rPr>
              <w:fldChar w:fldCharType="separate"/>
            </w:r>
            <w:r w:rsidR="003179E0">
              <w:rPr>
                <w:noProof/>
                <w:webHidden/>
              </w:rPr>
              <w:t>19</w:t>
            </w:r>
            <w:r w:rsidR="00C4511B">
              <w:rPr>
                <w:noProof/>
                <w:webHidden/>
              </w:rPr>
              <w:fldChar w:fldCharType="end"/>
            </w:r>
          </w:hyperlink>
        </w:p>
        <w:p w14:paraId="724AD15E" w14:textId="28284790" w:rsidR="00C4511B" w:rsidRDefault="00000000">
          <w:pPr>
            <w:pStyle w:val="TOC3"/>
            <w:rPr>
              <w:rFonts w:eastAsiaTheme="minorEastAsia"/>
              <w:noProof/>
              <w:kern w:val="2"/>
              <w:lang w:eastAsia="en-AU"/>
              <w14:ligatures w14:val="standardContextual"/>
            </w:rPr>
          </w:pPr>
          <w:hyperlink w:anchor="_Toc139261457" w:history="1">
            <w:r w:rsidR="00C4511B" w:rsidRPr="00835847">
              <w:rPr>
                <w:rStyle w:val="Hyperlink"/>
                <w:rFonts w:cstheme="minorHAnsi"/>
                <w:noProof/>
              </w:rPr>
              <w:t>3.2.2 Federal Safety Commissioner - Powers</w:t>
            </w:r>
            <w:r w:rsidR="00C4511B">
              <w:rPr>
                <w:noProof/>
                <w:webHidden/>
              </w:rPr>
              <w:tab/>
            </w:r>
            <w:r w:rsidR="00C4511B">
              <w:rPr>
                <w:noProof/>
                <w:webHidden/>
              </w:rPr>
              <w:fldChar w:fldCharType="begin"/>
            </w:r>
            <w:r w:rsidR="00C4511B">
              <w:rPr>
                <w:noProof/>
                <w:webHidden/>
              </w:rPr>
              <w:instrText xml:space="preserve"> PAGEREF _Toc139261457 \h </w:instrText>
            </w:r>
            <w:r w:rsidR="00C4511B">
              <w:rPr>
                <w:noProof/>
                <w:webHidden/>
              </w:rPr>
            </w:r>
            <w:r w:rsidR="00C4511B">
              <w:rPr>
                <w:noProof/>
                <w:webHidden/>
              </w:rPr>
              <w:fldChar w:fldCharType="separate"/>
            </w:r>
            <w:r w:rsidR="003179E0">
              <w:rPr>
                <w:noProof/>
                <w:webHidden/>
              </w:rPr>
              <w:t>21</w:t>
            </w:r>
            <w:r w:rsidR="00C4511B">
              <w:rPr>
                <w:noProof/>
                <w:webHidden/>
              </w:rPr>
              <w:fldChar w:fldCharType="end"/>
            </w:r>
          </w:hyperlink>
        </w:p>
        <w:p w14:paraId="3B4EEAC6" w14:textId="4B05779D" w:rsidR="00C4511B" w:rsidRDefault="00000000">
          <w:pPr>
            <w:pStyle w:val="TOC3"/>
            <w:rPr>
              <w:rFonts w:eastAsiaTheme="minorEastAsia"/>
              <w:noProof/>
              <w:kern w:val="2"/>
              <w:lang w:eastAsia="en-AU"/>
              <w14:ligatures w14:val="standardContextual"/>
            </w:rPr>
          </w:pPr>
          <w:hyperlink w:anchor="_Toc139261458" w:history="1">
            <w:r w:rsidR="00C4511B" w:rsidRPr="00835847">
              <w:rPr>
                <w:rStyle w:val="Hyperlink"/>
                <w:rFonts w:cstheme="minorHAnsi"/>
                <w:noProof/>
              </w:rPr>
              <w:t>3.2.3 Federal Safety Officers – Powers</w:t>
            </w:r>
            <w:r w:rsidR="00C4511B">
              <w:rPr>
                <w:noProof/>
                <w:webHidden/>
              </w:rPr>
              <w:tab/>
            </w:r>
            <w:r w:rsidR="00C4511B">
              <w:rPr>
                <w:noProof/>
                <w:webHidden/>
              </w:rPr>
              <w:fldChar w:fldCharType="begin"/>
            </w:r>
            <w:r w:rsidR="00C4511B">
              <w:rPr>
                <w:noProof/>
                <w:webHidden/>
              </w:rPr>
              <w:instrText xml:space="preserve"> PAGEREF _Toc139261458 \h </w:instrText>
            </w:r>
            <w:r w:rsidR="00C4511B">
              <w:rPr>
                <w:noProof/>
                <w:webHidden/>
              </w:rPr>
            </w:r>
            <w:r w:rsidR="00C4511B">
              <w:rPr>
                <w:noProof/>
                <w:webHidden/>
              </w:rPr>
              <w:fldChar w:fldCharType="separate"/>
            </w:r>
            <w:r w:rsidR="003179E0">
              <w:rPr>
                <w:noProof/>
                <w:webHidden/>
              </w:rPr>
              <w:t>22</w:t>
            </w:r>
            <w:r w:rsidR="00C4511B">
              <w:rPr>
                <w:noProof/>
                <w:webHidden/>
              </w:rPr>
              <w:fldChar w:fldCharType="end"/>
            </w:r>
          </w:hyperlink>
        </w:p>
        <w:p w14:paraId="5D918FDC" w14:textId="17A2485A" w:rsidR="00C4511B" w:rsidRDefault="00000000">
          <w:pPr>
            <w:pStyle w:val="TOC2"/>
            <w:rPr>
              <w:rFonts w:eastAsiaTheme="minorEastAsia"/>
              <w:noProof/>
              <w:kern w:val="2"/>
              <w:lang w:eastAsia="en-AU"/>
              <w14:ligatures w14:val="standardContextual"/>
            </w:rPr>
          </w:pPr>
          <w:hyperlink w:anchor="_Toc139261459" w:history="1">
            <w:r w:rsidR="00C4511B" w:rsidRPr="00835847">
              <w:rPr>
                <w:rStyle w:val="Hyperlink"/>
                <w:rFonts w:cstheme="minorHAnsi"/>
                <w:noProof/>
              </w:rPr>
              <w:t>3.3 Scheme Requirements</w:t>
            </w:r>
            <w:r w:rsidR="00C4511B">
              <w:rPr>
                <w:noProof/>
                <w:webHidden/>
              </w:rPr>
              <w:tab/>
            </w:r>
            <w:r w:rsidR="00C4511B">
              <w:rPr>
                <w:noProof/>
                <w:webHidden/>
              </w:rPr>
              <w:fldChar w:fldCharType="begin"/>
            </w:r>
            <w:r w:rsidR="00C4511B">
              <w:rPr>
                <w:noProof/>
                <w:webHidden/>
              </w:rPr>
              <w:instrText xml:space="preserve"> PAGEREF _Toc139261459 \h </w:instrText>
            </w:r>
            <w:r w:rsidR="00C4511B">
              <w:rPr>
                <w:noProof/>
                <w:webHidden/>
              </w:rPr>
            </w:r>
            <w:r w:rsidR="00C4511B">
              <w:rPr>
                <w:noProof/>
                <w:webHidden/>
              </w:rPr>
              <w:fldChar w:fldCharType="separate"/>
            </w:r>
            <w:r w:rsidR="003179E0">
              <w:rPr>
                <w:noProof/>
                <w:webHidden/>
              </w:rPr>
              <w:t>23</w:t>
            </w:r>
            <w:r w:rsidR="00C4511B">
              <w:rPr>
                <w:noProof/>
                <w:webHidden/>
              </w:rPr>
              <w:fldChar w:fldCharType="end"/>
            </w:r>
          </w:hyperlink>
        </w:p>
        <w:p w14:paraId="3448D446" w14:textId="6BE4C62E" w:rsidR="00C4511B" w:rsidRDefault="00000000">
          <w:pPr>
            <w:pStyle w:val="TOC3"/>
            <w:rPr>
              <w:rFonts w:eastAsiaTheme="minorEastAsia"/>
              <w:noProof/>
              <w:kern w:val="2"/>
              <w:lang w:eastAsia="en-AU"/>
              <w14:ligatures w14:val="standardContextual"/>
            </w:rPr>
          </w:pPr>
          <w:hyperlink w:anchor="_Toc139261460" w:history="1">
            <w:r w:rsidR="00C4511B" w:rsidRPr="00835847">
              <w:rPr>
                <w:rStyle w:val="Hyperlink"/>
                <w:rFonts w:cstheme="minorHAnsi"/>
                <w:noProof/>
              </w:rPr>
              <w:t>3.3.1 Reporting Requirements</w:t>
            </w:r>
            <w:r w:rsidR="00C4511B">
              <w:rPr>
                <w:noProof/>
                <w:webHidden/>
              </w:rPr>
              <w:tab/>
            </w:r>
            <w:r w:rsidR="00C4511B">
              <w:rPr>
                <w:noProof/>
                <w:webHidden/>
              </w:rPr>
              <w:fldChar w:fldCharType="begin"/>
            </w:r>
            <w:r w:rsidR="00C4511B">
              <w:rPr>
                <w:noProof/>
                <w:webHidden/>
              </w:rPr>
              <w:instrText xml:space="preserve"> PAGEREF _Toc139261460 \h </w:instrText>
            </w:r>
            <w:r w:rsidR="00C4511B">
              <w:rPr>
                <w:noProof/>
                <w:webHidden/>
              </w:rPr>
            </w:r>
            <w:r w:rsidR="00C4511B">
              <w:rPr>
                <w:noProof/>
                <w:webHidden/>
              </w:rPr>
              <w:fldChar w:fldCharType="separate"/>
            </w:r>
            <w:r w:rsidR="003179E0">
              <w:rPr>
                <w:noProof/>
                <w:webHidden/>
              </w:rPr>
              <w:t>25</w:t>
            </w:r>
            <w:r w:rsidR="00C4511B">
              <w:rPr>
                <w:noProof/>
                <w:webHidden/>
              </w:rPr>
              <w:fldChar w:fldCharType="end"/>
            </w:r>
          </w:hyperlink>
        </w:p>
        <w:p w14:paraId="690443BD" w14:textId="3A9C5D83" w:rsidR="00C4511B" w:rsidRDefault="00000000">
          <w:pPr>
            <w:pStyle w:val="TOC2"/>
            <w:rPr>
              <w:rFonts w:eastAsiaTheme="minorEastAsia"/>
              <w:noProof/>
              <w:kern w:val="2"/>
              <w:lang w:eastAsia="en-AU"/>
              <w14:ligatures w14:val="standardContextual"/>
            </w:rPr>
          </w:pPr>
          <w:hyperlink w:anchor="_Toc139261461" w:history="1">
            <w:r w:rsidR="00C4511B" w:rsidRPr="00835847">
              <w:rPr>
                <w:rStyle w:val="Hyperlink"/>
                <w:rFonts w:cstheme="minorHAnsi"/>
                <w:noProof/>
              </w:rPr>
              <w:t>3.4 Current and Recently Acknowledged Hazards</w:t>
            </w:r>
            <w:r w:rsidR="00C4511B">
              <w:rPr>
                <w:noProof/>
                <w:webHidden/>
              </w:rPr>
              <w:tab/>
            </w:r>
            <w:r w:rsidR="00C4511B">
              <w:rPr>
                <w:noProof/>
                <w:webHidden/>
              </w:rPr>
              <w:fldChar w:fldCharType="begin"/>
            </w:r>
            <w:r w:rsidR="00C4511B">
              <w:rPr>
                <w:noProof/>
                <w:webHidden/>
              </w:rPr>
              <w:instrText xml:space="preserve"> PAGEREF _Toc139261461 \h </w:instrText>
            </w:r>
            <w:r w:rsidR="00C4511B">
              <w:rPr>
                <w:noProof/>
                <w:webHidden/>
              </w:rPr>
            </w:r>
            <w:r w:rsidR="00C4511B">
              <w:rPr>
                <w:noProof/>
                <w:webHidden/>
              </w:rPr>
              <w:fldChar w:fldCharType="separate"/>
            </w:r>
            <w:r w:rsidR="003179E0">
              <w:rPr>
                <w:noProof/>
                <w:webHidden/>
              </w:rPr>
              <w:t>27</w:t>
            </w:r>
            <w:r w:rsidR="00C4511B">
              <w:rPr>
                <w:noProof/>
                <w:webHidden/>
              </w:rPr>
              <w:fldChar w:fldCharType="end"/>
            </w:r>
          </w:hyperlink>
        </w:p>
        <w:p w14:paraId="63A7A058" w14:textId="21CD93CC" w:rsidR="00C4511B" w:rsidRDefault="00000000">
          <w:pPr>
            <w:pStyle w:val="TOC2"/>
            <w:rPr>
              <w:rFonts w:eastAsiaTheme="minorEastAsia"/>
              <w:noProof/>
              <w:kern w:val="2"/>
              <w:lang w:eastAsia="en-AU"/>
              <w14:ligatures w14:val="standardContextual"/>
            </w:rPr>
          </w:pPr>
          <w:hyperlink w:anchor="_Toc139261462" w:history="1">
            <w:r w:rsidR="00C4511B" w:rsidRPr="00835847">
              <w:rPr>
                <w:rStyle w:val="Hyperlink"/>
                <w:rFonts w:cstheme="minorHAnsi"/>
                <w:noProof/>
              </w:rPr>
              <w:t>3.5 Cost Recovery</w:t>
            </w:r>
            <w:r w:rsidR="00C4511B">
              <w:rPr>
                <w:noProof/>
                <w:webHidden/>
              </w:rPr>
              <w:tab/>
            </w:r>
            <w:r w:rsidR="00C4511B">
              <w:rPr>
                <w:noProof/>
                <w:webHidden/>
              </w:rPr>
              <w:fldChar w:fldCharType="begin"/>
            </w:r>
            <w:r w:rsidR="00C4511B">
              <w:rPr>
                <w:noProof/>
                <w:webHidden/>
              </w:rPr>
              <w:instrText xml:space="preserve"> PAGEREF _Toc139261462 \h </w:instrText>
            </w:r>
            <w:r w:rsidR="00C4511B">
              <w:rPr>
                <w:noProof/>
                <w:webHidden/>
              </w:rPr>
            </w:r>
            <w:r w:rsidR="00C4511B">
              <w:rPr>
                <w:noProof/>
                <w:webHidden/>
              </w:rPr>
              <w:fldChar w:fldCharType="separate"/>
            </w:r>
            <w:r w:rsidR="003179E0">
              <w:rPr>
                <w:noProof/>
                <w:webHidden/>
              </w:rPr>
              <w:t>29</w:t>
            </w:r>
            <w:r w:rsidR="00C4511B">
              <w:rPr>
                <w:noProof/>
                <w:webHidden/>
              </w:rPr>
              <w:fldChar w:fldCharType="end"/>
            </w:r>
          </w:hyperlink>
        </w:p>
        <w:p w14:paraId="30BF4562" w14:textId="65E00771" w:rsidR="00C4511B" w:rsidRDefault="00000000">
          <w:pPr>
            <w:pStyle w:val="TOC2"/>
            <w:rPr>
              <w:rFonts w:eastAsiaTheme="minorEastAsia"/>
              <w:noProof/>
              <w:kern w:val="2"/>
              <w:lang w:eastAsia="en-AU"/>
              <w14:ligatures w14:val="standardContextual"/>
            </w:rPr>
          </w:pPr>
          <w:hyperlink w:anchor="_Toc139261463" w:history="1">
            <w:r w:rsidR="00C4511B" w:rsidRPr="00835847">
              <w:rPr>
                <w:rStyle w:val="Hyperlink"/>
                <w:rFonts w:cstheme="minorHAnsi"/>
                <w:noProof/>
              </w:rPr>
              <w:t>3.6 Government Priorities</w:t>
            </w:r>
            <w:r w:rsidR="00C4511B">
              <w:rPr>
                <w:noProof/>
                <w:webHidden/>
              </w:rPr>
              <w:tab/>
            </w:r>
            <w:r w:rsidR="00C4511B">
              <w:rPr>
                <w:noProof/>
                <w:webHidden/>
              </w:rPr>
              <w:fldChar w:fldCharType="begin"/>
            </w:r>
            <w:r w:rsidR="00C4511B">
              <w:rPr>
                <w:noProof/>
                <w:webHidden/>
              </w:rPr>
              <w:instrText xml:space="preserve"> PAGEREF _Toc139261463 \h </w:instrText>
            </w:r>
            <w:r w:rsidR="00C4511B">
              <w:rPr>
                <w:noProof/>
                <w:webHidden/>
              </w:rPr>
            </w:r>
            <w:r w:rsidR="00C4511B">
              <w:rPr>
                <w:noProof/>
                <w:webHidden/>
              </w:rPr>
              <w:fldChar w:fldCharType="separate"/>
            </w:r>
            <w:r w:rsidR="003179E0">
              <w:rPr>
                <w:noProof/>
                <w:webHidden/>
              </w:rPr>
              <w:t>32</w:t>
            </w:r>
            <w:r w:rsidR="00C4511B">
              <w:rPr>
                <w:noProof/>
                <w:webHidden/>
              </w:rPr>
              <w:fldChar w:fldCharType="end"/>
            </w:r>
          </w:hyperlink>
        </w:p>
        <w:p w14:paraId="34D58C48" w14:textId="006A0DD5" w:rsidR="00C4511B" w:rsidRDefault="00000000">
          <w:pPr>
            <w:pStyle w:val="TOC3"/>
            <w:rPr>
              <w:rFonts w:eastAsiaTheme="minorEastAsia"/>
              <w:noProof/>
              <w:kern w:val="2"/>
              <w:lang w:eastAsia="en-AU"/>
              <w14:ligatures w14:val="standardContextual"/>
            </w:rPr>
          </w:pPr>
          <w:hyperlink w:anchor="_Toc139261464" w:history="1">
            <w:r w:rsidR="00C4511B" w:rsidRPr="00835847">
              <w:rPr>
                <w:rStyle w:val="Hyperlink"/>
                <w:rFonts w:cstheme="minorHAnsi"/>
                <w:noProof/>
              </w:rPr>
              <w:t>3.6.1 Buy Australian Plan</w:t>
            </w:r>
            <w:r w:rsidR="00C4511B">
              <w:rPr>
                <w:noProof/>
                <w:webHidden/>
              </w:rPr>
              <w:tab/>
            </w:r>
            <w:r w:rsidR="00C4511B">
              <w:rPr>
                <w:noProof/>
                <w:webHidden/>
              </w:rPr>
              <w:fldChar w:fldCharType="begin"/>
            </w:r>
            <w:r w:rsidR="00C4511B">
              <w:rPr>
                <w:noProof/>
                <w:webHidden/>
              </w:rPr>
              <w:instrText xml:space="preserve"> PAGEREF _Toc139261464 \h </w:instrText>
            </w:r>
            <w:r w:rsidR="00C4511B">
              <w:rPr>
                <w:noProof/>
                <w:webHidden/>
              </w:rPr>
            </w:r>
            <w:r w:rsidR="00C4511B">
              <w:rPr>
                <w:noProof/>
                <w:webHidden/>
              </w:rPr>
              <w:fldChar w:fldCharType="separate"/>
            </w:r>
            <w:r w:rsidR="003179E0">
              <w:rPr>
                <w:noProof/>
                <w:webHidden/>
              </w:rPr>
              <w:t>32</w:t>
            </w:r>
            <w:r w:rsidR="00C4511B">
              <w:rPr>
                <w:noProof/>
                <w:webHidden/>
              </w:rPr>
              <w:fldChar w:fldCharType="end"/>
            </w:r>
          </w:hyperlink>
        </w:p>
        <w:p w14:paraId="7F736B29" w14:textId="6E0D0333" w:rsidR="00C4511B" w:rsidRDefault="00000000">
          <w:pPr>
            <w:pStyle w:val="TOC3"/>
            <w:rPr>
              <w:rFonts w:eastAsiaTheme="minorEastAsia"/>
              <w:noProof/>
              <w:kern w:val="2"/>
              <w:lang w:eastAsia="en-AU"/>
              <w14:ligatures w14:val="standardContextual"/>
            </w:rPr>
          </w:pPr>
          <w:hyperlink w:anchor="_Toc139261465" w:history="1">
            <w:r w:rsidR="00C4511B" w:rsidRPr="00835847">
              <w:rPr>
                <w:rStyle w:val="Hyperlink"/>
                <w:rFonts w:cstheme="minorHAnsi"/>
                <w:noProof/>
              </w:rPr>
              <w:t>3.6.2 Secure Australian Jobs Plan</w:t>
            </w:r>
            <w:r w:rsidR="00C4511B">
              <w:rPr>
                <w:noProof/>
                <w:webHidden/>
              </w:rPr>
              <w:tab/>
            </w:r>
            <w:r w:rsidR="00C4511B">
              <w:rPr>
                <w:noProof/>
                <w:webHidden/>
              </w:rPr>
              <w:fldChar w:fldCharType="begin"/>
            </w:r>
            <w:r w:rsidR="00C4511B">
              <w:rPr>
                <w:noProof/>
                <w:webHidden/>
              </w:rPr>
              <w:instrText xml:space="preserve"> PAGEREF _Toc139261465 \h </w:instrText>
            </w:r>
            <w:r w:rsidR="00C4511B">
              <w:rPr>
                <w:noProof/>
                <w:webHidden/>
              </w:rPr>
            </w:r>
            <w:r w:rsidR="00C4511B">
              <w:rPr>
                <w:noProof/>
                <w:webHidden/>
              </w:rPr>
              <w:fldChar w:fldCharType="separate"/>
            </w:r>
            <w:r w:rsidR="003179E0">
              <w:rPr>
                <w:noProof/>
                <w:webHidden/>
              </w:rPr>
              <w:t>32</w:t>
            </w:r>
            <w:r w:rsidR="00C4511B">
              <w:rPr>
                <w:noProof/>
                <w:webHidden/>
              </w:rPr>
              <w:fldChar w:fldCharType="end"/>
            </w:r>
          </w:hyperlink>
        </w:p>
        <w:p w14:paraId="09E30F44" w14:textId="41F04C5F" w:rsidR="00C4511B" w:rsidRDefault="00000000">
          <w:pPr>
            <w:pStyle w:val="TOC3"/>
            <w:rPr>
              <w:rFonts w:eastAsiaTheme="minorEastAsia"/>
              <w:noProof/>
              <w:kern w:val="2"/>
              <w:lang w:eastAsia="en-AU"/>
              <w14:ligatures w14:val="standardContextual"/>
            </w:rPr>
          </w:pPr>
          <w:hyperlink w:anchor="_Toc139261466" w:history="1">
            <w:r w:rsidR="00C4511B" w:rsidRPr="00835847">
              <w:rPr>
                <w:rStyle w:val="Hyperlink"/>
                <w:rFonts w:cstheme="minorHAnsi"/>
                <w:noProof/>
              </w:rPr>
              <w:t>3.6.3 Better Deal for Small Business</w:t>
            </w:r>
            <w:r w:rsidR="00C4511B">
              <w:rPr>
                <w:noProof/>
                <w:webHidden/>
              </w:rPr>
              <w:tab/>
            </w:r>
            <w:r w:rsidR="00C4511B">
              <w:rPr>
                <w:noProof/>
                <w:webHidden/>
              </w:rPr>
              <w:fldChar w:fldCharType="begin"/>
            </w:r>
            <w:r w:rsidR="00C4511B">
              <w:rPr>
                <w:noProof/>
                <w:webHidden/>
              </w:rPr>
              <w:instrText xml:space="preserve"> PAGEREF _Toc139261466 \h </w:instrText>
            </w:r>
            <w:r w:rsidR="00C4511B">
              <w:rPr>
                <w:noProof/>
                <w:webHidden/>
              </w:rPr>
            </w:r>
            <w:r w:rsidR="00C4511B">
              <w:rPr>
                <w:noProof/>
                <w:webHidden/>
              </w:rPr>
              <w:fldChar w:fldCharType="separate"/>
            </w:r>
            <w:r w:rsidR="003179E0">
              <w:rPr>
                <w:noProof/>
                <w:webHidden/>
              </w:rPr>
              <w:t>34</w:t>
            </w:r>
            <w:r w:rsidR="00C4511B">
              <w:rPr>
                <w:noProof/>
                <w:webHidden/>
              </w:rPr>
              <w:fldChar w:fldCharType="end"/>
            </w:r>
          </w:hyperlink>
        </w:p>
        <w:p w14:paraId="66CD517B" w14:textId="5A649F38" w:rsidR="00C4511B" w:rsidRDefault="00000000">
          <w:pPr>
            <w:pStyle w:val="TOC3"/>
            <w:rPr>
              <w:rFonts w:eastAsiaTheme="minorEastAsia"/>
              <w:noProof/>
              <w:kern w:val="2"/>
              <w:lang w:eastAsia="en-AU"/>
              <w14:ligatures w14:val="standardContextual"/>
            </w:rPr>
          </w:pPr>
          <w:hyperlink w:anchor="_Toc139261467" w:history="1">
            <w:r w:rsidR="00C4511B" w:rsidRPr="00835847">
              <w:rPr>
                <w:rStyle w:val="Hyperlink"/>
                <w:rFonts w:eastAsia="Calibri" w:cstheme="minorHAnsi"/>
                <w:noProof/>
              </w:rPr>
              <w:t>3.6.4 National Construction Industry Forum</w:t>
            </w:r>
            <w:r w:rsidR="00C4511B">
              <w:rPr>
                <w:noProof/>
                <w:webHidden/>
              </w:rPr>
              <w:tab/>
            </w:r>
            <w:r w:rsidR="00C4511B">
              <w:rPr>
                <w:noProof/>
                <w:webHidden/>
              </w:rPr>
              <w:fldChar w:fldCharType="begin"/>
            </w:r>
            <w:r w:rsidR="00C4511B">
              <w:rPr>
                <w:noProof/>
                <w:webHidden/>
              </w:rPr>
              <w:instrText xml:space="preserve"> PAGEREF _Toc139261467 \h </w:instrText>
            </w:r>
            <w:r w:rsidR="00C4511B">
              <w:rPr>
                <w:noProof/>
                <w:webHidden/>
              </w:rPr>
            </w:r>
            <w:r w:rsidR="00C4511B">
              <w:rPr>
                <w:noProof/>
                <w:webHidden/>
              </w:rPr>
              <w:fldChar w:fldCharType="separate"/>
            </w:r>
            <w:r w:rsidR="003179E0">
              <w:rPr>
                <w:noProof/>
                <w:webHidden/>
              </w:rPr>
              <w:t>34</w:t>
            </w:r>
            <w:r w:rsidR="00C4511B">
              <w:rPr>
                <w:noProof/>
                <w:webHidden/>
              </w:rPr>
              <w:fldChar w:fldCharType="end"/>
            </w:r>
          </w:hyperlink>
        </w:p>
        <w:p w14:paraId="6DBBDB36" w14:textId="004E6C9E" w:rsidR="00C4511B" w:rsidRDefault="00000000">
          <w:pPr>
            <w:pStyle w:val="TOC3"/>
            <w:rPr>
              <w:rFonts w:eastAsiaTheme="minorEastAsia"/>
              <w:noProof/>
              <w:kern w:val="2"/>
              <w:lang w:eastAsia="en-AU"/>
              <w14:ligatures w14:val="standardContextual"/>
            </w:rPr>
          </w:pPr>
          <w:hyperlink w:anchor="_Toc139261468" w:history="1">
            <w:r w:rsidR="00C4511B" w:rsidRPr="00835847">
              <w:rPr>
                <w:rStyle w:val="Hyperlink"/>
                <w:rFonts w:cstheme="minorHAnsi"/>
                <w:noProof/>
              </w:rPr>
              <w:t>3.6.5 Regulatory Stewardship</w:t>
            </w:r>
            <w:r w:rsidR="00C4511B">
              <w:rPr>
                <w:noProof/>
                <w:webHidden/>
              </w:rPr>
              <w:tab/>
            </w:r>
            <w:r w:rsidR="00C4511B">
              <w:rPr>
                <w:noProof/>
                <w:webHidden/>
              </w:rPr>
              <w:fldChar w:fldCharType="begin"/>
            </w:r>
            <w:r w:rsidR="00C4511B">
              <w:rPr>
                <w:noProof/>
                <w:webHidden/>
              </w:rPr>
              <w:instrText xml:space="preserve"> PAGEREF _Toc139261468 \h </w:instrText>
            </w:r>
            <w:r w:rsidR="00C4511B">
              <w:rPr>
                <w:noProof/>
                <w:webHidden/>
              </w:rPr>
            </w:r>
            <w:r w:rsidR="00C4511B">
              <w:rPr>
                <w:noProof/>
                <w:webHidden/>
              </w:rPr>
              <w:fldChar w:fldCharType="separate"/>
            </w:r>
            <w:r w:rsidR="003179E0">
              <w:rPr>
                <w:noProof/>
                <w:webHidden/>
              </w:rPr>
              <w:t>35</w:t>
            </w:r>
            <w:r w:rsidR="00C4511B">
              <w:rPr>
                <w:noProof/>
                <w:webHidden/>
              </w:rPr>
              <w:fldChar w:fldCharType="end"/>
            </w:r>
          </w:hyperlink>
        </w:p>
        <w:p w14:paraId="5AD5864D" w14:textId="1211504A" w:rsidR="00C4511B" w:rsidRDefault="00000000">
          <w:pPr>
            <w:pStyle w:val="TOC2"/>
            <w:rPr>
              <w:rFonts w:eastAsiaTheme="minorEastAsia"/>
              <w:noProof/>
              <w:kern w:val="2"/>
              <w:lang w:eastAsia="en-AU"/>
              <w14:ligatures w14:val="standardContextual"/>
            </w:rPr>
          </w:pPr>
          <w:hyperlink w:anchor="_Toc139261469" w:history="1">
            <w:r w:rsidR="00C4511B" w:rsidRPr="00835847">
              <w:rPr>
                <w:rStyle w:val="Hyperlink"/>
                <w:rFonts w:cstheme="minorHAnsi"/>
                <w:noProof/>
              </w:rPr>
              <w:t>3.7 Expansion</w:t>
            </w:r>
            <w:r w:rsidR="00C4511B">
              <w:rPr>
                <w:noProof/>
                <w:webHidden/>
              </w:rPr>
              <w:tab/>
            </w:r>
            <w:r w:rsidR="00C4511B">
              <w:rPr>
                <w:noProof/>
                <w:webHidden/>
              </w:rPr>
              <w:fldChar w:fldCharType="begin"/>
            </w:r>
            <w:r w:rsidR="00C4511B">
              <w:rPr>
                <w:noProof/>
                <w:webHidden/>
              </w:rPr>
              <w:instrText xml:space="preserve"> PAGEREF _Toc139261469 \h </w:instrText>
            </w:r>
            <w:r w:rsidR="00C4511B">
              <w:rPr>
                <w:noProof/>
                <w:webHidden/>
              </w:rPr>
            </w:r>
            <w:r w:rsidR="00C4511B">
              <w:rPr>
                <w:noProof/>
                <w:webHidden/>
              </w:rPr>
              <w:fldChar w:fldCharType="separate"/>
            </w:r>
            <w:r w:rsidR="003179E0">
              <w:rPr>
                <w:noProof/>
                <w:webHidden/>
              </w:rPr>
              <w:t>35</w:t>
            </w:r>
            <w:r w:rsidR="00C4511B">
              <w:rPr>
                <w:noProof/>
                <w:webHidden/>
              </w:rPr>
              <w:fldChar w:fldCharType="end"/>
            </w:r>
          </w:hyperlink>
        </w:p>
        <w:p w14:paraId="4C8E102A" w14:textId="2237AF09" w:rsidR="00C4511B" w:rsidRDefault="00000000">
          <w:pPr>
            <w:pStyle w:val="TOC1"/>
            <w:rPr>
              <w:rFonts w:eastAsiaTheme="minorEastAsia"/>
              <w:b w:val="0"/>
              <w:noProof/>
              <w:kern w:val="2"/>
              <w:lang w:eastAsia="en-AU"/>
              <w14:ligatures w14:val="standardContextual"/>
            </w:rPr>
          </w:pPr>
          <w:hyperlink w:anchor="_Toc139261470" w:history="1">
            <w:r w:rsidR="00C4511B" w:rsidRPr="00835847">
              <w:rPr>
                <w:rStyle w:val="Hyperlink"/>
                <w:rFonts w:cstheme="minorHAnsi"/>
                <w:noProof/>
              </w:rPr>
              <w:t>4. List of Questions</w:t>
            </w:r>
            <w:r w:rsidR="00C4511B">
              <w:rPr>
                <w:noProof/>
                <w:webHidden/>
              </w:rPr>
              <w:tab/>
            </w:r>
            <w:r w:rsidR="00C4511B">
              <w:rPr>
                <w:noProof/>
                <w:webHidden/>
              </w:rPr>
              <w:fldChar w:fldCharType="begin"/>
            </w:r>
            <w:r w:rsidR="00C4511B">
              <w:rPr>
                <w:noProof/>
                <w:webHidden/>
              </w:rPr>
              <w:instrText xml:space="preserve"> PAGEREF _Toc139261470 \h </w:instrText>
            </w:r>
            <w:r w:rsidR="00C4511B">
              <w:rPr>
                <w:noProof/>
                <w:webHidden/>
              </w:rPr>
            </w:r>
            <w:r w:rsidR="00C4511B">
              <w:rPr>
                <w:noProof/>
                <w:webHidden/>
              </w:rPr>
              <w:fldChar w:fldCharType="separate"/>
            </w:r>
            <w:r w:rsidR="003179E0">
              <w:rPr>
                <w:noProof/>
                <w:webHidden/>
              </w:rPr>
              <w:t>37</w:t>
            </w:r>
            <w:r w:rsidR="00C4511B">
              <w:rPr>
                <w:noProof/>
                <w:webHidden/>
              </w:rPr>
              <w:fldChar w:fldCharType="end"/>
            </w:r>
          </w:hyperlink>
        </w:p>
        <w:p w14:paraId="010EED15" w14:textId="1369AC5C" w:rsidR="00C4511B" w:rsidRDefault="00000000">
          <w:pPr>
            <w:pStyle w:val="TOC1"/>
            <w:rPr>
              <w:rFonts w:eastAsiaTheme="minorEastAsia"/>
              <w:b w:val="0"/>
              <w:noProof/>
              <w:kern w:val="2"/>
              <w:lang w:eastAsia="en-AU"/>
              <w14:ligatures w14:val="standardContextual"/>
            </w:rPr>
          </w:pPr>
          <w:hyperlink w:anchor="_Toc139261471" w:history="1">
            <w:r w:rsidR="00C4511B" w:rsidRPr="00835847">
              <w:rPr>
                <w:rStyle w:val="Hyperlink"/>
                <w:rFonts w:cstheme="minorHAnsi"/>
                <w:noProof/>
              </w:rPr>
              <w:t>Appendix A  Federal Safety Commissioner Review Terms of Reference</w:t>
            </w:r>
            <w:r w:rsidR="00C4511B">
              <w:rPr>
                <w:noProof/>
                <w:webHidden/>
              </w:rPr>
              <w:tab/>
            </w:r>
            <w:r w:rsidR="00C4511B">
              <w:rPr>
                <w:noProof/>
                <w:webHidden/>
              </w:rPr>
              <w:fldChar w:fldCharType="begin"/>
            </w:r>
            <w:r w:rsidR="00C4511B">
              <w:rPr>
                <w:noProof/>
                <w:webHidden/>
              </w:rPr>
              <w:instrText xml:space="preserve"> PAGEREF _Toc139261471 \h </w:instrText>
            </w:r>
            <w:r w:rsidR="00C4511B">
              <w:rPr>
                <w:noProof/>
                <w:webHidden/>
              </w:rPr>
            </w:r>
            <w:r w:rsidR="00C4511B">
              <w:rPr>
                <w:noProof/>
                <w:webHidden/>
              </w:rPr>
              <w:fldChar w:fldCharType="separate"/>
            </w:r>
            <w:r w:rsidR="003179E0">
              <w:rPr>
                <w:noProof/>
                <w:webHidden/>
              </w:rPr>
              <w:t>41</w:t>
            </w:r>
            <w:r w:rsidR="00C4511B">
              <w:rPr>
                <w:noProof/>
                <w:webHidden/>
              </w:rPr>
              <w:fldChar w:fldCharType="end"/>
            </w:r>
          </w:hyperlink>
        </w:p>
        <w:p w14:paraId="34A9FF98" w14:textId="7838C094" w:rsidR="00C4511B" w:rsidRDefault="00000000">
          <w:pPr>
            <w:pStyle w:val="TOC1"/>
            <w:rPr>
              <w:rFonts w:eastAsiaTheme="minorEastAsia"/>
              <w:b w:val="0"/>
              <w:noProof/>
              <w:kern w:val="2"/>
              <w:lang w:eastAsia="en-AU"/>
              <w14:ligatures w14:val="standardContextual"/>
            </w:rPr>
          </w:pPr>
          <w:hyperlink w:anchor="_Toc139261472" w:history="1">
            <w:r w:rsidR="00C4511B" w:rsidRPr="00835847">
              <w:rPr>
                <w:rStyle w:val="Hyperlink"/>
                <w:rFonts w:cstheme="minorHAnsi"/>
                <w:noProof/>
              </w:rPr>
              <w:t>Appendix B  Key Terms</w:t>
            </w:r>
            <w:r w:rsidR="00C4511B">
              <w:rPr>
                <w:noProof/>
                <w:webHidden/>
              </w:rPr>
              <w:tab/>
            </w:r>
            <w:r w:rsidR="00C4511B">
              <w:rPr>
                <w:noProof/>
                <w:webHidden/>
              </w:rPr>
              <w:fldChar w:fldCharType="begin"/>
            </w:r>
            <w:r w:rsidR="00C4511B">
              <w:rPr>
                <w:noProof/>
                <w:webHidden/>
              </w:rPr>
              <w:instrText xml:space="preserve"> PAGEREF _Toc139261472 \h </w:instrText>
            </w:r>
            <w:r w:rsidR="00C4511B">
              <w:rPr>
                <w:noProof/>
                <w:webHidden/>
              </w:rPr>
            </w:r>
            <w:r w:rsidR="00C4511B">
              <w:rPr>
                <w:noProof/>
                <w:webHidden/>
              </w:rPr>
              <w:fldChar w:fldCharType="separate"/>
            </w:r>
            <w:r w:rsidR="003179E0">
              <w:rPr>
                <w:noProof/>
                <w:webHidden/>
              </w:rPr>
              <w:t>43</w:t>
            </w:r>
            <w:r w:rsidR="00C4511B">
              <w:rPr>
                <w:noProof/>
                <w:webHidden/>
              </w:rPr>
              <w:fldChar w:fldCharType="end"/>
            </w:r>
          </w:hyperlink>
        </w:p>
        <w:p w14:paraId="0154B1F7" w14:textId="78BF3033" w:rsidR="00A73C6B" w:rsidRPr="007A3506" w:rsidRDefault="00A73C6B" w:rsidP="0095636C">
          <w:pPr>
            <w:rPr>
              <w:rFonts w:cstheme="minorHAnsi"/>
            </w:rPr>
          </w:pPr>
          <w:r w:rsidRPr="007A3506">
            <w:rPr>
              <w:rFonts w:eastAsiaTheme="majorEastAsia" w:cstheme="minorHAnsi"/>
              <w:color w:val="343741"/>
              <w:sz w:val="32"/>
              <w:szCs w:val="32"/>
            </w:rPr>
            <w:fldChar w:fldCharType="end"/>
          </w:r>
        </w:p>
      </w:sdtContent>
    </w:sdt>
    <w:p w14:paraId="31A63E98" w14:textId="0A4B2EF2" w:rsidR="007855CC" w:rsidRPr="007A3506" w:rsidRDefault="007855CC" w:rsidP="0095636C">
      <w:pPr>
        <w:rPr>
          <w:rFonts w:cstheme="minorHAnsi"/>
        </w:rPr>
      </w:pPr>
      <w:r w:rsidRPr="007A3506">
        <w:rPr>
          <w:rFonts w:cstheme="minorHAnsi"/>
        </w:rPr>
        <w:br w:type="page"/>
      </w:r>
    </w:p>
    <w:p w14:paraId="51BC0F01" w14:textId="700E3362" w:rsidR="002B1CE5" w:rsidRPr="007A3506" w:rsidRDefault="0048656B" w:rsidP="000A453D">
      <w:pPr>
        <w:pStyle w:val="Heading1"/>
        <w:rPr>
          <w:rFonts w:asciiTheme="minorHAnsi" w:hAnsiTheme="minorHAnsi" w:cstheme="minorHAnsi"/>
        </w:rPr>
      </w:pPr>
      <w:bookmarkStart w:id="1" w:name="_Toc138428263"/>
      <w:bookmarkStart w:id="2" w:name="_Toc139261428"/>
      <w:bookmarkEnd w:id="0"/>
      <w:r w:rsidRPr="007A3506">
        <w:rPr>
          <w:rFonts w:asciiTheme="minorHAnsi" w:hAnsiTheme="minorHAnsi" w:cstheme="minorHAnsi"/>
          <w:noProof/>
        </w:rPr>
        <w:lastRenderedPageBreak/>
        <w:drawing>
          <wp:anchor distT="0" distB="0" distL="114300" distR="114300" simplePos="0" relativeHeight="251658245" behindDoc="1" locked="0" layoutInCell="1" allowOverlap="1" wp14:anchorId="33D83CE1" wp14:editId="3F21941D">
            <wp:simplePos x="0" y="0"/>
            <wp:positionH relativeFrom="column">
              <wp:posOffset>-911860</wp:posOffset>
            </wp:positionH>
            <wp:positionV relativeFrom="paragraph">
              <wp:posOffset>-891540</wp:posOffset>
            </wp:positionV>
            <wp:extent cx="7548244" cy="6843397"/>
            <wp:effectExtent l="0" t="0" r="0" b="0"/>
            <wp:wrapNone/>
            <wp:docPr id="1672821293" name="Picture 1672821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21293" name="Picture 4">
                      <a:extLst>
                        <a:ext uri="{C183D7F6-B498-43B3-948B-1728B52AA6E4}">
                          <adec:decorative xmlns:adec="http://schemas.microsoft.com/office/drawing/2017/decorative" val="1"/>
                        </a:ext>
                      </a:extLst>
                    </pic:cNvPr>
                    <pic:cNvPicPr/>
                  </pic:nvPicPr>
                  <pic:blipFill>
                    <a:blip r:embed="rId10">
                      <a:extLst>
                        <a:ext uri="{C183D7F6-B498-43B3-948B-1728B52AA6E4}">
                          <adec:decorative xmlns:arto="http://schemas.microsoft.com/office/word/2006/arto" xmlns:adec="http://schemas.microsoft.com/office/drawing/2017/decorative"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1"/>
                        </a:ext>
                      </a:extLst>
                    </a:blip>
                    <a:srcRect b="35900"/>
                    <a:stretch>
                      <a:fillRect/>
                    </a:stretch>
                  </pic:blipFill>
                  <pic:spPr>
                    <a:xfrm>
                      <a:off x="0" y="0"/>
                      <a:ext cx="7548244" cy="6843397"/>
                    </a:xfrm>
                    <a:prstGeom prst="rect">
                      <a:avLst/>
                    </a:prstGeom>
                  </pic:spPr>
                </pic:pic>
              </a:graphicData>
            </a:graphic>
            <wp14:sizeRelH relativeFrom="page">
              <wp14:pctWidth>0</wp14:pctWidth>
            </wp14:sizeRelH>
            <wp14:sizeRelV relativeFrom="page">
              <wp14:pctHeight>0</wp14:pctHeight>
            </wp14:sizeRelV>
          </wp:anchor>
        </w:drawing>
      </w:r>
      <w:bookmarkStart w:id="3" w:name="_Toc1959659375"/>
      <w:r w:rsidR="007D577B" w:rsidRPr="007A3506">
        <w:rPr>
          <w:rFonts w:asciiTheme="minorHAnsi" w:hAnsiTheme="minorHAnsi" w:cstheme="minorHAnsi"/>
        </w:rPr>
        <w:t>Foreword</w:t>
      </w:r>
      <w:bookmarkEnd w:id="1"/>
      <w:bookmarkEnd w:id="2"/>
      <w:bookmarkEnd w:id="3"/>
    </w:p>
    <w:p w14:paraId="614263D2" w14:textId="4F759279" w:rsidR="00F640C3" w:rsidRPr="007A3506" w:rsidRDefault="00F640C3" w:rsidP="00DC465E">
      <w:pPr>
        <w:rPr>
          <w:rFonts w:cstheme="minorHAnsi"/>
          <w:lang w:val="en-US"/>
        </w:rPr>
      </w:pPr>
      <w:r w:rsidRPr="007A3506">
        <w:rPr>
          <w:rFonts w:cstheme="minorHAnsi"/>
          <w:lang w:val="en-US"/>
        </w:rPr>
        <w:t>Building and construction work continues to be high risk, ranking in the top four industries for workplace fatalities and serious injuries</w:t>
      </w:r>
      <w:r w:rsidR="00626815" w:rsidRPr="007A3506">
        <w:rPr>
          <w:rFonts w:cstheme="minorHAnsi"/>
          <w:lang w:val="en-US"/>
        </w:rPr>
        <w:t>.</w:t>
      </w:r>
      <w:r w:rsidRPr="007A3506">
        <w:rPr>
          <w:rStyle w:val="FootnoteReference"/>
          <w:rFonts w:cstheme="minorHAnsi"/>
          <w:lang w:val="en-US"/>
        </w:rPr>
        <w:footnoteReference w:id="2"/>
      </w:r>
      <w:r w:rsidRPr="007A3506">
        <w:rPr>
          <w:rFonts w:cstheme="minorHAnsi"/>
          <w:lang w:val="en-US"/>
        </w:rPr>
        <w:t xml:space="preserve"> The Federal Safety Commissioner (FSC) is one of a range of </w:t>
      </w:r>
      <w:r w:rsidR="00523238" w:rsidRPr="007A3506">
        <w:rPr>
          <w:rFonts w:cstheme="minorHAnsi"/>
          <w:lang w:val="en-US"/>
        </w:rPr>
        <w:t>statutory roles,</w:t>
      </w:r>
      <w:r w:rsidR="00CB5A0D" w:rsidRPr="007A3506">
        <w:rPr>
          <w:rFonts w:cstheme="minorHAnsi"/>
          <w:lang w:val="en-US"/>
        </w:rPr>
        <w:t xml:space="preserve"> agencies and regulators</w:t>
      </w:r>
      <w:r w:rsidRPr="007A3506">
        <w:rPr>
          <w:rFonts w:cstheme="minorHAnsi"/>
          <w:lang w:val="en-US"/>
        </w:rPr>
        <w:t xml:space="preserve"> which play a role in ensuring building and construction workplaces are safe and workers get home safely.</w:t>
      </w:r>
      <w:r w:rsidR="004B7971" w:rsidRPr="007A3506">
        <w:rPr>
          <w:rFonts w:cstheme="minorHAnsi"/>
          <w:lang w:val="en-US"/>
        </w:rPr>
        <w:t xml:space="preserve"> </w:t>
      </w:r>
    </w:p>
    <w:p w14:paraId="50037551" w14:textId="477341DF" w:rsidR="00F640C3" w:rsidRPr="007A3506" w:rsidRDefault="00F640C3" w:rsidP="00DC465E">
      <w:pPr>
        <w:rPr>
          <w:rFonts w:cstheme="minorHAnsi"/>
        </w:rPr>
      </w:pPr>
      <w:r w:rsidRPr="007A3506">
        <w:rPr>
          <w:rFonts w:cstheme="minorHAnsi"/>
        </w:rPr>
        <w:t>I have been asked to review the FSC within the parameters of the Terms of Reference which can be found at</w:t>
      </w:r>
      <w:r w:rsidR="00883367" w:rsidRPr="007A3506">
        <w:rPr>
          <w:rFonts w:cstheme="minorHAnsi"/>
        </w:rPr>
        <w:t xml:space="preserve"> </w:t>
      </w:r>
      <w:hyperlink w:anchor="_Appendix_A_Federal" w:history="1">
        <w:r w:rsidR="00883367" w:rsidRPr="007A3506">
          <w:rPr>
            <w:rStyle w:val="Hyperlink"/>
            <w:rFonts w:cstheme="minorHAnsi"/>
          </w:rPr>
          <w:t>Appendix A</w:t>
        </w:r>
      </w:hyperlink>
      <w:r w:rsidR="00883367" w:rsidRPr="007A3506">
        <w:rPr>
          <w:rFonts w:cstheme="minorHAnsi"/>
        </w:rPr>
        <w:t xml:space="preserve"> </w:t>
      </w:r>
      <w:r w:rsidRPr="007A3506">
        <w:rPr>
          <w:rFonts w:cstheme="minorHAnsi"/>
        </w:rPr>
        <w:t>of this paper.</w:t>
      </w:r>
    </w:p>
    <w:p w14:paraId="55C7D1BE" w14:textId="564C14DD" w:rsidR="00F640C3" w:rsidRPr="007A3506" w:rsidRDefault="00F640C3" w:rsidP="00DC465E">
      <w:pPr>
        <w:rPr>
          <w:rFonts w:cstheme="minorHAnsi"/>
        </w:rPr>
      </w:pPr>
      <w:r w:rsidRPr="007A3506">
        <w:rPr>
          <w:rFonts w:cstheme="minorHAnsi"/>
        </w:rPr>
        <w:t xml:space="preserve">My approach is to examine the results of previous reviews of the FSC and analyse relevant data. I will also consider the </w:t>
      </w:r>
      <w:r w:rsidRPr="007A3506">
        <w:rPr>
          <w:rFonts w:cstheme="minorHAnsi"/>
          <w:i/>
          <w:iCs/>
        </w:rPr>
        <w:t xml:space="preserve">Final Report of the Royal Commission into the Building and Construction Industry </w:t>
      </w:r>
      <w:r w:rsidRPr="007A3506">
        <w:rPr>
          <w:rFonts w:cstheme="minorHAnsi"/>
        </w:rPr>
        <w:t>(Royal Commission), which initially recommended the creation of the FSC</w:t>
      </w:r>
      <w:r w:rsidR="00626815" w:rsidRPr="007A3506">
        <w:rPr>
          <w:rFonts w:cstheme="minorHAnsi"/>
        </w:rPr>
        <w:t>.</w:t>
      </w:r>
      <w:r w:rsidRPr="007A3506">
        <w:rPr>
          <w:rStyle w:val="FootnoteReference"/>
          <w:rFonts w:cstheme="minorHAnsi"/>
        </w:rPr>
        <w:footnoteReference w:id="3"/>
      </w:r>
      <w:r w:rsidRPr="007A3506">
        <w:rPr>
          <w:rFonts w:cstheme="minorHAnsi"/>
        </w:rPr>
        <w:t xml:space="preserve"> I will undertake extensive consultation so that I can draw on the experience of accredited businesses</w:t>
      </w:r>
      <w:r w:rsidR="000C1BA4" w:rsidRPr="007A3506">
        <w:rPr>
          <w:rFonts w:cstheme="minorHAnsi"/>
        </w:rPr>
        <w:t xml:space="preserve">, </w:t>
      </w:r>
      <w:r w:rsidRPr="007A3506">
        <w:rPr>
          <w:rFonts w:cstheme="minorHAnsi"/>
        </w:rPr>
        <w:t>workers, relevant industry and employer associations and organisations, unions, FSC staff, Federal Safety Of</w:t>
      </w:r>
      <w:r w:rsidR="00F84B2F" w:rsidRPr="007A3506">
        <w:rPr>
          <w:rFonts w:cstheme="minorHAnsi"/>
        </w:rPr>
        <w:t>f</w:t>
      </w:r>
      <w:r w:rsidRPr="007A3506">
        <w:rPr>
          <w:rFonts w:cstheme="minorHAnsi"/>
        </w:rPr>
        <w:t>icers (FSO)</w:t>
      </w:r>
      <w:r w:rsidRPr="007A3506">
        <w:rPr>
          <w:rStyle w:val="FootnoteReference"/>
          <w:rFonts w:cstheme="minorHAnsi"/>
        </w:rPr>
        <w:footnoteReference w:id="4"/>
      </w:r>
      <w:r w:rsidRPr="007A3506">
        <w:rPr>
          <w:rFonts w:cstheme="minorHAnsi"/>
        </w:rPr>
        <w:t xml:space="preserve"> and </w:t>
      </w:r>
      <w:r w:rsidR="002D5474" w:rsidRPr="007A3506">
        <w:rPr>
          <w:rFonts w:cstheme="minorHAnsi"/>
        </w:rPr>
        <w:t xml:space="preserve">Commonwealth </w:t>
      </w:r>
      <w:r w:rsidRPr="007A3506">
        <w:rPr>
          <w:rFonts w:cstheme="minorHAnsi"/>
        </w:rPr>
        <w:t xml:space="preserve">Government </w:t>
      </w:r>
      <w:r w:rsidR="002D5474" w:rsidRPr="007A3506">
        <w:rPr>
          <w:rFonts w:cstheme="minorHAnsi"/>
        </w:rPr>
        <w:t>entities</w:t>
      </w:r>
      <w:r w:rsidRPr="007A3506">
        <w:rPr>
          <w:rFonts w:cstheme="minorHAnsi"/>
        </w:rPr>
        <w:t xml:space="preserve"> which procure building and construction work.</w:t>
      </w:r>
    </w:p>
    <w:p w14:paraId="6AA3A669" w14:textId="3B3B0704" w:rsidR="00F640C3" w:rsidRPr="007A3506" w:rsidRDefault="00F640C3" w:rsidP="00DC465E">
      <w:pPr>
        <w:rPr>
          <w:rFonts w:cstheme="minorHAnsi"/>
        </w:rPr>
      </w:pPr>
      <w:r w:rsidRPr="007A3506">
        <w:rPr>
          <w:rFonts w:cstheme="minorHAnsi"/>
        </w:rPr>
        <w:t xml:space="preserve">This Discussion Paper poses questions that you may wish to answer in a written submission. I have chosen these questions following a period of preliminary consultation which took place in </w:t>
      </w:r>
      <w:r w:rsidR="00A16234" w:rsidRPr="007A3506">
        <w:rPr>
          <w:rFonts w:cstheme="minorHAnsi"/>
        </w:rPr>
        <w:br/>
      </w:r>
      <w:r w:rsidRPr="007A3506">
        <w:rPr>
          <w:rFonts w:cstheme="minorHAnsi"/>
        </w:rPr>
        <w:t>May and June 2023. This preliminary consultation allowed me to gauge views on the FSC and to identify common issues and concerns.</w:t>
      </w:r>
    </w:p>
    <w:p w14:paraId="1C056675" w14:textId="50A1558F" w:rsidR="00F640C3" w:rsidRPr="007A3506" w:rsidRDefault="00F640C3" w:rsidP="00DC465E">
      <w:pPr>
        <w:rPr>
          <w:rFonts w:cstheme="minorHAnsi"/>
        </w:rPr>
      </w:pPr>
      <w:r w:rsidRPr="007A3506">
        <w:rPr>
          <w:rFonts w:cstheme="minorHAnsi"/>
        </w:rPr>
        <w:t>Topics covered in the Discussion Paper are not exhaustive.</w:t>
      </w:r>
      <w:r w:rsidR="004B7971" w:rsidRPr="007A3506">
        <w:rPr>
          <w:rFonts w:cstheme="minorHAnsi"/>
        </w:rPr>
        <w:t xml:space="preserve"> </w:t>
      </w:r>
      <w:r w:rsidRPr="007A3506">
        <w:rPr>
          <w:rFonts w:cstheme="minorHAnsi"/>
        </w:rPr>
        <w:t>You are welcome to raise other issues in your submission. Equally, you are not required to answer all of the questions posed in the Discussion Paper; you may address only those which are of relevance to you. There are also other ways you can be involved in the review throughout the public consultation process.</w:t>
      </w:r>
      <w:r w:rsidR="001F5D55" w:rsidRPr="007A3506">
        <w:rPr>
          <w:rStyle w:val="FootnoteReference"/>
          <w:rFonts w:cstheme="minorHAnsi"/>
        </w:rPr>
        <w:footnoteReference w:id="5"/>
      </w:r>
      <w:r w:rsidRPr="007A3506">
        <w:rPr>
          <w:rFonts w:cstheme="minorHAnsi"/>
        </w:rPr>
        <w:t xml:space="preserve"> I am very keen to hear your views in whatever way you want to contribute them.</w:t>
      </w:r>
      <w:r w:rsidR="004B7971" w:rsidRPr="007A3506">
        <w:rPr>
          <w:rFonts w:cstheme="minorHAnsi"/>
        </w:rPr>
        <w:t xml:space="preserve"> </w:t>
      </w:r>
    </w:p>
    <w:p w14:paraId="0C0D0ABC" w14:textId="1A15C972" w:rsidR="00F640C3" w:rsidRPr="007A3506" w:rsidRDefault="00F640C3" w:rsidP="00DC465E">
      <w:pPr>
        <w:rPr>
          <w:rFonts w:cstheme="minorHAnsi"/>
        </w:rPr>
      </w:pPr>
      <w:r w:rsidRPr="007A3506">
        <w:rPr>
          <w:rFonts w:cstheme="minorHAnsi"/>
        </w:rPr>
        <w:t xml:space="preserve">In considering the merits of any calls for change, I will be guided by the Terms of Reference, the objectives of the </w:t>
      </w:r>
      <w:r w:rsidRPr="007A3506">
        <w:rPr>
          <w:rFonts w:cstheme="minorHAnsi"/>
          <w:i/>
          <w:iCs/>
        </w:rPr>
        <w:t>Federal Safety Commissioner Act 2022</w:t>
      </w:r>
      <w:r w:rsidRPr="007A3506">
        <w:rPr>
          <w:rFonts w:cstheme="minorHAnsi"/>
        </w:rPr>
        <w:t xml:space="preserve"> (Cth) (the Act) and whether proposals would optimise WHS outcomes in the building and construction industry (and other industries where relevant), strengthen safety culture across it and reflect the collective wisdom and knowledge of those who are operating businesses, working in and procuring work for the building and construction industry on a day to day basis.</w:t>
      </w:r>
      <w:r w:rsidR="004B7971" w:rsidRPr="007A3506">
        <w:rPr>
          <w:rFonts w:cstheme="minorHAnsi"/>
        </w:rPr>
        <w:t xml:space="preserve"> </w:t>
      </w:r>
    </w:p>
    <w:p w14:paraId="15BF65FC" w14:textId="426AD8B4" w:rsidR="00F640C3" w:rsidRPr="007A3506" w:rsidRDefault="00F640C3" w:rsidP="00DC465E">
      <w:pPr>
        <w:rPr>
          <w:rFonts w:cstheme="minorHAnsi"/>
        </w:rPr>
      </w:pPr>
      <w:r w:rsidRPr="007A3506">
        <w:rPr>
          <w:rFonts w:cstheme="minorHAnsi"/>
        </w:rPr>
        <w:t>I am very grateful to those who participated in preliminary conversations with me and to the Department of Employment and Workplace Relations (DEWR) staff for their work in assisting me with the production of this Discussion Paper.</w:t>
      </w:r>
    </w:p>
    <w:p w14:paraId="102414A7" w14:textId="77777777" w:rsidR="00F640C3" w:rsidRPr="007A3506" w:rsidRDefault="00F640C3" w:rsidP="00F640C3">
      <w:pPr>
        <w:spacing w:after="0"/>
        <w:rPr>
          <w:rFonts w:cstheme="minorHAnsi"/>
          <w:b/>
        </w:rPr>
      </w:pPr>
    </w:p>
    <w:p w14:paraId="6AB8391B" w14:textId="1F4CDC13" w:rsidR="00F640C3" w:rsidRPr="007A3506" w:rsidRDefault="00F640C3" w:rsidP="00F640C3">
      <w:pPr>
        <w:spacing w:after="0"/>
        <w:rPr>
          <w:rFonts w:cstheme="minorHAnsi"/>
          <w:b/>
          <w:i/>
          <w:iCs/>
        </w:rPr>
      </w:pPr>
      <w:r w:rsidRPr="007A3506">
        <w:rPr>
          <w:rFonts w:cstheme="minorHAnsi"/>
          <w:b/>
          <w:i/>
          <w:iCs/>
        </w:rPr>
        <w:t>Marie Boland</w:t>
      </w:r>
    </w:p>
    <w:p w14:paraId="079B1AE5" w14:textId="7E1448C8" w:rsidR="00F640C3" w:rsidRPr="007A3506" w:rsidRDefault="00F640C3" w:rsidP="00F640C3">
      <w:pPr>
        <w:pStyle w:val="Heading1"/>
        <w:rPr>
          <w:rFonts w:asciiTheme="minorHAnsi" w:hAnsiTheme="minorHAnsi" w:cstheme="minorHAnsi"/>
        </w:rPr>
      </w:pPr>
      <w:bookmarkStart w:id="4" w:name="_The_Review_Process"/>
      <w:bookmarkStart w:id="5" w:name="_Toc138428264"/>
      <w:bookmarkStart w:id="6" w:name="_Toc1237995759"/>
      <w:bookmarkStart w:id="7" w:name="_Toc139261429"/>
      <w:bookmarkEnd w:id="4"/>
      <w:r w:rsidRPr="007A3506">
        <w:rPr>
          <w:rFonts w:asciiTheme="minorHAnsi" w:hAnsiTheme="minorHAnsi" w:cstheme="minorHAnsi"/>
        </w:rPr>
        <w:lastRenderedPageBreak/>
        <w:t>The Review Process</w:t>
      </w:r>
      <w:bookmarkEnd w:id="5"/>
      <w:bookmarkEnd w:id="6"/>
      <w:bookmarkEnd w:id="7"/>
    </w:p>
    <w:p w14:paraId="267E913B" w14:textId="6C8043D6" w:rsidR="00F640C3" w:rsidRPr="007A3506" w:rsidRDefault="00F640C3" w:rsidP="00DC4EA0">
      <w:pPr>
        <w:rPr>
          <w:rFonts w:cstheme="minorHAnsi"/>
        </w:rPr>
      </w:pPr>
      <w:r w:rsidRPr="007A3506">
        <w:rPr>
          <w:rFonts w:cstheme="minorHAnsi"/>
        </w:rPr>
        <w:t>This Discussion Paper has been developed to inform a public consultation process which will take place between July and August 2023. Comments received during public consultation will be used to inform a written report which will, if supported by relevant evidence, make recommendations to improve the operations and functions of the FSC, and provide answers to questions raised in the Terms of Reference.</w:t>
      </w:r>
      <w:r w:rsidR="004B7971" w:rsidRPr="007A3506">
        <w:rPr>
          <w:rFonts w:cstheme="minorHAnsi"/>
        </w:rPr>
        <w:t xml:space="preserve"> </w:t>
      </w:r>
    </w:p>
    <w:p w14:paraId="017DCE32" w14:textId="7B2AEE89" w:rsidR="00F640C3" w:rsidRPr="007A3506" w:rsidRDefault="00F640C3" w:rsidP="00DC4EA0">
      <w:pPr>
        <w:rPr>
          <w:rFonts w:cstheme="minorHAnsi"/>
        </w:rPr>
      </w:pPr>
      <w:r w:rsidRPr="007A3506">
        <w:rPr>
          <w:rFonts w:cstheme="minorHAnsi"/>
        </w:rPr>
        <w:t xml:space="preserve">A consultation summary will be collated by 31 August 2023 identifying common themes and issues raised in submissions and conversations with the reviewer and it will be released publicly in September 2023. There will be an opportunity to respond to the consultation summary prior to the </w:t>
      </w:r>
      <w:r w:rsidR="00127253" w:rsidRPr="007A3506">
        <w:rPr>
          <w:rFonts w:cstheme="minorHAnsi"/>
        </w:rPr>
        <w:t>completion</w:t>
      </w:r>
      <w:r w:rsidRPr="007A3506">
        <w:rPr>
          <w:rFonts w:cstheme="minorHAnsi"/>
        </w:rPr>
        <w:t xml:space="preserve"> of the final report of the review.</w:t>
      </w:r>
    </w:p>
    <w:p w14:paraId="2EA0FBA2" w14:textId="4B7064FA" w:rsidR="00F640C3" w:rsidRPr="007A3506" w:rsidRDefault="00F640C3" w:rsidP="00DC4EA0">
      <w:pPr>
        <w:rPr>
          <w:rFonts w:cstheme="minorHAnsi"/>
        </w:rPr>
      </w:pPr>
      <w:r w:rsidRPr="007A3506">
        <w:rPr>
          <w:rFonts w:cstheme="minorHAnsi"/>
        </w:rPr>
        <w:t xml:space="preserve">The review will be </w:t>
      </w:r>
      <w:r w:rsidR="00127253" w:rsidRPr="007A3506">
        <w:rPr>
          <w:rFonts w:cstheme="minorHAnsi"/>
        </w:rPr>
        <w:t>finalised</w:t>
      </w:r>
      <w:r w:rsidRPr="007A3506">
        <w:rPr>
          <w:rFonts w:cstheme="minorHAnsi"/>
        </w:rPr>
        <w:t xml:space="preserve"> by the end of 2023 with a written report being provided to the Minister for Workplace Relations.</w:t>
      </w:r>
      <w:r w:rsidR="004B7971" w:rsidRPr="007A3506">
        <w:rPr>
          <w:rFonts w:cstheme="minorHAnsi"/>
        </w:rPr>
        <w:t xml:space="preserve"> </w:t>
      </w:r>
    </w:p>
    <w:p w14:paraId="5C7D827F" w14:textId="6F035D10" w:rsidR="00452074" w:rsidRPr="007A3506" w:rsidRDefault="00F640C3" w:rsidP="00DC4EA0">
      <w:pPr>
        <w:rPr>
          <w:rFonts w:cstheme="minorHAnsi"/>
        </w:rPr>
      </w:pPr>
      <w:r w:rsidRPr="007A3506">
        <w:rPr>
          <w:rFonts w:cstheme="minorHAnsi"/>
        </w:rPr>
        <w:t xml:space="preserve">A Review Advisory Panel has been established to provide input and guide the reviewer throughout the process. Membership of the panel includes equal representation of employer representatives, unions and </w:t>
      </w:r>
      <w:r w:rsidR="00895AE9" w:rsidRPr="007A3506">
        <w:rPr>
          <w:rFonts w:cstheme="minorHAnsi"/>
        </w:rPr>
        <w:t>Commonwealth</w:t>
      </w:r>
      <w:r w:rsidRPr="007A3506">
        <w:rPr>
          <w:rFonts w:cstheme="minorHAnsi"/>
        </w:rPr>
        <w:t xml:space="preserve"> Government </w:t>
      </w:r>
      <w:r w:rsidR="00FD3D3D" w:rsidRPr="007A3506">
        <w:rPr>
          <w:rFonts w:cstheme="minorHAnsi"/>
        </w:rPr>
        <w:t xml:space="preserve">representatives </w:t>
      </w:r>
      <w:r w:rsidRPr="007A3506">
        <w:rPr>
          <w:rFonts w:cstheme="minorHAnsi"/>
        </w:rPr>
        <w:t>including the FSC.</w:t>
      </w:r>
    </w:p>
    <w:p w14:paraId="2808FA51" w14:textId="77777777" w:rsidR="00DC4EA0" w:rsidRPr="007A3506" w:rsidRDefault="00DC4EA0" w:rsidP="00DC4EA0">
      <w:pPr>
        <w:rPr>
          <w:rFonts w:cstheme="minorHAnsi"/>
        </w:rPr>
      </w:pPr>
    </w:p>
    <w:p w14:paraId="2BD4C877" w14:textId="5BA1F395" w:rsidR="00F640C3" w:rsidRPr="007A3506" w:rsidRDefault="00F640C3" w:rsidP="003D5D22">
      <w:pPr>
        <w:pStyle w:val="Heading2"/>
        <w:rPr>
          <w:rFonts w:asciiTheme="minorHAnsi" w:hAnsiTheme="minorHAnsi" w:cstheme="minorHAnsi"/>
        </w:rPr>
      </w:pPr>
      <w:bookmarkStart w:id="8" w:name="_How_to_Contribute"/>
      <w:bookmarkStart w:id="9" w:name="_Toc138428265"/>
      <w:bookmarkStart w:id="10" w:name="_Toc1054063447"/>
      <w:bookmarkStart w:id="11" w:name="_Toc139261430"/>
      <w:bookmarkEnd w:id="8"/>
      <w:r w:rsidRPr="007A3506">
        <w:rPr>
          <w:rFonts w:asciiTheme="minorHAnsi" w:hAnsiTheme="minorHAnsi" w:cstheme="minorHAnsi"/>
        </w:rPr>
        <w:t xml:space="preserve">How to </w:t>
      </w:r>
      <w:r w:rsidR="00610D72" w:rsidRPr="007A3506">
        <w:rPr>
          <w:rFonts w:asciiTheme="minorHAnsi" w:hAnsiTheme="minorHAnsi" w:cstheme="minorHAnsi"/>
        </w:rPr>
        <w:t>C</w:t>
      </w:r>
      <w:r w:rsidRPr="007A3506">
        <w:rPr>
          <w:rFonts w:asciiTheme="minorHAnsi" w:hAnsiTheme="minorHAnsi" w:cstheme="minorHAnsi"/>
        </w:rPr>
        <w:t xml:space="preserve">ontribute </w:t>
      </w:r>
      <w:r w:rsidR="00610D72" w:rsidRPr="007A3506">
        <w:rPr>
          <w:rFonts w:asciiTheme="minorHAnsi" w:hAnsiTheme="minorHAnsi" w:cstheme="minorHAnsi"/>
        </w:rPr>
        <w:t>Y</w:t>
      </w:r>
      <w:r w:rsidRPr="007A3506">
        <w:rPr>
          <w:rFonts w:asciiTheme="minorHAnsi" w:hAnsiTheme="minorHAnsi" w:cstheme="minorHAnsi"/>
        </w:rPr>
        <w:t xml:space="preserve">our </w:t>
      </w:r>
      <w:r w:rsidR="00610D72" w:rsidRPr="007A3506">
        <w:rPr>
          <w:rFonts w:asciiTheme="minorHAnsi" w:hAnsiTheme="minorHAnsi" w:cstheme="minorHAnsi"/>
        </w:rPr>
        <w:t>V</w:t>
      </w:r>
      <w:r w:rsidRPr="007A3506">
        <w:rPr>
          <w:rFonts w:asciiTheme="minorHAnsi" w:hAnsiTheme="minorHAnsi" w:cstheme="minorHAnsi"/>
        </w:rPr>
        <w:t>iews</w:t>
      </w:r>
      <w:bookmarkEnd w:id="9"/>
      <w:bookmarkEnd w:id="10"/>
      <w:bookmarkEnd w:id="11"/>
    </w:p>
    <w:p w14:paraId="3A7E1B04" w14:textId="73F846B0" w:rsidR="00F640C3" w:rsidRPr="007A3506" w:rsidRDefault="00F640C3" w:rsidP="00DC4EA0">
      <w:pPr>
        <w:jc w:val="both"/>
        <w:rPr>
          <w:rFonts w:cstheme="minorHAnsi"/>
        </w:rPr>
      </w:pPr>
      <w:r w:rsidRPr="007A3506">
        <w:rPr>
          <w:rFonts w:cstheme="minorHAnsi"/>
        </w:rPr>
        <w:t xml:space="preserve">If you would like to submit a written submission, this Discussion Paper presents issues for your consideration which are within the Terms of Reference and scope of the review. </w:t>
      </w:r>
    </w:p>
    <w:p w14:paraId="623158F1" w14:textId="5833D4D2" w:rsidR="00343148" w:rsidRPr="007A3506" w:rsidRDefault="00F640C3" w:rsidP="00DC4EA0">
      <w:pPr>
        <w:rPr>
          <w:rFonts w:cstheme="minorHAnsi"/>
        </w:rPr>
      </w:pPr>
      <w:r w:rsidRPr="007A3506">
        <w:rPr>
          <w:rFonts w:cstheme="minorHAnsi"/>
        </w:rPr>
        <w:t xml:space="preserve">A complete list of the questions asked throughout the Discussion Paper </w:t>
      </w:r>
      <w:r w:rsidR="00BF7822" w:rsidRPr="007A3506">
        <w:rPr>
          <w:rFonts w:cstheme="minorHAnsi"/>
        </w:rPr>
        <w:t xml:space="preserve">is at </w:t>
      </w:r>
      <w:hyperlink w:anchor="_4._List_of" w:history="1">
        <w:r w:rsidR="003D5D22" w:rsidRPr="00AC4752">
          <w:rPr>
            <w:rStyle w:val="Hyperlink"/>
            <w:rFonts w:cstheme="minorHAnsi"/>
            <w:noProof/>
          </w:rPr>
          <w:drawing>
            <wp:anchor distT="0" distB="0" distL="114300" distR="114300" simplePos="0" relativeHeight="251658240" behindDoc="1" locked="1" layoutInCell="1" allowOverlap="1" wp14:anchorId="371A2095" wp14:editId="3BC92EFE">
              <wp:simplePos x="0" y="0"/>
              <wp:positionH relativeFrom="page">
                <wp:posOffset>-2540</wp:posOffset>
              </wp:positionH>
              <wp:positionV relativeFrom="page">
                <wp:posOffset>5080</wp:posOffset>
              </wp:positionV>
              <wp:extent cx="7548245" cy="684339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0"/>
                      <a:srcRect b="35900"/>
                      <a:stretch/>
                    </pic:blipFill>
                    <pic:spPr bwMode="auto">
                      <a:xfrm>
                        <a:off x="0" y="0"/>
                        <a:ext cx="7548245" cy="6843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7368" w:rsidRPr="00AC4752">
          <w:rPr>
            <w:rStyle w:val="Hyperlink"/>
            <w:rFonts w:cstheme="minorHAnsi"/>
          </w:rPr>
          <w:t xml:space="preserve">page </w:t>
        </w:r>
        <w:r w:rsidR="00546875" w:rsidRPr="00AC4752">
          <w:rPr>
            <w:rStyle w:val="Hyperlink"/>
            <w:rFonts w:cstheme="minorHAnsi"/>
          </w:rPr>
          <w:t>3</w:t>
        </w:r>
        <w:r w:rsidR="00F72371" w:rsidRPr="00AC4752">
          <w:rPr>
            <w:rStyle w:val="Hyperlink"/>
            <w:rFonts w:cstheme="minorHAnsi"/>
          </w:rPr>
          <w:t>7</w:t>
        </w:r>
      </w:hyperlink>
      <w:r w:rsidR="00343148" w:rsidRPr="00E412D6">
        <w:rPr>
          <w:rFonts w:cstheme="minorHAnsi"/>
        </w:rPr>
        <w:t>.</w:t>
      </w:r>
    </w:p>
    <w:p w14:paraId="337C2267" w14:textId="1AE0F607" w:rsidR="000A32D2" w:rsidRPr="007A3506" w:rsidRDefault="00F640C3" w:rsidP="000A32D2">
      <w:pPr>
        <w:rPr>
          <w:rFonts w:cstheme="minorHAnsi"/>
        </w:rPr>
      </w:pPr>
      <w:r w:rsidRPr="007A3506">
        <w:rPr>
          <w:rFonts w:cstheme="minorHAnsi"/>
        </w:rPr>
        <w:t xml:space="preserve">Written submissions addressing these questions </w:t>
      </w:r>
      <w:r w:rsidR="00585C63" w:rsidRPr="007A3506">
        <w:rPr>
          <w:rFonts w:cstheme="minorHAnsi"/>
        </w:rPr>
        <w:t>should be submitted to</w:t>
      </w:r>
      <w:r w:rsidR="00585C63" w:rsidRPr="007A3506" w:rsidDel="0092488A">
        <w:rPr>
          <w:rFonts w:cstheme="minorHAnsi"/>
        </w:rPr>
        <w:t xml:space="preserve"> </w:t>
      </w:r>
      <w:hyperlink r:id="rId11" w:history="1">
        <w:r w:rsidR="00485FD9" w:rsidRPr="007A3506">
          <w:rPr>
            <w:rStyle w:val="Hyperlink"/>
            <w:rFonts w:cstheme="minorHAnsi"/>
          </w:rPr>
          <w:t>WRSubmissions@dewr.gov.au</w:t>
        </w:r>
      </w:hyperlink>
      <w:r w:rsidR="00485FD9" w:rsidRPr="007A3506">
        <w:rPr>
          <w:rFonts w:cstheme="minorHAnsi"/>
        </w:rPr>
        <w:t xml:space="preserve">. </w:t>
      </w:r>
      <w:r w:rsidR="000A32D2" w:rsidRPr="007A3506">
        <w:rPr>
          <w:rFonts w:cstheme="minorHAnsi"/>
        </w:rPr>
        <w:t xml:space="preserve">A brief survey relevant to the review is also available on the </w:t>
      </w:r>
      <w:r w:rsidR="00BB2246" w:rsidRPr="007A3506">
        <w:rPr>
          <w:rFonts w:cstheme="minorHAnsi"/>
        </w:rPr>
        <w:br/>
      </w:r>
      <w:hyperlink r:id="rId12" w:history="1">
        <w:r w:rsidR="000A32D2" w:rsidRPr="007A3506">
          <w:rPr>
            <w:rStyle w:val="Hyperlink"/>
            <w:rFonts w:cstheme="minorHAnsi"/>
          </w:rPr>
          <w:t>Review webpage</w:t>
        </w:r>
      </w:hyperlink>
      <w:r w:rsidR="00BB2246" w:rsidRPr="007A3506">
        <w:rPr>
          <w:rFonts w:cstheme="minorHAnsi"/>
        </w:rPr>
        <w:t>,</w:t>
      </w:r>
      <w:r w:rsidR="000A32D2" w:rsidRPr="007A3506">
        <w:rPr>
          <w:rFonts w:cstheme="minorHAnsi"/>
        </w:rPr>
        <w:t xml:space="preserve"> if you </w:t>
      </w:r>
      <w:r w:rsidR="00485FD9" w:rsidRPr="007A3506">
        <w:rPr>
          <w:rFonts w:cstheme="minorHAnsi"/>
        </w:rPr>
        <w:t xml:space="preserve">wish </w:t>
      </w:r>
      <w:r w:rsidR="000A32D2" w:rsidRPr="007A3506">
        <w:rPr>
          <w:rFonts w:cstheme="minorHAnsi"/>
        </w:rPr>
        <w:t xml:space="preserve">to contribute your views in that format. </w:t>
      </w:r>
    </w:p>
    <w:p w14:paraId="0DE5854A" w14:textId="6F162772" w:rsidR="00F640C3" w:rsidRPr="007A3506" w:rsidRDefault="00F640C3" w:rsidP="00DC4EA0">
      <w:pPr>
        <w:rPr>
          <w:rFonts w:cstheme="minorHAnsi"/>
          <w:i/>
        </w:rPr>
      </w:pPr>
      <w:r w:rsidRPr="007A3506">
        <w:rPr>
          <w:rFonts w:cstheme="minorHAnsi"/>
          <w:i/>
        </w:rPr>
        <w:t xml:space="preserve">All submissions and comments must be provided by </w:t>
      </w:r>
      <w:r w:rsidR="00EE54AC" w:rsidRPr="007A3506">
        <w:rPr>
          <w:rFonts w:cstheme="minorHAnsi"/>
          <w:i/>
        </w:rPr>
        <w:t>31</w:t>
      </w:r>
      <w:r w:rsidRPr="007A3506">
        <w:rPr>
          <w:rFonts w:cstheme="minorHAnsi"/>
          <w:i/>
        </w:rPr>
        <w:t xml:space="preserve"> July 2023</w:t>
      </w:r>
      <w:r w:rsidRPr="007A3506">
        <w:rPr>
          <w:rFonts w:cstheme="minorHAnsi"/>
          <w:b/>
          <w:i/>
        </w:rPr>
        <w:t>.</w:t>
      </w:r>
      <w:r w:rsidRPr="007A3506">
        <w:rPr>
          <w:rFonts w:cstheme="minorHAnsi"/>
          <w:i/>
        </w:rPr>
        <w:t xml:space="preserve"> </w:t>
      </w:r>
    </w:p>
    <w:p w14:paraId="1329DE33" w14:textId="3740CFA8" w:rsidR="00F640C3" w:rsidRPr="007A3506" w:rsidRDefault="00F640C3" w:rsidP="00DC4EA0">
      <w:pPr>
        <w:rPr>
          <w:rFonts w:cstheme="minorHAnsi"/>
        </w:rPr>
      </w:pPr>
      <w:r w:rsidRPr="007A3506">
        <w:rPr>
          <w:rFonts w:cstheme="minorHAnsi"/>
          <w:shd w:val="clear" w:color="auto" w:fill="FFFFFF" w:themeFill="background1"/>
        </w:rPr>
        <w:t>The preference is for all submissions to be published on the DEWR website</w:t>
      </w:r>
      <w:r w:rsidRPr="007A3506">
        <w:rPr>
          <w:rFonts w:cstheme="minorHAnsi"/>
        </w:rPr>
        <w:t xml:space="preserve">. However, if you would like to provide comments in a different format, or make a confidential submission, please contact </w:t>
      </w:r>
      <w:hyperlink r:id="rId13" w:history="1">
        <w:r w:rsidR="001944A0" w:rsidRPr="007A3506">
          <w:rPr>
            <w:rStyle w:val="Hyperlink"/>
            <w:rFonts w:cstheme="minorHAnsi"/>
          </w:rPr>
          <w:t>WRConsultations@dewr.gov.au</w:t>
        </w:r>
      </w:hyperlink>
      <w:r w:rsidR="001944A0" w:rsidRPr="007A3506">
        <w:rPr>
          <w:rFonts w:cstheme="minorHAnsi"/>
        </w:rPr>
        <w:t xml:space="preserve"> or 0437 818 247</w:t>
      </w:r>
      <w:r w:rsidRPr="007A3506">
        <w:rPr>
          <w:rFonts w:cstheme="minorHAnsi"/>
        </w:rPr>
        <w:t xml:space="preserve"> for further advice.</w:t>
      </w:r>
      <w:r w:rsidR="004B7971" w:rsidRPr="007A3506">
        <w:rPr>
          <w:rFonts w:cstheme="minorHAnsi"/>
        </w:rPr>
        <w:t xml:space="preserve"> </w:t>
      </w:r>
    </w:p>
    <w:p w14:paraId="6998503F" w14:textId="77777777" w:rsidR="00975F6B" w:rsidRPr="007A3506" w:rsidRDefault="00F640C3" w:rsidP="00DC4EA0">
      <w:pPr>
        <w:rPr>
          <w:rFonts w:cstheme="minorHAnsi"/>
        </w:rPr>
      </w:pPr>
      <w:r w:rsidRPr="007A3506">
        <w:rPr>
          <w:rFonts w:cstheme="minorHAnsi"/>
        </w:rPr>
        <w:t xml:space="preserve">It is important to note that all comments about the review are welcome in any format. If you would prefer to have a discussion with the reviewer </w:t>
      </w:r>
      <w:r w:rsidR="008F0036" w:rsidRPr="007A3506">
        <w:rPr>
          <w:rFonts w:cstheme="minorHAnsi"/>
        </w:rPr>
        <w:t xml:space="preserve">please email </w:t>
      </w:r>
      <w:hyperlink r:id="rId14" w:history="1">
        <w:r w:rsidR="00F720B7" w:rsidRPr="007A3506">
          <w:rPr>
            <w:rStyle w:val="Hyperlink"/>
            <w:rFonts w:cstheme="minorHAnsi"/>
          </w:rPr>
          <w:t>WRConsultations@dewr.gov.au</w:t>
        </w:r>
      </w:hyperlink>
      <w:r w:rsidR="00F720B7" w:rsidRPr="007A3506">
        <w:rPr>
          <w:rFonts w:cstheme="minorHAnsi"/>
        </w:rPr>
        <w:t xml:space="preserve"> </w:t>
      </w:r>
      <w:r w:rsidR="00134867" w:rsidRPr="007A3506">
        <w:rPr>
          <w:rFonts w:cstheme="minorHAnsi"/>
        </w:rPr>
        <w:t xml:space="preserve">to arrange a time </w:t>
      </w:r>
      <w:r w:rsidRPr="007A3506">
        <w:rPr>
          <w:rFonts w:cstheme="minorHAnsi"/>
        </w:rPr>
        <w:t>or</w:t>
      </w:r>
      <w:r w:rsidR="003D5217" w:rsidRPr="007A3506">
        <w:rPr>
          <w:rFonts w:cstheme="minorHAnsi"/>
        </w:rPr>
        <w:t xml:space="preserve"> if you want to</w:t>
      </w:r>
      <w:r w:rsidRPr="007A3506">
        <w:rPr>
          <w:rFonts w:cstheme="minorHAnsi"/>
        </w:rPr>
        <w:t xml:space="preserve"> send your comments by email directly to her, you can contact Marie </w:t>
      </w:r>
      <w:r w:rsidR="00665194" w:rsidRPr="007A3506">
        <w:rPr>
          <w:rFonts w:cstheme="minorHAnsi"/>
        </w:rPr>
        <w:t>at</w:t>
      </w:r>
      <w:r w:rsidRPr="007A3506">
        <w:rPr>
          <w:rFonts w:cstheme="minorHAnsi"/>
        </w:rPr>
        <w:t xml:space="preserve"> </w:t>
      </w:r>
      <w:hyperlink r:id="rId15" w:history="1">
        <w:r w:rsidRPr="007A3506">
          <w:rPr>
            <w:rStyle w:val="Hyperlink"/>
            <w:rFonts w:cstheme="minorHAnsi"/>
          </w:rPr>
          <w:t>marie.boland@bigpond.com.au</w:t>
        </w:r>
      </w:hyperlink>
      <w:r w:rsidR="00975F6B" w:rsidRPr="007A3506">
        <w:rPr>
          <w:rFonts w:cstheme="minorHAnsi"/>
        </w:rPr>
        <w:t>.</w:t>
      </w:r>
    </w:p>
    <w:p w14:paraId="251E5C5D" w14:textId="77777777" w:rsidR="00975F6B" w:rsidRPr="007A3506" w:rsidRDefault="00975F6B">
      <w:pPr>
        <w:spacing w:after="160" w:line="259" w:lineRule="auto"/>
        <w:rPr>
          <w:rFonts w:cstheme="minorHAnsi"/>
        </w:rPr>
      </w:pPr>
      <w:r w:rsidRPr="007A3506">
        <w:rPr>
          <w:rFonts w:cstheme="minorHAnsi"/>
        </w:rPr>
        <w:br w:type="page"/>
      </w:r>
    </w:p>
    <w:p w14:paraId="4774911E" w14:textId="1375345A" w:rsidR="00735CD7" w:rsidRPr="007A3506" w:rsidRDefault="005608C5" w:rsidP="005608C5">
      <w:pPr>
        <w:pStyle w:val="Heading1"/>
        <w:rPr>
          <w:rFonts w:asciiTheme="minorHAnsi" w:hAnsiTheme="minorHAnsi" w:cstheme="minorHAnsi"/>
        </w:rPr>
      </w:pPr>
      <w:bookmarkStart w:id="12" w:name="_Toc138428266"/>
      <w:bookmarkStart w:id="13" w:name="_Toc678338770"/>
      <w:bookmarkStart w:id="14" w:name="_Toc139261431"/>
      <w:r w:rsidRPr="007A3506">
        <w:rPr>
          <w:rFonts w:asciiTheme="minorHAnsi" w:hAnsiTheme="minorHAnsi" w:cstheme="minorHAnsi"/>
          <w:noProof/>
        </w:rPr>
        <w:lastRenderedPageBreak/>
        <w:drawing>
          <wp:anchor distT="0" distB="0" distL="114300" distR="114300" simplePos="0" relativeHeight="251658246" behindDoc="1" locked="0" layoutInCell="1" allowOverlap="1" wp14:anchorId="7EF93CE3" wp14:editId="61921D9D">
            <wp:simplePos x="0" y="0"/>
            <wp:positionH relativeFrom="page">
              <wp:posOffset>0</wp:posOffset>
            </wp:positionH>
            <wp:positionV relativeFrom="page">
              <wp:posOffset>5080</wp:posOffset>
            </wp:positionV>
            <wp:extent cx="7548244" cy="6843397"/>
            <wp:effectExtent l="0" t="0" r="0" b="0"/>
            <wp:wrapNone/>
            <wp:docPr id="1398830149" name="Picture 1398830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30149" name="Picture 13">
                      <a:extLst>
                        <a:ext uri="{C183D7F6-B498-43B3-948B-1728B52AA6E4}">
                          <adec:decorative xmlns:adec="http://schemas.microsoft.com/office/drawing/2017/decorative" val="1"/>
                        </a:ext>
                      </a:extLst>
                    </pic:cNvPr>
                    <pic:cNvPicPr/>
                  </pic:nvPicPr>
                  <pic:blipFill>
                    <a:blip r:embed="rId10">
                      <a:extLst>
                        <a:ext uri="{C183D7F6-B498-43B3-948B-1728B52AA6E4}">
                          <adec:decorative xmlns:arto="http://schemas.microsoft.com/office/word/2006/arto" xmlns:adec="http://schemas.microsoft.com/office/drawing/2017/decorative"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1"/>
                        </a:ext>
                      </a:extLst>
                    </a:blip>
                    <a:srcRect b="35900"/>
                    <a:stretch>
                      <a:fillRect/>
                    </a:stretch>
                  </pic:blipFill>
                  <pic:spPr>
                    <a:xfrm>
                      <a:off x="0" y="0"/>
                      <a:ext cx="7548244" cy="6843397"/>
                    </a:xfrm>
                    <a:prstGeom prst="rect">
                      <a:avLst/>
                    </a:prstGeom>
                  </pic:spPr>
                </pic:pic>
              </a:graphicData>
            </a:graphic>
            <wp14:sizeRelH relativeFrom="page">
              <wp14:pctWidth>0</wp14:pctWidth>
            </wp14:sizeRelH>
            <wp14:sizeRelV relativeFrom="page">
              <wp14:pctHeight>0</wp14:pctHeight>
            </wp14:sizeRelV>
          </wp:anchor>
        </w:drawing>
      </w:r>
      <w:r w:rsidRPr="007A3506">
        <w:rPr>
          <w:rFonts w:asciiTheme="minorHAnsi" w:hAnsiTheme="minorHAnsi" w:cstheme="minorHAnsi"/>
        </w:rPr>
        <w:t>1. Setting the Scene</w:t>
      </w:r>
      <w:bookmarkEnd w:id="12"/>
      <w:bookmarkEnd w:id="13"/>
      <w:bookmarkEnd w:id="14"/>
    </w:p>
    <w:p w14:paraId="18156366" w14:textId="4CD2A0ED" w:rsidR="00735CD7" w:rsidRPr="007A3506" w:rsidRDefault="00735CD7" w:rsidP="00735CD7">
      <w:pPr>
        <w:pStyle w:val="Heading2"/>
        <w:rPr>
          <w:rFonts w:asciiTheme="minorHAnsi" w:hAnsiTheme="minorHAnsi" w:cstheme="minorHAnsi"/>
        </w:rPr>
      </w:pPr>
      <w:bookmarkStart w:id="15" w:name="_Toc138428267"/>
      <w:bookmarkStart w:id="16" w:name="_Toc708939610"/>
      <w:bookmarkStart w:id="17" w:name="_Toc139261432"/>
      <w:r w:rsidRPr="007A3506">
        <w:rPr>
          <w:rFonts w:asciiTheme="minorHAnsi" w:hAnsiTheme="minorHAnsi" w:cstheme="minorHAnsi"/>
        </w:rPr>
        <w:t>1.1 The Work Health and Safety Accreditation Scheme</w:t>
      </w:r>
      <w:bookmarkEnd w:id="15"/>
      <w:bookmarkEnd w:id="16"/>
      <w:bookmarkEnd w:id="17"/>
    </w:p>
    <w:p w14:paraId="2F3E8FEB" w14:textId="5ED6CC95" w:rsidR="00735CD7" w:rsidRPr="007A3506" w:rsidRDefault="00735CD7" w:rsidP="0063436E">
      <w:pPr>
        <w:rPr>
          <w:rFonts w:cstheme="minorHAnsi"/>
        </w:rPr>
      </w:pPr>
      <w:r w:rsidRPr="007A3506">
        <w:rPr>
          <w:rFonts w:cstheme="minorHAnsi"/>
        </w:rPr>
        <w:t>The FSC was established in 2005 to improve the safety culture of the building and construction industry.</w:t>
      </w:r>
      <w:r w:rsidR="004B7971" w:rsidRPr="007A3506">
        <w:rPr>
          <w:rFonts w:cstheme="minorHAnsi"/>
        </w:rPr>
        <w:t xml:space="preserve"> </w:t>
      </w:r>
      <w:r w:rsidRPr="007A3506">
        <w:rPr>
          <w:rFonts w:cstheme="minorHAnsi"/>
        </w:rPr>
        <w:t xml:space="preserve">It does this by administering the Work Health and Safety (WHS) Accreditation Scheme </w:t>
      </w:r>
      <w:r w:rsidR="002944FF" w:rsidRPr="007A3506">
        <w:rPr>
          <w:rFonts w:cstheme="minorHAnsi"/>
        </w:rPr>
        <w:br/>
      </w:r>
      <w:r w:rsidRPr="007A3506">
        <w:rPr>
          <w:rFonts w:cstheme="minorHAnsi"/>
        </w:rPr>
        <w:t>(the Scheme) and promoting safety across the industry.</w:t>
      </w:r>
      <w:r w:rsidR="004B7971" w:rsidRPr="007A3506">
        <w:rPr>
          <w:rFonts w:cstheme="minorHAnsi"/>
        </w:rPr>
        <w:t xml:space="preserve"> </w:t>
      </w:r>
      <w:r w:rsidRPr="007A3506">
        <w:rPr>
          <w:rFonts w:cstheme="minorHAnsi"/>
        </w:rPr>
        <w:t xml:space="preserve">The Scheme is established under the Act and the </w:t>
      </w:r>
      <w:r w:rsidRPr="007A3506">
        <w:rPr>
          <w:rFonts w:cstheme="minorHAnsi"/>
          <w:i/>
          <w:iCs/>
        </w:rPr>
        <w:t>Building and Construction Industry (Improving Productivity) (Accreditation Scheme) Rules 2019</w:t>
      </w:r>
      <w:r w:rsidRPr="007A3506">
        <w:rPr>
          <w:rFonts w:cstheme="minorHAnsi"/>
        </w:rPr>
        <w:t xml:space="preserve"> (the Rules).</w:t>
      </w:r>
      <w:r w:rsidR="00DD006C" w:rsidRPr="007A3506">
        <w:rPr>
          <w:rStyle w:val="FootnoteReference"/>
          <w:rFonts w:cstheme="minorHAnsi"/>
        </w:rPr>
        <w:footnoteReference w:id="6"/>
      </w:r>
    </w:p>
    <w:p w14:paraId="1A20801F" w14:textId="45688B1E" w:rsidR="00CD2E90" w:rsidRPr="007A3506" w:rsidRDefault="00735CD7" w:rsidP="0028090B">
      <w:pPr>
        <w:rPr>
          <w:rFonts w:cstheme="minorHAnsi"/>
        </w:rPr>
      </w:pPr>
      <w:r w:rsidRPr="007A3506">
        <w:rPr>
          <w:rFonts w:cstheme="minorHAnsi"/>
        </w:rPr>
        <w:t>The policy objective of the Scheme is to leverage Commonwealth (CW) funding to increase safety standards across the building and construction industry.</w:t>
      </w:r>
      <w:r w:rsidR="004B7971" w:rsidRPr="007A3506">
        <w:rPr>
          <w:rFonts w:cstheme="minorHAnsi"/>
        </w:rPr>
        <w:t xml:space="preserve"> </w:t>
      </w:r>
      <w:r w:rsidRPr="007A3506">
        <w:rPr>
          <w:rFonts w:cstheme="minorHAnsi"/>
        </w:rPr>
        <w:t>This objective is achieved by ensuring that, subject to financial thresholds, only builders who are accredited under the Scheme can enter into head contracts for building and construction work that is funded directly or indirectly by the CW.</w:t>
      </w:r>
      <w:r w:rsidR="004B7971" w:rsidRPr="007A3506">
        <w:rPr>
          <w:rFonts w:cstheme="minorHAnsi"/>
        </w:rPr>
        <w:t xml:space="preserve"> </w:t>
      </w:r>
      <w:r w:rsidRPr="007A3506">
        <w:rPr>
          <w:rFonts w:cstheme="minorHAnsi"/>
        </w:rPr>
        <w:t>The current financial thresholds are:</w:t>
      </w:r>
    </w:p>
    <w:p w14:paraId="551B1B05" w14:textId="77777777" w:rsidR="00735CD7" w:rsidRPr="007A3506" w:rsidRDefault="00735CD7" w:rsidP="0028090B">
      <w:pPr>
        <w:pStyle w:val="PURPLEBullet"/>
        <w:spacing w:after="200"/>
        <w:rPr>
          <w:rFonts w:cstheme="minorHAnsi"/>
        </w:rPr>
      </w:pPr>
      <w:r w:rsidRPr="007A3506">
        <w:rPr>
          <w:rFonts w:cstheme="minorHAnsi"/>
        </w:rPr>
        <w:t xml:space="preserve">$4 million or more for building and construction work funded directly by the CW </w:t>
      </w:r>
    </w:p>
    <w:p w14:paraId="17D7CA44" w14:textId="75708640" w:rsidR="00F97730" w:rsidRPr="007A3506" w:rsidRDefault="00735CD7" w:rsidP="0077253B">
      <w:pPr>
        <w:pStyle w:val="PURPLEBullet"/>
        <w:spacing w:after="200"/>
        <w:rPr>
          <w:rFonts w:cstheme="minorHAnsi"/>
        </w:rPr>
      </w:pPr>
      <w:r w:rsidRPr="007A3506">
        <w:rPr>
          <w:rFonts w:cstheme="minorHAnsi"/>
        </w:rPr>
        <w:t>$6 million or more for building and construction work funded indirectly by the CW</w:t>
      </w:r>
      <w:r w:rsidRPr="007A3506">
        <w:rPr>
          <w:rStyle w:val="FootnoteReference"/>
          <w:rFonts w:cstheme="minorHAnsi"/>
        </w:rPr>
        <w:footnoteReference w:id="7"/>
      </w:r>
      <w:r w:rsidR="00287928">
        <w:rPr>
          <w:rFonts w:cstheme="minorHAnsi"/>
        </w:rPr>
        <w:t>.</w:t>
      </w:r>
    </w:p>
    <w:p w14:paraId="7CF8499E" w14:textId="77777777" w:rsidR="00461E4D" w:rsidRPr="007A3506" w:rsidRDefault="00461E4D" w:rsidP="00461E4D">
      <w:pPr>
        <w:pStyle w:val="PURPLEBullet"/>
        <w:numPr>
          <w:ilvl w:val="0"/>
          <w:numId w:val="0"/>
        </w:numPr>
        <w:spacing w:after="200"/>
        <w:ind w:left="357" w:hanging="357"/>
        <w:rPr>
          <w:rFonts w:cstheme="minorHAnsi"/>
        </w:rPr>
      </w:pPr>
    </w:p>
    <w:p w14:paraId="4B3D83AA" w14:textId="77777777" w:rsidR="00461E4D" w:rsidRPr="007A3506" w:rsidRDefault="00461E4D" w:rsidP="00461E4D">
      <w:pPr>
        <w:pStyle w:val="PURPLEBullet"/>
        <w:numPr>
          <w:ilvl w:val="0"/>
          <w:numId w:val="0"/>
        </w:numPr>
        <w:spacing w:after="200"/>
        <w:ind w:left="357" w:hanging="357"/>
        <w:rPr>
          <w:rFonts w:cstheme="minorHAnsi"/>
        </w:rPr>
      </w:pPr>
    </w:p>
    <w:p w14:paraId="741B547E" w14:textId="77777777" w:rsidR="00735CD7" w:rsidRPr="007A3506" w:rsidRDefault="00735CD7" w:rsidP="00735CD7">
      <w:pPr>
        <w:pStyle w:val="Heading2"/>
        <w:rPr>
          <w:rFonts w:asciiTheme="minorHAnsi" w:hAnsiTheme="minorHAnsi" w:cstheme="minorHAnsi"/>
        </w:rPr>
      </w:pPr>
      <w:bookmarkStart w:id="18" w:name="_Toc138428268"/>
      <w:bookmarkStart w:id="19" w:name="_Toc901812754"/>
      <w:bookmarkStart w:id="20" w:name="_Toc139261433"/>
      <w:r w:rsidRPr="007A3506">
        <w:rPr>
          <w:rFonts w:asciiTheme="minorHAnsi" w:hAnsiTheme="minorHAnsi" w:cstheme="minorHAnsi"/>
        </w:rPr>
        <w:t>1.2 Gaining Accreditation</w:t>
      </w:r>
      <w:bookmarkEnd w:id="18"/>
      <w:bookmarkEnd w:id="19"/>
      <w:bookmarkEnd w:id="20"/>
    </w:p>
    <w:p w14:paraId="303C20E2" w14:textId="602E1EF9" w:rsidR="00735CD7" w:rsidRPr="007A3506" w:rsidRDefault="00735CD7" w:rsidP="0063436E">
      <w:pPr>
        <w:rPr>
          <w:rFonts w:cstheme="minorHAnsi"/>
        </w:rPr>
      </w:pPr>
      <w:r w:rsidRPr="007A3506">
        <w:rPr>
          <w:rFonts w:cstheme="minorHAnsi"/>
        </w:rPr>
        <w:t>To be granted accreditation, a</w:t>
      </w:r>
      <w:r w:rsidR="00F204CD" w:rsidRPr="007A3506">
        <w:rPr>
          <w:rFonts w:cstheme="minorHAnsi"/>
        </w:rPr>
        <w:t xml:space="preserve">n entity </w:t>
      </w:r>
      <w:r w:rsidRPr="007A3506">
        <w:rPr>
          <w:rFonts w:cstheme="minorHAnsi"/>
        </w:rPr>
        <w:t>must have undergone a pre-accreditation audit and satisfied the FSC that it has appropriate WHS policies and procedures and safe work practices in place and is complying/will comply with the National Construction Code (NCC).</w:t>
      </w:r>
      <w:r w:rsidRPr="007A3506">
        <w:rPr>
          <w:rStyle w:val="FootnoteReference"/>
          <w:rFonts w:cstheme="minorHAnsi"/>
        </w:rPr>
        <w:footnoteReference w:id="8"/>
      </w:r>
      <w:r w:rsidRPr="007A3506">
        <w:rPr>
          <w:rFonts w:cstheme="minorHAnsi"/>
        </w:rPr>
        <w:t xml:space="preserve"> </w:t>
      </w:r>
    </w:p>
    <w:p w14:paraId="0C28B5BC" w14:textId="500A9788" w:rsidR="00735CD7" w:rsidRPr="007A3506" w:rsidRDefault="00735CD7" w:rsidP="00F51B88">
      <w:pPr>
        <w:pStyle w:val="Indent1"/>
        <w:spacing w:after="200" w:line="276" w:lineRule="auto"/>
        <w:ind w:left="0"/>
        <w:jc w:val="left"/>
        <w:rPr>
          <w:rFonts w:asciiTheme="minorHAnsi" w:eastAsiaTheme="minorEastAsia" w:hAnsiTheme="minorHAnsi" w:cstheme="minorHAnsi"/>
          <w:sz w:val="22"/>
          <w:szCs w:val="22"/>
          <w:lang w:eastAsia="en-US"/>
        </w:rPr>
      </w:pPr>
      <w:r w:rsidRPr="007A3506">
        <w:rPr>
          <w:rFonts w:asciiTheme="minorHAnsi" w:hAnsiTheme="minorHAnsi" w:cstheme="minorHAnsi"/>
          <w:sz w:val="22"/>
          <w:szCs w:val="22"/>
        </w:rPr>
        <w:t>Audits are undertaken by FSOs against a sample of the audit criteria from the FSC Audit Criteria Guidelines.</w:t>
      </w:r>
      <w:r w:rsidRPr="007A3506">
        <w:rPr>
          <w:rStyle w:val="FootnoteReference"/>
          <w:rFonts w:asciiTheme="minorHAnsi" w:eastAsiaTheme="majorEastAsia" w:hAnsiTheme="minorHAnsi" w:cstheme="minorHAnsi"/>
          <w:sz w:val="22"/>
          <w:szCs w:val="22"/>
        </w:rPr>
        <w:footnoteReference w:id="9"/>
      </w:r>
      <w:r w:rsidRPr="007A3506">
        <w:rPr>
          <w:rFonts w:asciiTheme="minorHAnsi" w:hAnsiTheme="minorHAnsi" w:cstheme="minorHAnsi"/>
          <w:sz w:val="22"/>
          <w:szCs w:val="22"/>
        </w:rPr>
        <w:t xml:space="preserve"> </w:t>
      </w:r>
      <w:r w:rsidRPr="007A3506">
        <w:rPr>
          <w:rFonts w:asciiTheme="minorHAnsi" w:eastAsiaTheme="minorHAnsi" w:hAnsiTheme="minorHAnsi" w:cstheme="minorHAnsi"/>
          <w:sz w:val="22"/>
          <w:szCs w:val="22"/>
          <w:lang w:eastAsia="en-US"/>
        </w:rPr>
        <w:t>The audit criteria set</w:t>
      </w:r>
      <w:r w:rsidR="00D44CF2" w:rsidRPr="007A3506">
        <w:rPr>
          <w:rFonts w:asciiTheme="minorHAnsi" w:eastAsiaTheme="minorHAnsi" w:hAnsiTheme="minorHAnsi" w:cstheme="minorHAnsi"/>
          <w:sz w:val="22"/>
          <w:szCs w:val="22"/>
          <w:lang w:eastAsia="en-US"/>
        </w:rPr>
        <w:t xml:space="preserve"> </w:t>
      </w:r>
      <w:r w:rsidRPr="007A3506">
        <w:rPr>
          <w:rFonts w:asciiTheme="minorHAnsi" w:eastAsiaTheme="minorHAnsi" w:hAnsiTheme="minorHAnsi" w:cstheme="minorHAnsi"/>
          <w:sz w:val="22"/>
          <w:szCs w:val="22"/>
          <w:lang w:eastAsia="en-US"/>
        </w:rPr>
        <w:t xml:space="preserve">out system and implementation outcomes that must be met to gain and maintain accreditation, but does not prescribe the method by which </w:t>
      </w:r>
      <w:r w:rsidR="00335F31" w:rsidRPr="007A3506">
        <w:rPr>
          <w:rFonts w:asciiTheme="minorHAnsi" w:eastAsiaTheme="minorHAnsi" w:hAnsiTheme="minorHAnsi" w:cstheme="minorHAnsi"/>
          <w:sz w:val="22"/>
          <w:szCs w:val="22"/>
          <w:lang w:eastAsia="en-US"/>
        </w:rPr>
        <w:t>entities</w:t>
      </w:r>
      <w:r w:rsidRPr="007A3506">
        <w:rPr>
          <w:rFonts w:asciiTheme="minorHAnsi" w:eastAsiaTheme="minorHAnsi" w:hAnsiTheme="minorHAnsi" w:cstheme="minorHAnsi"/>
          <w:sz w:val="22"/>
          <w:szCs w:val="22"/>
          <w:lang w:eastAsia="en-US"/>
        </w:rPr>
        <w:t xml:space="preserve"> must achieve those outcomes. This is designed to give all </w:t>
      </w:r>
      <w:r w:rsidR="00335F31" w:rsidRPr="007A3506">
        <w:rPr>
          <w:rFonts w:asciiTheme="minorHAnsi" w:eastAsiaTheme="minorHAnsi" w:hAnsiTheme="minorHAnsi" w:cstheme="minorHAnsi"/>
          <w:sz w:val="22"/>
          <w:szCs w:val="22"/>
          <w:lang w:eastAsia="en-US"/>
        </w:rPr>
        <w:t>entitie</w:t>
      </w:r>
      <w:r w:rsidRPr="007A3506">
        <w:rPr>
          <w:rFonts w:asciiTheme="minorHAnsi" w:eastAsiaTheme="minorHAnsi" w:hAnsiTheme="minorHAnsi" w:cstheme="minorHAnsi"/>
          <w:sz w:val="22"/>
          <w:szCs w:val="22"/>
          <w:lang w:eastAsia="en-US"/>
        </w:rPr>
        <w:t xml:space="preserve">s scope to achieve the Scheme criteria compliance in a manner that fits their businesses. An applicant </w:t>
      </w:r>
      <w:r w:rsidR="00F204CD" w:rsidRPr="007A3506">
        <w:rPr>
          <w:rFonts w:asciiTheme="minorHAnsi" w:eastAsiaTheme="minorHAnsi" w:hAnsiTheme="minorHAnsi" w:cstheme="minorHAnsi"/>
          <w:sz w:val="22"/>
          <w:szCs w:val="22"/>
          <w:lang w:eastAsia="en-US"/>
        </w:rPr>
        <w:t>entity</w:t>
      </w:r>
      <w:r w:rsidRPr="007A3506">
        <w:rPr>
          <w:rFonts w:asciiTheme="minorHAnsi" w:eastAsiaTheme="minorHAnsi" w:hAnsiTheme="minorHAnsi" w:cstheme="minorHAnsi"/>
          <w:sz w:val="22"/>
          <w:szCs w:val="22"/>
          <w:lang w:eastAsia="en-US"/>
        </w:rPr>
        <w:t xml:space="preserve"> will undergo a desktop review of its WHS systems with an FSO to determine the extent of compliance with the audit criteria ahead of an </w:t>
      </w:r>
      <w:r w:rsidR="00385F61">
        <w:rPr>
          <w:rFonts w:asciiTheme="minorHAnsi" w:eastAsiaTheme="minorHAnsi" w:hAnsiTheme="minorHAnsi" w:cstheme="minorHAnsi"/>
          <w:sz w:val="22"/>
          <w:szCs w:val="22"/>
          <w:lang w:eastAsia="en-US"/>
        </w:rPr>
        <w:t xml:space="preserve">      </w:t>
      </w:r>
      <w:r w:rsidRPr="007A3506">
        <w:rPr>
          <w:rFonts w:asciiTheme="minorHAnsi" w:eastAsiaTheme="minorHAnsi" w:hAnsiTheme="minorHAnsi" w:cstheme="minorHAnsi"/>
          <w:sz w:val="22"/>
          <w:szCs w:val="22"/>
          <w:lang w:eastAsia="en-US"/>
        </w:rPr>
        <w:t>on-site inspection where both the on-paper and in-practice compliance with the audit criteria is determined.</w:t>
      </w:r>
      <w:r w:rsidR="004B7971" w:rsidRPr="007A3506">
        <w:rPr>
          <w:rFonts w:asciiTheme="minorHAnsi" w:eastAsiaTheme="minorEastAsia" w:hAnsiTheme="minorHAnsi" w:cstheme="minorHAnsi"/>
          <w:sz w:val="22"/>
          <w:szCs w:val="22"/>
          <w:lang w:eastAsia="en-US"/>
        </w:rPr>
        <w:t xml:space="preserve"> </w:t>
      </w:r>
    </w:p>
    <w:p w14:paraId="10D0B5D5" w14:textId="408D10F4" w:rsidR="00735CD7" w:rsidRPr="007A3506" w:rsidRDefault="00F204CD" w:rsidP="0063436E">
      <w:pPr>
        <w:rPr>
          <w:rFonts w:cstheme="minorHAnsi"/>
        </w:rPr>
      </w:pPr>
      <w:r w:rsidRPr="007A3506">
        <w:rPr>
          <w:rFonts w:cstheme="minorHAnsi"/>
        </w:rPr>
        <w:t xml:space="preserve">All new accreditations are for </w:t>
      </w:r>
      <w:r w:rsidR="0050113F" w:rsidRPr="007A3506">
        <w:rPr>
          <w:rFonts w:cstheme="minorHAnsi"/>
        </w:rPr>
        <w:t xml:space="preserve">up to </w:t>
      </w:r>
      <w:r w:rsidRPr="007A3506">
        <w:rPr>
          <w:rFonts w:cstheme="minorHAnsi"/>
        </w:rPr>
        <w:t>three years</w:t>
      </w:r>
      <w:r w:rsidR="00982C17" w:rsidRPr="007A3506">
        <w:rPr>
          <w:rFonts w:cstheme="minorHAnsi"/>
        </w:rPr>
        <w:t xml:space="preserve"> with </w:t>
      </w:r>
      <w:r w:rsidR="00DE6978" w:rsidRPr="007A3506">
        <w:rPr>
          <w:rFonts w:cstheme="minorHAnsi"/>
        </w:rPr>
        <w:t>entities</w:t>
      </w:r>
      <w:r w:rsidR="0048373F" w:rsidRPr="007A3506">
        <w:rPr>
          <w:rFonts w:cstheme="minorHAnsi"/>
        </w:rPr>
        <w:t xml:space="preserve"> which are considered low risk at post-accreditation audits</w:t>
      </w:r>
      <w:r w:rsidR="00926CE5" w:rsidRPr="007A3506">
        <w:rPr>
          <w:rFonts w:cstheme="minorHAnsi"/>
        </w:rPr>
        <w:t xml:space="preserve"> able to be accredited for up to six years</w:t>
      </w:r>
      <w:r w:rsidR="00735CD7" w:rsidRPr="007A3506">
        <w:rPr>
          <w:rFonts w:cstheme="minorHAnsi"/>
        </w:rPr>
        <w:t>.</w:t>
      </w:r>
      <w:r w:rsidR="004B7971" w:rsidRPr="007A3506">
        <w:rPr>
          <w:rFonts w:cstheme="minorHAnsi"/>
        </w:rPr>
        <w:t xml:space="preserve"> </w:t>
      </w:r>
      <w:r w:rsidR="00735CD7" w:rsidRPr="007A3506">
        <w:rPr>
          <w:rFonts w:cstheme="minorHAnsi"/>
        </w:rPr>
        <w:t>There is no fee charged to apply for accreditation.</w:t>
      </w:r>
    </w:p>
    <w:p w14:paraId="590A4884" w14:textId="77777777" w:rsidR="00FF36D0" w:rsidRPr="007A3506" w:rsidRDefault="00FF36D0">
      <w:pPr>
        <w:spacing w:after="160" w:line="259" w:lineRule="auto"/>
        <w:rPr>
          <w:rFonts w:eastAsiaTheme="minorEastAsia" w:cstheme="minorHAnsi"/>
        </w:rPr>
      </w:pPr>
      <w:r w:rsidRPr="007A3506">
        <w:rPr>
          <w:rFonts w:eastAsiaTheme="minorEastAsia" w:cstheme="minorHAnsi"/>
        </w:rPr>
        <w:br w:type="page"/>
      </w:r>
    </w:p>
    <w:p w14:paraId="58F139C4" w14:textId="1D742E3C" w:rsidR="00FF36D0" w:rsidRPr="007A3506" w:rsidRDefault="000603DD" w:rsidP="00FC0F8B">
      <w:pPr>
        <w:rPr>
          <w:rFonts w:cstheme="minorHAnsi"/>
        </w:rPr>
      </w:pPr>
      <w:r w:rsidRPr="007A3506">
        <w:rPr>
          <w:rFonts w:cstheme="minorHAnsi"/>
        </w:rPr>
        <w:lastRenderedPageBreak/>
        <w:t>I have been informed that a</w:t>
      </w:r>
      <w:r w:rsidR="00906936" w:rsidRPr="007A3506">
        <w:rPr>
          <w:rFonts w:cstheme="minorHAnsi"/>
        </w:rPr>
        <w:t xml:space="preserve">ccreditation is rarely granted to an applicant </w:t>
      </w:r>
      <w:r w:rsidR="00EE5B63" w:rsidRPr="007A3506">
        <w:rPr>
          <w:rFonts w:cstheme="minorHAnsi"/>
        </w:rPr>
        <w:t>entity</w:t>
      </w:r>
      <w:r w:rsidR="00906936" w:rsidRPr="007A3506">
        <w:rPr>
          <w:rFonts w:cstheme="minorHAnsi"/>
        </w:rPr>
        <w:t xml:space="preserve"> after a single pre-accreditation audit. On average,</w:t>
      </w:r>
      <w:r w:rsidR="00EE5B63" w:rsidRPr="007A3506">
        <w:rPr>
          <w:rFonts w:cstheme="minorHAnsi"/>
        </w:rPr>
        <w:t xml:space="preserve"> entities</w:t>
      </w:r>
      <w:r w:rsidR="00906936" w:rsidRPr="007A3506">
        <w:rPr>
          <w:rFonts w:cstheme="minorHAnsi"/>
        </w:rPr>
        <w:t xml:space="preserve"> require 2</w:t>
      </w:r>
      <w:r w:rsidRPr="007A3506">
        <w:rPr>
          <w:rFonts w:cstheme="minorHAnsi"/>
        </w:rPr>
        <w:t xml:space="preserve"> to </w:t>
      </w:r>
      <w:r w:rsidR="00906936" w:rsidRPr="007A3506">
        <w:rPr>
          <w:rFonts w:cstheme="minorHAnsi"/>
        </w:rPr>
        <w:t xml:space="preserve">3 pre-accreditation audits to achieve the level of compliance with the FSC Audit Criteria necessary to satisfy the FSC that the </w:t>
      </w:r>
      <w:r w:rsidR="001E2EE8" w:rsidRPr="007A3506">
        <w:rPr>
          <w:rFonts w:cstheme="minorHAnsi"/>
        </w:rPr>
        <w:t>entity</w:t>
      </w:r>
      <w:r w:rsidR="00906936" w:rsidRPr="007A3506">
        <w:rPr>
          <w:rFonts w:cstheme="minorHAnsi"/>
        </w:rPr>
        <w:t xml:space="preserve"> meets the requirements for accreditation under </w:t>
      </w:r>
      <w:r w:rsidR="00357B4A" w:rsidRPr="007A3506">
        <w:rPr>
          <w:rFonts w:cstheme="minorHAnsi"/>
        </w:rPr>
        <w:t>Rule</w:t>
      </w:r>
      <w:r w:rsidR="00906936" w:rsidRPr="007A3506">
        <w:rPr>
          <w:rFonts w:cstheme="minorHAnsi"/>
        </w:rPr>
        <w:t xml:space="preserve"> 8 of the Rules. If an applicant </w:t>
      </w:r>
      <w:r w:rsidR="001E2EE8" w:rsidRPr="007A3506">
        <w:rPr>
          <w:rFonts w:cstheme="minorHAnsi"/>
        </w:rPr>
        <w:t>entity</w:t>
      </w:r>
      <w:r w:rsidR="00906936" w:rsidRPr="007A3506">
        <w:rPr>
          <w:rFonts w:cstheme="minorHAnsi"/>
        </w:rPr>
        <w:t xml:space="preserve"> does not achieve accreditation after three pre-accreditation audits, rejection of the application is considered by the FSC.</w:t>
      </w:r>
    </w:p>
    <w:p w14:paraId="61CBC158" w14:textId="77777777" w:rsidR="00461E4D" w:rsidRPr="007A3506" w:rsidRDefault="00461E4D" w:rsidP="00FC0F8B">
      <w:pPr>
        <w:rPr>
          <w:rFonts w:cstheme="minorHAnsi"/>
        </w:rPr>
      </w:pPr>
    </w:p>
    <w:p w14:paraId="21069F9E" w14:textId="19D400A1" w:rsidR="00623168" w:rsidRPr="007A3506" w:rsidRDefault="00CB294D" w:rsidP="00906936">
      <w:pPr>
        <w:pStyle w:val="Heading2"/>
        <w:rPr>
          <w:rFonts w:asciiTheme="minorHAnsi" w:hAnsiTheme="minorHAnsi" w:cstheme="minorHAnsi"/>
        </w:rPr>
      </w:pPr>
      <w:bookmarkStart w:id="21" w:name="_Toc138428269"/>
      <w:bookmarkStart w:id="22" w:name="_Toc659318919"/>
      <w:bookmarkStart w:id="23" w:name="_Toc139261434"/>
      <w:r w:rsidRPr="007A3506">
        <w:rPr>
          <w:rFonts w:asciiTheme="minorHAnsi" w:hAnsiTheme="minorHAnsi" w:cstheme="minorHAnsi"/>
        </w:rPr>
        <w:t>1.3</w:t>
      </w:r>
      <w:r w:rsidR="00CC6822" w:rsidRPr="007A3506">
        <w:rPr>
          <w:rFonts w:asciiTheme="minorHAnsi" w:hAnsiTheme="minorHAnsi" w:cstheme="minorHAnsi"/>
        </w:rPr>
        <w:t xml:space="preserve"> </w:t>
      </w:r>
      <w:r w:rsidR="00623168" w:rsidRPr="007A3506">
        <w:rPr>
          <w:rFonts w:asciiTheme="minorHAnsi" w:hAnsiTheme="minorHAnsi" w:cstheme="minorHAnsi"/>
        </w:rPr>
        <w:t xml:space="preserve">Maintaining </w:t>
      </w:r>
      <w:r w:rsidR="00610D72" w:rsidRPr="007A3506">
        <w:rPr>
          <w:rFonts w:asciiTheme="minorHAnsi" w:hAnsiTheme="minorHAnsi" w:cstheme="minorHAnsi"/>
        </w:rPr>
        <w:t>A</w:t>
      </w:r>
      <w:r w:rsidR="00623168" w:rsidRPr="007A3506">
        <w:rPr>
          <w:rFonts w:asciiTheme="minorHAnsi" w:hAnsiTheme="minorHAnsi" w:cstheme="minorHAnsi"/>
        </w:rPr>
        <w:t>ccreditation</w:t>
      </w:r>
      <w:bookmarkEnd w:id="21"/>
      <w:bookmarkEnd w:id="22"/>
      <w:bookmarkEnd w:id="23"/>
      <w:r w:rsidR="00623168" w:rsidRPr="007A3506">
        <w:rPr>
          <w:rFonts w:asciiTheme="minorHAnsi" w:hAnsiTheme="minorHAnsi" w:cstheme="minorHAnsi"/>
        </w:rPr>
        <w:t xml:space="preserve"> </w:t>
      </w:r>
    </w:p>
    <w:p w14:paraId="1DDD4F50" w14:textId="35010759" w:rsidR="00EE5B63" w:rsidRPr="007A3506" w:rsidRDefault="00EE5B63" w:rsidP="00EE5B63">
      <w:pPr>
        <w:rPr>
          <w:rFonts w:cstheme="minorHAnsi"/>
        </w:rPr>
      </w:pPr>
      <w:r w:rsidRPr="007A3506">
        <w:rPr>
          <w:rFonts w:cstheme="minorHAnsi"/>
        </w:rPr>
        <w:t xml:space="preserve">All accredited entities have conditions that apply to their accreditation which must be met at all times. These ‘standard’ conditions are listed in </w:t>
      </w:r>
      <w:r w:rsidR="00213E2B" w:rsidRPr="007A3506">
        <w:rPr>
          <w:rFonts w:cstheme="minorHAnsi"/>
        </w:rPr>
        <w:t>Rule</w:t>
      </w:r>
      <w:r w:rsidRPr="007A3506">
        <w:rPr>
          <w:rFonts w:cstheme="minorHAnsi"/>
        </w:rPr>
        <w:t xml:space="preserve"> 15 </w:t>
      </w:r>
      <w:r w:rsidR="00B84602" w:rsidRPr="007A3506">
        <w:rPr>
          <w:rFonts w:cstheme="minorHAnsi"/>
        </w:rPr>
        <w:t xml:space="preserve">and </w:t>
      </w:r>
      <w:r w:rsidRPr="007A3506">
        <w:rPr>
          <w:rFonts w:cstheme="minorHAnsi"/>
        </w:rPr>
        <w:t>generally require:</w:t>
      </w:r>
    </w:p>
    <w:p w14:paraId="4E385F7E" w14:textId="77777777" w:rsidR="00EE5B63" w:rsidRPr="007A3506" w:rsidRDefault="00EE5B63" w:rsidP="00EE5B63">
      <w:pPr>
        <w:pStyle w:val="ListParagraph"/>
        <w:numPr>
          <w:ilvl w:val="0"/>
          <w:numId w:val="28"/>
        </w:numPr>
        <w:rPr>
          <w:rFonts w:cstheme="minorHAnsi"/>
        </w:rPr>
      </w:pPr>
      <w:r w:rsidRPr="007A3506">
        <w:rPr>
          <w:rFonts w:cstheme="minorHAnsi"/>
        </w:rPr>
        <w:t>WHS policies and implemented practices that meet FSC Audit Criteria</w:t>
      </w:r>
    </w:p>
    <w:p w14:paraId="63B43DC9" w14:textId="77777777" w:rsidR="00EE5B63" w:rsidRPr="007A3506" w:rsidRDefault="00EE5B63" w:rsidP="00EE5B63">
      <w:pPr>
        <w:pStyle w:val="ListParagraph"/>
        <w:numPr>
          <w:ilvl w:val="0"/>
          <w:numId w:val="28"/>
        </w:numPr>
        <w:rPr>
          <w:rFonts w:cstheme="minorHAnsi"/>
        </w:rPr>
      </w:pPr>
      <w:r w:rsidRPr="007A3506">
        <w:rPr>
          <w:rFonts w:cstheme="minorHAnsi"/>
        </w:rPr>
        <w:t>Compliance with the performance requirements of the National Construction Code</w:t>
      </w:r>
    </w:p>
    <w:p w14:paraId="14B34022" w14:textId="77777777" w:rsidR="00EE5B63" w:rsidRPr="007A3506" w:rsidRDefault="00EE5B63" w:rsidP="00EE5B63">
      <w:pPr>
        <w:pStyle w:val="ListParagraph"/>
        <w:numPr>
          <w:ilvl w:val="0"/>
          <w:numId w:val="28"/>
        </w:numPr>
        <w:rPr>
          <w:rFonts w:cstheme="minorHAnsi"/>
        </w:rPr>
      </w:pPr>
      <w:r w:rsidRPr="007A3506">
        <w:rPr>
          <w:rFonts w:cstheme="minorHAnsi"/>
        </w:rPr>
        <w:t>Facilitation and participation in post-accreditation audits</w:t>
      </w:r>
    </w:p>
    <w:p w14:paraId="3BB01259" w14:textId="77777777" w:rsidR="00EE5B63" w:rsidRPr="007A3506" w:rsidRDefault="00EE5B63" w:rsidP="00EE5B63">
      <w:pPr>
        <w:pStyle w:val="ListParagraph"/>
        <w:numPr>
          <w:ilvl w:val="0"/>
          <w:numId w:val="28"/>
        </w:numPr>
        <w:rPr>
          <w:rFonts w:cstheme="minorHAnsi"/>
        </w:rPr>
      </w:pPr>
      <w:r w:rsidRPr="007A3506">
        <w:rPr>
          <w:rFonts w:cstheme="minorHAnsi"/>
        </w:rPr>
        <w:t>Compliance with incident reporting requirements notified by the FSC from time to time.</w:t>
      </w:r>
    </w:p>
    <w:p w14:paraId="57F4CE30" w14:textId="76F133A2" w:rsidR="00895EC6" w:rsidRPr="007A3506" w:rsidRDefault="00623168" w:rsidP="0063436E">
      <w:pPr>
        <w:rPr>
          <w:rFonts w:cstheme="minorHAnsi"/>
        </w:rPr>
      </w:pPr>
      <w:r w:rsidRPr="007A3506">
        <w:rPr>
          <w:rFonts w:cstheme="minorHAnsi"/>
        </w:rPr>
        <w:t>After each</w:t>
      </w:r>
      <w:r w:rsidR="001E2EE8" w:rsidRPr="007A3506">
        <w:rPr>
          <w:rFonts w:cstheme="minorHAnsi"/>
        </w:rPr>
        <w:t xml:space="preserve"> post-accreditation</w:t>
      </w:r>
      <w:r w:rsidRPr="007A3506">
        <w:rPr>
          <w:rFonts w:cstheme="minorHAnsi"/>
        </w:rPr>
        <w:t xml:space="preserve"> audit the FSC assesses the </w:t>
      </w:r>
      <w:r w:rsidR="00F37320" w:rsidRPr="007A3506">
        <w:rPr>
          <w:rFonts w:cstheme="minorHAnsi"/>
        </w:rPr>
        <w:t>entity</w:t>
      </w:r>
      <w:r w:rsidRPr="007A3506">
        <w:rPr>
          <w:rFonts w:cstheme="minorHAnsi"/>
        </w:rPr>
        <w:t xml:space="preserve"> to determine their risk rating going forward.</w:t>
      </w:r>
      <w:r w:rsidR="004B7971" w:rsidRPr="007A3506">
        <w:rPr>
          <w:rFonts w:cstheme="minorHAnsi"/>
        </w:rPr>
        <w:t xml:space="preserve"> </w:t>
      </w:r>
      <w:r w:rsidRPr="007A3506">
        <w:rPr>
          <w:rFonts w:cstheme="minorHAnsi"/>
        </w:rPr>
        <w:t>This assessment includes a consideration of reported safety incidents (for example, a notice issued by a state or territory WHS regulator), incident rate trends reported through a</w:t>
      </w:r>
      <w:r w:rsidR="00F37320" w:rsidRPr="007A3506">
        <w:rPr>
          <w:rFonts w:cstheme="minorHAnsi"/>
        </w:rPr>
        <w:t>n entity</w:t>
      </w:r>
      <w:r w:rsidRPr="007A3506">
        <w:rPr>
          <w:rFonts w:cstheme="minorHAnsi"/>
        </w:rPr>
        <w:t>’s biannual reporting to the FSC and any information available from State and Territory WHS regulators.</w:t>
      </w:r>
      <w:r w:rsidR="004B7971" w:rsidRPr="007A3506">
        <w:rPr>
          <w:rFonts w:cstheme="minorHAnsi"/>
        </w:rPr>
        <w:t xml:space="preserve"> </w:t>
      </w:r>
    </w:p>
    <w:p w14:paraId="6AF1557D" w14:textId="08ACC14B" w:rsidR="00895EC6" w:rsidRPr="007A3506" w:rsidRDefault="00895EC6" w:rsidP="75D8FD2A">
      <w:pPr>
        <w:rPr>
          <w:rFonts w:cstheme="minorHAnsi"/>
        </w:rPr>
      </w:pPr>
      <w:r w:rsidRPr="007A3506">
        <w:rPr>
          <w:rFonts w:cstheme="minorHAnsi"/>
        </w:rPr>
        <w:t>At an onsite audit (whether pre or post</w:t>
      </w:r>
      <w:r w:rsidR="000D25C1" w:rsidRPr="007A3506">
        <w:rPr>
          <w:rFonts w:cstheme="minorHAnsi"/>
        </w:rPr>
        <w:t>-</w:t>
      </w:r>
      <w:r w:rsidRPr="007A3506">
        <w:rPr>
          <w:rFonts w:cstheme="minorHAnsi"/>
        </w:rPr>
        <w:t>accreditation), a corrective action</w:t>
      </w:r>
      <w:r w:rsidR="101D0C67" w:rsidRPr="007A3506">
        <w:rPr>
          <w:rFonts w:cstheme="minorHAnsi"/>
        </w:rPr>
        <w:t xml:space="preserve"> report</w:t>
      </w:r>
      <w:r w:rsidRPr="007A3506">
        <w:rPr>
          <w:rFonts w:cstheme="minorHAnsi"/>
        </w:rPr>
        <w:t xml:space="preserve"> (CAR) can be raised by an FSO.</w:t>
      </w:r>
      <w:r w:rsidR="004B7971" w:rsidRPr="007A3506">
        <w:rPr>
          <w:rFonts w:cstheme="minorHAnsi"/>
        </w:rPr>
        <w:t xml:space="preserve"> </w:t>
      </w:r>
      <w:r w:rsidRPr="007A3506">
        <w:rPr>
          <w:rFonts w:cstheme="minorHAnsi"/>
        </w:rPr>
        <w:t xml:space="preserve">A CAR is a formal finding </w:t>
      </w:r>
      <w:r w:rsidR="001E2EE8" w:rsidRPr="007A3506">
        <w:rPr>
          <w:rFonts w:cstheme="minorHAnsi"/>
        </w:rPr>
        <w:t>of non-compliance with FSC Audit</w:t>
      </w:r>
      <w:r w:rsidR="0072221D" w:rsidRPr="007A3506">
        <w:rPr>
          <w:rFonts w:cstheme="minorHAnsi"/>
        </w:rPr>
        <w:t xml:space="preserve"> Criteria </w:t>
      </w:r>
      <w:r w:rsidRPr="007A3506">
        <w:rPr>
          <w:rFonts w:cstheme="minorHAnsi"/>
        </w:rPr>
        <w:t>made by an FSO.</w:t>
      </w:r>
      <w:r w:rsidR="004B7971" w:rsidRPr="007A3506">
        <w:rPr>
          <w:rFonts w:cstheme="minorHAnsi"/>
        </w:rPr>
        <w:t xml:space="preserve"> </w:t>
      </w:r>
      <w:r w:rsidRPr="007A3506">
        <w:rPr>
          <w:rFonts w:cstheme="minorHAnsi"/>
        </w:rPr>
        <w:t xml:space="preserve">The number of CARs issued also forms part of the </w:t>
      </w:r>
      <w:r w:rsidR="00D67EFC" w:rsidRPr="007A3506">
        <w:rPr>
          <w:rFonts w:cstheme="minorHAnsi"/>
        </w:rPr>
        <w:t>entity</w:t>
      </w:r>
      <w:r w:rsidRPr="007A3506">
        <w:rPr>
          <w:rFonts w:cstheme="minorHAnsi"/>
        </w:rPr>
        <w:t>’s risk rating assessment.</w:t>
      </w:r>
      <w:r w:rsidR="004B7971" w:rsidRPr="007A3506">
        <w:rPr>
          <w:rFonts w:cstheme="minorHAnsi"/>
        </w:rPr>
        <w:t xml:space="preserve"> </w:t>
      </w:r>
      <w:r w:rsidR="00756138" w:rsidRPr="007A3506">
        <w:rPr>
          <w:rFonts w:cstheme="minorHAnsi"/>
        </w:rPr>
        <w:t xml:space="preserve">CARs are reviewed and expected to be closed by </w:t>
      </w:r>
      <w:r w:rsidR="004D4505" w:rsidRPr="007A3506">
        <w:rPr>
          <w:rFonts w:cstheme="minorHAnsi"/>
        </w:rPr>
        <w:t>entities</w:t>
      </w:r>
      <w:r w:rsidR="00756138" w:rsidRPr="007A3506">
        <w:rPr>
          <w:rFonts w:cstheme="minorHAnsi"/>
        </w:rPr>
        <w:t xml:space="preserve"> at the next onsite audit. To reinforce this requirement, </w:t>
      </w:r>
      <w:r w:rsidR="004D4505" w:rsidRPr="007A3506">
        <w:rPr>
          <w:rFonts w:cstheme="minorHAnsi"/>
        </w:rPr>
        <w:t>entities</w:t>
      </w:r>
      <w:r w:rsidR="00756138" w:rsidRPr="007A3506">
        <w:rPr>
          <w:rFonts w:cstheme="minorHAnsi"/>
        </w:rPr>
        <w:t xml:space="preserve"> must </w:t>
      </w:r>
      <w:r w:rsidR="004D4505" w:rsidRPr="007A3506">
        <w:rPr>
          <w:rFonts w:cstheme="minorHAnsi"/>
        </w:rPr>
        <w:t xml:space="preserve">send </w:t>
      </w:r>
      <w:r w:rsidR="00756138" w:rsidRPr="007A3506">
        <w:rPr>
          <w:rFonts w:cstheme="minorHAnsi"/>
        </w:rPr>
        <w:t>action plans to the FSC outlining the steps and timeframes in which corrective actions to address the CAR will be taken.</w:t>
      </w:r>
    </w:p>
    <w:p w14:paraId="55E8FBE9" w14:textId="66150098" w:rsidR="00910E94" w:rsidRPr="007A3506" w:rsidRDefault="00910E94" w:rsidP="75D8FD2A">
      <w:pPr>
        <w:rPr>
          <w:rFonts w:cstheme="minorHAnsi"/>
        </w:rPr>
      </w:pPr>
      <w:r w:rsidRPr="007A3506">
        <w:rPr>
          <w:rFonts w:cstheme="minorHAnsi"/>
        </w:rPr>
        <w:t>There is no fee charged for maintaining accreditation.</w:t>
      </w:r>
    </w:p>
    <w:p w14:paraId="36E92F22" w14:textId="77777777" w:rsidR="00F97730" w:rsidRPr="007A3506" w:rsidRDefault="00F97730">
      <w:pPr>
        <w:spacing w:after="160" w:line="259" w:lineRule="auto"/>
        <w:rPr>
          <w:rFonts w:eastAsiaTheme="majorEastAsia" w:cstheme="minorHAnsi"/>
          <w:b/>
          <w:color w:val="214050" w:themeColor="text2"/>
          <w:sz w:val="30"/>
          <w:szCs w:val="26"/>
        </w:rPr>
      </w:pPr>
      <w:r w:rsidRPr="007A3506">
        <w:rPr>
          <w:rFonts w:cstheme="minorHAnsi"/>
        </w:rPr>
        <w:br w:type="page"/>
      </w:r>
    </w:p>
    <w:p w14:paraId="3CD2A726" w14:textId="788ECBCC" w:rsidR="0041481B" w:rsidRPr="007A3506" w:rsidRDefault="0041481B" w:rsidP="0041481B">
      <w:pPr>
        <w:pStyle w:val="Heading2"/>
        <w:rPr>
          <w:rFonts w:asciiTheme="minorHAnsi" w:hAnsiTheme="minorHAnsi" w:cstheme="minorHAnsi"/>
        </w:rPr>
      </w:pPr>
      <w:bookmarkStart w:id="24" w:name="_Toc1551955726"/>
      <w:bookmarkStart w:id="25" w:name="_Toc139261435"/>
      <w:r w:rsidRPr="007A3506">
        <w:rPr>
          <w:rFonts w:asciiTheme="minorHAnsi" w:hAnsiTheme="minorHAnsi" w:cstheme="minorHAnsi"/>
        </w:rPr>
        <w:lastRenderedPageBreak/>
        <w:t xml:space="preserve">1.4 Risk </w:t>
      </w:r>
      <w:r w:rsidR="00B26E15" w:rsidRPr="007A3506">
        <w:rPr>
          <w:rFonts w:asciiTheme="minorHAnsi" w:hAnsiTheme="minorHAnsi" w:cstheme="minorHAnsi"/>
        </w:rPr>
        <w:t>R</w:t>
      </w:r>
      <w:r w:rsidRPr="007A3506">
        <w:rPr>
          <w:rFonts w:asciiTheme="minorHAnsi" w:hAnsiTheme="minorHAnsi" w:cstheme="minorHAnsi"/>
        </w:rPr>
        <w:t xml:space="preserve">atings and </w:t>
      </w:r>
      <w:bookmarkEnd w:id="24"/>
      <w:r w:rsidR="00B26E15" w:rsidRPr="007A3506">
        <w:rPr>
          <w:rFonts w:asciiTheme="minorHAnsi" w:hAnsiTheme="minorHAnsi" w:cstheme="minorHAnsi"/>
        </w:rPr>
        <w:t>C</w:t>
      </w:r>
      <w:r w:rsidRPr="007A3506">
        <w:rPr>
          <w:rFonts w:asciiTheme="minorHAnsi" w:hAnsiTheme="minorHAnsi" w:cstheme="minorHAnsi"/>
        </w:rPr>
        <w:t>ompliance</w:t>
      </w:r>
      <w:bookmarkEnd w:id="25"/>
      <w:r w:rsidRPr="007A3506">
        <w:rPr>
          <w:rFonts w:asciiTheme="minorHAnsi" w:hAnsiTheme="minorHAnsi" w:cstheme="minorHAnsi"/>
        </w:rPr>
        <w:t xml:space="preserve"> </w:t>
      </w:r>
    </w:p>
    <w:p w14:paraId="1C884721" w14:textId="41A3ACBD" w:rsidR="00D97CAE" w:rsidRPr="007A3506" w:rsidRDefault="00535E40" w:rsidP="004F3E45">
      <w:pPr>
        <w:rPr>
          <w:rFonts w:cstheme="minorHAnsi"/>
        </w:rPr>
      </w:pPr>
      <w:r w:rsidRPr="007A3506">
        <w:rPr>
          <w:rFonts w:cstheme="minorHAnsi"/>
        </w:rPr>
        <w:t>The FSC u</w:t>
      </w:r>
      <w:r w:rsidR="004F3E45" w:rsidRPr="007A3506">
        <w:rPr>
          <w:rFonts w:cstheme="minorHAnsi"/>
        </w:rPr>
        <w:t>ses</w:t>
      </w:r>
      <w:r w:rsidRPr="007A3506">
        <w:rPr>
          <w:rFonts w:cstheme="minorHAnsi"/>
        </w:rPr>
        <w:t xml:space="preserve"> a risk-based framework</w:t>
      </w:r>
      <w:r w:rsidR="00CE0465" w:rsidRPr="007A3506">
        <w:rPr>
          <w:rFonts w:cstheme="minorHAnsi"/>
        </w:rPr>
        <w:t xml:space="preserve"> (Framework)</w:t>
      </w:r>
      <w:r w:rsidRPr="007A3506">
        <w:rPr>
          <w:rFonts w:cstheme="minorHAnsi"/>
        </w:rPr>
        <w:t xml:space="preserve"> to manage accredited entity compliance with the conditions of accreditation. The </w:t>
      </w:r>
      <w:r w:rsidR="00CE0465" w:rsidRPr="007A3506">
        <w:rPr>
          <w:rFonts w:cstheme="minorHAnsi"/>
        </w:rPr>
        <w:t>F</w:t>
      </w:r>
      <w:r w:rsidRPr="007A3506">
        <w:rPr>
          <w:rFonts w:cstheme="minorHAnsi"/>
        </w:rPr>
        <w:t>ramework categorises accredited entities according to the likelihood of non-compliance with the conditions of accreditation. There are three level</w:t>
      </w:r>
      <w:r w:rsidR="00372CD9">
        <w:rPr>
          <w:rFonts w:cstheme="minorHAnsi"/>
        </w:rPr>
        <w:t>s</w:t>
      </w:r>
      <w:r w:rsidRPr="007A3506">
        <w:rPr>
          <w:rFonts w:cstheme="minorHAnsi"/>
        </w:rPr>
        <w:t xml:space="preserve"> of compliance risk under the </w:t>
      </w:r>
      <w:r w:rsidR="00CE0465" w:rsidRPr="007A3506">
        <w:rPr>
          <w:rFonts w:cstheme="minorHAnsi"/>
        </w:rPr>
        <w:t>F</w:t>
      </w:r>
      <w:r w:rsidRPr="007A3506">
        <w:rPr>
          <w:rFonts w:cstheme="minorHAnsi"/>
        </w:rPr>
        <w:t xml:space="preserve">ramework - </w:t>
      </w:r>
      <w:r w:rsidR="00895EC6" w:rsidRPr="007A3506">
        <w:rPr>
          <w:rFonts w:cstheme="minorHAnsi"/>
        </w:rPr>
        <w:t>low, medium or high.</w:t>
      </w:r>
      <w:r w:rsidR="00F56BA0" w:rsidRPr="007A3506">
        <w:rPr>
          <w:rFonts w:cstheme="minorHAnsi"/>
        </w:rPr>
        <w:t xml:space="preserve"> While a broad range of information about </w:t>
      </w:r>
      <w:r w:rsidR="00335F31" w:rsidRPr="007A3506">
        <w:rPr>
          <w:rFonts w:cstheme="minorHAnsi"/>
        </w:rPr>
        <w:t>entities</w:t>
      </w:r>
      <w:r w:rsidR="00F56BA0" w:rsidRPr="007A3506">
        <w:rPr>
          <w:rFonts w:cstheme="minorHAnsi"/>
        </w:rPr>
        <w:t xml:space="preserve"> is used to determine the risk level applied, some of the characteristics of entities at each level are summarised in the table below.</w:t>
      </w:r>
      <w:r w:rsidR="00461E4D" w:rsidRPr="007A3506">
        <w:rPr>
          <w:rFonts w:cstheme="minorHAnsi"/>
        </w:rPr>
        <w:br/>
      </w:r>
    </w:p>
    <w:tbl>
      <w:tblPr>
        <w:tblStyle w:val="DataTable1"/>
        <w:tblW w:w="9072" w:type="dxa"/>
        <w:tblLook w:val="04A0" w:firstRow="1" w:lastRow="0" w:firstColumn="1" w:lastColumn="0" w:noHBand="0" w:noVBand="1"/>
      </w:tblPr>
      <w:tblGrid>
        <w:gridCol w:w="1676"/>
        <w:gridCol w:w="2824"/>
        <w:gridCol w:w="2245"/>
        <w:gridCol w:w="2327"/>
      </w:tblGrid>
      <w:tr w:rsidR="00175867" w:rsidRPr="00E412D6" w14:paraId="5C068CAF" w14:textId="77777777" w:rsidTr="00B26E15">
        <w:trPr>
          <w:cnfStyle w:val="100000000000" w:firstRow="1" w:lastRow="0" w:firstColumn="0" w:lastColumn="0" w:oddVBand="0" w:evenVBand="0" w:oddHBand="0" w:evenHBand="0" w:firstRowFirstColumn="0" w:firstRowLastColumn="0" w:lastRowFirstColumn="0" w:lastRowLastColumn="0"/>
        </w:trPr>
        <w:tc>
          <w:tcPr>
            <w:tcW w:w="0" w:type="dxa"/>
          </w:tcPr>
          <w:p w14:paraId="0C2AD4A7" w14:textId="77777777" w:rsidR="00D97CAE" w:rsidRPr="007A3506" w:rsidRDefault="00D97CAE" w:rsidP="00EF063A">
            <w:pPr>
              <w:rPr>
                <w:rFonts w:cstheme="minorHAnsi"/>
                <w:b w:val="0"/>
              </w:rPr>
            </w:pPr>
            <w:r w:rsidRPr="007A3506">
              <w:rPr>
                <w:rFonts w:cstheme="minorHAnsi"/>
              </w:rPr>
              <w:t>Risk rating</w:t>
            </w:r>
          </w:p>
        </w:tc>
        <w:tc>
          <w:tcPr>
            <w:tcW w:w="0" w:type="dxa"/>
          </w:tcPr>
          <w:p w14:paraId="622CD0B9" w14:textId="1467F822" w:rsidR="00D97CAE" w:rsidRPr="007A3506" w:rsidRDefault="00F56BA0" w:rsidP="00EF063A">
            <w:pPr>
              <w:rPr>
                <w:rFonts w:cstheme="minorHAnsi"/>
                <w:b w:val="0"/>
              </w:rPr>
            </w:pPr>
            <w:r w:rsidRPr="007A3506">
              <w:rPr>
                <w:rFonts w:cstheme="minorHAnsi"/>
              </w:rPr>
              <w:t>Example c</w:t>
            </w:r>
            <w:r w:rsidR="00D97CAE" w:rsidRPr="007A3506">
              <w:rPr>
                <w:rFonts w:cstheme="minorHAnsi"/>
              </w:rPr>
              <w:t>haracteristics</w:t>
            </w:r>
            <w:r w:rsidRPr="007A3506">
              <w:rPr>
                <w:rFonts w:cstheme="minorHAnsi"/>
              </w:rPr>
              <w:t xml:space="preserve"> (non-exhaustive)</w:t>
            </w:r>
          </w:p>
        </w:tc>
        <w:tc>
          <w:tcPr>
            <w:tcW w:w="0" w:type="dxa"/>
          </w:tcPr>
          <w:p w14:paraId="6C50430A" w14:textId="77777777" w:rsidR="00D97CAE" w:rsidRPr="007A3506" w:rsidRDefault="00D97CAE" w:rsidP="00EF063A">
            <w:pPr>
              <w:rPr>
                <w:rFonts w:cstheme="minorHAnsi"/>
                <w:b w:val="0"/>
              </w:rPr>
            </w:pPr>
            <w:r w:rsidRPr="007A3506">
              <w:rPr>
                <w:rFonts w:cstheme="minorHAnsi"/>
              </w:rPr>
              <w:t>Audit frequency</w:t>
            </w:r>
          </w:p>
        </w:tc>
        <w:tc>
          <w:tcPr>
            <w:tcW w:w="0" w:type="dxa"/>
          </w:tcPr>
          <w:p w14:paraId="5E28BDCF" w14:textId="77777777" w:rsidR="00D97CAE" w:rsidRPr="007A3506" w:rsidRDefault="00D97CAE" w:rsidP="00EF063A">
            <w:pPr>
              <w:rPr>
                <w:rFonts w:cstheme="minorHAnsi"/>
                <w:b w:val="0"/>
              </w:rPr>
            </w:pPr>
            <w:r w:rsidRPr="007A3506">
              <w:rPr>
                <w:rFonts w:cstheme="minorHAnsi"/>
              </w:rPr>
              <w:t>Period of Accreditation</w:t>
            </w:r>
          </w:p>
        </w:tc>
      </w:tr>
      <w:tr w:rsidR="00D97CAE" w:rsidRPr="00E412D6" w14:paraId="1A111A5B" w14:textId="77777777" w:rsidTr="005D08F9">
        <w:tc>
          <w:tcPr>
            <w:tcW w:w="0" w:type="dxa"/>
          </w:tcPr>
          <w:p w14:paraId="024FF14A" w14:textId="77777777" w:rsidR="00D97CAE" w:rsidRPr="007A3506" w:rsidRDefault="00D97CAE" w:rsidP="00EF063A">
            <w:pPr>
              <w:rPr>
                <w:rFonts w:cstheme="minorHAnsi"/>
              </w:rPr>
            </w:pPr>
            <w:r w:rsidRPr="007A3506">
              <w:rPr>
                <w:rFonts w:cstheme="minorHAnsi"/>
              </w:rPr>
              <w:t>Low</w:t>
            </w:r>
          </w:p>
        </w:tc>
        <w:tc>
          <w:tcPr>
            <w:tcW w:w="0" w:type="dxa"/>
          </w:tcPr>
          <w:p w14:paraId="4FE863F2" w14:textId="5CB8C5B8" w:rsidR="00D97CAE" w:rsidRPr="007A3506" w:rsidRDefault="00EE6A2D" w:rsidP="00827707">
            <w:pPr>
              <w:pStyle w:val="ListParagraph"/>
              <w:numPr>
                <w:ilvl w:val="0"/>
                <w:numId w:val="15"/>
              </w:numPr>
              <w:spacing w:after="0" w:line="240" w:lineRule="auto"/>
              <w:rPr>
                <w:rFonts w:cstheme="minorHAnsi"/>
              </w:rPr>
            </w:pPr>
            <w:r w:rsidRPr="007A3506">
              <w:rPr>
                <w:rFonts w:cstheme="minorHAnsi"/>
              </w:rPr>
              <w:t>C</w:t>
            </w:r>
            <w:r w:rsidR="00D97CAE" w:rsidRPr="007A3506">
              <w:rPr>
                <w:rFonts w:cstheme="minorHAnsi"/>
              </w:rPr>
              <w:t xml:space="preserve">onsistently strong audit results </w:t>
            </w:r>
          </w:p>
          <w:p w14:paraId="214F205F" w14:textId="4F9DD907" w:rsidR="00D97CAE" w:rsidRPr="007A3506" w:rsidRDefault="00EE6A2D" w:rsidP="00827707">
            <w:pPr>
              <w:pStyle w:val="ListParagraph"/>
              <w:numPr>
                <w:ilvl w:val="0"/>
                <w:numId w:val="15"/>
              </w:numPr>
              <w:spacing w:after="0" w:line="240" w:lineRule="auto"/>
              <w:rPr>
                <w:rFonts w:cstheme="minorHAnsi"/>
              </w:rPr>
            </w:pPr>
            <w:r w:rsidRPr="007A3506">
              <w:rPr>
                <w:rFonts w:cstheme="minorHAnsi"/>
              </w:rPr>
              <w:t>T</w:t>
            </w:r>
            <w:r w:rsidR="00D97CAE" w:rsidRPr="007A3506">
              <w:rPr>
                <w:rFonts w:cstheme="minorHAnsi"/>
              </w:rPr>
              <w:t>imely and accurate biannual reporting</w:t>
            </w:r>
          </w:p>
          <w:p w14:paraId="7399A4BD" w14:textId="651F1E63" w:rsidR="00D97CAE" w:rsidRPr="007A3506" w:rsidRDefault="00EE6A2D" w:rsidP="00827707">
            <w:pPr>
              <w:pStyle w:val="ListParagraph"/>
              <w:numPr>
                <w:ilvl w:val="0"/>
                <w:numId w:val="15"/>
              </w:numPr>
              <w:spacing w:after="0" w:line="240" w:lineRule="auto"/>
              <w:rPr>
                <w:rFonts w:cstheme="minorHAnsi"/>
              </w:rPr>
            </w:pPr>
            <w:r w:rsidRPr="007A3506">
              <w:rPr>
                <w:rFonts w:cstheme="minorHAnsi"/>
              </w:rPr>
              <w:t>L</w:t>
            </w:r>
            <w:r w:rsidR="00D97CAE" w:rsidRPr="007A3506">
              <w:rPr>
                <w:rFonts w:cstheme="minorHAnsi"/>
              </w:rPr>
              <w:t>ow incident rates</w:t>
            </w:r>
          </w:p>
          <w:p w14:paraId="6851EAC2" w14:textId="77777777" w:rsidR="00D97CAE" w:rsidRPr="007A3506" w:rsidRDefault="00D97CAE" w:rsidP="00EF063A">
            <w:pPr>
              <w:pStyle w:val="ListParagraph"/>
              <w:spacing w:after="0"/>
              <w:ind w:left="360"/>
              <w:rPr>
                <w:rFonts w:cstheme="minorHAnsi"/>
              </w:rPr>
            </w:pPr>
          </w:p>
        </w:tc>
        <w:tc>
          <w:tcPr>
            <w:tcW w:w="0" w:type="dxa"/>
          </w:tcPr>
          <w:p w14:paraId="29A7F74F" w14:textId="77777777" w:rsidR="00D97CAE" w:rsidRPr="007A3506" w:rsidRDefault="00D97CAE" w:rsidP="00EF063A">
            <w:pPr>
              <w:rPr>
                <w:rFonts w:cstheme="minorHAnsi"/>
              </w:rPr>
            </w:pPr>
            <w:r w:rsidRPr="007A3506">
              <w:rPr>
                <w:rFonts w:cstheme="minorHAnsi"/>
              </w:rPr>
              <w:t>Annual</w:t>
            </w:r>
          </w:p>
        </w:tc>
        <w:tc>
          <w:tcPr>
            <w:tcW w:w="0" w:type="dxa"/>
          </w:tcPr>
          <w:p w14:paraId="2BC75B94" w14:textId="77777777" w:rsidR="00D97CAE" w:rsidRPr="007A3506" w:rsidRDefault="00D97CAE" w:rsidP="00EF063A">
            <w:pPr>
              <w:rPr>
                <w:rFonts w:cstheme="minorHAnsi"/>
              </w:rPr>
            </w:pPr>
            <w:r w:rsidRPr="007A3506">
              <w:rPr>
                <w:rFonts w:cstheme="minorHAnsi"/>
              </w:rPr>
              <w:t>Six years</w:t>
            </w:r>
          </w:p>
        </w:tc>
      </w:tr>
      <w:tr w:rsidR="00D97CAE" w:rsidRPr="00E412D6" w14:paraId="20E4A5CC" w14:textId="77777777" w:rsidTr="005D08F9">
        <w:tc>
          <w:tcPr>
            <w:tcW w:w="0" w:type="dxa"/>
          </w:tcPr>
          <w:p w14:paraId="1D2CC384" w14:textId="77777777" w:rsidR="00D97CAE" w:rsidRPr="007A3506" w:rsidRDefault="00D97CAE" w:rsidP="00EF063A">
            <w:pPr>
              <w:rPr>
                <w:rFonts w:cstheme="minorHAnsi"/>
              </w:rPr>
            </w:pPr>
            <w:r w:rsidRPr="007A3506">
              <w:rPr>
                <w:rFonts w:cstheme="minorHAnsi"/>
              </w:rPr>
              <w:t>Medium</w:t>
            </w:r>
            <w:r w:rsidRPr="007A3506">
              <w:rPr>
                <w:rStyle w:val="FootnoteReference"/>
                <w:rFonts w:cstheme="minorHAnsi"/>
              </w:rPr>
              <w:footnoteReference w:id="10"/>
            </w:r>
          </w:p>
        </w:tc>
        <w:tc>
          <w:tcPr>
            <w:tcW w:w="0" w:type="dxa"/>
          </w:tcPr>
          <w:p w14:paraId="59556A1B" w14:textId="75DD9666" w:rsidR="00D97CAE" w:rsidRPr="007A3506" w:rsidRDefault="00670AB7" w:rsidP="00827707">
            <w:pPr>
              <w:pStyle w:val="ListParagraph"/>
              <w:numPr>
                <w:ilvl w:val="0"/>
                <w:numId w:val="15"/>
              </w:numPr>
              <w:spacing w:after="0" w:line="240" w:lineRule="auto"/>
              <w:rPr>
                <w:rFonts w:cstheme="minorHAnsi"/>
              </w:rPr>
            </w:pPr>
            <w:r w:rsidRPr="007A3506">
              <w:rPr>
                <w:rFonts w:cstheme="minorHAnsi"/>
              </w:rPr>
              <w:t>A</w:t>
            </w:r>
            <w:r w:rsidR="00D97CAE" w:rsidRPr="007A3506">
              <w:rPr>
                <w:rFonts w:cstheme="minorHAnsi"/>
              </w:rPr>
              <w:t xml:space="preserve"> higher number of CARS following an audit </w:t>
            </w:r>
          </w:p>
          <w:p w14:paraId="3CD46EC4" w14:textId="1BA86DB2" w:rsidR="00D97CAE" w:rsidRPr="007A3506" w:rsidRDefault="00670AB7" w:rsidP="00827707">
            <w:pPr>
              <w:pStyle w:val="ListParagraph"/>
              <w:numPr>
                <w:ilvl w:val="0"/>
                <w:numId w:val="15"/>
              </w:numPr>
              <w:spacing w:after="0" w:line="240" w:lineRule="auto"/>
              <w:rPr>
                <w:rFonts w:cstheme="minorHAnsi"/>
              </w:rPr>
            </w:pPr>
            <w:r w:rsidRPr="007A3506">
              <w:rPr>
                <w:rFonts w:cstheme="minorHAnsi"/>
              </w:rPr>
              <w:t>A</w:t>
            </w:r>
            <w:r w:rsidR="00D97CAE" w:rsidRPr="007A3506">
              <w:rPr>
                <w:rFonts w:cstheme="minorHAnsi"/>
              </w:rPr>
              <w:t>n incident rate th</w:t>
            </w:r>
            <w:r w:rsidR="000A477B" w:rsidRPr="007A3506">
              <w:rPr>
                <w:rFonts w:cstheme="minorHAnsi"/>
              </w:rPr>
              <w:t>at</w:t>
            </w:r>
            <w:r w:rsidR="00D97CAE" w:rsidRPr="007A3506">
              <w:rPr>
                <w:rFonts w:cstheme="minorHAnsi"/>
              </w:rPr>
              <w:t xml:space="preserve"> is above average for accredited </w:t>
            </w:r>
            <w:r w:rsidR="003035A0" w:rsidRPr="007A3506">
              <w:rPr>
                <w:rFonts w:cstheme="minorHAnsi"/>
              </w:rPr>
              <w:t>entities</w:t>
            </w:r>
          </w:p>
          <w:p w14:paraId="3CAA30B1" w14:textId="7DC6FE4D" w:rsidR="00D97CAE" w:rsidRPr="007A3506" w:rsidRDefault="00670AB7" w:rsidP="00827707">
            <w:pPr>
              <w:pStyle w:val="ListParagraph"/>
              <w:numPr>
                <w:ilvl w:val="0"/>
                <w:numId w:val="15"/>
              </w:numPr>
              <w:spacing w:after="0" w:line="240" w:lineRule="auto"/>
              <w:rPr>
                <w:rFonts w:cstheme="minorHAnsi"/>
              </w:rPr>
            </w:pPr>
            <w:r w:rsidRPr="007A3506">
              <w:rPr>
                <w:rFonts w:cstheme="minorHAnsi"/>
              </w:rPr>
              <w:t>D</w:t>
            </w:r>
            <w:r w:rsidR="00D97CAE" w:rsidRPr="007A3506">
              <w:rPr>
                <w:rFonts w:cstheme="minorHAnsi"/>
              </w:rPr>
              <w:t>elay in meeting the reporting obligations</w:t>
            </w:r>
          </w:p>
          <w:p w14:paraId="681AC7D2" w14:textId="77777777" w:rsidR="00D97CAE" w:rsidRPr="007A3506" w:rsidRDefault="00D97CAE" w:rsidP="00EF063A">
            <w:pPr>
              <w:contextualSpacing/>
              <w:rPr>
                <w:rFonts w:cstheme="minorHAnsi"/>
              </w:rPr>
            </w:pPr>
          </w:p>
        </w:tc>
        <w:tc>
          <w:tcPr>
            <w:tcW w:w="0" w:type="dxa"/>
          </w:tcPr>
          <w:p w14:paraId="6670B51A" w14:textId="77777777" w:rsidR="00D97CAE" w:rsidRPr="007A3506" w:rsidRDefault="00D97CAE" w:rsidP="00EF063A">
            <w:pPr>
              <w:rPr>
                <w:rFonts w:cstheme="minorHAnsi"/>
              </w:rPr>
            </w:pPr>
            <w:r w:rsidRPr="007A3506">
              <w:rPr>
                <w:rFonts w:cstheme="minorHAnsi"/>
              </w:rPr>
              <w:t>Bi-annual</w:t>
            </w:r>
          </w:p>
        </w:tc>
        <w:tc>
          <w:tcPr>
            <w:tcW w:w="0" w:type="dxa"/>
          </w:tcPr>
          <w:p w14:paraId="0CE0A347" w14:textId="77777777" w:rsidR="00D97CAE" w:rsidRPr="007A3506" w:rsidRDefault="00D97CAE" w:rsidP="00EF063A">
            <w:pPr>
              <w:rPr>
                <w:rFonts w:cstheme="minorHAnsi"/>
              </w:rPr>
            </w:pPr>
            <w:r w:rsidRPr="007A3506">
              <w:rPr>
                <w:rFonts w:cstheme="minorHAnsi"/>
              </w:rPr>
              <w:t>Three years</w:t>
            </w:r>
          </w:p>
        </w:tc>
      </w:tr>
      <w:tr w:rsidR="00D97CAE" w:rsidRPr="00E412D6" w14:paraId="19E1A202" w14:textId="77777777" w:rsidTr="005D08F9">
        <w:tc>
          <w:tcPr>
            <w:tcW w:w="0" w:type="dxa"/>
          </w:tcPr>
          <w:p w14:paraId="7EB95620" w14:textId="77777777" w:rsidR="00D97CAE" w:rsidRPr="007A3506" w:rsidRDefault="00D97CAE" w:rsidP="00EF063A">
            <w:pPr>
              <w:rPr>
                <w:rFonts w:cstheme="minorHAnsi"/>
              </w:rPr>
            </w:pPr>
            <w:r w:rsidRPr="007A3506">
              <w:rPr>
                <w:rFonts w:cstheme="minorHAnsi"/>
              </w:rPr>
              <w:t>High</w:t>
            </w:r>
          </w:p>
        </w:tc>
        <w:tc>
          <w:tcPr>
            <w:tcW w:w="0" w:type="dxa"/>
          </w:tcPr>
          <w:p w14:paraId="600C99EB" w14:textId="77777777" w:rsidR="00D97CAE" w:rsidRPr="007A3506" w:rsidRDefault="00E04401" w:rsidP="00827707">
            <w:pPr>
              <w:pStyle w:val="ListParagraph"/>
              <w:numPr>
                <w:ilvl w:val="0"/>
                <w:numId w:val="15"/>
              </w:numPr>
              <w:spacing w:after="0" w:line="240" w:lineRule="auto"/>
              <w:rPr>
                <w:rFonts w:cstheme="minorHAnsi"/>
              </w:rPr>
            </w:pPr>
            <w:r w:rsidRPr="007A3506">
              <w:rPr>
                <w:rFonts w:cstheme="minorHAnsi"/>
              </w:rPr>
              <w:t>C</w:t>
            </w:r>
            <w:r w:rsidR="00D97CAE" w:rsidRPr="007A3506">
              <w:rPr>
                <w:rFonts w:cstheme="minorHAnsi"/>
              </w:rPr>
              <w:t>onsistent poor performance at audits, for example through a poor CAR closure rate</w:t>
            </w:r>
          </w:p>
          <w:p w14:paraId="5E79B14C" w14:textId="77777777" w:rsidR="00D97CAE" w:rsidRPr="007A3506" w:rsidRDefault="00E04401" w:rsidP="00827707">
            <w:pPr>
              <w:pStyle w:val="ListParagraph"/>
              <w:numPr>
                <w:ilvl w:val="0"/>
                <w:numId w:val="15"/>
              </w:numPr>
              <w:spacing w:after="0" w:line="240" w:lineRule="auto"/>
              <w:rPr>
                <w:rFonts w:cstheme="minorHAnsi"/>
              </w:rPr>
            </w:pPr>
            <w:r w:rsidRPr="007A3506">
              <w:rPr>
                <w:rFonts w:cstheme="minorHAnsi"/>
              </w:rPr>
              <w:t>I</w:t>
            </w:r>
            <w:r w:rsidR="00D97CAE" w:rsidRPr="007A3506">
              <w:rPr>
                <w:rFonts w:cstheme="minorHAnsi"/>
              </w:rPr>
              <w:t>mmediate risks identified at audits</w:t>
            </w:r>
          </w:p>
          <w:p w14:paraId="7D93A425" w14:textId="76A5556B" w:rsidR="00D97CAE" w:rsidRPr="007A3506" w:rsidRDefault="005D14BA" w:rsidP="00827707">
            <w:pPr>
              <w:pStyle w:val="ListParagraph"/>
              <w:numPr>
                <w:ilvl w:val="0"/>
                <w:numId w:val="15"/>
              </w:numPr>
              <w:spacing w:after="0" w:line="240" w:lineRule="auto"/>
              <w:rPr>
                <w:rFonts w:cstheme="minorHAnsi"/>
              </w:rPr>
            </w:pPr>
            <w:r w:rsidRPr="007A3506">
              <w:rPr>
                <w:rFonts w:cstheme="minorHAnsi"/>
              </w:rPr>
              <w:t>S</w:t>
            </w:r>
            <w:r w:rsidR="00D97CAE" w:rsidRPr="007A3506">
              <w:rPr>
                <w:rFonts w:cstheme="minorHAnsi"/>
              </w:rPr>
              <w:t xml:space="preserve">erious non-compliance with the conditions of accreditation (e.g. repeated delays in meeting the reporting obligations required of an accredited </w:t>
            </w:r>
            <w:r w:rsidR="003035A0" w:rsidRPr="007A3506">
              <w:rPr>
                <w:rFonts w:cstheme="minorHAnsi"/>
              </w:rPr>
              <w:t>entity</w:t>
            </w:r>
            <w:r w:rsidR="00D97CAE" w:rsidRPr="007A3506">
              <w:rPr>
                <w:rFonts w:cstheme="minorHAnsi"/>
              </w:rPr>
              <w:t>)</w:t>
            </w:r>
          </w:p>
          <w:p w14:paraId="0EFF8DE9" w14:textId="16A9C1AC" w:rsidR="00D97CAE" w:rsidRPr="007A3506" w:rsidRDefault="005D14BA" w:rsidP="00827707">
            <w:pPr>
              <w:pStyle w:val="ListParagraph"/>
              <w:numPr>
                <w:ilvl w:val="0"/>
                <w:numId w:val="15"/>
              </w:numPr>
              <w:spacing w:after="0" w:line="240" w:lineRule="auto"/>
              <w:rPr>
                <w:rFonts w:cstheme="minorHAnsi"/>
              </w:rPr>
            </w:pPr>
            <w:r w:rsidRPr="007A3506">
              <w:rPr>
                <w:rFonts w:cstheme="minorHAnsi"/>
              </w:rPr>
              <w:t>A</w:t>
            </w:r>
            <w:r w:rsidR="00D97CAE" w:rsidRPr="007A3506">
              <w:rPr>
                <w:rFonts w:cstheme="minorHAnsi"/>
              </w:rPr>
              <w:t xml:space="preserve"> fatality or serious incident occurs on site that indicates significant shortfalls in WHS systems</w:t>
            </w:r>
          </w:p>
        </w:tc>
        <w:tc>
          <w:tcPr>
            <w:tcW w:w="0" w:type="dxa"/>
          </w:tcPr>
          <w:p w14:paraId="5BF4F529" w14:textId="77777777" w:rsidR="00D97CAE" w:rsidRPr="007A3506" w:rsidRDefault="00D97CAE" w:rsidP="00EF063A">
            <w:pPr>
              <w:rPr>
                <w:rFonts w:cstheme="minorHAnsi"/>
              </w:rPr>
            </w:pPr>
            <w:r w:rsidRPr="007A3506">
              <w:rPr>
                <w:rFonts w:cstheme="minorHAnsi"/>
              </w:rPr>
              <w:t xml:space="preserve">Per the conditions of accreditation </w:t>
            </w:r>
          </w:p>
        </w:tc>
        <w:tc>
          <w:tcPr>
            <w:tcW w:w="0" w:type="dxa"/>
          </w:tcPr>
          <w:p w14:paraId="5F6DFF22" w14:textId="77777777" w:rsidR="00D97CAE" w:rsidRPr="007A3506" w:rsidRDefault="00D97CAE" w:rsidP="00EF063A">
            <w:pPr>
              <w:rPr>
                <w:rFonts w:cstheme="minorHAnsi"/>
              </w:rPr>
            </w:pPr>
            <w:r w:rsidRPr="007A3506">
              <w:rPr>
                <w:rFonts w:cstheme="minorHAnsi"/>
              </w:rPr>
              <w:t>Per the conditions of accreditation</w:t>
            </w:r>
          </w:p>
        </w:tc>
      </w:tr>
    </w:tbl>
    <w:p w14:paraId="33F964CA" w14:textId="1FF4C7E0" w:rsidR="00C51E5B" w:rsidRPr="007A3506" w:rsidRDefault="00C51E5B" w:rsidP="0063436E">
      <w:pPr>
        <w:rPr>
          <w:rFonts w:cstheme="minorHAnsi"/>
        </w:rPr>
      </w:pPr>
      <w:r w:rsidRPr="007A3506">
        <w:rPr>
          <w:rFonts w:cstheme="minorHAnsi"/>
        </w:rPr>
        <w:lastRenderedPageBreak/>
        <w:t xml:space="preserve">The graph below summarises the proportion of </w:t>
      </w:r>
      <w:r w:rsidR="00335F31" w:rsidRPr="007A3506">
        <w:rPr>
          <w:rFonts w:cstheme="minorHAnsi"/>
        </w:rPr>
        <w:t>entities</w:t>
      </w:r>
      <w:r w:rsidRPr="007A3506">
        <w:rPr>
          <w:rFonts w:cstheme="minorHAnsi"/>
        </w:rPr>
        <w:t xml:space="preserve"> at each risk rating of the Framework as at </w:t>
      </w:r>
      <w:r w:rsidR="00F82920" w:rsidRPr="007A3506">
        <w:rPr>
          <w:rFonts w:cstheme="minorHAnsi"/>
        </w:rPr>
        <w:br/>
      </w:r>
      <w:r w:rsidRPr="007A3506">
        <w:rPr>
          <w:rFonts w:cstheme="minorHAnsi"/>
        </w:rPr>
        <w:t xml:space="preserve">21 June 2023. There is no public disclosure of the risk ratings of </w:t>
      </w:r>
      <w:r w:rsidR="00335F31" w:rsidRPr="007A3506">
        <w:rPr>
          <w:rFonts w:cstheme="minorHAnsi"/>
        </w:rPr>
        <w:t>entitie</w:t>
      </w:r>
      <w:r w:rsidRPr="007A3506">
        <w:rPr>
          <w:rFonts w:cstheme="minorHAnsi"/>
        </w:rPr>
        <w:t>s. The rating is used internally by the FSC primarily to determine the frequency of audits.</w:t>
      </w:r>
    </w:p>
    <w:p w14:paraId="7CF3D4A5" w14:textId="64A19212" w:rsidR="00551905" w:rsidRPr="007A3506" w:rsidRDefault="00F4573A" w:rsidP="0063436E">
      <w:pPr>
        <w:rPr>
          <w:rFonts w:cstheme="minorHAnsi"/>
        </w:rPr>
      </w:pPr>
      <w:r w:rsidRPr="007A3506">
        <w:rPr>
          <w:rFonts w:cstheme="minorHAnsi"/>
          <w:noProof/>
        </w:rPr>
        <w:drawing>
          <wp:inline distT="0" distB="0" distL="0" distR="0" wp14:anchorId="7DAFABF6" wp14:editId="4418E168">
            <wp:extent cx="5015865" cy="3114675"/>
            <wp:effectExtent l="0" t="0" r="0" b="9525"/>
            <wp:docPr id="121971486" name="Picture 121971486" descr="A pie chart summarising the proportion of companies at each risk rating of the OFSC Risk Framework, as at 21 June 2023 - High risk 2%, medium risk 18% and low ris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1486" name="Picture 121971486" descr="A pie chart summarising the proportion of companies at each risk rating of the OFSC Risk Framework, as at 21 June 2023 - High risk 2%, medium risk 18% and low risk 80%."/>
                    <pic:cNvPicPr/>
                  </pic:nvPicPr>
                  <pic:blipFill>
                    <a:blip r:embed="rId16">
                      <a:extLst>
                        <a:ext uri="{28A0092B-C50C-407E-A947-70E740481C1C}">
                          <a14:useLocalDpi xmlns:a14="http://schemas.microsoft.com/office/drawing/2010/main" val="0"/>
                        </a:ext>
                      </a:extLst>
                    </a:blip>
                    <a:stretch>
                      <a:fillRect/>
                    </a:stretch>
                  </pic:blipFill>
                  <pic:spPr>
                    <a:xfrm>
                      <a:off x="0" y="0"/>
                      <a:ext cx="5015865" cy="3114675"/>
                    </a:xfrm>
                    <a:prstGeom prst="rect">
                      <a:avLst/>
                    </a:prstGeom>
                  </pic:spPr>
                </pic:pic>
              </a:graphicData>
            </a:graphic>
          </wp:inline>
        </w:drawing>
      </w:r>
    </w:p>
    <w:p w14:paraId="2C638649" w14:textId="0977B28A" w:rsidR="0048656B" w:rsidRPr="007A3506" w:rsidRDefault="0048656B" w:rsidP="002F0DB6">
      <w:pPr>
        <w:rPr>
          <w:rFonts w:cstheme="minorHAnsi"/>
        </w:rPr>
      </w:pPr>
      <w:bookmarkStart w:id="26" w:name="_Toc138428270"/>
    </w:p>
    <w:p w14:paraId="505D6414" w14:textId="2A983630" w:rsidR="002F0DB6" w:rsidRPr="007A3506" w:rsidRDefault="002F0DB6" w:rsidP="002F0DB6">
      <w:pPr>
        <w:rPr>
          <w:rFonts w:cstheme="minorHAnsi"/>
        </w:rPr>
      </w:pPr>
      <w:r w:rsidRPr="007A3506">
        <w:rPr>
          <w:rFonts w:cstheme="minorHAnsi"/>
        </w:rPr>
        <w:t>Rule 18 allows the FSC to take the following compliance action against an accredited entity:</w:t>
      </w:r>
    </w:p>
    <w:p w14:paraId="29D524CA" w14:textId="77777777" w:rsidR="002F0DB6" w:rsidRPr="007A3506" w:rsidRDefault="002F0DB6" w:rsidP="002F0DB6">
      <w:pPr>
        <w:pStyle w:val="Heading3"/>
        <w:rPr>
          <w:rFonts w:asciiTheme="minorHAnsi" w:hAnsiTheme="minorHAnsi" w:cstheme="minorHAnsi"/>
        </w:rPr>
      </w:pPr>
      <w:bookmarkStart w:id="27" w:name="_Toc394518031"/>
      <w:bookmarkStart w:id="28" w:name="_Toc139261436"/>
      <w:r w:rsidRPr="007A3506">
        <w:rPr>
          <w:rFonts w:asciiTheme="minorHAnsi" w:hAnsiTheme="minorHAnsi" w:cstheme="minorHAnsi"/>
        </w:rPr>
        <w:t>1.4.1 Administrative</w:t>
      </w:r>
      <w:bookmarkEnd w:id="27"/>
      <w:bookmarkEnd w:id="28"/>
      <w:r w:rsidRPr="007A3506">
        <w:rPr>
          <w:rFonts w:asciiTheme="minorHAnsi" w:hAnsiTheme="minorHAnsi" w:cstheme="minorHAnsi"/>
        </w:rPr>
        <w:t xml:space="preserve"> </w:t>
      </w:r>
    </w:p>
    <w:p w14:paraId="70F124D5" w14:textId="77777777" w:rsidR="002F0DB6" w:rsidRPr="007A3506" w:rsidRDefault="002F0DB6" w:rsidP="002F0DB6">
      <w:pPr>
        <w:pStyle w:val="PURPLEBullet"/>
        <w:spacing w:after="200"/>
        <w:rPr>
          <w:rFonts w:cstheme="minorHAnsi"/>
        </w:rPr>
      </w:pPr>
      <w:r w:rsidRPr="007A3506">
        <w:rPr>
          <w:rFonts w:cstheme="minorHAnsi"/>
        </w:rPr>
        <w:t xml:space="preserve">Require the provision of an action plan outlining how non-conformance with audit criteria will be addressed; </w:t>
      </w:r>
    </w:p>
    <w:p w14:paraId="6E1EFC35" w14:textId="77777777" w:rsidR="002F0DB6" w:rsidRPr="007A3506" w:rsidRDefault="002F0DB6" w:rsidP="002F0DB6">
      <w:pPr>
        <w:pStyle w:val="PURPLEBullet"/>
        <w:spacing w:after="200"/>
        <w:rPr>
          <w:rFonts w:cstheme="minorHAnsi"/>
        </w:rPr>
      </w:pPr>
      <w:r w:rsidRPr="007A3506">
        <w:rPr>
          <w:rFonts w:cstheme="minorHAnsi"/>
        </w:rPr>
        <w:t xml:space="preserve">Require evidence that non-conformance with audit criteria have been addressed, for review by an FSO; </w:t>
      </w:r>
    </w:p>
    <w:p w14:paraId="35BE6EC5" w14:textId="77777777" w:rsidR="002F0DB6" w:rsidRPr="007A3506" w:rsidRDefault="002F0DB6" w:rsidP="002F0DB6">
      <w:pPr>
        <w:pStyle w:val="PURPLEBullet"/>
        <w:spacing w:after="200"/>
        <w:rPr>
          <w:rFonts w:cstheme="minorHAnsi"/>
        </w:rPr>
      </w:pPr>
      <w:r w:rsidRPr="007A3506">
        <w:rPr>
          <w:rFonts w:cstheme="minorHAnsi"/>
        </w:rPr>
        <w:t xml:space="preserve">Undertake a follow-up audit to confirm that non-conformances with audit criteria have been addressed or to examine particular FSC Audit Criteria; and/or </w:t>
      </w:r>
    </w:p>
    <w:p w14:paraId="65AC5C99" w14:textId="294FE42D" w:rsidR="002F0DB6" w:rsidRPr="007A3506" w:rsidRDefault="002F0DB6" w:rsidP="002F0DB6">
      <w:pPr>
        <w:pStyle w:val="PURPLEBullet"/>
        <w:spacing w:after="200"/>
        <w:rPr>
          <w:rFonts w:cstheme="minorHAnsi"/>
        </w:rPr>
      </w:pPr>
      <w:r w:rsidRPr="007A3506">
        <w:rPr>
          <w:rFonts w:cstheme="minorHAnsi"/>
        </w:rPr>
        <w:t xml:space="preserve">Require information on how </w:t>
      </w:r>
      <w:r w:rsidR="00215355" w:rsidRPr="007A3506">
        <w:rPr>
          <w:rFonts w:cstheme="minorHAnsi"/>
        </w:rPr>
        <w:t>an entity</w:t>
      </w:r>
      <w:r w:rsidRPr="007A3506">
        <w:rPr>
          <w:rFonts w:cstheme="minorHAnsi"/>
        </w:rPr>
        <w:t xml:space="preserve"> has responded to a particular WHS incident or unsafe practice.</w:t>
      </w:r>
      <w:r w:rsidR="002766BC" w:rsidRPr="007A3506">
        <w:rPr>
          <w:rFonts w:cstheme="minorHAnsi"/>
        </w:rPr>
        <w:br/>
      </w:r>
    </w:p>
    <w:p w14:paraId="20693C0A" w14:textId="77777777" w:rsidR="002F0DB6" w:rsidRPr="007A3506" w:rsidRDefault="002F0DB6" w:rsidP="002F0DB6">
      <w:pPr>
        <w:pStyle w:val="Heading3"/>
        <w:rPr>
          <w:rFonts w:asciiTheme="minorHAnsi" w:hAnsiTheme="minorHAnsi" w:cstheme="minorHAnsi"/>
        </w:rPr>
      </w:pPr>
      <w:bookmarkStart w:id="29" w:name="_Toc121806882"/>
      <w:bookmarkStart w:id="30" w:name="_Toc139261437"/>
      <w:r w:rsidRPr="007A3506">
        <w:rPr>
          <w:rFonts w:asciiTheme="minorHAnsi" w:hAnsiTheme="minorHAnsi" w:cstheme="minorHAnsi"/>
        </w:rPr>
        <w:t>1.4.2 Legislative</w:t>
      </w:r>
      <w:bookmarkEnd w:id="29"/>
      <w:bookmarkEnd w:id="30"/>
      <w:r w:rsidRPr="007A3506">
        <w:rPr>
          <w:rFonts w:asciiTheme="minorHAnsi" w:hAnsiTheme="minorHAnsi" w:cstheme="minorHAnsi"/>
        </w:rPr>
        <w:t xml:space="preserve"> </w:t>
      </w:r>
    </w:p>
    <w:p w14:paraId="0031190A" w14:textId="77777777" w:rsidR="002F0DB6" w:rsidRPr="007A3506" w:rsidRDefault="002F0DB6" w:rsidP="002F0DB6">
      <w:pPr>
        <w:pStyle w:val="PURPLEBullet"/>
        <w:spacing w:after="200"/>
        <w:rPr>
          <w:rFonts w:cstheme="minorHAnsi"/>
        </w:rPr>
      </w:pPr>
      <w:r w:rsidRPr="007A3506">
        <w:rPr>
          <w:rFonts w:cstheme="minorHAnsi"/>
        </w:rPr>
        <w:t>Impose further conditions of accreditation;</w:t>
      </w:r>
    </w:p>
    <w:p w14:paraId="769A3A18" w14:textId="77777777" w:rsidR="002F0DB6" w:rsidRPr="007A3506" w:rsidRDefault="002F0DB6" w:rsidP="002F0DB6">
      <w:pPr>
        <w:pStyle w:val="PURPLEBullet"/>
        <w:spacing w:after="200"/>
        <w:rPr>
          <w:rFonts w:cstheme="minorHAnsi"/>
        </w:rPr>
      </w:pPr>
      <w:r w:rsidRPr="007A3506">
        <w:rPr>
          <w:rFonts w:cstheme="minorHAnsi"/>
        </w:rPr>
        <w:t xml:space="preserve">Suspend accreditation; and/or </w:t>
      </w:r>
    </w:p>
    <w:p w14:paraId="15B3A408" w14:textId="77777777" w:rsidR="002F0DB6" w:rsidRPr="007A3506" w:rsidRDefault="002F0DB6" w:rsidP="002F0DB6">
      <w:pPr>
        <w:pStyle w:val="PURPLEBullet"/>
        <w:spacing w:after="200"/>
        <w:rPr>
          <w:rFonts w:cstheme="minorHAnsi"/>
        </w:rPr>
      </w:pPr>
      <w:r w:rsidRPr="007A3506">
        <w:rPr>
          <w:rFonts w:cstheme="minorHAnsi"/>
        </w:rPr>
        <w:t xml:space="preserve">Revoke accreditation. </w:t>
      </w:r>
    </w:p>
    <w:p w14:paraId="04CB2F2A" w14:textId="77777777" w:rsidR="002F0DB6" w:rsidRPr="007A3506" w:rsidRDefault="002F0DB6">
      <w:pPr>
        <w:spacing w:after="160" w:line="259" w:lineRule="auto"/>
        <w:rPr>
          <w:rFonts w:cstheme="minorHAnsi"/>
        </w:rPr>
      </w:pPr>
      <w:r w:rsidRPr="007A3506">
        <w:rPr>
          <w:rFonts w:cstheme="minorHAnsi"/>
        </w:rPr>
        <w:br w:type="page"/>
      </w:r>
    </w:p>
    <w:p w14:paraId="27A88BC4" w14:textId="61E762EE" w:rsidR="002F0DB6" w:rsidRPr="007A3506" w:rsidRDefault="002F0DB6" w:rsidP="002F0DB6">
      <w:pPr>
        <w:pStyle w:val="BLUE-Bullet"/>
        <w:numPr>
          <w:ilvl w:val="0"/>
          <w:numId w:val="0"/>
        </w:numPr>
        <w:rPr>
          <w:rFonts w:cstheme="minorHAnsi"/>
        </w:rPr>
      </w:pPr>
      <w:r w:rsidRPr="007A3506">
        <w:rPr>
          <w:rFonts w:cstheme="minorHAnsi"/>
        </w:rPr>
        <w:lastRenderedPageBreak/>
        <w:t>The following table outlines the FSC’s compliance actions taken over recent years.</w:t>
      </w:r>
    </w:p>
    <w:p w14:paraId="0806B546" w14:textId="77777777" w:rsidR="002F0DB6" w:rsidRPr="007A3506" w:rsidRDefault="002F0DB6" w:rsidP="002F0DB6">
      <w:pPr>
        <w:pStyle w:val="BLUE-Bullet"/>
        <w:numPr>
          <w:ilvl w:val="0"/>
          <w:numId w:val="0"/>
        </w:numPr>
        <w:ind w:left="357"/>
        <w:rPr>
          <w:rFonts w:cstheme="minorHAnsi"/>
        </w:rPr>
      </w:pPr>
      <w:r w:rsidRPr="007A3506">
        <w:rPr>
          <w:rFonts w:cstheme="minorHAnsi"/>
        </w:rPr>
        <w:t xml:space="preserve"> </w:t>
      </w:r>
    </w:p>
    <w:tbl>
      <w:tblPr>
        <w:tblStyle w:val="DataTable1"/>
        <w:tblW w:w="9214" w:type="dxa"/>
        <w:tblLook w:val="04A0" w:firstRow="1" w:lastRow="0" w:firstColumn="1" w:lastColumn="0" w:noHBand="0" w:noVBand="1"/>
      </w:tblPr>
      <w:tblGrid>
        <w:gridCol w:w="1842"/>
        <w:gridCol w:w="1843"/>
        <w:gridCol w:w="1843"/>
        <w:gridCol w:w="1843"/>
        <w:gridCol w:w="1843"/>
      </w:tblGrid>
      <w:tr w:rsidR="002F0DB6" w:rsidRPr="00E412D6" w14:paraId="01C0EB6D" w14:textId="77777777" w:rsidTr="00ED627E">
        <w:trPr>
          <w:cnfStyle w:val="100000000000" w:firstRow="1" w:lastRow="0" w:firstColumn="0" w:lastColumn="0" w:oddVBand="0" w:evenVBand="0" w:oddHBand="0" w:evenHBand="0" w:firstRowFirstColumn="0" w:firstRowLastColumn="0" w:lastRowFirstColumn="0" w:lastRowLastColumn="0"/>
          <w:trHeight w:val="514"/>
        </w:trPr>
        <w:tc>
          <w:tcPr>
            <w:tcW w:w="1842" w:type="dxa"/>
            <w:hideMark/>
          </w:tcPr>
          <w:p w14:paraId="0464F475" w14:textId="77777777" w:rsidR="002F0DB6" w:rsidRPr="007A3506" w:rsidRDefault="002F0DB6" w:rsidP="00BE1BDC">
            <w:pPr>
              <w:spacing w:after="0" w:line="240" w:lineRule="auto"/>
              <w:rPr>
                <w:rFonts w:eastAsia="Times New Roman" w:cstheme="minorHAnsi"/>
                <w:lang w:eastAsia="en-AU"/>
              </w:rPr>
            </w:pPr>
            <w:r w:rsidRPr="007A3506">
              <w:rPr>
                <w:rFonts w:eastAsia="Times New Roman" w:cstheme="minorHAnsi"/>
                <w:lang w:eastAsia="en-AU"/>
              </w:rPr>
              <w:t>Financial Year </w:t>
            </w:r>
          </w:p>
        </w:tc>
        <w:tc>
          <w:tcPr>
            <w:tcW w:w="1843" w:type="dxa"/>
            <w:hideMark/>
          </w:tcPr>
          <w:p w14:paraId="3002DE8F" w14:textId="77777777" w:rsidR="002F0DB6" w:rsidRPr="007A3506" w:rsidRDefault="002F0DB6" w:rsidP="00BE1BDC">
            <w:pPr>
              <w:spacing w:after="0" w:line="240" w:lineRule="auto"/>
              <w:rPr>
                <w:rFonts w:eastAsia="Times New Roman" w:cstheme="minorHAnsi"/>
                <w:lang w:eastAsia="en-AU"/>
              </w:rPr>
            </w:pPr>
            <w:r w:rsidRPr="007A3506">
              <w:rPr>
                <w:rFonts w:eastAsia="Times New Roman" w:cstheme="minorHAnsi"/>
                <w:lang w:eastAsia="en-AU"/>
              </w:rPr>
              <w:t>Administrative compliance actions </w:t>
            </w:r>
          </w:p>
        </w:tc>
        <w:tc>
          <w:tcPr>
            <w:tcW w:w="1843" w:type="dxa"/>
            <w:hideMark/>
          </w:tcPr>
          <w:p w14:paraId="7920D44F" w14:textId="77777777" w:rsidR="002F0DB6" w:rsidRPr="007A3506" w:rsidRDefault="002F0DB6" w:rsidP="00BE1BDC">
            <w:pPr>
              <w:spacing w:after="0" w:line="240" w:lineRule="auto"/>
              <w:rPr>
                <w:rFonts w:eastAsia="Times New Roman" w:cstheme="minorHAnsi"/>
                <w:lang w:eastAsia="en-AU"/>
              </w:rPr>
            </w:pPr>
            <w:r w:rsidRPr="007A3506">
              <w:rPr>
                <w:rFonts w:eastAsia="Times New Roman" w:cstheme="minorHAnsi"/>
                <w:lang w:eastAsia="en-AU"/>
              </w:rPr>
              <w:t>Legislative compliance actions</w:t>
            </w:r>
          </w:p>
        </w:tc>
        <w:tc>
          <w:tcPr>
            <w:tcW w:w="1843" w:type="dxa"/>
            <w:hideMark/>
          </w:tcPr>
          <w:p w14:paraId="7B7DDC06" w14:textId="77777777" w:rsidR="002F0DB6" w:rsidRPr="007A3506" w:rsidRDefault="002F0DB6" w:rsidP="00BE1BDC">
            <w:pPr>
              <w:spacing w:after="0" w:line="240" w:lineRule="auto"/>
              <w:rPr>
                <w:rFonts w:eastAsia="Times New Roman" w:cstheme="minorHAnsi"/>
                <w:lang w:eastAsia="en-AU"/>
              </w:rPr>
            </w:pPr>
            <w:r w:rsidRPr="007A3506">
              <w:rPr>
                <w:rFonts w:eastAsia="Times New Roman" w:cstheme="minorHAnsi"/>
                <w:lang w:eastAsia="en-AU"/>
              </w:rPr>
              <w:t>Legislative sanction actions</w:t>
            </w:r>
          </w:p>
        </w:tc>
        <w:tc>
          <w:tcPr>
            <w:tcW w:w="1843" w:type="dxa"/>
            <w:hideMark/>
          </w:tcPr>
          <w:p w14:paraId="266EBFCD" w14:textId="77777777" w:rsidR="002F0DB6" w:rsidRPr="007A3506" w:rsidRDefault="002F0DB6" w:rsidP="00BE1BDC">
            <w:pPr>
              <w:spacing w:after="0" w:line="240" w:lineRule="auto"/>
              <w:rPr>
                <w:rFonts w:eastAsia="Times New Roman" w:cstheme="minorHAnsi"/>
                <w:lang w:eastAsia="en-AU"/>
              </w:rPr>
            </w:pPr>
            <w:r w:rsidRPr="007A3506">
              <w:rPr>
                <w:rFonts w:eastAsia="Times New Roman" w:cstheme="minorHAnsi"/>
                <w:lang w:eastAsia="en-AU"/>
              </w:rPr>
              <w:t>Total </w:t>
            </w:r>
          </w:p>
        </w:tc>
      </w:tr>
      <w:tr w:rsidR="002F0DB6" w:rsidRPr="00E412D6" w14:paraId="4F5D16EB" w14:textId="77777777" w:rsidTr="00ED627E">
        <w:trPr>
          <w:trHeight w:val="514"/>
        </w:trPr>
        <w:tc>
          <w:tcPr>
            <w:tcW w:w="1842" w:type="dxa"/>
            <w:hideMark/>
          </w:tcPr>
          <w:p w14:paraId="611460CE"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2022-2023</w:t>
            </w:r>
            <w:r w:rsidRPr="007A3506">
              <w:rPr>
                <w:rFonts w:cstheme="minorHAnsi"/>
                <w:color w:val="000000" w:themeColor="text1"/>
                <w:lang w:val="en-GB" w:eastAsia="en-AU"/>
              </w:rPr>
              <w:t> </w:t>
            </w:r>
          </w:p>
        </w:tc>
        <w:tc>
          <w:tcPr>
            <w:tcW w:w="1843" w:type="dxa"/>
            <w:hideMark/>
          </w:tcPr>
          <w:p w14:paraId="65D29F1F" w14:textId="7DB01EBC" w:rsidR="002F0DB6" w:rsidRPr="007A3506" w:rsidRDefault="002F0DB6" w:rsidP="00BE1BDC">
            <w:pPr>
              <w:spacing w:line="240" w:lineRule="auto"/>
              <w:textAlignment w:val="baseline"/>
              <w:rPr>
                <w:rFonts w:cstheme="minorHAnsi"/>
                <w:color w:val="000000" w:themeColor="text1"/>
                <w:lang w:eastAsia="en-AU"/>
              </w:rPr>
            </w:pPr>
            <w:r w:rsidRPr="007A3506">
              <w:rPr>
                <w:rFonts w:cstheme="minorHAnsi"/>
                <w:color w:val="000000" w:themeColor="text1"/>
                <w:lang w:eastAsia="en-AU"/>
              </w:rPr>
              <w:t>44</w:t>
            </w:r>
          </w:p>
        </w:tc>
        <w:tc>
          <w:tcPr>
            <w:tcW w:w="1843" w:type="dxa"/>
            <w:hideMark/>
          </w:tcPr>
          <w:p w14:paraId="5C2F4266" w14:textId="6898180B"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22</w:t>
            </w:r>
          </w:p>
        </w:tc>
        <w:tc>
          <w:tcPr>
            <w:tcW w:w="1843" w:type="dxa"/>
            <w:hideMark/>
          </w:tcPr>
          <w:p w14:paraId="1C13309A"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2</w:t>
            </w:r>
          </w:p>
        </w:tc>
        <w:tc>
          <w:tcPr>
            <w:tcW w:w="1843" w:type="dxa"/>
            <w:hideMark/>
          </w:tcPr>
          <w:p w14:paraId="273C4CDA" w14:textId="2DDF40AE"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68</w:t>
            </w:r>
          </w:p>
        </w:tc>
      </w:tr>
      <w:tr w:rsidR="002F0DB6" w:rsidRPr="00E412D6" w14:paraId="047E3D47" w14:textId="77777777" w:rsidTr="00ED627E">
        <w:trPr>
          <w:trHeight w:val="514"/>
        </w:trPr>
        <w:tc>
          <w:tcPr>
            <w:tcW w:w="1842" w:type="dxa"/>
            <w:hideMark/>
          </w:tcPr>
          <w:p w14:paraId="41451967"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2021-2022</w:t>
            </w:r>
            <w:r w:rsidRPr="007A3506">
              <w:rPr>
                <w:rFonts w:cstheme="minorHAnsi"/>
                <w:color w:val="000000" w:themeColor="text1"/>
                <w:lang w:val="en-GB" w:eastAsia="en-AU"/>
              </w:rPr>
              <w:t> </w:t>
            </w:r>
          </w:p>
        </w:tc>
        <w:tc>
          <w:tcPr>
            <w:tcW w:w="1843" w:type="dxa"/>
            <w:hideMark/>
          </w:tcPr>
          <w:p w14:paraId="12EC4AB4" w14:textId="68C10F27" w:rsidR="002F0DB6" w:rsidRPr="007A3506" w:rsidRDefault="002F0DB6" w:rsidP="00BE1BDC">
            <w:pPr>
              <w:spacing w:line="240" w:lineRule="auto"/>
              <w:textAlignment w:val="baseline"/>
              <w:rPr>
                <w:rFonts w:cstheme="minorHAnsi"/>
                <w:color w:val="000000" w:themeColor="text1"/>
                <w:lang w:eastAsia="en-AU"/>
              </w:rPr>
            </w:pPr>
            <w:r w:rsidRPr="007A3506">
              <w:rPr>
                <w:rFonts w:cstheme="minorHAnsi"/>
                <w:color w:val="000000" w:themeColor="text1"/>
                <w:lang w:eastAsia="en-AU"/>
              </w:rPr>
              <w:t>32</w:t>
            </w:r>
          </w:p>
        </w:tc>
        <w:tc>
          <w:tcPr>
            <w:tcW w:w="1843" w:type="dxa"/>
            <w:hideMark/>
          </w:tcPr>
          <w:p w14:paraId="0DFA9D68" w14:textId="516F30FF"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15</w:t>
            </w:r>
          </w:p>
        </w:tc>
        <w:tc>
          <w:tcPr>
            <w:tcW w:w="1843" w:type="dxa"/>
            <w:hideMark/>
          </w:tcPr>
          <w:p w14:paraId="6275533B"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1</w:t>
            </w:r>
          </w:p>
        </w:tc>
        <w:tc>
          <w:tcPr>
            <w:tcW w:w="1843" w:type="dxa"/>
            <w:hideMark/>
          </w:tcPr>
          <w:p w14:paraId="4A06DDF8" w14:textId="31B77AB5"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48</w:t>
            </w:r>
          </w:p>
        </w:tc>
      </w:tr>
      <w:tr w:rsidR="002F0DB6" w:rsidRPr="00E412D6" w14:paraId="2AE4DB4E" w14:textId="77777777" w:rsidTr="00ED627E">
        <w:trPr>
          <w:trHeight w:val="514"/>
        </w:trPr>
        <w:tc>
          <w:tcPr>
            <w:tcW w:w="1842" w:type="dxa"/>
            <w:hideMark/>
          </w:tcPr>
          <w:p w14:paraId="7A017986"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2020-2021</w:t>
            </w:r>
            <w:r w:rsidRPr="007A3506">
              <w:rPr>
                <w:rFonts w:cstheme="minorHAnsi"/>
                <w:color w:val="000000" w:themeColor="text1"/>
                <w:lang w:val="en-GB" w:eastAsia="en-AU"/>
              </w:rPr>
              <w:t> </w:t>
            </w:r>
          </w:p>
        </w:tc>
        <w:tc>
          <w:tcPr>
            <w:tcW w:w="1843" w:type="dxa"/>
            <w:hideMark/>
          </w:tcPr>
          <w:p w14:paraId="259FF461" w14:textId="66EB43F3" w:rsidR="002F0DB6" w:rsidRPr="007A3506" w:rsidRDefault="002F0DB6" w:rsidP="00BE1BDC">
            <w:pPr>
              <w:spacing w:line="240" w:lineRule="auto"/>
              <w:textAlignment w:val="baseline"/>
              <w:rPr>
                <w:rFonts w:cstheme="minorHAnsi"/>
                <w:color w:val="000000" w:themeColor="text1"/>
                <w:lang w:eastAsia="en-AU"/>
              </w:rPr>
            </w:pPr>
            <w:r w:rsidRPr="007A3506">
              <w:rPr>
                <w:rFonts w:cstheme="minorHAnsi"/>
                <w:color w:val="000000" w:themeColor="text1"/>
                <w:lang w:eastAsia="en-AU"/>
              </w:rPr>
              <w:t>23</w:t>
            </w:r>
          </w:p>
        </w:tc>
        <w:tc>
          <w:tcPr>
            <w:tcW w:w="1843" w:type="dxa"/>
            <w:hideMark/>
          </w:tcPr>
          <w:p w14:paraId="046EF9E5" w14:textId="6A9AA514"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26</w:t>
            </w:r>
          </w:p>
        </w:tc>
        <w:tc>
          <w:tcPr>
            <w:tcW w:w="1843" w:type="dxa"/>
            <w:hideMark/>
          </w:tcPr>
          <w:p w14:paraId="307572B3"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0</w:t>
            </w:r>
          </w:p>
        </w:tc>
        <w:tc>
          <w:tcPr>
            <w:tcW w:w="1843" w:type="dxa"/>
            <w:hideMark/>
          </w:tcPr>
          <w:p w14:paraId="24BE12D2" w14:textId="49BBEE5F"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49</w:t>
            </w:r>
          </w:p>
        </w:tc>
      </w:tr>
      <w:tr w:rsidR="002F0DB6" w:rsidRPr="00E412D6" w14:paraId="2E4815C5" w14:textId="77777777" w:rsidTr="00ED627E">
        <w:trPr>
          <w:trHeight w:val="514"/>
        </w:trPr>
        <w:tc>
          <w:tcPr>
            <w:tcW w:w="1842" w:type="dxa"/>
            <w:hideMark/>
          </w:tcPr>
          <w:p w14:paraId="28BE1116"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2019-2020</w:t>
            </w:r>
            <w:r w:rsidRPr="007A3506">
              <w:rPr>
                <w:rFonts w:cstheme="minorHAnsi"/>
                <w:color w:val="000000" w:themeColor="text1"/>
                <w:lang w:val="en-GB" w:eastAsia="en-AU"/>
              </w:rPr>
              <w:t> </w:t>
            </w:r>
          </w:p>
        </w:tc>
        <w:tc>
          <w:tcPr>
            <w:tcW w:w="1843" w:type="dxa"/>
            <w:hideMark/>
          </w:tcPr>
          <w:p w14:paraId="1EA232FD" w14:textId="49B480E3" w:rsidR="002F0DB6" w:rsidRPr="007A3506" w:rsidRDefault="002F0DB6" w:rsidP="00BE1BDC">
            <w:pPr>
              <w:spacing w:line="240" w:lineRule="auto"/>
              <w:textAlignment w:val="baseline"/>
              <w:rPr>
                <w:rFonts w:cstheme="minorHAnsi"/>
                <w:color w:val="000000" w:themeColor="text1"/>
                <w:lang w:eastAsia="en-AU"/>
              </w:rPr>
            </w:pPr>
            <w:r w:rsidRPr="007A3506">
              <w:rPr>
                <w:rFonts w:cstheme="minorHAnsi"/>
                <w:color w:val="000000" w:themeColor="text1"/>
                <w:lang w:eastAsia="en-AU"/>
              </w:rPr>
              <w:t>30</w:t>
            </w:r>
          </w:p>
        </w:tc>
        <w:tc>
          <w:tcPr>
            <w:tcW w:w="1843" w:type="dxa"/>
            <w:hideMark/>
          </w:tcPr>
          <w:p w14:paraId="4F8ADE03" w14:textId="2CC15E28"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28</w:t>
            </w:r>
          </w:p>
        </w:tc>
        <w:tc>
          <w:tcPr>
            <w:tcW w:w="1843" w:type="dxa"/>
            <w:hideMark/>
          </w:tcPr>
          <w:p w14:paraId="1D740B95" w14:textId="1145E845"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4</w:t>
            </w:r>
          </w:p>
        </w:tc>
        <w:tc>
          <w:tcPr>
            <w:tcW w:w="1843" w:type="dxa"/>
            <w:hideMark/>
          </w:tcPr>
          <w:p w14:paraId="07ED1B97"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62</w:t>
            </w:r>
          </w:p>
        </w:tc>
      </w:tr>
      <w:tr w:rsidR="002F0DB6" w:rsidRPr="00E412D6" w14:paraId="4D57197B" w14:textId="77777777" w:rsidTr="00ED627E">
        <w:trPr>
          <w:trHeight w:val="514"/>
        </w:trPr>
        <w:tc>
          <w:tcPr>
            <w:tcW w:w="1842" w:type="dxa"/>
            <w:hideMark/>
          </w:tcPr>
          <w:p w14:paraId="1E77FCF6"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2018-2019</w:t>
            </w:r>
            <w:r w:rsidRPr="007A3506">
              <w:rPr>
                <w:rFonts w:cstheme="minorHAnsi"/>
                <w:color w:val="000000" w:themeColor="text1"/>
                <w:lang w:val="en-GB" w:eastAsia="en-AU"/>
              </w:rPr>
              <w:t> </w:t>
            </w:r>
          </w:p>
        </w:tc>
        <w:tc>
          <w:tcPr>
            <w:tcW w:w="1843" w:type="dxa"/>
            <w:hideMark/>
          </w:tcPr>
          <w:p w14:paraId="7C302D66" w14:textId="41EC5A56" w:rsidR="002F0DB6" w:rsidRPr="007A3506" w:rsidRDefault="002F0DB6" w:rsidP="00BE1BDC">
            <w:pPr>
              <w:spacing w:line="240" w:lineRule="auto"/>
              <w:textAlignment w:val="baseline"/>
              <w:rPr>
                <w:rFonts w:cstheme="minorHAnsi"/>
                <w:color w:val="000000" w:themeColor="text1"/>
                <w:lang w:eastAsia="en-AU"/>
              </w:rPr>
            </w:pPr>
            <w:r w:rsidRPr="007A3506">
              <w:rPr>
                <w:rFonts w:cstheme="minorHAnsi"/>
                <w:color w:val="000000" w:themeColor="text1"/>
                <w:lang w:eastAsia="en-AU"/>
              </w:rPr>
              <w:t>34</w:t>
            </w:r>
          </w:p>
        </w:tc>
        <w:tc>
          <w:tcPr>
            <w:tcW w:w="1843" w:type="dxa"/>
            <w:hideMark/>
          </w:tcPr>
          <w:p w14:paraId="5F4A9F8F" w14:textId="77777777"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45</w:t>
            </w:r>
          </w:p>
        </w:tc>
        <w:tc>
          <w:tcPr>
            <w:tcW w:w="1843" w:type="dxa"/>
            <w:hideMark/>
          </w:tcPr>
          <w:p w14:paraId="4CD81461" w14:textId="235262B8"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val="en-GB" w:eastAsia="en-AU"/>
              </w:rPr>
              <w:t>6</w:t>
            </w:r>
          </w:p>
        </w:tc>
        <w:tc>
          <w:tcPr>
            <w:tcW w:w="1843" w:type="dxa"/>
            <w:hideMark/>
          </w:tcPr>
          <w:p w14:paraId="1892A881" w14:textId="7DEC8CAC" w:rsidR="002F0DB6" w:rsidRPr="007A3506" w:rsidRDefault="002F0DB6" w:rsidP="00BE1BDC">
            <w:pPr>
              <w:spacing w:line="240" w:lineRule="auto"/>
              <w:textAlignment w:val="baseline"/>
              <w:rPr>
                <w:rFonts w:cstheme="minorHAnsi"/>
                <w:color w:val="000000" w:themeColor="text1"/>
                <w:lang w:val="en-GB" w:eastAsia="en-AU"/>
              </w:rPr>
            </w:pPr>
            <w:r w:rsidRPr="007A3506">
              <w:rPr>
                <w:rFonts w:cstheme="minorHAnsi"/>
                <w:color w:val="000000" w:themeColor="text1"/>
                <w:lang w:eastAsia="en-AU"/>
              </w:rPr>
              <w:t>85</w:t>
            </w:r>
            <w:r w:rsidRPr="007A3506">
              <w:rPr>
                <w:rFonts w:cstheme="minorHAnsi"/>
                <w:color w:val="000000" w:themeColor="text1"/>
                <w:lang w:val="en-GB" w:eastAsia="en-AU"/>
              </w:rPr>
              <w:t> </w:t>
            </w:r>
          </w:p>
        </w:tc>
      </w:tr>
    </w:tbl>
    <w:p w14:paraId="61914CD5" w14:textId="09115DBC" w:rsidR="00503861" w:rsidRPr="007A3506" w:rsidRDefault="002766BC" w:rsidP="00503861">
      <w:pPr>
        <w:rPr>
          <w:rFonts w:cstheme="minorHAnsi"/>
        </w:rPr>
      </w:pPr>
      <w:r w:rsidRPr="007A3506">
        <w:rPr>
          <w:rFonts w:cstheme="minorHAnsi"/>
        </w:rPr>
        <w:br/>
      </w:r>
      <w:r w:rsidR="00503861" w:rsidRPr="007A3506">
        <w:rPr>
          <w:rFonts w:cstheme="minorHAnsi"/>
        </w:rPr>
        <w:t xml:space="preserve">The Framework </w:t>
      </w:r>
      <w:r w:rsidR="0053770E" w:rsidRPr="007A3506">
        <w:rPr>
          <w:rFonts w:cstheme="minorHAnsi"/>
        </w:rPr>
        <w:t>complements</w:t>
      </w:r>
      <w:r w:rsidR="00503861" w:rsidRPr="007A3506">
        <w:rPr>
          <w:rFonts w:cstheme="minorHAnsi"/>
        </w:rPr>
        <w:t xml:space="preserve"> the FSC’s Company Compliance Policy which outlines the action the FSC will take where a</w:t>
      </w:r>
      <w:r w:rsidR="00335F31" w:rsidRPr="007A3506">
        <w:rPr>
          <w:rFonts w:cstheme="minorHAnsi"/>
        </w:rPr>
        <w:t>n entity</w:t>
      </w:r>
      <w:r w:rsidR="00503861" w:rsidRPr="007A3506">
        <w:rPr>
          <w:rFonts w:cstheme="minorHAnsi"/>
        </w:rPr>
        <w:t xml:space="preserve"> breaches, or is suspected of breaching, its conditions of accreditation. The Company Compliance Policy also outlines the FSC’s general approach to resolving </w:t>
      </w:r>
      <w:r w:rsidR="001F5B06">
        <w:rPr>
          <w:rFonts w:cstheme="minorHAnsi"/>
        </w:rPr>
        <w:t xml:space="preserve">                    </w:t>
      </w:r>
      <w:r w:rsidR="00503861" w:rsidRPr="007A3506">
        <w:rPr>
          <w:rFonts w:cstheme="minorHAnsi"/>
        </w:rPr>
        <w:t>non-compliance matters. Specifically, the Policy says:</w:t>
      </w:r>
    </w:p>
    <w:p w14:paraId="5D532CA8" w14:textId="0BAA786F" w:rsidR="00503861" w:rsidRPr="007A3506" w:rsidRDefault="00503861" w:rsidP="00AF49CA">
      <w:pPr>
        <w:ind w:left="720"/>
        <w:rPr>
          <w:rFonts w:eastAsia="Calibri" w:cstheme="minorHAnsi"/>
          <w:i/>
          <w:iCs/>
        </w:rPr>
      </w:pPr>
      <w:r w:rsidRPr="007A3506">
        <w:rPr>
          <w:rFonts w:eastAsia="Calibri" w:cstheme="minorHAnsi"/>
          <w:i/>
          <w:iCs/>
        </w:rPr>
        <w:t>The OFSC’s preference is to work collaboratively with companies to ensure compliance with Scheme requirements and conditions of accreditation. Where there are concerns a company is not meeting Scheme requirements or its conditions of accreditation, those concerns will be discussed openly with the company, the company’s views will be considered and proportionate corrective actions required.</w:t>
      </w:r>
      <w:r w:rsidR="002766BC" w:rsidRPr="007A3506">
        <w:rPr>
          <w:rStyle w:val="FootnoteReference"/>
          <w:rFonts w:eastAsia="Calibri" w:cstheme="minorHAnsi"/>
          <w:i/>
          <w:iCs/>
        </w:rPr>
        <w:footnoteReference w:id="11"/>
      </w:r>
      <w:r w:rsidRPr="007A3506">
        <w:rPr>
          <w:rFonts w:eastAsia="Calibri" w:cstheme="minorHAnsi"/>
          <w:i/>
          <w:iCs/>
        </w:rPr>
        <w:t xml:space="preserve"> </w:t>
      </w:r>
    </w:p>
    <w:p w14:paraId="14AF35F8" w14:textId="77777777" w:rsidR="00461E4D" w:rsidRPr="007A3506" w:rsidRDefault="00461E4D" w:rsidP="00461E4D">
      <w:pPr>
        <w:rPr>
          <w:rFonts w:eastAsia="Calibri" w:cstheme="minorHAnsi"/>
          <w:i/>
        </w:rPr>
      </w:pPr>
    </w:p>
    <w:p w14:paraId="5243DC97" w14:textId="77777777" w:rsidR="00B45892" w:rsidRPr="007A3506" w:rsidRDefault="00D37ECA" w:rsidP="00B45892">
      <w:pPr>
        <w:pStyle w:val="Heading2"/>
        <w:rPr>
          <w:rFonts w:asciiTheme="minorHAnsi" w:hAnsiTheme="minorHAnsi" w:cstheme="minorHAnsi"/>
        </w:rPr>
      </w:pPr>
      <w:bookmarkStart w:id="31" w:name="_Toc138428273"/>
      <w:bookmarkStart w:id="32" w:name="_Toc139261438"/>
      <w:bookmarkEnd w:id="26"/>
      <w:r w:rsidRPr="007A3506">
        <w:rPr>
          <w:rFonts w:asciiTheme="minorHAnsi" w:hAnsiTheme="minorHAnsi" w:cstheme="minorHAnsi"/>
        </w:rPr>
        <w:t>1.5</w:t>
      </w:r>
      <w:r w:rsidR="00CC6822" w:rsidRPr="007A3506">
        <w:rPr>
          <w:rFonts w:asciiTheme="minorHAnsi" w:hAnsiTheme="minorHAnsi" w:cstheme="minorHAnsi"/>
        </w:rPr>
        <w:t xml:space="preserve"> </w:t>
      </w:r>
      <w:r w:rsidR="00B45892" w:rsidRPr="007A3506">
        <w:rPr>
          <w:rFonts w:asciiTheme="minorHAnsi" w:hAnsiTheme="minorHAnsi" w:cstheme="minorHAnsi"/>
        </w:rPr>
        <w:t>Reporting</w:t>
      </w:r>
      <w:bookmarkEnd w:id="31"/>
      <w:bookmarkEnd w:id="32"/>
    </w:p>
    <w:p w14:paraId="011F19C5" w14:textId="77777777" w:rsidR="0042373A" w:rsidRPr="007A3506" w:rsidRDefault="00B45892" w:rsidP="00054594">
      <w:pPr>
        <w:rPr>
          <w:rFonts w:cstheme="minorHAnsi"/>
        </w:rPr>
      </w:pPr>
      <w:r w:rsidRPr="007A3506">
        <w:rPr>
          <w:rFonts w:cstheme="minorHAnsi"/>
        </w:rPr>
        <w:t xml:space="preserve">Accredited </w:t>
      </w:r>
      <w:r w:rsidR="004C1750" w:rsidRPr="007A3506">
        <w:rPr>
          <w:rFonts w:cstheme="minorHAnsi"/>
        </w:rPr>
        <w:t>entitie</w:t>
      </w:r>
      <w:r w:rsidRPr="007A3506">
        <w:rPr>
          <w:rFonts w:cstheme="minorHAnsi"/>
        </w:rPr>
        <w:t>s are required to submit</w:t>
      </w:r>
      <w:r w:rsidR="0042373A" w:rsidRPr="007A3506">
        <w:rPr>
          <w:rFonts w:cstheme="minorHAnsi"/>
        </w:rPr>
        <w:t xml:space="preserve"> certain information</w:t>
      </w:r>
      <w:r w:rsidRPr="007A3506">
        <w:rPr>
          <w:rFonts w:cstheme="minorHAnsi"/>
        </w:rPr>
        <w:t xml:space="preserve"> to the FSC</w:t>
      </w:r>
      <w:r w:rsidR="0042373A" w:rsidRPr="007A3506">
        <w:rPr>
          <w:rFonts w:cstheme="minorHAnsi"/>
        </w:rPr>
        <w:t xml:space="preserve"> as a condition of accreditation. Required reporting includes:</w:t>
      </w:r>
      <w:r w:rsidRPr="007A3506">
        <w:rPr>
          <w:rFonts w:cstheme="minorHAnsi"/>
        </w:rPr>
        <w:t xml:space="preserve"> </w:t>
      </w:r>
    </w:p>
    <w:p w14:paraId="684D8FDC" w14:textId="5F192639" w:rsidR="00702F25" w:rsidRPr="007A3506" w:rsidRDefault="00D9527D" w:rsidP="0042373A">
      <w:pPr>
        <w:pStyle w:val="PURPLEBullet"/>
        <w:spacing w:after="200"/>
        <w:rPr>
          <w:rFonts w:cstheme="minorHAnsi"/>
        </w:rPr>
      </w:pPr>
      <w:r w:rsidRPr="007A3506">
        <w:rPr>
          <w:rFonts w:cstheme="minorHAnsi"/>
        </w:rPr>
        <w:t>A</w:t>
      </w:r>
      <w:r w:rsidR="00B45892" w:rsidRPr="007A3506">
        <w:rPr>
          <w:rFonts w:cstheme="minorHAnsi"/>
        </w:rPr>
        <w:t xml:space="preserve"> contract declaration when a contract is signed for a building project which meets the Scheme funding threshold (Scheme project).</w:t>
      </w:r>
      <w:r w:rsidR="004B7971" w:rsidRPr="007A3506">
        <w:rPr>
          <w:rFonts w:cstheme="minorHAnsi"/>
        </w:rPr>
        <w:t xml:space="preserve"> </w:t>
      </w:r>
    </w:p>
    <w:p w14:paraId="70DD5979" w14:textId="69F91CFE" w:rsidR="00702F25" w:rsidRPr="007A3506" w:rsidRDefault="00D9527D" w:rsidP="00702F25">
      <w:pPr>
        <w:pStyle w:val="PURPLEBullet"/>
        <w:rPr>
          <w:rFonts w:cstheme="minorHAnsi"/>
        </w:rPr>
      </w:pPr>
      <w:r w:rsidRPr="007A3506">
        <w:rPr>
          <w:rFonts w:cstheme="minorHAnsi"/>
        </w:rPr>
        <w:t>N</w:t>
      </w:r>
      <w:r w:rsidR="00702F25" w:rsidRPr="007A3506">
        <w:rPr>
          <w:rFonts w:cstheme="minorHAnsi"/>
        </w:rPr>
        <w:t xml:space="preserve">otification </w:t>
      </w:r>
      <w:r w:rsidR="00EE6337" w:rsidRPr="007A3506">
        <w:rPr>
          <w:rFonts w:cstheme="minorHAnsi"/>
        </w:rPr>
        <w:t>within a specified timeframe</w:t>
      </w:r>
      <w:r w:rsidR="00A03F24" w:rsidRPr="007A3506">
        <w:rPr>
          <w:rFonts w:cstheme="minorHAnsi"/>
        </w:rPr>
        <w:t xml:space="preserve"> </w:t>
      </w:r>
      <w:r w:rsidR="00702F25" w:rsidRPr="007A3506">
        <w:rPr>
          <w:rFonts w:cstheme="minorHAnsi"/>
        </w:rPr>
        <w:t xml:space="preserve">of any onsite work-related fatality; lost time injury, medically treated injury (for Scheme-covered projects only) or dangerous occurrence </w:t>
      </w:r>
      <w:r w:rsidR="00A03F24" w:rsidRPr="007A3506">
        <w:rPr>
          <w:rFonts w:cstheme="minorHAnsi"/>
        </w:rPr>
        <w:br/>
      </w:r>
      <w:r w:rsidR="00702F25" w:rsidRPr="007A3506">
        <w:rPr>
          <w:rFonts w:cstheme="minorHAnsi"/>
        </w:rPr>
        <w:t>(for Scheme-covered projects only).</w:t>
      </w:r>
      <w:r w:rsidR="00A03F24" w:rsidRPr="007A3506">
        <w:rPr>
          <w:rStyle w:val="FootnoteReference"/>
          <w:rFonts w:cstheme="minorHAnsi"/>
        </w:rPr>
        <w:footnoteReference w:id="12"/>
      </w:r>
      <w:r w:rsidR="00702F25" w:rsidRPr="007A3506">
        <w:rPr>
          <w:rFonts w:cstheme="minorHAnsi"/>
        </w:rPr>
        <w:t xml:space="preserve"> </w:t>
      </w:r>
    </w:p>
    <w:p w14:paraId="742AB94C" w14:textId="07B7CE4D" w:rsidR="00CB41FA" w:rsidRPr="007A3506" w:rsidRDefault="00D9527D" w:rsidP="00D90582">
      <w:pPr>
        <w:pStyle w:val="PURPLEBullet"/>
        <w:spacing w:after="200"/>
        <w:rPr>
          <w:rFonts w:cstheme="minorHAnsi"/>
        </w:rPr>
      </w:pPr>
      <w:r w:rsidRPr="007A3506">
        <w:rPr>
          <w:rFonts w:cstheme="minorHAnsi"/>
        </w:rPr>
        <w:t>B</w:t>
      </w:r>
      <w:r w:rsidR="00B45892" w:rsidRPr="007A3506">
        <w:rPr>
          <w:rFonts w:cstheme="minorHAnsi"/>
        </w:rPr>
        <w:t xml:space="preserve">iannual reports which include a range of data including workers compensation claims data, improvement notices and prohibition notices issued by WHS regulators and </w:t>
      </w:r>
      <w:r w:rsidR="00702F25" w:rsidRPr="007A3506">
        <w:rPr>
          <w:rFonts w:cstheme="minorHAnsi"/>
        </w:rPr>
        <w:t xml:space="preserve">confirmation of the </w:t>
      </w:r>
      <w:r w:rsidR="00B45892" w:rsidRPr="007A3506">
        <w:rPr>
          <w:rFonts w:cstheme="minorHAnsi"/>
        </w:rPr>
        <w:t>numbers of fatalities for all activities</w:t>
      </w:r>
      <w:r w:rsidR="00E412D6" w:rsidRPr="007A3506">
        <w:rPr>
          <w:rFonts w:cstheme="minorHAnsi"/>
        </w:rPr>
        <w:t>.</w:t>
      </w:r>
      <w:r w:rsidR="00641170" w:rsidRPr="007A3506">
        <w:rPr>
          <w:rFonts w:cstheme="minorHAnsi"/>
        </w:rPr>
        <w:br/>
      </w:r>
      <w:r w:rsidR="00CB41FA" w:rsidRPr="007A3506">
        <w:rPr>
          <w:rFonts w:cstheme="minorHAnsi"/>
        </w:rPr>
        <w:br/>
      </w:r>
    </w:p>
    <w:p w14:paraId="10229148" w14:textId="05C43998" w:rsidR="00711B94" w:rsidRPr="007A3506" w:rsidRDefault="00711B94" w:rsidP="00711B94">
      <w:pPr>
        <w:pStyle w:val="Heading2"/>
        <w:rPr>
          <w:rFonts w:asciiTheme="minorHAnsi" w:hAnsiTheme="minorHAnsi" w:cstheme="minorHAnsi"/>
        </w:rPr>
      </w:pPr>
      <w:bookmarkStart w:id="33" w:name="_Toc138428274"/>
      <w:bookmarkStart w:id="34" w:name="_Toc1937494505"/>
      <w:bookmarkStart w:id="35" w:name="_Toc139261439"/>
      <w:r w:rsidRPr="007A3506">
        <w:rPr>
          <w:rFonts w:asciiTheme="minorHAnsi" w:hAnsiTheme="minorHAnsi" w:cstheme="minorHAnsi"/>
        </w:rPr>
        <w:lastRenderedPageBreak/>
        <w:t>1.6</w:t>
      </w:r>
      <w:r w:rsidR="00CC6822" w:rsidRPr="007A3506">
        <w:rPr>
          <w:rFonts w:asciiTheme="minorHAnsi" w:hAnsiTheme="minorHAnsi" w:cstheme="minorHAnsi"/>
        </w:rPr>
        <w:t xml:space="preserve"> </w:t>
      </w:r>
      <w:bookmarkEnd w:id="33"/>
      <w:r w:rsidR="005257FB" w:rsidRPr="007A3506">
        <w:rPr>
          <w:rFonts w:asciiTheme="minorHAnsi" w:hAnsiTheme="minorHAnsi" w:cstheme="minorHAnsi"/>
        </w:rPr>
        <w:t>The Office of the Federal Safety Commissioner</w:t>
      </w:r>
      <w:bookmarkEnd w:id="34"/>
      <w:bookmarkEnd w:id="35"/>
    </w:p>
    <w:p w14:paraId="53D76055" w14:textId="617F95C4" w:rsidR="00F51D8B" w:rsidRPr="007A3506" w:rsidRDefault="00D51382" w:rsidP="00D51382">
      <w:pPr>
        <w:rPr>
          <w:rFonts w:cstheme="minorHAnsi"/>
        </w:rPr>
      </w:pPr>
      <w:bookmarkStart w:id="36" w:name="_Toc138428275"/>
      <w:r w:rsidRPr="007A3506">
        <w:rPr>
          <w:rFonts w:cstheme="minorHAnsi"/>
        </w:rPr>
        <w:t xml:space="preserve">The Office of the Federal Safety Commissioner (OFSC) has 34 direct employees and 25 contracted FSOs. Its 2022-23 financial year budget includes $4.238m for employee expenses and $4.025m for supplier expenses (approximately 90% of the latter is spent engaging </w:t>
      </w:r>
      <w:r w:rsidR="00F32E8F" w:rsidRPr="007A3506">
        <w:rPr>
          <w:rFonts w:cstheme="minorHAnsi"/>
        </w:rPr>
        <w:t xml:space="preserve">WHS professionals as </w:t>
      </w:r>
      <w:r w:rsidRPr="007A3506">
        <w:rPr>
          <w:rFonts w:cstheme="minorHAnsi"/>
        </w:rPr>
        <w:t>FSOs to undertake audits).</w:t>
      </w:r>
    </w:p>
    <w:p w14:paraId="4D0EE61A" w14:textId="77777777" w:rsidR="0078364E" w:rsidRPr="007A3506" w:rsidRDefault="0078364E" w:rsidP="00D51382">
      <w:pPr>
        <w:rPr>
          <w:rFonts w:cstheme="minorHAnsi"/>
        </w:rPr>
      </w:pPr>
    </w:p>
    <w:p w14:paraId="1C8A471D" w14:textId="77777777" w:rsidR="00F51D8B" w:rsidRPr="007A3506" w:rsidRDefault="00D44CF2" w:rsidP="0078364E">
      <w:pPr>
        <w:pStyle w:val="Heading2"/>
        <w:rPr>
          <w:rFonts w:asciiTheme="minorHAnsi" w:hAnsiTheme="minorHAnsi" w:cstheme="minorHAnsi"/>
        </w:rPr>
      </w:pPr>
      <w:bookmarkStart w:id="37" w:name="_Toc139261440"/>
      <w:r w:rsidRPr="007A3506">
        <w:rPr>
          <w:rFonts w:asciiTheme="minorHAnsi" w:hAnsiTheme="minorHAnsi" w:cstheme="minorHAnsi"/>
        </w:rPr>
        <w:t>1.7 Procurement</w:t>
      </w:r>
      <w:bookmarkEnd w:id="37"/>
    </w:p>
    <w:bookmarkEnd w:id="36"/>
    <w:p w14:paraId="62E7454A" w14:textId="7C791FE7" w:rsidR="00711B94" w:rsidRPr="007A3506" w:rsidRDefault="00711B94" w:rsidP="00054594">
      <w:pPr>
        <w:rPr>
          <w:rFonts w:cstheme="minorHAnsi"/>
        </w:rPr>
      </w:pPr>
      <w:r w:rsidRPr="007A3506">
        <w:rPr>
          <w:rFonts w:cstheme="minorHAnsi"/>
        </w:rPr>
        <w:t>The CW has overarching responsibility for ensuring compliance with the Act.</w:t>
      </w:r>
      <w:r w:rsidR="004B7971" w:rsidRPr="007A3506">
        <w:rPr>
          <w:rFonts w:cstheme="minorHAnsi"/>
        </w:rPr>
        <w:t xml:space="preserve"> </w:t>
      </w:r>
      <w:r w:rsidRPr="007A3506">
        <w:rPr>
          <w:rFonts w:cstheme="minorHAnsi"/>
        </w:rPr>
        <w:t>This includes ensuring building work is not CW funded unless contracts are entered into with accredited builders and that at the time of the funding, the CW entity takes appropriate steps to ensure that builders will be accredited when they carry out the contracted building work.</w:t>
      </w:r>
    </w:p>
    <w:p w14:paraId="5891F44A" w14:textId="6347A93B" w:rsidR="00793B0D" w:rsidRPr="007A3506" w:rsidRDefault="00711B94" w:rsidP="00054594">
      <w:pPr>
        <w:rPr>
          <w:rFonts w:cstheme="minorHAnsi"/>
        </w:rPr>
      </w:pPr>
      <w:r w:rsidRPr="007A3506">
        <w:rPr>
          <w:rFonts w:cstheme="minorHAnsi"/>
        </w:rPr>
        <w:t>If the CW is providing indirect funding to third parties (for example State and Territory governments), it is the CW’s responsibility to ensure that funding recipients are made aware of and adhere to the Scheme’s requirements.</w:t>
      </w:r>
      <w:r w:rsidR="00612665" w:rsidRPr="007A3506">
        <w:rPr>
          <w:rFonts w:cstheme="minorHAnsi"/>
        </w:rPr>
        <w:t xml:space="preserve"> In the case of indirect funding, the CW needs to make sure the funding agreement includes a requirement for Scheme accreditation.</w:t>
      </w:r>
    </w:p>
    <w:p w14:paraId="7CBB90C6" w14:textId="40D0985F" w:rsidR="00CD2E90" w:rsidRPr="007A3506" w:rsidRDefault="00711B94" w:rsidP="00054594">
      <w:pPr>
        <w:rPr>
          <w:rFonts w:cstheme="minorHAnsi"/>
        </w:rPr>
      </w:pPr>
      <w:r w:rsidRPr="007A3506">
        <w:rPr>
          <w:rFonts w:cstheme="minorHAnsi"/>
        </w:rPr>
        <w:t>Currently, where a breach is identified, the FSC will consider the following:</w:t>
      </w:r>
    </w:p>
    <w:p w14:paraId="7C838BED" w14:textId="6246DBFA" w:rsidR="00711B94" w:rsidRPr="007A3506" w:rsidRDefault="00254CA7" w:rsidP="00054594">
      <w:pPr>
        <w:pStyle w:val="PURPLEBullet"/>
        <w:spacing w:after="200"/>
        <w:rPr>
          <w:rFonts w:cstheme="minorHAnsi"/>
        </w:rPr>
      </w:pPr>
      <w:r w:rsidRPr="007A3506">
        <w:rPr>
          <w:rFonts w:cstheme="minorHAnsi"/>
        </w:rPr>
        <w:t>T</w:t>
      </w:r>
      <w:r w:rsidR="00711B94" w:rsidRPr="007A3506">
        <w:rPr>
          <w:rFonts w:cstheme="minorHAnsi"/>
        </w:rPr>
        <w:t>he funding entity’s historical compliance with the Scheme</w:t>
      </w:r>
    </w:p>
    <w:p w14:paraId="5D9BEBC5" w14:textId="6DD5A5C1" w:rsidR="00711B94" w:rsidRPr="007A3506" w:rsidRDefault="00254CA7" w:rsidP="00054594">
      <w:pPr>
        <w:pStyle w:val="PURPLEBullet"/>
        <w:spacing w:after="200"/>
        <w:rPr>
          <w:rFonts w:cstheme="minorHAnsi"/>
        </w:rPr>
      </w:pPr>
      <w:r w:rsidRPr="007A3506">
        <w:rPr>
          <w:rFonts w:cstheme="minorHAnsi"/>
        </w:rPr>
        <w:t>D</w:t>
      </w:r>
      <w:r w:rsidR="00711B94" w:rsidRPr="007A3506">
        <w:rPr>
          <w:rFonts w:cstheme="minorHAnsi"/>
        </w:rPr>
        <w:t>ue diligence processes</w:t>
      </w:r>
    </w:p>
    <w:p w14:paraId="41B0DB54" w14:textId="6AEB087B" w:rsidR="00711B94" w:rsidRPr="007A3506" w:rsidRDefault="00254CA7" w:rsidP="00054594">
      <w:pPr>
        <w:pStyle w:val="PURPLEBullet"/>
        <w:spacing w:after="200"/>
        <w:rPr>
          <w:rFonts w:cstheme="minorHAnsi"/>
        </w:rPr>
      </w:pPr>
      <w:r w:rsidRPr="007A3506">
        <w:rPr>
          <w:rFonts w:cstheme="minorHAnsi"/>
        </w:rPr>
        <w:t>A</w:t>
      </w:r>
      <w:r w:rsidR="00711B94" w:rsidRPr="007A3506">
        <w:rPr>
          <w:rFonts w:cstheme="minorHAnsi"/>
        </w:rPr>
        <w:t>ny contributory circumstances</w:t>
      </w:r>
    </w:p>
    <w:p w14:paraId="38DAFB89" w14:textId="0382A6AB" w:rsidR="00711B94" w:rsidRPr="007A3506" w:rsidRDefault="00254CA7" w:rsidP="00054594">
      <w:pPr>
        <w:pStyle w:val="PURPLEBullet"/>
        <w:spacing w:after="200"/>
        <w:rPr>
          <w:rFonts w:cstheme="minorHAnsi"/>
        </w:rPr>
      </w:pPr>
      <w:r w:rsidRPr="007A3506">
        <w:rPr>
          <w:rFonts w:cstheme="minorHAnsi"/>
        </w:rPr>
        <w:t>T</w:t>
      </w:r>
      <w:r w:rsidR="00711B94" w:rsidRPr="007A3506">
        <w:rPr>
          <w:rFonts w:cstheme="minorHAnsi"/>
        </w:rPr>
        <w:t>he funding entity’s responsiveness to identif</w:t>
      </w:r>
      <w:r w:rsidR="00C30ABA" w:rsidRPr="007A3506">
        <w:rPr>
          <w:rFonts w:cstheme="minorHAnsi"/>
        </w:rPr>
        <w:t>ying</w:t>
      </w:r>
      <w:r w:rsidR="00711B94" w:rsidRPr="007A3506">
        <w:rPr>
          <w:rFonts w:cstheme="minorHAnsi"/>
        </w:rPr>
        <w:t xml:space="preserve"> and address</w:t>
      </w:r>
      <w:r w:rsidR="00C30ABA" w:rsidRPr="007A3506">
        <w:rPr>
          <w:rFonts w:cstheme="minorHAnsi"/>
        </w:rPr>
        <w:t>ing</w:t>
      </w:r>
      <w:r w:rsidR="00711B94" w:rsidRPr="007A3506">
        <w:rPr>
          <w:rFonts w:cstheme="minorHAnsi"/>
        </w:rPr>
        <w:t xml:space="preserve"> issues</w:t>
      </w:r>
    </w:p>
    <w:p w14:paraId="43F07E53" w14:textId="19797DA9" w:rsidR="00711B94" w:rsidRPr="007A3506" w:rsidRDefault="00254CA7" w:rsidP="00054594">
      <w:pPr>
        <w:pStyle w:val="PURPLEBullet"/>
        <w:spacing w:after="200"/>
        <w:rPr>
          <w:rFonts w:cstheme="minorHAnsi"/>
        </w:rPr>
      </w:pPr>
      <w:r w:rsidRPr="007A3506">
        <w:rPr>
          <w:rFonts w:cstheme="minorHAnsi"/>
        </w:rPr>
        <w:t>T</w:t>
      </w:r>
      <w:r w:rsidR="00711B94" w:rsidRPr="007A3506">
        <w:rPr>
          <w:rFonts w:cstheme="minorHAnsi"/>
        </w:rPr>
        <w:t>he value of the procurement where the breach occurs</w:t>
      </w:r>
    </w:p>
    <w:p w14:paraId="03A2D754" w14:textId="2906F67B" w:rsidR="002858A3" w:rsidRPr="007A3506" w:rsidRDefault="00254CA7" w:rsidP="00054594">
      <w:pPr>
        <w:pStyle w:val="PURPLEBullet"/>
        <w:spacing w:after="200"/>
        <w:rPr>
          <w:rFonts w:cstheme="minorHAnsi"/>
        </w:rPr>
      </w:pPr>
      <w:r w:rsidRPr="007A3506">
        <w:rPr>
          <w:rFonts w:cstheme="minorHAnsi"/>
        </w:rPr>
        <w:t>A</w:t>
      </w:r>
      <w:r w:rsidR="00711B94" w:rsidRPr="007A3506">
        <w:rPr>
          <w:rFonts w:cstheme="minorHAnsi"/>
        </w:rPr>
        <w:t>ny evidence of deliberate avoidance of requirements (e.g., contract splitting)</w:t>
      </w:r>
      <w:r w:rsidR="00005518" w:rsidRPr="007A3506">
        <w:rPr>
          <w:rFonts w:cstheme="minorHAnsi"/>
        </w:rPr>
        <w:t>.</w:t>
      </w:r>
    </w:p>
    <w:p w14:paraId="76B17D3E" w14:textId="13D44F55" w:rsidR="00711B94" w:rsidRPr="007A3506" w:rsidRDefault="00711B94" w:rsidP="00054594">
      <w:pPr>
        <w:rPr>
          <w:rFonts w:cstheme="minorHAnsi"/>
        </w:rPr>
      </w:pPr>
      <w:r w:rsidRPr="007A3506">
        <w:rPr>
          <w:rFonts w:cstheme="minorHAnsi"/>
        </w:rPr>
        <w:t>The FSC has the following compliance options in the event of a breach:</w:t>
      </w:r>
      <w:r w:rsidR="004B7971" w:rsidRPr="007A3506">
        <w:rPr>
          <w:rFonts w:cstheme="minorHAnsi"/>
        </w:rPr>
        <w:t xml:space="preserve"> </w:t>
      </w:r>
    </w:p>
    <w:p w14:paraId="401B0A25" w14:textId="4EF7C203" w:rsidR="00711B94" w:rsidRPr="007A3506" w:rsidRDefault="00DC0074" w:rsidP="00054594">
      <w:pPr>
        <w:pStyle w:val="PURPLEBullet"/>
        <w:spacing w:after="200"/>
        <w:rPr>
          <w:rFonts w:cstheme="minorHAnsi"/>
        </w:rPr>
      </w:pPr>
      <w:r w:rsidRPr="007A3506">
        <w:rPr>
          <w:rFonts w:cstheme="minorHAnsi"/>
        </w:rPr>
        <w:t>S</w:t>
      </w:r>
      <w:r w:rsidR="00711B94" w:rsidRPr="007A3506">
        <w:rPr>
          <w:rFonts w:cstheme="minorHAnsi"/>
        </w:rPr>
        <w:t xml:space="preserve">eek a formal response from the relevant </w:t>
      </w:r>
      <w:r w:rsidR="00D44CF2" w:rsidRPr="007A3506">
        <w:rPr>
          <w:rFonts w:cstheme="minorHAnsi"/>
        </w:rPr>
        <w:t>funding entity</w:t>
      </w:r>
      <w:r w:rsidR="00711B94" w:rsidRPr="007A3506">
        <w:rPr>
          <w:rFonts w:cstheme="minorHAnsi"/>
        </w:rPr>
        <w:t xml:space="preserve"> on proposed remedies to the breach and prevention of future breaches </w:t>
      </w:r>
    </w:p>
    <w:p w14:paraId="6EFC3455" w14:textId="1A8B7238" w:rsidR="00711B94" w:rsidRPr="007A3506" w:rsidRDefault="00DC0074" w:rsidP="00054594">
      <w:pPr>
        <w:pStyle w:val="PURPLEBullet"/>
        <w:spacing w:after="200"/>
        <w:rPr>
          <w:rFonts w:cstheme="minorHAnsi"/>
        </w:rPr>
      </w:pPr>
      <w:r w:rsidRPr="007A3506">
        <w:rPr>
          <w:rFonts w:cstheme="minorHAnsi"/>
        </w:rPr>
        <w:t>E</w:t>
      </w:r>
      <w:r w:rsidR="00711B94" w:rsidRPr="007A3506">
        <w:rPr>
          <w:rFonts w:cstheme="minorHAnsi"/>
        </w:rPr>
        <w:t>scalate the request to the funding entity’s Minister</w:t>
      </w:r>
      <w:r w:rsidR="004509DA" w:rsidRPr="007A3506">
        <w:rPr>
          <w:rFonts w:cstheme="minorHAnsi"/>
        </w:rPr>
        <w:t xml:space="preserve"> and senior </w:t>
      </w:r>
      <w:r w:rsidR="001D3C3E" w:rsidRPr="007A3506">
        <w:rPr>
          <w:rFonts w:cstheme="minorHAnsi"/>
        </w:rPr>
        <w:t>E</w:t>
      </w:r>
      <w:r w:rsidR="004509DA" w:rsidRPr="007A3506">
        <w:rPr>
          <w:rFonts w:cstheme="minorHAnsi"/>
        </w:rPr>
        <w:t>xecutive</w:t>
      </w:r>
    </w:p>
    <w:p w14:paraId="5C7092C5" w14:textId="22741FD4" w:rsidR="00711B94" w:rsidRPr="007A3506" w:rsidRDefault="00254CA7" w:rsidP="00054594">
      <w:pPr>
        <w:pStyle w:val="PURPLEBullet"/>
        <w:spacing w:after="200"/>
        <w:rPr>
          <w:rFonts w:cstheme="minorHAnsi"/>
        </w:rPr>
      </w:pPr>
      <w:r w:rsidRPr="007A3506">
        <w:rPr>
          <w:rFonts w:cstheme="minorHAnsi"/>
        </w:rPr>
        <w:t>R</w:t>
      </w:r>
      <w:r w:rsidR="00711B94" w:rsidRPr="007A3506">
        <w:rPr>
          <w:rFonts w:cstheme="minorHAnsi"/>
        </w:rPr>
        <w:t>equest that the Minister for Workplace Relations write to the funding entity’s Minister.</w:t>
      </w:r>
    </w:p>
    <w:p w14:paraId="224A94BA" w14:textId="77777777" w:rsidR="000C20D0" w:rsidRPr="007A3506" w:rsidRDefault="000C20D0" w:rsidP="00054594">
      <w:pPr>
        <w:rPr>
          <w:rFonts w:cstheme="minorHAnsi"/>
        </w:rPr>
      </w:pPr>
    </w:p>
    <w:p w14:paraId="6F7A523A" w14:textId="77777777" w:rsidR="00101C7B" w:rsidRPr="007A3506" w:rsidRDefault="00101C7B" w:rsidP="00054594">
      <w:pPr>
        <w:spacing w:line="259" w:lineRule="auto"/>
        <w:rPr>
          <w:rFonts w:eastAsiaTheme="majorEastAsia" w:cstheme="minorHAnsi"/>
          <w:color w:val="214050" w:themeColor="text2"/>
          <w:sz w:val="28"/>
          <w:szCs w:val="24"/>
        </w:rPr>
      </w:pPr>
      <w:r w:rsidRPr="007A3506">
        <w:rPr>
          <w:rFonts w:cstheme="minorHAnsi"/>
        </w:rPr>
        <w:br w:type="page"/>
      </w:r>
    </w:p>
    <w:p w14:paraId="20C2486A" w14:textId="6B4E4692" w:rsidR="000C20D0" w:rsidRPr="007A3506" w:rsidRDefault="005047FF" w:rsidP="005047FF">
      <w:pPr>
        <w:pStyle w:val="Heading1"/>
        <w:rPr>
          <w:rFonts w:asciiTheme="minorHAnsi" w:hAnsiTheme="minorHAnsi" w:cstheme="minorHAnsi"/>
        </w:rPr>
      </w:pPr>
      <w:bookmarkStart w:id="38" w:name="_Toc138428277"/>
      <w:bookmarkStart w:id="39" w:name="_Toc2078427162"/>
      <w:bookmarkStart w:id="40" w:name="_Toc139261441"/>
      <w:r w:rsidRPr="007A3506">
        <w:rPr>
          <w:rFonts w:asciiTheme="minorHAnsi" w:hAnsiTheme="minorHAnsi" w:cstheme="minorHAnsi"/>
          <w:noProof/>
        </w:rPr>
        <w:lastRenderedPageBreak/>
        <w:drawing>
          <wp:anchor distT="0" distB="0" distL="114300" distR="114300" simplePos="0" relativeHeight="251658247" behindDoc="1" locked="0" layoutInCell="1" allowOverlap="1" wp14:anchorId="114E1B20" wp14:editId="1B575429">
            <wp:simplePos x="0" y="0"/>
            <wp:positionH relativeFrom="page">
              <wp:posOffset>6350</wp:posOffset>
            </wp:positionH>
            <wp:positionV relativeFrom="page">
              <wp:posOffset>3810</wp:posOffset>
            </wp:positionV>
            <wp:extent cx="7548244" cy="6843397"/>
            <wp:effectExtent l="0" t="0" r="0" b="0"/>
            <wp:wrapNone/>
            <wp:docPr id="1156850503" name="Picture 1156850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0503" name="Picture 14">
                      <a:extLst>
                        <a:ext uri="{C183D7F6-B498-43B3-948B-1728B52AA6E4}">
                          <adec:decorative xmlns:adec="http://schemas.microsoft.com/office/drawing/2017/decorative" val="1"/>
                        </a:ext>
                      </a:extLst>
                    </pic:cNvPr>
                    <pic:cNvPicPr/>
                  </pic:nvPicPr>
                  <pic:blipFill>
                    <a:blip r:embed="rId10">
                      <a:extLst>
                        <a:ext uri="{C183D7F6-B498-43B3-948B-1728B52AA6E4}">
                          <adec:decorative xmlns:arto="http://schemas.microsoft.com/office/word/2006/arto" xmlns:adec="http://schemas.microsoft.com/office/drawing/2017/decorative"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1"/>
                        </a:ext>
                      </a:extLst>
                    </a:blip>
                    <a:srcRect b="35900"/>
                    <a:stretch>
                      <a:fillRect/>
                    </a:stretch>
                  </pic:blipFill>
                  <pic:spPr>
                    <a:xfrm>
                      <a:off x="0" y="0"/>
                      <a:ext cx="7548244" cy="6843397"/>
                    </a:xfrm>
                    <a:prstGeom prst="rect">
                      <a:avLst/>
                    </a:prstGeom>
                  </pic:spPr>
                </pic:pic>
              </a:graphicData>
            </a:graphic>
            <wp14:sizeRelH relativeFrom="page">
              <wp14:pctWidth>0</wp14:pctWidth>
            </wp14:sizeRelH>
            <wp14:sizeRelV relativeFrom="page">
              <wp14:pctHeight>0</wp14:pctHeight>
            </wp14:sizeRelV>
          </wp:anchor>
        </w:drawing>
      </w:r>
      <w:r w:rsidRPr="007A3506">
        <w:rPr>
          <w:rFonts w:asciiTheme="minorHAnsi" w:hAnsiTheme="minorHAnsi" w:cstheme="minorHAnsi"/>
        </w:rPr>
        <w:t>2</w:t>
      </w:r>
      <w:r w:rsidR="007B3CE0" w:rsidRPr="007A3506">
        <w:rPr>
          <w:rFonts w:asciiTheme="minorHAnsi" w:hAnsiTheme="minorHAnsi" w:cstheme="minorHAnsi"/>
        </w:rPr>
        <w:t>.</w:t>
      </w:r>
      <w:r w:rsidR="00CC6822" w:rsidRPr="007A3506">
        <w:rPr>
          <w:rFonts w:asciiTheme="minorHAnsi" w:hAnsiTheme="minorHAnsi" w:cstheme="minorHAnsi"/>
        </w:rPr>
        <w:t xml:space="preserve"> </w:t>
      </w:r>
      <w:r w:rsidR="004408FF" w:rsidRPr="007A3506">
        <w:rPr>
          <w:rFonts w:asciiTheme="minorHAnsi" w:hAnsiTheme="minorHAnsi" w:cstheme="minorHAnsi"/>
        </w:rPr>
        <w:t>Statistics</w:t>
      </w:r>
      <w:bookmarkEnd w:id="38"/>
      <w:bookmarkEnd w:id="39"/>
      <w:bookmarkEnd w:id="40"/>
    </w:p>
    <w:p w14:paraId="690B5201" w14:textId="0FB5158A" w:rsidR="00591255" w:rsidRPr="007A3506" w:rsidRDefault="00591255" w:rsidP="00591255">
      <w:pPr>
        <w:pStyle w:val="Heading2"/>
        <w:rPr>
          <w:rFonts w:asciiTheme="minorHAnsi" w:hAnsiTheme="minorHAnsi" w:cstheme="minorHAnsi"/>
        </w:rPr>
      </w:pPr>
      <w:bookmarkStart w:id="41" w:name="_Toc138428278"/>
      <w:bookmarkStart w:id="42" w:name="_Toc397952247"/>
      <w:bookmarkStart w:id="43" w:name="_Toc139261442"/>
      <w:r w:rsidRPr="007A3506">
        <w:rPr>
          <w:rFonts w:asciiTheme="minorHAnsi" w:hAnsiTheme="minorHAnsi" w:cstheme="minorHAnsi"/>
        </w:rPr>
        <w:t>2.1</w:t>
      </w:r>
      <w:r w:rsidR="00CC6822" w:rsidRPr="007A3506">
        <w:rPr>
          <w:rFonts w:asciiTheme="minorHAnsi" w:hAnsiTheme="minorHAnsi" w:cstheme="minorHAnsi"/>
        </w:rPr>
        <w:t xml:space="preserve"> </w:t>
      </w:r>
      <w:r w:rsidRPr="007A3506">
        <w:rPr>
          <w:rFonts w:asciiTheme="minorHAnsi" w:hAnsiTheme="minorHAnsi" w:cstheme="minorHAnsi"/>
        </w:rPr>
        <w:t>Whole of Industry Statistics</w:t>
      </w:r>
      <w:bookmarkEnd w:id="41"/>
      <w:bookmarkEnd w:id="42"/>
      <w:bookmarkEnd w:id="43"/>
    </w:p>
    <w:p w14:paraId="159F743B" w14:textId="5A9549BF" w:rsidR="00577EAB" w:rsidRPr="007A3506" w:rsidRDefault="0021088B" w:rsidP="00577EAB">
      <w:pPr>
        <w:pStyle w:val="Heading3"/>
        <w:rPr>
          <w:rFonts w:asciiTheme="minorHAnsi" w:hAnsiTheme="minorHAnsi" w:cstheme="minorHAnsi"/>
        </w:rPr>
      </w:pPr>
      <w:bookmarkStart w:id="44" w:name="_Toc138428279"/>
      <w:bookmarkStart w:id="45" w:name="_Toc1406288312"/>
      <w:bookmarkStart w:id="46" w:name="_Toc139261443"/>
      <w:r w:rsidRPr="007A3506">
        <w:rPr>
          <w:rFonts w:asciiTheme="minorHAnsi" w:hAnsiTheme="minorHAnsi" w:cstheme="minorHAnsi"/>
        </w:rPr>
        <w:t xml:space="preserve">2.1.1 </w:t>
      </w:r>
      <w:r w:rsidR="00577EAB" w:rsidRPr="007A3506">
        <w:rPr>
          <w:rFonts w:asciiTheme="minorHAnsi" w:hAnsiTheme="minorHAnsi" w:cstheme="minorHAnsi"/>
        </w:rPr>
        <w:t>Fatalities in the Construction Industry</w:t>
      </w:r>
      <w:bookmarkEnd w:id="44"/>
      <w:bookmarkEnd w:id="45"/>
      <w:bookmarkEnd w:id="46"/>
    </w:p>
    <w:p w14:paraId="16CCF660" w14:textId="468D3AED" w:rsidR="00EA0803" w:rsidRPr="007A3506" w:rsidRDefault="00EA0803" w:rsidP="00EA0803">
      <w:pPr>
        <w:rPr>
          <w:rFonts w:cstheme="minorHAnsi"/>
        </w:rPr>
      </w:pPr>
      <w:r w:rsidRPr="007A3506">
        <w:rPr>
          <w:rFonts w:cstheme="minorHAnsi"/>
        </w:rPr>
        <w:t>The most recent publicly available Safe Work Australia data demonstrates the ongoing dangers construction workers face on site, with the industry experiencing the fourth highest fatality rate in Australia in 2021 at 2.1 fatalities per 100,000 workers.</w:t>
      </w:r>
      <w:r w:rsidRPr="007A3506">
        <w:rPr>
          <w:rStyle w:val="FootnoteReference"/>
          <w:rFonts w:cstheme="minorHAnsi"/>
        </w:rPr>
        <w:footnoteReference w:id="13"/>
      </w:r>
      <w:r w:rsidRPr="007A3506">
        <w:rPr>
          <w:rFonts w:cstheme="minorHAnsi"/>
        </w:rPr>
        <w:t xml:space="preserve"> </w:t>
      </w:r>
    </w:p>
    <w:p w14:paraId="6D5D9DCB" w14:textId="7B625E31" w:rsidR="00591255" w:rsidRPr="007A3506" w:rsidRDefault="00410C86" w:rsidP="00591255">
      <w:pPr>
        <w:rPr>
          <w:rFonts w:cstheme="minorHAnsi"/>
        </w:rPr>
      </w:pPr>
      <w:r w:rsidRPr="007A3506">
        <w:rPr>
          <w:rFonts w:cstheme="minorHAnsi"/>
          <w:noProof/>
        </w:rPr>
        <w:drawing>
          <wp:inline distT="0" distB="0" distL="0" distR="0" wp14:anchorId="07C480A1" wp14:editId="0645E20F">
            <wp:extent cx="5639174" cy="6710030"/>
            <wp:effectExtent l="0" t="0" r="0" b="0"/>
            <wp:docPr id="1" name="Picture 1" descr="Table depicting number of worker fatalities and fatality rate (fatalities per 100,000 workers) by industry in 2021. Construction comes in at number four with 24 fatalities and a fatality rate of 2.1. It follows agriculture, forestry &amp; fishing at number one with 33 fatalities and a fatality rate of 10.4; transport, postal and warehousing at number two with 52 fatalities and a fatality rate of 7.8; and Mining at number three with 6 fatalities and a fatality rate of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depicting number of worker fatalities and fatality rate (fatalities per 100,000 workers) by industry in 2021. Construction comes in at number four with 24 fatalities and a fatality rate of 2.1. It follows agriculture, forestry &amp; fishing at number one with 33 fatalities and a fatality rate of 10.4; transport, postal and warehousing at number two with 52 fatalities and a fatality rate of 7.8; and Mining at number three with 6 fatalities and a fatality rate of 2.3."/>
                    <pic:cNvPicPr/>
                  </pic:nvPicPr>
                  <pic:blipFill>
                    <a:blip r:embed="rId17"/>
                    <a:stretch>
                      <a:fillRect/>
                    </a:stretch>
                  </pic:blipFill>
                  <pic:spPr>
                    <a:xfrm>
                      <a:off x="0" y="0"/>
                      <a:ext cx="5639174" cy="6710030"/>
                    </a:xfrm>
                    <a:prstGeom prst="rect">
                      <a:avLst/>
                    </a:prstGeom>
                  </pic:spPr>
                </pic:pic>
              </a:graphicData>
            </a:graphic>
          </wp:inline>
        </w:drawing>
      </w:r>
    </w:p>
    <w:tbl>
      <w:tblPr>
        <w:tblStyle w:val="DataTable1"/>
        <w:tblpPr w:leftFromText="180" w:rightFromText="180" w:vertAnchor="page" w:horzAnchor="margin" w:tblpXSpec="center" w:tblpY="2180"/>
        <w:tblW w:w="11034"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157"/>
        <w:gridCol w:w="581"/>
        <w:gridCol w:w="581"/>
        <w:gridCol w:w="581"/>
        <w:gridCol w:w="581"/>
        <w:gridCol w:w="581"/>
        <w:gridCol w:w="581"/>
        <w:gridCol w:w="581"/>
        <w:gridCol w:w="581"/>
        <w:gridCol w:w="581"/>
        <w:gridCol w:w="581"/>
        <w:gridCol w:w="581"/>
        <w:gridCol w:w="581"/>
        <w:gridCol w:w="581"/>
        <w:gridCol w:w="581"/>
        <w:gridCol w:w="581"/>
        <w:gridCol w:w="581"/>
        <w:gridCol w:w="581"/>
      </w:tblGrid>
      <w:tr w:rsidR="00B14634" w:rsidRPr="00E412D6" w14:paraId="2B131F8E" w14:textId="77777777" w:rsidTr="00B14634">
        <w:trPr>
          <w:cnfStyle w:val="100000000000" w:firstRow="1" w:lastRow="0" w:firstColumn="0" w:lastColumn="0" w:oddVBand="0" w:evenVBand="0" w:oddHBand="0" w:evenHBand="0" w:firstRowFirstColumn="0" w:firstRowLastColumn="0" w:lastRowFirstColumn="0" w:lastRowLastColumn="0"/>
          <w:trHeight w:val="347"/>
        </w:trPr>
        <w:tc>
          <w:tcPr>
            <w:tcW w:w="1157" w:type="dxa"/>
            <w:noWrap/>
            <w:hideMark/>
          </w:tcPr>
          <w:p w14:paraId="7B42803E" w14:textId="77777777" w:rsidR="00B14634" w:rsidRPr="007A3506" w:rsidRDefault="00B14634" w:rsidP="00B14634">
            <w:pPr>
              <w:rPr>
                <w:rFonts w:cstheme="minorHAnsi"/>
                <w:b w:val="0"/>
                <w:sz w:val="18"/>
                <w:szCs w:val="18"/>
                <w:lang w:eastAsia="en-AU"/>
              </w:rPr>
            </w:pPr>
            <w:r w:rsidRPr="007A3506">
              <w:rPr>
                <w:rFonts w:cstheme="minorHAnsi"/>
                <w:sz w:val="18"/>
                <w:szCs w:val="18"/>
                <w:lang w:eastAsia="en-AU"/>
              </w:rPr>
              <w:lastRenderedPageBreak/>
              <w:t>Industry of employer (ANZSIC '06)</w:t>
            </w:r>
          </w:p>
        </w:tc>
        <w:tc>
          <w:tcPr>
            <w:tcW w:w="581" w:type="dxa"/>
            <w:tcBorders>
              <w:right w:val="single" w:sz="4" w:space="0" w:color="auto"/>
            </w:tcBorders>
            <w:noWrap/>
            <w:hideMark/>
          </w:tcPr>
          <w:p w14:paraId="413EB2E6"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2005</w:t>
            </w:r>
          </w:p>
        </w:tc>
        <w:tc>
          <w:tcPr>
            <w:tcW w:w="581" w:type="dxa"/>
            <w:tcBorders>
              <w:top w:val="single" w:sz="4" w:space="0" w:color="auto"/>
              <w:left w:val="single" w:sz="4" w:space="0" w:color="auto"/>
              <w:bottom w:val="single" w:sz="4" w:space="0" w:color="auto"/>
              <w:right w:val="single" w:sz="4" w:space="0" w:color="auto"/>
            </w:tcBorders>
            <w:noWrap/>
            <w:hideMark/>
          </w:tcPr>
          <w:p w14:paraId="1D61FC72"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2006</w:t>
            </w:r>
          </w:p>
        </w:tc>
        <w:tc>
          <w:tcPr>
            <w:tcW w:w="581" w:type="dxa"/>
            <w:tcBorders>
              <w:top w:val="single" w:sz="4" w:space="0" w:color="auto"/>
              <w:left w:val="single" w:sz="4" w:space="0" w:color="auto"/>
              <w:bottom w:val="single" w:sz="4" w:space="0" w:color="auto"/>
              <w:right w:val="single" w:sz="4" w:space="0" w:color="auto"/>
            </w:tcBorders>
            <w:noWrap/>
            <w:hideMark/>
          </w:tcPr>
          <w:p w14:paraId="531E618D"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2007</w:t>
            </w:r>
          </w:p>
        </w:tc>
        <w:tc>
          <w:tcPr>
            <w:tcW w:w="581" w:type="dxa"/>
            <w:tcBorders>
              <w:top w:val="single" w:sz="4" w:space="0" w:color="auto"/>
              <w:left w:val="single" w:sz="4" w:space="0" w:color="auto"/>
              <w:bottom w:val="single" w:sz="4" w:space="0" w:color="auto"/>
              <w:right w:val="single" w:sz="4" w:space="0" w:color="auto"/>
            </w:tcBorders>
            <w:noWrap/>
            <w:hideMark/>
          </w:tcPr>
          <w:p w14:paraId="4F914AA5"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2008</w:t>
            </w:r>
          </w:p>
        </w:tc>
        <w:tc>
          <w:tcPr>
            <w:tcW w:w="581" w:type="dxa"/>
            <w:tcBorders>
              <w:top w:val="single" w:sz="4" w:space="0" w:color="auto"/>
              <w:left w:val="single" w:sz="4" w:space="0" w:color="auto"/>
              <w:bottom w:val="single" w:sz="4" w:space="0" w:color="auto"/>
              <w:right w:val="single" w:sz="4" w:space="0" w:color="auto"/>
            </w:tcBorders>
            <w:noWrap/>
            <w:hideMark/>
          </w:tcPr>
          <w:p w14:paraId="13E96F6A"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2009</w:t>
            </w:r>
          </w:p>
        </w:tc>
        <w:tc>
          <w:tcPr>
            <w:tcW w:w="581" w:type="dxa"/>
            <w:tcBorders>
              <w:top w:val="single" w:sz="4" w:space="0" w:color="auto"/>
              <w:left w:val="single" w:sz="4" w:space="0" w:color="auto"/>
              <w:bottom w:val="single" w:sz="4" w:space="0" w:color="auto"/>
              <w:right w:val="single" w:sz="4" w:space="0" w:color="auto"/>
            </w:tcBorders>
            <w:noWrap/>
            <w:hideMark/>
          </w:tcPr>
          <w:p w14:paraId="7D63F651"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2010</w:t>
            </w:r>
          </w:p>
        </w:tc>
        <w:tc>
          <w:tcPr>
            <w:tcW w:w="581" w:type="dxa"/>
            <w:tcBorders>
              <w:top w:val="single" w:sz="4" w:space="0" w:color="auto"/>
              <w:left w:val="single" w:sz="4" w:space="0" w:color="auto"/>
              <w:bottom w:val="single" w:sz="4" w:space="0" w:color="auto"/>
              <w:right w:val="single" w:sz="4" w:space="0" w:color="auto"/>
            </w:tcBorders>
            <w:noWrap/>
            <w:hideMark/>
          </w:tcPr>
          <w:p w14:paraId="7EED8632"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2011</w:t>
            </w:r>
          </w:p>
        </w:tc>
        <w:tc>
          <w:tcPr>
            <w:tcW w:w="581" w:type="dxa"/>
            <w:tcBorders>
              <w:top w:val="single" w:sz="4" w:space="0" w:color="auto"/>
              <w:left w:val="single" w:sz="4" w:space="0" w:color="auto"/>
              <w:bottom w:val="single" w:sz="4" w:space="0" w:color="auto"/>
              <w:right w:val="single" w:sz="4" w:space="0" w:color="auto"/>
            </w:tcBorders>
            <w:noWrap/>
            <w:hideMark/>
          </w:tcPr>
          <w:p w14:paraId="79422745"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2012</w:t>
            </w:r>
          </w:p>
        </w:tc>
        <w:tc>
          <w:tcPr>
            <w:tcW w:w="581" w:type="dxa"/>
            <w:tcBorders>
              <w:top w:val="single" w:sz="4" w:space="0" w:color="auto"/>
              <w:left w:val="single" w:sz="4" w:space="0" w:color="auto"/>
              <w:bottom w:val="single" w:sz="4" w:space="0" w:color="auto"/>
              <w:right w:val="single" w:sz="4" w:space="0" w:color="auto"/>
            </w:tcBorders>
            <w:noWrap/>
            <w:hideMark/>
          </w:tcPr>
          <w:p w14:paraId="79E96CB0"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2013</w:t>
            </w:r>
          </w:p>
        </w:tc>
        <w:tc>
          <w:tcPr>
            <w:tcW w:w="581" w:type="dxa"/>
            <w:tcBorders>
              <w:top w:val="single" w:sz="4" w:space="0" w:color="auto"/>
              <w:left w:val="single" w:sz="4" w:space="0" w:color="auto"/>
              <w:bottom w:val="single" w:sz="4" w:space="0" w:color="auto"/>
              <w:right w:val="single" w:sz="4" w:space="0" w:color="auto"/>
            </w:tcBorders>
            <w:noWrap/>
            <w:hideMark/>
          </w:tcPr>
          <w:p w14:paraId="0AFB8810"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2014</w:t>
            </w:r>
          </w:p>
        </w:tc>
        <w:tc>
          <w:tcPr>
            <w:tcW w:w="581" w:type="dxa"/>
            <w:tcBorders>
              <w:top w:val="single" w:sz="4" w:space="0" w:color="auto"/>
              <w:left w:val="single" w:sz="4" w:space="0" w:color="auto"/>
              <w:bottom w:val="single" w:sz="4" w:space="0" w:color="auto"/>
              <w:right w:val="single" w:sz="4" w:space="0" w:color="auto"/>
            </w:tcBorders>
            <w:noWrap/>
            <w:hideMark/>
          </w:tcPr>
          <w:p w14:paraId="6E9F857B"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2015</w:t>
            </w:r>
          </w:p>
        </w:tc>
        <w:tc>
          <w:tcPr>
            <w:tcW w:w="581" w:type="dxa"/>
            <w:tcBorders>
              <w:top w:val="single" w:sz="4" w:space="0" w:color="auto"/>
              <w:left w:val="single" w:sz="4" w:space="0" w:color="auto"/>
              <w:bottom w:val="single" w:sz="4" w:space="0" w:color="auto"/>
              <w:right w:val="single" w:sz="4" w:space="0" w:color="auto"/>
            </w:tcBorders>
            <w:noWrap/>
            <w:hideMark/>
          </w:tcPr>
          <w:p w14:paraId="78D0BE4F"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2016</w:t>
            </w:r>
          </w:p>
        </w:tc>
        <w:tc>
          <w:tcPr>
            <w:tcW w:w="581" w:type="dxa"/>
            <w:tcBorders>
              <w:left w:val="single" w:sz="4" w:space="0" w:color="auto"/>
            </w:tcBorders>
            <w:noWrap/>
            <w:hideMark/>
          </w:tcPr>
          <w:p w14:paraId="7B21DC00"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2017</w:t>
            </w:r>
          </w:p>
        </w:tc>
        <w:tc>
          <w:tcPr>
            <w:tcW w:w="581" w:type="dxa"/>
            <w:noWrap/>
            <w:hideMark/>
          </w:tcPr>
          <w:p w14:paraId="5D01DD37"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2018</w:t>
            </w:r>
          </w:p>
        </w:tc>
        <w:tc>
          <w:tcPr>
            <w:tcW w:w="581" w:type="dxa"/>
            <w:noWrap/>
            <w:hideMark/>
          </w:tcPr>
          <w:p w14:paraId="2B907281"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2019</w:t>
            </w:r>
          </w:p>
        </w:tc>
        <w:tc>
          <w:tcPr>
            <w:tcW w:w="581" w:type="dxa"/>
            <w:noWrap/>
            <w:hideMark/>
          </w:tcPr>
          <w:p w14:paraId="5F858B70"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2020</w:t>
            </w:r>
          </w:p>
        </w:tc>
        <w:tc>
          <w:tcPr>
            <w:tcW w:w="581" w:type="dxa"/>
            <w:noWrap/>
            <w:hideMark/>
          </w:tcPr>
          <w:p w14:paraId="214339F5" w14:textId="77777777" w:rsidR="00B14634" w:rsidRPr="007A3506" w:rsidRDefault="00B14634" w:rsidP="00B14634">
            <w:pPr>
              <w:jc w:val="right"/>
              <w:rPr>
                <w:rFonts w:cstheme="minorHAnsi"/>
                <w:b w:val="0"/>
                <w:sz w:val="18"/>
                <w:szCs w:val="18"/>
                <w:lang w:eastAsia="en-AU"/>
              </w:rPr>
            </w:pPr>
            <w:r w:rsidRPr="007A3506">
              <w:rPr>
                <w:rFonts w:cstheme="minorHAnsi"/>
                <w:sz w:val="18"/>
                <w:szCs w:val="18"/>
                <w:lang w:eastAsia="en-AU"/>
              </w:rPr>
              <w:t>2021</w:t>
            </w:r>
          </w:p>
        </w:tc>
      </w:tr>
      <w:tr w:rsidR="00B14634" w:rsidRPr="00E412D6" w14:paraId="7D8824E3" w14:textId="77777777" w:rsidTr="00B14634">
        <w:trPr>
          <w:trHeight w:val="347"/>
        </w:trPr>
        <w:tc>
          <w:tcPr>
            <w:tcW w:w="1157" w:type="dxa"/>
            <w:noWrap/>
            <w:hideMark/>
          </w:tcPr>
          <w:p w14:paraId="17AE633B" w14:textId="77777777" w:rsidR="00B14634" w:rsidRPr="007A3506" w:rsidRDefault="00B14634" w:rsidP="00B14634">
            <w:pPr>
              <w:rPr>
                <w:rFonts w:cstheme="minorHAnsi"/>
                <w:sz w:val="18"/>
                <w:szCs w:val="18"/>
                <w:lang w:eastAsia="en-AU"/>
              </w:rPr>
            </w:pPr>
            <w:r w:rsidRPr="007A3506">
              <w:rPr>
                <w:rFonts w:cstheme="minorHAnsi"/>
                <w:sz w:val="18"/>
                <w:szCs w:val="18"/>
                <w:lang w:eastAsia="en-AU"/>
              </w:rPr>
              <w:t>Construction</w:t>
            </w:r>
          </w:p>
        </w:tc>
        <w:tc>
          <w:tcPr>
            <w:tcW w:w="581" w:type="dxa"/>
            <w:tcBorders>
              <w:right w:val="single" w:sz="4" w:space="0" w:color="auto"/>
            </w:tcBorders>
            <w:noWrap/>
            <w:hideMark/>
          </w:tcPr>
          <w:p w14:paraId="18217D57" w14:textId="77777777" w:rsidR="00B14634" w:rsidRPr="007A3506" w:rsidRDefault="00B14634" w:rsidP="00B14634">
            <w:pPr>
              <w:jc w:val="right"/>
              <w:rPr>
                <w:rFonts w:cstheme="minorHAnsi"/>
                <w:lang w:eastAsia="en-AU"/>
              </w:rPr>
            </w:pPr>
            <w:r w:rsidRPr="007A3506">
              <w:rPr>
                <w:rFonts w:cstheme="minorHAnsi"/>
                <w:lang w:eastAsia="en-AU"/>
              </w:rPr>
              <w:t>3.6</w:t>
            </w:r>
          </w:p>
        </w:tc>
        <w:tc>
          <w:tcPr>
            <w:tcW w:w="581" w:type="dxa"/>
            <w:tcBorders>
              <w:top w:val="single" w:sz="4" w:space="0" w:color="auto"/>
              <w:left w:val="single" w:sz="4" w:space="0" w:color="auto"/>
              <w:bottom w:val="single" w:sz="4" w:space="0" w:color="auto"/>
              <w:right w:val="single" w:sz="4" w:space="0" w:color="auto"/>
            </w:tcBorders>
            <w:noWrap/>
            <w:hideMark/>
          </w:tcPr>
          <w:p w14:paraId="57D24134" w14:textId="77777777" w:rsidR="00B14634" w:rsidRPr="007A3506" w:rsidRDefault="00B14634" w:rsidP="00B14634">
            <w:pPr>
              <w:jc w:val="right"/>
              <w:rPr>
                <w:rFonts w:cstheme="minorHAnsi"/>
                <w:lang w:eastAsia="en-AU"/>
              </w:rPr>
            </w:pPr>
            <w:r w:rsidRPr="007A3506">
              <w:rPr>
                <w:rFonts w:cstheme="minorHAnsi"/>
                <w:lang w:eastAsia="en-AU"/>
              </w:rPr>
              <w:t>4.8</w:t>
            </w:r>
          </w:p>
        </w:tc>
        <w:tc>
          <w:tcPr>
            <w:tcW w:w="581" w:type="dxa"/>
            <w:tcBorders>
              <w:top w:val="single" w:sz="4" w:space="0" w:color="auto"/>
              <w:left w:val="single" w:sz="4" w:space="0" w:color="auto"/>
              <w:bottom w:val="single" w:sz="4" w:space="0" w:color="auto"/>
              <w:right w:val="single" w:sz="4" w:space="0" w:color="auto"/>
            </w:tcBorders>
            <w:noWrap/>
            <w:hideMark/>
          </w:tcPr>
          <w:p w14:paraId="381C567C" w14:textId="77777777" w:rsidR="00B14634" w:rsidRPr="007A3506" w:rsidRDefault="00B14634" w:rsidP="00B14634">
            <w:pPr>
              <w:jc w:val="right"/>
              <w:rPr>
                <w:rFonts w:cstheme="minorHAnsi"/>
                <w:lang w:eastAsia="en-AU"/>
              </w:rPr>
            </w:pPr>
            <w:r w:rsidRPr="007A3506">
              <w:rPr>
                <w:rFonts w:cstheme="minorHAnsi"/>
                <w:lang w:eastAsia="en-AU"/>
              </w:rPr>
              <w:t>4.8</w:t>
            </w:r>
          </w:p>
        </w:tc>
        <w:tc>
          <w:tcPr>
            <w:tcW w:w="581" w:type="dxa"/>
            <w:tcBorders>
              <w:top w:val="single" w:sz="4" w:space="0" w:color="auto"/>
              <w:left w:val="single" w:sz="4" w:space="0" w:color="auto"/>
              <w:bottom w:val="single" w:sz="4" w:space="0" w:color="auto"/>
              <w:right w:val="single" w:sz="4" w:space="0" w:color="auto"/>
            </w:tcBorders>
            <w:noWrap/>
            <w:hideMark/>
          </w:tcPr>
          <w:p w14:paraId="322EB0C9" w14:textId="77777777" w:rsidR="00B14634" w:rsidRPr="007A3506" w:rsidRDefault="00B14634" w:rsidP="00B14634">
            <w:pPr>
              <w:jc w:val="right"/>
              <w:rPr>
                <w:rFonts w:cstheme="minorHAnsi"/>
                <w:lang w:eastAsia="en-AU"/>
              </w:rPr>
            </w:pPr>
            <w:r w:rsidRPr="007A3506">
              <w:rPr>
                <w:rFonts w:cstheme="minorHAnsi"/>
                <w:lang w:eastAsia="en-AU"/>
              </w:rPr>
              <w:t>3.9</w:t>
            </w:r>
          </w:p>
        </w:tc>
        <w:tc>
          <w:tcPr>
            <w:tcW w:w="581" w:type="dxa"/>
            <w:tcBorders>
              <w:top w:val="single" w:sz="4" w:space="0" w:color="auto"/>
              <w:left w:val="single" w:sz="4" w:space="0" w:color="auto"/>
              <w:bottom w:val="single" w:sz="4" w:space="0" w:color="auto"/>
              <w:right w:val="single" w:sz="4" w:space="0" w:color="auto"/>
            </w:tcBorders>
            <w:noWrap/>
            <w:hideMark/>
          </w:tcPr>
          <w:p w14:paraId="4440CB69" w14:textId="77777777" w:rsidR="00B14634" w:rsidRPr="007A3506" w:rsidRDefault="00B14634" w:rsidP="00B14634">
            <w:pPr>
              <w:jc w:val="right"/>
              <w:rPr>
                <w:rFonts w:cstheme="minorHAnsi"/>
                <w:lang w:eastAsia="en-AU"/>
              </w:rPr>
            </w:pPr>
            <w:r w:rsidRPr="007A3506">
              <w:rPr>
                <w:rFonts w:cstheme="minorHAnsi"/>
                <w:lang w:eastAsia="en-AU"/>
              </w:rPr>
              <w:t>3.7</w:t>
            </w:r>
          </w:p>
        </w:tc>
        <w:tc>
          <w:tcPr>
            <w:tcW w:w="581" w:type="dxa"/>
            <w:tcBorders>
              <w:top w:val="single" w:sz="4" w:space="0" w:color="auto"/>
              <w:left w:val="single" w:sz="4" w:space="0" w:color="auto"/>
              <w:bottom w:val="single" w:sz="4" w:space="0" w:color="auto"/>
              <w:right w:val="single" w:sz="4" w:space="0" w:color="auto"/>
            </w:tcBorders>
            <w:noWrap/>
            <w:hideMark/>
          </w:tcPr>
          <w:p w14:paraId="04C8646C" w14:textId="77777777" w:rsidR="00B14634" w:rsidRPr="007A3506" w:rsidRDefault="00B14634" w:rsidP="00B14634">
            <w:pPr>
              <w:jc w:val="right"/>
              <w:rPr>
                <w:rFonts w:cstheme="minorHAnsi"/>
                <w:lang w:eastAsia="en-AU"/>
              </w:rPr>
            </w:pPr>
            <w:r w:rsidRPr="007A3506">
              <w:rPr>
                <w:rFonts w:cstheme="minorHAnsi"/>
                <w:lang w:eastAsia="en-AU"/>
              </w:rPr>
              <w:t>4.1</w:t>
            </w:r>
          </w:p>
        </w:tc>
        <w:tc>
          <w:tcPr>
            <w:tcW w:w="581" w:type="dxa"/>
            <w:tcBorders>
              <w:top w:val="single" w:sz="4" w:space="0" w:color="auto"/>
              <w:left w:val="single" w:sz="4" w:space="0" w:color="auto"/>
              <w:bottom w:val="single" w:sz="4" w:space="0" w:color="auto"/>
              <w:right w:val="single" w:sz="4" w:space="0" w:color="auto"/>
            </w:tcBorders>
            <w:noWrap/>
            <w:hideMark/>
          </w:tcPr>
          <w:p w14:paraId="16C13E95" w14:textId="77777777" w:rsidR="00B14634" w:rsidRPr="007A3506" w:rsidRDefault="00B14634" w:rsidP="00B14634">
            <w:pPr>
              <w:jc w:val="right"/>
              <w:rPr>
                <w:rFonts w:cstheme="minorHAnsi"/>
                <w:lang w:eastAsia="en-AU"/>
              </w:rPr>
            </w:pPr>
            <w:r w:rsidRPr="007A3506">
              <w:rPr>
                <w:rFonts w:cstheme="minorHAnsi"/>
                <w:lang w:eastAsia="en-AU"/>
              </w:rPr>
              <w:t>4.0</w:t>
            </w:r>
          </w:p>
        </w:tc>
        <w:tc>
          <w:tcPr>
            <w:tcW w:w="581" w:type="dxa"/>
            <w:tcBorders>
              <w:top w:val="single" w:sz="4" w:space="0" w:color="auto"/>
              <w:left w:val="single" w:sz="4" w:space="0" w:color="auto"/>
              <w:bottom w:val="single" w:sz="4" w:space="0" w:color="auto"/>
              <w:right w:val="single" w:sz="4" w:space="0" w:color="auto"/>
            </w:tcBorders>
            <w:noWrap/>
            <w:hideMark/>
          </w:tcPr>
          <w:p w14:paraId="0E8A8837" w14:textId="77777777" w:rsidR="00B14634" w:rsidRPr="007A3506" w:rsidRDefault="00B14634" w:rsidP="00B14634">
            <w:pPr>
              <w:jc w:val="right"/>
              <w:rPr>
                <w:rFonts w:cstheme="minorHAnsi"/>
                <w:lang w:eastAsia="en-AU"/>
              </w:rPr>
            </w:pPr>
            <w:r w:rsidRPr="007A3506">
              <w:rPr>
                <w:rFonts w:cstheme="minorHAnsi"/>
                <w:lang w:eastAsia="en-AU"/>
              </w:rPr>
              <w:t>3.1</w:t>
            </w:r>
          </w:p>
        </w:tc>
        <w:tc>
          <w:tcPr>
            <w:tcW w:w="581" w:type="dxa"/>
            <w:tcBorders>
              <w:top w:val="single" w:sz="4" w:space="0" w:color="auto"/>
              <w:left w:val="single" w:sz="4" w:space="0" w:color="auto"/>
              <w:bottom w:val="single" w:sz="4" w:space="0" w:color="auto"/>
              <w:right w:val="single" w:sz="4" w:space="0" w:color="auto"/>
            </w:tcBorders>
            <w:noWrap/>
            <w:hideMark/>
          </w:tcPr>
          <w:p w14:paraId="73984E4A" w14:textId="77777777" w:rsidR="00B14634" w:rsidRPr="007A3506" w:rsidRDefault="00B14634" w:rsidP="00B14634">
            <w:pPr>
              <w:jc w:val="right"/>
              <w:rPr>
                <w:rFonts w:cstheme="minorHAnsi"/>
                <w:lang w:eastAsia="en-AU"/>
              </w:rPr>
            </w:pPr>
            <w:r w:rsidRPr="007A3506">
              <w:rPr>
                <w:rFonts w:cstheme="minorHAnsi"/>
                <w:lang w:eastAsia="en-AU"/>
              </w:rPr>
              <w:t>2.1</w:t>
            </w:r>
          </w:p>
        </w:tc>
        <w:tc>
          <w:tcPr>
            <w:tcW w:w="581" w:type="dxa"/>
            <w:tcBorders>
              <w:top w:val="single" w:sz="4" w:space="0" w:color="auto"/>
              <w:left w:val="single" w:sz="4" w:space="0" w:color="auto"/>
              <w:bottom w:val="single" w:sz="4" w:space="0" w:color="auto"/>
              <w:right w:val="single" w:sz="4" w:space="0" w:color="auto"/>
            </w:tcBorders>
            <w:noWrap/>
            <w:hideMark/>
          </w:tcPr>
          <w:p w14:paraId="35006272" w14:textId="77777777" w:rsidR="00B14634" w:rsidRPr="007A3506" w:rsidRDefault="00B14634" w:rsidP="00B14634">
            <w:pPr>
              <w:jc w:val="right"/>
              <w:rPr>
                <w:rFonts w:cstheme="minorHAnsi"/>
                <w:lang w:eastAsia="en-AU"/>
              </w:rPr>
            </w:pPr>
            <w:r w:rsidRPr="007A3506">
              <w:rPr>
                <w:rFonts w:cstheme="minorHAnsi"/>
                <w:lang w:eastAsia="en-AU"/>
              </w:rPr>
              <w:t>3.1</w:t>
            </w:r>
          </w:p>
        </w:tc>
        <w:tc>
          <w:tcPr>
            <w:tcW w:w="581" w:type="dxa"/>
            <w:tcBorders>
              <w:top w:val="single" w:sz="4" w:space="0" w:color="auto"/>
              <w:left w:val="single" w:sz="4" w:space="0" w:color="auto"/>
              <w:bottom w:val="single" w:sz="4" w:space="0" w:color="auto"/>
              <w:right w:val="single" w:sz="4" w:space="0" w:color="auto"/>
            </w:tcBorders>
            <w:noWrap/>
            <w:hideMark/>
          </w:tcPr>
          <w:p w14:paraId="6ACD891A" w14:textId="77777777" w:rsidR="00B14634" w:rsidRPr="007A3506" w:rsidRDefault="00B14634" w:rsidP="00B14634">
            <w:pPr>
              <w:jc w:val="right"/>
              <w:rPr>
                <w:rFonts w:cstheme="minorHAnsi"/>
                <w:lang w:eastAsia="en-AU"/>
              </w:rPr>
            </w:pPr>
            <w:r w:rsidRPr="007A3506">
              <w:rPr>
                <w:rFonts w:cstheme="minorHAnsi"/>
                <w:lang w:eastAsia="en-AU"/>
              </w:rPr>
              <w:t>3.3</w:t>
            </w:r>
          </w:p>
        </w:tc>
        <w:tc>
          <w:tcPr>
            <w:tcW w:w="581" w:type="dxa"/>
            <w:tcBorders>
              <w:top w:val="single" w:sz="4" w:space="0" w:color="auto"/>
              <w:left w:val="single" w:sz="4" w:space="0" w:color="auto"/>
              <w:bottom w:val="single" w:sz="4" w:space="0" w:color="auto"/>
              <w:right w:val="single" w:sz="4" w:space="0" w:color="auto"/>
            </w:tcBorders>
            <w:noWrap/>
            <w:hideMark/>
          </w:tcPr>
          <w:p w14:paraId="6A11948B" w14:textId="77777777" w:rsidR="00B14634" w:rsidRPr="007A3506" w:rsidRDefault="00B14634" w:rsidP="00B14634">
            <w:pPr>
              <w:jc w:val="right"/>
              <w:rPr>
                <w:rFonts w:cstheme="minorHAnsi"/>
                <w:lang w:eastAsia="en-AU"/>
              </w:rPr>
            </w:pPr>
            <w:r w:rsidRPr="007A3506">
              <w:rPr>
                <w:rFonts w:cstheme="minorHAnsi"/>
                <w:lang w:eastAsia="en-AU"/>
              </w:rPr>
              <w:t>3.4</w:t>
            </w:r>
          </w:p>
        </w:tc>
        <w:tc>
          <w:tcPr>
            <w:tcW w:w="581" w:type="dxa"/>
            <w:tcBorders>
              <w:left w:val="single" w:sz="4" w:space="0" w:color="auto"/>
            </w:tcBorders>
            <w:noWrap/>
            <w:hideMark/>
          </w:tcPr>
          <w:p w14:paraId="3F7C7A21" w14:textId="77777777" w:rsidR="00B14634" w:rsidRPr="007A3506" w:rsidRDefault="00B14634" w:rsidP="00B14634">
            <w:pPr>
              <w:jc w:val="right"/>
              <w:rPr>
                <w:rFonts w:cstheme="minorHAnsi"/>
                <w:lang w:eastAsia="en-AU"/>
              </w:rPr>
            </w:pPr>
            <w:r w:rsidRPr="007A3506">
              <w:rPr>
                <w:rFonts w:cstheme="minorHAnsi"/>
                <w:lang w:eastAsia="en-AU"/>
              </w:rPr>
              <w:t>2.6</w:t>
            </w:r>
          </w:p>
        </w:tc>
        <w:tc>
          <w:tcPr>
            <w:tcW w:w="581" w:type="dxa"/>
            <w:noWrap/>
            <w:hideMark/>
          </w:tcPr>
          <w:p w14:paraId="25661177" w14:textId="77777777" w:rsidR="00B14634" w:rsidRPr="007A3506" w:rsidRDefault="00B14634" w:rsidP="00B14634">
            <w:pPr>
              <w:jc w:val="right"/>
              <w:rPr>
                <w:rFonts w:cstheme="minorHAnsi"/>
                <w:lang w:eastAsia="en-AU"/>
              </w:rPr>
            </w:pPr>
            <w:r w:rsidRPr="007A3506">
              <w:rPr>
                <w:rFonts w:cstheme="minorHAnsi"/>
                <w:lang w:eastAsia="en-AU"/>
              </w:rPr>
              <w:t>2.0</w:t>
            </w:r>
          </w:p>
        </w:tc>
        <w:tc>
          <w:tcPr>
            <w:tcW w:w="581" w:type="dxa"/>
            <w:noWrap/>
            <w:hideMark/>
          </w:tcPr>
          <w:p w14:paraId="57B8D506" w14:textId="77777777" w:rsidR="00B14634" w:rsidRPr="007A3506" w:rsidRDefault="00B14634" w:rsidP="00B14634">
            <w:pPr>
              <w:jc w:val="right"/>
              <w:rPr>
                <w:rFonts w:cstheme="minorHAnsi"/>
                <w:lang w:eastAsia="en-AU"/>
              </w:rPr>
            </w:pPr>
            <w:r w:rsidRPr="007A3506">
              <w:rPr>
                <w:rFonts w:cstheme="minorHAnsi"/>
                <w:lang w:eastAsia="en-AU"/>
              </w:rPr>
              <w:t>2.4</w:t>
            </w:r>
          </w:p>
        </w:tc>
        <w:tc>
          <w:tcPr>
            <w:tcW w:w="581" w:type="dxa"/>
            <w:noWrap/>
            <w:hideMark/>
          </w:tcPr>
          <w:p w14:paraId="68D13C5E" w14:textId="77777777" w:rsidR="00B14634" w:rsidRPr="007A3506" w:rsidRDefault="00B14634" w:rsidP="00B14634">
            <w:pPr>
              <w:jc w:val="right"/>
              <w:rPr>
                <w:rFonts w:cstheme="minorHAnsi"/>
                <w:lang w:eastAsia="en-AU"/>
              </w:rPr>
            </w:pPr>
            <w:r w:rsidRPr="007A3506">
              <w:rPr>
                <w:rFonts w:cstheme="minorHAnsi"/>
                <w:lang w:eastAsia="en-AU"/>
              </w:rPr>
              <w:t>3.1</w:t>
            </w:r>
          </w:p>
        </w:tc>
        <w:tc>
          <w:tcPr>
            <w:tcW w:w="581" w:type="dxa"/>
            <w:noWrap/>
            <w:hideMark/>
          </w:tcPr>
          <w:p w14:paraId="3E05BF49" w14:textId="77777777" w:rsidR="00B14634" w:rsidRPr="007A3506" w:rsidRDefault="00B14634" w:rsidP="00B14634">
            <w:pPr>
              <w:jc w:val="right"/>
              <w:rPr>
                <w:rFonts w:cstheme="minorHAnsi"/>
                <w:lang w:eastAsia="en-AU"/>
              </w:rPr>
            </w:pPr>
            <w:r w:rsidRPr="007A3506">
              <w:rPr>
                <w:rFonts w:cstheme="minorHAnsi"/>
                <w:lang w:eastAsia="en-AU"/>
              </w:rPr>
              <w:t>2.1</w:t>
            </w:r>
          </w:p>
        </w:tc>
      </w:tr>
    </w:tbl>
    <w:p w14:paraId="07725A07" w14:textId="113A370A" w:rsidR="00193581" w:rsidRPr="007A3506" w:rsidRDefault="004155D2" w:rsidP="00135338">
      <w:pPr>
        <w:rPr>
          <w:rFonts w:cstheme="minorHAnsi"/>
        </w:rPr>
      </w:pPr>
      <w:r w:rsidRPr="007A3506">
        <w:rPr>
          <w:rFonts w:cstheme="minorHAnsi"/>
        </w:rPr>
        <w:t>T</w:t>
      </w:r>
      <w:r w:rsidR="00135338" w:rsidRPr="007A3506">
        <w:rPr>
          <w:rFonts w:cstheme="minorHAnsi"/>
        </w:rPr>
        <w:t>he following table present</w:t>
      </w:r>
      <w:r w:rsidRPr="007A3506">
        <w:rPr>
          <w:rFonts w:cstheme="minorHAnsi"/>
        </w:rPr>
        <w:t>s</w:t>
      </w:r>
      <w:r w:rsidR="00135338" w:rsidRPr="007A3506">
        <w:rPr>
          <w:rFonts w:cstheme="minorHAnsi"/>
        </w:rPr>
        <w:t xml:space="preserve"> the </w:t>
      </w:r>
      <w:r w:rsidR="00C43EDC" w:rsidRPr="007A3506">
        <w:rPr>
          <w:rFonts w:cstheme="minorHAnsi"/>
        </w:rPr>
        <w:t>number of worker fatalities per 100,000 workers</w:t>
      </w:r>
      <w:r w:rsidR="00135338" w:rsidRPr="007A3506">
        <w:rPr>
          <w:rFonts w:cstheme="minorHAnsi"/>
        </w:rPr>
        <w:t xml:space="preserve"> in the </w:t>
      </w:r>
      <w:r w:rsidRPr="007A3506">
        <w:rPr>
          <w:rFonts w:cstheme="minorHAnsi"/>
        </w:rPr>
        <w:t>c</w:t>
      </w:r>
      <w:r w:rsidR="00135338" w:rsidRPr="007A3506">
        <w:rPr>
          <w:rFonts w:cstheme="minorHAnsi"/>
        </w:rPr>
        <w:t>onstruction industry for the past 10+ years</w:t>
      </w:r>
      <w:r w:rsidR="00BC60B7" w:rsidRPr="007A3506">
        <w:rPr>
          <w:rFonts w:cstheme="minorHAnsi"/>
        </w:rPr>
        <w:t>.</w:t>
      </w:r>
      <w:r w:rsidR="00BC60B7" w:rsidRPr="007A3506">
        <w:rPr>
          <w:rStyle w:val="FootnoteReference"/>
          <w:rFonts w:cstheme="minorHAnsi"/>
        </w:rPr>
        <w:footnoteReference w:id="14"/>
      </w:r>
    </w:p>
    <w:p w14:paraId="59C8827D" w14:textId="77777777" w:rsidR="005548BB" w:rsidRPr="007A3506" w:rsidRDefault="005548BB" w:rsidP="00481A27">
      <w:pPr>
        <w:rPr>
          <w:rFonts w:cstheme="minorHAnsi"/>
        </w:rPr>
      </w:pPr>
      <w:bookmarkStart w:id="47" w:name="_Toc138428280"/>
      <w:bookmarkStart w:id="48" w:name="_Toc1137195855"/>
    </w:p>
    <w:p w14:paraId="172FFF85" w14:textId="34F74842" w:rsidR="00710209" w:rsidRPr="007A3506" w:rsidRDefault="00751566" w:rsidP="00710209">
      <w:pPr>
        <w:pStyle w:val="Heading3"/>
        <w:rPr>
          <w:rFonts w:asciiTheme="minorHAnsi" w:hAnsiTheme="minorHAnsi" w:cstheme="minorHAnsi"/>
        </w:rPr>
      </w:pPr>
      <w:bookmarkStart w:id="49" w:name="_Toc139261444"/>
      <w:r w:rsidRPr="007A3506">
        <w:rPr>
          <w:rFonts w:asciiTheme="minorHAnsi" w:hAnsiTheme="minorHAnsi" w:cstheme="minorHAnsi"/>
        </w:rPr>
        <w:t xml:space="preserve">2.1.2 </w:t>
      </w:r>
      <w:r w:rsidR="00710209" w:rsidRPr="007A3506">
        <w:rPr>
          <w:rFonts w:asciiTheme="minorHAnsi" w:hAnsiTheme="minorHAnsi" w:cstheme="minorHAnsi"/>
        </w:rPr>
        <w:t>Workers’ Compensation in the Construction Industry</w:t>
      </w:r>
      <w:bookmarkEnd w:id="47"/>
      <w:bookmarkEnd w:id="48"/>
      <w:bookmarkEnd w:id="49"/>
    </w:p>
    <w:p w14:paraId="7A63B64A" w14:textId="77777777" w:rsidR="00723A0A" w:rsidRPr="007A3506" w:rsidRDefault="00C83402" w:rsidP="00DC5427">
      <w:pPr>
        <w:rPr>
          <w:rFonts w:cstheme="minorHAnsi"/>
        </w:rPr>
      </w:pPr>
      <w:r w:rsidRPr="007A3506">
        <w:rPr>
          <w:rFonts w:cstheme="minorHAnsi"/>
        </w:rPr>
        <w:t>Construction industry workers also feature prominently in serious workers’ compensation claims by occupation, with labourers (21.9 ser</w:t>
      </w:r>
      <w:r w:rsidR="00727A13" w:rsidRPr="007A3506">
        <w:rPr>
          <w:rFonts w:cstheme="minorHAnsi"/>
        </w:rPr>
        <w:t>i</w:t>
      </w:r>
      <w:r w:rsidRPr="007A3506">
        <w:rPr>
          <w:rFonts w:cstheme="minorHAnsi"/>
        </w:rPr>
        <w:t xml:space="preserve">ous claims per million hours worked) and machinery operators </w:t>
      </w:r>
      <w:r w:rsidR="00D73923" w:rsidRPr="007A3506">
        <w:rPr>
          <w:rFonts w:cstheme="minorHAnsi"/>
        </w:rPr>
        <w:t>a</w:t>
      </w:r>
      <w:r w:rsidRPr="007A3506">
        <w:rPr>
          <w:rFonts w:cstheme="minorHAnsi"/>
        </w:rPr>
        <w:t>nd drivers (11.7 serious claims per million hours worked) in the top three.</w:t>
      </w:r>
      <w:r w:rsidRPr="007A3506">
        <w:rPr>
          <w:rStyle w:val="FootnoteReference"/>
          <w:rFonts w:cstheme="minorHAnsi"/>
        </w:rPr>
        <w:footnoteReference w:id="15"/>
      </w:r>
      <w:r w:rsidRPr="007A3506">
        <w:rPr>
          <w:rFonts w:cstheme="minorHAnsi"/>
        </w:rPr>
        <w:t xml:space="preserve"> </w:t>
      </w:r>
    </w:p>
    <w:p w14:paraId="756B18E9" w14:textId="77777777" w:rsidR="001B3C53" w:rsidRPr="007A3506" w:rsidRDefault="001B3C53" w:rsidP="00DC5427">
      <w:pPr>
        <w:rPr>
          <w:rFonts w:cstheme="minorHAnsi"/>
        </w:rPr>
      </w:pPr>
    </w:p>
    <w:p w14:paraId="27E01B1C" w14:textId="7C19872D" w:rsidR="00481A27" w:rsidRPr="007A3506" w:rsidRDefault="00723A0A" w:rsidP="00DC5427">
      <w:pPr>
        <w:rPr>
          <w:rFonts w:cstheme="minorHAnsi"/>
        </w:rPr>
      </w:pPr>
      <w:r w:rsidRPr="007A3506">
        <w:rPr>
          <w:rFonts w:cstheme="minorHAnsi"/>
          <w:noProof/>
        </w:rPr>
        <w:drawing>
          <wp:inline distT="0" distB="0" distL="0" distR="0" wp14:anchorId="039BD9C3" wp14:editId="681795A3">
            <wp:extent cx="5730286" cy="3815698"/>
            <wp:effectExtent l="0" t="0" r="3810" b="0"/>
            <wp:docPr id="8" name="Picture 8" descr="Imagery summarising worker compensation claims by occupation in 2020-21 with labourers (21.9 serious claims per million hours worked) and machinery operators and drivers (11.7 serious claims per million hours worked) in the top th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ry summarising worker compensation claims by occupation in 2020-21 with labourers (21.9 serious claims per million hours worked) and machinery operators and drivers (11.7 serious claims per million hours worked) in the top three.  "/>
                    <pic:cNvPicPr/>
                  </pic:nvPicPr>
                  <pic:blipFill rotWithShape="1">
                    <a:blip r:embed="rId18"/>
                    <a:srcRect b="44743"/>
                    <a:stretch/>
                  </pic:blipFill>
                  <pic:spPr bwMode="auto">
                    <a:xfrm>
                      <a:off x="0" y="0"/>
                      <a:ext cx="5737398" cy="3820434"/>
                    </a:xfrm>
                    <a:prstGeom prst="rect">
                      <a:avLst/>
                    </a:prstGeom>
                    <a:ln>
                      <a:noFill/>
                    </a:ln>
                    <a:extLst>
                      <a:ext uri="{53640926-AAD7-44D8-BBD7-CCE9431645EC}">
                        <a14:shadowObscured xmlns:a14="http://schemas.microsoft.com/office/drawing/2010/main"/>
                      </a:ext>
                    </a:extLst>
                  </pic:spPr>
                </pic:pic>
              </a:graphicData>
            </a:graphic>
          </wp:inline>
        </w:drawing>
      </w:r>
    </w:p>
    <w:p w14:paraId="78E6EAA3" w14:textId="0B187951" w:rsidR="004F3F86" w:rsidRPr="007A3506" w:rsidRDefault="002C3A5B" w:rsidP="00DC5427">
      <w:pPr>
        <w:rPr>
          <w:rFonts w:cstheme="minorHAnsi"/>
        </w:rPr>
      </w:pPr>
      <w:r w:rsidRPr="007A3506">
        <w:rPr>
          <w:rFonts w:cstheme="minorHAnsi"/>
          <w:noProof/>
        </w:rPr>
        <w:lastRenderedPageBreak/>
        <w:drawing>
          <wp:inline distT="0" distB="0" distL="0" distR="0" wp14:anchorId="32C7338C" wp14:editId="645A90D1">
            <wp:extent cx="5759450" cy="3123607"/>
            <wp:effectExtent l="0" t="0" r="0" b="635"/>
            <wp:docPr id="9" name="Picture 9" descr="A table depicting worker compensation claims by occupation in 2020-21 with labourers (21.9 serious claims per million hours worked) and machinery operators and drivers (11.7 serious claims per million hours worked) in the top th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table depicting worker compensation claims by occupation in 2020-21 with labourers (21.9 serious claims per million hours worked) and machinery operators and drivers (11.7 serious claims per million hours worked) in the top three.  "/>
                    <pic:cNvPicPr/>
                  </pic:nvPicPr>
                  <pic:blipFill rotWithShape="1">
                    <a:blip r:embed="rId18"/>
                    <a:srcRect t="54991"/>
                    <a:stretch/>
                  </pic:blipFill>
                  <pic:spPr bwMode="auto">
                    <a:xfrm>
                      <a:off x="0" y="0"/>
                      <a:ext cx="5759450" cy="3123607"/>
                    </a:xfrm>
                    <a:prstGeom prst="rect">
                      <a:avLst/>
                    </a:prstGeom>
                    <a:ln>
                      <a:noFill/>
                    </a:ln>
                    <a:extLst>
                      <a:ext uri="{53640926-AAD7-44D8-BBD7-CCE9431645EC}">
                        <a14:shadowObscured xmlns:a14="http://schemas.microsoft.com/office/drawing/2010/main"/>
                      </a:ext>
                    </a:extLst>
                  </pic:spPr>
                </pic:pic>
              </a:graphicData>
            </a:graphic>
          </wp:inline>
        </w:drawing>
      </w:r>
      <w:r w:rsidR="00D73923" w:rsidRPr="007A3506">
        <w:rPr>
          <w:rFonts w:cstheme="minorHAnsi"/>
        </w:rPr>
        <w:br/>
      </w:r>
    </w:p>
    <w:p w14:paraId="273CD6F9" w14:textId="75B98E1E" w:rsidR="00057143" w:rsidRPr="007A3506" w:rsidRDefault="00A76BDC" w:rsidP="00270872">
      <w:pPr>
        <w:rPr>
          <w:rFonts w:cstheme="minorHAnsi"/>
        </w:rPr>
      </w:pPr>
      <w:r w:rsidRPr="007A3506">
        <w:rPr>
          <w:rFonts w:cstheme="minorHAnsi"/>
        </w:rPr>
        <w:t xml:space="preserve">The following graph shows a </w:t>
      </w:r>
      <w:r w:rsidR="005B0407" w:rsidRPr="007A3506">
        <w:rPr>
          <w:rFonts w:cstheme="minorHAnsi"/>
        </w:rPr>
        <w:t xml:space="preserve">comparison of standardised average premium rates across the Australian jurisdictions for the construction industry. The Australian average premium rate in the construction industry has risen steadily </w:t>
      </w:r>
      <w:r w:rsidR="00D33BC6" w:rsidRPr="007A3506">
        <w:rPr>
          <w:rFonts w:cstheme="minorHAnsi"/>
        </w:rPr>
        <w:t>from 2.11% of payroll in 2016-17 to 2.21% in 2020</w:t>
      </w:r>
      <w:r w:rsidR="00D721C3" w:rsidRPr="007A3506">
        <w:rPr>
          <w:rFonts w:cstheme="minorHAnsi"/>
        </w:rPr>
        <w:t>-21.</w:t>
      </w:r>
      <w:r w:rsidR="00CE0E34" w:rsidRPr="007A3506">
        <w:rPr>
          <w:rStyle w:val="FootnoteReference"/>
          <w:rFonts w:cstheme="minorHAnsi"/>
        </w:rPr>
        <w:footnoteReference w:id="16"/>
      </w:r>
      <w:r w:rsidR="005B0407" w:rsidRPr="007A3506">
        <w:rPr>
          <w:rFonts w:cstheme="minorHAnsi"/>
        </w:rPr>
        <w:t xml:space="preserve"> </w:t>
      </w:r>
    </w:p>
    <w:p w14:paraId="399A2746" w14:textId="77777777" w:rsidR="00F50427" w:rsidRPr="007A3506" w:rsidRDefault="00A704DD" w:rsidP="00032DD9">
      <w:pPr>
        <w:rPr>
          <w:rFonts w:cstheme="minorHAnsi"/>
        </w:rPr>
      </w:pPr>
      <w:r w:rsidRPr="007A3506">
        <w:rPr>
          <w:rFonts w:cstheme="minorHAnsi"/>
          <w:noProof/>
        </w:rPr>
        <w:drawing>
          <wp:inline distT="0" distB="0" distL="0" distR="0" wp14:anchorId="31080F68" wp14:editId="5C2B4E66">
            <wp:extent cx="5759450" cy="2573020"/>
            <wp:effectExtent l="0" t="0" r="0" b="0"/>
            <wp:docPr id="21" name="Picture 21" descr="A graph showing the comparison of standardised average premium rates across the Australian jurisdictions for the construction industry. The Australian average premium rate in the construction industry has risen steadily over the previous 5 years from 2.11% of payroll in 2016-17 to 2.21% in 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aph showing the comparison of standardised average premium rates across the Australian jurisdictions for the construction industry. The Australian average premium rate in the construction industry has risen steadily over the previous 5 years from 2.11% of payroll in 2016-17 to 2.21% in 2020-2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59450" cy="2573020"/>
                    </a:xfrm>
                    <a:prstGeom prst="rect">
                      <a:avLst/>
                    </a:prstGeom>
                    <a:noFill/>
                    <a:ln>
                      <a:noFill/>
                    </a:ln>
                  </pic:spPr>
                </pic:pic>
              </a:graphicData>
            </a:graphic>
          </wp:inline>
        </w:drawing>
      </w:r>
    </w:p>
    <w:p w14:paraId="5A1EBCE1" w14:textId="0AC81A00" w:rsidR="00032DD9" w:rsidRPr="007A3506" w:rsidRDefault="00032DD9" w:rsidP="00032DD9">
      <w:pPr>
        <w:rPr>
          <w:rFonts w:cstheme="minorHAnsi"/>
        </w:rPr>
      </w:pPr>
      <w:r w:rsidRPr="007A3506">
        <w:rPr>
          <w:rFonts w:cstheme="minorHAnsi"/>
        </w:rPr>
        <w:t>Standardised premium rates for Construction by jurisdiction, 2016-17 to 2020-21</w:t>
      </w:r>
    </w:p>
    <w:p w14:paraId="77F0EF3A" w14:textId="77777777" w:rsidR="00766EF0" w:rsidRPr="007A3506" w:rsidRDefault="00766EF0">
      <w:pPr>
        <w:spacing w:after="160" w:line="259" w:lineRule="auto"/>
        <w:rPr>
          <w:rFonts w:eastAsiaTheme="majorEastAsia" w:cstheme="minorHAnsi"/>
          <w:color w:val="214050" w:themeColor="text2"/>
          <w:sz w:val="28"/>
          <w:szCs w:val="24"/>
        </w:rPr>
      </w:pPr>
      <w:bookmarkStart w:id="50" w:name="_Toc138428281"/>
      <w:bookmarkStart w:id="51" w:name="_Toc1192054206"/>
      <w:r w:rsidRPr="007A3506">
        <w:rPr>
          <w:rFonts w:cstheme="minorHAnsi"/>
        </w:rPr>
        <w:br w:type="page"/>
      </w:r>
    </w:p>
    <w:p w14:paraId="6C288136" w14:textId="2CDEBC77" w:rsidR="00024B8B" w:rsidRPr="007A3506" w:rsidRDefault="00751566" w:rsidP="00193348">
      <w:pPr>
        <w:pStyle w:val="Heading3"/>
        <w:rPr>
          <w:rFonts w:asciiTheme="minorHAnsi" w:hAnsiTheme="minorHAnsi" w:cstheme="minorHAnsi"/>
        </w:rPr>
      </w:pPr>
      <w:bookmarkStart w:id="52" w:name="_Toc139261445"/>
      <w:r w:rsidRPr="007A3506">
        <w:rPr>
          <w:rFonts w:asciiTheme="minorHAnsi" w:hAnsiTheme="minorHAnsi" w:cstheme="minorHAnsi"/>
        </w:rPr>
        <w:lastRenderedPageBreak/>
        <w:t xml:space="preserve">2.1.3 </w:t>
      </w:r>
      <w:r w:rsidR="00024B8B" w:rsidRPr="007A3506">
        <w:rPr>
          <w:rFonts w:asciiTheme="minorHAnsi" w:hAnsiTheme="minorHAnsi" w:cstheme="minorHAnsi"/>
        </w:rPr>
        <w:t xml:space="preserve">Lost-time injury frequency rates in the </w:t>
      </w:r>
      <w:bookmarkEnd w:id="50"/>
      <w:bookmarkEnd w:id="51"/>
      <w:r w:rsidR="00CA0C28" w:rsidRPr="007A3506">
        <w:rPr>
          <w:rFonts w:asciiTheme="minorHAnsi" w:hAnsiTheme="minorHAnsi" w:cstheme="minorHAnsi"/>
        </w:rPr>
        <w:t>c</w:t>
      </w:r>
      <w:r w:rsidR="00024B8B" w:rsidRPr="007A3506">
        <w:rPr>
          <w:rFonts w:asciiTheme="minorHAnsi" w:hAnsiTheme="minorHAnsi" w:cstheme="minorHAnsi"/>
        </w:rPr>
        <w:t xml:space="preserve">onstruction </w:t>
      </w:r>
      <w:r w:rsidR="00CA0C28" w:rsidRPr="007A3506">
        <w:rPr>
          <w:rFonts w:asciiTheme="minorHAnsi" w:hAnsiTheme="minorHAnsi" w:cstheme="minorHAnsi"/>
        </w:rPr>
        <w:t>i</w:t>
      </w:r>
      <w:r w:rsidR="00024B8B" w:rsidRPr="007A3506">
        <w:rPr>
          <w:rFonts w:asciiTheme="minorHAnsi" w:hAnsiTheme="minorHAnsi" w:cstheme="minorHAnsi"/>
        </w:rPr>
        <w:t>ndustry</w:t>
      </w:r>
      <w:bookmarkEnd w:id="52"/>
    </w:p>
    <w:tbl>
      <w:tblPr>
        <w:tblStyle w:val="DataTable1"/>
        <w:tblpPr w:leftFromText="180" w:rightFromText="180" w:vertAnchor="text" w:horzAnchor="margin" w:tblpXSpec="center" w:tblpY="737"/>
        <w:tblW w:w="10201"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129"/>
        <w:gridCol w:w="811"/>
        <w:gridCol w:w="812"/>
        <w:gridCol w:w="812"/>
        <w:gridCol w:w="812"/>
        <w:gridCol w:w="812"/>
        <w:gridCol w:w="812"/>
        <w:gridCol w:w="812"/>
        <w:gridCol w:w="812"/>
        <w:gridCol w:w="812"/>
        <w:gridCol w:w="812"/>
        <w:gridCol w:w="953"/>
      </w:tblGrid>
      <w:tr w:rsidR="00EE6BC8" w:rsidRPr="00E412D6" w14:paraId="1DD6E5BB" w14:textId="77777777" w:rsidTr="00D433FD">
        <w:trPr>
          <w:cnfStyle w:val="100000000000" w:firstRow="1" w:lastRow="0" w:firstColumn="0" w:lastColumn="0" w:oddVBand="0" w:evenVBand="0" w:oddHBand="0" w:evenHBand="0" w:firstRowFirstColumn="0" w:firstRowLastColumn="0" w:lastRowFirstColumn="0" w:lastRowLastColumn="0"/>
          <w:trHeight w:val="300"/>
        </w:trPr>
        <w:tc>
          <w:tcPr>
            <w:tcW w:w="1129" w:type="dxa"/>
            <w:noWrap/>
            <w:hideMark/>
          </w:tcPr>
          <w:p w14:paraId="32A739F7" w14:textId="77777777" w:rsidR="00A41C6E" w:rsidRPr="007A3506" w:rsidRDefault="00A41C6E" w:rsidP="00D433FD">
            <w:pPr>
              <w:spacing w:after="0" w:line="240" w:lineRule="auto"/>
              <w:rPr>
                <w:rFonts w:eastAsia="Times New Roman" w:cstheme="minorHAnsi"/>
                <w:b w:val="0"/>
                <w:sz w:val="20"/>
                <w:szCs w:val="20"/>
                <w:lang w:eastAsia="en-AU"/>
              </w:rPr>
            </w:pPr>
            <w:r w:rsidRPr="007A3506">
              <w:rPr>
                <w:rFonts w:eastAsia="Times New Roman" w:cstheme="minorHAnsi"/>
                <w:b w:val="0"/>
                <w:sz w:val="20"/>
                <w:szCs w:val="20"/>
                <w:lang w:eastAsia="en-AU"/>
              </w:rPr>
              <w:t> </w:t>
            </w:r>
          </w:p>
        </w:tc>
        <w:tc>
          <w:tcPr>
            <w:tcW w:w="811" w:type="dxa"/>
            <w:noWrap/>
            <w:hideMark/>
          </w:tcPr>
          <w:p w14:paraId="79D62AFB" w14:textId="77777777" w:rsidR="00EE6BC8"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2011-</w:t>
            </w:r>
          </w:p>
          <w:p w14:paraId="546798CA" w14:textId="18ED8DA2" w:rsidR="00A41C6E" w:rsidRPr="00EE6BC8" w:rsidRDefault="00EE6BC8"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12</w:t>
            </w:r>
          </w:p>
        </w:tc>
        <w:tc>
          <w:tcPr>
            <w:tcW w:w="812" w:type="dxa"/>
            <w:noWrap/>
            <w:hideMark/>
          </w:tcPr>
          <w:p w14:paraId="775AA887" w14:textId="77777777" w:rsidR="00EE6BC8"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2012-</w:t>
            </w:r>
          </w:p>
          <w:p w14:paraId="255D51FB" w14:textId="60A4FF1E" w:rsidR="00A41C6E" w:rsidRPr="00EE6BC8" w:rsidRDefault="00EE6BC8"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13</w:t>
            </w:r>
          </w:p>
        </w:tc>
        <w:tc>
          <w:tcPr>
            <w:tcW w:w="812" w:type="dxa"/>
            <w:noWrap/>
            <w:hideMark/>
          </w:tcPr>
          <w:p w14:paraId="7616A06B" w14:textId="77777777" w:rsidR="00EE6BC8"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2013-</w:t>
            </w:r>
          </w:p>
          <w:p w14:paraId="081EC06F" w14:textId="0C7FD623" w:rsidR="00A41C6E" w:rsidRPr="00EE6BC8" w:rsidRDefault="00EE6BC8"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14</w:t>
            </w:r>
          </w:p>
        </w:tc>
        <w:tc>
          <w:tcPr>
            <w:tcW w:w="812" w:type="dxa"/>
            <w:noWrap/>
            <w:hideMark/>
          </w:tcPr>
          <w:p w14:paraId="78D582B6" w14:textId="77777777" w:rsidR="00EE6BC8"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2014-</w:t>
            </w:r>
          </w:p>
          <w:p w14:paraId="1EC92949" w14:textId="723FD596" w:rsidR="00A41C6E" w:rsidRPr="00EE6BC8" w:rsidRDefault="00EE6BC8"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15</w:t>
            </w:r>
          </w:p>
        </w:tc>
        <w:tc>
          <w:tcPr>
            <w:tcW w:w="812" w:type="dxa"/>
            <w:noWrap/>
            <w:hideMark/>
          </w:tcPr>
          <w:p w14:paraId="5A3137E5" w14:textId="77777777" w:rsidR="00EE6BC8"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2015-</w:t>
            </w:r>
          </w:p>
          <w:p w14:paraId="26418986" w14:textId="2D167875" w:rsidR="00A41C6E" w:rsidRPr="00EE6BC8" w:rsidRDefault="00EE6BC8"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16</w:t>
            </w:r>
          </w:p>
        </w:tc>
        <w:tc>
          <w:tcPr>
            <w:tcW w:w="812" w:type="dxa"/>
            <w:noWrap/>
            <w:hideMark/>
          </w:tcPr>
          <w:p w14:paraId="4ECFF941" w14:textId="77777777" w:rsidR="00EE6BC8"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2016-</w:t>
            </w:r>
          </w:p>
          <w:p w14:paraId="3B458F67" w14:textId="02691276" w:rsidR="00A41C6E" w:rsidRPr="00EE6BC8" w:rsidRDefault="00EE6BC8"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17</w:t>
            </w:r>
          </w:p>
        </w:tc>
        <w:tc>
          <w:tcPr>
            <w:tcW w:w="812" w:type="dxa"/>
            <w:noWrap/>
            <w:hideMark/>
          </w:tcPr>
          <w:p w14:paraId="331D3E84" w14:textId="77777777" w:rsidR="00EE6BC8"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2017-</w:t>
            </w:r>
          </w:p>
          <w:p w14:paraId="769B4552" w14:textId="4426BC47" w:rsidR="00A41C6E" w:rsidRPr="00EE6BC8" w:rsidRDefault="00EE6BC8"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18</w:t>
            </w:r>
          </w:p>
        </w:tc>
        <w:tc>
          <w:tcPr>
            <w:tcW w:w="812" w:type="dxa"/>
            <w:noWrap/>
            <w:hideMark/>
          </w:tcPr>
          <w:p w14:paraId="722D9086" w14:textId="77777777" w:rsidR="00C73CDE" w:rsidRPr="00EE6BC8" w:rsidRDefault="00A41C6E" w:rsidP="00D433FD">
            <w:pPr>
              <w:spacing w:after="0" w:line="240" w:lineRule="auto"/>
              <w:jc w:val="center"/>
              <w:rPr>
                <w:rFonts w:eastAsia="Times New Roman" w:cstheme="minorHAnsi"/>
                <w:b w:val="0"/>
                <w:bCs/>
                <w:sz w:val="20"/>
                <w:szCs w:val="20"/>
                <w:lang w:eastAsia="en-AU"/>
              </w:rPr>
            </w:pPr>
            <w:r w:rsidRPr="00EE6BC8">
              <w:rPr>
                <w:rFonts w:eastAsia="Times New Roman" w:cstheme="minorHAnsi"/>
                <w:bCs/>
                <w:sz w:val="20"/>
                <w:szCs w:val="20"/>
                <w:lang w:eastAsia="en-AU"/>
              </w:rPr>
              <w:t>2018-</w:t>
            </w:r>
          </w:p>
          <w:p w14:paraId="3DBF5200" w14:textId="17FEE6C0" w:rsidR="00A41C6E" w:rsidRPr="00EE6BC8" w:rsidRDefault="00C73CDE"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w:t>
            </w:r>
            <w:r w:rsidR="00A41C6E" w:rsidRPr="00EE6BC8">
              <w:rPr>
                <w:rFonts w:eastAsia="Times New Roman" w:cstheme="minorHAnsi"/>
                <w:bCs/>
                <w:sz w:val="20"/>
                <w:szCs w:val="20"/>
                <w:lang w:eastAsia="en-AU"/>
              </w:rPr>
              <w:t>19</w:t>
            </w:r>
          </w:p>
        </w:tc>
        <w:tc>
          <w:tcPr>
            <w:tcW w:w="812" w:type="dxa"/>
            <w:noWrap/>
            <w:hideMark/>
          </w:tcPr>
          <w:p w14:paraId="6FB9A389" w14:textId="02FF2214" w:rsidR="00A41C6E" w:rsidRPr="00EE6BC8" w:rsidRDefault="00A41C6E"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2019-</w:t>
            </w:r>
            <w:r w:rsidR="00C73CDE" w:rsidRPr="00EE6BC8">
              <w:rPr>
                <w:rFonts w:eastAsia="Times New Roman" w:cstheme="minorHAnsi"/>
                <w:bCs/>
                <w:sz w:val="20"/>
                <w:szCs w:val="20"/>
                <w:lang w:eastAsia="en-AU"/>
              </w:rPr>
              <w:br/>
              <w:t>20</w:t>
            </w:r>
            <w:r w:rsidRPr="00EE6BC8">
              <w:rPr>
                <w:rFonts w:eastAsia="Times New Roman" w:cstheme="minorHAnsi"/>
                <w:bCs/>
                <w:sz w:val="20"/>
                <w:szCs w:val="20"/>
                <w:lang w:eastAsia="en-AU"/>
              </w:rPr>
              <w:t>20</w:t>
            </w:r>
          </w:p>
        </w:tc>
        <w:tc>
          <w:tcPr>
            <w:tcW w:w="812" w:type="dxa"/>
            <w:noWrap/>
            <w:hideMark/>
          </w:tcPr>
          <w:p w14:paraId="3FC3C14C" w14:textId="2B37BA45" w:rsidR="00A41C6E" w:rsidRPr="00EE6BC8" w:rsidRDefault="00A41C6E"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2020-</w:t>
            </w:r>
            <w:r w:rsidR="00C73CDE" w:rsidRPr="00EE6BC8">
              <w:rPr>
                <w:rFonts w:eastAsia="Times New Roman" w:cstheme="minorHAnsi"/>
                <w:bCs/>
                <w:sz w:val="20"/>
                <w:szCs w:val="20"/>
                <w:lang w:eastAsia="en-AU"/>
              </w:rPr>
              <w:br/>
              <w:t>20</w:t>
            </w:r>
            <w:r w:rsidRPr="00EE6BC8">
              <w:rPr>
                <w:rFonts w:eastAsia="Times New Roman" w:cstheme="minorHAnsi"/>
                <w:bCs/>
                <w:sz w:val="20"/>
                <w:szCs w:val="20"/>
                <w:lang w:eastAsia="en-AU"/>
              </w:rPr>
              <w:t>21p</w:t>
            </w:r>
          </w:p>
        </w:tc>
        <w:tc>
          <w:tcPr>
            <w:tcW w:w="953" w:type="dxa"/>
            <w:noWrap/>
            <w:hideMark/>
          </w:tcPr>
          <w:p w14:paraId="53DB4445" w14:textId="38BB9EE6" w:rsidR="00A41C6E" w:rsidRPr="00EE6BC8" w:rsidRDefault="00A41C6E" w:rsidP="00D433FD">
            <w:pPr>
              <w:spacing w:after="0" w:line="240" w:lineRule="auto"/>
              <w:jc w:val="center"/>
              <w:rPr>
                <w:rFonts w:eastAsia="Times New Roman" w:cstheme="minorHAnsi"/>
                <w:bCs/>
                <w:sz w:val="20"/>
                <w:szCs w:val="20"/>
                <w:lang w:eastAsia="en-AU"/>
              </w:rPr>
            </w:pPr>
            <w:r w:rsidRPr="00EE6BC8">
              <w:rPr>
                <w:rFonts w:eastAsia="Times New Roman" w:cstheme="minorHAnsi"/>
                <w:bCs/>
                <w:sz w:val="20"/>
                <w:szCs w:val="20"/>
                <w:lang w:eastAsia="en-AU"/>
              </w:rPr>
              <w:t>2021-</w:t>
            </w:r>
            <w:r w:rsidR="00C73CDE" w:rsidRPr="00EE6BC8">
              <w:rPr>
                <w:rFonts w:eastAsia="Times New Roman" w:cstheme="minorHAnsi"/>
                <w:bCs/>
                <w:sz w:val="20"/>
                <w:szCs w:val="20"/>
                <w:lang w:eastAsia="en-AU"/>
              </w:rPr>
              <w:t>20</w:t>
            </w:r>
            <w:r w:rsidRPr="00EE6BC8">
              <w:rPr>
                <w:rFonts w:eastAsia="Times New Roman" w:cstheme="minorHAnsi"/>
                <w:bCs/>
                <w:sz w:val="20"/>
                <w:szCs w:val="20"/>
                <w:lang w:eastAsia="en-AU"/>
              </w:rPr>
              <w:t>22YTD</w:t>
            </w:r>
          </w:p>
        </w:tc>
      </w:tr>
      <w:tr w:rsidR="00A41C6E" w:rsidRPr="00E412D6" w14:paraId="631D2851" w14:textId="77777777" w:rsidTr="00D433FD">
        <w:trPr>
          <w:trHeight w:val="510"/>
        </w:trPr>
        <w:tc>
          <w:tcPr>
            <w:tcW w:w="1129" w:type="dxa"/>
            <w:hideMark/>
          </w:tcPr>
          <w:p w14:paraId="58380888" w14:textId="77777777" w:rsidR="00A41C6E" w:rsidRPr="00EE6BC8" w:rsidRDefault="00A41C6E" w:rsidP="00D433FD">
            <w:pPr>
              <w:spacing w:after="0" w:line="240" w:lineRule="auto"/>
              <w:rPr>
                <w:rFonts w:eastAsia="Times New Roman" w:cstheme="minorHAnsi"/>
                <w:b/>
                <w:bCs/>
                <w:color w:val="000000"/>
                <w:sz w:val="20"/>
                <w:szCs w:val="20"/>
                <w:lang w:eastAsia="en-AU"/>
              </w:rPr>
            </w:pPr>
            <w:r w:rsidRPr="00EE6BC8">
              <w:rPr>
                <w:rFonts w:eastAsia="Times New Roman" w:cstheme="minorHAnsi"/>
                <w:b/>
                <w:bCs/>
                <w:color w:val="000000"/>
                <w:sz w:val="20"/>
                <w:szCs w:val="20"/>
                <w:lang w:eastAsia="en-AU"/>
              </w:rPr>
              <w:t xml:space="preserve">Scheme </w:t>
            </w:r>
            <w:r w:rsidRPr="00EE6BC8">
              <w:rPr>
                <w:rFonts w:eastAsia="Times New Roman" w:cstheme="minorHAnsi"/>
                <w:b/>
                <w:color w:val="000000"/>
                <w:sz w:val="20"/>
                <w:szCs w:val="20"/>
                <w:lang w:eastAsia="en-AU"/>
              </w:rPr>
              <w:t>accredited entity</w:t>
            </w:r>
            <w:r w:rsidRPr="00EE6BC8">
              <w:rPr>
                <w:rFonts w:eastAsia="Times New Roman" w:cstheme="minorHAnsi"/>
                <w:b/>
                <w:bCs/>
                <w:color w:val="000000"/>
                <w:sz w:val="20"/>
                <w:szCs w:val="20"/>
                <w:lang w:eastAsia="en-AU"/>
              </w:rPr>
              <w:t xml:space="preserve"> LTIFR</w:t>
            </w:r>
          </w:p>
        </w:tc>
        <w:tc>
          <w:tcPr>
            <w:tcW w:w="811" w:type="dxa"/>
            <w:noWrap/>
            <w:hideMark/>
          </w:tcPr>
          <w:p w14:paraId="78AC1BD3"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4.0</w:t>
            </w:r>
          </w:p>
        </w:tc>
        <w:tc>
          <w:tcPr>
            <w:tcW w:w="812" w:type="dxa"/>
            <w:noWrap/>
            <w:hideMark/>
          </w:tcPr>
          <w:p w14:paraId="7DB4665C"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2.8</w:t>
            </w:r>
          </w:p>
        </w:tc>
        <w:tc>
          <w:tcPr>
            <w:tcW w:w="812" w:type="dxa"/>
            <w:noWrap/>
            <w:hideMark/>
          </w:tcPr>
          <w:p w14:paraId="0CC7C93E"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2.7</w:t>
            </w:r>
          </w:p>
        </w:tc>
        <w:tc>
          <w:tcPr>
            <w:tcW w:w="812" w:type="dxa"/>
            <w:noWrap/>
            <w:hideMark/>
          </w:tcPr>
          <w:p w14:paraId="677FFFB3"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2.4</w:t>
            </w:r>
          </w:p>
        </w:tc>
        <w:tc>
          <w:tcPr>
            <w:tcW w:w="812" w:type="dxa"/>
            <w:noWrap/>
            <w:hideMark/>
          </w:tcPr>
          <w:p w14:paraId="34816E5D"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2.1</w:t>
            </w:r>
          </w:p>
        </w:tc>
        <w:tc>
          <w:tcPr>
            <w:tcW w:w="812" w:type="dxa"/>
            <w:noWrap/>
            <w:hideMark/>
          </w:tcPr>
          <w:p w14:paraId="6473B4AF"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2.1</w:t>
            </w:r>
          </w:p>
        </w:tc>
        <w:tc>
          <w:tcPr>
            <w:tcW w:w="812" w:type="dxa"/>
            <w:noWrap/>
            <w:hideMark/>
          </w:tcPr>
          <w:p w14:paraId="45E781AE"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1.9</w:t>
            </w:r>
          </w:p>
        </w:tc>
        <w:tc>
          <w:tcPr>
            <w:tcW w:w="812" w:type="dxa"/>
            <w:noWrap/>
            <w:hideMark/>
          </w:tcPr>
          <w:p w14:paraId="5D66BD76"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1.7</w:t>
            </w:r>
          </w:p>
        </w:tc>
        <w:tc>
          <w:tcPr>
            <w:tcW w:w="812" w:type="dxa"/>
            <w:noWrap/>
            <w:hideMark/>
          </w:tcPr>
          <w:p w14:paraId="497F3C1F"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1.5</w:t>
            </w:r>
          </w:p>
        </w:tc>
        <w:tc>
          <w:tcPr>
            <w:tcW w:w="812" w:type="dxa"/>
            <w:noWrap/>
            <w:hideMark/>
          </w:tcPr>
          <w:p w14:paraId="31324C73"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1.6</w:t>
            </w:r>
          </w:p>
        </w:tc>
        <w:tc>
          <w:tcPr>
            <w:tcW w:w="953" w:type="dxa"/>
            <w:noWrap/>
            <w:hideMark/>
          </w:tcPr>
          <w:p w14:paraId="71ABB3C9"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1.5</w:t>
            </w:r>
          </w:p>
        </w:tc>
      </w:tr>
      <w:tr w:rsidR="00EE6BC8" w:rsidRPr="00E412D6" w14:paraId="44D2488D" w14:textId="77777777" w:rsidTr="00D433FD">
        <w:trPr>
          <w:trHeight w:val="600"/>
        </w:trPr>
        <w:tc>
          <w:tcPr>
            <w:tcW w:w="1129" w:type="dxa"/>
            <w:shd w:val="clear" w:color="auto" w:fill="F2F2F2" w:themeFill="background1" w:themeFillShade="F2"/>
            <w:hideMark/>
          </w:tcPr>
          <w:p w14:paraId="70A0A6D4" w14:textId="61BB008D" w:rsidR="00A41C6E" w:rsidRPr="00EE6BC8" w:rsidRDefault="00A41C6E" w:rsidP="00D433FD">
            <w:pPr>
              <w:spacing w:after="0" w:line="240" w:lineRule="auto"/>
              <w:rPr>
                <w:rFonts w:eastAsia="Times New Roman" w:cstheme="minorHAnsi"/>
                <w:b/>
                <w:bCs/>
                <w:color w:val="000000"/>
                <w:sz w:val="20"/>
                <w:szCs w:val="20"/>
                <w:lang w:eastAsia="en-AU"/>
              </w:rPr>
            </w:pPr>
            <w:r w:rsidRPr="00EE6BC8">
              <w:rPr>
                <w:rFonts w:eastAsia="Times New Roman" w:cstheme="minorHAnsi"/>
                <w:b/>
                <w:bCs/>
                <w:color w:val="000000"/>
                <w:sz w:val="20"/>
                <w:szCs w:val="20"/>
                <w:lang w:eastAsia="en-AU"/>
              </w:rPr>
              <w:t>SWA Industry-wide LTIFR</w:t>
            </w:r>
          </w:p>
        </w:tc>
        <w:tc>
          <w:tcPr>
            <w:tcW w:w="811" w:type="dxa"/>
            <w:shd w:val="clear" w:color="auto" w:fill="F2F2F2" w:themeFill="background1" w:themeFillShade="F2"/>
            <w:noWrap/>
            <w:hideMark/>
          </w:tcPr>
          <w:p w14:paraId="5E2D196F"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11.6</w:t>
            </w:r>
          </w:p>
        </w:tc>
        <w:tc>
          <w:tcPr>
            <w:tcW w:w="812" w:type="dxa"/>
            <w:shd w:val="clear" w:color="auto" w:fill="F2F2F2" w:themeFill="background1" w:themeFillShade="F2"/>
            <w:noWrap/>
            <w:hideMark/>
          </w:tcPr>
          <w:p w14:paraId="0335B26F"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11.0</w:t>
            </w:r>
          </w:p>
        </w:tc>
        <w:tc>
          <w:tcPr>
            <w:tcW w:w="812" w:type="dxa"/>
            <w:shd w:val="clear" w:color="auto" w:fill="F2F2F2" w:themeFill="background1" w:themeFillShade="F2"/>
            <w:noWrap/>
            <w:hideMark/>
          </w:tcPr>
          <w:p w14:paraId="3E0B1082"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10.3</w:t>
            </w:r>
          </w:p>
        </w:tc>
        <w:tc>
          <w:tcPr>
            <w:tcW w:w="812" w:type="dxa"/>
            <w:shd w:val="clear" w:color="auto" w:fill="F2F2F2" w:themeFill="background1" w:themeFillShade="F2"/>
            <w:noWrap/>
            <w:hideMark/>
          </w:tcPr>
          <w:p w14:paraId="4985304F"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9.8</w:t>
            </w:r>
          </w:p>
        </w:tc>
        <w:tc>
          <w:tcPr>
            <w:tcW w:w="812" w:type="dxa"/>
            <w:shd w:val="clear" w:color="auto" w:fill="F2F2F2" w:themeFill="background1" w:themeFillShade="F2"/>
            <w:noWrap/>
            <w:hideMark/>
          </w:tcPr>
          <w:p w14:paraId="159B1274"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9.7</w:t>
            </w:r>
          </w:p>
        </w:tc>
        <w:tc>
          <w:tcPr>
            <w:tcW w:w="812" w:type="dxa"/>
            <w:shd w:val="clear" w:color="auto" w:fill="F2F2F2" w:themeFill="background1" w:themeFillShade="F2"/>
            <w:noWrap/>
            <w:hideMark/>
          </w:tcPr>
          <w:p w14:paraId="791FB81D"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9.7</w:t>
            </w:r>
          </w:p>
        </w:tc>
        <w:tc>
          <w:tcPr>
            <w:tcW w:w="812" w:type="dxa"/>
            <w:shd w:val="clear" w:color="auto" w:fill="F2F2F2" w:themeFill="background1" w:themeFillShade="F2"/>
            <w:noWrap/>
            <w:hideMark/>
          </w:tcPr>
          <w:p w14:paraId="50E737C8"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9.5</w:t>
            </w:r>
          </w:p>
        </w:tc>
        <w:tc>
          <w:tcPr>
            <w:tcW w:w="812" w:type="dxa"/>
            <w:shd w:val="clear" w:color="auto" w:fill="F2F2F2" w:themeFill="background1" w:themeFillShade="F2"/>
            <w:noWrap/>
            <w:hideMark/>
          </w:tcPr>
          <w:p w14:paraId="5153C840"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9.2</w:t>
            </w:r>
          </w:p>
        </w:tc>
        <w:tc>
          <w:tcPr>
            <w:tcW w:w="812" w:type="dxa"/>
            <w:shd w:val="clear" w:color="auto" w:fill="F2F2F2" w:themeFill="background1" w:themeFillShade="F2"/>
            <w:noWrap/>
            <w:hideMark/>
          </w:tcPr>
          <w:p w14:paraId="16361BDD"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9.3</w:t>
            </w:r>
          </w:p>
        </w:tc>
        <w:tc>
          <w:tcPr>
            <w:tcW w:w="812" w:type="dxa"/>
            <w:shd w:val="clear" w:color="auto" w:fill="F2F2F2" w:themeFill="background1" w:themeFillShade="F2"/>
            <w:noWrap/>
            <w:hideMark/>
          </w:tcPr>
          <w:p w14:paraId="34D7B43E" w14:textId="77777777"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9.7</w:t>
            </w:r>
          </w:p>
        </w:tc>
        <w:tc>
          <w:tcPr>
            <w:tcW w:w="953" w:type="dxa"/>
            <w:shd w:val="clear" w:color="auto" w:fill="F2F2F2" w:themeFill="background1" w:themeFillShade="F2"/>
            <w:noWrap/>
            <w:hideMark/>
          </w:tcPr>
          <w:p w14:paraId="522A88E3" w14:textId="31E6B2CB" w:rsidR="00A41C6E" w:rsidRPr="007A3506" w:rsidRDefault="00A41C6E" w:rsidP="00D433FD">
            <w:pPr>
              <w:spacing w:after="0" w:line="240" w:lineRule="auto"/>
              <w:jc w:val="center"/>
              <w:rPr>
                <w:rFonts w:eastAsia="Times New Roman" w:cstheme="minorHAnsi"/>
                <w:color w:val="000000"/>
                <w:sz w:val="24"/>
                <w:szCs w:val="24"/>
                <w:lang w:eastAsia="en-AU"/>
              </w:rPr>
            </w:pPr>
            <w:r w:rsidRPr="007A3506">
              <w:rPr>
                <w:rFonts w:eastAsia="Times New Roman" w:cstheme="minorHAnsi"/>
                <w:color w:val="000000"/>
                <w:sz w:val="24"/>
                <w:szCs w:val="24"/>
                <w:lang w:eastAsia="en-AU"/>
              </w:rPr>
              <w:t>n/a</w:t>
            </w:r>
          </w:p>
        </w:tc>
      </w:tr>
    </w:tbl>
    <w:p w14:paraId="524FACB3" w14:textId="623758C6" w:rsidR="00024B8B" w:rsidRPr="007A3506" w:rsidRDefault="00024B8B" w:rsidP="007A744A">
      <w:pPr>
        <w:rPr>
          <w:rFonts w:eastAsia="Times New Roman" w:cstheme="minorHAnsi"/>
        </w:rPr>
      </w:pPr>
      <w:r w:rsidRPr="007A3506">
        <w:rPr>
          <w:rFonts w:cstheme="minorHAnsi"/>
        </w:rPr>
        <w:t xml:space="preserve">The following table presents </w:t>
      </w:r>
      <w:r w:rsidR="00FD2BB0" w:rsidRPr="007A3506">
        <w:rPr>
          <w:rFonts w:cstheme="minorHAnsi"/>
        </w:rPr>
        <w:t xml:space="preserve">lost time </w:t>
      </w:r>
      <w:r w:rsidR="00077959" w:rsidRPr="007A3506">
        <w:rPr>
          <w:rFonts w:cstheme="minorHAnsi"/>
        </w:rPr>
        <w:t xml:space="preserve">injury frequency rates </w:t>
      </w:r>
      <w:r w:rsidR="00FD2BB0" w:rsidRPr="007A3506">
        <w:rPr>
          <w:rFonts w:cstheme="minorHAnsi"/>
        </w:rPr>
        <w:t>(</w:t>
      </w:r>
      <w:r w:rsidRPr="007A3506">
        <w:rPr>
          <w:rFonts w:cstheme="minorHAnsi"/>
        </w:rPr>
        <w:t>LTIFR</w:t>
      </w:r>
      <w:r w:rsidR="00FD2BB0" w:rsidRPr="007A3506">
        <w:rPr>
          <w:rFonts w:cstheme="minorHAnsi"/>
        </w:rPr>
        <w:t>)</w:t>
      </w:r>
      <w:r w:rsidRPr="007A3506">
        <w:rPr>
          <w:rFonts w:cstheme="minorHAnsi"/>
        </w:rPr>
        <w:t xml:space="preserve"> figures for the </w:t>
      </w:r>
      <w:r w:rsidR="00742E54" w:rsidRPr="007A3506">
        <w:rPr>
          <w:rFonts w:cstheme="minorHAnsi"/>
        </w:rPr>
        <w:t xml:space="preserve">entire </w:t>
      </w:r>
      <w:r w:rsidR="00CA0C28" w:rsidRPr="007A3506">
        <w:rPr>
          <w:rFonts w:cstheme="minorHAnsi"/>
        </w:rPr>
        <w:t>c</w:t>
      </w:r>
      <w:r w:rsidRPr="007A3506">
        <w:rPr>
          <w:rFonts w:cstheme="minorHAnsi"/>
        </w:rPr>
        <w:t>onstruction industry</w:t>
      </w:r>
      <w:r w:rsidR="00826C85">
        <w:rPr>
          <w:rFonts w:cstheme="minorHAnsi"/>
        </w:rPr>
        <w:t xml:space="preserve"> </w:t>
      </w:r>
      <w:r w:rsidR="00CA0C28" w:rsidRPr="007A3506">
        <w:rPr>
          <w:rFonts w:cstheme="minorHAnsi"/>
        </w:rPr>
        <w:t>compared with</w:t>
      </w:r>
      <w:r w:rsidR="00626B96" w:rsidRPr="007A3506">
        <w:rPr>
          <w:rFonts w:cstheme="minorHAnsi"/>
        </w:rPr>
        <w:t xml:space="preserve"> Scheme accredited </w:t>
      </w:r>
      <w:r w:rsidR="00335F31" w:rsidRPr="007A3506">
        <w:rPr>
          <w:rFonts w:cstheme="minorHAnsi"/>
        </w:rPr>
        <w:t>entities</w:t>
      </w:r>
      <w:r w:rsidR="00626B96" w:rsidRPr="007A3506">
        <w:rPr>
          <w:rFonts w:cstheme="minorHAnsi"/>
        </w:rPr>
        <w:t>’ LTIFR</w:t>
      </w:r>
      <w:r w:rsidRPr="007A3506">
        <w:rPr>
          <w:rFonts w:cstheme="minorHAnsi"/>
        </w:rPr>
        <w:t>.</w:t>
      </w:r>
      <w:r w:rsidR="00A76C73">
        <w:rPr>
          <w:rStyle w:val="FootnoteReference"/>
          <w:rFonts w:cstheme="minorHAnsi"/>
        </w:rPr>
        <w:footnoteReference w:id="17"/>
      </w:r>
    </w:p>
    <w:p w14:paraId="16AF9D36" w14:textId="06695ADC" w:rsidR="00D26679" w:rsidRPr="00C76478" w:rsidRDefault="00A7730F" w:rsidP="00494F2A">
      <w:pPr>
        <w:pStyle w:val="SWA-NORMAL"/>
        <w:spacing w:after="200"/>
        <w:rPr>
          <w:rFonts w:asciiTheme="minorHAnsi" w:hAnsiTheme="minorHAnsi" w:cstheme="minorHAnsi"/>
        </w:rPr>
      </w:pPr>
      <w:r w:rsidRPr="007A3506">
        <w:rPr>
          <w:rFonts w:asciiTheme="minorHAnsi" w:hAnsiTheme="minorHAnsi" w:cstheme="minorHAnsi"/>
          <w:sz w:val="18"/>
          <w:szCs w:val="18"/>
        </w:rPr>
        <w:t>The 2020-21 data are preliminary (denoted by ‘p’). The number of workers’ compensation claims is likely to rise as revisions occur in future years</w:t>
      </w:r>
      <w:r w:rsidR="009D5E37" w:rsidRPr="007A3506">
        <w:rPr>
          <w:rFonts w:asciiTheme="minorHAnsi" w:hAnsiTheme="minorHAnsi" w:cstheme="minorHAnsi"/>
          <w:sz w:val="18"/>
          <w:szCs w:val="18"/>
        </w:rPr>
        <w:t xml:space="preserve">. These benchmarks </w:t>
      </w:r>
      <w:r w:rsidR="00347E2A" w:rsidRPr="007A3506">
        <w:rPr>
          <w:rFonts w:asciiTheme="minorHAnsi" w:hAnsiTheme="minorHAnsi" w:cstheme="minorHAnsi"/>
          <w:sz w:val="18"/>
          <w:szCs w:val="18"/>
        </w:rPr>
        <w:t>a</w:t>
      </w:r>
      <w:r w:rsidR="009D5E37" w:rsidRPr="007A3506">
        <w:rPr>
          <w:rFonts w:asciiTheme="minorHAnsi" w:hAnsiTheme="minorHAnsi" w:cstheme="minorHAnsi"/>
          <w:sz w:val="18"/>
          <w:szCs w:val="18"/>
        </w:rPr>
        <w:t xml:space="preserve">re based </w:t>
      </w:r>
      <w:r w:rsidR="00B2774B" w:rsidRPr="007A3506">
        <w:rPr>
          <w:rFonts w:asciiTheme="minorHAnsi" w:hAnsiTheme="minorHAnsi" w:cstheme="minorHAnsi"/>
          <w:sz w:val="18"/>
          <w:szCs w:val="18"/>
        </w:rPr>
        <w:t>on lost time injures from workers compensation claims and are likely to be an underestimate</w:t>
      </w:r>
      <w:r w:rsidR="00BB6A84" w:rsidRPr="007A3506">
        <w:rPr>
          <w:rFonts w:asciiTheme="minorHAnsi" w:hAnsiTheme="minorHAnsi" w:cstheme="minorHAnsi"/>
          <w:sz w:val="18"/>
          <w:szCs w:val="18"/>
        </w:rPr>
        <w:t xml:space="preserve"> of all lost time injuries due to claims not being made for</w:t>
      </w:r>
      <w:r w:rsidR="00356C53">
        <w:rPr>
          <w:rFonts w:asciiTheme="minorHAnsi" w:hAnsiTheme="minorHAnsi" w:cstheme="minorHAnsi"/>
          <w:sz w:val="18"/>
          <w:szCs w:val="18"/>
        </w:rPr>
        <w:t xml:space="preserve"> minor injuries</w:t>
      </w:r>
      <w:r w:rsidR="00C31BD5">
        <w:rPr>
          <w:rFonts w:asciiTheme="minorHAnsi" w:hAnsiTheme="minorHAnsi" w:cstheme="minorHAnsi"/>
          <w:sz w:val="18"/>
          <w:szCs w:val="18"/>
        </w:rPr>
        <w:t>.</w:t>
      </w:r>
      <w:r w:rsidR="00C76478">
        <w:rPr>
          <w:rFonts w:asciiTheme="minorHAnsi" w:hAnsiTheme="minorHAnsi" w:cstheme="minorHAnsi"/>
          <w:sz w:val="18"/>
          <w:szCs w:val="18"/>
        </w:rPr>
        <w:br/>
      </w:r>
    </w:p>
    <w:p w14:paraId="243E4BD2" w14:textId="4F875AB4" w:rsidR="006540A5" w:rsidRPr="007A3506" w:rsidRDefault="006540A5" w:rsidP="006540A5">
      <w:pPr>
        <w:pStyle w:val="Heading2"/>
        <w:rPr>
          <w:rFonts w:asciiTheme="minorHAnsi" w:hAnsiTheme="minorHAnsi" w:cstheme="minorHAnsi"/>
        </w:rPr>
      </w:pPr>
      <w:bookmarkStart w:id="53" w:name="_Toc138428282"/>
      <w:bookmarkStart w:id="54" w:name="_Toc1771422114"/>
      <w:bookmarkStart w:id="55" w:name="_Toc139261446"/>
      <w:r w:rsidRPr="007A3506">
        <w:rPr>
          <w:rFonts w:asciiTheme="minorHAnsi" w:hAnsiTheme="minorHAnsi" w:cstheme="minorHAnsi"/>
        </w:rPr>
        <w:t>2.2</w:t>
      </w:r>
      <w:r w:rsidR="00CC6822" w:rsidRPr="007A3506">
        <w:rPr>
          <w:rFonts w:asciiTheme="minorHAnsi" w:hAnsiTheme="minorHAnsi" w:cstheme="minorHAnsi"/>
        </w:rPr>
        <w:t xml:space="preserve"> </w:t>
      </w:r>
      <w:r w:rsidRPr="007A3506">
        <w:rPr>
          <w:rFonts w:asciiTheme="minorHAnsi" w:hAnsiTheme="minorHAnsi" w:cstheme="minorHAnsi"/>
        </w:rPr>
        <w:t>Scheme Statistics</w:t>
      </w:r>
      <w:r w:rsidRPr="007A3506">
        <w:rPr>
          <w:rStyle w:val="FootnoteReference"/>
          <w:rFonts w:asciiTheme="minorHAnsi" w:hAnsiTheme="minorHAnsi" w:cstheme="minorHAnsi"/>
          <w:sz w:val="22"/>
          <w:szCs w:val="22"/>
        </w:rPr>
        <w:footnoteReference w:id="18"/>
      </w:r>
      <w:bookmarkEnd w:id="53"/>
      <w:bookmarkEnd w:id="54"/>
      <w:bookmarkEnd w:id="55"/>
    </w:p>
    <w:p w14:paraId="41DF6D30" w14:textId="043FFE9C" w:rsidR="00610C81" w:rsidRPr="007A3506" w:rsidRDefault="00610C81" w:rsidP="00485FD9">
      <w:pPr>
        <w:pStyle w:val="Heading3"/>
        <w:rPr>
          <w:rFonts w:asciiTheme="minorHAnsi" w:hAnsiTheme="minorHAnsi" w:cstheme="minorHAnsi"/>
        </w:rPr>
      </w:pPr>
      <w:bookmarkStart w:id="56" w:name="_Toc500083640"/>
      <w:bookmarkStart w:id="57" w:name="_Toc139261447"/>
      <w:r w:rsidRPr="007A3506">
        <w:rPr>
          <w:rFonts w:asciiTheme="minorHAnsi" w:hAnsiTheme="minorHAnsi" w:cstheme="minorHAnsi"/>
        </w:rPr>
        <w:t>2.2.1</w:t>
      </w:r>
      <w:r w:rsidR="00323A2E" w:rsidRPr="007A3506">
        <w:rPr>
          <w:rFonts w:asciiTheme="minorHAnsi" w:hAnsiTheme="minorHAnsi" w:cstheme="minorHAnsi"/>
        </w:rPr>
        <w:t xml:space="preserve"> Scheme operations</w:t>
      </w:r>
      <w:bookmarkEnd w:id="56"/>
      <w:bookmarkEnd w:id="57"/>
    </w:p>
    <w:p w14:paraId="4B8DBB28" w14:textId="5655879D" w:rsidR="00941E0C" w:rsidRPr="007A3506" w:rsidRDefault="0017561C" w:rsidP="006540A5">
      <w:pPr>
        <w:rPr>
          <w:rFonts w:cstheme="minorHAnsi"/>
        </w:rPr>
      </w:pPr>
      <w:r w:rsidRPr="007A3506">
        <w:rPr>
          <w:rFonts w:cstheme="minorHAnsi"/>
        </w:rPr>
        <w:t xml:space="preserve">As at </w:t>
      </w:r>
      <w:r w:rsidR="006537F0" w:rsidRPr="007A3506">
        <w:rPr>
          <w:rFonts w:cstheme="minorHAnsi"/>
        </w:rPr>
        <w:t>30 April</w:t>
      </w:r>
      <w:r w:rsidR="005E677A" w:rsidRPr="007A3506">
        <w:rPr>
          <w:rFonts w:cstheme="minorHAnsi"/>
        </w:rPr>
        <w:t xml:space="preserve"> 2023, the Scheme </w:t>
      </w:r>
      <w:r w:rsidR="00941E0C" w:rsidRPr="007A3506">
        <w:rPr>
          <w:rFonts w:cstheme="minorHAnsi"/>
        </w:rPr>
        <w:t>featured:</w:t>
      </w:r>
    </w:p>
    <w:p w14:paraId="36A4489E" w14:textId="18BB985A" w:rsidR="00936662" w:rsidRPr="007A3506" w:rsidRDefault="00805712" w:rsidP="00941E0C">
      <w:pPr>
        <w:pStyle w:val="PURPLEBullet"/>
        <w:spacing w:after="200"/>
        <w:rPr>
          <w:rFonts w:cstheme="minorHAnsi"/>
        </w:rPr>
      </w:pPr>
      <w:r w:rsidRPr="007A3506">
        <w:rPr>
          <w:rFonts w:cstheme="minorHAnsi"/>
        </w:rPr>
        <w:t>5</w:t>
      </w:r>
      <w:r w:rsidR="006537F0" w:rsidRPr="007A3506">
        <w:rPr>
          <w:rFonts w:cstheme="minorHAnsi"/>
        </w:rPr>
        <w:t>69</w:t>
      </w:r>
      <w:r w:rsidR="00233140" w:rsidRPr="007A3506">
        <w:rPr>
          <w:rFonts w:cstheme="minorHAnsi"/>
        </w:rPr>
        <w:t xml:space="preserve"> accredited </w:t>
      </w:r>
      <w:r w:rsidR="00372CE8" w:rsidRPr="007A3506">
        <w:rPr>
          <w:rFonts w:cstheme="minorHAnsi"/>
        </w:rPr>
        <w:t>entities</w:t>
      </w:r>
      <w:r w:rsidR="004D6792" w:rsidRPr="007A3506">
        <w:rPr>
          <w:rFonts w:cstheme="minorHAnsi"/>
        </w:rPr>
        <w:t xml:space="preserve">, representing approximately </w:t>
      </w:r>
      <w:r w:rsidR="007816CE" w:rsidRPr="007A3506">
        <w:rPr>
          <w:rFonts w:cstheme="minorHAnsi"/>
        </w:rPr>
        <w:t>one third of industry turnover</w:t>
      </w:r>
      <w:r w:rsidR="00372CE8" w:rsidRPr="007A3506">
        <w:rPr>
          <w:rFonts w:cstheme="minorHAnsi"/>
        </w:rPr>
        <w:t>;</w:t>
      </w:r>
    </w:p>
    <w:p w14:paraId="191CEC40" w14:textId="3C5DEF0F" w:rsidR="0091698C" w:rsidRPr="007A3506" w:rsidRDefault="00B66B58" w:rsidP="007D092B">
      <w:pPr>
        <w:pStyle w:val="PURPLEBullet"/>
        <w:rPr>
          <w:rFonts w:cstheme="minorHAnsi"/>
        </w:rPr>
      </w:pPr>
      <w:r w:rsidRPr="007A3506">
        <w:rPr>
          <w:rFonts w:cstheme="minorHAnsi"/>
        </w:rPr>
        <w:t>Of the 569 entities, 68 (12%) are small, 313 (55%) are medium and 188 (33%) large</w:t>
      </w:r>
      <w:r w:rsidR="00E54913" w:rsidRPr="007A3506">
        <w:rPr>
          <w:rFonts w:cstheme="minorHAnsi"/>
        </w:rPr>
        <w:t>;</w:t>
      </w:r>
      <w:r w:rsidRPr="007A3506">
        <w:rPr>
          <w:rStyle w:val="FootnoteReference"/>
          <w:rFonts w:cstheme="minorHAnsi"/>
        </w:rPr>
        <w:footnoteReference w:id="19"/>
      </w:r>
    </w:p>
    <w:p w14:paraId="4F9F57DE" w14:textId="4E9D5610" w:rsidR="007F40FF" w:rsidRPr="007A3506" w:rsidRDefault="007F40FF" w:rsidP="00941E0C">
      <w:pPr>
        <w:pStyle w:val="PURPLEBullet"/>
        <w:spacing w:after="200"/>
        <w:rPr>
          <w:rFonts w:cstheme="minorHAnsi"/>
        </w:rPr>
      </w:pPr>
      <w:r w:rsidRPr="007A3506">
        <w:rPr>
          <w:rFonts w:cstheme="minorHAnsi"/>
        </w:rPr>
        <w:t>4</w:t>
      </w:r>
      <w:r w:rsidR="007B1E8A" w:rsidRPr="007A3506">
        <w:rPr>
          <w:rFonts w:cstheme="minorHAnsi"/>
        </w:rPr>
        <w:t>74</w:t>
      </w:r>
      <w:r w:rsidR="008E41A6" w:rsidRPr="007A3506">
        <w:rPr>
          <w:rFonts w:cstheme="minorHAnsi"/>
        </w:rPr>
        <w:t xml:space="preserve"> active Scheme </w:t>
      </w:r>
      <w:r w:rsidR="007B1E8A" w:rsidRPr="007A3506">
        <w:rPr>
          <w:rFonts w:cstheme="minorHAnsi"/>
        </w:rPr>
        <w:t xml:space="preserve">projects </w:t>
      </w:r>
      <w:r w:rsidR="00DE3EDE" w:rsidRPr="007A3506">
        <w:rPr>
          <w:rFonts w:cstheme="minorHAnsi"/>
        </w:rPr>
        <w:t xml:space="preserve">worth </w:t>
      </w:r>
      <w:r w:rsidR="00372CE8" w:rsidRPr="007A3506">
        <w:rPr>
          <w:rFonts w:cstheme="minorHAnsi"/>
        </w:rPr>
        <w:t xml:space="preserve">approximately </w:t>
      </w:r>
      <w:r w:rsidR="00DE3EDE" w:rsidRPr="007A3506">
        <w:rPr>
          <w:rFonts w:cstheme="minorHAnsi"/>
        </w:rPr>
        <w:t>$7</w:t>
      </w:r>
      <w:r w:rsidR="007B1E8A" w:rsidRPr="007A3506">
        <w:rPr>
          <w:rFonts w:cstheme="minorHAnsi"/>
        </w:rPr>
        <w:t>8</w:t>
      </w:r>
      <w:r w:rsidR="00DE3EDE" w:rsidRPr="007A3506">
        <w:rPr>
          <w:rFonts w:cstheme="minorHAnsi"/>
        </w:rPr>
        <w:t>.</w:t>
      </w:r>
      <w:r w:rsidR="007B1E8A" w:rsidRPr="007A3506">
        <w:rPr>
          <w:rFonts w:cstheme="minorHAnsi"/>
        </w:rPr>
        <w:t>6</w:t>
      </w:r>
      <w:r w:rsidR="00DE3EDE" w:rsidRPr="007A3506">
        <w:rPr>
          <w:rFonts w:cstheme="minorHAnsi"/>
        </w:rPr>
        <w:t xml:space="preserve"> billio</w:t>
      </w:r>
      <w:r w:rsidR="00705AD3" w:rsidRPr="007A3506">
        <w:rPr>
          <w:rFonts w:cstheme="minorHAnsi"/>
        </w:rPr>
        <w:t>n</w:t>
      </w:r>
      <w:r w:rsidR="00D06485" w:rsidRPr="007A3506">
        <w:rPr>
          <w:rFonts w:cstheme="minorHAnsi"/>
        </w:rPr>
        <w:t>;</w:t>
      </w:r>
    </w:p>
    <w:p w14:paraId="2B4A20AC" w14:textId="75AF335E" w:rsidR="001E6C7C" w:rsidRPr="007A3506" w:rsidRDefault="00931565" w:rsidP="00941E0C">
      <w:pPr>
        <w:pStyle w:val="PURPLEBullet"/>
        <w:spacing w:after="200"/>
        <w:rPr>
          <w:rFonts w:cstheme="minorHAnsi"/>
        </w:rPr>
      </w:pPr>
      <w:r w:rsidRPr="007A3506">
        <w:rPr>
          <w:rFonts w:cstheme="minorHAnsi"/>
        </w:rPr>
        <w:t>550</w:t>
      </w:r>
      <w:r w:rsidR="000D1B7A" w:rsidRPr="007A3506">
        <w:rPr>
          <w:rFonts w:cstheme="minorHAnsi"/>
        </w:rPr>
        <w:t xml:space="preserve"> audits</w:t>
      </w:r>
      <w:r w:rsidR="00FE49C5" w:rsidRPr="007A3506">
        <w:rPr>
          <w:rFonts w:cstheme="minorHAnsi"/>
        </w:rPr>
        <w:t xml:space="preserve"> conducted</w:t>
      </w:r>
      <w:r w:rsidR="009E32AB" w:rsidRPr="007A3506">
        <w:rPr>
          <w:rFonts w:cstheme="minorHAnsi"/>
        </w:rPr>
        <w:t xml:space="preserve"> </w:t>
      </w:r>
      <w:r w:rsidR="00112442" w:rsidRPr="007A3506">
        <w:rPr>
          <w:rFonts w:cstheme="minorHAnsi"/>
        </w:rPr>
        <w:t xml:space="preserve">in the </w:t>
      </w:r>
      <w:r w:rsidR="00970CE1" w:rsidRPr="007A3506">
        <w:rPr>
          <w:rFonts w:cstheme="minorHAnsi"/>
        </w:rPr>
        <w:t>22/23 FY</w:t>
      </w:r>
      <w:r w:rsidR="00BB20DD" w:rsidRPr="007A3506">
        <w:rPr>
          <w:rFonts w:cstheme="minorHAnsi"/>
        </w:rPr>
        <w:t xml:space="preserve"> to 28 June</w:t>
      </w:r>
      <w:r w:rsidR="003F1967" w:rsidRPr="007A3506">
        <w:rPr>
          <w:rFonts w:cstheme="minorHAnsi"/>
        </w:rPr>
        <w:t>.</w:t>
      </w:r>
    </w:p>
    <w:p w14:paraId="2466BA50" w14:textId="6DBB1EA7" w:rsidR="00C56267" w:rsidRPr="007A3506" w:rsidRDefault="00494F2A" w:rsidP="00EA098B">
      <w:pPr>
        <w:pStyle w:val="PURPLEBullet"/>
        <w:numPr>
          <w:ilvl w:val="0"/>
          <w:numId w:val="0"/>
        </w:numPr>
        <w:spacing w:after="200"/>
        <w:ind w:left="357" w:hanging="357"/>
        <w:rPr>
          <w:rFonts w:cstheme="minorHAnsi"/>
        </w:rPr>
      </w:pPr>
      <w:r w:rsidRPr="007A3506">
        <w:rPr>
          <w:rFonts w:cstheme="minorHAnsi"/>
          <w:noProof/>
        </w:rPr>
        <w:drawing>
          <wp:inline distT="0" distB="0" distL="0" distR="0" wp14:anchorId="3E93CC34" wp14:editId="5C7504C4">
            <wp:extent cx="5975152" cy="2382834"/>
            <wp:effectExtent l="0" t="0" r="6985" b="0"/>
            <wp:docPr id="37" name="Picture 37" descr="A graph of the Scheme growth from 2018-22. Shows inflow of new accreditations/compani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graph of the Scheme growth from 2018-22. Shows inflow of new accreditations/companies over time."/>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75152" cy="2382834"/>
                    </a:xfrm>
                    <a:prstGeom prst="rect">
                      <a:avLst/>
                    </a:prstGeom>
                    <a:noFill/>
                    <a:ln>
                      <a:noFill/>
                    </a:ln>
                  </pic:spPr>
                </pic:pic>
              </a:graphicData>
            </a:graphic>
          </wp:inline>
        </w:drawing>
      </w:r>
    </w:p>
    <w:p w14:paraId="5839AE3F" w14:textId="0BD13A8F" w:rsidR="008A1766" w:rsidRPr="007A3506" w:rsidRDefault="000B74CA" w:rsidP="008A1766">
      <w:pPr>
        <w:pStyle w:val="Heading3"/>
        <w:rPr>
          <w:rFonts w:asciiTheme="minorHAnsi" w:hAnsiTheme="minorHAnsi" w:cstheme="minorHAnsi"/>
        </w:rPr>
      </w:pPr>
      <w:bookmarkStart w:id="58" w:name="_Toc706189505"/>
      <w:bookmarkStart w:id="59" w:name="_Toc139261448"/>
      <w:bookmarkStart w:id="60" w:name="_Toc138428283"/>
      <w:r w:rsidRPr="007A3506">
        <w:rPr>
          <w:rFonts w:asciiTheme="minorHAnsi" w:hAnsiTheme="minorHAnsi" w:cstheme="minorHAnsi"/>
        </w:rPr>
        <w:lastRenderedPageBreak/>
        <w:t>2.</w:t>
      </w:r>
      <w:r w:rsidR="006E11E8" w:rsidRPr="007A3506">
        <w:rPr>
          <w:rFonts w:asciiTheme="minorHAnsi" w:hAnsiTheme="minorHAnsi" w:cstheme="minorHAnsi"/>
        </w:rPr>
        <w:t>2</w:t>
      </w:r>
      <w:r w:rsidRPr="007A3506">
        <w:rPr>
          <w:rFonts w:asciiTheme="minorHAnsi" w:hAnsiTheme="minorHAnsi" w:cstheme="minorHAnsi"/>
        </w:rPr>
        <w:t>.</w:t>
      </w:r>
      <w:r w:rsidR="00B17C1A" w:rsidRPr="007A3506">
        <w:rPr>
          <w:rFonts w:asciiTheme="minorHAnsi" w:hAnsiTheme="minorHAnsi" w:cstheme="minorHAnsi"/>
        </w:rPr>
        <w:t>2</w:t>
      </w:r>
      <w:r w:rsidR="008A1766" w:rsidRPr="007A3506">
        <w:rPr>
          <w:rFonts w:asciiTheme="minorHAnsi" w:hAnsiTheme="minorHAnsi" w:cstheme="minorHAnsi"/>
        </w:rPr>
        <w:t xml:space="preserve"> Accredited Entities – Years Holding Accreditation</w:t>
      </w:r>
      <w:bookmarkEnd w:id="58"/>
      <w:bookmarkEnd w:id="59"/>
    </w:p>
    <w:tbl>
      <w:tblPr>
        <w:tblStyle w:val="DataTable1"/>
        <w:tblpPr w:leftFromText="180" w:rightFromText="180" w:vertAnchor="text" w:horzAnchor="margin" w:tblpY="950"/>
        <w:tblW w:w="7010" w:type="dxa"/>
        <w:tblLook w:val="04A0" w:firstRow="1" w:lastRow="0" w:firstColumn="1" w:lastColumn="0" w:noHBand="0" w:noVBand="1"/>
      </w:tblPr>
      <w:tblGrid>
        <w:gridCol w:w="3505"/>
        <w:gridCol w:w="3505"/>
      </w:tblGrid>
      <w:tr w:rsidR="00674F1D" w:rsidRPr="00E412D6" w14:paraId="35A6FFE4" w14:textId="77777777" w:rsidTr="00CD76DC">
        <w:trPr>
          <w:cnfStyle w:val="100000000000" w:firstRow="1" w:lastRow="0" w:firstColumn="0" w:lastColumn="0" w:oddVBand="0" w:evenVBand="0" w:oddHBand="0" w:evenHBand="0" w:firstRowFirstColumn="0" w:firstRowLastColumn="0" w:lastRowFirstColumn="0" w:lastRowLastColumn="0"/>
          <w:trHeight w:val="265"/>
        </w:trPr>
        <w:tc>
          <w:tcPr>
            <w:tcW w:w="3505" w:type="dxa"/>
            <w:hideMark/>
          </w:tcPr>
          <w:p w14:paraId="603D4FF9" w14:textId="77777777" w:rsidR="00674F1D" w:rsidRPr="007A3506" w:rsidRDefault="00674F1D" w:rsidP="00CD76DC">
            <w:pPr>
              <w:spacing w:line="240" w:lineRule="auto"/>
              <w:rPr>
                <w:rFonts w:cstheme="minorHAnsi"/>
                <w:lang w:eastAsia="en-AU"/>
              </w:rPr>
            </w:pPr>
            <w:r w:rsidRPr="007A3506">
              <w:rPr>
                <w:rFonts w:cstheme="minorHAnsi"/>
                <w:lang w:eastAsia="en-AU"/>
              </w:rPr>
              <w:t>Years Accredited</w:t>
            </w:r>
          </w:p>
        </w:tc>
        <w:tc>
          <w:tcPr>
            <w:tcW w:w="3505" w:type="dxa"/>
            <w:hideMark/>
          </w:tcPr>
          <w:p w14:paraId="2B31EEE8" w14:textId="77777777" w:rsidR="00674F1D" w:rsidRPr="007A3506" w:rsidRDefault="00674F1D" w:rsidP="00CD76DC">
            <w:pPr>
              <w:spacing w:line="240" w:lineRule="auto"/>
              <w:rPr>
                <w:rFonts w:cstheme="minorHAnsi"/>
                <w:lang w:eastAsia="en-AU"/>
              </w:rPr>
            </w:pPr>
            <w:r w:rsidRPr="007A3506">
              <w:rPr>
                <w:rFonts w:cstheme="minorHAnsi"/>
                <w:lang w:eastAsia="en-AU"/>
              </w:rPr>
              <w:t>Number of Entities</w:t>
            </w:r>
          </w:p>
        </w:tc>
      </w:tr>
      <w:tr w:rsidR="00674F1D" w:rsidRPr="00E412D6" w14:paraId="79394175" w14:textId="77777777" w:rsidTr="00CD76DC">
        <w:trPr>
          <w:trHeight w:val="265"/>
        </w:trPr>
        <w:tc>
          <w:tcPr>
            <w:tcW w:w="3505" w:type="dxa"/>
            <w:hideMark/>
          </w:tcPr>
          <w:p w14:paraId="62B39DDA" w14:textId="77777777" w:rsidR="00674F1D" w:rsidRPr="007A3506" w:rsidRDefault="00674F1D" w:rsidP="00CD76DC">
            <w:pPr>
              <w:spacing w:line="240" w:lineRule="auto"/>
              <w:rPr>
                <w:rFonts w:cstheme="minorHAnsi"/>
                <w:lang w:eastAsia="en-AU"/>
              </w:rPr>
            </w:pPr>
            <w:r w:rsidRPr="007A3506">
              <w:rPr>
                <w:rFonts w:cstheme="minorHAnsi"/>
                <w:lang w:eastAsia="en-AU"/>
              </w:rPr>
              <w:t>0 &lt; 5</w:t>
            </w:r>
          </w:p>
        </w:tc>
        <w:tc>
          <w:tcPr>
            <w:tcW w:w="3505" w:type="dxa"/>
            <w:hideMark/>
          </w:tcPr>
          <w:p w14:paraId="1FBB8DBD" w14:textId="77777777" w:rsidR="00674F1D" w:rsidRPr="007A3506" w:rsidRDefault="00674F1D" w:rsidP="00CD76DC">
            <w:pPr>
              <w:spacing w:line="240" w:lineRule="auto"/>
              <w:rPr>
                <w:rFonts w:cstheme="minorHAnsi"/>
                <w:lang w:eastAsia="en-AU"/>
              </w:rPr>
            </w:pPr>
            <w:r w:rsidRPr="007A3506">
              <w:rPr>
                <w:rFonts w:cstheme="minorHAnsi"/>
                <w:lang w:eastAsia="en-AU"/>
              </w:rPr>
              <w:t>165</w:t>
            </w:r>
          </w:p>
        </w:tc>
      </w:tr>
      <w:tr w:rsidR="00674F1D" w:rsidRPr="00E412D6" w14:paraId="01B86572" w14:textId="77777777" w:rsidTr="00CD76DC">
        <w:trPr>
          <w:trHeight w:val="265"/>
        </w:trPr>
        <w:tc>
          <w:tcPr>
            <w:tcW w:w="3505" w:type="dxa"/>
            <w:shd w:val="clear" w:color="auto" w:fill="F2F2F2" w:themeFill="background1" w:themeFillShade="F2"/>
            <w:hideMark/>
          </w:tcPr>
          <w:p w14:paraId="24910F61" w14:textId="77777777" w:rsidR="00674F1D" w:rsidRPr="007A3506" w:rsidRDefault="00674F1D" w:rsidP="00CD76DC">
            <w:pPr>
              <w:spacing w:line="240" w:lineRule="auto"/>
              <w:rPr>
                <w:rFonts w:cstheme="minorHAnsi"/>
                <w:lang w:eastAsia="en-AU"/>
              </w:rPr>
            </w:pPr>
            <w:r w:rsidRPr="007A3506">
              <w:rPr>
                <w:rFonts w:cstheme="minorHAnsi"/>
                <w:lang w:eastAsia="en-AU"/>
              </w:rPr>
              <w:t>5 &lt; 10</w:t>
            </w:r>
          </w:p>
        </w:tc>
        <w:tc>
          <w:tcPr>
            <w:tcW w:w="3505" w:type="dxa"/>
            <w:shd w:val="clear" w:color="auto" w:fill="F2F2F2" w:themeFill="background1" w:themeFillShade="F2"/>
            <w:hideMark/>
          </w:tcPr>
          <w:p w14:paraId="6C07C90A" w14:textId="77777777" w:rsidR="00674F1D" w:rsidRPr="007A3506" w:rsidRDefault="00674F1D" w:rsidP="00CD76DC">
            <w:pPr>
              <w:spacing w:line="240" w:lineRule="auto"/>
              <w:rPr>
                <w:rFonts w:cstheme="minorHAnsi"/>
                <w:lang w:eastAsia="en-AU"/>
              </w:rPr>
            </w:pPr>
            <w:r w:rsidRPr="007A3506">
              <w:rPr>
                <w:rFonts w:cstheme="minorHAnsi"/>
                <w:lang w:eastAsia="en-AU"/>
              </w:rPr>
              <w:t>151</w:t>
            </w:r>
          </w:p>
        </w:tc>
      </w:tr>
      <w:tr w:rsidR="00674F1D" w:rsidRPr="00E412D6" w14:paraId="2509D5D3" w14:textId="77777777" w:rsidTr="00CD76DC">
        <w:trPr>
          <w:trHeight w:val="265"/>
        </w:trPr>
        <w:tc>
          <w:tcPr>
            <w:tcW w:w="3505" w:type="dxa"/>
            <w:hideMark/>
          </w:tcPr>
          <w:p w14:paraId="1A186D9B" w14:textId="77777777" w:rsidR="00674F1D" w:rsidRPr="007A3506" w:rsidRDefault="00674F1D" w:rsidP="00CD76DC">
            <w:pPr>
              <w:spacing w:line="240" w:lineRule="auto"/>
              <w:rPr>
                <w:rFonts w:cstheme="minorHAnsi"/>
                <w:lang w:eastAsia="en-AU"/>
              </w:rPr>
            </w:pPr>
            <w:r w:rsidRPr="007A3506">
              <w:rPr>
                <w:rFonts w:cstheme="minorHAnsi"/>
                <w:lang w:eastAsia="en-AU"/>
              </w:rPr>
              <w:t>10 &lt; 15</w:t>
            </w:r>
          </w:p>
        </w:tc>
        <w:tc>
          <w:tcPr>
            <w:tcW w:w="3505" w:type="dxa"/>
            <w:hideMark/>
          </w:tcPr>
          <w:p w14:paraId="363186B6" w14:textId="77777777" w:rsidR="00674F1D" w:rsidRPr="007A3506" w:rsidRDefault="00674F1D" w:rsidP="00CD76DC">
            <w:pPr>
              <w:spacing w:line="240" w:lineRule="auto"/>
              <w:rPr>
                <w:rFonts w:cstheme="minorHAnsi"/>
                <w:lang w:eastAsia="en-AU"/>
              </w:rPr>
            </w:pPr>
            <w:r w:rsidRPr="007A3506">
              <w:rPr>
                <w:rFonts w:cstheme="minorHAnsi"/>
                <w:lang w:eastAsia="en-AU"/>
              </w:rPr>
              <w:t>158</w:t>
            </w:r>
          </w:p>
        </w:tc>
      </w:tr>
      <w:tr w:rsidR="00674F1D" w:rsidRPr="00E412D6" w14:paraId="4F818EAD" w14:textId="77777777" w:rsidTr="00CD76DC">
        <w:trPr>
          <w:trHeight w:val="265"/>
        </w:trPr>
        <w:tc>
          <w:tcPr>
            <w:tcW w:w="3505" w:type="dxa"/>
            <w:shd w:val="clear" w:color="auto" w:fill="F2F2F2" w:themeFill="background1" w:themeFillShade="F2"/>
            <w:hideMark/>
          </w:tcPr>
          <w:p w14:paraId="055CD41A" w14:textId="77777777" w:rsidR="00674F1D" w:rsidRPr="007A3506" w:rsidRDefault="00674F1D" w:rsidP="00CD76DC">
            <w:pPr>
              <w:spacing w:line="240" w:lineRule="auto"/>
              <w:rPr>
                <w:rFonts w:cstheme="minorHAnsi"/>
                <w:lang w:eastAsia="en-AU"/>
              </w:rPr>
            </w:pPr>
            <w:r w:rsidRPr="007A3506">
              <w:rPr>
                <w:rFonts w:cstheme="minorHAnsi"/>
                <w:lang w:eastAsia="en-AU"/>
              </w:rPr>
              <w:t>15+</w:t>
            </w:r>
          </w:p>
        </w:tc>
        <w:tc>
          <w:tcPr>
            <w:tcW w:w="3505" w:type="dxa"/>
            <w:shd w:val="clear" w:color="auto" w:fill="F2F2F2" w:themeFill="background1" w:themeFillShade="F2"/>
            <w:hideMark/>
          </w:tcPr>
          <w:p w14:paraId="554191C1" w14:textId="77777777" w:rsidR="00674F1D" w:rsidRPr="007A3506" w:rsidRDefault="00674F1D" w:rsidP="00CD76DC">
            <w:pPr>
              <w:spacing w:line="240" w:lineRule="auto"/>
              <w:rPr>
                <w:rFonts w:cstheme="minorHAnsi"/>
                <w:lang w:eastAsia="en-AU"/>
              </w:rPr>
            </w:pPr>
            <w:r w:rsidRPr="007A3506">
              <w:rPr>
                <w:rFonts w:cstheme="minorHAnsi"/>
                <w:lang w:eastAsia="en-AU"/>
              </w:rPr>
              <w:t>92</w:t>
            </w:r>
          </w:p>
        </w:tc>
      </w:tr>
      <w:tr w:rsidR="00674F1D" w:rsidRPr="00E412D6" w14:paraId="78EB0563" w14:textId="77777777" w:rsidTr="00CD76DC">
        <w:trPr>
          <w:trHeight w:val="265"/>
        </w:trPr>
        <w:tc>
          <w:tcPr>
            <w:tcW w:w="3505" w:type="dxa"/>
            <w:noWrap/>
            <w:hideMark/>
          </w:tcPr>
          <w:p w14:paraId="384B5C76" w14:textId="77777777" w:rsidR="00674F1D" w:rsidRPr="007A3506" w:rsidRDefault="00674F1D" w:rsidP="00CD76DC">
            <w:pPr>
              <w:spacing w:line="240" w:lineRule="auto"/>
              <w:rPr>
                <w:rFonts w:cstheme="minorHAnsi"/>
                <w:b/>
                <w:bCs/>
              </w:rPr>
            </w:pPr>
            <w:r w:rsidRPr="007A3506">
              <w:rPr>
                <w:rFonts w:cstheme="minorHAnsi"/>
                <w:b/>
                <w:bCs/>
              </w:rPr>
              <w:t>Total</w:t>
            </w:r>
          </w:p>
        </w:tc>
        <w:tc>
          <w:tcPr>
            <w:tcW w:w="3505" w:type="dxa"/>
            <w:noWrap/>
            <w:hideMark/>
          </w:tcPr>
          <w:p w14:paraId="3E26FDFF" w14:textId="77777777" w:rsidR="00674F1D" w:rsidRPr="007A3506" w:rsidRDefault="00674F1D" w:rsidP="00CD76DC">
            <w:pPr>
              <w:spacing w:line="240" w:lineRule="auto"/>
              <w:rPr>
                <w:rFonts w:cstheme="minorHAnsi"/>
                <w:b/>
                <w:bCs/>
              </w:rPr>
            </w:pPr>
            <w:r w:rsidRPr="007A3506">
              <w:rPr>
                <w:rFonts w:cstheme="minorHAnsi"/>
                <w:b/>
                <w:bCs/>
              </w:rPr>
              <w:t>566</w:t>
            </w:r>
          </w:p>
        </w:tc>
      </w:tr>
    </w:tbl>
    <w:p w14:paraId="37DE8273" w14:textId="20AC548D" w:rsidR="008A1766" w:rsidRPr="007A3506" w:rsidRDefault="008A1766" w:rsidP="008A1766">
      <w:pPr>
        <w:rPr>
          <w:rFonts w:cstheme="minorHAnsi"/>
        </w:rPr>
      </w:pPr>
      <w:r w:rsidRPr="007A3506">
        <w:rPr>
          <w:rFonts w:cstheme="minorHAnsi"/>
        </w:rPr>
        <w:t>The following table shows a breakdown of entities by the</w:t>
      </w:r>
      <w:r w:rsidR="00B17C1A" w:rsidRPr="007A3506">
        <w:rPr>
          <w:rFonts w:cstheme="minorHAnsi"/>
        </w:rPr>
        <w:t xml:space="preserve"> length of time they have</w:t>
      </w:r>
      <w:r w:rsidRPr="007A3506">
        <w:rPr>
          <w:rFonts w:cstheme="minorHAnsi"/>
        </w:rPr>
        <w:t xml:space="preserve"> been accredited </w:t>
      </w:r>
      <w:r w:rsidR="00B17C1A" w:rsidRPr="007A3506">
        <w:rPr>
          <w:rFonts w:cstheme="minorHAnsi"/>
        </w:rPr>
        <w:t>with</w:t>
      </w:r>
      <w:r w:rsidRPr="007A3506">
        <w:rPr>
          <w:rFonts w:cstheme="minorHAnsi"/>
        </w:rPr>
        <w:t xml:space="preserve"> nine years</w:t>
      </w:r>
      <w:r w:rsidR="00B17C1A" w:rsidRPr="007A3506">
        <w:rPr>
          <w:rFonts w:cstheme="minorHAnsi"/>
        </w:rPr>
        <w:t xml:space="preserve"> being the average.</w:t>
      </w:r>
      <w:r w:rsidRPr="007A3506">
        <w:rPr>
          <w:rFonts w:cstheme="minorHAnsi"/>
        </w:rPr>
        <w:t xml:space="preserve"> </w:t>
      </w:r>
      <w:r w:rsidR="00CD76DC" w:rsidRPr="007A3506">
        <w:rPr>
          <w:rFonts w:cstheme="minorHAnsi"/>
        </w:rPr>
        <w:br/>
      </w:r>
    </w:p>
    <w:p w14:paraId="55300D92" w14:textId="77777777" w:rsidR="00F300B7" w:rsidRPr="007A3506" w:rsidRDefault="00F300B7" w:rsidP="00674F1D">
      <w:pPr>
        <w:rPr>
          <w:rFonts w:cstheme="minorHAnsi"/>
        </w:rPr>
      </w:pPr>
      <w:bookmarkStart w:id="61" w:name="_Toc1487926792"/>
    </w:p>
    <w:p w14:paraId="4243445A" w14:textId="77777777" w:rsidR="00674F1D" w:rsidRPr="007A3506" w:rsidRDefault="00674F1D" w:rsidP="00674F1D">
      <w:pPr>
        <w:rPr>
          <w:rFonts w:cstheme="minorHAnsi"/>
        </w:rPr>
      </w:pPr>
    </w:p>
    <w:p w14:paraId="4AF91EBB" w14:textId="77777777" w:rsidR="00674F1D" w:rsidRPr="007A3506" w:rsidRDefault="00674F1D" w:rsidP="00674F1D">
      <w:pPr>
        <w:rPr>
          <w:rFonts w:cstheme="minorHAnsi"/>
        </w:rPr>
      </w:pPr>
    </w:p>
    <w:p w14:paraId="35AB054B" w14:textId="77777777" w:rsidR="00674F1D" w:rsidRPr="007A3506" w:rsidRDefault="00674F1D" w:rsidP="00674F1D">
      <w:pPr>
        <w:rPr>
          <w:rFonts w:cstheme="minorHAnsi"/>
        </w:rPr>
      </w:pPr>
    </w:p>
    <w:p w14:paraId="5E6094C6" w14:textId="77777777" w:rsidR="00CD76DC" w:rsidRPr="007A3506" w:rsidRDefault="00CD76DC" w:rsidP="00023773">
      <w:pPr>
        <w:rPr>
          <w:rFonts w:cstheme="minorHAnsi"/>
        </w:rPr>
      </w:pPr>
    </w:p>
    <w:p w14:paraId="139B0751" w14:textId="77777777" w:rsidR="00BB77BA" w:rsidRPr="007A3506" w:rsidRDefault="00BB77BA" w:rsidP="00023773">
      <w:pPr>
        <w:rPr>
          <w:rFonts w:cstheme="minorHAnsi"/>
        </w:rPr>
      </w:pPr>
    </w:p>
    <w:p w14:paraId="7C8C13A5" w14:textId="5EAAED5B" w:rsidR="000B74CA" w:rsidRPr="007A3506" w:rsidRDefault="000B74CA" w:rsidP="000B74CA">
      <w:pPr>
        <w:pStyle w:val="Heading3"/>
        <w:rPr>
          <w:rFonts w:asciiTheme="minorHAnsi" w:hAnsiTheme="minorHAnsi" w:cstheme="minorHAnsi"/>
        </w:rPr>
      </w:pPr>
      <w:bookmarkStart w:id="62" w:name="_Toc139261449"/>
      <w:r w:rsidRPr="007A3506">
        <w:rPr>
          <w:rFonts w:asciiTheme="minorHAnsi" w:hAnsiTheme="minorHAnsi" w:cstheme="minorHAnsi"/>
        </w:rPr>
        <w:t>2.</w:t>
      </w:r>
      <w:r w:rsidR="006E11E8" w:rsidRPr="007A3506">
        <w:rPr>
          <w:rFonts w:asciiTheme="minorHAnsi" w:hAnsiTheme="minorHAnsi" w:cstheme="minorHAnsi"/>
        </w:rPr>
        <w:t>2</w:t>
      </w:r>
      <w:r w:rsidRPr="007A3506">
        <w:rPr>
          <w:rFonts w:asciiTheme="minorHAnsi" w:hAnsiTheme="minorHAnsi" w:cstheme="minorHAnsi"/>
        </w:rPr>
        <w:t>.</w:t>
      </w:r>
      <w:r w:rsidR="007D1B78" w:rsidRPr="007A3506">
        <w:rPr>
          <w:rFonts w:asciiTheme="minorHAnsi" w:hAnsiTheme="minorHAnsi" w:cstheme="minorHAnsi"/>
        </w:rPr>
        <w:t>3</w:t>
      </w:r>
      <w:r w:rsidR="00CC6822" w:rsidRPr="007A3506">
        <w:rPr>
          <w:rFonts w:asciiTheme="minorHAnsi" w:hAnsiTheme="minorHAnsi" w:cstheme="minorHAnsi"/>
        </w:rPr>
        <w:t xml:space="preserve"> </w:t>
      </w:r>
      <w:r w:rsidR="00B62BF9" w:rsidRPr="007A3506">
        <w:rPr>
          <w:rFonts w:asciiTheme="minorHAnsi" w:hAnsiTheme="minorHAnsi" w:cstheme="minorHAnsi"/>
        </w:rPr>
        <w:t>Scheme</w:t>
      </w:r>
      <w:r w:rsidR="002C2A0A" w:rsidRPr="007A3506">
        <w:rPr>
          <w:rFonts w:asciiTheme="minorHAnsi" w:hAnsiTheme="minorHAnsi" w:cstheme="minorHAnsi"/>
        </w:rPr>
        <w:t xml:space="preserve"> </w:t>
      </w:r>
      <w:r w:rsidRPr="007A3506">
        <w:rPr>
          <w:rFonts w:asciiTheme="minorHAnsi" w:hAnsiTheme="minorHAnsi" w:cstheme="minorHAnsi"/>
        </w:rPr>
        <w:t>Lost Time Injury Frequency Rates 2012 - 2022</w:t>
      </w:r>
      <w:bookmarkEnd w:id="60"/>
      <w:bookmarkEnd w:id="61"/>
      <w:bookmarkEnd w:id="62"/>
    </w:p>
    <w:p w14:paraId="357F53FA" w14:textId="70B403F1" w:rsidR="00B62693" w:rsidRPr="007A3506" w:rsidRDefault="000B74CA" w:rsidP="00674F1D">
      <w:pPr>
        <w:spacing w:line="259" w:lineRule="auto"/>
        <w:contextualSpacing/>
        <w:rPr>
          <w:rFonts w:cstheme="minorHAnsi"/>
          <w:lang w:val="en"/>
        </w:rPr>
      </w:pPr>
      <w:r w:rsidRPr="007A3506">
        <w:rPr>
          <w:rFonts w:cstheme="minorHAnsi"/>
        </w:rPr>
        <w:t>Accredited</w:t>
      </w:r>
      <w:r w:rsidRPr="007A3506" w:rsidDel="006D53D8">
        <w:rPr>
          <w:rFonts w:cstheme="minorHAnsi"/>
        </w:rPr>
        <w:t xml:space="preserve"> </w:t>
      </w:r>
      <w:r w:rsidR="006D53D8" w:rsidRPr="007A3506">
        <w:rPr>
          <w:rFonts w:cstheme="minorHAnsi"/>
        </w:rPr>
        <w:t xml:space="preserve">entities </w:t>
      </w:r>
      <w:r w:rsidRPr="007A3506">
        <w:rPr>
          <w:rFonts w:cstheme="minorHAnsi"/>
        </w:rPr>
        <w:t>are required to report Lost Time Injuries (LTIs) on all work-related incidents on a Scheme or Non-Scheme Project where the accredited contractor is the head contractor and where the project value is $4 million or more</w:t>
      </w:r>
      <w:r w:rsidR="00C53E93" w:rsidRPr="007A3506">
        <w:rPr>
          <w:rFonts w:cstheme="minorHAnsi"/>
        </w:rPr>
        <w:t>.</w:t>
      </w:r>
      <w:r w:rsidR="00361E93" w:rsidRPr="007A3506">
        <w:rPr>
          <w:rFonts w:cstheme="minorHAnsi"/>
        </w:rPr>
        <w:t xml:space="preserve"> </w:t>
      </w:r>
      <w:r w:rsidRPr="007A3506">
        <w:rPr>
          <w:rFonts w:cstheme="minorHAnsi"/>
          <w:lang w:val="en"/>
        </w:rPr>
        <w:t xml:space="preserve">The following </w:t>
      </w:r>
      <w:r w:rsidR="000761DC" w:rsidRPr="007A3506">
        <w:rPr>
          <w:rFonts w:cstheme="minorHAnsi"/>
          <w:lang w:val="en"/>
        </w:rPr>
        <w:t xml:space="preserve">graph </w:t>
      </w:r>
      <w:r w:rsidRPr="007A3506">
        <w:rPr>
          <w:rFonts w:cstheme="minorHAnsi"/>
          <w:lang w:val="en"/>
        </w:rPr>
        <w:t xml:space="preserve">shows </w:t>
      </w:r>
      <w:r w:rsidR="00375117" w:rsidRPr="007A3506">
        <w:rPr>
          <w:rFonts w:cstheme="minorHAnsi"/>
          <w:lang w:val="en"/>
        </w:rPr>
        <w:t>a</w:t>
      </w:r>
      <w:r w:rsidRPr="007A3506">
        <w:rPr>
          <w:rFonts w:cstheme="minorHAnsi"/>
          <w:lang w:val="en"/>
        </w:rPr>
        <w:t xml:space="preserve"> </w:t>
      </w:r>
      <w:r w:rsidR="000761DC" w:rsidRPr="007A3506">
        <w:rPr>
          <w:rFonts w:cstheme="minorHAnsi"/>
          <w:lang w:val="en"/>
        </w:rPr>
        <w:t xml:space="preserve">downward </w:t>
      </w:r>
      <w:r w:rsidR="00043D76" w:rsidRPr="007A3506">
        <w:rPr>
          <w:rFonts w:cstheme="minorHAnsi"/>
          <w:lang w:val="en"/>
        </w:rPr>
        <w:t xml:space="preserve">trend in the </w:t>
      </w:r>
      <w:r w:rsidRPr="007A3506">
        <w:rPr>
          <w:rFonts w:cstheme="minorHAnsi"/>
          <w:lang w:val="en"/>
        </w:rPr>
        <w:t>LTI</w:t>
      </w:r>
      <w:r w:rsidR="00043D76" w:rsidRPr="007A3506">
        <w:rPr>
          <w:rFonts w:cstheme="minorHAnsi"/>
          <w:lang w:val="en"/>
        </w:rPr>
        <w:t>FR</w:t>
      </w:r>
      <w:r w:rsidRPr="007A3506">
        <w:rPr>
          <w:rFonts w:cstheme="minorHAnsi"/>
          <w:lang w:val="en"/>
        </w:rPr>
        <w:t xml:space="preserve"> reported by Scheme accredited builders.</w:t>
      </w:r>
      <w:r w:rsidR="00FF15C7" w:rsidRPr="007A3506">
        <w:rPr>
          <w:rStyle w:val="FootnoteReference"/>
          <w:rFonts w:cstheme="minorHAnsi"/>
          <w:lang w:val="en"/>
        </w:rPr>
        <w:footnoteReference w:id="20"/>
      </w:r>
    </w:p>
    <w:p w14:paraId="0B693F28" w14:textId="77777777" w:rsidR="00023773" w:rsidRPr="007A3506" w:rsidRDefault="00023773" w:rsidP="00674F1D">
      <w:pPr>
        <w:spacing w:line="259" w:lineRule="auto"/>
        <w:contextualSpacing/>
        <w:rPr>
          <w:rFonts w:cstheme="minorHAnsi"/>
          <w:lang w:val="en"/>
        </w:rPr>
      </w:pPr>
    </w:p>
    <w:p w14:paraId="06255292" w14:textId="0D2C15F7" w:rsidR="000A5496" w:rsidRPr="007A3506" w:rsidRDefault="000A5496" w:rsidP="00B17C1A">
      <w:pPr>
        <w:spacing w:after="160" w:line="259" w:lineRule="auto"/>
        <w:rPr>
          <w:rFonts w:cstheme="minorHAnsi"/>
          <w:lang w:val="en"/>
        </w:rPr>
      </w:pPr>
      <w:r w:rsidRPr="007A3506">
        <w:rPr>
          <w:rFonts w:cstheme="minorHAnsi"/>
          <w:noProof/>
        </w:rPr>
        <w:drawing>
          <wp:inline distT="0" distB="0" distL="0" distR="0" wp14:anchorId="64767011" wp14:editId="6576819C">
            <wp:extent cx="5390910" cy="2164715"/>
            <wp:effectExtent l="0" t="0" r="635" b="6985"/>
            <wp:docPr id="24" name="Chart 24" descr="A table showing accreditations grouped by number of years holding Scheme accreditation with available LTIFR data. The percentage of accredited entities with improved LTIFR compared with their LTIFR in their first year of accreditation and the degree of improvement has increased over time. ">
              <a:extLst xmlns:a="http://schemas.openxmlformats.org/drawingml/2006/main">
                <a:ext uri="{FF2B5EF4-FFF2-40B4-BE49-F238E27FC236}">
                  <a16:creationId xmlns:a16="http://schemas.microsoft.com/office/drawing/2014/main" id="{A149D44F-E9EB-1104-64DB-8A340E998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815A01D" w14:textId="77777777" w:rsidR="00CD76DC" w:rsidRPr="007A3506" w:rsidRDefault="00CD76DC">
      <w:pPr>
        <w:spacing w:after="160" w:line="259" w:lineRule="auto"/>
        <w:rPr>
          <w:rStyle w:val="Heading3Char"/>
          <w:rFonts w:asciiTheme="minorHAnsi" w:hAnsiTheme="minorHAnsi" w:cstheme="minorHAnsi"/>
        </w:rPr>
      </w:pPr>
      <w:bookmarkStart w:id="63" w:name="_Toc138428284"/>
      <w:r w:rsidRPr="007A3506">
        <w:rPr>
          <w:rStyle w:val="Heading3Char"/>
          <w:rFonts w:asciiTheme="minorHAnsi" w:hAnsiTheme="minorHAnsi" w:cstheme="minorHAnsi"/>
        </w:rPr>
        <w:br w:type="page"/>
      </w:r>
    </w:p>
    <w:p w14:paraId="1C8F6B45" w14:textId="25663787" w:rsidR="00DF4EBA" w:rsidRPr="007A3506" w:rsidRDefault="004C487A" w:rsidP="00DF4EBA">
      <w:pPr>
        <w:pStyle w:val="Heading3"/>
        <w:rPr>
          <w:rStyle w:val="Heading3Char"/>
          <w:rFonts w:asciiTheme="minorHAnsi" w:hAnsiTheme="minorHAnsi" w:cstheme="minorHAnsi"/>
        </w:rPr>
      </w:pPr>
      <w:bookmarkStart w:id="64" w:name="_Toc139261450"/>
      <w:r w:rsidRPr="007A3506">
        <w:rPr>
          <w:rStyle w:val="Heading3Char"/>
          <w:rFonts w:asciiTheme="minorHAnsi" w:hAnsiTheme="minorHAnsi" w:cstheme="minorHAnsi"/>
        </w:rPr>
        <w:lastRenderedPageBreak/>
        <w:t>2.2.4 Lost Time Injury Frequency Rates – Performance Over Time</w:t>
      </w:r>
      <w:r w:rsidRPr="007A3506">
        <w:rPr>
          <w:rStyle w:val="FootnoteReference"/>
          <w:rFonts w:asciiTheme="minorHAnsi" w:hAnsiTheme="minorHAnsi" w:cstheme="minorHAnsi"/>
        </w:rPr>
        <w:footnoteReference w:id="21"/>
      </w:r>
      <w:bookmarkEnd w:id="64"/>
    </w:p>
    <w:bookmarkEnd w:id="63"/>
    <w:p w14:paraId="6A0ECFDB" w14:textId="3F00BA2E" w:rsidR="00023773" w:rsidRPr="007A3506" w:rsidRDefault="007043FD" w:rsidP="00EF3CC3">
      <w:pPr>
        <w:spacing w:line="259" w:lineRule="auto"/>
        <w:contextualSpacing/>
        <w:rPr>
          <w:rFonts w:cstheme="minorHAnsi"/>
        </w:rPr>
      </w:pPr>
      <w:r w:rsidRPr="007A3506">
        <w:rPr>
          <w:rFonts w:cstheme="minorHAnsi"/>
        </w:rPr>
        <w:t>The following table shows accreditations grouped by number of years holding Scheme accreditation with available LTIFR data.</w:t>
      </w:r>
      <w:r w:rsidR="00AB0F72" w:rsidRPr="007A3506">
        <w:rPr>
          <w:rFonts w:cstheme="minorHAnsi"/>
        </w:rPr>
        <w:t xml:space="preserve"> </w:t>
      </w:r>
      <w:r w:rsidRPr="007A3506" w:rsidDel="003A2C21">
        <w:rPr>
          <w:rFonts w:cstheme="minorHAnsi"/>
        </w:rPr>
        <w:t xml:space="preserve">The </w:t>
      </w:r>
      <w:r w:rsidR="009A2684" w:rsidRPr="007A3506">
        <w:rPr>
          <w:rFonts w:cstheme="minorHAnsi"/>
        </w:rPr>
        <w:t>data suggests</w:t>
      </w:r>
      <w:r w:rsidRPr="007A3506" w:rsidDel="003A2C21">
        <w:rPr>
          <w:rFonts w:cstheme="minorHAnsi"/>
        </w:rPr>
        <w:t xml:space="preserve"> that </w:t>
      </w:r>
      <w:r w:rsidRPr="007A3506" w:rsidDel="0047580D">
        <w:rPr>
          <w:rFonts w:cstheme="minorHAnsi"/>
        </w:rPr>
        <w:t>t</w:t>
      </w:r>
      <w:r w:rsidRPr="007A3506">
        <w:rPr>
          <w:rFonts w:cstheme="minorHAnsi"/>
        </w:rPr>
        <w:t xml:space="preserve">he percentage of accredited </w:t>
      </w:r>
      <w:r w:rsidR="00973A52" w:rsidRPr="007A3506">
        <w:rPr>
          <w:rFonts w:cstheme="minorHAnsi"/>
        </w:rPr>
        <w:t>entities</w:t>
      </w:r>
      <w:r w:rsidRPr="007A3506">
        <w:rPr>
          <w:rFonts w:cstheme="minorHAnsi"/>
        </w:rPr>
        <w:t xml:space="preserve"> </w:t>
      </w:r>
      <w:r w:rsidR="009A2684" w:rsidRPr="007A3506">
        <w:rPr>
          <w:rFonts w:cstheme="minorHAnsi"/>
        </w:rPr>
        <w:t>with</w:t>
      </w:r>
      <w:r w:rsidRPr="007A3506">
        <w:rPr>
          <w:rFonts w:cstheme="minorHAnsi"/>
        </w:rPr>
        <w:t xml:space="preserve"> improved</w:t>
      </w:r>
      <w:r w:rsidRPr="007A3506" w:rsidDel="00AB0F72">
        <w:rPr>
          <w:rFonts w:cstheme="minorHAnsi"/>
        </w:rPr>
        <w:t xml:space="preserve"> </w:t>
      </w:r>
      <w:r w:rsidRPr="007A3506">
        <w:rPr>
          <w:rFonts w:cstheme="minorHAnsi"/>
        </w:rPr>
        <w:t>LTIFR</w:t>
      </w:r>
      <w:r w:rsidR="00A40CB5" w:rsidRPr="007A3506">
        <w:rPr>
          <w:rFonts w:cstheme="minorHAnsi"/>
        </w:rPr>
        <w:t xml:space="preserve"> compared with their LTIFR in their first year of </w:t>
      </w:r>
      <w:r w:rsidR="00AB0C42" w:rsidRPr="007A3506">
        <w:rPr>
          <w:rFonts w:cstheme="minorHAnsi"/>
        </w:rPr>
        <w:t>accreditation</w:t>
      </w:r>
      <w:r w:rsidRPr="007A3506">
        <w:rPr>
          <w:rFonts w:cstheme="minorHAnsi"/>
        </w:rPr>
        <w:t xml:space="preserve"> and the </w:t>
      </w:r>
      <w:r w:rsidR="00DC44BC" w:rsidRPr="007A3506">
        <w:rPr>
          <w:rFonts w:cstheme="minorHAnsi"/>
        </w:rPr>
        <w:t xml:space="preserve">degree of </w:t>
      </w:r>
      <w:r w:rsidRPr="007A3506">
        <w:rPr>
          <w:rFonts w:cstheme="minorHAnsi"/>
        </w:rPr>
        <w:t xml:space="preserve">improvement </w:t>
      </w:r>
      <w:r w:rsidR="009A2684" w:rsidRPr="007A3506">
        <w:rPr>
          <w:rFonts w:cstheme="minorHAnsi"/>
        </w:rPr>
        <w:t>has</w:t>
      </w:r>
      <w:r w:rsidR="00DC44BC" w:rsidRPr="007A3506">
        <w:rPr>
          <w:rFonts w:cstheme="minorHAnsi"/>
        </w:rPr>
        <w:t xml:space="preserve"> increased over time</w:t>
      </w:r>
      <w:r w:rsidR="00023773" w:rsidRPr="007A3506">
        <w:rPr>
          <w:rFonts w:cstheme="minorHAnsi"/>
        </w:rPr>
        <w:t>.</w:t>
      </w:r>
    </w:p>
    <w:tbl>
      <w:tblPr>
        <w:tblStyle w:val="DataTable1"/>
        <w:tblW w:w="8647" w:type="dxa"/>
        <w:tblLook w:val="04A0" w:firstRow="1" w:lastRow="0" w:firstColumn="1" w:lastColumn="0" w:noHBand="0" w:noVBand="1"/>
        <w:tblDescription w:val="A table showing accreditations grouped by number of years holding Scheme accreditation with available LTIFR data. The percentage of accredited entities with improved LTIFR compared with their LTIFR in their first year of accreditation and the degree of improvement has increased over time. "/>
      </w:tblPr>
      <w:tblGrid>
        <w:gridCol w:w="2161"/>
        <w:gridCol w:w="2162"/>
        <w:gridCol w:w="2162"/>
        <w:gridCol w:w="2162"/>
      </w:tblGrid>
      <w:tr w:rsidR="009343F1" w:rsidRPr="00E412D6" w14:paraId="28B8863F" w14:textId="77777777" w:rsidTr="00EF3CC3">
        <w:trPr>
          <w:cnfStyle w:val="100000000000" w:firstRow="1" w:lastRow="0" w:firstColumn="0" w:lastColumn="0" w:oddVBand="0" w:evenVBand="0" w:oddHBand="0" w:evenHBand="0" w:firstRowFirstColumn="0" w:firstRowLastColumn="0" w:lastRowFirstColumn="0" w:lastRowLastColumn="0"/>
          <w:trHeight w:val="549"/>
        </w:trPr>
        <w:tc>
          <w:tcPr>
            <w:tcW w:w="2161" w:type="dxa"/>
            <w:hideMark/>
          </w:tcPr>
          <w:p w14:paraId="655762C3" w14:textId="77777777" w:rsidR="007043FD" w:rsidRPr="007A3506" w:rsidRDefault="007043FD" w:rsidP="00EF3CC3">
            <w:pPr>
              <w:spacing w:line="240" w:lineRule="auto"/>
              <w:rPr>
                <w:rFonts w:cstheme="minorHAnsi"/>
                <w:b w:val="0"/>
                <w:lang w:eastAsia="en-AU"/>
              </w:rPr>
            </w:pPr>
            <w:r w:rsidRPr="007A3506">
              <w:rPr>
                <w:rFonts w:cstheme="minorHAnsi"/>
                <w:bCs/>
                <w:lang w:eastAsia="en-AU"/>
              </w:rPr>
              <w:t>Years accredited</w:t>
            </w:r>
          </w:p>
        </w:tc>
        <w:tc>
          <w:tcPr>
            <w:tcW w:w="2162" w:type="dxa"/>
            <w:hideMark/>
          </w:tcPr>
          <w:p w14:paraId="6474B6B8" w14:textId="77777777" w:rsidR="007043FD" w:rsidRPr="007A3506" w:rsidRDefault="007043FD" w:rsidP="00EF3CC3">
            <w:pPr>
              <w:spacing w:line="240" w:lineRule="auto"/>
              <w:rPr>
                <w:rFonts w:cstheme="minorHAnsi"/>
                <w:b w:val="0"/>
                <w:lang w:eastAsia="en-AU"/>
              </w:rPr>
            </w:pPr>
            <w:r w:rsidRPr="007A3506">
              <w:rPr>
                <w:rFonts w:cstheme="minorHAnsi"/>
                <w:bCs/>
                <w:lang w:eastAsia="en-AU"/>
              </w:rPr>
              <w:t>Accreditations</w:t>
            </w:r>
          </w:p>
        </w:tc>
        <w:tc>
          <w:tcPr>
            <w:tcW w:w="2162" w:type="dxa"/>
            <w:hideMark/>
          </w:tcPr>
          <w:p w14:paraId="6C928F8D" w14:textId="77777777" w:rsidR="007043FD" w:rsidRPr="007A3506" w:rsidRDefault="007043FD" w:rsidP="00EF3CC3">
            <w:pPr>
              <w:spacing w:line="240" w:lineRule="auto"/>
              <w:rPr>
                <w:rFonts w:cstheme="minorHAnsi"/>
                <w:lang w:eastAsia="en-AU"/>
              </w:rPr>
            </w:pPr>
            <w:r w:rsidRPr="007A3506">
              <w:rPr>
                <w:rFonts w:cstheme="minorHAnsi"/>
              </w:rPr>
              <w:t>% with improved LTIFR</w:t>
            </w:r>
          </w:p>
        </w:tc>
        <w:tc>
          <w:tcPr>
            <w:tcW w:w="2162" w:type="dxa"/>
            <w:hideMark/>
          </w:tcPr>
          <w:p w14:paraId="4D9A04D7" w14:textId="1D328635" w:rsidR="007043FD" w:rsidRPr="007A3506" w:rsidRDefault="007043FD" w:rsidP="00EF3CC3">
            <w:pPr>
              <w:spacing w:line="240" w:lineRule="auto"/>
              <w:rPr>
                <w:rFonts w:cstheme="minorHAnsi"/>
                <w:b w:val="0"/>
                <w:lang w:eastAsia="en-AU"/>
              </w:rPr>
            </w:pPr>
            <w:r w:rsidRPr="007A3506">
              <w:rPr>
                <w:rFonts w:cstheme="minorHAnsi"/>
                <w:bCs/>
                <w:lang w:eastAsia="en-AU"/>
              </w:rPr>
              <w:t xml:space="preserve">Average improvement of </w:t>
            </w:r>
            <w:r w:rsidR="009855DD" w:rsidRPr="007A3506">
              <w:rPr>
                <w:rFonts w:cstheme="minorHAnsi"/>
                <w:bCs/>
                <w:lang w:eastAsia="en-AU"/>
              </w:rPr>
              <w:t xml:space="preserve">improved </w:t>
            </w:r>
            <w:r w:rsidR="00335F31" w:rsidRPr="007A3506">
              <w:rPr>
                <w:rFonts w:cstheme="minorHAnsi"/>
                <w:lang w:eastAsia="en-AU"/>
              </w:rPr>
              <w:t>entities</w:t>
            </w:r>
            <w:r w:rsidRPr="007A3506">
              <w:rPr>
                <w:rFonts w:cstheme="minorHAnsi"/>
                <w:lang w:eastAsia="en-AU"/>
              </w:rPr>
              <w:t xml:space="preserve"> </w:t>
            </w:r>
          </w:p>
        </w:tc>
      </w:tr>
      <w:tr w:rsidR="007043FD" w:rsidRPr="00E412D6" w14:paraId="30A2B9AC" w14:textId="77777777" w:rsidTr="00EF3CC3">
        <w:trPr>
          <w:trHeight w:val="300"/>
        </w:trPr>
        <w:tc>
          <w:tcPr>
            <w:tcW w:w="2161" w:type="dxa"/>
            <w:hideMark/>
          </w:tcPr>
          <w:p w14:paraId="4A02E611" w14:textId="23BC8C6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3</w:t>
            </w:r>
          </w:p>
        </w:tc>
        <w:tc>
          <w:tcPr>
            <w:tcW w:w="2162" w:type="dxa"/>
            <w:hideMark/>
          </w:tcPr>
          <w:p w14:paraId="6C410971"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264</w:t>
            </w:r>
          </w:p>
        </w:tc>
        <w:tc>
          <w:tcPr>
            <w:tcW w:w="2162" w:type="dxa"/>
            <w:hideMark/>
          </w:tcPr>
          <w:p w14:paraId="16142A24"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52%</w:t>
            </w:r>
          </w:p>
        </w:tc>
        <w:tc>
          <w:tcPr>
            <w:tcW w:w="2162" w:type="dxa"/>
            <w:hideMark/>
          </w:tcPr>
          <w:p w14:paraId="1EA164BF"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77%</w:t>
            </w:r>
          </w:p>
        </w:tc>
      </w:tr>
      <w:tr w:rsidR="007043FD" w:rsidRPr="00E412D6" w14:paraId="59F45544" w14:textId="77777777" w:rsidTr="008D5B39">
        <w:trPr>
          <w:trHeight w:val="300"/>
        </w:trPr>
        <w:tc>
          <w:tcPr>
            <w:tcW w:w="2161" w:type="dxa"/>
            <w:shd w:val="clear" w:color="auto" w:fill="F2F2F2" w:themeFill="background1" w:themeFillShade="F2"/>
            <w:hideMark/>
          </w:tcPr>
          <w:p w14:paraId="6DB9BD7E" w14:textId="5BD5E15B"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 xml:space="preserve">6 </w:t>
            </w:r>
          </w:p>
        </w:tc>
        <w:tc>
          <w:tcPr>
            <w:tcW w:w="2162" w:type="dxa"/>
            <w:shd w:val="clear" w:color="auto" w:fill="F2F2F2" w:themeFill="background1" w:themeFillShade="F2"/>
            <w:hideMark/>
          </w:tcPr>
          <w:p w14:paraId="09A78BF4"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209</w:t>
            </w:r>
          </w:p>
        </w:tc>
        <w:tc>
          <w:tcPr>
            <w:tcW w:w="2162" w:type="dxa"/>
            <w:shd w:val="clear" w:color="auto" w:fill="F2F2F2" w:themeFill="background1" w:themeFillShade="F2"/>
            <w:hideMark/>
          </w:tcPr>
          <w:p w14:paraId="7BB0C8CF"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65%</w:t>
            </w:r>
          </w:p>
        </w:tc>
        <w:tc>
          <w:tcPr>
            <w:tcW w:w="2162" w:type="dxa"/>
            <w:shd w:val="clear" w:color="auto" w:fill="F2F2F2" w:themeFill="background1" w:themeFillShade="F2"/>
            <w:hideMark/>
          </w:tcPr>
          <w:p w14:paraId="48149DBE"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88%</w:t>
            </w:r>
          </w:p>
        </w:tc>
      </w:tr>
      <w:tr w:rsidR="007043FD" w:rsidRPr="00E412D6" w14:paraId="421A4CE9" w14:textId="77777777" w:rsidTr="00EF3CC3">
        <w:trPr>
          <w:trHeight w:val="300"/>
        </w:trPr>
        <w:tc>
          <w:tcPr>
            <w:tcW w:w="2161" w:type="dxa"/>
            <w:hideMark/>
          </w:tcPr>
          <w:p w14:paraId="0D780A57" w14:textId="6E8F649C"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 xml:space="preserve">9 </w:t>
            </w:r>
          </w:p>
        </w:tc>
        <w:tc>
          <w:tcPr>
            <w:tcW w:w="2162" w:type="dxa"/>
            <w:hideMark/>
          </w:tcPr>
          <w:p w14:paraId="51317004"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143</w:t>
            </w:r>
          </w:p>
        </w:tc>
        <w:tc>
          <w:tcPr>
            <w:tcW w:w="2162" w:type="dxa"/>
            <w:hideMark/>
          </w:tcPr>
          <w:p w14:paraId="70A31D12" w14:textId="77777777" w:rsidR="007043FD" w:rsidRPr="00262B05" w:rsidRDefault="007043FD" w:rsidP="00EF3CC3">
            <w:pPr>
              <w:spacing w:line="240" w:lineRule="auto"/>
              <w:rPr>
                <w:rFonts w:cstheme="minorHAnsi"/>
                <w:color w:val="000000"/>
                <w:lang w:eastAsia="en-AU"/>
              </w:rPr>
            </w:pPr>
            <w:r w:rsidRPr="00262B05">
              <w:rPr>
                <w:rFonts w:cstheme="minorHAnsi"/>
                <w:color w:val="000000"/>
                <w:lang w:eastAsia="en-AU"/>
              </w:rPr>
              <w:t>74%</w:t>
            </w:r>
          </w:p>
        </w:tc>
        <w:tc>
          <w:tcPr>
            <w:tcW w:w="2162" w:type="dxa"/>
            <w:hideMark/>
          </w:tcPr>
          <w:p w14:paraId="3C9F30A7" w14:textId="77777777" w:rsidR="007043FD" w:rsidRPr="00262B05" w:rsidRDefault="007043FD" w:rsidP="00EF3CC3">
            <w:pPr>
              <w:spacing w:line="240" w:lineRule="auto"/>
              <w:rPr>
                <w:rFonts w:cstheme="minorHAnsi"/>
                <w:color w:val="000000"/>
                <w:lang w:eastAsia="en-AU"/>
              </w:rPr>
            </w:pPr>
            <w:r w:rsidRPr="00262B05">
              <w:rPr>
                <w:rFonts w:cstheme="minorHAnsi"/>
                <w:color w:val="000000"/>
                <w:lang w:eastAsia="en-AU"/>
              </w:rPr>
              <w:t>92%</w:t>
            </w:r>
          </w:p>
        </w:tc>
      </w:tr>
      <w:tr w:rsidR="007043FD" w:rsidRPr="00E412D6" w14:paraId="0A0769DA" w14:textId="77777777" w:rsidTr="008D5B39">
        <w:trPr>
          <w:trHeight w:val="300"/>
        </w:trPr>
        <w:tc>
          <w:tcPr>
            <w:tcW w:w="2161" w:type="dxa"/>
            <w:shd w:val="clear" w:color="auto" w:fill="F2F2F2" w:themeFill="background1" w:themeFillShade="F2"/>
            <w:hideMark/>
          </w:tcPr>
          <w:p w14:paraId="0605631C" w14:textId="0E13B44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12</w:t>
            </w:r>
          </w:p>
        </w:tc>
        <w:tc>
          <w:tcPr>
            <w:tcW w:w="2162" w:type="dxa"/>
            <w:shd w:val="clear" w:color="auto" w:fill="F2F2F2" w:themeFill="background1" w:themeFillShade="F2"/>
            <w:hideMark/>
          </w:tcPr>
          <w:p w14:paraId="17B7E232" w14:textId="77777777" w:rsidR="007043FD" w:rsidRPr="00262B05" w:rsidRDefault="007043FD" w:rsidP="00EF3CC3">
            <w:pPr>
              <w:spacing w:line="240" w:lineRule="auto"/>
              <w:rPr>
                <w:rFonts w:cstheme="minorHAnsi"/>
                <w:color w:val="000000"/>
                <w:lang w:eastAsia="en-AU"/>
              </w:rPr>
            </w:pPr>
            <w:r w:rsidRPr="00262B05">
              <w:rPr>
                <w:rFonts w:cstheme="minorHAnsi"/>
                <w:color w:val="000000"/>
                <w:lang w:eastAsia="en-AU"/>
              </w:rPr>
              <w:t>81</w:t>
            </w:r>
          </w:p>
        </w:tc>
        <w:tc>
          <w:tcPr>
            <w:tcW w:w="2162" w:type="dxa"/>
            <w:shd w:val="clear" w:color="auto" w:fill="F2F2F2" w:themeFill="background1" w:themeFillShade="F2"/>
            <w:hideMark/>
          </w:tcPr>
          <w:p w14:paraId="046D5469" w14:textId="77777777" w:rsidR="007043FD" w:rsidRPr="00262B05" w:rsidRDefault="007043FD" w:rsidP="00EF3CC3">
            <w:pPr>
              <w:spacing w:line="240" w:lineRule="auto"/>
              <w:rPr>
                <w:rFonts w:cstheme="minorHAnsi"/>
                <w:color w:val="000000"/>
                <w:lang w:eastAsia="en-AU"/>
              </w:rPr>
            </w:pPr>
            <w:r w:rsidRPr="00262B05">
              <w:rPr>
                <w:rFonts w:cstheme="minorHAnsi"/>
                <w:color w:val="000000"/>
                <w:lang w:eastAsia="en-AU"/>
              </w:rPr>
              <w:t>74%</w:t>
            </w:r>
          </w:p>
        </w:tc>
        <w:tc>
          <w:tcPr>
            <w:tcW w:w="2162" w:type="dxa"/>
            <w:shd w:val="clear" w:color="auto" w:fill="F2F2F2" w:themeFill="background1" w:themeFillShade="F2"/>
            <w:hideMark/>
          </w:tcPr>
          <w:p w14:paraId="714BF51E" w14:textId="77777777" w:rsidR="007043FD" w:rsidRPr="007A3506" w:rsidRDefault="007043FD" w:rsidP="00EF3CC3">
            <w:pPr>
              <w:spacing w:line="240" w:lineRule="auto"/>
              <w:rPr>
                <w:rFonts w:cstheme="minorHAnsi"/>
                <w:color w:val="000000"/>
                <w:lang w:eastAsia="en-AU"/>
              </w:rPr>
            </w:pPr>
            <w:r w:rsidRPr="007A3506">
              <w:rPr>
                <w:rFonts w:cstheme="minorHAnsi"/>
                <w:color w:val="000000"/>
                <w:lang w:eastAsia="en-AU"/>
              </w:rPr>
              <w:t>87%</w:t>
            </w:r>
          </w:p>
        </w:tc>
      </w:tr>
    </w:tbl>
    <w:p w14:paraId="6390C110" w14:textId="19F35340" w:rsidR="008A1766" w:rsidRPr="007A3506" w:rsidRDefault="008A1766" w:rsidP="00E72D83">
      <w:pPr>
        <w:rPr>
          <w:rFonts w:cstheme="minorHAnsi"/>
        </w:rPr>
      </w:pPr>
      <w:bookmarkStart w:id="65" w:name="_Toc138428285"/>
    </w:p>
    <w:p w14:paraId="3C42DC8D" w14:textId="189A27ED" w:rsidR="00804226" w:rsidRPr="007A3506" w:rsidRDefault="00804226" w:rsidP="00804226">
      <w:pPr>
        <w:pStyle w:val="Heading3"/>
        <w:rPr>
          <w:rFonts w:asciiTheme="minorHAnsi" w:hAnsiTheme="minorHAnsi" w:cstheme="minorHAnsi"/>
        </w:rPr>
      </w:pPr>
      <w:bookmarkStart w:id="66" w:name="_Toc139261451"/>
      <w:bookmarkStart w:id="67" w:name="_Toc515767956"/>
      <w:r w:rsidRPr="007A3506">
        <w:rPr>
          <w:rFonts w:asciiTheme="minorHAnsi" w:hAnsiTheme="minorHAnsi" w:cstheme="minorHAnsi"/>
        </w:rPr>
        <w:t>2.2.</w:t>
      </w:r>
      <w:r w:rsidR="003E319E" w:rsidRPr="007A3506">
        <w:rPr>
          <w:rFonts w:asciiTheme="minorHAnsi" w:hAnsiTheme="minorHAnsi" w:cstheme="minorHAnsi"/>
        </w:rPr>
        <w:t>5</w:t>
      </w:r>
      <w:r w:rsidR="00CC6822" w:rsidRPr="007A3506">
        <w:rPr>
          <w:rFonts w:asciiTheme="minorHAnsi" w:hAnsiTheme="minorHAnsi" w:cstheme="minorHAnsi"/>
        </w:rPr>
        <w:t xml:space="preserve"> </w:t>
      </w:r>
      <w:r w:rsidRPr="007A3506">
        <w:rPr>
          <w:rFonts w:asciiTheme="minorHAnsi" w:hAnsiTheme="minorHAnsi" w:cstheme="minorHAnsi"/>
        </w:rPr>
        <w:t>Workers’ Compensation Premium Rate – Performance Over Time</w:t>
      </w:r>
      <w:r w:rsidR="00090E2C" w:rsidRPr="007A3506">
        <w:rPr>
          <w:rStyle w:val="FootnoteReference"/>
          <w:rFonts w:asciiTheme="minorHAnsi" w:hAnsiTheme="minorHAnsi" w:cstheme="minorHAnsi"/>
        </w:rPr>
        <w:footnoteReference w:id="22"/>
      </w:r>
      <w:bookmarkEnd w:id="66"/>
      <w:r w:rsidRPr="007A3506">
        <w:rPr>
          <w:rFonts w:asciiTheme="minorHAnsi" w:hAnsiTheme="minorHAnsi" w:cstheme="minorHAnsi"/>
        </w:rPr>
        <w:t xml:space="preserve"> </w:t>
      </w:r>
      <w:bookmarkEnd w:id="65"/>
      <w:bookmarkEnd w:id="67"/>
    </w:p>
    <w:p w14:paraId="6D2E9FAC" w14:textId="65CE3DA7" w:rsidR="00023773" w:rsidRPr="007A3506" w:rsidRDefault="00804226" w:rsidP="00D50459">
      <w:pPr>
        <w:spacing w:line="259" w:lineRule="auto"/>
        <w:contextualSpacing/>
        <w:rPr>
          <w:rFonts w:cstheme="minorHAnsi"/>
          <w:color w:val="000000" w:themeColor="text1"/>
        </w:rPr>
      </w:pPr>
      <w:r w:rsidRPr="007A3506">
        <w:rPr>
          <w:rFonts w:cstheme="minorHAnsi"/>
        </w:rPr>
        <w:t xml:space="preserve">Accredited </w:t>
      </w:r>
      <w:r w:rsidR="00973A52" w:rsidRPr="007A3506">
        <w:rPr>
          <w:rFonts w:cstheme="minorHAnsi"/>
        </w:rPr>
        <w:t>entities</w:t>
      </w:r>
      <w:r w:rsidRPr="007A3506">
        <w:rPr>
          <w:rFonts w:cstheme="minorHAnsi"/>
        </w:rPr>
        <w:t xml:space="preserve"> are required to report Workers’ Compensation Premium Rates (WCPR) in </w:t>
      </w:r>
      <w:r w:rsidR="002D2D9B" w:rsidRPr="007A3506">
        <w:rPr>
          <w:rFonts w:cstheme="minorHAnsi"/>
        </w:rPr>
        <w:t>b</w:t>
      </w:r>
      <w:r w:rsidRPr="007A3506">
        <w:rPr>
          <w:rFonts w:cstheme="minorHAnsi"/>
        </w:rPr>
        <w:t xml:space="preserve">iannual </w:t>
      </w:r>
      <w:r w:rsidR="002D2D9B" w:rsidRPr="007A3506">
        <w:rPr>
          <w:rFonts w:cstheme="minorHAnsi"/>
        </w:rPr>
        <w:t>r</w:t>
      </w:r>
      <w:r w:rsidRPr="007A3506">
        <w:rPr>
          <w:rFonts w:cstheme="minorHAnsi"/>
        </w:rPr>
        <w:t>eports provided to the FSC. The following table shows accreditations grouped by number of years holding Scheme accreditation with available WCPR data.</w:t>
      </w:r>
      <w:r w:rsidR="003B4C37" w:rsidRPr="007A3506">
        <w:rPr>
          <w:rFonts w:cstheme="minorHAnsi"/>
          <w:color w:val="000000" w:themeColor="text1"/>
        </w:rPr>
        <w:t xml:space="preserve"> </w:t>
      </w:r>
      <w:r w:rsidRPr="007A3506" w:rsidDel="00794EBD">
        <w:rPr>
          <w:rFonts w:cstheme="minorHAnsi"/>
          <w:color w:val="000000" w:themeColor="text1"/>
        </w:rPr>
        <w:t xml:space="preserve">The </w:t>
      </w:r>
      <w:r w:rsidR="00D50459" w:rsidRPr="007A3506">
        <w:rPr>
          <w:rFonts w:cstheme="minorHAnsi"/>
          <w:color w:val="000000" w:themeColor="text1"/>
        </w:rPr>
        <w:t>data suggests</w:t>
      </w:r>
      <w:r w:rsidRPr="007A3506" w:rsidDel="00794EBD">
        <w:rPr>
          <w:rFonts w:cstheme="minorHAnsi"/>
          <w:color w:val="000000" w:themeColor="text1"/>
        </w:rPr>
        <w:t xml:space="preserve"> that </w:t>
      </w:r>
      <w:r w:rsidRPr="007A3506" w:rsidDel="003B4C37">
        <w:rPr>
          <w:rFonts w:cstheme="minorHAnsi"/>
          <w:color w:val="000000" w:themeColor="text1"/>
        </w:rPr>
        <w:t>t</w:t>
      </w:r>
      <w:r w:rsidRPr="007A3506">
        <w:rPr>
          <w:rFonts w:cstheme="minorHAnsi"/>
          <w:color w:val="000000" w:themeColor="text1"/>
        </w:rPr>
        <w:t xml:space="preserve">he percentage of accredited </w:t>
      </w:r>
      <w:r w:rsidR="00973A52" w:rsidRPr="007A3506">
        <w:rPr>
          <w:rFonts w:cstheme="minorHAnsi"/>
          <w:color w:val="000000" w:themeColor="text1"/>
        </w:rPr>
        <w:t>entitie</w:t>
      </w:r>
      <w:r w:rsidRPr="007A3506">
        <w:rPr>
          <w:rFonts w:cstheme="minorHAnsi"/>
          <w:color w:val="000000" w:themeColor="text1"/>
        </w:rPr>
        <w:t xml:space="preserve">s </w:t>
      </w:r>
      <w:r w:rsidR="00D50459" w:rsidRPr="007A3506">
        <w:rPr>
          <w:rFonts w:cstheme="minorHAnsi"/>
          <w:color w:val="000000" w:themeColor="text1"/>
        </w:rPr>
        <w:t>with</w:t>
      </w:r>
      <w:r w:rsidRPr="007A3506">
        <w:rPr>
          <w:rFonts w:cstheme="minorHAnsi"/>
          <w:color w:val="000000" w:themeColor="text1"/>
        </w:rPr>
        <w:t xml:space="preserve"> improved</w:t>
      </w:r>
      <w:r w:rsidRPr="007A3506" w:rsidDel="003B4C37">
        <w:rPr>
          <w:rFonts w:cstheme="minorHAnsi"/>
          <w:color w:val="000000" w:themeColor="text1"/>
        </w:rPr>
        <w:t xml:space="preserve"> </w:t>
      </w:r>
      <w:r w:rsidRPr="007A3506">
        <w:rPr>
          <w:rFonts w:cstheme="minorHAnsi"/>
        </w:rPr>
        <w:t>WCPR</w:t>
      </w:r>
      <w:r w:rsidRPr="007A3506">
        <w:rPr>
          <w:rFonts w:cstheme="minorHAnsi"/>
          <w:color w:val="000000" w:themeColor="text1"/>
        </w:rPr>
        <w:t xml:space="preserve"> </w:t>
      </w:r>
      <w:r w:rsidR="00FB065A" w:rsidRPr="007A3506">
        <w:rPr>
          <w:rFonts w:cstheme="minorHAnsi"/>
          <w:color w:val="000000" w:themeColor="text1"/>
        </w:rPr>
        <w:t>when compared with their</w:t>
      </w:r>
      <w:r w:rsidR="009860C9" w:rsidRPr="007A3506">
        <w:rPr>
          <w:rFonts w:cstheme="minorHAnsi"/>
          <w:color w:val="000000" w:themeColor="text1"/>
        </w:rPr>
        <w:t xml:space="preserve"> WCPR in their</w:t>
      </w:r>
      <w:r w:rsidR="00FB065A" w:rsidRPr="007A3506">
        <w:rPr>
          <w:rFonts w:cstheme="minorHAnsi"/>
          <w:color w:val="000000" w:themeColor="text1"/>
        </w:rPr>
        <w:t xml:space="preserve"> first year of accreditation </w:t>
      </w:r>
      <w:r w:rsidRPr="007A3506">
        <w:rPr>
          <w:rFonts w:cstheme="minorHAnsi"/>
          <w:color w:val="000000" w:themeColor="text1"/>
        </w:rPr>
        <w:t>and the</w:t>
      </w:r>
      <w:r w:rsidR="003B4C37" w:rsidRPr="007A3506">
        <w:rPr>
          <w:rFonts w:cstheme="minorHAnsi"/>
          <w:color w:val="000000" w:themeColor="text1"/>
        </w:rPr>
        <w:t xml:space="preserve"> degree of</w:t>
      </w:r>
      <w:r w:rsidRPr="007A3506">
        <w:rPr>
          <w:rFonts w:cstheme="minorHAnsi"/>
          <w:color w:val="000000" w:themeColor="text1"/>
        </w:rPr>
        <w:t xml:space="preserve"> improvement </w:t>
      </w:r>
      <w:r w:rsidR="00D50459" w:rsidRPr="007A3506">
        <w:rPr>
          <w:rFonts w:cstheme="minorHAnsi"/>
          <w:color w:val="000000" w:themeColor="text1"/>
        </w:rPr>
        <w:t>has</w:t>
      </w:r>
      <w:r w:rsidR="003B4C37" w:rsidRPr="007A3506">
        <w:rPr>
          <w:rFonts w:cstheme="minorHAnsi"/>
          <w:color w:val="000000" w:themeColor="text1"/>
        </w:rPr>
        <w:t xml:space="preserve"> increased</w:t>
      </w:r>
      <w:r w:rsidRPr="007A3506">
        <w:rPr>
          <w:rFonts w:cstheme="minorHAnsi"/>
          <w:color w:val="000000" w:themeColor="text1"/>
        </w:rPr>
        <w:t xml:space="preserve"> over time.</w:t>
      </w:r>
    </w:p>
    <w:tbl>
      <w:tblPr>
        <w:tblStyle w:val="DataTable1"/>
        <w:tblW w:w="9072" w:type="dxa"/>
        <w:tblLook w:val="04A0" w:firstRow="1" w:lastRow="0" w:firstColumn="1" w:lastColumn="0" w:noHBand="0" w:noVBand="1"/>
        <w:tblDescription w:val="A table showing accreditations grouped by number of years holding Scheme accreditation with available WCPR data. The percentage of accredited entities with improved WCPR when compared with their WCPR in their first year of accreditation and the degree of improvement has increased over time. "/>
      </w:tblPr>
      <w:tblGrid>
        <w:gridCol w:w="2268"/>
        <w:gridCol w:w="2268"/>
        <w:gridCol w:w="2268"/>
        <w:gridCol w:w="2268"/>
      </w:tblGrid>
      <w:tr w:rsidR="00E3631F" w:rsidRPr="00E412D6" w14:paraId="10D672FF" w14:textId="77777777" w:rsidTr="00B62693">
        <w:trPr>
          <w:cnfStyle w:val="100000000000" w:firstRow="1" w:lastRow="0" w:firstColumn="0" w:lastColumn="0" w:oddVBand="0" w:evenVBand="0" w:oddHBand="0" w:evenHBand="0" w:firstRowFirstColumn="0" w:firstRowLastColumn="0" w:lastRowFirstColumn="0" w:lastRowLastColumn="0"/>
          <w:trHeight w:val="549"/>
        </w:trPr>
        <w:tc>
          <w:tcPr>
            <w:tcW w:w="2268" w:type="dxa"/>
            <w:hideMark/>
          </w:tcPr>
          <w:p w14:paraId="37EBA9C0" w14:textId="77777777" w:rsidR="00804226" w:rsidRPr="007A3506" w:rsidRDefault="00804226" w:rsidP="00D50459">
            <w:pPr>
              <w:spacing w:line="240" w:lineRule="auto"/>
              <w:rPr>
                <w:rFonts w:cstheme="minorHAnsi"/>
                <w:lang w:eastAsia="en-AU"/>
              </w:rPr>
            </w:pPr>
            <w:r w:rsidRPr="007A3506">
              <w:rPr>
                <w:rFonts w:cstheme="minorHAnsi"/>
                <w:lang w:eastAsia="en-AU"/>
              </w:rPr>
              <w:t>Years accredited</w:t>
            </w:r>
          </w:p>
        </w:tc>
        <w:tc>
          <w:tcPr>
            <w:tcW w:w="2268" w:type="dxa"/>
            <w:hideMark/>
          </w:tcPr>
          <w:p w14:paraId="66DBF00E" w14:textId="77777777" w:rsidR="00804226" w:rsidRPr="007A3506" w:rsidRDefault="00804226" w:rsidP="00D50459">
            <w:pPr>
              <w:spacing w:line="240" w:lineRule="auto"/>
              <w:rPr>
                <w:rFonts w:cstheme="minorHAnsi"/>
                <w:lang w:eastAsia="en-AU"/>
              </w:rPr>
            </w:pPr>
            <w:r w:rsidRPr="007A3506">
              <w:rPr>
                <w:rFonts w:cstheme="minorHAnsi"/>
                <w:lang w:eastAsia="en-AU"/>
              </w:rPr>
              <w:t>Accreditations</w:t>
            </w:r>
          </w:p>
        </w:tc>
        <w:tc>
          <w:tcPr>
            <w:tcW w:w="2268" w:type="dxa"/>
            <w:hideMark/>
          </w:tcPr>
          <w:p w14:paraId="1E9549F7" w14:textId="77777777" w:rsidR="00804226" w:rsidRPr="007A3506" w:rsidRDefault="00804226" w:rsidP="00D50459">
            <w:pPr>
              <w:spacing w:line="240" w:lineRule="auto"/>
              <w:rPr>
                <w:rFonts w:cstheme="minorHAnsi"/>
                <w:lang w:eastAsia="en-AU"/>
              </w:rPr>
            </w:pPr>
            <w:r w:rsidRPr="007A3506">
              <w:rPr>
                <w:rFonts w:cstheme="minorHAnsi"/>
                <w:lang w:eastAsia="en-AU"/>
              </w:rPr>
              <w:t>% with improved WCPR</w:t>
            </w:r>
          </w:p>
        </w:tc>
        <w:tc>
          <w:tcPr>
            <w:tcW w:w="2268" w:type="dxa"/>
            <w:hideMark/>
          </w:tcPr>
          <w:p w14:paraId="60434C64" w14:textId="294AAF33" w:rsidR="00804226" w:rsidRPr="007A3506" w:rsidRDefault="00804226" w:rsidP="00D50459">
            <w:pPr>
              <w:spacing w:line="240" w:lineRule="auto"/>
              <w:rPr>
                <w:rFonts w:cstheme="minorHAnsi"/>
                <w:lang w:eastAsia="en-AU"/>
              </w:rPr>
            </w:pPr>
            <w:r w:rsidRPr="007A3506">
              <w:rPr>
                <w:rFonts w:cstheme="minorHAnsi"/>
                <w:lang w:eastAsia="en-AU"/>
              </w:rPr>
              <w:t xml:space="preserve">Average improvement of </w:t>
            </w:r>
            <w:r w:rsidR="00335F31" w:rsidRPr="007A3506">
              <w:rPr>
                <w:rFonts w:cstheme="minorHAnsi"/>
                <w:lang w:eastAsia="en-AU"/>
              </w:rPr>
              <w:t>entities</w:t>
            </w:r>
            <w:r w:rsidRPr="007A3506">
              <w:rPr>
                <w:rFonts w:cstheme="minorHAnsi"/>
                <w:lang w:eastAsia="en-AU"/>
              </w:rPr>
              <w:t xml:space="preserve"> that improved</w:t>
            </w:r>
          </w:p>
        </w:tc>
      </w:tr>
      <w:tr w:rsidR="00804226" w:rsidRPr="00E412D6" w14:paraId="105A1AF0" w14:textId="77777777" w:rsidTr="00B62693">
        <w:trPr>
          <w:trHeight w:val="300"/>
        </w:trPr>
        <w:tc>
          <w:tcPr>
            <w:tcW w:w="2268" w:type="dxa"/>
            <w:shd w:val="clear" w:color="auto" w:fill="FFFFFF" w:themeFill="background2"/>
            <w:hideMark/>
          </w:tcPr>
          <w:p w14:paraId="0E064BE0" w14:textId="6676AED2" w:rsidR="00804226" w:rsidRPr="007A3506" w:rsidRDefault="00804226" w:rsidP="00D50459">
            <w:pPr>
              <w:spacing w:line="240" w:lineRule="auto"/>
              <w:rPr>
                <w:rFonts w:cstheme="minorHAnsi"/>
                <w:color w:val="000000"/>
                <w:lang w:eastAsia="en-AU"/>
              </w:rPr>
            </w:pPr>
            <w:r w:rsidRPr="007A3506">
              <w:rPr>
                <w:rFonts w:cstheme="minorHAnsi"/>
                <w:color w:val="000000"/>
                <w:lang w:eastAsia="en-AU"/>
              </w:rPr>
              <w:t>3</w:t>
            </w:r>
          </w:p>
        </w:tc>
        <w:tc>
          <w:tcPr>
            <w:tcW w:w="2268" w:type="dxa"/>
            <w:shd w:val="clear" w:color="auto" w:fill="FFFFFF" w:themeFill="background2"/>
            <w:hideMark/>
          </w:tcPr>
          <w:p w14:paraId="22997C6F" w14:textId="77777777" w:rsidR="00804226" w:rsidRPr="007A3506" w:rsidRDefault="00804226" w:rsidP="00D50459">
            <w:pPr>
              <w:spacing w:line="240" w:lineRule="auto"/>
              <w:rPr>
                <w:rFonts w:cstheme="minorHAnsi"/>
                <w:color w:val="000000"/>
                <w:lang w:eastAsia="en-AU"/>
              </w:rPr>
            </w:pPr>
            <w:r w:rsidRPr="007A3506">
              <w:rPr>
                <w:rFonts w:cstheme="minorHAnsi"/>
                <w:color w:val="000000"/>
              </w:rPr>
              <w:t>298</w:t>
            </w:r>
          </w:p>
        </w:tc>
        <w:tc>
          <w:tcPr>
            <w:tcW w:w="2268" w:type="dxa"/>
            <w:shd w:val="clear" w:color="auto" w:fill="FFFFFF" w:themeFill="background2"/>
            <w:hideMark/>
          </w:tcPr>
          <w:p w14:paraId="754780AB" w14:textId="77777777" w:rsidR="00804226" w:rsidRPr="007A3506" w:rsidRDefault="00804226" w:rsidP="00D50459">
            <w:pPr>
              <w:spacing w:line="240" w:lineRule="auto"/>
              <w:rPr>
                <w:rFonts w:cstheme="minorHAnsi"/>
                <w:color w:val="000000"/>
                <w:lang w:eastAsia="en-AU"/>
              </w:rPr>
            </w:pPr>
            <w:r w:rsidRPr="007A3506">
              <w:rPr>
                <w:rFonts w:cstheme="minorHAnsi"/>
              </w:rPr>
              <w:t>59%</w:t>
            </w:r>
          </w:p>
        </w:tc>
        <w:tc>
          <w:tcPr>
            <w:tcW w:w="2268" w:type="dxa"/>
            <w:shd w:val="clear" w:color="auto" w:fill="FFFFFF" w:themeFill="background2"/>
            <w:hideMark/>
          </w:tcPr>
          <w:p w14:paraId="532011DD" w14:textId="77777777" w:rsidR="00804226" w:rsidRPr="007A3506" w:rsidRDefault="00804226" w:rsidP="00D50459">
            <w:pPr>
              <w:spacing w:line="240" w:lineRule="auto"/>
              <w:rPr>
                <w:rFonts w:cstheme="minorHAnsi"/>
                <w:color w:val="000000"/>
                <w:lang w:eastAsia="en-AU"/>
              </w:rPr>
            </w:pPr>
            <w:r w:rsidRPr="007A3506">
              <w:rPr>
                <w:rFonts w:cstheme="minorHAnsi"/>
              </w:rPr>
              <w:t>34%</w:t>
            </w:r>
          </w:p>
        </w:tc>
      </w:tr>
      <w:tr w:rsidR="00804226" w:rsidRPr="00E412D6" w14:paraId="07C99232" w14:textId="77777777" w:rsidTr="00B62693">
        <w:trPr>
          <w:trHeight w:val="300"/>
        </w:trPr>
        <w:tc>
          <w:tcPr>
            <w:tcW w:w="2268" w:type="dxa"/>
            <w:shd w:val="clear" w:color="auto" w:fill="F2F2F2" w:themeFill="background1" w:themeFillShade="F2"/>
            <w:hideMark/>
          </w:tcPr>
          <w:p w14:paraId="6BC81FE2" w14:textId="08F67CB4" w:rsidR="00804226" w:rsidRPr="007A3506" w:rsidRDefault="00804226" w:rsidP="00D50459">
            <w:pPr>
              <w:spacing w:line="240" w:lineRule="auto"/>
              <w:rPr>
                <w:rFonts w:cstheme="minorHAnsi"/>
                <w:color w:val="000000"/>
                <w:lang w:eastAsia="en-AU"/>
              </w:rPr>
            </w:pPr>
            <w:r w:rsidRPr="007A3506">
              <w:rPr>
                <w:rFonts w:cstheme="minorHAnsi"/>
                <w:color w:val="000000"/>
                <w:lang w:eastAsia="en-AU"/>
              </w:rPr>
              <w:t xml:space="preserve">6 </w:t>
            </w:r>
          </w:p>
        </w:tc>
        <w:tc>
          <w:tcPr>
            <w:tcW w:w="2268" w:type="dxa"/>
            <w:shd w:val="clear" w:color="auto" w:fill="F2F2F2" w:themeFill="background1" w:themeFillShade="F2"/>
            <w:hideMark/>
          </w:tcPr>
          <w:p w14:paraId="777C11DE" w14:textId="77777777" w:rsidR="00804226" w:rsidRPr="007A3506" w:rsidRDefault="00804226" w:rsidP="00D50459">
            <w:pPr>
              <w:spacing w:line="240" w:lineRule="auto"/>
              <w:rPr>
                <w:rFonts w:cstheme="minorHAnsi"/>
                <w:color w:val="000000"/>
                <w:lang w:eastAsia="en-AU"/>
              </w:rPr>
            </w:pPr>
            <w:r w:rsidRPr="007A3506">
              <w:rPr>
                <w:rFonts w:cstheme="minorHAnsi"/>
                <w:color w:val="000000"/>
              </w:rPr>
              <w:t>234</w:t>
            </w:r>
          </w:p>
        </w:tc>
        <w:tc>
          <w:tcPr>
            <w:tcW w:w="2268" w:type="dxa"/>
            <w:shd w:val="clear" w:color="auto" w:fill="F2F2F2" w:themeFill="background1" w:themeFillShade="F2"/>
            <w:hideMark/>
          </w:tcPr>
          <w:p w14:paraId="6DC659B9" w14:textId="77777777" w:rsidR="00804226" w:rsidRPr="007A3506" w:rsidRDefault="00804226" w:rsidP="00D50459">
            <w:pPr>
              <w:spacing w:line="240" w:lineRule="auto"/>
              <w:rPr>
                <w:rFonts w:cstheme="minorHAnsi"/>
                <w:color w:val="000000"/>
                <w:lang w:eastAsia="en-AU"/>
              </w:rPr>
            </w:pPr>
            <w:r w:rsidRPr="007A3506">
              <w:rPr>
                <w:rFonts w:cstheme="minorHAnsi"/>
              </w:rPr>
              <w:t>62%</w:t>
            </w:r>
          </w:p>
        </w:tc>
        <w:tc>
          <w:tcPr>
            <w:tcW w:w="2268" w:type="dxa"/>
            <w:shd w:val="clear" w:color="auto" w:fill="F2F2F2" w:themeFill="background1" w:themeFillShade="F2"/>
            <w:hideMark/>
          </w:tcPr>
          <w:p w14:paraId="6D6CF395" w14:textId="77777777" w:rsidR="00804226" w:rsidRPr="007A3506" w:rsidRDefault="00804226" w:rsidP="00D50459">
            <w:pPr>
              <w:spacing w:line="240" w:lineRule="auto"/>
              <w:rPr>
                <w:rFonts w:cstheme="minorHAnsi"/>
                <w:color w:val="000000"/>
                <w:lang w:eastAsia="en-AU"/>
              </w:rPr>
            </w:pPr>
            <w:r w:rsidRPr="007A3506">
              <w:rPr>
                <w:rFonts w:cstheme="minorHAnsi"/>
              </w:rPr>
              <w:t>38%</w:t>
            </w:r>
          </w:p>
        </w:tc>
      </w:tr>
      <w:tr w:rsidR="00804226" w:rsidRPr="00E412D6" w14:paraId="4FBE237B" w14:textId="77777777" w:rsidTr="00B62693">
        <w:trPr>
          <w:trHeight w:val="300"/>
        </w:trPr>
        <w:tc>
          <w:tcPr>
            <w:tcW w:w="2268" w:type="dxa"/>
            <w:shd w:val="clear" w:color="auto" w:fill="FFFFFF" w:themeFill="background2"/>
            <w:hideMark/>
          </w:tcPr>
          <w:p w14:paraId="5AFA2D67" w14:textId="180D24E1" w:rsidR="00804226" w:rsidRPr="007A3506" w:rsidRDefault="00804226" w:rsidP="00D50459">
            <w:pPr>
              <w:spacing w:line="240" w:lineRule="auto"/>
              <w:rPr>
                <w:rFonts w:cstheme="minorHAnsi"/>
                <w:color w:val="000000"/>
                <w:lang w:eastAsia="en-AU"/>
              </w:rPr>
            </w:pPr>
            <w:r w:rsidRPr="007A3506">
              <w:rPr>
                <w:rFonts w:cstheme="minorHAnsi"/>
                <w:color w:val="000000"/>
                <w:lang w:eastAsia="en-AU"/>
              </w:rPr>
              <w:t xml:space="preserve">9 </w:t>
            </w:r>
          </w:p>
        </w:tc>
        <w:tc>
          <w:tcPr>
            <w:tcW w:w="2268" w:type="dxa"/>
            <w:shd w:val="clear" w:color="auto" w:fill="FFFFFF" w:themeFill="background2"/>
            <w:hideMark/>
          </w:tcPr>
          <w:p w14:paraId="4AACACD2" w14:textId="77777777" w:rsidR="00804226" w:rsidRPr="007A3506" w:rsidRDefault="00804226" w:rsidP="00D50459">
            <w:pPr>
              <w:spacing w:line="240" w:lineRule="auto"/>
              <w:rPr>
                <w:rFonts w:cstheme="minorHAnsi"/>
                <w:color w:val="000000"/>
                <w:lang w:eastAsia="en-AU"/>
              </w:rPr>
            </w:pPr>
            <w:r w:rsidRPr="007A3506">
              <w:rPr>
                <w:rFonts w:cstheme="minorHAnsi"/>
                <w:color w:val="000000"/>
              </w:rPr>
              <w:t>152</w:t>
            </w:r>
          </w:p>
        </w:tc>
        <w:tc>
          <w:tcPr>
            <w:tcW w:w="2268" w:type="dxa"/>
            <w:shd w:val="clear" w:color="auto" w:fill="FFFFFF" w:themeFill="background2"/>
            <w:hideMark/>
          </w:tcPr>
          <w:p w14:paraId="5D6EDD69" w14:textId="77777777" w:rsidR="00804226" w:rsidRPr="007A3506" w:rsidRDefault="00804226" w:rsidP="00D50459">
            <w:pPr>
              <w:spacing w:line="240" w:lineRule="auto"/>
              <w:rPr>
                <w:rFonts w:cstheme="minorHAnsi"/>
                <w:color w:val="000000"/>
                <w:lang w:eastAsia="en-AU"/>
              </w:rPr>
            </w:pPr>
            <w:r w:rsidRPr="007A3506">
              <w:rPr>
                <w:rFonts w:cstheme="minorHAnsi"/>
              </w:rPr>
              <w:t>71%</w:t>
            </w:r>
          </w:p>
        </w:tc>
        <w:tc>
          <w:tcPr>
            <w:tcW w:w="2268" w:type="dxa"/>
            <w:shd w:val="clear" w:color="auto" w:fill="FFFFFF" w:themeFill="background2"/>
            <w:hideMark/>
          </w:tcPr>
          <w:p w14:paraId="0130FF48" w14:textId="77777777" w:rsidR="00804226" w:rsidRPr="007A3506" w:rsidRDefault="00804226" w:rsidP="00D50459">
            <w:pPr>
              <w:spacing w:line="240" w:lineRule="auto"/>
              <w:rPr>
                <w:rFonts w:cstheme="minorHAnsi"/>
                <w:color w:val="000000"/>
                <w:lang w:eastAsia="en-AU"/>
              </w:rPr>
            </w:pPr>
            <w:r w:rsidRPr="007A3506">
              <w:rPr>
                <w:rFonts w:cstheme="minorHAnsi"/>
              </w:rPr>
              <w:t>45%</w:t>
            </w:r>
          </w:p>
        </w:tc>
      </w:tr>
      <w:tr w:rsidR="00804226" w:rsidRPr="00E412D6" w14:paraId="583D0099" w14:textId="77777777" w:rsidTr="00B62693">
        <w:trPr>
          <w:trHeight w:val="300"/>
        </w:trPr>
        <w:tc>
          <w:tcPr>
            <w:tcW w:w="2268" w:type="dxa"/>
            <w:shd w:val="clear" w:color="auto" w:fill="F2F2F2" w:themeFill="background1" w:themeFillShade="F2"/>
            <w:hideMark/>
          </w:tcPr>
          <w:p w14:paraId="4C63F39C" w14:textId="4B4C86DB" w:rsidR="00804226" w:rsidRPr="007A3506" w:rsidRDefault="00804226" w:rsidP="00D50459">
            <w:pPr>
              <w:spacing w:line="240" w:lineRule="auto"/>
              <w:rPr>
                <w:rFonts w:cstheme="minorHAnsi"/>
                <w:color w:val="000000"/>
                <w:lang w:eastAsia="en-AU"/>
              </w:rPr>
            </w:pPr>
            <w:r w:rsidRPr="007A3506">
              <w:rPr>
                <w:rFonts w:cstheme="minorHAnsi"/>
                <w:color w:val="000000"/>
                <w:lang w:eastAsia="en-AU"/>
              </w:rPr>
              <w:t>12</w:t>
            </w:r>
          </w:p>
        </w:tc>
        <w:tc>
          <w:tcPr>
            <w:tcW w:w="2268" w:type="dxa"/>
            <w:shd w:val="clear" w:color="auto" w:fill="F2F2F2" w:themeFill="background1" w:themeFillShade="F2"/>
            <w:hideMark/>
          </w:tcPr>
          <w:p w14:paraId="31858961" w14:textId="77777777" w:rsidR="00804226" w:rsidRPr="007A3506" w:rsidRDefault="00804226" w:rsidP="00D50459">
            <w:pPr>
              <w:spacing w:line="240" w:lineRule="auto"/>
              <w:rPr>
                <w:rFonts w:cstheme="minorHAnsi"/>
                <w:color w:val="000000"/>
                <w:lang w:eastAsia="en-AU"/>
              </w:rPr>
            </w:pPr>
            <w:r w:rsidRPr="007A3506">
              <w:rPr>
                <w:rFonts w:cstheme="minorHAnsi"/>
                <w:color w:val="000000"/>
              </w:rPr>
              <w:t>81</w:t>
            </w:r>
          </w:p>
        </w:tc>
        <w:tc>
          <w:tcPr>
            <w:tcW w:w="2268" w:type="dxa"/>
            <w:shd w:val="clear" w:color="auto" w:fill="F2F2F2" w:themeFill="background1" w:themeFillShade="F2"/>
            <w:hideMark/>
          </w:tcPr>
          <w:p w14:paraId="6AF422AE" w14:textId="77777777" w:rsidR="00804226" w:rsidRPr="007A3506" w:rsidRDefault="00804226" w:rsidP="00D50459">
            <w:pPr>
              <w:spacing w:line="240" w:lineRule="auto"/>
              <w:rPr>
                <w:rFonts w:cstheme="minorHAnsi"/>
                <w:color w:val="000000"/>
                <w:lang w:eastAsia="en-AU"/>
              </w:rPr>
            </w:pPr>
            <w:r w:rsidRPr="007A3506">
              <w:rPr>
                <w:rFonts w:cstheme="minorHAnsi"/>
              </w:rPr>
              <w:t>73%</w:t>
            </w:r>
          </w:p>
        </w:tc>
        <w:tc>
          <w:tcPr>
            <w:tcW w:w="2268" w:type="dxa"/>
            <w:shd w:val="clear" w:color="auto" w:fill="F2F2F2" w:themeFill="background1" w:themeFillShade="F2"/>
            <w:hideMark/>
          </w:tcPr>
          <w:p w14:paraId="32E36240" w14:textId="77777777" w:rsidR="00804226" w:rsidRPr="007A3506" w:rsidRDefault="00804226" w:rsidP="00D50459">
            <w:pPr>
              <w:spacing w:line="240" w:lineRule="auto"/>
              <w:rPr>
                <w:rFonts w:cstheme="minorHAnsi"/>
                <w:color w:val="000000"/>
                <w:lang w:eastAsia="en-AU"/>
              </w:rPr>
            </w:pPr>
            <w:r w:rsidRPr="007A3506">
              <w:rPr>
                <w:rFonts w:cstheme="minorHAnsi"/>
              </w:rPr>
              <w:t>51%</w:t>
            </w:r>
          </w:p>
        </w:tc>
      </w:tr>
    </w:tbl>
    <w:p w14:paraId="7F5CD995" w14:textId="6A347B93" w:rsidR="00023773" w:rsidRPr="007A3506" w:rsidRDefault="00023773">
      <w:pPr>
        <w:spacing w:after="160" w:line="259" w:lineRule="auto"/>
        <w:rPr>
          <w:rFonts w:eastAsiaTheme="majorEastAsia" w:cstheme="minorHAnsi"/>
          <w:color w:val="214050" w:themeColor="text2"/>
          <w:sz w:val="28"/>
          <w:szCs w:val="24"/>
        </w:rPr>
      </w:pPr>
      <w:bookmarkStart w:id="68" w:name="_Toc138428286"/>
    </w:p>
    <w:p w14:paraId="595DF048" w14:textId="30B087F7" w:rsidR="00086E60" w:rsidRPr="007A3506" w:rsidRDefault="00086E60" w:rsidP="00086E60">
      <w:pPr>
        <w:pStyle w:val="Heading3"/>
        <w:rPr>
          <w:rFonts w:asciiTheme="minorHAnsi" w:hAnsiTheme="minorHAnsi" w:cstheme="minorHAnsi"/>
        </w:rPr>
      </w:pPr>
      <w:bookmarkStart w:id="69" w:name="_Toc139261452"/>
      <w:r w:rsidRPr="007A3506">
        <w:rPr>
          <w:rFonts w:asciiTheme="minorHAnsi" w:hAnsiTheme="minorHAnsi" w:cstheme="minorHAnsi"/>
        </w:rPr>
        <w:t>2.2.</w:t>
      </w:r>
      <w:r w:rsidR="00D50459" w:rsidRPr="007A3506">
        <w:rPr>
          <w:rFonts w:asciiTheme="minorHAnsi" w:hAnsiTheme="minorHAnsi" w:cstheme="minorHAnsi"/>
        </w:rPr>
        <w:t>6</w:t>
      </w:r>
      <w:r w:rsidR="00CC6822" w:rsidRPr="007A3506">
        <w:rPr>
          <w:rFonts w:asciiTheme="minorHAnsi" w:hAnsiTheme="minorHAnsi" w:cstheme="minorHAnsi"/>
        </w:rPr>
        <w:t xml:space="preserve"> </w:t>
      </w:r>
      <w:r w:rsidRPr="007A3506">
        <w:rPr>
          <w:rFonts w:asciiTheme="minorHAnsi" w:hAnsiTheme="minorHAnsi" w:cstheme="minorHAnsi"/>
        </w:rPr>
        <w:t>Fatalities</w:t>
      </w:r>
      <w:bookmarkEnd w:id="69"/>
      <w:r w:rsidRPr="007A3506">
        <w:rPr>
          <w:rFonts w:asciiTheme="minorHAnsi" w:hAnsiTheme="minorHAnsi" w:cstheme="minorHAnsi"/>
        </w:rPr>
        <w:t xml:space="preserve"> </w:t>
      </w:r>
      <w:bookmarkEnd w:id="68"/>
    </w:p>
    <w:p w14:paraId="54E23117" w14:textId="05C318CB" w:rsidR="00086E60" w:rsidRPr="007A3506" w:rsidRDefault="00086E60" w:rsidP="00086E60">
      <w:pPr>
        <w:rPr>
          <w:rFonts w:cstheme="minorHAnsi"/>
        </w:rPr>
      </w:pPr>
      <w:r w:rsidRPr="007A3506">
        <w:rPr>
          <w:rFonts w:cstheme="minorHAnsi"/>
        </w:rPr>
        <w:t xml:space="preserve">Accredited </w:t>
      </w:r>
      <w:r w:rsidR="00973A52" w:rsidRPr="007A3506">
        <w:rPr>
          <w:rFonts w:cstheme="minorHAnsi"/>
        </w:rPr>
        <w:t>entities</w:t>
      </w:r>
      <w:r w:rsidRPr="007A3506">
        <w:rPr>
          <w:rFonts w:cstheme="minorHAnsi"/>
        </w:rPr>
        <w:t xml:space="preserve"> are required to report all work-related fatalities</w:t>
      </w:r>
      <w:r w:rsidR="00DC61E6" w:rsidRPr="007A3506">
        <w:rPr>
          <w:rFonts w:cstheme="minorHAnsi"/>
        </w:rPr>
        <w:t xml:space="preserve"> </w:t>
      </w:r>
      <w:r w:rsidRPr="007A3506">
        <w:rPr>
          <w:rFonts w:cstheme="minorHAnsi"/>
        </w:rPr>
        <w:t>immediately to the FSC. An Incident Report form must be submitted within 48 hours.</w:t>
      </w:r>
    </w:p>
    <w:p w14:paraId="44B60582" w14:textId="39A56F56" w:rsidR="00922FF2" w:rsidRPr="007A3506" w:rsidRDefault="00091064" w:rsidP="00EE6E5C">
      <w:pPr>
        <w:rPr>
          <w:rFonts w:cstheme="minorHAnsi"/>
        </w:rPr>
      </w:pPr>
      <w:r w:rsidRPr="007A3506">
        <w:rPr>
          <w:rFonts w:cstheme="minorHAnsi"/>
        </w:rPr>
        <w:t>As at 21 June 2023, three fatalities were reported to the FSC on Scheme project worksites. Preliminary SWA data for the same period shows there have been seven fatalities across the entire building and construction industry (inclusive of the three reported to the FSC)</w:t>
      </w:r>
      <w:r w:rsidR="00EE6E5C" w:rsidRPr="007A3506">
        <w:rPr>
          <w:rFonts w:cstheme="minorHAnsi"/>
        </w:rPr>
        <w:t>.</w:t>
      </w:r>
      <w:r w:rsidRPr="007A3506">
        <w:rPr>
          <w:rStyle w:val="FootnoteReference"/>
          <w:rFonts w:cstheme="minorHAnsi"/>
        </w:rPr>
        <w:footnoteReference w:id="23"/>
      </w:r>
      <w:r w:rsidR="00922FF2" w:rsidRPr="007A3506">
        <w:rPr>
          <w:rFonts w:cstheme="minorHAnsi"/>
        </w:rPr>
        <w:br w:type="page"/>
      </w:r>
    </w:p>
    <w:p w14:paraId="64F92034" w14:textId="651DFD2D" w:rsidR="008E5483" w:rsidRPr="007A3506" w:rsidRDefault="00B62693" w:rsidP="008E5483">
      <w:pPr>
        <w:pStyle w:val="Heading1"/>
        <w:rPr>
          <w:rFonts w:asciiTheme="minorHAnsi" w:hAnsiTheme="minorHAnsi" w:cstheme="minorHAnsi"/>
        </w:rPr>
      </w:pPr>
      <w:bookmarkStart w:id="70" w:name="_Toc139261453"/>
      <w:r w:rsidRPr="007A3506">
        <w:rPr>
          <w:rFonts w:asciiTheme="minorHAnsi" w:hAnsiTheme="minorHAnsi" w:cstheme="minorHAnsi"/>
          <w:noProof/>
        </w:rPr>
        <w:lastRenderedPageBreak/>
        <w:drawing>
          <wp:anchor distT="0" distB="0" distL="114300" distR="114300" simplePos="0" relativeHeight="251658248" behindDoc="1" locked="0" layoutInCell="1" allowOverlap="1" wp14:anchorId="421BDCA7" wp14:editId="19E6C944">
            <wp:simplePos x="0" y="0"/>
            <wp:positionH relativeFrom="page">
              <wp:posOffset>8890</wp:posOffset>
            </wp:positionH>
            <wp:positionV relativeFrom="page">
              <wp:posOffset>635</wp:posOffset>
            </wp:positionV>
            <wp:extent cx="7548244" cy="6843397"/>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05" name="Picture 17">
                      <a:extLst>
                        <a:ext uri="{C183D7F6-B498-43B3-948B-1728B52AA6E4}">
                          <adec:decorative xmlns:adec="http://schemas.microsoft.com/office/drawing/2017/decorative" val="1"/>
                        </a:ext>
                      </a:extLst>
                    </pic:cNvPr>
                    <pic:cNvPicPr/>
                  </pic:nvPicPr>
                  <pic:blipFill>
                    <a:blip r:embed="rId10">
                      <a:extLst>
                        <a:ext uri="{C183D7F6-B498-43B3-948B-1728B52AA6E4}">
                          <adec:decorative xmlns:arto="http://schemas.microsoft.com/office/word/2006/arto" xmlns:adec="http://schemas.microsoft.com/office/drawing/2017/decorative"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1"/>
                        </a:ext>
                      </a:extLst>
                    </a:blip>
                    <a:srcRect b="35900"/>
                    <a:stretch>
                      <a:fillRect/>
                    </a:stretch>
                  </pic:blipFill>
                  <pic:spPr>
                    <a:xfrm>
                      <a:off x="0" y="0"/>
                      <a:ext cx="7548244" cy="6843397"/>
                    </a:xfrm>
                    <a:prstGeom prst="rect">
                      <a:avLst/>
                    </a:prstGeom>
                  </pic:spPr>
                </pic:pic>
              </a:graphicData>
            </a:graphic>
            <wp14:sizeRelH relativeFrom="page">
              <wp14:pctWidth>0</wp14:pctWidth>
            </wp14:sizeRelH>
            <wp14:sizeRelV relativeFrom="page">
              <wp14:pctHeight>0</wp14:pctHeight>
            </wp14:sizeRelV>
          </wp:anchor>
        </w:drawing>
      </w:r>
      <w:r w:rsidR="008E5483" w:rsidRPr="007A3506">
        <w:rPr>
          <w:rFonts w:asciiTheme="minorHAnsi" w:hAnsiTheme="minorHAnsi" w:cstheme="minorHAnsi"/>
        </w:rPr>
        <w:t>3.</w:t>
      </w:r>
      <w:r w:rsidR="00CC6822" w:rsidRPr="007A3506">
        <w:rPr>
          <w:rFonts w:asciiTheme="minorHAnsi" w:hAnsiTheme="minorHAnsi" w:cstheme="minorHAnsi"/>
        </w:rPr>
        <w:t xml:space="preserve"> </w:t>
      </w:r>
      <w:r w:rsidR="008E5483" w:rsidRPr="007A3506">
        <w:rPr>
          <w:rFonts w:asciiTheme="minorHAnsi" w:hAnsiTheme="minorHAnsi" w:cstheme="minorHAnsi"/>
        </w:rPr>
        <w:t>Issues for Consideration</w:t>
      </w:r>
      <w:bookmarkEnd w:id="70"/>
    </w:p>
    <w:p w14:paraId="2BB83C30" w14:textId="3BD4B824" w:rsidR="00AE2A7E" w:rsidRPr="007A3506" w:rsidRDefault="008E5483" w:rsidP="008E5483">
      <w:pPr>
        <w:pStyle w:val="Heading2"/>
        <w:rPr>
          <w:rFonts w:asciiTheme="minorHAnsi" w:hAnsiTheme="minorHAnsi" w:cstheme="minorHAnsi"/>
        </w:rPr>
      </w:pPr>
      <w:bookmarkStart w:id="71" w:name="_Toc138428290"/>
      <w:bookmarkStart w:id="72" w:name="_Toc1982701289"/>
      <w:bookmarkStart w:id="73" w:name="_Toc139261454"/>
      <w:r w:rsidRPr="007A3506">
        <w:rPr>
          <w:rFonts w:asciiTheme="minorHAnsi" w:hAnsiTheme="minorHAnsi" w:cstheme="minorHAnsi"/>
        </w:rPr>
        <w:t>3.1</w:t>
      </w:r>
      <w:r w:rsidR="00CC6822" w:rsidRPr="007A3506">
        <w:rPr>
          <w:rFonts w:asciiTheme="minorHAnsi" w:hAnsiTheme="minorHAnsi" w:cstheme="minorHAnsi"/>
        </w:rPr>
        <w:t xml:space="preserve"> </w:t>
      </w:r>
      <w:r w:rsidRPr="007A3506">
        <w:rPr>
          <w:rFonts w:asciiTheme="minorHAnsi" w:hAnsiTheme="minorHAnsi" w:cstheme="minorHAnsi"/>
        </w:rPr>
        <w:t xml:space="preserve">Improving </w:t>
      </w:r>
      <w:r w:rsidR="00610D72" w:rsidRPr="007A3506">
        <w:rPr>
          <w:rFonts w:asciiTheme="minorHAnsi" w:hAnsiTheme="minorHAnsi" w:cstheme="minorHAnsi"/>
        </w:rPr>
        <w:t>W</w:t>
      </w:r>
      <w:r w:rsidRPr="007A3506">
        <w:rPr>
          <w:rFonts w:asciiTheme="minorHAnsi" w:hAnsiTheme="minorHAnsi" w:cstheme="minorHAnsi"/>
        </w:rPr>
        <w:t xml:space="preserve">ork </w:t>
      </w:r>
      <w:r w:rsidR="00610D72" w:rsidRPr="007A3506">
        <w:rPr>
          <w:rFonts w:asciiTheme="minorHAnsi" w:hAnsiTheme="minorHAnsi" w:cstheme="minorHAnsi"/>
        </w:rPr>
        <w:t>H</w:t>
      </w:r>
      <w:r w:rsidRPr="007A3506">
        <w:rPr>
          <w:rFonts w:asciiTheme="minorHAnsi" w:hAnsiTheme="minorHAnsi" w:cstheme="minorHAnsi"/>
        </w:rPr>
        <w:t xml:space="preserve">ealth and </w:t>
      </w:r>
      <w:r w:rsidR="00610D72" w:rsidRPr="007A3506">
        <w:rPr>
          <w:rFonts w:asciiTheme="minorHAnsi" w:hAnsiTheme="minorHAnsi" w:cstheme="minorHAnsi"/>
        </w:rPr>
        <w:t>S</w:t>
      </w:r>
      <w:r w:rsidRPr="007A3506">
        <w:rPr>
          <w:rFonts w:asciiTheme="minorHAnsi" w:hAnsiTheme="minorHAnsi" w:cstheme="minorHAnsi"/>
        </w:rPr>
        <w:t xml:space="preserve">afety </w:t>
      </w:r>
      <w:r w:rsidR="00610D72" w:rsidRPr="007A3506">
        <w:rPr>
          <w:rFonts w:asciiTheme="minorHAnsi" w:hAnsiTheme="minorHAnsi" w:cstheme="minorHAnsi"/>
        </w:rPr>
        <w:t>P</w:t>
      </w:r>
      <w:r w:rsidRPr="007A3506">
        <w:rPr>
          <w:rFonts w:asciiTheme="minorHAnsi" w:hAnsiTheme="minorHAnsi" w:cstheme="minorHAnsi"/>
        </w:rPr>
        <w:t>ractices</w:t>
      </w:r>
      <w:bookmarkEnd w:id="71"/>
      <w:bookmarkEnd w:id="72"/>
      <w:bookmarkEnd w:id="73"/>
    </w:p>
    <w:p w14:paraId="48CC8C76" w14:textId="5571BA4E" w:rsidR="00235E57" w:rsidRPr="007A3506" w:rsidRDefault="007A7258" w:rsidP="00247FBC">
      <w:pPr>
        <w:rPr>
          <w:rFonts w:cstheme="minorHAnsi"/>
        </w:rPr>
      </w:pPr>
      <w:r w:rsidRPr="007A3506">
        <w:rPr>
          <w:rFonts w:cstheme="minorHAnsi"/>
        </w:rPr>
        <w:t>Scheme d</w:t>
      </w:r>
      <w:r w:rsidR="00235E57" w:rsidRPr="007A3506">
        <w:rPr>
          <w:rFonts w:cstheme="minorHAnsi"/>
        </w:rPr>
        <w:t xml:space="preserve">ata suggests that </w:t>
      </w:r>
      <w:r w:rsidRPr="007A3506">
        <w:rPr>
          <w:rFonts w:cstheme="minorHAnsi"/>
        </w:rPr>
        <w:t>it</w:t>
      </w:r>
      <w:r w:rsidR="00235E57" w:rsidRPr="007A3506">
        <w:rPr>
          <w:rFonts w:cstheme="minorHAnsi"/>
        </w:rPr>
        <w:t xml:space="preserve"> is improving WHS </w:t>
      </w:r>
      <w:r w:rsidR="009F714F" w:rsidRPr="007A3506">
        <w:rPr>
          <w:rFonts w:cstheme="minorHAnsi"/>
        </w:rPr>
        <w:t xml:space="preserve">outcomes </w:t>
      </w:r>
      <w:r w:rsidR="00D30B70" w:rsidRPr="007A3506">
        <w:rPr>
          <w:rFonts w:cstheme="minorHAnsi"/>
        </w:rPr>
        <w:t>in accredited entities</w:t>
      </w:r>
      <w:r w:rsidR="00235E57" w:rsidRPr="007A3506">
        <w:rPr>
          <w:rFonts w:cstheme="minorHAnsi"/>
        </w:rPr>
        <w:t xml:space="preserve">. </w:t>
      </w:r>
      <w:r w:rsidR="00696EFB" w:rsidRPr="007A3506">
        <w:rPr>
          <w:rFonts w:cstheme="minorHAnsi"/>
        </w:rPr>
        <w:t>However, co</w:t>
      </w:r>
      <w:r w:rsidR="00D51143" w:rsidRPr="007A3506">
        <w:rPr>
          <w:rFonts w:cstheme="minorHAnsi"/>
        </w:rPr>
        <w:t>r</w:t>
      </w:r>
      <w:r w:rsidR="00696EFB" w:rsidRPr="007A3506">
        <w:rPr>
          <w:rFonts w:cstheme="minorHAnsi"/>
        </w:rPr>
        <w:t xml:space="preserve">relation does not necessarily mean causation and </w:t>
      </w:r>
      <w:r w:rsidRPr="007A3506">
        <w:rPr>
          <w:rFonts w:cstheme="minorHAnsi"/>
        </w:rPr>
        <w:t>it remains difficult</w:t>
      </w:r>
      <w:r w:rsidR="00696EFB" w:rsidRPr="007A3506">
        <w:rPr>
          <w:rFonts w:cstheme="minorHAnsi"/>
        </w:rPr>
        <w:t xml:space="preserve"> to prove </w:t>
      </w:r>
      <w:r w:rsidRPr="007A3506">
        <w:rPr>
          <w:rFonts w:cstheme="minorHAnsi"/>
        </w:rPr>
        <w:t>whether it</w:t>
      </w:r>
      <w:r w:rsidR="00696EFB" w:rsidRPr="007A3506">
        <w:rPr>
          <w:rFonts w:cstheme="minorHAnsi"/>
        </w:rPr>
        <w:t xml:space="preserve"> is the Scheme </w:t>
      </w:r>
      <w:r w:rsidR="009F714F" w:rsidRPr="007A3506">
        <w:rPr>
          <w:rFonts w:cstheme="minorHAnsi"/>
        </w:rPr>
        <w:t xml:space="preserve">or other factors </w:t>
      </w:r>
      <w:r w:rsidR="00696EFB" w:rsidRPr="007A3506">
        <w:rPr>
          <w:rFonts w:cstheme="minorHAnsi"/>
        </w:rPr>
        <w:t xml:space="preserve">that is producing </w:t>
      </w:r>
      <w:r w:rsidRPr="007A3506">
        <w:rPr>
          <w:rFonts w:cstheme="minorHAnsi"/>
        </w:rPr>
        <w:t>improvements</w:t>
      </w:r>
      <w:r w:rsidR="00696EFB" w:rsidRPr="007A3506">
        <w:rPr>
          <w:rFonts w:cstheme="minorHAnsi"/>
        </w:rPr>
        <w:t>.</w:t>
      </w:r>
      <w:r w:rsidRPr="007A3506">
        <w:rPr>
          <w:rFonts w:cstheme="minorHAnsi"/>
        </w:rPr>
        <w:t xml:space="preserve"> Workplace injury and incident data across </w:t>
      </w:r>
      <w:r w:rsidR="009F714F" w:rsidRPr="007A3506">
        <w:rPr>
          <w:rFonts w:cstheme="minorHAnsi"/>
        </w:rPr>
        <w:t>all i</w:t>
      </w:r>
      <w:r w:rsidRPr="007A3506">
        <w:rPr>
          <w:rFonts w:cstheme="minorHAnsi"/>
        </w:rPr>
        <w:t xml:space="preserve">ndustries suggests progress is slowing, including in the building and construction industry. </w:t>
      </w:r>
    </w:p>
    <w:p w14:paraId="50898A11" w14:textId="0E64AF69" w:rsidR="007A7258" w:rsidRPr="007A3506" w:rsidRDefault="007A7258" w:rsidP="00247FBC">
      <w:pPr>
        <w:rPr>
          <w:rFonts w:cstheme="minorHAnsi"/>
        </w:rPr>
      </w:pPr>
      <w:r w:rsidRPr="007A3506">
        <w:rPr>
          <w:rFonts w:cstheme="minorHAnsi"/>
        </w:rPr>
        <w:t xml:space="preserve">Safe Work Australia </w:t>
      </w:r>
      <w:r w:rsidR="008A0BEF" w:rsidRPr="007A3506">
        <w:rPr>
          <w:rFonts w:cstheme="minorHAnsi"/>
        </w:rPr>
        <w:t xml:space="preserve">collects different data to the </w:t>
      </w:r>
      <w:r w:rsidRPr="007A3506">
        <w:rPr>
          <w:rFonts w:cstheme="minorHAnsi"/>
        </w:rPr>
        <w:t xml:space="preserve">Scheme data </w:t>
      </w:r>
      <w:r w:rsidR="008A0BEF" w:rsidRPr="007A3506">
        <w:rPr>
          <w:rFonts w:cstheme="minorHAnsi"/>
        </w:rPr>
        <w:t>making</w:t>
      </w:r>
      <w:r w:rsidRPr="007A3506">
        <w:rPr>
          <w:rFonts w:cstheme="minorHAnsi"/>
        </w:rPr>
        <w:t xml:space="preserve"> </w:t>
      </w:r>
      <w:r w:rsidR="008A0BEF" w:rsidRPr="007A3506">
        <w:rPr>
          <w:rFonts w:cstheme="minorHAnsi"/>
        </w:rPr>
        <w:t>direct comparisons problematic.</w:t>
      </w:r>
      <w:r w:rsidR="00893078" w:rsidRPr="007A3506">
        <w:rPr>
          <w:rFonts w:cstheme="minorHAnsi"/>
        </w:rPr>
        <w:t xml:space="preserve"> </w:t>
      </w:r>
      <w:r w:rsidR="009F714F" w:rsidRPr="007A3506">
        <w:rPr>
          <w:rFonts w:cstheme="minorHAnsi"/>
        </w:rPr>
        <w:t xml:space="preserve">What is clear, </w:t>
      </w:r>
      <w:r w:rsidR="008A0BEF" w:rsidRPr="007A3506">
        <w:rPr>
          <w:rFonts w:cstheme="minorHAnsi"/>
        </w:rPr>
        <w:t xml:space="preserve">however, </w:t>
      </w:r>
      <w:r w:rsidR="009F714F" w:rsidRPr="007A3506">
        <w:rPr>
          <w:rFonts w:cstheme="minorHAnsi"/>
        </w:rPr>
        <w:t xml:space="preserve">is that </w:t>
      </w:r>
      <w:r w:rsidRPr="007A3506">
        <w:rPr>
          <w:rFonts w:cstheme="minorHAnsi"/>
        </w:rPr>
        <w:t xml:space="preserve">fatalities are still occurring on both Scheme and </w:t>
      </w:r>
      <w:r w:rsidR="00D32A4E">
        <w:rPr>
          <w:rFonts w:cstheme="minorHAnsi"/>
        </w:rPr>
        <w:t xml:space="preserve">          </w:t>
      </w:r>
      <w:r w:rsidRPr="007A3506">
        <w:rPr>
          <w:rFonts w:cstheme="minorHAnsi"/>
        </w:rPr>
        <w:t>non- Scheme building and construction sites.</w:t>
      </w:r>
    </w:p>
    <w:p w14:paraId="7011F4DC" w14:textId="6B19A4DD" w:rsidR="00696EFB" w:rsidRPr="007A3506" w:rsidRDefault="00696EFB" w:rsidP="00696EFB">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 1</w:t>
      </w:r>
    </w:p>
    <w:p w14:paraId="7BEB8C03" w14:textId="12E3D1D1" w:rsidR="00696EFB" w:rsidRPr="007A3506" w:rsidRDefault="00696EFB" w:rsidP="00B84F14">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What evidence is there</w:t>
      </w:r>
      <w:r w:rsidR="007A7258" w:rsidRPr="007A3506">
        <w:rPr>
          <w:rFonts w:cstheme="minorHAnsi"/>
        </w:rPr>
        <w:t xml:space="preserve"> to demonstrate </w:t>
      </w:r>
      <w:r w:rsidRPr="007A3506">
        <w:rPr>
          <w:rFonts w:cstheme="minorHAnsi"/>
        </w:rPr>
        <w:t xml:space="preserve">the Scheme has improved safety practices </w:t>
      </w:r>
      <w:r w:rsidR="00726861" w:rsidRPr="007A3506">
        <w:rPr>
          <w:rFonts w:cstheme="minorHAnsi"/>
        </w:rPr>
        <w:t>within accredited entities or</w:t>
      </w:r>
      <w:r w:rsidRPr="007A3506">
        <w:rPr>
          <w:rFonts w:cstheme="minorHAnsi"/>
        </w:rPr>
        <w:t xml:space="preserve"> across the building and construction industry</w:t>
      </w:r>
      <w:r w:rsidR="00726861" w:rsidRPr="007A3506">
        <w:rPr>
          <w:rFonts w:cstheme="minorHAnsi"/>
        </w:rPr>
        <w:t xml:space="preserve"> more broadly</w:t>
      </w:r>
      <w:r w:rsidRPr="007A3506">
        <w:rPr>
          <w:rFonts w:cstheme="minorHAnsi"/>
        </w:rPr>
        <w:t>?</w:t>
      </w:r>
      <w:r w:rsidR="00893078" w:rsidRPr="007A3506">
        <w:rPr>
          <w:rFonts w:cstheme="minorHAnsi"/>
        </w:rPr>
        <w:t xml:space="preserve"> </w:t>
      </w:r>
    </w:p>
    <w:p w14:paraId="04EDDBC0" w14:textId="229AB87E" w:rsidR="008A0BEF" w:rsidRPr="007A3506" w:rsidRDefault="00235E57" w:rsidP="008A0BEF">
      <w:pPr>
        <w:rPr>
          <w:rFonts w:cstheme="minorHAnsi"/>
        </w:rPr>
      </w:pPr>
      <w:r w:rsidRPr="007A3506">
        <w:rPr>
          <w:rFonts w:cstheme="minorHAnsi"/>
        </w:rPr>
        <w:t xml:space="preserve">Anecdotally </w:t>
      </w:r>
      <w:r w:rsidR="00696EFB" w:rsidRPr="007A3506">
        <w:rPr>
          <w:rFonts w:cstheme="minorHAnsi"/>
        </w:rPr>
        <w:t>I was told by most of</w:t>
      </w:r>
      <w:r w:rsidRPr="007A3506">
        <w:rPr>
          <w:rFonts w:cstheme="minorHAnsi"/>
        </w:rPr>
        <w:t xml:space="preserve"> those consulted during the preliminary consultation for this review</w:t>
      </w:r>
      <w:r w:rsidR="00696EFB" w:rsidRPr="007A3506">
        <w:rPr>
          <w:rFonts w:cstheme="minorHAnsi"/>
        </w:rPr>
        <w:t xml:space="preserve"> that the Scheme does make a </w:t>
      </w:r>
      <w:r w:rsidR="008A0BEF" w:rsidRPr="007A3506">
        <w:rPr>
          <w:rFonts w:cstheme="minorHAnsi"/>
        </w:rPr>
        <w:t xml:space="preserve">positive </w:t>
      </w:r>
      <w:r w:rsidR="00696EFB" w:rsidRPr="007A3506">
        <w:rPr>
          <w:rFonts w:cstheme="minorHAnsi"/>
        </w:rPr>
        <w:t>difference</w:t>
      </w:r>
      <w:r w:rsidR="008A0BEF" w:rsidRPr="007A3506">
        <w:rPr>
          <w:rFonts w:cstheme="minorHAnsi"/>
        </w:rPr>
        <w:t xml:space="preserve"> and ‘</w:t>
      </w:r>
      <w:r w:rsidR="008A0BEF" w:rsidRPr="007A3506">
        <w:rPr>
          <w:rFonts w:cstheme="minorHAnsi"/>
          <w:i/>
          <w:iCs/>
        </w:rPr>
        <w:t>you can tell an accredited site from a non-accredited site</w:t>
      </w:r>
      <w:r w:rsidR="008A0BEF" w:rsidRPr="007A3506">
        <w:rPr>
          <w:rFonts w:cstheme="minorHAnsi"/>
        </w:rPr>
        <w:t>’.</w:t>
      </w:r>
    </w:p>
    <w:p w14:paraId="1A43FA17" w14:textId="79E1559E" w:rsidR="00235E57" w:rsidRPr="007A3506" w:rsidRDefault="00235E57" w:rsidP="00235E57">
      <w:pPr>
        <w:pStyle w:val="Heading6"/>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091064" w:rsidRPr="007A3506">
        <w:rPr>
          <w:rFonts w:asciiTheme="minorHAnsi" w:hAnsiTheme="minorHAnsi" w:cstheme="minorHAnsi"/>
        </w:rPr>
        <w:t>2</w:t>
      </w:r>
    </w:p>
    <w:p w14:paraId="3CDDF4D6" w14:textId="43FE2C4A" w:rsidR="00235E57" w:rsidRPr="007A3506" w:rsidRDefault="00291072" w:rsidP="00235E57">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rPr>
      </w:pPr>
      <w:r w:rsidRPr="007A3506">
        <w:rPr>
          <w:rFonts w:cstheme="minorHAnsi"/>
        </w:rPr>
        <w:t>As a building industry participant</w:t>
      </w:r>
      <w:r w:rsidR="00091064" w:rsidRPr="007A3506">
        <w:rPr>
          <w:rFonts w:cstheme="minorHAnsi"/>
        </w:rPr>
        <w:t xml:space="preserve"> observing a worksite</w:t>
      </w:r>
      <w:r w:rsidR="002F0773" w:rsidRPr="007A3506">
        <w:rPr>
          <w:rFonts w:cstheme="minorHAnsi"/>
        </w:rPr>
        <w:t xml:space="preserve">, </w:t>
      </w:r>
      <w:r w:rsidR="00C451C6" w:rsidRPr="007A3506">
        <w:rPr>
          <w:rFonts w:cstheme="minorHAnsi"/>
        </w:rPr>
        <w:t>what are the signs, if any,</w:t>
      </w:r>
      <w:r w:rsidRPr="007A3506">
        <w:rPr>
          <w:rFonts w:cstheme="minorHAnsi"/>
        </w:rPr>
        <w:t xml:space="preserve"> </w:t>
      </w:r>
      <w:r w:rsidR="00CC2275" w:rsidRPr="007A3506">
        <w:rPr>
          <w:rFonts w:cstheme="minorHAnsi"/>
        </w:rPr>
        <w:t>that</w:t>
      </w:r>
      <w:r w:rsidRPr="007A3506">
        <w:rPr>
          <w:rFonts w:cstheme="minorHAnsi"/>
        </w:rPr>
        <w:t xml:space="preserve"> </w:t>
      </w:r>
      <w:r w:rsidR="0036381B" w:rsidRPr="007A3506">
        <w:rPr>
          <w:rFonts w:cstheme="minorHAnsi"/>
        </w:rPr>
        <w:t>it is</w:t>
      </w:r>
      <w:r w:rsidR="00CC2275" w:rsidRPr="007A3506">
        <w:rPr>
          <w:rFonts w:cstheme="minorHAnsi"/>
        </w:rPr>
        <w:t xml:space="preserve"> operated by an</w:t>
      </w:r>
      <w:r w:rsidRPr="007A3506">
        <w:rPr>
          <w:rFonts w:cstheme="minorHAnsi"/>
        </w:rPr>
        <w:t xml:space="preserve"> accredited </w:t>
      </w:r>
      <w:r w:rsidR="00CC2275" w:rsidRPr="007A3506">
        <w:rPr>
          <w:rFonts w:cstheme="minorHAnsi"/>
        </w:rPr>
        <w:t>entity</w:t>
      </w:r>
      <w:r w:rsidR="00235E57" w:rsidRPr="007A3506">
        <w:rPr>
          <w:rFonts w:cstheme="minorHAnsi"/>
        </w:rPr>
        <w:t>?</w:t>
      </w:r>
    </w:p>
    <w:p w14:paraId="371F32A5" w14:textId="34BCA200" w:rsidR="00235E57" w:rsidRPr="007A3506" w:rsidRDefault="00235E57" w:rsidP="00247FBC">
      <w:pPr>
        <w:rPr>
          <w:rFonts w:cstheme="minorHAnsi"/>
        </w:rPr>
      </w:pPr>
      <w:r w:rsidRPr="007A3506">
        <w:rPr>
          <w:rFonts w:cstheme="minorHAnsi"/>
        </w:rPr>
        <w:t>If</w:t>
      </w:r>
      <w:r w:rsidR="007A7258" w:rsidRPr="007A3506">
        <w:rPr>
          <w:rFonts w:cstheme="minorHAnsi"/>
        </w:rPr>
        <w:t xml:space="preserve"> </w:t>
      </w:r>
      <w:r w:rsidRPr="007A3506">
        <w:rPr>
          <w:rFonts w:cstheme="minorHAnsi"/>
        </w:rPr>
        <w:t>the Scheme is improving WHS practices across the building and construction industry, it begs the question – how?</w:t>
      </w:r>
      <w:r w:rsidR="004B7971" w:rsidRPr="007A3506">
        <w:rPr>
          <w:rFonts w:cstheme="minorHAnsi"/>
        </w:rPr>
        <w:t xml:space="preserve"> </w:t>
      </w:r>
    </w:p>
    <w:p w14:paraId="27F77FBF" w14:textId="33372436" w:rsidR="00235E57" w:rsidRPr="007A3506" w:rsidRDefault="00235E57" w:rsidP="00247FBC">
      <w:pPr>
        <w:rPr>
          <w:rFonts w:cstheme="minorHAnsi"/>
        </w:rPr>
      </w:pPr>
      <w:r w:rsidRPr="007A3506">
        <w:rPr>
          <w:rFonts w:cstheme="minorHAnsi"/>
        </w:rPr>
        <w:t>At various points in the preliminary consultation, I was advised that the Scheme requires a</w:t>
      </w:r>
      <w:r w:rsidR="009E15F1" w:rsidRPr="007A3506">
        <w:rPr>
          <w:rFonts w:cstheme="minorHAnsi"/>
        </w:rPr>
        <w:t>n entity</w:t>
      </w:r>
      <w:r w:rsidRPr="007A3506">
        <w:rPr>
          <w:rFonts w:cstheme="minorHAnsi"/>
        </w:rPr>
        <w:t xml:space="preserve"> to do ‘</w:t>
      </w:r>
      <w:r w:rsidRPr="007A3506">
        <w:rPr>
          <w:rFonts w:cstheme="minorHAnsi"/>
          <w:i/>
          <w:iCs/>
        </w:rPr>
        <w:t>extra</w:t>
      </w:r>
      <w:r w:rsidRPr="007A3506">
        <w:rPr>
          <w:rFonts w:cstheme="minorHAnsi"/>
        </w:rPr>
        <w:t>’ or implement WHS policies and procedures ‘</w:t>
      </w:r>
      <w:r w:rsidRPr="007A3506">
        <w:rPr>
          <w:rFonts w:cstheme="minorHAnsi"/>
          <w:i/>
          <w:iCs/>
        </w:rPr>
        <w:t>better</w:t>
      </w:r>
      <w:r w:rsidRPr="007A3506">
        <w:rPr>
          <w:rFonts w:cstheme="minorHAnsi"/>
        </w:rPr>
        <w:t>’ or ‘</w:t>
      </w:r>
      <w:r w:rsidRPr="007A3506">
        <w:rPr>
          <w:rFonts w:cstheme="minorHAnsi"/>
          <w:i/>
          <w:iCs/>
        </w:rPr>
        <w:t>to the highest possible standards</w:t>
      </w:r>
      <w:r w:rsidRPr="007A3506">
        <w:rPr>
          <w:rFonts w:cstheme="minorHAnsi"/>
        </w:rPr>
        <w:t>’ or to ‘</w:t>
      </w:r>
      <w:r w:rsidRPr="007A3506">
        <w:rPr>
          <w:rFonts w:cstheme="minorHAnsi"/>
          <w:i/>
          <w:iCs/>
        </w:rPr>
        <w:t>go beyond legal requirements</w:t>
      </w:r>
      <w:r w:rsidR="00FF56E0" w:rsidRPr="007A3506">
        <w:rPr>
          <w:rFonts w:cstheme="minorHAnsi"/>
          <w:i/>
          <w:iCs/>
        </w:rPr>
        <w:t>’</w:t>
      </w:r>
      <w:r w:rsidRPr="007A3506">
        <w:rPr>
          <w:rFonts w:cstheme="minorHAnsi"/>
        </w:rPr>
        <w:t>.</w:t>
      </w:r>
    </w:p>
    <w:p w14:paraId="19F6F177" w14:textId="5C2E5666" w:rsidR="00235E57" w:rsidRPr="007A3506" w:rsidRDefault="00235E57" w:rsidP="00235E57">
      <w:pPr>
        <w:pStyle w:val="Heading6"/>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36381B" w:rsidRPr="007A3506">
        <w:rPr>
          <w:rFonts w:asciiTheme="minorHAnsi" w:hAnsiTheme="minorHAnsi" w:cstheme="minorHAnsi"/>
        </w:rPr>
        <w:t>3</w:t>
      </w:r>
    </w:p>
    <w:p w14:paraId="319A1C27" w14:textId="113115FB" w:rsidR="00235E57" w:rsidRPr="007A3506" w:rsidRDefault="00794909" w:rsidP="00235E57">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rPr>
      </w:pPr>
      <w:r w:rsidRPr="007A3506">
        <w:rPr>
          <w:rFonts w:cstheme="minorHAnsi"/>
        </w:rPr>
        <w:t>What is the difference (if any) between the requirements of the Scheme and obligations under WHS and workers compensation (for those who are self-insured) legislation?</w:t>
      </w:r>
    </w:p>
    <w:p w14:paraId="5FEF7037" w14:textId="2A53844F" w:rsidR="00235E57" w:rsidRPr="007A3506" w:rsidRDefault="00235E57" w:rsidP="00247FBC">
      <w:pPr>
        <w:rPr>
          <w:rFonts w:cstheme="minorHAnsi"/>
        </w:rPr>
      </w:pPr>
      <w:r w:rsidRPr="007A3506">
        <w:rPr>
          <w:rFonts w:cstheme="minorHAnsi"/>
        </w:rPr>
        <w:t xml:space="preserve">In identifying where the keys to improvements across the industry might lie, participants in the preliminary consultation spoke about the collaborative approach of the FSC which is demonstrated most visibly by the fact that it keeps working with </w:t>
      </w:r>
      <w:r w:rsidR="00335F31" w:rsidRPr="007A3506">
        <w:rPr>
          <w:rFonts w:cstheme="minorHAnsi"/>
        </w:rPr>
        <w:t>entities</w:t>
      </w:r>
      <w:r w:rsidRPr="007A3506">
        <w:rPr>
          <w:rFonts w:cstheme="minorHAnsi"/>
        </w:rPr>
        <w:t xml:space="preserve"> ‘</w:t>
      </w:r>
      <w:r w:rsidRPr="007A3506">
        <w:rPr>
          <w:rFonts w:cstheme="minorHAnsi"/>
          <w:i/>
          <w:iCs/>
        </w:rPr>
        <w:t>until they get it right’</w:t>
      </w:r>
      <w:r w:rsidRPr="007A3506">
        <w:rPr>
          <w:rFonts w:cstheme="minorHAnsi"/>
        </w:rPr>
        <w:t>.</w:t>
      </w:r>
      <w:r w:rsidR="004B7971" w:rsidRPr="007A3506">
        <w:rPr>
          <w:rFonts w:cstheme="minorHAnsi"/>
        </w:rPr>
        <w:t xml:space="preserve"> </w:t>
      </w:r>
    </w:p>
    <w:p w14:paraId="164E9755" w14:textId="77777777" w:rsidR="008A5326" w:rsidRPr="007A3506" w:rsidRDefault="008A5326">
      <w:pPr>
        <w:spacing w:after="160" w:line="259" w:lineRule="auto"/>
        <w:rPr>
          <w:rFonts w:cstheme="minorHAnsi"/>
        </w:rPr>
      </w:pPr>
      <w:r w:rsidRPr="007A3506">
        <w:rPr>
          <w:rFonts w:cstheme="minorHAnsi"/>
        </w:rPr>
        <w:br w:type="page"/>
      </w:r>
    </w:p>
    <w:p w14:paraId="3FD6E7F5" w14:textId="0FADB6E8" w:rsidR="00235E57" w:rsidRPr="007A3506" w:rsidRDefault="00235E57" w:rsidP="00247FBC">
      <w:pPr>
        <w:rPr>
          <w:rFonts w:cstheme="minorHAnsi"/>
        </w:rPr>
      </w:pPr>
      <w:r w:rsidRPr="007A3506">
        <w:rPr>
          <w:rFonts w:cstheme="minorHAnsi"/>
        </w:rPr>
        <w:lastRenderedPageBreak/>
        <w:t xml:space="preserve">The promotion across the industry, in partnership with building and construction </w:t>
      </w:r>
      <w:r w:rsidR="00335F31" w:rsidRPr="007A3506">
        <w:rPr>
          <w:rFonts w:cstheme="minorHAnsi"/>
        </w:rPr>
        <w:t>entitie</w:t>
      </w:r>
      <w:r w:rsidRPr="007A3506">
        <w:rPr>
          <w:rFonts w:cstheme="minorHAnsi"/>
        </w:rPr>
        <w:t>s, of best practice approaches to managing specific hazards, was also highlighted as key to the Scheme’s success.</w:t>
      </w:r>
      <w:r w:rsidR="004B7971" w:rsidRPr="007A3506">
        <w:rPr>
          <w:rFonts w:cstheme="minorHAnsi"/>
        </w:rPr>
        <w:t xml:space="preserve"> </w:t>
      </w:r>
    </w:p>
    <w:p w14:paraId="1638E169" w14:textId="629926D3" w:rsidR="008A0BEF" w:rsidRPr="007A3506" w:rsidRDefault="008A0BEF" w:rsidP="008A0BEF">
      <w:pPr>
        <w:pStyle w:val="Heading6"/>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8D505A" w:rsidRPr="007A3506">
        <w:rPr>
          <w:rFonts w:asciiTheme="minorHAnsi" w:hAnsiTheme="minorHAnsi" w:cstheme="minorHAnsi"/>
        </w:rPr>
        <w:t>4</w:t>
      </w:r>
    </w:p>
    <w:p w14:paraId="1F2C31DE" w14:textId="1AD69245" w:rsidR="008A0BEF" w:rsidRPr="007A3506" w:rsidRDefault="008A0BEF" w:rsidP="008A0BEF">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If the Scheme no longer existed, </w:t>
      </w:r>
      <w:r w:rsidR="005113AE" w:rsidRPr="007A3506">
        <w:rPr>
          <w:rFonts w:cstheme="minorHAnsi"/>
        </w:rPr>
        <w:t xml:space="preserve">do you think the WHS performance standards of currently </w:t>
      </w:r>
      <w:r w:rsidRPr="007A3506">
        <w:rPr>
          <w:rFonts w:cstheme="minorHAnsi"/>
        </w:rPr>
        <w:t xml:space="preserve">accredited </w:t>
      </w:r>
      <w:r w:rsidR="00335F31" w:rsidRPr="007A3506">
        <w:rPr>
          <w:rFonts w:cstheme="minorHAnsi"/>
        </w:rPr>
        <w:t>entities</w:t>
      </w:r>
      <w:r w:rsidRPr="007A3506">
        <w:rPr>
          <w:rFonts w:cstheme="minorHAnsi"/>
        </w:rPr>
        <w:t xml:space="preserve"> </w:t>
      </w:r>
      <w:r w:rsidR="005113AE" w:rsidRPr="007A3506">
        <w:rPr>
          <w:rFonts w:cstheme="minorHAnsi"/>
        </w:rPr>
        <w:t xml:space="preserve">would remain the same, reduce or improve? </w:t>
      </w:r>
    </w:p>
    <w:p w14:paraId="01700192" w14:textId="77777777" w:rsidR="00E338DC" w:rsidRPr="007A3506" w:rsidRDefault="00E338DC" w:rsidP="00E338DC">
      <w:pPr>
        <w:rPr>
          <w:rFonts w:cstheme="minorHAnsi"/>
        </w:rPr>
      </w:pPr>
      <w:bookmarkStart w:id="74" w:name="_Toc138428291"/>
      <w:bookmarkStart w:id="75" w:name="_Toc264720335"/>
    </w:p>
    <w:p w14:paraId="734C004A" w14:textId="7E7C4BAC" w:rsidR="00E06C6F" w:rsidRPr="007A3506" w:rsidRDefault="00E06C6F" w:rsidP="00755C9B">
      <w:pPr>
        <w:pStyle w:val="Heading2"/>
        <w:rPr>
          <w:rFonts w:asciiTheme="minorHAnsi" w:hAnsiTheme="minorHAnsi" w:cstheme="minorHAnsi"/>
        </w:rPr>
      </w:pPr>
      <w:bookmarkStart w:id="76" w:name="_Toc139261455"/>
      <w:r w:rsidRPr="007A3506">
        <w:rPr>
          <w:rFonts w:asciiTheme="minorHAnsi" w:hAnsiTheme="minorHAnsi" w:cstheme="minorHAnsi"/>
        </w:rPr>
        <w:t>3.2</w:t>
      </w:r>
      <w:r w:rsidR="00CC6822" w:rsidRPr="007A3506">
        <w:rPr>
          <w:rFonts w:asciiTheme="minorHAnsi" w:hAnsiTheme="minorHAnsi" w:cstheme="minorHAnsi"/>
        </w:rPr>
        <w:t xml:space="preserve"> </w:t>
      </w:r>
      <w:r w:rsidRPr="007A3506">
        <w:rPr>
          <w:rFonts w:asciiTheme="minorHAnsi" w:hAnsiTheme="minorHAnsi" w:cstheme="minorHAnsi"/>
        </w:rPr>
        <w:t>Powers and functions</w:t>
      </w:r>
      <w:bookmarkEnd w:id="74"/>
      <w:bookmarkEnd w:id="75"/>
      <w:bookmarkEnd w:id="76"/>
      <w:r w:rsidRPr="007A3506">
        <w:rPr>
          <w:rFonts w:asciiTheme="minorHAnsi" w:hAnsiTheme="minorHAnsi" w:cstheme="minorHAnsi"/>
        </w:rPr>
        <w:t xml:space="preserve"> </w:t>
      </w:r>
    </w:p>
    <w:p w14:paraId="248B2AEB" w14:textId="283F6F0B" w:rsidR="00E06C6F" w:rsidRPr="007A3506" w:rsidRDefault="00E06C6F" w:rsidP="00755C9B">
      <w:pPr>
        <w:pStyle w:val="Heading3"/>
        <w:rPr>
          <w:rFonts w:asciiTheme="minorHAnsi" w:hAnsiTheme="minorHAnsi" w:cstheme="minorHAnsi"/>
        </w:rPr>
      </w:pPr>
      <w:bookmarkStart w:id="77" w:name="_Toc138428292"/>
      <w:bookmarkStart w:id="78" w:name="_Toc1091654308"/>
      <w:bookmarkStart w:id="79" w:name="_Toc139261456"/>
      <w:r w:rsidRPr="007A3506">
        <w:rPr>
          <w:rFonts w:asciiTheme="minorHAnsi" w:hAnsiTheme="minorHAnsi" w:cstheme="minorHAnsi"/>
        </w:rPr>
        <w:t>3.2.1</w:t>
      </w:r>
      <w:r w:rsidR="00CC6822" w:rsidRPr="007A3506">
        <w:rPr>
          <w:rFonts w:asciiTheme="minorHAnsi" w:hAnsiTheme="minorHAnsi" w:cstheme="minorHAnsi"/>
        </w:rPr>
        <w:t xml:space="preserve"> </w:t>
      </w:r>
      <w:r w:rsidRPr="007A3506">
        <w:rPr>
          <w:rFonts w:asciiTheme="minorHAnsi" w:hAnsiTheme="minorHAnsi" w:cstheme="minorHAnsi"/>
        </w:rPr>
        <w:t>Federal Safety Commissioner - Functions</w:t>
      </w:r>
      <w:bookmarkEnd w:id="77"/>
      <w:bookmarkEnd w:id="78"/>
      <w:bookmarkEnd w:id="79"/>
    </w:p>
    <w:p w14:paraId="6279BA3F" w14:textId="77777777" w:rsidR="00E06C6F" w:rsidRPr="007A3506" w:rsidRDefault="00E06C6F" w:rsidP="00054594">
      <w:pPr>
        <w:rPr>
          <w:rFonts w:cstheme="minorHAnsi"/>
        </w:rPr>
      </w:pPr>
      <w:r w:rsidRPr="007A3506">
        <w:rPr>
          <w:rFonts w:cstheme="minorHAnsi"/>
        </w:rPr>
        <w:t>The functions of the FSC are:</w:t>
      </w:r>
    </w:p>
    <w:p w14:paraId="38A0EC0B" w14:textId="788C85DB" w:rsidR="00E06C6F" w:rsidRPr="007A3506" w:rsidRDefault="00BB3072" w:rsidP="00054594">
      <w:pPr>
        <w:pStyle w:val="PURPLEBullet"/>
        <w:spacing w:after="200"/>
        <w:rPr>
          <w:rFonts w:cstheme="minorHAnsi"/>
        </w:rPr>
      </w:pPr>
      <w:r w:rsidRPr="007A3506">
        <w:rPr>
          <w:rFonts w:cstheme="minorHAnsi"/>
        </w:rPr>
        <w:t>P</w:t>
      </w:r>
      <w:r w:rsidR="00E06C6F" w:rsidRPr="007A3506">
        <w:rPr>
          <w:rFonts w:cstheme="minorHAnsi"/>
        </w:rPr>
        <w:t>romoting the object of the Act</w:t>
      </w:r>
      <w:r w:rsidR="00E06C6F" w:rsidRPr="007A3506">
        <w:rPr>
          <w:rStyle w:val="FootnoteReference"/>
          <w:rFonts w:cstheme="minorHAnsi"/>
        </w:rPr>
        <w:footnoteReference w:id="24"/>
      </w:r>
    </w:p>
    <w:p w14:paraId="108C3073" w14:textId="2D8D0D94" w:rsidR="00E06C6F" w:rsidRPr="007A3506" w:rsidRDefault="00BB3072" w:rsidP="00054594">
      <w:pPr>
        <w:pStyle w:val="PURPLEBullet"/>
        <w:spacing w:after="200"/>
        <w:rPr>
          <w:rFonts w:cstheme="minorHAnsi"/>
        </w:rPr>
      </w:pPr>
      <w:r w:rsidRPr="007A3506">
        <w:rPr>
          <w:rFonts w:cstheme="minorHAnsi"/>
        </w:rPr>
        <w:t>P</w:t>
      </w:r>
      <w:r w:rsidR="00E06C6F" w:rsidRPr="007A3506">
        <w:rPr>
          <w:rFonts w:cstheme="minorHAnsi"/>
        </w:rPr>
        <w:t>romoting WHS in relation to building work undertaken by a constitutional corporation, the Commonwealth or a Commonwealth entity</w:t>
      </w:r>
    </w:p>
    <w:p w14:paraId="6D2B6612" w14:textId="720BDAD8" w:rsidR="00E06C6F" w:rsidRPr="007A3506" w:rsidRDefault="00BB3072" w:rsidP="00054594">
      <w:pPr>
        <w:pStyle w:val="PURPLEBullet"/>
        <w:spacing w:after="200"/>
        <w:rPr>
          <w:rFonts w:cstheme="minorHAnsi"/>
        </w:rPr>
      </w:pPr>
      <w:r w:rsidRPr="007A3506">
        <w:rPr>
          <w:rFonts w:cstheme="minorHAnsi"/>
        </w:rPr>
        <w:t>P</w:t>
      </w:r>
      <w:r w:rsidR="00E06C6F" w:rsidRPr="007A3506">
        <w:rPr>
          <w:rFonts w:cstheme="minorHAnsi"/>
        </w:rPr>
        <w:t>erforming functions as the accreditation authority for the purposes of the Scheme</w:t>
      </w:r>
    </w:p>
    <w:p w14:paraId="34F7A684" w14:textId="5BF88D06" w:rsidR="00E06C6F" w:rsidRPr="007A3506" w:rsidRDefault="00BB3072" w:rsidP="00054594">
      <w:pPr>
        <w:pStyle w:val="PURPLEBullet"/>
        <w:spacing w:after="200"/>
        <w:rPr>
          <w:rFonts w:cstheme="minorHAnsi"/>
        </w:rPr>
      </w:pPr>
      <w:r w:rsidRPr="007A3506">
        <w:rPr>
          <w:rFonts w:cstheme="minorHAnsi"/>
        </w:rPr>
        <w:t>P</w:t>
      </w:r>
      <w:r w:rsidR="00E06C6F" w:rsidRPr="007A3506">
        <w:rPr>
          <w:rFonts w:cstheme="minorHAnsi"/>
        </w:rPr>
        <w:t>romoting the benefits of the Scheme and disseminating information about it</w:t>
      </w:r>
    </w:p>
    <w:p w14:paraId="1BBBF809" w14:textId="47E38896" w:rsidR="00E06C6F" w:rsidRPr="007A3506" w:rsidRDefault="00BB3072" w:rsidP="00054594">
      <w:pPr>
        <w:pStyle w:val="PURPLEBullet"/>
        <w:spacing w:after="200"/>
        <w:rPr>
          <w:rFonts w:cstheme="minorHAnsi"/>
        </w:rPr>
      </w:pPr>
      <w:r w:rsidRPr="007A3506">
        <w:rPr>
          <w:rFonts w:cstheme="minorHAnsi"/>
        </w:rPr>
        <w:t>A</w:t>
      </w:r>
      <w:r w:rsidR="00E06C6F" w:rsidRPr="007A3506">
        <w:rPr>
          <w:rFonts w:cstheme="minorHAnsi"/>
        </w:rPr>
        <w:t>uditing compliance with NCC performance requirements in relation to building materials</w:t>
      </w:r>
    </w:p>
    <w:p w14:paraId="15274232" w14:textId="5606BBAD" w:rsidR="00E06C6F" w:rsidRPr="007A3506" w:rsidRDefault="00BB3072" w:rsidP="00054594">
      <w:pPr>
        <w:pStyle w:val="PURPLEBullet"/>
        <w:spacing w:after="200"/>
        <w:rPr>
          <w:rFonts w:cstheme="minorHAnsi"/>
        </w:rPr>
      </w:pPr>
      <w:r w:rsidRPr="007A3506">
        <w:rPr>
          <w:rFonts w:cstheme="minorHAnsi"/>
        </w:rPr>
        <w:t>R</w:t>
      </w:r>
      <w:r w:rsidR="00E06C6F" w:rsidRPr="007A3506">
        <w:rPr>
          <w:rFonts w:cstheme="minorHAnsi"/>
        </w:rPr>
        <w:t>eferring matters to other relevant agencies and bodie</w:t>
      </w:r>
      <w:r w:rsidRPr="007A3506">
        <w:rPr>
          <w:rFonts w:cstheme="minorHAnsi"/>
        </w:rPr>
        <w:t>s</w:t>
      </w:r>
    </w:p>
    <w:p w14:paraId="0C74D07D" w14:textId="6967FAF2" w:rsidR="00722A3A" w:rsidRPr="007A3506" w:rsidRDefault="00BB3072" w:rsidP="00054594">
      <w:pPr>
        <w:pStyle w:val="PURPLEBullet"/>
        <w:spacing w:after="200"/>
        <w:rPr>
          <w:rFonts w:cstheme="minorHAnsi"/>
        </w:rPr>
      </w:pPr>
      <w:r w:rsidRPr="007A3506">
        <w:rPr>
          <w:rFonts w:cstheme="minorHAnsi"/>
        </w:rPr>
        <w:t>A</w:t>
      </w:r>
      <w:r w:rsidR="00E06C6F" w:rsidRPr="007A3506">
        <w:rPr>
          <w:rFonts w:cstheme="minorHAnsi"/>
        </w:rPr>
        <w:t>ny other functions conferred on the FSC by the Act or another Act</w:t>
      </w:r>
      <w:r w:rsidR="00E06C6F" w:rsidRPr="007A3506">
        <w:rPr>
          <w:rStyle w:val="FootnoteReference"/>
          <w:rFonts w:cstheme="minorHAnsi"/>
        </w:rPr>
        <w:footnoteReference w:id="25"/>
      </w:r>
      <w:r w:rsidR="00CF102B">
        <w:rPr>
          <w:rFonts w:cstheme="minorHAnsi"/>
        </w:rPr>
        <w:t>.</w:t>
      </w:r>
    </w:p>
    <w:p w14:paraId="223A4B05" w14:textId="39BC6B80" w:rsidR="00E06C6F" w:rsidRPr="007A3506" w:rsidRDefault="00E06C6F" w:rsidP="00054594">
      <w:pPr>
        <w:rPr>
          <w:rFonts w:cstheme="minorHAnsi"/>
        </w:rPr>
      </w:pPr>
      <w:r w:rsidRPr="007A3506">
        <w:rPr>
          <w:rFonts w:cstheme="minorHAnsi"/>
        </w:rPr>
        <w:t xml:space="preserve">The FSC’s functions (apart from the NCC compliance function) remain consistent with the recommendations made in 2003 by the Royal Commission and have remained relatively unchanged since its establishment in 2005. </w:t>
      </w:r>
    </w:p>
    <w:p w14:paraId="4F63F40F" w14:textId="14404125" w:rsidR="00E06C6F" w:rsidRPr="007A3506" w:rsidRDefault="00E06C6F" w:rsidP="00054594">
      <w:pPr>
        <w:rPr>
          <w:rFonts w:cstheme="minorHAnsi"/>
        </w:rPr>
      </w:pPr>
      <w:r w:rsidRPr="007A3506">
        <w:rPr>
          <w:rFonts w:cstheme="minorHAnsi"/>
        </w:rPr>
        <w:t>Since the FSC’s establishment the WHS legislative environment within which it operates has changed dramatically.</w:t>
      </w:r>
      <w:r w:rsidR="004B7971" w:rsidRPr="007A3506">
        <w:rPr>
          <w:rFonts w:cstheme="minorHAnsi"/>
        </w:rPr>
        <w:t xml:space="preserve"> </w:t>
      </w:r>
      <w:r w:rsidRPr="007A3506">
        <w:rPr>
          <w:rFonts w:cstheme="minorHAnsi"/>
        </w:rPr>
        <w:t>All jurisdictions except Victoria have implemented their versions of the model WHS laws with the objective of providing ‘</w:t>
      </w:r>
      <w:r w:rsidRPr="007A3506">
        <w:rPr>
          <w:rFonts w:cstheme="minorHAnsi"/>
          <w:i/>
          <w:iCs/>
        </w:rPr>
        <w:t>for a balanced and nationally consistent framework to secure the health and safety of workplaces</w:t>
      </w:r>
      <w:r w:rsidRPr="007A3506">
        <w:rPr>
          <w:rFonts w:cstheme="minorHAnsi"/>
        </w:rPr>
        <w:t>’</w:t>
      </w:r>
      <w:r w:rsidR="00F16BFC" w:rsidRPr="007A3506">
        <w:rPr>
          <w:rFonts w:cstheme="minorHAnsi"/>
        </w:rPr>
        <w:t>.</w:t>
      </w:r>
      <w:r w:rsidRPr="007A3506">
        <w:rPr>
          <w:rStyle w:val="FootnoteReference"/>
          <w:rFonts w:cstheme="minorHAnsi"/>
        </w:rPr>
        <w:footnoteReference w:id="26"/>
      </w:r>
    </w:p>
    <w:p w14:paraId="036173A5" w14:textId="33AC69FE" w:rsidR="00143A27" w:rsidRPr="007A3506" w:rsidRDefault="00143A27" w:rsidP="00054594">
      <w:pPr>
        <w:rPr>
          <w:rFonts w:cstheme="minorHAnsi"/>
        </w:rPr>
      </w:pPr>
      <w:r w:rsidRPr="007A3506">
        <w:rPr>
          <w:rFonts w:cstheme="minorHAnsi"/>
        </w:rPr>
        <w:t>The model WHS laws recognise the value of worker participation and representation in improving health and safety at the workplace.</w:t>
      </w:r>
      <w:r w:rsidR="00893078" w:rsidRPr="007A3506">
        <w:rPr>
          <w:rFonts w:cstheme="minorHAnsi"/>
        </w:rPr>
        <w:t xml:space="preserve"> </w:t>
      </w:r>
      <w:r w:rsidRPr="007A3506">
        <w:rPr>
          <w:rFonts w:cstheme="minorHAnsi"/>
        </w:rPr>
        <w:t>Processes and procedures in the laws aim to support genuine and effective consultation with workers.</w:t>
      </w:r>
      <w:r w:rsidR="00893078" w:rsidRPr="007A3506">
        <w:rPr>
          <w:rFonts w:cstheme="minorHAnsi"/>
        </w:rPr>
        <w:t xml:space="preserve"> </w:t>
      </w:r>
    </w:p>
    <w:p w14:paraId="482862C0" w14:textId="30650C7C" w:rsidR="00AE2A83" w:rsidRPr="007A3506" w:rsidRDefault="00AE2A83" w:rsidP="00054594">
      <w:pPr>
        <w:rPr>
          <w:rFonts w:cstheme="minorHAnsi"/>
        </w:rPr>
      </w:pPr>
      <w:r w:rsidRPr="007A3506">
        <w:rPr>
          <w:rFonts w:cstheme="minorHAnsi"/>
        </w:rPr>
        <w:t>To date, the FSC has directed its resources primarily to the functions of auditing accredited entities and those seeking accreditation</w:t>
      </w:r>
      <w:r w:rsidR="00262C18" w:rsidRPr="007A3506">
        <w:rPr>
          <w:rFonts w:cstheme="minorHAnsi"/>
        </w:rPr>
        <w:t>.</w:t>
      </w:r>
      <w:r w:rsidR="00893078" w:rsidRPr="007A3506">
        <w:rPr>
          <w:rFonts w:cstheme="minorHAnsi"/>
        </w:rPr>
        <w:t xml:space="preserve"> </w:t>
      </w:r>
      <w:r w:rsidR="00262C18" w:rsidRPr="007A3506">
        <w:rPr>
          <w:rFonts w:cstheme="minorHAnsi"/>
        </w:rPr>
        <w:t>More recently it has implemented an</w:t>
      </w:r>
      <w:r w:rsidRPr="007A3506">
        <w:rPr>
          <w:rFonts w:cstheme="minorHAnsi"/>
        </w:rPr>
        <w:t xml:space="preserve"> education </w:t>
      </w:r>
      <w:r w:rsidR="00262C18" w:rsidRPr="007A3506">
        <w:rPr>
          <w:rFonts w:cstheme="minorHAnsi"/>
        </w:rPr>
        <w:t>program and delivered s</w:t>
      </w:r>
      <w:r w:rsidRPr="007A3506">
        <w:rPr>
          <w:rFonts w:cstheme="minorHAnsi"/>
        </w:rPr>
        <w:t xml:space="preserve">eminars </w:t>
      </w:r>
      <w:r w:rsidR="00262C18" w:rsidRPr="007A3506">
        <w:rPr>
          <w:rFonts w:cstheme="minorHAnsi"/>
        </w:rPr>
        <w:t xml:space="preserve">on key hazards and trends emerging from audits </w:t>
      </w:r>
      <w:r w:rsidRPr="007A3506">
        <w:rPr>
          <w:rFonts w:cstheme="minorHAnsi"/>
        </w:rPr>
        <w:t xml:space="preserve">(open to all accredited </w:t>
      </w:r>
      <w:r w:rsidR="00335F31" w:rsidRPr="007A3506">
        <w:rPr>
          <w:rFonts w:cstheme="minorHAnsi"/>
        </w:rPr>
        <w:t>entitie</w:t>
      </w:r>
      <w:r w:rsidRPr="007A3506">
        <w:rPr>
          <w:rFonts w:cstheme="minorHAnsi"/>
        </w:rPr>
        <w:t>s).</w:t>
      </w:r>
      <w:r w:rsidR="00893078" w:rsidRPr="007A3506">
        <w:rPr>
          <w:rFonts w:cstheme="minorHAnsi"/>
        </w:rPr>
        <w:t xml:space="preserve"> </w:t>
      </w:r>
      <w:r w:rsidR="00262C18" w:rsidRPr="007A3506">
        <w:rPr>
          <w:rFonts w:cstheme="minorHAnsi"/>
        </w:rPr>
        <w:lastRenderedPageBreak/>
        <w:t>It also facilitates a regular</w:t>
      </w:r>
      <w:r w:rsidRPr="007A3506">
        <w:rPr>
          <w:rFonts w:cstheme="minorHAnsi"/>
        </w:rPr>
        <w:t xml:space="preserve"> industry forum (comprising of accredited </w:t>
      </w:r>
      <w:r w:rsidR="00335F31" w:rsidRPr="007A3506">
        <w:rPr>
          <w:rFonts w:cstheme="minorHAnsi"/>
        </w:rPr>
        <w:t>entity</w:t>
      </w:r>
      <w:r w:rsidRPr="007A3506">
        <w:rPr>
          <w:rFonts w:cstheme="minorHAnsi"/>
        </w:rPr>
        <w:t xml:space="preserve"> representatives).</w:t>
      </w:r>
      <w:r w:rsidR="00893078" w:rsidRPr="007A3506">
        <w:rPr>
          <w:rFonts w:cstheme="minorHAnsi"/>
        </w:rPr>
        <w:t xml:space="preserve"> </w:t>
      </w:r>
      <w:r w:rsidR="009F714F" w:rsidRPr="007A3506">
        <w:rPr>
          <w:rFonts w:cstheme="minorHAnsi"/>
        </w:rPr>
        <w:t>This review provides the opportunity to assess whether the FSC has the balance right in terms of putting its resources into auditing, compliance and education.</w:t>
      </w:r>
      <w:r w:rsidR="00893078" w:rsidRPr="007A3506">
        <w:rPr>
          <w:rFonts w:cstheme="minorHAnsi"/>
        </w:rPr>
        <w:t xml:space="preserve"> </w:t>
      </w:r>
      <w:r w:rsidR="009F714F" w:rsidRPr="007A3506">
        <w:rPr>
          <w:rFonts w:cstheme="minorHAnsi"/>
        </w:rPr>
        <w:t xml:space="preserve">It also provides </w:t>
      </w:r>
      <w:r w:rsidRPr="007A3506">
        <w:rPr>
          <w:rFonts w:cstheme="minorHAnsi"/>
        </w:rPr>
        <w:t xml:space="preserve">opportunities to </w:t>
      </w:r>
      <w:r w:rsidR="00262C18" w:rsidRPr="007A3506">
        <w:rPr>
          <w:rFonts w:cstheme="minorHAnsi"/>
        </w:rPr>
        <w:t xml:space="preserve">revisit the functions in the context of enhancing </w:t>
      </w:r>
      <w:r w:rsidR="009F714F" w:rsidRPr="007A3506">
        <w:rPr>
          <w:rFonts w:cstheme="minorHAnsi"/>
        </w:rPr>
        <w:t>t</w:t>
      </w:r>
      <w:r w:rsidRPr="007A3506">
        <w:rPr>
          <w:rFonts w:cstheme="minorHAnsi"/>
        </w:rPr>
        <w:t xml:space="preserve">he </w:t>
      </w:r>
      <w:r w:rsidR="00262C18" w:rsidRPr="007A3506">
        <w:rPr>
          <w:rFonts w:cstheme="minorHAnsi"/>
        </w:rPr>
        <w:t xml:space="preserve">tripartite approach to improving WHS enshrined in the model </w:t>
      </w:r>
      <w:r w:rsidR="002B573E" w:rsidRPr="007A3506">
        <w:rPr>
          <w:rFonts w:cstheme="minorHAnsi"/>
        </w:rPr>
        <w:t>l</w:t>
      </w:r>
      <w:r w:rsidR="00262C18" w:rsidRPr="007A3506">
        <w:rPr>
          <w:rFonts w:cstheme="minorHAnsi"/>
        </w:rPr>
        <w:t>aws.</w:t>
      </w:r>
      <w:r w:rsidR="00893078" w:rsidRPr="007A3506">
        <w:rPr>
          <w:rFonts w:cstheme="minorHAnsi"/>
        </w:rPr>
        <w:t xml:space="preserve"> </w:t>
      </w:r>
    </w:p>
    <w:p w14:paraId="5ADA4392" w14:textId="321AC6E3" w:rsidR="001663D9" w:rsidRPr="007A3506" w:rsidRDefault="001663D9" w:rsidP="001663D9">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w:t>
      </w:r>
      <w:r w:rsidR="00937266" w:rsidRPr="007A3506">
        <w:rPr>
          <w:rFonts w:asciiTheme="minorHAnsi" w:hAnsiTheme="minorHAnsi" w:cstheme="minorHAnsi"/>
        </w:rPr>
        <w:t xml:space="preserve"> </w:t>
      </w:r>
      <w:r w:rsidR="00A527A4" w:rsidRPr="007A3506">
        <w:rPr>
          <w:rFonts w:asciiTheme="minorHAnsi" w:hAnsiTheme="minorHAnsi" w:cstheme="minorHAnsi"/>
        </w:rPr>
        <w:t>5</w:t>
      </w:r>
    </w:p>
    <w:p w14:paraId="025F1182" w14:textId="57A77E55" w:rsidR="001663D9" w:rsidRPr="007A3506" w:rsidRDefault="001663D9" w:rsidP="001663D9">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w:t>
      </w:r>
      <w:r w:rsidR="00B060CF" w:rsidRPr="007A3506">
        <w:rPr>
          <w:rFonts w:cstheme="minorHAnsi"/>
        </w:rPr>
        <w:t xml:space="preserve"> the functions of the FSC remain appropriate given the changes that have occurred in the WHS environment </w:t>
      </w:r>
      <w:r w:rsidR="00F31728" w:rsidRPr="007A3506">
        <w:rPr>
          <w:rFonts w:cstheme="minorHAnsi"/>
        </w:rPr>
        <w:t xml:space="preserve">and operating context of the building and construction industry </w:t>
      </w:r>
      <w:r w:rsidR="00B060CF" w:rsidRPr="007A3506">
        <w:rPr>
          <w:rFonts w:cstheme="minorHAnsi"/>
        </w:rPr>
        <w:t>since its establishment?</w:t>
      </w:r>
    </w:p>
    <w:p w14:paraId="7973A548" w14:textId="3E70574C" w:rsidR="00E87981" w:rsidRPr="007A3506" w:rsidRDefault="00E87981" w:rsidP="00E87981">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F31728" w:rsidRPr="007A3506">
        <w:rPr>
          <w:rFonts w:asciiTheme="minorHAnsi" w:hAnsiTheme="minorHAnsi" w:cstheme="minorHAnsi"/>
        </w:rPr>
        <w:t>6</w:t>
      </w:r>
    </w:p>
    <w:p w14:paraId="5A98C2A0" w14:textId="5678C197" w:rsidR="004C487A" w:rsidRPr="007A3506" w:rsidRDefault="00E87981" w:rsidP="004C487A">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How can the FSC</w:t>
      </w:r>
      <w:r w:rsidR="00277550" w:rsidRPr="007A3506">
        <w:rPr>
          <w:rFonts w:cstheme="minorHAnsi"/>
        </w:rPr>
        <w:t xml:space="preserve">‘s </w:t>
      </w:r>
      <w:r w:rsidR="00E7137B" w:rsidRPr="007A3506">
        <w:rPr>
          <w:rFonts w:cstheme="minorHAnsi"/>
        </w:rPr>
        <w:t xml:space="preserve">audit </w:t>
      </w:r>
      <w:r w:rsidR="00277550" w:rsidRPr="007A3506">
        <w:rPr>
          <w:rFonts w:cstheme="minorHAnsi"/>
        </w:rPr>
        <w:t xml:space="preserve">functions </w:t>
      </w:r>
      <w:r w:rsidRPr="007A3506">
        <w:rPr>
          <w:rFonts w:cstheme="minorHAnsi"/>
        </w:rPr>
        <w:t>support the model WHS</w:t>
      </w:r>
      <w:r w:rsidR="00046E3A" w:rsidRPr="007A3506">
        <w:rPr>
          <w:rFonts w:cstheme="minorHAnsi"/>
        </w:rPr>
        <w:t xml:space="preserve"> Act’s </w:t>
      </w:r>
      <w:r w:rsidR="00D13C2A" w:rsidRPr="007A3506">
        <w:rPr>
          <w:rFonts w:cstheme="minorHAnsi"/>
        </w:rPr>
        <w:t xml:space="preserve">policy </w:t>
      </w:r>
      <w:r w:rsidR="00260C11" w:rsidRPr="007A3506">
        <w:rPr>
          <w:rFonts w:cstheme="minorHAnsi"/>
        </w:rPr>
        <w:t>objective</w:t>
      </w:r>
      <w:r w:rsidR="00277550" w:rsidRPr="007A3506">
        <w:rPr>
          <w:rFonts w:cstheme="minorHAnsi"/>
        </w:rPr>
        <w:t xml:space="preserve"> of ensuring </w:t>
      </w:r>
      <w:r w:rsidRPr="007A3506">
        <w:rPr>
          <w:rFonts w:cstheme="minorHAnsi"/>
        </w:rPr>
        <w:t>genuine and effective consultation with workers</w:t>
      </w:r>
      <w:r w:rsidR="00E77A92" w:rsidRPr="007A3506">
        <w:rPr>
          <w:rFonts w:cstheme="minorHAnsi"/>
        </w:rPr>
        <w:t>?</w:t>
      </w:r>
    </w:p>
    <w:p w14:paraId="153FD4D1" w14:textId="28157791" w:rsidR="0037228B" w:rsidRPr="007A3506" w:rsidRDefault="0037228B" w:rsidP="0037228B">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F31728" w:rsidRPr="007A3506">
        <w:rPr>
          <w:rFonts w:asciiTheme="minorHAnsi" w:hAnsiTheme="minorHAnsi" w:cstheme="minorHAnsi"/>
        </w:rPr>
        <w:t>7</w:t>
      </w:r>
    </w:p>
    <w:p w14:paraId="42259776" w14:textId="5527BB2F" w:rsidR="0037228B" w:rsidRPr="007A3506" w:rsidRDefault="0037228B" w:rsidP="00F3172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Should the FSC be increasing its education role</w:t>
      </w:r>
      <w:r w:rsidR="00E7137B" w:rsidRPr="007A3506">
        <w:rPr>
          <w:rFonts w:cstheme="minorHAnsi"/>
        </w:rPr>
        <w:t xml:space="preserve"> and what would that look like in practice?</w:t>
      </w:r>
    </w:p>
    <w:p w14:paraId="4CD40AAD" w14:textId="77777777" w:rsidR="002B573E" w:rsidRPr="007A3506" w:rsidRDefault="002B573E" w:rsidP="002B573E">
      <w:pPr>
        <w:rPr>
          <w:rFonts w:cstheme="minorHAnsi"/>
        </w:rPr>
      </w:pPr>
      <w:r w:rsidRPr="007A3506">
        <w:rPr>
          <w:rFonts w:cstheme="minorHAnsi"/>
        </w:rPr>
        <w:t>It is usual for any organisation, agency or statutory role operating in the workplace relations, industrial relations and work health and safety space to ensure that there is a tripartite approach and that the representatives of both employers and workers play an active role and at the minimum are consulted. This approach is consistent with ILO treaties of which the CW is a signatory. It is also consistent with the principles underpinning WHS legislation in Australia, which operate on the basis that anyone who can play a role in ensuring workplace safety should be encouraged and facilitated to play that role.</w:t>
      </w:r>
    </w:p>
    <w:p w14:paraId="5B743ED1" w14:textId="26B9C991" w:rsidR="002B573E" w:rsidRPr="007A3506" w:rsidRDefault="002B573E" w:rsidP="002B573E">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bookmarkStart w:id="80" w:name="_Question_8"/>
      <w:bookmarkEnd w:id="80"/>
      <w:r w:rsidRPr="007A3506">
        <w:rPr>
          <w:rFonts w:asciiTheme="minorHAnsi" w:hAnsiTheme="minorHAnsi" w:cstheme="minorHAnsi"/>
        </w:rPr>
        <w:t xml:space="preserve">Question </w:t>
      </w:r>
      <w:r w:rsidR="00F31728" w:rsidRPr="007A3506">
        <w:rPr>
          <w:rFonts w:asciiTheme="minorHAnsi" w:hAnsiTheme="minorHAnsi" w:cstheme="minorHAnsi"/>
        </w:rPr>
        <w:t>8</w:t>
      </w:r>
    </w:p>
    <w:p w14:paraId="159AC087" w14:textId="77777777" w:rsidR="002B573E" w:rsidRPr="007A3506" w:rsidRDefault="002B573E" w:rsidP="002B573E">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How can workers and their representatives be encouraged and supported to play an active role in the work of the FSC?</w:t>
      </w:r>
    </w:p>
    <w:p w14:paraId="1D6C72E8" w14:textId="77777777" w:rsidR="009B584F" w:rsidRPr="007A3506" w:rsidRDefault="009B584F" w:rsidP="00147013">
      <w:pPr>
        <w:pStyle w:val="paragraph"/>
        <w:spacing w:before="0" w:beforeAutospacing="0" w:after="0" w:afterAutospacing="0"/>
        <w:textAlignment w:val="baseline"/>
        <w:rPr>
          <w:rStyle w:val="normaltextrun"/>
          <w:rFonts w:asciiTheme="minorHAnsi" w:hAnsiTheme="minorHAnsi" w:cstheme="minorHAnsi"/>
          <w:sz w:val="22"/>
          <w:szCs w:val="22"/>
        </w:rPr>
      </w:pPr>
    </w:p>
    <w:p w14:paraId="58551CBB" w14:textId="693FB877" w:rsidR="00147013" w:rsidRPr="007A3506" w:rsidRDefault="00147013" w:rsidP="00054594">
      <w:pPr>
        <w:pStyle w:val="paragraph"/>
        <w:spacing w:before="0" w:beforeAutospacing="0" w:after="200" w:afterAutospacing="0"/>
        <w:textAlignment w:val="baseline"/>
        <w:rPr>
          <w:rFonts w:asciiTheme="minorHAnsi" w:hAnsiTheme="minorHAnsi" w:cstheme="minorHAnsi"/>
          <w:sz w:val="22"/>
          <w:szCs w:val="22"/>
          <w:lang w:val="en-GB"/>
        </w:rPr>
      </w:pPr>
      <w:r w:rsidRPr="007A3506">
        <w:rPr>
          <w:rStyle w:val="normaltextrun"/>
          <w:rFonts w:asciiTheme="minorHAnsi" w:hAnsiTheme="minorHAnsi" w:cstheme="minorHAnsi"/>
          <w:sz w:val="22"/>
          <w:szCs w:val="22"/>
        </w:rPr>
        <w:t>Section 38(ca) of the Act prescribes the following function on the FSC:</w:t>
      </w:r>
      <w:r w:rsidRPr="007A3506">
        <w:rPr>
          <w:rStyle w:val="eop"/>
          <w:rFonts w:asciiTheme="minorHAnsi" w:hAnsiTheme="minorHAnsi" w:cstheme="minorHAnsi"/>
          <w:sz w:val="22"/>
          <w:szCs w:val="22"/>
          <w:lang w:val="en-GB"/>
        </w:rPr>
        <w:t> </w:t>
      </w:r>
    </w:p>
    <w:p w14:paraId="2090A61A" w14:textId="4A9FD947" w:rsidR="00147013" w:rsidRPr="007A3506" w:rsidRDefault="00147013" w:rsidP="00054594">
      <w:pPr>
        <w:pStyle w:val="paragraph"/>
        <w:spacing w:before="0" w:beforeAutospacing="0" w:after="200" w:afterAutospacing="0"/>
        <w:ind w:left="720"/>
        <w:textAlignment w:val="baseline"/>
        <w:rPr>
          <w:rFonts w:asciiTheme="minorHAnsi" w:hAnsiTheme="minorHAnsi" w:cstheme="minorHAnsi"/>
          <w:sz w:val="22"/>
          <w:szCs w:val="22"/>
        </w:rPr>
      </w:pPr>
      <w:r w:rsidRPr="007A3506">
        <w:rPr>
          <w:rStyle w:val="normaltextrun"/>
          <w:rFonts w:asciiTheme="minorHAnsi" w:hAnsiTheme="minorHAnsi" w:cstheme="minorHAnsi"/>
          <w:sz w:val="22"/>
          <w:szCs w:val="22"/>
        </w:rPr>
        <w:t>(ca) auditing compliance with National Construction Code performance requirements in relation to building materials</w:t>
      </w:r>
      <w:r w:rsidR="000C67B6" w:rsidRPr="007A3506">
        <w:rPr>
          <w:rStyle w:val="normaltextrun"/>
          <w:rFonts w:asciiTheme="minorHAnsi" w:hAnsiTheme="minorHAnsi" w:cstheme="minorHAnsi"/>
          <w:sz w:val="22"/>
          <w:szCs w:val="22"/>
        </w:rPr>
        <w:t>.</w:t>
      </w:r>
    </w:p>
    <w:p w14:paraId="1E9CA9C0" w14:textId="1D4DDDC4" w:rsidR="00147013" w:rsidRPr="007A3506" w:rsidRDefault="00147013" w:rsidP="00E23331">
      <w:pPr>
        <w:rPr>
          <w:rFonts w:cstheme="minorHAnsi"/>
        </w:rPr>
      </w:pPr>
      <w:r w:rsidRPr="007A3506">
        <w:rPr>
          <w:rStyle w:val="normaltextrun"/>
          <w:rFonts w:cstheme="minorHAnsi"/>
        </w:rPr>
        <w:t>The NCC details the minimum standards that building materials must meet, including the relevant testing standards that must be complied with where applicable.</w:t>
      </w:r>
      <w:r w:rsidR="004B7971" w:rsidRPr="007A3506">
        <w:rPr>
          <w:rStyle w:val="normaltextrun"/>
          <w:rFonts w:cstheme="minorHAnsi"/>
        </w:rPr>
        <w:t xml:space="preserve"> </w:t>
      </w:r>
      <w:r w:rsidRPr="007A3506">
        <w:rPr>
          <w:rStyle w:val="normaltextrun"/>
          <w:rFonts w:cstheme="minorHAnsi"/>
        </w:rPr>
        <w:t>Building regulation, including enforcement and compliance, is primarily the responsibility of State and Territory governments.</w:t>
      </w:r>
      <w:r w:rsidR="004B7971" w:rsidRPr="007A3506">
        <w:rPr>
          <w:rStyle w:val="normaltextrun"/>
          <w:rFonts w:cstheme="minorHAnsi"/>
        </w:rPr>
        <w:t xml:space="preserve"> </w:t>
      </w:r>
      <w:r w:rsidRPr="007A3506">
        <w:rPr>
          <w:rStyle w:val="normaltextrun"/>
          <w:rFonts w:cstheme="minorHAnsi"/>
        </w:rPr>
        <w:t>Each State and Territory government has its own building legislation to regulate building construction.</w:t>
      </w:r>
      <w:r w:rsidR="004B7971" w:rsidRPr="007A3506">
        <w:rPr>
          <w:rStyle w:val="normaltextrun"/>
          <w:rFonts w:cstheme="minorHAnsi"/>
        </w:rPr>
        <w:t xml:space="preserve"> </w:t>
      </w:r>
    </w:p>
    <w:p w14:paraId="6DADBD07" w14:textId="20FFA0FF" w:rsidR="00147013" w:rsidRPr="007A3506" w:rsidRDefault="00147013" w:rsidP="00E23331">
      <w:pPr>
        <w:rPr>
          <w:rFonts w:cstheme="minorHAnsi"/>
          <w:lang w:val="en-GB"/>
        </w:rPr>
      </w:pPr>
      <w:r w:rsidRPr="007A3506">
        <w:rPr>
          <w:rStyle w:val="normaltextrun"/>
          <w:rFonts w:cstheme="minorHAnsi"/>
        </w:rPr>
        <w:t>The NCC compliance function was conferred on the FSC at a time when there was significant public concern around the compliance of building materials following fires spread by combustible cladding in Lacrosse, Victoria (2014), and Grenfell, London (2017).</w:t>
      </w:r>
      <w:r w:rsidRPr="007A3506">
        <w:rPr>
          <w:rStyle w:val="eop"/>
          <w:rFonts w:cstheme="minorHAnsi"/>
          <w:lang w:val="en-GB"/>
        </w:rPr>
        <w:t> </w:t>
      </w:r>
    </w:p>
    <w:p w14:paraId="6826C757" w14:textId="3F724E1E" w:rsidR="00147013" w:rsidRPr="007A3506" w:rsidRDefault="00147013" w:rsidP="00E23331">
      <w:pPr>
        <w:rPr>
          <w:rStyle w:val="eop"/>
          <w:rFonts w:cstheme="minorHAnsi"/>
        </w:rPr>
      </w:pPr>
      <w:r w:rsidRPr="007A3506">
        <w:rPr>
          <w:rStyle w:val="normaltextrun"/>
          <w:rFonts w:cstheme="minorHAnsi"/>
        </w:rPr>
        <w:lastRenderedPageBreak/>
        <w:t xml:space="preserve">As the states and territories are responsible for regulation of Australia’s built environment, the </w:t>
      </w:r>
      <w:r w:rsidR="009D51F4" w:rsidRPr="007A3506">
        <w:rPr>
          <w:rStyle w:val="normaltextrun"/>
          <w:rFonts w:cstheme="minorHAnsi"/>
        </w:rPr>
        <w:t>CW</w:t>
      </w:r>
      <w:r w:rsidRPr="007A3506">
        <w:rPr>
          <w:rStyle w:val="normaltextrun"/>
          <w:rFonts w:cstheme="minorHAnsi"/>
        </w:rPr>
        <w:t xml:space="preserve"> has limited constitutional authority to regulate this area and the FSC has no experience in auditing building material compliance.</w:t>
      </w:r>
      <w:r w:rsidR="004B7971" w:rsidRPr="007A3506">
        <w:rPr>
          <w:rStyle w:val="normaltextrun"/>
          <w:rFonts w:cstheme="minorHAnsi"/>
        </w:rPr>
        <w:t xml:space="preserve"> </w:t>
      </w:r>
    </w:p>
    <w:p w14:paraId="301B08F8" w14:textId="660B5B99" w:rsidR="00147013" w:rsidRPr="007A3506" w:rsidRDefault="00147013" w:rsidP="00E23331">
      <w:pPr>
        <w:rPr>
          <w:rFonts w:cstheme="minorHAnsi"/>
          <w:lang w:val="en-GB"/>
        </w:rPr>
      </w:pPr>
      <w:r w:rsidRPr="007A3506">
        <w:rPr>
          <w:rStyle w:val="normaltextrun"/>
          <w:rFonts w:cstheme="minorHAnsi"/>
        </w:rPr>
        <w:t xml:space="preserve">The Scheme currently requires </w:t>
      </w:r>
      <w:r w:rsidR="00335F31" w:rsidRPr="007A3506">
        <w:rPr>
          <w:rStyle w:val="normaltextrun"/>
          <w:rFonts w:cstheme="minorHAnsi"/>
        </w:rPr>
        <w:t>entities</w:t>
      </w:r>
      <w:r w:rsidRPr="007A3506">
        <w:rPr>
          <w:rStyle w:val="normaltextrun"/>
          <w:rFonts w:cstheme="minorHAnsi"/>
        </w:rPr>
        <w:t xml:space="preserve"> to declare that all building materials used on their building projects will comply with the NCC’s Performance Requirements.</w:t>
      </w:r>
      <w:r w:rsidR="004B7971" w:rsidRPr="007A3506">
        <w:rPr>
          <w:rStyle w:val="normaltextrun"/>
          <w:rFonts w:cstheme="minorHAnsi"/>
        </w:rPr>
        <w:t xml:space="preserve"> </w:t>
      </w:r>
      <w:r w:rsidRPr="007A3506">
        <w:rPr>
          <w:rStyle w:val="normaltextrun"/>
          <w:rFonts w:cstheme="minorHAnsi"/>
        </w:rPr>
        <w:t>This is considered to go some way to meeting the requirements of section 38(ca).</w:t>
      </w:r>
      <w:r w:rsidR="004B7971" w:rsidRPr="007A3506">
        <w:rPr>
          <w:rStyle w:val="normaltextrun"/>
          <w:rFonts w:cstheme="minorHAnsi"/>
        </w:rPr>
        <w:t xml:space="preserve"> </w:t>
      </w:r>
    </w:p>
    <w:p w14:paraId="625BF48D" w14:textId="60F28DA4" w:rsidR="008C40EA" w:rsidRPr="007A3506" w:rsidRDefault="00147013" w:rsidP="00E23331">
      <w:pPr>
        <w:rPr>
          <w:rFonts w:cstheme="minorHAnsi"/>
        </w:rPr>
      </w:pPr>
      <w:r w:rsidRPr="007A3506">
        <w:rPr>
          <w:rStyle w:val="normaltextrun"/>
          <w:rFonts w:cstheme="minorHAnsi"/>
        </w:rPr>
        <w:t xml:space="preserve">The FSC has not been allocated any additional funding to meet the requirements of section 38(ca) and its FSOs have minimal (if any) experience in ensuring compliance with the NCC. </w:t>
      </w:r>
    </w:p>
    <w:p w14:paraId="025D89B8" w14:textId="47166C47" w:rsidR="00C05CD2" w:rsidRPr="007A3506" w:rsidRDefault="00C05CD2" w:rsidP="00C05CD2">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bookmarkStart w:id="81" w:name="_Question_6"/>
      <w:bookmarkStart w:id="82" w:name="_Question_7"/>
      <w:bookmarkEnd w:id="81"/>
      <w:bookmarkEnd w:id="82"/>
      <w:r w:rsidRPr="007A3506">
        <w:rPr>
          <w:rFonts w:asciiTheme="minorHAnsi" w:hAnsiTheme="minorHAnsi" w:cstheme="minorHAnsi"/>
        </w:rPr>
        <w:t xml:space="preserve">Question </w:t>
      </w:r>
      <w:r w:rsidR="00ED298F" w:rsidRPr="007A3506">
        <w:rPr>
          <w:rFonts w:asciiTheme="minorHAnsi" w:hAnsiTheme="minorHAnsi" w:cstheme="minorHAnsi"/>
        </w:rPr>
        <w:t>9</w:t>
      </w:r>
    </w:p>
    <w:p w14:paraId="283E412A" w14:textId="374E4F32" w:rsidR="002222BB" w:rsidRPr="007A3506" w:rsidRDefault="00833E25" w:rsidP="009B0F2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Is auditing compliance with National Construction Code performance requirements in relation to building materials an appropriate function for the FSC?</w:t>
      </w:r>
    </w:p>
    <w:p w14:paraId="6F9D0BE5" w14:textId="77777777" w:rsidR="008A5326" w:rsidRPr="007A3506" w:rsidRDefault="008A5326" w:rsidP="008A5326">
      <w:pPr>
        <w:rPr>
          <w:rFonts w:cstheme="minorHAnsi"/>
        </w:rPr>
      </w:pPr>
      <w:bookmarkStart w:id="83" w:name="_Toc138428293"/>
      <w:bookmarkStart w:id="84" w:name="_Toc2017330916"/>
    </w:p>
    <w:p w14:paraId="485AEF05" w14:textId="6010626E" w:rsidR="00917605" w:rsidRPr="007A3506" w:rsidRDefault="00917605" w:rsidP="00917605">
      <w:pPr>
        <w:pStyle w:val="Heading3"/>
        <w:rPr>
          <w:rFonts w:asciiTheme="minorHAnsi" w:hAnsiTheme="minorHAnsi" w:cstheme="minorHAnsi"/>
        </w:rPr>
      </w:pPr>
      <w:bookmarkStart w:id="85" w:name="_Toc139261457"/>
      <w:r w:rsidRPr="007A3506">
        <w:rPr>
          <w:rFonts w:asciiTheme="minorHAnsi" w:hAnsiTheme="minorHAnsi" w:cstheme="minorHAnsi"/>
        </w:rPr>
        <w:t>3.2.2 Federal Safety Commissioner - Powers</w:t>
      </w:r>
      <w:bookmarkEnd w:id="83"/>
      <w:bookmarkEnd w:id="84"/>
      <w:bookmarkEnd w:id="85"/>
    </w:p>
    <w:p w14:paraId="7C90D96C" w14:textId="3B35121F" w:rsidR="003C77D6" w:rsidRPr="007A3506" w:rsidRDefault="003C77D6" w:rsidP="00DA0C58">
      <w:pPr>
        <w:rPr>
          <w:rStyle w:val="normaltextrun"/>
          <w:rFonts w:cstheme="minorHAnsi"/>
        </w:rPr>
      </w:pPr>
      <w:r w:rsidRPr="007A3506">
        <w:rPr>
          <w:rStyle w:val="normaltextrun"/>
          <w:rFonts w:cstheme="minorHAnsi"/>
        </w:rPr>
        <w:t xml:space="preserve">The FSC has the power to impose further conditions on an accredited </w:t>
      </w:r>
      <w:r w:rsidR="00E23331" w:rsidRPr="007A3506">
        <w:rPr>
          <w:rStyle w:val="normaltextrun"/>
          <w:rFonts w:cstheme="minorHAnsi"/>
        </w:rPr>
        <w:t>entity</w:t>
      </w:r>
      <w:r w:rsidRPr="007A3506">
        <w:rPr>
          <w:rStyle w:val="normaltextrun"/>
          <w:rFonts w:cstheme="minorHAnsi"/>
        </w:rPr>
        <w:t xml:space="preserve"> beyond those required by all accredited </w:t>
      </w:r>
      <w:r w:rsidR="00E23331" w:rsidRPr="007A3506">
        <w:rPr>
          <w:rStyle w:val="normaltextrun"/>
          <w:rFonts w:cstheme="minorHAnsi"/>
        </w:rPr>
        <w:t>entities</w:t>
      </w:r>
      <w:r w:rsidRPr="007A3506">
        <w:rPr>
          <w:rStyle w:val="normaltextrun"/>
          <w:rFonts w:cstheme="minorHAnsi"/>
        </w:rPr>
        <w:t xml:space="preserve"> (Rule 15).</w:t>
      </w:r>
      <w:r w:rsidR="004B7971" w:rsidRPr="007A3506">
        <w:rPr>
          <w:rStyle w:val="normaltextrun"/>
          <w:rFonts w:cstheme="minorHAnsi"/>
        </w:rPr>
        <w:t xml:space="preserve"> </w:t>
      </w:r>
      <w:r w:rsidRPr="007A3506">
        <w:rPr>
          <w:rStyle w:val="normaltextrun"/>
          <w:rFonts w:cstheme="minorHAnsi"/>
        </w:rPr>
        <w:t>The FSC can also suspend or revoke an accreditation if there is a breach of accreditation conditions (Rule 18).</w:t>
      </w:r>
      <w:r w:rsidR="004B7971" w:rsidRPr="007A3506">
        <w:rPr>
          <w:rStyle w:val="normaltextrun"/>
          <w:rFonts w:cstheme="minorHAnsi"/>
        </w:rPr>
        <w:t xml:space="preserve"> </w:t>
      </w:r>
    </w:p>
    <w:p w14:paraId="6A369679" w14:textId="63612FB4" w:rsidR="003C77D6" w:rsidRPr="007A3506" w:rsidRDefault="003C77D6" w:rsidP="003C77D6">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1639D0" w:rsidRPr="007A3506">
        <w:rPr>
          <w:rFonts w:asciiTheme="minorHAnsi" w:hAnsiTheme="minorHAnsi" w:cstheme="minorHAnsi"/>
        </w:rPr>
        <w:t>1</w:t>
      </w:r>
      <w:r w:rsidR="00ED298F" w:rsidRPr="007A3506">
        <w:rPr>
          <w:rFonts w:asciiTheme="minorHAnsi" w:hAnsiTheme="minorHAnsi" w:cstheme="minorHAnsi"/>
        </w:rPr>
        <w:t>0</w:t>
      </w:r>
      <w:r w:rsidRPr="007A3506">
        <w:rPr>
          <w:rFonts w:asciiTheme="minorHAnsi" w:hAnsiTheme="minorHAnsi" w:cstheme="minorHAnsi"/>
        </w:rPr>
        <w:t xml:space="preserve"> </w:t>
      </w:r>
    </w:p>
    <w:p w14:paraId="4B378123" w14:textId="4976420C" w:rsidR="003C77D6" w:rsidRPr="007A3506" w:rsidRDefault="002222BB" w:rsidP="003C77D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 the powers of the FSC remain appropriate to achieve the objectives of the Scheme?</w:t>
      </w:r>
      <w:r w:rsidR="004B7971" w:rsidRPr="007A3506">
        <w:rPr>
          <w:rFonts w:cstheme="minorHAnsi"/>
        </w:rPr>
        <w:t xml:space="preserve"> </w:t>
      </w:r>
      <w:r w:rsidRPr="007A3506">
        <w:rPr>
          <w:rFonts w:cstheme="minorHAnsi"/>
        </w:rPr>
        <w:t>Are any other powers required?</w:t>
      </w:r>
    </w:p>
    <w:p w14:paraId="1E9098E7" w14:textId="65E0F5B7" w:rsidR="007029F4" w:rsidRPr="007A3506" w:rsidRDefault="00AE2EAC" w:rsidP="00E23331">
      <w:pPr>
        <w:rPr>
          <w:rStyle w:val="normaltextrun"/>
          <w:rFonts w:cstheme="minorHAnsi"/>
        </w:rPr>
      </w:pPr>
      <w:r w:rsidRPr="007A3506">
        <w:rPr>
          <w:rStyle w:val="normaltextrun"/>
          <w:rFonts w:cstheme="minorHAnsi"/>
        </w:rPr>
        <w:t xml:space="preserve">In 2018, a Senate inquiry into workplace deaths recommended that corporations that repeatedly breach WHS obligations and cause death or serious injury should not be awarded </w:t>
      </w:r>
      <w:r w:rsidR="00E47A3B" w:rsidRPr="007A3506">
        <w:rPr>
          <w:rStyle w:val="normaltextrun"/>
          <w:rFonts w:cstheme="minorHAnsi"/>
        </w:rPr>
        <w:t>CW</w:t>
      </w:r>
      <w:r w:rsidRPr="007A3506">
        <w:rPr>
          <w:rStyle w:val="normaltextrun"/>
          <w:rFonts w:cstheme="minorHAnsi"/>
        </w:rPr>
        <w:t>, State or Territory government contracts.</w:t>
      </w:r>
      <w:r w:rsidR="004B7971" w:rsidRPr="007A3506">
        <w:rPr>
          <w:rStyle w:val="normaltextrun"/>
          <w:rFonts w:cstheme="minorHAnsi"/>
        </w:rPr>
        <w:t xml:space="preserve"> </w:t>
      </w:r>
      <w:r w:rsidRPr="007A3506">
        <w:rPr>
          <w:rStyle w:val="normaltextrun"/>
          <w:rFonts w:cstheme="minorHAnsi"/>
        </w:rPr>
        <w:t xml:space="preserve">The </w:t>
      </w:r>
      <w:r w:rsidR="00E47A3B" w:rsidRPr="007A3506">
        <w:rPr>
          <w:rStyle w:val="normaltextrun"/>
          <w:rFonts w:cstheme="minorHAnsi"/>
        </w:rPr>
        <w:t>CW</w:t>
      </w:r>
      <w:r w:rsidRPr="007A3506">
        <w:rPr>
          <w:rStyle w:val="normaltextrun"/>
          <w:rFonts w:cstheme="minorHAnsi"/>
        </w:rPr>
        <w:t xml:space="preserve"> Government’s response to this recommendation was to highlight the work of the FSC and the Scheme.</w:t>
      </w:r>
    </w:p>
    <w:p w14:paraId="687AB2A1" w14:textId="78CABF17" w:rsidR="00076A45" w:rsidRPr="007A3506" w:rsidRDefault="00AE2EAC" w:rsidP="00E23331">
      <w:pPr>
        <w:rPr>
          <w:rStyle w:val="normaltextrun"/>
          <w:rFonts w:cstheme="minorHAnsi"/>
        </w:rPr>
      </w:pPr>
      <w:r w:rsidRPr="007A3506">
        <w:rPr>
          <w:rStyle w:val="normaltextrun"/>
          <w:rFonts w:cstheme="minorHAnsi"/>
        </w:rPr>
        <w:t xml:space="preserve">When there is a fatality on an accredited </w:t>
      </w:r>
      <w:r w:rsidR="00E23331" w:rsidRPr="007A3506">
        <w:rPr>
          <w:rStyle w:val="normaltextrun"/>
          <w:rFonts w:cstheme="minorHAnsi"/>
        </w:rPr>
        <w:t>entity</w:t>
      </w:r>
      <w:r w:rsidRPr="007A3506">
        <w:rPr>
          <w:rStyle w:val="normaltextrun"/>
          <w:rFonts w:cstheme="minorHAnsi"/>
        </w:rPr>
        <w:t>’s worksite, irrespective of whether it is on a Scheme project site or a non-Scheme project site it must be reported to the FSC.</w:t>
      </w:r>
      <w:r w:rsidR="004B7971" w:rsidRPr="007A3506">
        <w:rPr>
          <w:rStyle w:val="normaltextrun"/>
          <w:rFonts w:cstheme="minorHAnsi"/>
        </w:rPr>
        <w:t xml:space="preserve"> </w:t>
      </w:r>
      <w:r w:rsidRPr="007A3506">
        <w:rPr>
          <w:rStyle w:val="normaltextrun"/>
          <w:rFonts w:cstheme="minorHAnsi"/>
        </w:rPr>
        <w:t xml:space="preserve">The FSC will immediately change the accredited </w:t>
      </w:r>
      <w:r w:rsidR="00E23331" w:rsidRPr="007A3506">
        <w:rPr>
          <w:rStyle w:val="normaltextrun"/>
          <w:rFonts w:cstheme="minorHAnsi"/>
        </w:rPr>
        <w:t>entity</w:t>
      </w:r>
      <w:r w:rsidRPr="007A3506">
        <w:rPr>
          <w:rStyle w:val="normaltextrun"/>
          <w:rFonts w:cstheme="minorHAnsi"/>
        </w:rPr>
        <w:t xml:space="preserve">’s risk rating to </w:t>
      </w:r>
      <w:r w:rsidR="08A2AB83" w:rsidRPr="007A3506">
        <w:rPr>
          <w:rStyle w:val="normaltextrun"/>
          <w:rFonts w:cstheme="minorHAnsi"/>
        </w:rPr>
        <w:t>high</w:t>
      </w:r>
      <w:r w:rsidRPr="007A3506">
        <w:rPr>
          <w:rStyle w:val="normaltextrun"/>
          <w:rFonts w:cstheme="minorHAnsi"/>
        </w:rPr>
        <w:t>.</w:t>
      </w:r>
      <w:r w:rsidR="004B7971" w:rsidRPr="007A3506">
        <w:rPr>
          <w:rStyle w:val="normaltextrun"/>
          <w:rFonts w:cstheme="minorHAnsi"/>
        </w:rPr>
        <w:t xml:space="preserve"> </w:t>
      </w:r>
      <w:r w:rsidRPr="007A3506">
        <w:rPr>
          <w:rStyle w:val="normaltextrun"/>
          <w:rFonts w:cstheme="minorHAnsi"/>
        </w:rPr>
        <w:t xml:space="preserve">The CEO of the accredited </w:t>
      </w:r>
      <w:r w:rsidR="00682A69" w:rsidRPr="007A3506">
        <w:rPr>
          <w:rStyle w:val="normaltextrun"/>
          <w:rFonts w:cstheme="minorHAnsi"/>
        </w:rPr>
        <w:t>entity</w:t>
      </w:r>
      <w:r w:rsidRPr="007A3506">
        <w:rPr>
          <w:rStyle w:val="normaltextrun"/>
          <w:rFonts w:cstheme="minorHAnsi"/>
        </w:rPr>
        <w:t xml:space="preserve"> will be required to meet with the FSC.</w:t>
      </w:r>
      <w:r w:rsidR="004B7971" w:rsidRPr="007A3506">
        <w:rPr>
          <w:rStyle w:val="normaltextrun"/>
          <w:rFonts w:cstheme="minorHAnsi"/>
        </w:rPr>
        <w:t xml:space="preserve"> </w:t>
      </w:r>
      <w:r w:rsidRPr="007A3506">
        <w:rPr>
          <w:rStyle w:val="normaltextrun"/>
          <w:rFonts w:cstheme="minorHAnsi"/>
        </w:rPr>
        <w:t xml:space="preserve">The primary focus of the FSC following a fatality is to ensure that the </w:t>
      </w:r>
      <w:r w:rsidR="00682A69" w:rsidRPr="007A3506">
        <w:rPr>
          <w:rStyle w:val="normaltextrun"/>
          <w:rFonts w:cstheme="minorHAnsi"/>
        </w:rPr>
        <w:t>entity</w:t>
      </w:r>
      <w:r w:rsidRPr="007A3506">
        <w:rPr>
          <w:rStyle w:val="normaltextrun"/>
          <w:rFonts w:cstheme="minorHAnsi"/>
        </w:rPr>
        <w:t xml:space="preserve"> is investigating the causes of the fatality through its own investigative processes.</w:t>
      </w:r>
      <w:r w:rsidR="004B7971" w:rsidRPr="007A3506">
        <w:rPr>
          <w:rStyle w:val="normaltextrun"/>
          <w:rFonts w:cstheme="minorHAnsi"/>
        </w:rPr>
        <w:t xml:space="preserve"> </w:t>
      </w:r>
      <w:r w:rsidRPr="007A3506">
        <w:rPr>
          <w:rStyle w:val="normaltextrun"/>
          <w:rFonts w:cstheme="minorHAnsi"/>
        </w:rPr>
        <w:t xml:space="preserve">The FSC will also consider whether it is appropriate for the </w:t>
      </w:r>
      <w:r w:rsidR="001F18D1" w:rsidRPr="007A3506">
        <w:rPr>
          <w:rStyle w:val="normaltextrun"/>
          <w:rFonts w:cstheme="minorHAnsi"/>
        </w:rPr>
        <w:t>entity</w:t>
      </w:r>
      <w:r w:rsidRPr="007A3506">
        <w:rPr>
          <w:rStyle w:val="normaltextrun"/>
          <w:rFonts w:cstheme="minorHAnsi"/>
        </w:rPr>
        <w:t xml:space="preserve"> to retain its accreditation.</w:t>
      </w:r>
    </w:p>
    <w:p w14:paraId="6E4FC20B" w14:textId="109A95D0" w:rsidR="00076A45" w:rsidRPr="007A3506" w:rsidRDefault="00076A45" w:rsidP="00076A45">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w:t>
      </w:r>
      <w:r w:rsidR="00ED298F" w:rsidRPr="007A3506">
        <w:rPr>
          <w:rFonts w:asciiTheme="minorHAnsi" w:hAnsiTheme="minorHAnsi" w:cstheme="minorHAnsi"/>
        </w:rPr>
        <w:t xml:space="preserve"> 11</w:t>
      </w:r>
    </w:p>
    <w:p w14:paraId="04D40D05" w14:textId="05210F71" w:rsidR="00076A45" w:rsidRPr="007A3506" w:rsidRDefault="00F40767" w:rsidP="00076A4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What are the appropriate steps that should be taken by the FSC when a fatality occurs on an accredited </w:t>
      </w:r>
      <w:r w:rsidR="001F18D1" w:rsidRPr="007A3506">
        <w:rPr>
          <w:rFonts w:cstheme="minorHAnsi"/>
        </w:rPr>
        <w:t>entity</w:t>
      </w:r>
      <w:r w:rsidRPr="007A3506">
        <w:rPr>
          <w:rFonts w:cstheme="minorHAnsi"/>
        </w:rPr>
        <w:t>’s worksite?</w:t>
      </w:r>
    </w:p>
    <w:p w14:paraId="357A8225" w14:textId="7865B46C" w:rsidR="000A6CEE" w:rsidRPr="007A3506" w:rsidRDefault="000A6CEE" w:rsidP="00ED298F">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 1</w:t>
      </w:r>
      <w:r w:rsidR="00ED298F" w:rsidRPr="007A3506">
        <w:rPr>
          <w:rFonts w:asciiTheme="minorHAnsi" w:hAnsiTheme="minorHAnsi" w:cstheme="minorHAnsi"/>
        </w:rPr>
        <w:t>2</w:t>
      </w:r>
    </w:p>
    <w:p w14:paraId="2937DAB7" w14:textId="22085A3C" w:rsidR="00F40767" w:rsidRPr="007A3506" w:rsidRDefault="00796DB6" w:rsidP="00076A4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What are the appropriate steps that should be taken by the FSC if an accredited </w:t>
      </w:r>
      <w:r w:rsidR="008A07B3" w:rsidRPr="007A3506">
        <w:rPr>
          <w:rFonts w:cstheme="minorHAnsi"/>
        </w:rPr>
        <w:t>entity</w:t>
      </w:r>
      <w:r w:rsidRPr="007A3506">
        <w:rPr>
          <w:rFonts w:cstheme="minorHAnsi"/>
        </w:rPr>
        <w:t xml:space="preserve"> is prosecuted and found guilty of a breach of WHS legislation?</w:t>
      </w:r>
    </w:p>
    <w:p w14:paraId="617ACB95" w14:textId="22C56E4C" w:rsidR="00D25607" w:rsidRPr="007A3506" w:rsidRDefault="00D25607" w:rsidP="00D25607">
      <w:pPr>
        <w:rPr>
          <w:rFonts w:cstheme="minorHAnsi"/>
          <w:lang w:val="en-US"/>
        </w:rPr>
      </w:pPr>
      <w:r w:rsidRPr="007A3506">
        <w:rPr>
          <w:rFonts w:cstheme="minorHAnsi"/>
        </w:rPr>
        <w:lastRenderedPageBreak/>
        <w:t>Whilst the CW is responsible for ensuring compliance with the Act the</w:t>
      </w:r>
      <w:r w:rsidRPr="007A3506">
        <w:rPr>
          <w:rFonts w:cstheme="minorHAnsi"/>
          <w:lang w:val="en-US"/>
        </w:rPr>
        <w:t xml:space="preserve"> legislation does not provide avenues to sanction procurement agencies should contracts for building and construction work be entered into which do not include the requirement for a</w:t>
      </w:r>
      <w:r w:rsidR="008A07B3" w:rsidRPr="007A3506">
        <w:rPr>
          <w:rFonts w:cstheme="minorHAnsi"/>
          <w:lang w:val="en-US"/>
        </w:rPr>
        <w:t>n entity</w:t>
      </w:r>
      <w:r w:rsidRPr="007A3506">
        <w:rPr>
          <w:rFonts w:cstheme="minorHAnsi"/>
          <w:lang w:val="en-US"/>
        </w:rPr>
        <w:t xml:space="preserve"> to be accredited under the Scheme.</w:t>
      </w:r>
      <w:r w:rsidR="004B7971" w:rsidRPr="007A3506">
        <w:rPr>
          <w:rFonts w:cstheme="minorHAnsi"/>
          <w:lang w:val="en-US"/>
        </w:rPr>
        <w:t xml:space="preserve"> </w:t>
      </w:r>
      <w:r w:rsidR="00141C7C" w:rsidRPr="007A3506">
        <w:rPr>
          <w:rFonts w:cstheme="minorHAnsi"/>
          <w:lang w:val="en-US"/>
        </w:rPr>
        <w:t>I have been informed that compliance</w:t>
      </w:r>
      <w:r w:rsidR="00141C7C" w:rsidRPr="007A3506">
        <w:rPr>
          <w:rFonts w:cstheme="minorHAnsi"/>
          <w:color w:val="000000"/>
          <w:sz w:val="26"/>
          <w:szCs w:val="26"/>
          <w:lang w:val="en-GB"/>
        </w:rPr>
        <w:t xml:space="preserve"> </w:t>
      </w:r>
      <w:r w:rsidR="00141C7C" w:rsidRPr="007A3506">
        <w:rPr>
          <w:rFonts w:cstheme="minorHAnsi"/>
          <w:lang w:val="en-US"/>
        </w:rPr>
        <w:t xml:space="preserve">issues include both </w:t>
      </w:r>
      <w:r w:rsidR="00260C11" w:rsidRPr="007A3506">
        <w:rPr>
          <w:rFonts w:cstheme="minorHAnsi"/>
          <w:lang w:val="en-US"/>
        </w:rPr>
        <w:t>failures</w:t>
      </w:r>
      <w:r w:rsidR="00141C7C" w:rsidRPr="007A3506">
        <w:rPr>
          <w:rFonts w:cstheme="minorHAnsi"/>
          <w:lang w:val="en-US"/>
        </w:rPr>
        <w:t xml:space="preserve"> to include the Scheme requirement in the funding agreement, as well as a funding recipient's failure to uphold the agreed obligation.</w:t>
      </w:r>
    </w:p>
    <w:p w14:paraId="56F26C20" w14:textId="6B737288" w:rsidR="00D25607" w:rsidRPr="007A3506" w:rsidRDefault="00D25607" w:rsidP="00D25607">
      <w:pPr>
        <w:rPr>
          <w:rFonts w:cstheme="minorHAnsi"/>
          <w:lang w:val="en-US"/>
        </w:rPr>
      </w:pPr>
      <w:r w:rsidRPr="007A3506">
        <w:rPr>
          <w:rFonts w:cstheme="minorHAnsi"/>
          <w:lang w:val="en-US"/>
        </w:rPr>
        <w:t xml:space="preserve">Current practice is for </w:t>
      </w:r>
      <w:r w:rsidR="00335F31" w:rsidRPr="007A3506">
        <w:rPr>
          <w:rFonts w:cstheme="minorHAnsi"/>
          <w:lang w:val="en-US"/>
        </w:rPr>
        <w:t>entitie</w:t>
      </w:r>
      <w:r w:rsidRPr="007A3506">
        <w:rPr>
          <w:rFonts w:cstheme="minorHAnsi"/>
          <w:lang w:val="en-US"/>
        </w:rPr>
        <w:t>s to be assisted to reach compliance as soon as possible should this scenario occur and for stern letters to be written to departmental officers and/or secretaries.</w:t>
      </w:r>
      <w:r w:rsidR="004B7971" w:rsidRPr="007A3506">
        <w:rPr>
          <w:rFonts w:cstheme="minorHAnsi"/>
          <w:lang w:val="en-US"/>
        </w:rPr>
        <w:t xml:space="preserve"> </w:t>
      </w:r>
    </w:p>
    <w:p w14:paraId="62EFCEB1" w14:textId="77777777" w:rsidR="00D25607" w:rsidRPr="007A3506" w:rsidRDefault="00D25607" w:rsidP="00D25607">
      <w:pPr>
        <w:rPr>
          <w:rFonts w:cstheme="minorHAnsi"/>
          <w:lang w:val="en-US"/>
        </w:rPr>
      </w:pPr>
      <w:r w:rsidRPr="007A3506">
        <w:rPr>
          <w:rFonts w:cstheme="minorHAnsi"/>
          <w:lang w:val="en-US"/>
        </w:rPr>
        <w:t>A significant area of concern in this context is the capacity of the FSC to monitor whether the projects supported by indirect CW funding are meeting the requirements of the Scheme.</w:t>
      </w:r>
    </w:p>
    <w:p w14:paraId="43AAF9EA" w14:textId="2E3D2B86" w:rsidR="00E65E19" w:rsidRPr="007A3506" w:rsidRDefault="00E65E19" w:rsidP="00E65E19">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ED0DDA" w:rsidRPr="007A3506">
        <w:rPr>
          <w:rFonts w:asciiTheme="minorHAnsi" w:hAnsiTheme="minorHAnsi" w:cstheme="minorHAnsi"/>
        </w:rPr>
        <w:t>13</w:t>
      </w:r>
    </w:p>
    <w:p w14:paraId="2AD558BE" w14:textId="67C72F09" w:rsidR="009514B2" w:rsidRPr="007A3506" w:rsidRDefault="009514B2" w:rsidP="007029F4">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How can the FSC improve </w:t>
      </w:r>
      <w:r w:rsidR="00B859B7" w:rsidRPr="007A3506">
        <w:rPr>
          <w:rFonts w:cstheme="minorHAnsi"/>
        </w:rPr>
        <w:t>Commonwealth funding entities’</w:t>
      </w:r>
      <w:r w:rsidR="00D0236F" w:rsidRPr="007A3506">
        <w:rPr>
          <w:rFonts w:cstheme="minorHAnsi"/>
        </w:rPr>
        <w:t xml:space="preserve"> </w:t>
      </w:r>
      <w:r w:rsidRPr="007A3506">
        <w:rPr>
          <w:rFonts w:cstheme="minorHAnsi"/>
        </w:rPr>
        <w:t>compliance with the Act?</w:t>
      </w:r>
    </w:p>
    <w:p w14:paraId="31923F05" w14:textId="4E7D3919" w:rsidR="000A6CEE" w:rsidRPr="007A3506" w:rsidRDefault="000A6CEE" w:rsidP="00ED0DDA">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 1</w:t>
      </w:r>
      <w:r w:rsidR="00ED0DDA" w:rsidRPr="007A3506">
        <w:rPr>
          <w:rFonts w:asciiTheme="minorHAnsi" w:hAnsiTheme="minorHAnsi" w:cstheme="minorHAnsi"/>
        </w:rPr>
        <w:t>4</w:t>
      </w:r>
    </w:p>
    <w:p w14:paraId="75A7C40C" w14:textId="047835BB" w:rsidR="00410A9E" w:rsidRPr="007A3506" w:rsidRDefault="00E65E19" w:rsidP="007029F4">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What </w:t>
      </w:r>
      <w:r w:rsidR="007F1502" w:rsidRPr="007A3506">
        <w:rPr>
          <w:rFonts w:cstheme="minorHAnsi"/>
        </w:rPr>
        <w:t xml:space="preserve">powers should the FSC have to deal with </w:t>
      </w:r>
      <w:r w:rsidR="007044E7" w:rsidRPr="007A3506">
        <w:rPr>
          <w:rFonts w:cstheme="minorHAnsi"/>
        </w:rPr>
        <w:t>compliance failures</w:t>
      </w:r>
      <w:r w:rsidR="007F1502" w:rsidRPr="007A3506">
        <w:rPr>
          <w:rFonts w:cstheme="minorHAnsi"/>
        </w:rPr>
        <w:t xml:space="preserve"> by CW, State and Territory </w:t>
      </w:r>
      <w:r w:rsidR="008150E1" w:rsidRPr="007A3506">
        <w:rPr>
          <w:rFonts w:cstheme="minorHAnsi"/>
        </w:rPr>
        <w:t>funding entities</w:t>
      </w:r>
      <w:r w:rsidR="007F1502" w:rsidRPr="007A3506">
        <w:rPr>
          <w:rFonts w:cstheme="minorHAnsi"/>
        </w:rPr>
        <w:t>?</w:t>
      </w:r>
    </w:p>
    <w:p w14:paraId="622C5478" w14:textId="77777777" w:rsidR="008A5326" w:rsidRPr="007A3506" w:rsidRDefault="008A5326" w:rsidP="008A5326">
      <w:pPr>
        <w:rPr>
          <w:rFonts w:cstheme="minorHAnsi"/>
        </w:rPr>
      </w:pPr>
      <w:bookmarkStart w:id="86" w:name="_Toc138428294"/>
      <w:bookmarkStart w:id="87" w:name="_Toc1635928912"/>
    </w:p>
    <w:p w14:paraId="07573CB3" w14:textId="7CD3BDFC" w:rsidR="00770968" w:rsidRPr="007A3506" w:rsidRDefault="00770968" w:rsidP="00770968">
      <w:pPr>
        <w:pStyle w:val="Heading3"/>
        <w:rPr>
          <w:rFonts w:asciiTheme="minorHAnsi" w:hAnsiTheme="minorHAnsi" w:cstheme="minorHAnsi"/>
        </w:rPr>
      </w:pPr>
      <w:bookmarkStart w:id="88" w:name="_Toc139261458"/>
      <w:r w:rsidRPr="007A3506">
        <w:rPr>
          <w:rFonts w:asciiTheme="minorHAnsi" w:hAnsiTheme="minorHAnsi" w:cstheme="minorHAnsi"/>
        </w:rPr>
        <w:t>3.2.3</w:t>
      </w:r>
      <w:r w:rsidR="002315E9" w:rsidRPr="007A3506">
        <w:rPr>
          <w:rFonts w:asciiTheme="minorHAnsi" w:hAnsiTheme="minorHAnsi" w:cstheme="minorHAnsi"/>
        </w:rPr>
        <w:t xml:space="preserve"> </w:t>
      </w:r>
      <w:r w:rsidRPr="007A3506">
        <w:rPr>
          <w:rFonts w:asciiTheme="minorHAnsi" w:hAnsiTheme="minorHAnsi" w:cstheme="minorHAnsi"/>
        </w:rPr>
        <w:t>Federal Safety Officers – Powers</w:t>
      </w:r>
      <w:bookmarkEnd w:id="86"/>
      <w:bookmarkEnd w:id="87"/>
      <w:bookmarkEnd w:id="88"/>
    </w:p>
    <w:p w14:paraId="38C04C36" w14:textId="1ABCE894" w:rsidR="00770968" w:rsidRPr="007A3506" w:rsidRDefault="00770968" w:rsidP="00770968">
      <w:pPr>
        <w:rPr>
          <w:rFonts w:cstheme="minorHAnsi"/>
        </w:rPr>
      </w:pPr>
      <w:r w:rsidRPr="007A3506">
        <w:rPr>
          <w:rFonts w:cstheme="minorHAnsi"/>
        </w:rPr>
        <w:t xml:space="preserve">FSOs are external consultants engaged by the FSC to conduct pre-accreditation audits of </w:t>
      </w:r>
      <w:r w:rsidR="004319EF" w:rsidRPr="007A3506">
        <w:rPr>
          <w:rFonts w:cstheme="minorHAnsi"/>
        </w:rPr>
        <w:t>entities</w:t>
      </w:r>
      <w:r w:rsidRPr="007A3506">
        <w:rPr>
          <w:rFonts w:cstheme="minorHAnsi"/>
        </w:rPr>
        <w:t xml:space="preserve"> entering the Scheme and post accreditation audits of </w:t>
      </w:r>
      <w:r w:rsidR="004319EF" w:rsidRPr="007A3506">
        <w:rPr>
          <w:rFonts w:cstheme="minorHAnsi"/>
        </w:rPr>
        <w:t>entitie</w:t>
      </w:r>
      <w:r w:rsidRPr="007A3506">
        <w:rPr>
          <w:rFonts w:cstheme="minorHAnsi"/>
        </w:rPr>
        <w:t>s remaining in the Scheme.</w:t>
      </w:r>
    </w:p>
    <w:p w14:paraId="45E2D258" w14:textId="77777777" w:rsidR="00770968" w:rsidRPr="007A3506" w:rsidRDefault="00770968" w:rsidP="00770968">
      <w:pPr>
        <w:rPr>
          <w:rFonts w:cstheme="minorHAnsi"/>
        </w:rPr>
      </w:pPr>
      <w:r w:rsidRPr="007A3506">
        <w:rPr>
          <w:rFonts w:cstheme="minorHAnsi"/>
        </w:rPr>
        <w:t>FSOs have the power to:</w:t>
      </w:r>
    </w:p>
    <w:p w14:paraId="29AC4F17" w14:textId="4A3BAB3E" w:rsidR="00770968" w:rsidRPr="007A3506" w:rsidRDefault="006A51E0" w:rsidP="00054594">
      <w:pPr>
        <w:pStyle w:val="PURPLEBullet"/>
        <w:spacing w:after="200"/>
        <w:rPr>
          <w:rFonts w:cstheme="minorHAnsi"/>
        </w:rPr>
      </w:pPr>
      <w:r w:rsidRPr="007A3506">
        <w:rPr>
          <w:rFonts w:cstheme="minorHAnsi"/>
        </w:rPr>
        <w:t>E</w:t>
      </w:r>
      <w:r w:rsidR="00770968" w:rsidRPr="007A3506">
        <w:rPr>
          <w:rFonts w:cstheme="minorHAnsi"/>
        </w:rPr>
        <w:t>nter premises to inspect any work, process or object</w:t>
      </w:r>
    </w:p>
    <w:p w14:paraId="5262E605" w14:textId="306C16C7" w:rsidR="00770968" w:rsidRPr="007A3506" w:rsidRDefault="006A51E0" w:rsidP="00054594">
      <w:pPr>
        <w:pStyle w:val="PURPLEBullet"/>
        <w:spacing w:after="200"/>
        <w:rPr>
          <w:rFonts w:cstheme="minorHAnsi"/>
        </w:rPr>
      </w:pPr>
      <w:r w:rsidRPr="007A3506">
        <w:rPr>
          <w:rFonts w:cstheme="minorHAnsi"/>
        </w:rPr>
        <w:t>I</w:t>
      </w:r>
      <w:r w:rsidR="00770968" w:rsidRPr="007A3506">
        <w:rPr>
          <w:rFonts w:cstheme="minorHAnsi"/>
        </w:rPr>
        <w:t>nterview any person</w:t>
      </w:r>
    </w:p>
    <w:p w14:paraId="371F1E4A" w14:textId="40EDDBCB" w:rsidR="00770968" w:rsidRPr="007A3506" w:rsidRDefault="006A51E0" w:rsidP="00054594">
      <w:pPr>
        <w:pStyle w:val="PURPLEBullet"/>
        <w:spacing w:after="200"/>
        <w:rPr>
          <w:rFonts w:cstheme="minorHAnsi"/>
        </w:rPr>
      </w:pPr>
      <w:r w:rsidRPr="007A3506">
        <w:rPr>
          <w:rFonts w:cstheme="minorHAnsi"/>
        </w:rPr>
        <w:t>R</w:t>
      </w:r>
      <w:r w:rsidR="00770968" w:rsidRPr="007A3506">
        <w:rPr>
          <w:rFonts w:cstheme="minorHAnsi"/>
        </w:rPr>
        <w:t>equire a person to tell the FSO who has custody or access to a document or record</w:t>
      </w:r>
    </w:p>
    <w:p w14:paraId="3FD9D9DF" w14:textId="1C63AB50" w:rsidR="00770968" w:rsidRPr="007A3506" w:rsidRDefault="006A51E0" w:rsidP="00054594">
      <w:pPr>
        <w:pStyle w:val="PURPLEBullet"/>
        <w:spacing w:after="200"/>
        <w:rPr>
          <w:rFonts w:cstheme="minorHAnsi"/>
        </w:rPr>
      </w:pPr>
      <w:r w:rsidRPr="007A3506">
        <w:rPr>
          <w:rFonts w:cstheme="minorHAnsi"/>
        </w:rPr>
        <w:t>R</w:t>
      </w:r>
      <w:r w:rsidR="00770968" w:rsidRPr="007A3506">
        <w:rPr>
          <w:rFonts w:cstheme="minorHAnsi"/>
        </w:rPr>
        <w:t>equire a person to produce a document or record</w:t>
      </w:r>
    </w:p>
    <w:p w14:paraId="23880373" w14:textId="0E45FAF1" w:rsidR="00770968" w:rsidRPr="007A3506" w:rsidRDefault="006A51E0" w:rsidP="00054594">
      <w:pPr>
        <w:pStyle w:val="PURPLEBullet"/>
        <w:spacing w:after="200"/>
        <w:rPr>
          <w:rFonts w:cstheme="minorHAnsi"/>
        </w:rPr>
      </w:pPr>
      <w:r w:rsidRPr="007A3506">
        <w:rPr>
          <w:rFonts w:cstheme="minorHAnsi"/>
        </w:rPr>
        <w:t>I</w:t>
      </w:r>
      <w:r w:rsidR="00770968" w:rsidRPr="007A3506">
        <w:rPr>
          <w:rFonts w:cstheme="minorHAnsi"/>
        </w:rPr>
        <w:t xml:space="preserve">nspect and make copies of records and documents </w:t>
      </w:r>
    </w:p>
    <w:p w14:paraId="33F91889" w14:textId="5C57B564" w:rsidR="00770968" w:rsidRPr="007A3506" w:rsidRDefault="006A51E0" w:rsidP="00054594">
      <w:pPr>
        <w:pStyle w:val="PURPLEBullet"/>
        <w:spacing w:after="200"/>
        <w:rPr>
          <w:rFonts w:cstheme="minorHAnsi"/>
        </w:rPr>
      </w:pPr>
      <w:r w:rsidRPr="007A3506">
        <w:rPr>
          <w:rFonts w:cstheme="minorHAnsi"/>
        </w:rPr>
        <w:t>T</w:t>
      </w:r>
      <w:r w:rsidR="00770968" w:rsidRPr="007A3506">
        <w:rPr>
          <w:rFonts w:cstheme="minorHAnsi"/>
        </w:rPr>
        <w:t>ake samples of any goods or substances</w:t>
      </w:r>
    </w:p>
    <w:p w14:paraId="762F1DBA" w14:textId="4991B18D" w:rsidR="00770968" w:rsidRPr="007A3506" w:rsidRDefault="006A51E0" w:rsidP="00054594">
      <w:pPr>
        <w:pStyle w:val="PURPLEBullet"/>
        <w:spacing w:after="200"/>
        <w:rPr>
          <w:rFonts w:cstheme="minorHAnsi"/>
        </w:rPr>
      </w:pPr>
      <w:r w:rsidRPr="007A3506">
        <w:rPr>
          <w:rFonts w:cstheme="minorHAnsi"/>
        </w:rPr>
        <w:t>A</w:t>
      </w:r>
      <w:r w:rsidR="00770968" w:rsidRPr="007A3506">
        <w:rPr>
          <w:rFonts w:cstheme="minorHAnsi"/>
        </w:rPr>
        <w:t>sk for a person’s name and address</w:t>
      </w:r>
    </w:p>
    <w:p w14:paraId="0894603C" w14:textId="1C8E1D36" w:rsidR="00770968" w:rsidRPr="007A3506" w:rsidRDefault="006A51E0" w:rsidP="00054594">
      <w:pPr>
        <w:pStyle w:val="PURPLEBullet"/>
        <w:spacing w:after="200"/>
        <w:rPr>
          <w:rFonts w:cstheme="minorHAnsi"/>
        </w:rPr>
      </w:pPr>
      <w:r w:rsidRPr="007A3506">
        <w:rPr>
          <w:rFonts w:cstheme="minorHAnsi"/>
        </w:rPr>
        <w:t>K</w:t>
      </w:r>
      <w:r w:rsidR="00770968" w:rsidRPr="007A3506">
        <w:rPr>
          <w:rFonts w:cstheme="minorHAnsi"/>
        </w:rPr>
        <w:t>eep records and documents</w:t>
      </w:r>
      <w:r w:rsidR="00E04FC0" w:rsidRPr="007A3506">
        <w:rPr>
          <w:rFonts w:cstheme="minorHAnsi"/>
        </w:rPr>
        <w:t>.</w:t>
      </w:r>
      <w:r w:rsidR="00770968" w:rsidRPr="007A3506">
        <w:rPr>
          <w:rStyle w:val="FootnoteReference"/>
          <w:rFonts w:cstheme="minorHAnsi"/>
        </w:rPr>
        <w:footnoteReference w:id="27"/>
      </w:r>
    </w:p>
    <w:p w14:paraId="5FC37CE5" w14:textId="256E9E09" w:rsidR="00E6773B" w:rsidRPr="007A3506" w:rsidRDefault="00E6773B" w:rsidP="00E6773B">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950E35" w:rsidRPr="007A3506">
        <w:rPr>
          <w:rFonts w:asciiTheme="minorHAnsi" w:hAnsiTheme="minorHAnsi" w:cstheme="minorHAnsi"/>
        </w:rPr>
        <w:t>15</w:t>
      </w:r>
    </w:p>
    <w:p w14:paraId="78DA42C4" w14:textId="463D5C2F" w:rsidR="00E6773B" w:rsidRPr="007A3506" w:rsidRDefault="00E6773B" w:rsidP="00E6773B">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 the powers of the FSOs remain appropriate to achieve the objectives of the Scheme?</w:t>
      </w:r>
      <w:r w:rsidR="004B7971" w:rsidRPr="007A3506">
        <w:rPr>
          <w:rFonts w:cstheme="minorHAnsi"/>
        </w:rPr>
        <w:t xml:space="preserve"> </w:t>
      </w:r>
      <w:r w:rsidRPr="007A3506">
        <w:rPr>
          <w:rFonts w:cstheme="minorHAnsi"/>
        </w:rPr>
        <w:t>Are any other powers required?</w:t>
      </w:r>
    </w:p>
    <w:p w14:paraId="77A562DF" w14:textId="77777777" w:rsidR="00950E35" w:rsidRPr="007A3506" w:rsidRDefault="00950E35">
      <w:pPr>
        <w:spacing w:after="160" w:line="259" w:lineRule="auto"/>
        <w:rPr>
          <w:rFonts w:eastAsiaTheme="majorEastAsia" w:cstheme="minorHAnsi"/>
          <w:b/>
          <w:color w:val="214050" w:themeColor="text2"/>
          <w:sz w:val="30"/>
          <w:szCs w:val="26"/>
        </w:rPr>
      </w:pPr>
      <w:bookmarkStart w:id="89" w:name="_Toc138428295"/>
      <w:bookmarkStart w:id="90" w:name="_Toc1394585175"/>
      <w:r w:rsidRPr="007A3506">
        <w:rPr>
          <w:rFonts w:cstheme="minorHAnsi"/>
        </w:rPr>
        <w:br w:type="page"/>
      </w:r>
    </w:p>
    <w:p w14:paraId="5A9CD9FC" w14:textId="1FB180C2" w:rsidR="00AE5875" w:rsidRPr="007A3506" w:rsidRDefault="00AE5875" w:rsidP="00AE5875">
      <w:pPr>
        <w:pStyle w:val="Heading2"/>
        <w:rPr>
          <w:rFonts w:asciiTheme="minorHAnsi" w:hAnsiTheme="minorHAnsi" w:cstheme="minorHAnsi"/>
          <w:color w:val="000000"/>
          <w:shd w:val="clear" w:color="auto" w:fill="FFFFFF"/>
        </w:rPr>
      </w:pPr>
      <w:bookmarkStart w:id="91" w:name="_Toc139261459"/>
      <w:r w:rsidRPr="007A3506">
        <w:rPr>
          <w:rFonts w:asciiTheme="minorHAnsi" w:hAnsiTheme="minorHAnsi" w:cstheme="minorHAnsi"/>
        </w:rPr>
        <w:lastRenderedPageBreak/>
        <w:t xml:space="preserve">3.3 Scheme </w:t>
      </w:r>
      <w:r w:rsidR="00610D72" w:rsidRPr="007A3506">
        <w:rPr>
          <w:rFonts w:asciiTheme="minorHAnsi" w:hAnsiTheme="minorHAnsi" w:cstheme="minorHAnsi"/>
        </w:rPr>
        <w:t>R</w:t>
      </w:r>
      <w:r w:rsidRPr="007A3506">
        <w:rPr>
          <w:rFonts w:asciiTheme="minorHAnsi" w:hAnsiTheme="minorHAnsi" w:cstheme="minorHAnsi"/>
        </w:rPr>
        <w:t>equirements</w:t>
      </w:r>
      <w:bookmarkEnd w:id="89"/>
      <w:bookmarkEnd w:id="90"/>
      <w:bookmarkEnd w:id="91"/>
      <w:r w:rsidRPr="007A3506">
        <w:rPr>
          <w:rFonts w:asciiTheme="minorHAnsi" w:hAnsiTheme="minorHAnsi" w:cstheme="minorHAnsi"/>
        </w:rPr>
        <w:t xml:space="preserve"> </w:t>
      </w:r>
    </w:p>
    <w:p w14:paraId="4E6385A4" w14:textId="4CA670C2" w:rsidR="00AE5875" w:rsidRPr="007A3506" w:rsidRDefault="00AE5875" w:rsidP="00AE5875">
      <w:pPr>
        <w:rPr>
          <w:rFonts w:cstheme="minorHAnsi"/>
        </w:rPr>
      </w:pPr>
      <w:r w:rsidRPr="007A3506">
        <w:rPr>
          <w:rFonts w:cstheme="minorHAnsi"/>
        </w:rPr>
        <w:t>Following the 2014 review of the FSC, the Scheme’s financial thresholds were increased.</w:t>
      </w:r>
      <w:r w:rsidR="004B7971" w:rsidRPr="007A3506">
        <w:rPr>
          <w:rFonts w:cstheme="minorHAnsi"/>
        </w:rPr>
        <w:t xml:space="preserve"> </w:t>
      </w:r>
      <w:r w:rsidRPr="007A3506">
        <w:rPr>
          <w:rFonts w:cstheme="minorHAnsi"/>
        </w:rPr>
        <w:t>The thresholds have not been increased since that time.</w:t>
      </w:r>
      <w:r w:rsidR="00401A24" w:rsidRPr="007A3506">
        <w:rPr>
          <w:rFonts w:cstheme="minorHAnsi"/>
        </w:rPr>
        <w:t xml:space="preserve"> If the threshold increases, fewer projects will be in scope</w:t>
      </w:r>
      <w:r w:rsidR="00D921BB" w:rsidRPr="007A3506">
        <w:rPr>
          <w:rFonts w:cstheme="minorHAnsi"/>
        </w:rPr>
        <w:t xml:space="preserve"> potentially resulting in fewer smaller entities</w:t>
      </w:r>
      <w:r w:rsidR="001F383C" w:rsidRPr="007A3506">
        <w:rPr>
          <w:rFonts w:cstheme="minorHAnsi"/>
        </w:rPr>
        <w:t xml:space="preserve"> </w:t>
      </w:r>
      <w:r w:rsidR="00B164AA" w:rsidRPr="007A3506">
        <w:rPr>
          <w:rFonts w:cstheme="minorHAnsi"/>
        </w:rPr>
        <w:t>requiring accreditation.</w:t>
      </w:r>
    </w:p>
    <w:p w14:paraId="1CBB0522" w14:textId="77777777" w:rsidR="00022E93" w:rsidRPr="007A3506" w:rsidRDefault="00022E93" w:rsidP="00022E93">
      <w:pPr>
        <w:rPr>
          <w:rFonts w:cstheme="minorHAnsi"/>
        </w:rPr>
      </w:pPr>
      <w:r w:rsidRPr="007A3506">
        <w:rPr>
          <w:rFonts w:cstheme="minorHAnsi"/>
        </w:rPr>
        <w:t>The following table outlines how a change to the financial thresholds for Scheme coverage would impact existing Scheme projects and accreditations. Most notably:</w:t>
      </w:r>
    </w:p>
    <w:p w14:paraId="4DC0A19F" w14:textId="5FD2FBB5" w:rsidR="00022E93" w:rsidRPr="007A3506" w:rsidRDefault="00022E93" w:rsidP="00022E93">
      <w:pPr>
        <w:pStyle w:val="PURPLEBullet"/>
        <w:spacing w:after="200"/>
        <w:rPr>
          <w:rFonts w:cstheme="minorHAnsi"/>
        </w:rPr>
      </w:pPr>
      <w:r w:rsidRPr="007A3506">
        <w:rPr>
          <w:rFonts w:cstheme="minorHAnsi"/>
        </w:rPr>
        <w:t>14% of current accredit</w:t>
      </w:r>
      <w:r w:rsidR="00D20399" w:rsidRPr="007A3506">
        <w:rPr>
          <w:rFonts w:cstheme="minorHAnsi"/>
        </w:rPr>
        <w:t>ed entities</w:t>
      </w:r>
      <w:r w:rsidRPr="007A3506">
        <w:rPr>
          <w:rFonts w:cstheme="minorHAnsi"/>
        </w:rPr>
        <w:t xml:space="preserve"> are completing 88% of the current value of Scheme projects, demonstrating the dominance of relatively few </w:t>
      </w:r>
      <w:r w:rsidR="0094247A" w:rsidRPr="007A3506">
        <w:rPr>
          <w:rFonts w:cstheme="minorHAnsi"/>
        </w:rPr>
        <w:t>accredited entities</w:t>
      </w:r>
      <w:r w:rsidRPr="007A3506">
        <w:rPr>
          <w:rFonts w:cstheme="minorHAnsi"/>
        </w:rPr>
        <w:t>.</w:t>
      </w:r>
    </w:p>
    <w:p w14:paraId="72053A68" w14:textId="77777777" w:rsidR="00022E93" w:rsidRPr="007A3506" w:rsidRDefault="00022E93" w:rsidP="00022E93">
      <w:pPr>
        <w:pStyle w:val="PURPLEBullet"/>
        <w:spacing w:after="200"/>
        <w:rPr>
          <w:rFonts w:cstheme="minorHAnsi"/>
        </w:rPr>
      </w:pPr>
      <w:r w:rsidRPr="007A3506">
        <w:rPr>
          <w:rFonts w:cstheme="minorHAnsi"/>
        </w:rPr>
        <w:t>The 101 active Scheme projects under $10m represent 21% of the number of Scheme projects, yet account for less than 1 per cent of the value of Scheme projects. This demonstrates the large number of low value projects currently captured by the Scheme.</w:t>
      </w:r>
    </w:p>
    <w:p w14:paraId="12AB4BAA" w14:textId="77777777" w:rsidR="00E86D4B" w:rsidRPr="007A3506" w:rsidRDefault="00E86D4B" w:rsidP="00E86D4B">
      <w:pPr>
        <w:pStyle w:val="PURPLEBullet"/>
        <w:numPr>
          <w:ilvl w:val="0"/>
          <w:numId w:val="0"/>
        </w:numPr>
        <w:spacing w:after="200"/>
        <w:ind w:left="357" w:hanging="357"/>
        <w:rPr>
          <w:rFonts w:cstheme="minorHAnsi"/>
        </w:rPr>
      </w:pPr>
    </w:p>
    <w:tbl>
      <w:tblPr>
        <w:tblStyle w:val="DataTable1"/>
        <w:tblW w:w="9924" w:type="dxa"/>
        <w:tblInd w:w="-426" w:type="dxa"/>
        <w:tblLayout w:type="fixed"/>
        <w:tblLook w:val="04A0" w:firstRow="1" w:lastRow="0" w:firstColumn="1" w:lastColumn="0" w:noHBand="0" w:noVBand="1"/>
      </w:tblPr>
      <w:tblGrid>
        <w:gridCol w:w="1135"/>
        <w:gridCol w:w="1134"/>
        <w:gridCol w:w="1843"/>
        <w:gridCol w:w="1162"/>
        <w:gridCol w:w="1162"/>
        <w:gridCol w:w="1163"/>
        <w:gridCol w:w="1162"/>
        <w:gridCol w:w="1163"/>
      </w:tblGrid>
      <w:tr w:rsidR="007A3506" w:rsidRPr="00E412D6" w14:paraId="21A3009F" w14:textId="77777777">
        <w:trPr>
          <w:cnfStyle w:val="100000000000" w:firstRow="1" w:lastRow="0" w:firstColumn="0" w:lastColumn="0" w:oddVBand="0" w:evenVBand="0" w:oddHBand="0" w:evenHBand="0" w:firstRowFirstColumn="0" w:firstRowLastColumn="0" w:lastRowFirstColumn="0" w:lastRowLastColumn="0"/>
          <w:trHeight w:val="1500"/>
        </w:trPr>
        <w:tc>
          <w:tcPr>
            <w:tcW w:w="1135" w:type="dxa"/>
            <w:hideMark/>
          </w:tcPr>
          <w:p w14:paraId="129BF324" w14:textId="77777777" w:rsidR="00B52E58" w:rsidRPr="007A3506" w:rsidRDefault="00B52E58">
            <w:pPr>
              <w:spacing w:line="240" w:lineRule="auto"/>
              <w:rPr>
                <w:rFonts w:cstheme="minorHAnsi"/>
                <w:lang w:eastAsia="en-AU"/>
              </w:rPr>
            </w:pPr>
            <w:r w:rsidRPr="007A3506">
              <w:rPr>
                <w:rFonts w:cstheme="minorHAnsi"/>
                <w:lang w:eastAsia="en-AU"/>
              </w:rPr>
              <w:t>Threshold</w:t>
            </w:r>
          </w:p>
        </w:tc>
        <w:tc>
          <w:tcPr>
            <w:tcW w:w="1134" w:type="dxa"/>
            <w:hideMark/>
          </w:tcPr>
          <w:p w14:paraId="03CB6AF2" w14:textId="77777777" w:rsidR="00B52E58" w:rsidRPr="007A3506" w:rsidRDefault="00B52E58">
            <w:pPr>
              <w:spacing w:line="240" w:lineRule="auto"/>
              <w:rPr>
                <w:rFonts w:cstheme="minorHAnsi"/>
                <w:lang w:eastAsia="en-AU"/>
              </w:rPr>
            </w:pPr>
            <w:r w:rsidRPr="007A3506">
              <w:rPr>
                <w:rFonts w:cstheme="minorHAnsi"/>
                <w:lang w:eastAsia="en-AU"/>
              </w:rPr>
              <w:t>Number of active Scheme projects at or above threshold</w:t>
            </w:r>
          </w:p>
        </w:tc>
        <w:tc>
          <w:tcPr>
            <w:tcW w:w="1843" w:type="dxa"/>
            <w:hideMark/>
          </w:tcPr>
          <w:p w14:paraId="2DD2889A" w14:textId="77777777" w:rsidR="00B52E58" w:rsidRPr="007A3506" w:rsidRDefault="00B52E58">
            <w:pPr>
              <w:spacing w:line="240" w:lineRule="auto"/>
              <w:rPr>
                <w:rFonts w:cstheme="minorHAnsi"/>
                <w:lang w:eastAsia="en-AU"/>
              </w:rPr>
            </w:pPr>
            <w:r w:rsidRPr="007A3506">
              <w:rPr>
                <w:rFonts w:cstheme="minorHAnsi"/>
                <w:lang w:eastAsia="en-AU"/>
              </w:rPr>
              <w:t>Value of active Scheme projects at or above threshold</w:t>
            </w:r>
          </w:p>
        </w:tc>
        <w:tc>
          <w:tcPr>
            <w:tcW w:w="1162" w:type="dxa"/>
            <w:hideMark/>
          </w:tcPr>
          <w:p w14:paraId="00CF48C0" w14:textId="77777777" w:rsidR="00B52E58" w:rsidRPr="007A3506" w:rsidRDefault="00B52E58">
            <w:pPr>
              <w:spacing w:line="240" w:lineRule="auto"/>
              <w:rPr>
                <w:rFonts w:cstheme="minorHAnsi"/>
                <w:lang w:eastAsia="en-AU"/>
              </w:rPr>
            </w:pPr>
            <w:r w:rsidRPr="007A3506">
              <w:rPr>
                <w:rFonts w:cstheme="minorHAnsi"/>
                <w:lang w:eastAsia="en-AU"/>
              </w:rPr>
              <w:t>% of current total active Scheme project value</w:t>
            </w:r>
          </w:p>
        </w:tc>
        <w:tc>
          <w:tcPr>
            <w:tcW w:w="1162" w:type="dxa"/>
            <w:hideMark/>
          </w:tcPr>
          <w:p w14:paraId="2B26A832" w14:textId="77777777" w:rsidR="00B52E58" w:rsidRPr="007A3506" w:rsidRDefault="00B52E58">
            <w:pPr>
              <w:spacing w:line="240" w:lineRule="auto"/>
              <w:rPr>
                <w:rFonts w:cstheme="minorHAnsi"/>
                <w:lang w:eastAsia="en-AU"/>
              </w:rPr>
            </w:pPr>
            <w:r w:rsidRPr="007A3506">
              <w:rPr>
                <w:rFonts w:cstheme="minorHAnsi"/>
                <w:lang w:eastAsia="en-AU"/>
              </w:rPr>
              <w:t>Number of accreditations with projects in past 3 years at or above threshold</w:t>
            </w:r>
          </w:p>
        </w:tc>
        <w:tc>
          <w:tcPr>
            <w:tcW w:w="1163" w:type="dxa"/>
          </w:tcPr>
          <w:p w14:paraId="050F53B8" w14:textId="77777777" w:rsidR="00B52E58" w:rsidRPr="007A3506" w:rsidRDefault="00B52E58">
            <w:pPr>
              <w:spacing w:line="240" w:lineRule="auto"/>
              <w:rPr>
                <w:rFonts w:cstheme="minorHAnsi"/>
                <w:lang w:eastAsia="en-AU"/>
              </w:rPr>
            </w:pPr>
            <w:r w:rsidRPr="007A3506">
              <w:rPr>
                <w:rFonts w:cstheme="minorHAnsi"/>
                <w:lang w:eastAsia="en-AU"/>
              </w:rPr>
              <w:t>% of current accreditations with projects in past 3 years at or above threshold</w:t>
            </w:r>
          </w:p>
        </w:tc>
        <w:tc>
          <w:tcPr>
            <w:tcW w:w="1162" w:type="dxa"/>
          </w:tcPr>
          <w:p w14:paraId="380B78BF" w14:textId="2CC38034" w:rsidR="00B52E58" w:rsidRPr="007A3506" w:rsidRDefault="00B52E58">
            <w:pPr>
              <w:spacing w:line="240" w:lineRule="auto"/>
              <w:rPr>
                <w:rFonts w:cstheme="minorHAnsi"/>
                <w:lang w:eastAsia="en-AU"/>
              </w:rPr>
            </w:pPr>
            <w:r w:rsidRPr="007A3506">
              <w:rPr>
                <w:rFonts w:cstheme="minorHAnsi"/>
              </w:rPr>
              <w:t>Safety incidents reported on active Scheme projects</w:t>
            </w:r>
          </w:p>
        </w:tc>
        <w:tc>
          <w:tcPr>
            <w:tcW w:w="1163" w:type="dxa"/>
          </w:tcPr>
          <w:p w14:paraId="2B2410BE" w14:textId="77777777" w:rsidR="00B52E58" w:rsidRPr="007A3506" w:rsidRDefault="00B52E58">
            <w:pPr>
              <w:spacing w:line="240" w:lineRule="auto"/>
              <w:rPr>
                <w:rFonts w:cstheme="minorHAnsi"/>
                <w:lang w:eastAsia="en-AU"/>
              </w:rPr>
            </w:pPr>
            <w:r w:rsidRPr="007A3506">
              <w:rPr>
                <w:rFonts w:cstheme="minorHAnsi"/>
              </w:rPr>
              <w:t>% of incidents reported at or above threshold</w:t>
            </w:r>
          </w:p>
        </w:tc>
      </w:tr>
      <w:tr w:rsidR="00B52E58" w:rsidRPr="00E412D6" w14:paraId="4E58A453" w14:textId="77777777">
        <w:trPr>
          <w:trHeight w:val="642"/>
        </w:trPr>
        <w:tc>
          <w:tcPr>
            <w:tcW w:w="1135" w:type="dxa"/>
            <w:hideMark/>
          </w:tcPr>
          <w:p w14:paraId="055BA510"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Current</w:t>
            </w:r>
          </w:p>
        </w:tc>
        <w:tc>
          <w:tcPr>
            <w:tcW w:w="1134" w:type="dxa"/>
            <w:noWrap/>
            <w:hideMark/>
          </w:tcPr>
          <w:p w14:paraId="27D80D5D" w14:textId="77777777" w:rsidR="00B52E58" w:rsidRPr="007A3506" w:rsidRDefault="00B52E58">
            <w:pPr>
              <w:spacing w:line="240" w:lineRule="auto"/>
              <w:rPr>
                <w:rFonts w:cstheme="minorHAnsi"/>
                <w:lang w:eastAsia="en-AU"/>
              </w:rPr>
            </w:pPr>
            <w:r w:rsidRPr="007A3506">
              <w:rPr>
                <w:rFonts w:cstheme="minorHAnsi"/>
                <w:lang w:eastAsia="en-AU"/>
              </w:rPr>
              <w:t>478</w:t>
            </w:r>
          </w:p>
        </w:tc>
        <w:tc>
          <w:tcPr>
            <w:tcW w:w="1843" w:type="dxa"/>
            <w:noWrap/>
            <w:hideMark/>
          </w:tcPr>
          <w:p w14:paraId="26856541" w14:textId="77777777" w:rsidR="00B52E58" w:rsidRPr="007A3506" w:rsidRDefault="00B52E58">
            <w:pPr>
              <w:spacing w:line="240" w:lineRule="auto"/>
              <w:rPr>
                <w:rFonts w:cstheme="minorHAnsi"/>
                <w:lang w:eastAsia="en-AU"/>
              </w:rPr>
            </w:pPr>
            <w:r w:rsidRPr="007A3506">
              <w:rPr>
                <w:rFonts w:cstheme="minorHAnsi"/>
                <w:lang w:eastAsia="en-AU"/>
              </w:rPr>
              <w:t>$78,896,532,673</w:t>
            </w:r>
          </w:p>
        </w:tc>
        <w:tc>
          <w:tcPr>
            <w:tcW w:w="1162" w:type="dxa"/>
            <w:hideMark/>
          </w:tcPr>
          <w:p w14:paraId="668A387E"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100%</w:t>
            </w:r>
          </w:p>
        </w:tc>
        <w:tc>
          <w:tcPr>
            <w:tcW w:w="1162" w:type="dxa"/>
            <w:noWrap/>
            <w:hideMark/>
          </w:tcPr>
          <w:p w14:paraId="5FA6175B" w14:textId="77777777" w:rsidR="00B52E58" w:rsidRPr="007A3506" w:rsidRDefault="00B52E58">
            <w:pPr>
              <w:spacing w:line="240" w:lineRule="auto"/>
              <w:rPr>
                <w:rFonts w:cstheme="minorHAnsi"/>
                <w:lang w:eastAsia="en-AU"/>
              </w:rPr>
            </w:pPr>
            <w:r w:rsidRPr="007A3506">
              <w:rPr>
                <w:rFonts w:cstheme="minorHAnsi"/>
                <w:lang w:eastAsia="en-AU"/>
              </w:rPr>
              <w:t>233</w:t>
            </w:r>
          </w:p>
        </w:tc>
        <w:tc>
          <w:tcPr>
            <w:tcW w:w="1163" w:type="dxa"/>
          </w:tcPr>
          <w:p w14:paraId="01DAF93F" w14:textId="77777777" w:rsidR="00B52E58" w:rsidRPr="007A3506" w:rsidRDefault="00B52E58">
            <w:pPr>
              <w:spacing w:line="240" w:lineRule="auto"/>
              <w:rPr>
                <w:rFonts w:cstheme="minorHAnsi"/>
                <w:lang w:eastAsia="en-AU"/>
              </w:rPr>
            </w:pPr>
            <w:r w:rsidRPr="007A3506">
              <w:rPr>
                <w:rFonts w:cstheme="minorHAnsi"/>
              </w:rPr>
              <w:t>53%</w:t>
            </w:r>
          </w:p>
        </w:tc>
        <w:tc>
          <w:tcPr>
            <w:tcW w:w="1162" w:type="dxa"/>
          </w:tcPr>
          <w:p w14:paraId="48988AAD" w14:textId="77777777" w:rsidR="00B52E58" w:rsidRPr="007A3506" w:rsidRDefault="00B52E58">
            <w:pPr>
              <w:spacing w:line="240" w:lineRule="auto"/>
              <w:rPr>
                <w:rFonts w:cstheme="minorHAnsi"/>
              </w:rPr>
            </w:pPr>
            <w:r w:rsidRPr="007A3506">
              <w:rPr>
                <w:rFonts w:cstheme="minorHAnsi"/>
              </w:rPr>
              <w:t>965</w:t>
            </w:r>
          </w:p>
        </w:tc>
        <w:tc>
          <w:tcPr>
            <w:tcW w:w="1163" w:type="dxa"/>
          </w:tcPr>
          <w:p w14:paraId="1F0CEFCF" w14:textId="77777777" w:rsidR="00B52E58" w:rsidRPr="007A3506" w:rsidRDefault="00B52E58">
            <w:pPr>
              <w:spacing w:line="240" w:lineRule="auto"/>
              <w:rPr>
                <w:rFonts w:cstheme="minorHAnsi"/>
              </w:rPr>
            </w:pPr>
            <w:r w:rsidRPr="007A3506">
              <w:rPr>
                <w:rFonts w:cstheme="minorHAnsi"/>
              </w:rPr>
              <w:t>100.0%</w:t>
            </w:r>
          </w:p>
        </w:tc>
      </w:tr>
      <w:tr w:rsidR="007A3506" w:rsidRPr="00E412D6" w14:paraId="5EF2088F" w14:textId="77777777" w:rsidTr="008D5B39">
        <w:trPr>
          <w:trHeight w:val="299"/>
        </w:trPr>
        <w:tc>
          <w:tcPr>
            <w:tcW w:w="1135" w:type="dxa"/>
            <w:shd w:val="clear" w:color="auto" w:fill="F2F2F2" w:themeFill="background1" w:themeFillShade="F2"/>
            <w:hideMark/>
          </w:tcPr>
          <w:p w14:paraId="39A4F2F9"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$10m+</w:t>
            </w:r>
          </w:p>
        </w:tc>
        <w:tc>
          <w:tcPr>
            <w:tcW w:w="1134" w:type="dxa"/>
            <w:shd w:val="clear" w:color="auto" w:fill="F2F2F2" w:themeFill="background1" w:themeFillShade="F2"/>
            <w:noWrap/>
            <w:hideMark/>
          </w:tcPr>
          <w:p w14:paraId="080A06BD" w14:textId="77777777" w:rsidR="00B52E58" w:rsidRPr="007A3506" w:rsidRDefault="00B52E58">
            <w:pPr>
              <w:spacing w:line="240" w:lineRule="auto"/>
              <w:rPr>
                <w:rFonts w:cstheme="minorHAnsi"/>
                <w:lang w:eastAsia="en-AU"/>
              </w:rPr>
            </w:pPr>
            <w:r w:rsidRPr="007A3506">
              <w:rPr>
                <w:rFonts w:cstheme="minorHAnsi"/>
                <w:lang w:eastAsia="en-AU"/>
              </w:rPr>
              <w:t>377</w:t>
            </w:r>
          </w:p>
        </w:tc>
        <w:tc>
          <w:tcPr>
            <w:tcW w:w="1843" w:type="dxa"/>
            <w:shd w:val="clear" w:color="auto" w:fill="F2F2F2" w:themeFill="background1" w:themeFillShade="F2"/>
            <w:noWrap/>
            <w:hideMark/>
          </w:tcPr>
          <w:p w14:paraId="03B130B1" w14:textId="77777777" w:rsidR="00B52E58" w:rsidRPr="007A3506" w:rsidRDefault="00B52E58">
            <w:pPr>
              <w:spacing w:line="240" w:lineRule="auto"/>
              <w:rPr>
                <w:rFonts w:cstheme="minorHAnsi"/>
                <w:lang w:eastAsia="en-AU"/>
              </w:rPr>
            </w:pPr>
            <w:r w:rsidRPr="007A3506">
              <w:rPr>
                <w:rFonts w:cstheme="minorHAnsi"/>
                <w:lang w:eastAsia="en-AU"/>
              </w:rPr>
              <w:t>$78,194,961,024</w:t>
            </w:r>
          </w:p>
        </w:tc>
        <w:tc>
          <w:tcPr>
            <w:tcW w:w="1162" w:type="dxa"/>
            <w:shd w:val="clear" w:color="auto" w:fill="F2F2F2" w:themeFill="background1" w:themeFillShade="F2"/>
            <w:hideMark/>
          </w:tcPr>
          <w:p w14:paraId="3FA5BA56"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99.1%</w:t>
            </w:r>
          </w:p>
        </w:tc>
        <w:tc>
          <w:tcPr>
            <w:tcW w:w="1162" w:type="dxa"/>
            <w:shd w:val="clear" w:color="auto" w:fill="F2F2F2" w:themeFill="background1" w:themeFillShade="F2"/>
            <w:noWrap/>
            <w:hideMark/>
          </w:tcPr>
          <w:p w14:paraId="53EA4C62" w14:textId="77777777" w:rsidR="00B52E58" w:rsidRPr="007A3506" w:rsidRDefault="00B52E58">
            <w:pPr>
              <w:spacing w:line="240" w:lineRule="auto"/>
              <w:rPr>
                <w:rFonts w:cstheme="minorHAnsi"/>
                <w:lang w:eastAsia="en-AU"/>
              </w:rPr>
            </w:pPr>
            <w:r w:rsidRPr="007A3506">
              <w:rPr>
                <w:rFonts w:cstheme="minorHAnsi"/>
                <w:lang w:eastAsia="en-AU"/>
              </w:rPr>
              <w:t>190</w:t>
            </w:r>
          </w:p>
        </w:tc>
        <w:tc>
          <w:tcPr>
            <w:tcW w:w="1163" w:type="dxa"/>
            <w:shd w:val="clear" w:color="auto" w:fill="F2F2F2" w:themeFill="background1" w:themeFillShade="F2"/>
          </w:tcPr>
          <w:p w14:paraId="5E812EF4" w14:textId="77777777" w:rsidR="00B52E58" w:rsidRPr="007A3506" w:rsidRDefault="00B52E58">
            <w:pPr>
              <w:spacing w:line="240" w:lineRule="auto"/>
              <w:rPr>
                <w:rFonts w:cstheme="minorHAnsi"/>
                <w:lang w:eastAsia="en-AU"/>
              </w:rPr>
            </w:pPr>
            <w:r w:rsidRPr="007A3506">
              <w:rPr>
                <w:rFonts w:cstheme="minorHAnsi"/>
              </w:rPr>
              <w:t>43%</w:t>
            </w:r>
          </w:p>
        </w:tc>
        <w:tc>
          <w:tcPr>
            <w:tcW w:w="1162" w:type="dxa"/>
            <w:shd w:val="clear" w:color="auto" w:fill="F2F2F2" w:themeFill="background1" w:themeFillShade="F2"/>
          </w:tcPr>
          <w:p w14:paraId="1CF3414D" w14:textId="77777777" w:rsidR="00B52E58" w:rsidRPr="007A3506" w:rsidRDefault="00B52E58">
            <w:pPr>
              <w:spacing w:line="240" w:lineRule="auto"/>
              <w:rPr>
                <w:rFonts w:cstheme="minorHAnsi"/>
              </w:rPr>
            </w:pPr>
            <w:r w:rsidRPr="007A3506">
              <w:rPr>
                <w:rFonts w:cstheme="minorHAnsi"/>
              </w:rPr>
              <w:t>943</w:t>
            </w:r>
          </w:p>
        </w:tc>
        <w:tc>
          <w:tcPr>
            <w:tcW w:w="1163" w:type="dxa"/>
            <w:shd w:val="clear" w:color="auto" w:fill="F2F2F2" w:themeFill="background1" w:themeFillShade="F2"/>
          </w:tcPr>
          <w:p w14:paraId="3B1CE7B6" w14:textId="77777777" w:rsidR="00B52E58" w:rsidRPr="007A3506" w:rsidRDefault="00B52E58">
            <w:pPr>
              <w:spacing w:line="240" w:lineRule="auto"/>
              <w:rPr>
                <w:rFonts w:cstheme="minorHAnsi"/>
              </w:rPr>
            </w:pPr>
            <w:r w:rsidRPr="007A3506">
              <w:rPr>
                <w:rFonts w:cstheme="minorHAnsi"/>
              </w:rPr>
              <w:t>97.7%</w:t>
            </w:r>
          </w:p>
        </w:tc>
      </w:tr>
      <w:tr w:rsidR="00B52E58" w:rsidRPr="00E412D6" w14:paraId="029C9718" w14:textId="77777777">
        <w:trPr>
          <w:trHeight w:val="235"/>
        </w:trPr>
        <w:tc>
          <w:tcPr>
            <w:tcW w:w="1135" w:type="dxa"/>
            <w:hideMark/>
          </w:tcPr>
          <w:p w14:paraId="063F2ED1"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$20m+</w:t>
            </w:r>
          </w:p>
        </w:tc>
        <w:tc>
          <w:tcPr>
            <w:tcW w:w="1134" w:type="dxa"/>
            <w:noWrap/>
            <w:hideMark/>
          </w:tcPr>
          <w:p w14:paraId="40F3CBBC" w14:textId="77777777" w:rsidR="00B52E58" w:rsidRPr="007A3506" w:rsidRDefault="00B52E58">
            <w:pPr>
              <w:spacing w:line="240" w:lineRule="auto"/>
              <w:rPr>
                <w:rFonts w:cstheme="minorHAnsi"/>
                <w:lang w:eastAsia="en-AU"/>
              </w:rPr>
            </w:pPr>
            <w:r w:rsidRPr="007A3506">
              <w:rPr>
                <w:rFonts w:cstheme="minorHAnsi"/>
                <w:lang w:eastAsia="en-AU"/>
              </w:rPr>
              <w:t>292</w:t>
            </w:r>
          </w:p>
        </w:tc>
        <w:tc>
          <w:tcPr>
            <w:tcW w:w="1843" w:type="dxa"/>
            <w:noWrap/>
            <w:hideMark/>
          </w:tcPr>
          <w:p w14:paraId="63DBD3E5" w14:textId="77777777" w:rsidR="00B52E58" w:rsidRPr="007A3506" w:rsidRDefault="00B52E58">
            <w:pPr>
              <w:spacing w:line="240" w:lineRule="auto"/>
              <w:rPr>
                <w:rFonts w:cstheme="minorHAnsi"/>
                <w:lang w:eastAsia="en-AU"/>
              </w:rPr>
            </w:pPr>
            <w:r w:rsidRPr="007A3506">
              <w:rPr>
                <w:rFonts w:cstheme="minorHAnsi"/>
                <w:lang w:eastAsia="en-AU"/>
              </w:rPr>
              <w:t>$77,010,662,299</w:t>
            </w:r>
          </w:p>
        </w:tc>
        <w:tc>
          <w:tcPr>
            <w:tcW w:w="1162" w:type="dxa"/>
            <w:hideMark/>
          </w:tcPr>
          <w:p w14:paraId="035CE7EA"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97.6%</w:t>
            </w:r>
          </w:p>
        </w:tc>
        <w:tc>
          <w:tcPr>
            <w:tcW w:w="1162" w:type="dxa"/>
            <w:noWrap/>
            <w:hideMark/>
          </w:tcPr>
          <w:p w14:paraId="1E39A8D1" w14:textId="77777777" w:rsidR="00B52E58" w:rsidRPr="007A3506" w:rsidRDefault="00B52E58">
            <w:pPr>
              <w:spacing w:line="240" w:lineRule="auto"/>
              <w:rPr>
                <w:rFonts w:cstheme="minorHAnsi"/>
                <w:lang w:eastAsia="en-AU"/>
              </w:rPr>
            </w:pPr>
            <w:r w:rsidRPr="007A3506">
              <w:rPr>
                <w:rFonts w:cstheme="minorHAnsi"/>
                <w:lang w:eastAsia="en-AU"/>
              </w:rPr>
              <w:t>148</w:t>
            </w:r>
          </w:p>
        </w:tc>
        <w:tc>
          <w:tcPr>
            <w:tcW w:w="1163" w:type="dxa"/>
          </w:tcPr>
          <w:p w14:paraId="250E253B" w14:textId="77777777" w:rsidR="00B52E58" w:rsidRPr="007A3506" w:rsidRDefault="00B52E58">
            <w:pPr>
              <w:spacing w:line="240" w:lineRule="auto"/>
              <w:rPr>
                <w:rFonts w:cstheme="minorHAnsi"/>
                <w:lang w:eastAsia="en-AU"/>
              </w:rPr>
            </w:pPr>
            <w:r w:rsidRPr="007A3506">
              <w:rPr>
                <w:rFonts w:cstheme="minorHAnsi"/>
              </w:rPr>
              <w:t>34%</w:t>
            </w:r>
          </w:p>
        </w:tc>
        <w:tc>
          <w:tcPr>
            <w:tcW w:w="1162" w:type="dxa"/>
          </w:tcPr>
          <w:p w14:paraId="2AB710F7" w14:textId="77777777" w:rsidR="00B52E58" w:rsidRPr="007A3506" w:rsidRDefault="00B52E58">
            <w:pPr>
              <w:spacing w:line="240" w:lineRule="auto"/>
              <w:rPr>
                <w:rFonts w:cstheme="minorHAnsi"/>
              </w:rPr>
            </w:pPr>
            <w:r w:rsidRPr="007A3506">
              <w:rPr>
                <w:rFonts w:cstheme="minorHAnsi"/>
              </w:rPr>
              <w:t>914</w:t>
            </w:r>
          </w:p>
        </w:tc>
        <w:tc>
          <w:tcPr>
            <w:tcW w:w="1163" w:type="dxa"/>
          </w:tcPr>
          <w:p w14:paraId="4C12A6FA" w14:textId="77777777" w:rsidR="00B52E58" w:rsidRPr="007A3506" w:rsidRDefault="00B52E58">
            <w:pPr>
              <w:spacing w:line="240" w:lineRule="auto"/>
              <w:rPr>
                <w:rFonts w:cstheme="minorHAnsi"/>
              </w:rPr>
            </w:pPr>
            <w:r w:rsidRPr="007A3506">
              <w:rPr>
                <w:rFonts w:cstheme="minorHAnsi"/>
              </w:rPr>
              <w:t>94.7%</w:t>
            </w:r>
          </w:p>
        </w:tc>
      </w:tr>
      <w:tr w:rsidR="007A3506" w:rsidRPr="00E412D6" w14:paraId="57F9E899" w14:textId="77777777" w:rsidTr="008D5B39">
        <w:trPr>
          <w:trHeight w:val="158"/>
        </w:trPr>
        <w:tc>
          <w:tcPr>
            <w:tcW w:w="1135" w:type="dxa"/>
            <w:shd w:val="clear" w:color="auto" w:fill="F2F2F2" w:themeFill="background1" w:themeFillShade="F2"/>
            <w:hideMark/>
          </w:tcPr>
          <w:p w14:paraId="4C5D3821"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$30m+</w:t>
            </w:r>
          </w:p>
        </w:tc>
        <w:tc>
          <w:tcPr>
            <w:tcW w:w="1134" w:type="dxa"/>
            <w:shd w:val="clear" w:color="auto" w:fill="F2F2F2" w:themeFill="background1" w:themeFillShade="F2"/>
            <w:noWrap/>
            <w:hideMark/>
          </w:tcPr>
          <w:p w14:paraId="2F3F1D9D" w14:textId="77777777" w:rsidR="00B52E58" w:rsidRPr="007A3506" w:rsidRDefault="00B52E58">
            <w:pPr>
              <w:spacing w:line="240" w:lineRule="auto"/>
              <w:rPr>
                <w:rFonts w:cstheme="minorHAnsi"/>
                <w:lang w:eastAsia="en-AU"/>
              </w:rPr>
            </w:pPr>
            <w:r w:rsidRPr="007A3506">
              <w:rPr>
                <w:rFonts w:cstheme="minorHAnsi"/>
                <w:lang w:eastAsia="en-AU"/>
              </w:rPr>
              <w:t>246</w:t>
            </w:r>
          </w:p>
        </w:tc>
        <w:tc>
          <w:tcPr>
            <w:tcW w:w="1843" w:type="dxa"/>
            <w:shd w:val="clear" w:color="auto" w:fill="F2F2F2" w:themeFill="background1" w:themeFillShade="F2"/>
            <w:noWrap/>
            <w:hideMark/>
          </w:tcPr>
          <w:p w14:paraId="235FCF6D" w14:textId="77777777" w:rsidR="00B52E58" w:rsidRPr="007A3506" w:rsidRDefault="00B52E58">
            <w:pPr>
              <w:spacing w:line="240" w:lineRule="auto"/>
              <w:rPr>
                <w:rFonts w:cstheme="minorHAnsi"/>
                <w:lang w:eastAsia="en-AU"/>
              </w:rPr>
            </w:pPr>
            <w:r w:rsidRPr="007A3506">
              <w:rPr>
                <w:rFonts w:cstheme="minorHAnsi"/>
                <w:lang w:eastAsia="en-AU"/>
              </w:rPr>
              <w:t>$75,877,071,135</w:t>
            </w:r>
          </w:p>
        </w:tc>
        <w:tc>
          <w:tcPr>
            <w:tcW w:w="1162" w:type="dxa"/>
            <w:shd w:val="clear" w:color="auto" w:fill="F2F2F2" w:themeFill="background1" w:themeFillShade="F2"/>
            <w:hideMark/>
          </w:tcPr>
          <w:p w14:paraId="2DA555B3"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96.2%</w:t>
            </w:r>
          </w:p>
        </w:tc>
        <w:tc>
          <w:tcPr>
            <w:tcW w:w="1162" w:type="dxa"/>
            <w:shd w:val="clear" w:color="auto" w:fill="F2F2F2" w:themeFill="background1" w:themeFillShade="F2"/>
            <w:noWrap/>
            <w:hideMark/>
          </w:tcPr>
          <w:p w14:paraId="3AD58A58" w14:textId="77777777" w:rsidR="00B52E58" w:rsidRPr="007A3506" w:rsidRDefault="00B52E58">
            <w:pPr>
              <w:spacing w:line="240" w:lineRule="auto"/>
              <w:rPr>
                <w:rFonts w:cstheme="minorHAnsi"/>
                <w:lang w:eastAsia="en-AU"/>
              </w:rPr>
            </w:pPr>
            <w:r w:rsidRPr="007A3506">
              <w:rPr>
                <w:rFonts w:cstheme="minorHAnsi"/>
                <w:lang w:eastAsia="en-AU"/>
              </w:rPr>
              <w:t>119</w:t>
            </w:r>
          </w:p>
        </w:tc>
        <w:tc>
          <w:tcPr>
            <w:tcW w:w="1163" w:type="dxa"/>
            <w:shd w:val="clear" w:color="auto" w:fill="F2F2F2" w:themeFill="background1" w:themeFillShade="F2"/>
          </w:tcPr>
          <w:p w14:paraId="2D293566" w14:textId="77777777" w:rsidR="00B52E58" w:rsidRPr="007A3506" w:rsidRDefault="00B52E58">
            <w:pPr>
              <w:spacing w:line="240" w:lineRule="auto"/>
              <w:rPr>
                <w:rFonts w:cstheme="minorHAnsi"/>
                <w:lang w:eastAsia="en-AU"/>
              </w:rPr>
            </w:pPr>
            <w:r w:rsidRPr="007A3506">
              <w:rPr>
                <w:rFonts w:cstheme="minorHAnsi"/>
              </w:rPr>
              <w:t>27%</w:t>
            </w:r>
          </w:p>
        </w:tc>
        <w:tc>
          <w:tcPr>
            <w:tcW w:w="1162" w:type="dxa"/>
            <w:shd w:val="clear" w:color="auto" w:fill="F2F2F2" w:themeFill="background1" w:themeFillShade="F2"/>
          </w:tcPr>
          <w:p w14:paraId="20F26552" w14:textId="77777777" w:rsidR="00B52E58" w:rsidRPr="007A3506" w:rsidRDefault="00B52E58">
            <w:pPr>
              <w:spacing w:line="240" w:lineRule="auto"/>
              <w:rPr>
                <w:rFonts w:cstheme="minorHAnsi"/>
              </w:rPr>
            </w:pPr>
            <w:r w:rsidRPr="007A3506">
              <w:rPr>
                <w:rFonts w:cstheme="minorHAnsi"/>
              </w:rPr>
              <w:t>895</w:t>
            </w:r>
          </w:p>
        </w:tc>
        <w:tc>
          <w:tcPr>
            <w:tcW w:w="1163" w:type="dxa"/>
            <w:shd w:val="clear" w:color="auto" w:fill="F2F2F2" w:themeFill="background1" w:themeFillShade="F2"/>
          </w:tcPr>
          <w:p w14:paraId="0E25B769" w14:textId="77777777" w:rsidR="00B52E58" w:rsidRPr="007A3506" w:rsidRDefault="00B52E58">
            <w:pPr>
              <w:spacing w:line="240" w:lineRule="auto"/>
              <w:rPr>
                <w:rFonts w:cstheme="minorHAnsi"/>
              </w:rPr>
            </w:pPr>
            <w:r w:rsidRPr="007A3506">
              <w:rPr>
                <w:rFonts w:cstheme="minorHAnsi"/>
              </w:rPr>
              <w:t>92.7%</w:t>
            </w:r>
          </w:p>
        </w:tc>
      </w:tr>
      <w:tr w:rsidR="00B52E58" w:rsidRPr="00E412D6" w14:paraId="79C0FE61" w14:textId="77777777">
        <w:trPr>
          <w:trHeight w:val="80"/>
        </w:trPr>
        <w:tc>
          <w:tcPr>
            <w:tcW w:w="1135" w:type="dxa"/>
            <w:hideMark/>
          </w:tcPr>
          <w:p w14:paraId="295D0AED"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$40m+</w:t>
            </w:r>
          </w:p>
        </w:tc>
        <w:tc>
          <w:tcPr>
            <w:tcW w:w="1134" w:type="dxa"/>
            <w:noWrap/>
            <w:hideMark/>
          </w:tcPr>
          <w:p w14:paraId="7178FBAA" w14:textId="77777777" w:rsidR="00B52E58" w:rsidRPr="007A3506" w:rsidRDefault="00B52E58">
            <w:pPr>
              <w:spacing w:line="240" w:lineRule="auto"/>
              <w:rPr>
                <w:rFonts w:cstheme="minorHAnsi"/>
                <w:lang w:eastAsia="en-AU"/>
              </w:rPr>
            </w:pPr>
            <w:r w:rsidRPr="007A3506">
              <w:rPr>
                <w:rFonts w:cstheme="minorHAnsi"/>
                <w:lang w:eastAsia="en-AU"/>
              </w:rPr>
              <w:t>220</w:t>
            </w:r>
          </w:p>
        </w:tc>
        <w:tc>
          <w:tcPr>
            <w:tcW w:w="1843" w:type="dxa"/>
            <w:noWrap/>
            <w:hideMark/>
          </w:tcPr>
          <w:p w14:paraId="495B933B" w14:textId="77777777" w:rsidR="00B52E58" w:rsidRPr="007A3506" w:rsidRDefault="00B52E58">
            <w:pPr>
              <w:spacing w:line="240" w:lineRule="auto"/>
              <w:rPr>
                <w:rFonts w:cstheme="minorHAnsi"/>
                <w:lang w:eastAsia="en-AU"/>
              </w:rPr>
            </w:pPr>
            <w:r w:rsidRPr="007A3506">
              <w:rPr>
                <w:rFonts w:cstheme="minorHAnsi"/>
                <w:lang w:eastAsia="en-AU"/>
              </w:rPr>
              <w:t>$74,981,131,087</w:t>
            </w:r>
          </w:p>
        </w:tc>
        <w:tc>
          <w:tcPr>
            <w:tcW w:w="1162" w:type="dxa"/>
            <w:hideMark/>
          </w:tcPr>
          <w:p w14:paraId="592C1C9E"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95.0%</w:t>
            </w:r>
          </w:p>
        </w:tc>
        <w:tc>
          <w:tcPr>
            <w:tcW w:w="1162" w:type="dxa"/>
            <w:noWrap/>
            <w:hideMark/>
          </w:tcPr>
          <w:p w14:paraId="0C52BF9B" w14:textId="77777777" w:rsidR="00B52E58" w:rsidRPr="007A3506" w:rsidRDefault="00B52E58">
            <w:pPr>
              <w:spacing w:line="240" w:lineRule="auto"/>
              <w:rPr>
                <w:rFonts w:cstheme="minorHAnsi"/>
                <w:lang w:eastAsia="en-AU"/>
              </w:rPr>
            </w:pPr>
            <w:r w:rsidRPr="007A3506">
              <w:rPr>
                <w:rFonts w:cstheme="minorHAnsi"/>
                <w:lang w:eastAsia="en-AU"/>
              </w:rPr>
              <w:t>98</w:t>
            </w:r>
          </w:p>
        </w:tc>
        <w:tc>
          <w:tcPr>
            <w:tcW w:w="1163" w:type="dxa"/>
          </w:tcPr>
          <w:p w14:paraId="5D8D477E" w14:textId="77777777" w:rsidR="00B52E58" w:rsidRPr="007A3506" w:rsidRDefault="00B52E58">
            <w:pPr>
              <w:spacing w:line="240" w:lineRule="auto"/>
              <w:rPr>
                <w:rFonts w:cstheme="minorHAnsi"/>
                <w:lang w:eastAsia="en-AU"/>
              </w:rPr>
            </w:pPr>
            <w:r w:rsidRPr="007A3506">
              <w:rPr>
                <w:rFonts w:cstheme="minorHAnsi"/>
              </w:rPr>
              <w:t>22%</w:t>
            </w:r>
          </w:p>
        </w:tc>
        <w:tc>
          <w:tcPr>
            <w:tcW w:w="1162" w:type="dxa"/>
          </w:tcPr>
          <w:p w14:paraId="0FFC90BB" w14:textId="77777777" w:rsidR="00B52E58" w:rsidRPr="007A3506" w:rsidRDefault="00B52E58">
            <w:pPr>
              <w:spacing w:line="240" w:lineRule="auto"/>
              <w:rPr>
                <w:rFonts w:cstheme="minorHAnsi"/>
              </w:rPr>
            </w:pPr>
            <w:r w:rsidRPr="007A3506">
              <w:rPr>
                <w:rFonts w:cstheme="minorHAnsi"/>
              </w:rPr>
              <w:t>867</w:t>
            </w:r>
          </w:p>
        </w:tc>
        <w:tc>
          <w:tcPr>
            <w:tcW w:w="1163" w:type="dxa"/>
          </w:tcPr>
          <w:p w14:paraId="6749153F" w14:textId="77777777" w:rsidR="00B52E58" w:rsidRPr="007A3506" w:rsidRDefault="00B52E58">
            <w:pPr>
              <w:spacing w:line="240" w:lineRule="auto"/>
              <w:rPr>
                <w:rFonts w:cstheme="minorHAnsi"/>
              </w:rPr>
            </w:pPr>
            <w:r w:rsidRPr="007A3506">
              <w:rPr>
                <w:rFonts w:cstheme="minorHAnsi"/>
              </w:rPr>
              <w:t>89.8%</w:t>
            </w:r>
          </w:p>
        </w:tc>
      </w:tr>
      <w:tr w:rsidR="007A3506" w:rsidRPr="00E412D6" w14:paraId="2AB42DF4" w14:textId="77777777" w:rsidTr="008D5B39">
        <w:trPr>
          <w:trHeight w:val="299"/>
        </w:trPr>
        <w:tc>
          <w:tcPr>
            <w:tcW w:w="1135" w:type="dxa"/>
            <w:shd w:val="clear" w:color="auto" w:fill="F2F2F2" w:themeFill="background1" w:themeFillShade="F2"/>
            <w:hideMark/>
          </w:tcPr>
          <w:p w14:paraId="7BEBD009"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$50m+</w:t>
            </w:r>
          </w:p>
        </w:tc>
        <w:tc>
          <w:tcPr>
            <w:tcW w:w="1134" w:type="dxa"/>
            <w:shd w:val="clear" w:color="auto" w:fill="F2F2F2" w:themeFill="background1" w:themeFillShade="F2"/>
            <w:noWrap/>
            <w:hideMark/>
          </w:tcPr>
          <w:p w14:paraId="2098F2C4" w14:textId="77777777" w:rsidR="00B52E58" w:rsidRPr="007A3506" w:rsidRDefault="00B52E58">
            <w:pPr>
              <w:spacing w:line="240" w:lineRule="auto"/>
              <w:rPr>
                <w:rFonts w:cstheme="minorHAnsi"/>
                <w:lang w:eastAsia="en-AU"/>
              </w:rPr>
            </w:pPr>
            <w:r w:rsidRPr="007A3506">
              <w:rPr>
                <w:rFonts w:cstheme="minorHAnsi"/>
                <w:lang w:eastAsia="en-AU"/>
              </w:rPr>
              <w:t>201</w:t>
            </w:r>
          </w:p>
        </w:tc>
        <w:tc>
          <w:tcPr>
            <w:tcW w:w="1843" w:type="dxa"/>
            <w:shd w:val="clear" w:color="auto" w:fill="F2F2F2" w:themeFill="background1" w:themeFillShade="F2"/>
            <w:noWrap/>
            <w:hideMark/>
          </w:tcPr>
          <w:p w14:paraId="26A608AB" w14:textId="77777777" w:rsidR="00B52E58" w:rsidRPr="007A3506" w:rsidRDefault="00B52E58">
            <w:pPr>
              <w:spacing w:line="240" w:lineRule="auto"/>
              <w:rPr>
                <w:rFonts w:cstheme="minorHAnsi"/>
                <w:lang w:eastAsia="en-AU"/>
              </w:rPr>
            </w:pPr>
            <w:r w:rsidRPr="007A3506">
              <w:rPr>
                <w:rFonts w:cstheme="minorHAnsi"/>
                <w:lang w:eastAsia="en-AU"/>
              </w:rPr>
              <w:t>$74,136,986,059</w:t>
            </w:r>
          </w:p>
        </w:tc>
        <w:tc>
          <w:tcPr>
            <w:tcW w:w="1162" w:type="dxa"/>
            <w:shd w:val="clear" w:color="auto" w:fill="F2F2F2" w:themeFill="background1" w:themeFillShade="F2"/>
            <w:hideMark/>
          </w:tcPr>
          <w:p w14:paraId="4AA75C31"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94%</w:t>
            </w:r>
          </w:p>
        </w:tc>
        <w:tc>
          <w:tcPr>
            <w:tcW w:w="1162" w:type="dxa"/>
            <w:shd w:val="clear" w:color="auto" w:fill="F2F2F2" w:themeFill="background1" w:themeFillShade="F2"/>
            <w:noWrap/>
            <w:hideMark/>
          </w:tcPr>
          <w:p w14:paraId="11889600" w14:textId="77777777" w:rsidR="00B52E58" w:rsidRPr="007A3506" w:rsidRDefault="00B52E58">
            <w:pPr>
              <w:spacing w:line="240" w:lineRule="auto"/>
              <w:rPr>
                <w:rFonts w:cstheme="minorHAnsi"/>
                <w:lang w:eastAsia="en-AU"/>
              </w:rPr>
            </w:pPr>
            <w:r w:rsidRPr="007A3506">
              <w:rPr>
                <w:rFonts w:cstheme="minorHAnsi"/>
                <w:lang w:eastAsia="en-AU"/>
              </w:rPr>
              <w:t>90</w:t>
            </w:r>
          </w:p>
        </w:tc>
        <w:tc>
          <w:tcPr>
            <w:tcW w:w="1163" w:type="dxa"/>
            <w:shd w:val="clear" w:color="auto" w:fill="F2F2F2" w:themeFill="background1" w:themeFillShade="F2"/>
          </w:tcPr>
          <w:p w14:paraId="3FEF3B71" w14:textId="77777777" w:rsidR="00B52E58" w:rsidRPr="007A3506" w:rsidRDefault="00B52E58">
            <w:pPr>
              <w:spacing w:line="240" w:lineRule="auto"/>
              <w:rPr>
                <w:rFonts w:cstheme="minorHAnsi"/>
                <w:lang w:eastAsia="en-AU"/>
              </w:rPr>
            </w:pPr>
            <w:r w:rsidRPr="007A3506">
              <w:rPr>
                <w:rFonts w:cstheme="minorHAnsi"/>
              </w:rPr>
              <w:t>21%</w:t>
            </w:r>
          </w:p>
        </w:tc>
        <w:tc>
          <w:tcPr>
            <w:tcW w:w="1162" w:type="dxa"/>
            <w:shd w:val="clear" w:color="auto" w:fill="F2F2F2" w:themeFill="background1" w:themeFillShade="F2"/>
          </w:tcPr>
          <w:p w14:paraId="57C835CA" w14:textId="77777777" w:rsidR="00B52E58" w:rsidRPr="007A3506" w:rsidRDefault="00B52E58">
            <w:pPr>
              <w:spacing w:line="240" w:lineRule="auto"/>
              <w:rPr>
                <w:rFonts w:cstheme="minorHAnsi"/>
              </w:rPr>
            </w:pPr>
            <w:r w:rsidRPr="007A3506">
              <w:rPr>
                <w:rFonts w:cstheme="minorHAnsi"/>
              </w:rPr>
              <w:t>829</w:t>
            </w:r>
          </w:p>
        </w:tc>
        <w:tc>
          <w:tcPr>
            <w:tcW w:w="1163" w:type="dxa"/>
            <w:shd w:val="clear" w:color="auto" w:fill="F2F2F2" w:themeFill="background1" w:themeFillShade="F2"/>
          </w:tcPr>
          <w:p w14:paraId="36C47B1F" w14:textId="77777777" w:rsidR="00B52E58" w:rsidRPr="007A3506" w:rsidRDefault="00B52E58">
            <w:pPr>
              <w:spacing w:line="240" w:lineRule="auto"/>
              <w:rPr>
                <w:rFonts w:cstheme="minorHAnsi"/>
              </w:rPr>
            </w:pPr>
            <w:r w:rsidRPr="007A3506">
              <w:rPr>
                <w:rFonts w:cstheme="minorHAnsi"/>
              </w:rPr>
              <w:t>85.9%</w:t>
            </w:r>
          </w:p>
        </w:tc>
      </w:tr>
      <w:tr w:rsidR="00B52E58" w:rsidRPr="00E412D6" w14:paraId="252B343C" w14:textId="77777777">
        <w:trPr>
          <w:trHeight w:val="64"/>
        </w:trPr>
        <w:tc>
          <w:tcPr>
            <w:tcW w:w="1135" w:type="dxa"/>
            <w:hideMark/>
          </w:tcPr>
          <w:p w14:paraId="5D53AD60"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$100m+</w:t>
            </w:r>
          </w:p>
        </w:tc>
        <w:tc>
          <w:tcPr>
            <w:tcW w:w="1134" w:type="dxa"/>
            <w:noWrap/>
            <w:hideMark/>
          </w:tcPr>
          <w:p w14:paraId="6E2F1D81" w14:textId="77777777" w:rsidR="00B52E58" w:rsidRPr="007A3506" w:rsidRDefault="00B52E58">
            <w:pPr>
              <w:spacing w:line="240" w:lineRule="auto"/>
              <w:rPr>
                <w:rFonts w:cstheme="minorHAnsi"/>
                <w:lang w:eastAsia="en-AU"/>
              </w:rPr>
            </w:pPr>
            <w:r w:rsidRPr="007A3506">
              <w:rPr>
                <w:rFonts w:cstheme="minorHAnsi"/>
                <w:lang w:eastAsia="en-AU"/>
              </w:rPr>
              <w:t>134</w:t>
            </w:r>
          </w:p>
        </w:tc>
        <w:tc>
          <w:tcPr>
            <w:tcW w:w="1843" w:type="dxa"/>
            <w:noWrap/>
            <w:hideMark/>
          </w:tcPr>
          <w:p w14:paraId="208BD1B4" w14:textId="77777777" w:rsidR="00B52E58" w:rsidRPr="007A3506" w:rsidRDefault="00B52E58">
            <w:pPr>
              <w:spacing w:line="240" w:lineRule="auto"/>
              <w:rPr>
                <w:rFonts w:cstheme="minorHAnsi"/>
                <w:lang w:eastAsia="en-AU"/>
              </w:rPr>
            </w:pPr>
            <w:r w:rsidRPr="007A3506">
              <w:rPr>
                <w:rFonts w:cstheme="minorHAnsi"/>
                <w:lang w:eastAsia="en-AU"/>
              </w:rPr>
              <w:t>$69,424,784,425</w:t>
            </w:r>
          </w:p>
        </w:tc>
        <w:tc>
          <w:tcPr>
            <w:tcW w:w="1162" w:type="dxa"/>
            <w:hideMark/>
          </w:tcPr>
          <w:p w14:paraId="2EF8B956" w14:textId="77777777" w:rsidR="00B52E58" w:rsidRPr="007A3506" w:rsidRDefault="00B52E58">
            <w:pPr>
              <w:spacing w:line="240" w:lineRule="auto"/>
              <w:rPr>
                <w:rFonts w:cstheme="minorHAnsi"/>
                <w:color w:val="000000"/>
                <w:lang w:eastAsia="en-AU"/>
              </w:rPr>
            </w:pPr>
            <w:r w:rsidRPr="007A3506">
              <w:rPr>
                <w:rFonts w:cstheme="minorHAnsi"/>
                <w:color w:val="000000"/>
                <w:lang w:eastAsia="en-AU"/>
              </w:rPr>
              <w:t>88%</w:t>
            </w:r>
          </w:p>
        </w:tc>
        <w:tc>
          <w:tcPr>
            <w:tcW w:w="1162" w:type="dxa"/>
            <w:noWrap/>
            <w:hideMark/>
          </w:tcPr>
          <w:p w14:paraId="16EAF502" w14:textId="77777777" w:rsidR="00B52E58" w:rsidRPr="007A3506" w:rsidRDefault="00B52E58">
            <w:pPr>
              <w:spacing w:line="240" w:lineRule="auto"/>
              <w:rPr>
                <w:rFonts w:cstheme="minorHAnsi"/>
                <w:lang w:eastAsia="en-AU"/>
              </w:rPr>
            </w:pPr>
            <w:r w:rsidRPr="007A3506">
              <w:rPr>
                <w:rFonts w:cstheme="minorHAnsi"/>
                <w:lang w:eastAsia="en-AU"/>
              </w:rPr>
              <w:t>62</w:t>
            </w:r>
          </w:p>
        </w:tc>
        <w:tc>
          <w:tcPr>
            <w:tcW w:w="1163" w:type="dxa"/>
          </w:tcPr>
          <w:p w14:paraId="4EC5FC42" w14:textId="77777777" w:rsidR="00B52E58" w:rsidRPr="007A3506" w:rsidRDefault="00B52E58">
            <w:pPr>
              <w:spacing w:line="240" w:lineRule="auto"/>
              <w:rPr>
                <w:rFonts w:cstheme="minorHAnsi"/>
                <w:lang w:eastAsia="en-AU"/>
              </w:rPr>
            </w:pPr>
            <w:r w:rsidRPr="007A3506">
              <w:rPr>
                <w:rFonts w:cstheme="minorHAnsi"/>
              </w:rPr>
              <w:t>14%</w:t>
            </w:r>
          </w:p>
        </w:tc>
        <w:tc>
          <w:tcPr>
            <w:tcW w:w="1162" w:type="dxa"/>
          </w:tcPr>
          <w:p w14:paraId="1C6B421A" w14:textId="77777777" w:rsidR="00B52E58" w:rsidRPr="007A3506" w:rsidRDefault="00B52E58">
            <w:pPr>
              <w:spacing w:line="240" w:lineRule="auto"/>
              <w:rPr>
                <w:rFonts w:cstheme="minorHAnsi"/>
              </w:rPr>
            </w:pPr>
            <w:r w:rsidRPr="007A3506">
              <w:rPr>
                <w:rFonts w:cstheme="minorHAnsi"/>
              </w:rPr>
              <w:t>738</w:t>
            </w:r>
          </w:p>
        </w:tc>
        <w:tc>
          <w:tcPr>
            <w:tcW w:w="1163" w:type="dxa"/>
          </w:tcPr>
          <w:p w14:paraId="59D395EB" w14:textId="77777777" w:rsidR="00B52E58" w:rsidRPr="007A3506" w:rsidRDefault="00B52E58">
            <w:pPr>
              <w:spacing w:line="240" w:lineRule="auto"/>
              <w:rPr>
                <w:rFonts w:cstheme="minorHAnsi"/>
              </w:rPr>
            </w:pPr>
            <w:r w:rsidRPr="007A3506">
              <w:rPr>
                <w:rFonts w:cstheme="minorHAnsi"/>
              </w:rPr>
              <w:t>76.5%</w:t>
            </w:r>
          </w:p>
        </w:tc>
      </w:tr>
    </w:tbl>
    <w:p w14:paraId="4D9EAC54" w14:textId="44A95D4A" w:rsidR="00022E93" w:rsidRPr="007A3506" w:rsidRDefault="00022E93" w:rsidP="00022E93">
      <w:pPr>
        <w:spacing w:after="160" w:line="259" w:lineRule="auto"/>
        <w:rPr>
          <w:rFonts w:cstheme="minorHAnsi"/>
        </w:rPr>
      </w:pPr>
    </w:p>
    <w:p w14:paraId="1B5A58E4" w14:textId="436D358A" w:rsidR="00AE5875" w:rsidRPr="007A3506" w:rsidRDefault="00AE5875" w:rsidP="00AE5875">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C134C5" w:rsidRPr="007A3506">
        <w:rPr>
          <w:rFonts w:asciiTheme="minorHAnsi" w:hAnsiTheme="minorHAnsi" w:cstheme="minorHAnsi"/>
        </w:rPr>
        <w:t>16</w:t>
      </w:r>
    </w:p>
    <w:p w14:paraId="7410ED3B" w14:textId="0120EAB0" w:rsidR="00AE5875" w:rsidRPr="007A3506" w:rsidRDefault="00D56CA3" w:rsidP="00AE587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Are the current financial thresholds appropriate </w:t>
      </w:r>
      <w:r w:rsidR="00A34889" w:rsidRPr="007A3506">
        <w:rPr>
          <w:rFonts w:cstheme="minorHAnsi"/>
        </w:rPr>
        <w:t>for</w:t>
      </w:r>
      <w:r w:rsidRPr="007A3506">
        <w:rPr>
          <w:rFonts w:cstheme="minorHAnsi"/>
        </w:rPr>
        <w:t xml:space="preserve"> Scheme </w:t>
      </w:r>
      <w:r w:rsidR="00A34889" w:rsidRPr="007A3506">
        <w:rPr>
          <w:rFonts w:cstheme="minorHAnsi"/>
        </w:rPr>
        <w:t>coverage</w:t>
      </w:r>
      <w:r w:rsidRPr="007A3506">
        <w:rPr>
          <w:rFonts w:cstheme="minorHAnsi"/>
        </w:rPr>
        <w:t>?</w:t>
      </w:r>
      <w:r w:rsidR="004B7971" w:rsidRPr="007A3506">
        <w:rPr>
          <w:rFonts w:cstheme="minorHAnsi"/>
        </w:rPr>
        <w:t xml:space="preserve"> </w:t>
      </w:r>
      <w:r w:rsidRPr="007A3506">
        <w:rPr>
          <w:rFonts w:cstheme="minorHAnsi"/>
        </w:rPr>
        <w:t>If not, what should the threshold be?</w:t>
      </w:r>
    </w:p>
    <w:p w14:paraId="28FB6B15" w14:textId="77777777" w:rsidR="00693C0B" w:rsidRPr="007A3506" w:rsidRDefault="00693C0B">
      <w:pPr>
        <w:spacing w:after="160" w:line="259" w:lineRule="auto"/>
        <w:rPr>
          <w:rFonts w:cstheme="minorHAnsi"/>
        </w:rPr>
      </w:pPr>
      <w:r w:rsidRPr="007A3506">
        <w:rPr>
          <w:rFonts w:cstheme="minorHAnsi"/>
        </w:rPr>
        <w:br w:type="page"/>
      </w:r>
    </w:p>
    <w:p w14:paraId="0EB239B6" w14:textId="24F36877" w:rsidR="001F3F50" w:rsidRPr="007A3506" w:rsidRDefault="001F3F50" w:rsidP="001F3F50">
      <w:pPr>
        <w:rPr>
          <w:rFonts w:cstheme="minorHAnsi"/>
        </w:rPr>
      </w:pPr>
      <w:r w:rsidRPr="007A3506">
        <w:rPr>
          <w:rFonts w:cstheme="minorHAnsi"/>
        </w:rPr>
        <w:lastRenderedPageBreak/>
        <w:t xml:space="preserve">Preliminary consultation suggests that there are situations where the Scheme’s requirements are not fit for purpose, for example, where </w:t>
      </w:r>
      <w:r w:rsidR="004319EF" w:rsidRPr="007A3506">
        <w:rPr>
          <w:rFonts w:cstheme="minorHAnsi"/>
        </w:rPr>
        <w:t>entities</w:t>
      </w:r>
      <w:r w:rsidRPr="007A3506">
        <w:rPr>
          <w:rFonts w:cstheme="minorHAnsi"/>
        </w:rPr>
        <w:t xml:space="preserve"> become principal contractors for the first time and where head contractors on CW funded projects are overseas </w:t>
      </w:r>
      <w:r w:rsidR="004319EF" w:rsidRPr="007A3506">
        <w:rPr>
          <w:rFonts w:cstheme="minorHAnsi"/>
        </w:rPr>
        <w:t>entities</w:t>
      </w:r>
      <w:r w:rsidRPr="007A3506">
        <w:rPr>
          <w:rFonts w:cstheme="minorHAnsi"/>
        </w:rPr>
        <w:t>.</w:t>
      </w:r>
    </w:p>
    <w:p w14:paraId="4CF1245B" w14:textId="2DBEE404" w:rsidR="000D47CF" w:rsidRPr="007A3506" w:rsidRDefault="000D47CF" w:rsidP="000D47CF">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C134C5" w:rsidRPr="007A3506">
        <w:rPr>
          <w:rFonts w:asciiTheme="minorHAnsi" w:hAnsiTheme="minorHAnsi" w:cstheme="minorHAnsi"/>
        </w:rPr>
        <w:t>17</w:t>
      </w:r>
    </w:p>
    <w:p w14:paraId="5A0CA128" w14:textId="2EB642DE" w:rsidR="000D47CF" w:rsidRPr="007A3506" w:rsidRDefault="00D926DC" w:rsidP="000D47CF">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Are there situations where the Scheme requirements are not fit for purpose?</w:t>
      </w:r>
      <w:r w:rsidR="004B7971" w:rsidRPr="007A3506">
        <w:rPr>
          <w:rFonts w:cstheme="minorHAnsi"/>
        </w:rPr>
        <w:t xml:space="preserve"> </w:t>
      </w:r>
      <w:r w:rsidRPr="007A3506">
        <w:rPr>
          <w:rFonts w:cstheme="minorHAnsi"/>
        </w:rPr>
        <w:t>How can they be repurposed?</w:t>
      </w:r>
    </w:p>
    <w:p w14:paraId="45B40B2F" w14:textId="75D1123A" w:rsidR="007C3545" w:rsidRPr="007A3506" w:rsidRDefault="007C3545" w:rsidP="007C3545">
      <w:pPr>
        <w:rPr>
          <w:rFonts w:cstheme="minorHAnsi"/>
          <w:color w:val="000000"/>
          <w:shd w:val="clear" w:color="auto" w:fill="FFFFFF"/>
        </w:rPr>
      </w:pPr>
      <w:r w:rsidRPr="007A3506">
        <w:rPr>
          <w:rFonts w:cstheme="minorHAnsi"/>
          <w:color w:val="000000"/>
          <w:shd w:val="clear" w:color="auto" w:fill="FFFFFF"/>
        </w:rPr>
        <w:t xml:space="preserve">Rule 15 provides that all accredited </w:t>
      </w:r>
      <w:r w:rsidR="00141C7C" w:rsidRPr="007A3506">
        <w:rPr>
          <w:rFonts w:cstheme="minorHAnsi"/>
          <w:color w:val="000000"/>
          <w:shd w:val="clear" w:color="auto" w:fill="FFFFFF"/>
        </w:rPr>
        <w:t>entities</w:t>
      </w:r>
      <w:r w:rsidRPr="007A3506">
        <w:rPr>
          <w:rFonts w:cstheme="minorHAnsi"/>
          <w:color w:val="000000"/>
          <w:shd w:val="clear" w:color="auto" w:fill="FFFFFF"/>
        </w:rPr>
        <w:t xml:space="preserve"> must: </w:t>
      </w:r>
    </w:p>
    <w:p w14:paraId="271DE078" w14:textId="1492E8F9" w:rsidR="007C3545" w:rsidRPr="007A3506" w:rsidRDefault="006A51E0" w:rsidP="00054594">
      <w:pPr>
        <w:pStyle w:val="PURPLEBullet"/>
        <w:spacing w:after="200"/>
        <w:rPr>
          <w:rFonts w:cstheme="minorHAnsi"/>
          <w:b/>
        </w:rPr>
      </w:pPr>
      <w:r w:rsidRPr="007A3506">
        <w:rPr>
          <w:rFonts w:cstheme="minorHAnsi"/>
          <w:shd w:val="clear" w:color="auto" w:fill="FFFFFF"/>
        </w:rPr>
        <w:t>M</w:t>
      </w:r>
      <w:r w:rsidR="007C3545" w:rsidRPr="007A3506">
        <w:rPr>
          <w:rFonts w:cstheme="minorHAnsi"/>
          <w:shd w:val="clear" w:color="auto" w:fill="FFFFFF"/>
        </w:rPr>
        <w:t>aintain safe work practices, policies and procedures at all times</w:t>
      </w:r>
      <w:r w:rsidRPr="007A3506">
        <w:rPr>
          <w:rFonts w:cstheme="minorHAnsi"/>
          <w:shd w:val="clear" w:color="auto" w:fill="FFFFFF"/>
        </w:rPr>
        <w:t>.</w:t>
      </w:r>
    </w:p>
    <w:p w14:paraId="40391FA1" w14:textId="36B9E4FF" w:rsidR="007C3545" w:rsidRPr="007A3506" w:rsidRDefault="006A51E0" w:rsidP="00054594">
      <w:pPr>
        <w:pStyle w:val="PURPLEBullet"/>
        <w:spacing w:after="200"/>
        <w:rPr>
          <w:rFonts w:cstheme="minorHAnsi"/>
          <w:b/>
        </w:rPr>
      </w:pPr>
      <w:r w:rsidRPr="007A3506">
        <w:rPr>
          <w:rFonts w:cstheme="minorHAnsi"/>
          <w:shd w:val="clear" w:color="auto" w:fill="FFFFFF"/>
        </w:rPr>
        <w:t>C</w:t>
      </w:r>
      <w:r w:rsidR="007C3545" w:rsidRPr="007A3506">
        <w:rPr>
          <w:rFonts w:cstheme="minorHAnsi"/>
          <w:shd w:val="clear" w:color="auto" w:fill="FFFFFF"/>
        </w:rPr>
        <w:t>omply with the performance requirements of the NCC that relate to building materials</w:t>
      </w:r>
      <w:r w:rsidRPr="007A3506">
        <w:rPr>
          <w:rFonts w:cstheme="minorHAnsi"/>
          <w:shd w:val="clear" w:color="auto" w:fill="FFFFFF"/>
        </w:rPr>
        <w:t>.</w:t>
      </w:r>
    </w:p>
    <w:p w14:paraId="6A7F3AA1" w14:textId="215ED41B" w:rsidR="007C3545" w:rsidRPr="007A3506" w:rsidRDefault="006A51E0" w:rsidP="00054594">
      <w:pPr>
        <w:pStyle w:val="PURPLEBullet"/>
        <w:spacing w:after="200"/>
        <w:rPr>
          <w:rFonts w:cstheme="minorHAnsi"/>
          <w:b/>
        </w:rPr>
      </w:pPr>
      <w:r w:rsidRPr="007A3506">
        <w:rPr>
          <w:rFonts w:cstheme="minorHAnsi"/>
          <w:shd w:val="clear" w:color="auto" w:fill="FFFFFF"/>
        </w:rPr>
        <w:t>U</w:t>
      </w:r>
      <w:r w:rsidR="007C3545" w:rsidRPr="007A3506">
        <w:rPr>
          <w:rFonts w:cstheme="minorHAnsi"/>
          <w:shd w:val="clear" w:color="auto" w:fill="FFFFFF"/>
        </w:rPr>
        <w:t>ndergo post-accreditation audits</w:t>
      </w:r>
      <w:r w:rsidRPr="007A3506">
        <w:rPr>
          <w:rFonts w:cstheme="minorHAnsi"/>
          <w:shd w:val="clear" w:color="auto" w:fill="FFFFFF"/>
        </w:rPr>
        <w:t>.</w:t>
      </w:r>
    </w:p>
    <w:p w14:paraId="52E2D357" w14:textId="50206670" w:rsidR="007D1524" w:rsidRPr="007A3506" w:rsidRDefault="006A51E0" w:rsidP="00054594">
      <w:pPr>
        <w:pStyle w:val="PURPLEBullet"/>
        <w:spacing w:after="200"/>
        <w:rPr>
          <w:rFonts w:cstheme="minorHAnsi"/>
          <w:b/>
        </w:rPr>
      </w:pPr>
      <w:r w:rsidRPr="007A3506">
        <w:rPr>
          <w:rFonts w:cstheme="minorHAnsi"/>
          <w:shd w:val="clear" w:color="auto" w:fill="FFFFFF"/>
        </w:rPr>
        <w:t>C</w:t>
      </w:r>
      <w:r w:rsidR="007C3545" w:rsidRPr="007A3506">
        <w:rPr>
          <w:rFonts w:cstheme="minorHAnsi"/>
          <w:shd w:val="clear" w:color="auto" w:fill="FFFFFF"/>
        </w:rPr>
        <w:t>omply with the Scheme's reporting requirements.</w:t>
      </w:r>
    </w:p>
    <w:p w14:paraId="47C7D3C3" w14:textId="41484F11" w:rsidR="007C3545" w:rsidRPr="007A3506" w:rsidRDefault="007C3545" w:rsidP="00054594">
      <w:pPr>
        <w:rPr>
          <w:rFonts w:cstheme="minorHAnsi"/>
        </w:rPr>
      </w:pPr>
      <w:r w:rsidRPr="007A3506">
        <w:rPr>
          <w:rFonts w:cstheme="minorHAnsi"/>
        </w:rPr>
        <w:t>The FSC assesses whether a</w:t>
      </w:r>
      <w:r w:rsidR="00141C7C" w:rsidRPr="007A3506">
        <w:rPr>
          <w:rFonts w:cstheme="minorHAnsi"/>
        </w:rPr>
        <w:t>n entity</w:t>
      </w:r>
      <w:r w:rsidRPr="007A3506">
        <w:rPr>
          <w:rFonts w:cstheme="minorHAnsi"/>
        </w:rPr>
        <w:t xml:space="preserve"> should be accredited and monitors its continued compliance with the Scheme’s requirements through the pre and post</w:t>
      </w:r>
      <w:r w:rsidR="003B51DF" w:rsidRPr="007A3506">
        <w:rPr>
          <w:rFonts w:cstheme="minorHAnsi"/>
        </w:rPr>
        <w:t>-</w:t>
      </w:r>
      <w:r w:rsidRPr="007A3506">
        <w:rPr>
          <w:rFonts w:cstheme="minorHAnsi"/>
        </w:rPr>
        <w:t>accreditation audit.</w:t>
      </w:r>
      <w:r w:rsidR="004B7971" w:rsidRPr="007A3506">
        <w:rPr>
          <w:rFonts w:cstheme="minorHAnsi"/>
        </w:rPr>
        <w:t xml:space="preserve"> </w:t>
      </w:r>
      <w:r w:rsidRPr="007A3506">
        <w:rPr>
          <w:rFonts w:cstheme="minorHAnsi"/>
        </w:rPr>
        <w:t>Significant time and resources are invested in these audits by the FSC including repeated auditing to bring a</w:t>
      </w:r>
      <w:r w:rsidR="00141C7C" w:rsidRPr="007A3506">
        <w:rPr>
          <w:rFonts w:cstheme="minorHAnsi"/>
        </w:rPr>
        <w:t>n entity</w:t>
      </w:r>
      <w:r w:rsidRPr="007A3506">
        <w:rPr>
          <w:rFonts w:cstheme="minorHAnsi"/>
        </w:rPr>
        <w:t xml:space="preserve"> up to standard to ensure it can be accredited.</w:t>
      </w:r>
    </w:p>
    <w:p w14:paraId="09C3E2FF" w14:textId="0225FED3" w:rsidR="007C3545" w:rsidRPr="007A3506" w:rsidRDefault="007C3545" w:rsidP="00054594">
      <w:pPr>
        <w:rPr>
          <w:rFonts w:cstheme="minorHAnsi"/>
        </w:rPr>
      </w:pPr>
      <w:r w:rsidRPr="007A3506">
        <w:rPr>
          <w:rFonts w:cstheme="minorHAnsi"/>
        </w:rPr>
        <w:t xml:space="preserve">Currently, post-accreditation audits are planned with the FSO arranging a time with the </w:t>
      </w:r>
      <w:r w:rsidR="00141C7C" w:rsidRPr="007A3506">
        <w:rPr>
          <w:rFonts w:cstheme="minorHAnsi"/>
        </w:rPr>
        <w:t>entity</w:t>
      </w:r>
      <w:r w:rsidRPr="007A3506">
        <w:rPr>
          <w:rFonts w:cstheme="minorHAnsi"/>
        </w:rPr>
        <w:t xml:space="preserve"> to be audited.</w:t>
      </w:r>
      <w:r w:rsidR="004B7971" w:rsidRPr="007A3506">
        <w:rPr>
          <w:rFonts w:cstheme="minorHAnsi"/>
        </w:rPr>
        <w:t xml:space="preserve"> </w:t>
      </w:r>
      <w:r w:rsidRPr="007A3506">
        <w:rPr>
          <w:rFonts w:cstheme="minorHAnsi"/>
        </w:rPr>
        <w:t>The Royal Commission reported there should be ‘</w:t>
      </w:r>
      <w:r w:rsidRPr="007A3506">
        <w:rPr>
          <w:rFonts w:cstheme="minorHAnsi"/>
          <w:i/>
        </w:rPr>
        <w:t>a significant element of random physical inspections of the existence, application and effectiveness of controls in place to guard against the range of identifiable hazards</w:t>
      </w:r>
      <w:r w:rsidRPr="007A3506">
        <w:rPr>
          <w:rFonts w:cstheme="minorHAnsi"/>
        </w:rPr>
        <w:t>’</w:t>
      </w:r>
      <w:r w:rsidR="00F35F4C" w:rsidRPr="007A3506">
        <w:rPr>
          <w:rFonts w:cstheme="minorHAnsi"/>
        </w:rPr>
        <w:t>.</w:t>
      </w:r>
      <w:r w:rsidRPr="007A3506">
        <w:rPr>
          <w:rStyle w:val="FootnoteReference"/>
          <w:rFonts w:cstheme="minorHAnsi"/>
        </w:rPr>
        <w:footnoteReference w:id="28"/>
      </w:r>
    </w:p>
    <w:p w14:paraId="3290B897" w14:textId="0C28278E" w:rsidR="007C3545" w:rsidRPr="007A3506" w:rsidRDefault="007C3545" w:rsidP="007C3545">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w:t>
      </w:r>
      <w:r w:rsidR="00C134C5" w:rsidRPr="007A3506">
        <w:rPr>
          <w:rFonts w:asciiTheme="minorHAnsi" w:hAnsiTheme="minorHAnsi" w:cstheme="minorHAnsi"/>
        </w:rPr>
        <w:t xml:space="preserve"> 18</w:t>
      </w:r>
    </w:p>
    <w:p w14:paraId="7D856E90" w14:textId="39F6C66C" w:rsidR="00E06F8E" w:rsidRPr="007A3506" w:rsidRDefault="00E06F8E" w:rsidP="00E06F8E">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Should there be a limit to how many FSO audits are available to achieve accreditation?</w:t>
      </w:r>
    </w:p>
    <w:p w14:paraId="0245B967" w14:textId="12693E84" w:rsidR="0041614B" w:rsidRPr="007A3506" w:rsidRDefault="0041614B" w:rsidP="00C134C5">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346D35" w:rsidRPr="007A3506">
        <w:rPr>
          <w:rFonts w:asciiTheme="minorHAnsi" w:hAnsiTheme="minorHAnsi" w:cstheme="minorHAnsi"/>
        </w:rPr>
        <w:t>19</w:t>
      </w:r>
    </w:p>
    <w:p w14:paraId="35E6B253" w14:textId="002AA84C" w:rsidR="00E86D4B" w:rsidRPr="007A3506" w:rsidRDefault="00E06F8E" w:rsidP="00C05B80">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Does the approach to post-accreditation audits remain appropriate?</w:t>
      </w:r>
      <w:r w:rsidR="00774748" w:rsidRPr="007A3506">
        <w:rPr>
          <w:rFonts w:cstheme="minorHAnsi"/>
        </w:rPr>
        <w:t xml:space="preserve"> For example, should the nature of the audits or the </w:t>
      </w:r>
      <w:r w:rsidR="00F06119" w:rsidRPr="007A3506">
        <w:rPr>
          <w:rFonts w:cstheme="minorHAnsi"/>
        </w:rPr>
        <w:t>criteria chosen for assessment change dependin</w:t>
      </w:r>
      <w:r w:rsidR="00540497" w:rsidRPr="007A3506">
        <w:rPr>
          <w:rFonts w:cstheme="minorHAnsi"/>
        </w:rPr>
        <w:t xml:space="preserve">g on factors such as </w:t>
      </w:r>
      <w:r w:rsidR="00F47E4E" w:rsidRPr="007A3506">
        <w:rPr>
          <w:rFonts w:cstheme="minorHAnsi"/>
        </w:rPr>
        <w:t xml:space="preserve">time spent </w:t>
      </w:r>
      <w:r w:rsidR="00851511" w:rsidRPr="007A3506">
        <w:rPr>
          <w:rFonts w:cstheme="minorHAnsi"/>
        </w:rPr>
        <w:t xml:space="preserve">accredited </w:t>
      </w:r>
      <w:r w:rsidR="00F47E4E" w:rsidRPr="007A3506">
        <w:rPr>
          <w:rFonts w:cstheme="minorHAnsi"/>
        </w:rPr>
        <w:t>under the Scheme</w:t>
      </w:r>
      <w:r w:rsidR="00851511" w:rsidRPr="007A3506">
        <w:rPr>
          <w:rFonts w:cstheme="minorHAnsi"/>
        </w:rPr>
        <w:t>?</w:t>
      </w:r>
      <w:bookmarkStart w:id="92" w:name="_3.3.1_Reporting_Requirements"/>
      <w:bookmarkStart w:id="93" w:name="_Toc138428296"/>
      <w:bookmarkStart w:id="94" w:name="_Toc965884495"/>
      <w:bookmarkEnd w:id="92"/>
    </w:p>
    <w:p w14:paraId="7F44703F" w14:textId="77777777" w:rsidR="00C17893" w:rsidRPr="007A3506" w:rsidRDefault="00C17893">
      <w:pPr>
        <w:spacing w:after="160" w:line="259" w:lineRule="auto"/>
        <w:rPr>
          <w:rFonts w:eastAsiaTheme="majorEastAsia" w:cstheme="minorHAnsi"/>
          <w:color w:val="214050" w:themeColor="text2"/>
          <w:sz w:val="28"/>
          <w:szCs w:val="24"/>
        </w:rPr>
      </w:pPr>
      <w:r w:rsidRPr="007A3506">
        <w:rPr>
          <w:rFonts w:cstheme="minorHAnsi"/>
        </w:rPr>
        <w:br w:type="page"/>
      </w:r>
    </w:p>
    <w:p w14:paraId="17BEBB8C" w14:textId="7FE49566" w:rsidR="002A1844" w:rsidRPr="007A3506" w:rsidRDefault="002A1844" w:rsidP="002A1844">
      <w:pPr>
        <w:pStyle w:val="Heading3"/>
        <w:rPr>
          <w:rFonts w:asciiTheme="minorHAnsi" w:hAnsiTheme="minorHAnsi" w:cstheme="minorHAnsi"/>
        </w:rPr>
      </w:pPr>
      <w:bookmarkStart w:id="95" w:name="_3.3.1_Reporting_Requirements_1"/>
      <w:bookmarkStart w:id="96" w:name="_Toc139261460"/>
      <w:bookmarkEnd w:id="95"/>
      <w:r w:rsidRPr="007A3506">
        <w:rPr>
          <w:rFonts w:asciiTheme="minorHAnsi" w:hAnsiTheme="minorHAnsi" w:cstheme="minorHAnsi"/>
        </w:rPr>
        <w:lastRenderedPageBreak/>
        <w:t>3.3.1</w:t>
      </w:r>
      <w:r w:rsidR="002315E9" w:rsidRPr="007A3506">
        <w:rPr>
          <w:rFonts w:asciiTheme="minorHAnsi" w:hAnsiTheme="minorHAnsi" w:cstheme="minorHAnsi"/>
        </w:rPr>
        <w:t xml:space="preserve"> </w:t>
      </w:r>
      <w:r w:rsidRPr="007A3506">
        <w:rPr>
          <w:rFonts w:asciiTheme="minorHAnsi" w:hAnsiTheme="minorHAnsi" w:cstheme="minorHAnsi"/>
        </w:rPr>
        <w:t>Reporting Requirements</w:t>
      </w:r>
      <w:bookmarkEnd w:id="93"/>
      <w:bookmarkEnd w:id="94"/>
      <w:bookmarkEnd w:id="96"/>
    </w:p>
    <w:p w14:paraId="0B2DAECC" w14:textId="77777777" w:rsidR="002A1844" w:rsidRPr="007A3506" w:rsidRDefault="002A1844" w:rsidP="006D133F">
      <w:pPr>
        <w:pStyle w:val="Heading4"/>
        <w:rPr>
          <w:rFonts w:asciiTheme="minorHAnsi" w:hAnsiTheme="minorHAnsi" w:cstheme="minorHAnsi"/>
        </w:rPr>
      </w:pPr>
      <w:r w:rsidRPr="007A3506">
        <w:rPr>
          <w:rFonts w:asciiTheme="minorHAnsi" w:hAnsiTheme="minorHAnsi" w:cstheme="minorHAnsi"/>
        </w:rPr>
        <w:t xml:space="preserve">Scheme </w:t>
      </w:r>
    </w:p>
    <w:p w14:paraId="63064507" w14:textId="073BD200" w:rsidR="0071670E" w:rsidRPr="007A3506" w:rsidRDefault="0071670E" w:rsidP="0071670E">
      <w:pPr>
        <w:rPr>
          <w:rFonts w:cstheme="minorHAnsi"/>
          <w:sz w:val="20"/>
          <w:szCs w:val="20"/>
          <w:lang w:val="en-GB" w:eastAsia="en-AU"/>
        </w:rPr>
      </w:pPr>
      <w:r w:rsidRPr="007A3506">
        <w:rPr>
          <w:rFonts w:cstheme="minorHAnsi"/>
        </w:rPr>
        <w:t xml:space="preserve">There are four categories of FSC incidents which accredited </w:t>
      </w:r>
      <w:r w:rsidR="00141C7C" w:rsidRPr="007A3506">
        <w:rPr>
          <w:rFonts w:cstheme="minorHAnsi"/>
        </w:rPr>
        <w:t>entities</w:t>
      </w:r>
      <w:r w:rsidRPr="007A3506">
        <w:rPr>
          <w:rFonts w:cstheme="minorHAnsi"/>
        </w:rPr>
        <w:t xml:space="preserve"> must report to the FSC.</w:t>
      </w:r>
      <w:r w:rsidR="004B7971" w:rsidRPr="007A3506">
        <w:rPr>
          <w:rFonts w:cstheme="minorHAnsi"/>
        </w:rPr>
        <w:t xml:space="preserve"> </w:t>
      </w:r>
      <w:r w:rsidRPr="007A3506">
        <w:rPr>
          <w:rFonts w:cstheme="minorHAnsi"/>
        </w:rPr>
        <w:t xml:space="preserve">These are fatalities (all projects), lost time injuries (LTI) (for all projects valued at more than $4 million), </w:t>
      </w:r>
      <w:r w:rsidR="00C05B80" w:rsidRPr="007A3506">
        <w:rPr>
          <w:rFonts w:cstheme="minorHAnsi"/>
        </w:rPr>
        <w:t>m</w:t>
      </w:r>
      <w:r w:rsidRPr="007A3506">
        <w:rPr>
          <w:rFonts w:cstheme="minorHAnsi"/>
        </w:rPr>
        <w:t xml:space="preserve">edically treated injury (MTI) (Scheme projects only) and Dangerous Occurrences </w:t>
      </w:r>
      <w:r w:rsidR="007717C3" w:rsidRPr="007A3506">
        <w:rPr>
          <w:rFonts w:cstheme="minorHAnsi"/>
        </w:rPr>
        <w:br/>
      </w:r>
      <w:r w:rsidRPr="007A3506">
        <w:rPr>
          <w:rFonts w:cstheme="minorHAnsi"/>
        </w:rPr>
        <w:t>(Scheme projects only).</w:t>
      </w:r>
      <w:r w:rsidRPr="007A3506">
        <w:rPr>
          <w:rStyle w:val="FootnoteReference"/>
          <w:rFonts w:cstheme="minorHAnsi"/>
        </w:rPr>
        <w:footnoteReference w:id="29"/>
      </w:r>
    </w:p>
    <w:p w14:paraId="5F53AC4B" w14:textId="70707F94" w:rsidR="0071670E" w:rsidRPr="007A3506" w:rsidRDefault="0071670E" w:rsidP="0071670E">
      <w:pPr>
        <w:rPr>
          <w:rFonts w:cstheme="minorHAnsi"/>
        </w:rPr>
      </w:pPr>
      <w:r w:rsidRPr="007A3506">
        <w:rPr>
          <w:rFonts w:cstheme="minorHAnsi"/>
        </w:rPr>
        <w:t xml:space="preserve">Accredited </w:t>
      </w:r>
      <w:r w:rsidR="00141C7C" w:rsidRPr="007A3506">
        <w:rPr>
          <w:rFonts w:cstheme="minorHAnsi"/>
        </w:rPr>
        <w:t>entities</w:t>
      </w:r>
      <w:r w:rsidRPr="007A3506">
        <w:rPr>
          <w:rFonts w:cstheme="minorHAnsi"/>
        </w:rPr>
        <w:t xml:space="preserve"> must also submit the following information to the FSC:</w:t>
      </w:r>
    </w:p>
    <w:p w14:paraId="79AEF2BE" w14:textId="550A29B8" w:rsidR="0071670E" w:rsidRPr="007A3506" w:rsidRDefault="0071670E" w:rsidP="00054594">
      <w:pPr>
        <w:pStyle w:val="PURPLEBullet"/>
        <w:spacing w:after="200"/>
        <w:rPr>
          <w:rFonts w:cstheme="minorHAnsi"/>
        </w:rPr>
      </w:pPr>
      <w:r w:rsidRPr="007A3506">
        <w:rPr>
          <w:rFonts w:cstheme="minorHAnsi"/>
        </w:rPr>
        <w:t>Contract declarations whenever an agreement is reached on a tender, or a contract is signed for a project that meets the Scheme’s threshold</w:t>
      </w:r>
      <w:r w:rsidR="006A51E0" w:rsidRPr="007A3506">
        <w:rPr>
          <w:rFonts w:cstheme="minorHAnsi"/>
        </w:rPr>
        <w:t>.</w:t>
      </w:r>
    </w:p>
    <w:p w14:paraId="47A349E6" w14:textId="1DA2AD5A" w:rsidR="0071670E" w:rsidRPr="007A3506" w:rsidRDefault="0071670E" w:rsidP="00054594">
      <w:pPr>
        <w:pStyle w:val="PURPLEBullet"/>
        <w:spacing w:after="200"/>
        <w:rPr>
          <w:rFonts w:cstheme="minorHAnsi"/>
        </w:rPr>
      </w:pPr>
      <w:r w:rsidRPr="007A3506">
        <w:rPr>
          <w:rFonts w:cstheme="minorHAnsi"/>
        </w:rPr>
        <w:t xml:space="preserve">Confirmation of whether workers’ compensation premiums are paid on a state/territory basis, whether the accredited </w:t>
      </w:r>
      <w:r w:rsidR="00141C7C" w:rsidRPr="007A3506">
        <w:rPr>
          <w:rFonts w:cstheme="minorHAnsi"/>
        </w:rPr>
        <w:t>entity</w:t>
      </w:r>
      <w:r w:rsidRPr="007A3506">
        <w:rPr>
          <w:rFonts w:cstheme="minorHAnsi"/>
        </w:rPr>
        <w:t xml:space="preserve"> is self-insured, or has other workers’ compensation arrangements</w:t>
      </w:r>
      <w:r w:rsidR="006A51E0" w:rsidRPr="007A3506">
        <w:rPr>
          <w:rFonts w:cstheme="minorHAnsi"/>
        </w:rPr>
        <w:t>.</w:t>
      </w:r>
    </w:p>
    <w:p w14:paraId="5E56E587" w14:textId="1B6C2E88" w:rsidR="0071670E" w:rsidRPr="007A3506" w:rsidRDefault="0071670E" w:rsidP="00054594">
      <w:pPr>
        <w:pStyle w:val="PURPLEBullet"/>
        <w:spacing w:after="200"/>
        <w:rPr>
          <w:rFonts w:cstheme="minorHAnsi"/>
        </w:rPr>
      </w:pPr>
      <w:r w:rsidRPr="007A3506">
        <w:rPr>
          <w:rFonts w:cstheme="minorHAnsi"/>
        </w:rPr>
        <w:t xml:space="preserve">The total number of individuals, who are directly employed by the accredited </w:t>
      </w:r>
      <w:r w:rsidR="00141C7C" w:rsidRPr="007A3506">
        <w:rPr>
          <w:rFonts w:cstheme="minorHAnsi"/>
        </w:rPr>
        <w:t>entity</w:t>
      </w:r>
      <w:r w:rsidRPr="007A3506">
        <w:rPr>
          <w:rFonts w:cstheme="minorHAnsi"/>
        </w:rPr>
        <w:t xml:space="preserve"> that have worked on building or civil construction projects (irrelevant of project value) for the accredited </w:t>
      </w:r>
      <w:r w:rsidR="00CB5006" w:rsidRPr="007A3506">
        <w:rPr>
          <w:rFonts w:cstheme="minorHAnsi"/>
        </w:rPr>
        <w:t>entit</w:t>
      </w:r>
      <w:r w:rsidRPr="007A3506">
        <w:rPr>
          <w:rFonts w:cstheme="minorHAnsi"/>
        </w:rPr>
        <w:t>y for any length of time during the reporting period</w:t>
      </w:r>
      <w:r w:rsidR="006A51E0" w:rsidRPr="007A3506">
        <w:rPr>
          <w:rFonts w:cstheme="minorHAnsi"/>
        </w:rPr>
        <w:t>.</w:t>
      </w:r>
    </w:p>
    <w:p w14:paraId="46B0583D" w14:textId="581BA21B" w:rsidR="0071670E" w:rsidRPr="007A3506" w:rsidRDefault="0071670E" w:rsidP="00054594">
      <w:pPr>
        <w:pStyle w:val="PURPLEBullet"/>
        <w:spacing w:after="200"/>
        <w:rPr>
          <w:rFonts w:cstheme="minorHAnsi"/>
        </w:rPr>
      </w:pPr>
      <w:r w:rsidRPr="007A3506">
        <w:rPr>
          <w:rFonts w:cstheme="minorHAnsi"/>
        </w:rPr>
        <w:t>the number of workers’ compensation claims that were actioned that originated from building or civil construction work performed during the reporting period</w:t>
      </w:r>
      <w:r w:rsidR="006A51E0" w:rsidRPr="007A3506">
        <w:rPr>
          <w:rFonts w:cstheme="minorHAnsi"/>
        </w:rPr>
        <w:t>.</w:t>
      </w:r>
    </w:p>
    <w:p w14:paraId="76360116" w14:textId="17BD574C" w:rsidR="0071670E" w:rsidRPr="007A3506" w:rsidRDefault="0071670E" w:rsidP="00054594">
      <w:pPr>
        <w:pStyle w:val="PURPLEBullet"/>
        <w:spacing w:after="200"/>
        <w:rPr>
          <w:rFonts w:cstheme="minorHAnsi"/>
        </w:rPr>
      </w:pPr>
      <w:r w:rsidRPr="007A3506">
        <w:rPr>
          <w:rFonts w:cstheme="minorHAnsi"/>
        </w:rPr>
        <w:t>Average cost per workers' compensation claims for all projects during the reporting period</w:t>
      </w:r>
      <w:r w:rsidR="00D95AFE" w:rsidRPr="007A3506">
        <w:rPr>
          <w:rFonts w:cstheme="minorHAnsi"/>
        </w:rPr>
        <w:t>.</w:t>
      </w:r>
    </w:p>
    <w:p w14:paraId="10D49C89" w14:textId="4155DCC4" w:rsidR="0071670E" w:rsidRPr="007A3506" w:rsidRDefault="0071670E" w:rsidP="00054594">
      <w:pPr>
        <w:pStyle w:val="PURPLEBullet"/>
        <w:spacing w:after="200"/>
        <w:rPr>
          <w:rFonts w:cstheme="minorHAnsi"/>
        </w:rPr>
      </w:pPr>
      <w:r w:rsidRPr="007A3506">
        <w:rPr>
          <w:rFonts w:cstheme="minorHAnsi"/>
        </w:rPr>
        <w:t xml:space="preserve">The number of pending or completed prosecution action(s) taken against the accredited </w:t>
      </w:r>
      <w:r w:rsidR="00D95AFE" w:rsidRPr="007A3506">
        <w:rPr>
          <w:rFonts w:cstheme="minorHAnsi"/>
        </w:rPr>
        <w:t>entity</w:t>
      </w:r>
      <w:r w:rsidRPr="007A3506">
        <w:rPr>
          <w:rFonts w:cstheme="minorHAnsi"/>
        </w:rPr>
        <w:t xml:space="preserve"> by a State or Territory</w:t>
      </w:r>
      <w:r w:rsidR="006A51E0" w:rsidRPr="007A3506">
        <w:rPr>
          <w:rFonts w:cstheme="minorHAnsi"/>
        </w:rPr>
        <w:t>.</w:t>
      </w:r>
    </w:p>
    <w:p w14:paraId="4785EAD7" w14:textId="3C0FC350" w:rsidR="0071670E" w:rsidRPr="007A3506" w:rsidRDefault="0071670E" w:rsidP="00054594">
      <w:pPr>
        <w:pStyle w:val="PURPLEBullet"/>
        <w:spacing w:after="200"/>
        <w:rPr>
          <w:rFonts w:cstheme="minorHAnsi"/>
        </w:rPr>
      </w:pPr>
      <w:r w:rsidRPr="007A3506">
        <w:rPr>
          <w:rFonts w:cstheme="minorHAnsi"/>
        </w:rPr>
        <w:t>Information on any peer or industry recognition for WHS performanc</w:t>
      </w:r>
      <w:r w:rsidR="006A51E0" w:rsidRPr="007A3506">
        <w:rPr>
          <w:rFonts w:cstheme="minorHAnsi"/>
        </w:rPr>
        <w:t>e.</w:t>
      </w:r>
    </w:p>
    <w:p w14:paraId="0E00C343" w14:textId="549DE6D9" w:rsidR="000352B4" w:rsidRPr="007A3506" w:rsidRDefault="0071670E" w:rsidP="00054594">
      <w:pPr>
        <w:pStyle w:val="PURPLEBullet"/>
        <w:spacing w:after="200"/>
        <w:rPr>
          <w:rFonts w:cstheme="minorHAnsi"/>
        </w:rPr>
      </w:pPr>
      <w:r w:rsidRPr="007A3506">
        <w:rPr>
          <w:rFonts w:cstheme="minorHAnsi"/>
        </w:rPr>
        <w:t xml:space="preserve">Information on any key WHS initiatives implemented by the accredited </w:t>
      </w:r>
      <w:r w:rsidR="00D95AFE" w:rsidRPr="007A3506">
        <w:rPr>
          <w:rFonts w:cstheme="minorHAnsi"/>
        </w:rPr>
        <w:t>entity</w:t>
      </w:r>
      <w:r w:rsidRPr="007A3506">
        <w:rPr>
          <w:rFonts w:cstheme="minorHAnsi"/>
        </w:rPr>
        <w:t xml:space="preserve"> during the period.</w:t>
      </w:r>
    </w:p>
    <w:p w14:paraId="4B404BEE" w14:textId="5076D679" w:rsidR="00E6773B" w:rsidRPr="007A3506" w:rsidRDefault="0071670E" w:rsidP="00054594">
      <w:pPr>
        <w:spacing w:line="259" w:lineRule="auto"/>
        <w:contextualSpacing/>
        <w:rPr>
          <w:rFonts w:cstheme="minorHAnsi"/>
        </w:rPr>
      </w:pPr>
      <w:r w:rsidRPr="007A3506">
        <w:rPr>
          <w:rFonts w:cstheme="minorHAnsi"/>
        </w:rPr>
        <w:t xml:space="preserve">Accredited </w:t>
      </w:r>
      <w:r w:rsidR="00D95AFE" w:rsidRPr="007A3506">
        <w:rPr>
          <w:rFonts w:cstheme="minorHAnsi"/>
        </w:rPr>
        <w:t>entities</w:t>
      </w:r>
      <w:r w:rsidRPr="007A3506">
        <w:rPr>
          <w:rFonts w:cstheme="minorHAnsi"/>
        </w:rPr>
        <w:t xml:space="preserve"> are also required to report WHS incidents and injuries to regulators and other agencies.</w:t>
      </w:r>
    </w:p>
    <w:p w14:paraId="75A4234A" w14:textId="77777777" w:rsidR="00414B66" w:rsidRPr="007A3506" w:rsidRDefault="00414B66" w:rsidP="00054594">
      <w:pPr>
        <w:spacing w:line="259" w:lineRule="auto"/>
        <w:contextualSpacing/>
        <w:rPr>
          <w:rFonts w:cstheme="minorHAnsi"/>
        </w:rPr>
      </w:pPr>
    </w:p>
    <w:p w14:paraId="40B84609" w14:textId="77777777" w:rsidR="00F45ACF" w:rsidRPr="007A3506" w:rsidRDefault="00F45ACF" w:rsidP="00F45ACF">
      <w:pPr>
        <w:pStyle w:val="Heading4"/>
        <w:rPr>
          <w:rFonts w:asciiTheme="minorHAnsi" w:hAnsiTheme="minorHAnsi" w:cstheme="minorHAnsi"/>
        </w:rPr>
      </w:pPr>
      <w:r w:rsidRPr="007A3506">
        <w:rPr>
          <w:rFonts w:asciiTheme="minorHAnsi" w:hAnsiTheme="minorHAnsi" w:cstheme="minorHAnsi"/>
        </w:rPr>
        <w:t>WHS Regulators</w:t>
      </w:r>
    </w:p>
    <w:p w14:paraId="1F25F7FF" w14:textId="1754F2AB" w:rsidR="00F45ACF" w:rsidRPr="007A3506" w:rsidRDefault="00F45ACF" w:rsidP="00054594">
      <w:pPr>
        <w:rPr>
          <w:rFonts w:cstheme="minorHAnsi"/>
        </w:rPr>
      </w:pPr>
      <w:r w:rsidRPr="007A3506">
        <w:rPr>
          <w:rFonts w:cstheme="minorHAnsi"/>
        </w:rPr>
        <w:t xml:space="preserve">The model WHS Act requires an accredited </w:t>
      </w:r>
      <w:r w:rsidR="00D95AFE" w:rsidRPr="007A3506">
        <w:rPr>
          <w:rFonts w:cstheme="minorHAnsi"/>
        </w:rPr>
        <w:t>entity</w:t>
      </w:r>
      <w:r w:rsidRPr="007A3506">
        <w:rPr>
          <w:rFonts w:cstheme="minorHAnsi"/>
        </w:rPr>
        <w:t xml:space="preserve"> (which will meet the definition of person conducting a business or enterprise (PCBU)) to notify the relevant WHS regulator immediately after becoming aware that a notifiable incident has taken place. A notifiable incident means:</w:t>
      </w:r>
    </w:p>
    <w:p w14:paraId="0EA7AD82" w14:textId="3C1D7AFB" w:rsidR="00F45ACF" w:rsidRPr="007A3506" w:rsidRDefault="00F45ACF" w:rsidP="00054594">
      <w:pPr>
        <w:spacing w:after="0"/>
        <w:ind w:firstLine="720"/>
        <w:rPr>
          <w:rFonts w:cstheme="minorHAnsi"/>
        </w:rPr>
      </w:pPr>
      <w:r w:rsidRPr="007A3506">
        <w:rPr>
          <w:rFonts w:cstheme="minorHAnsi"/>
        </w:rPr>
        <w:t>(a) the death of a person;</w:t>
      </w:r>
    </w:p>
    <w:p w14:paraId="51B80CB9" w14:textId="77777777" w:rsidR="00F45ACF" w:rsidRPr="007A3506" w:rsidRDefault="00F45ACF" w:rsidP="00054594">
      <w:pPr>
        <w:spacing w:after="0"/>
        <w:ind w:firstLine="720"/>
        <w:rPr>
          <w:rFonts w:cstheme="minorHAnsi"/>
        </w:rPr>
      </w:pPr>
      <w:r w:rsidRPr="007A3506">
        <w:rPr>
          <w:rFonts w:cstheme="minorHAnsi"/>
        </w:rPr>
        <w:t xml:space="preserve">(b) a serious injury or illness of a person; or </w:t>
      </w:r>
    </w:p>
    <w:p w14:paraId="7CBC33DF" w14:textId="2955BE14" w:rsidR="00F45ACF" w:rsidRPr="007A3506" w:rsidRDefault="00F45ACF" w:rsidP="00054594">
      <w:pPr>
        <w:spacing w:after="0"/>
        <w:ind w:left="720"/>
        <w:rPr>
          <w:rFonts w:cstheme="minorHAnsi"/>
        </w:rPr>
      </w:pPr>
      <w:r w:rsidRPr="007A3506">
        <w:rPr>
          <w:rFonts w:cstheme="minorHAnsi"/>
        </w:rPr>
        <w:t>(c) a dangerous incident.</w:t>
      </w:r>
      <w:r w:rsidRPr="007A3506">
        <w:rPr>
          <w:rStyle w:val="FootnoteReference"/>
          <w:rFonts w:cstheme="minorHAnsi"/>
        </w:rPr>
        <w:footnoteReference w:id="30"/>
      </w:r>
      <w:r w:rsidR="0034308C" w:rsidRPr="007A3506">
        <w:rPr>
          <w:rFonts w:cstheme="minorHAnsi"/>
        </w:rPr>
        <w:br/>
      </w:r>
    </w:p>
    <w:p w14:paraId="465E2D7A" w14:textId="77777777" w:rsidR="00F45ACF" w:rsidRPr="007A3506" w:rsidRDefault="00F45ACF" w:rsidP="00E9600E">
      <w:pPr>
        <w:rPr>
          <w:rFonts w:eastAsiaTheme="minorEastAsia" w:cstheme="minorHAnsi"/>
        </w:rPr>
      </w:pPr>
      <w:r w:rsidRPr="007A3506">
        <w:rPr>
          <w:rFonts w:cstheme="minorHAnsi"/>
        </w:rPr>
        <w:t xml:space="preserve">Failing to report a notifiable incident is an offence and penalties apply. </w:t>
      </w:r>
    </w:p>
    <w:p w14:paraId="23EF9E07" w14:textId="5969C182" w:rsidR="00E86D4B" w:rsidRPr="007A3506" w:rsidRDefault="00E86D4B">
      <w:pPr>
        <w:spacing w:after="160" w:line="259" w:lineRule="auto"/>
        <w:rPr>
          <w:rFonts w:cstheme="minorHAnsi"/>
          <w:color w:val="000000" w:themeColor="text1"/>
        </w:rPr>
      </w:pPr>
    </w:p>
    <w:p w14:paraId="28F0B4FE" w14:textId="671EEE21" w:rsidR="00414B66" w:rsidRPr="007A3506" w:rsidRDefault="00F45ACF" w:rsidP="007029F4">
      <w:pPr>
        <w:rPr>
          <w:rFonts w:cstheme="minorHAnsi"/>
          <w:color w:val="000000" w:themeColor="text1"/>
        </w:rPr>
      </w:pPr>
      <w:r w:rsidRPr="007A3506">
        <w:rPr>
          <w:rFonts w:cstheme="minorHAnsi"/>
          <w:color w:val="000000" w:themeColor="text1"/>
        </w:rPr>
        <w:t xml:space="preserve">Under Victoria’s </w:t>
      </w:r>
      <w:r w:rsidRPr="007A3506">
        <w:rPr>
          <w:rFonts w:cstheme="minorHAnsi"/>
          <w:i/>
          <w:color w:val="000000" w:themeColor="text1"/>
        </w:rPr>
        <w:t>Occupational Health and Safety Act 2004</w:t>
      </w:r>
      <w:r w:rsidRPr="007A3506">
        <w:rPr>
          <w:rFonts w:cstheme="minorHAnsi"/>
          <w:color w:val="000000" w:themeColor="text1"/>
        </w:rPr>
        <w:t xml:space="preserve">, accredited </w:t>
      </w:r>
      <w:r w:rsidR="00D95AFE" w:rsidRPr="007A3506">
        <w:rPr>
          <w:rFonts w:cstheme="minorHAnsi"/>
          <w:color w:val="000000" w:themeColor="text1"/>
        </w:rPr>
        <w:t>entities</w:t>
      </w:r>
      <w:r w:rsidRPr="007A3506">
        <w:rPr>
          <w:rFonts w:cstheme="minorHAnsi"/>
          <w:color w:val="000000" w:themeColor="text1"/>
        </w:rPr>
        <w:t xml:space="preserve"> (which will meet the definition of an employer) must notify WorkSafe Victoria immediately after becoming aware a notifiable incident has occurred. Failure to report an incident to WorkSafe is an offence and may result in prosecution. A notifiable incident should be reported immediately, followed up with a written notification within 48 hours.</w:t>
      </w:r>
      <w:r w:rsidRPr="007A3506">
        <w:rPr>
          <w:rStyle w:val="FootnoteReference"/>
          <w:rFonts w:cstheme="minorHAnsi"/>
          <w:color w:val="000000" w:themeColor="text1"/>
        </w:rPr>
        <w:footnoteReference w:id="31"/>
      </w:r>
      <w:r w:rsidR="00414B66" w:rsidRPr="007A3506">
        <w:rPr>
          <w:rFonts w:cstheme="minorHAnsi"/>
          <w:color w:val="000000" w:themeColor="text1"/>
        </w:rPr>
        <w:br/>
      </w:r>
    </w:p>
    <w:p w14:paraId="270A8AEA" w14:textId="77777777" w:rsidR="00F64187" w:rsidRPr="007A3506" w:rsidRDefault="00F64187" w:rsidP="00F64187">
      <w:pPr>
        <w:pStyle w:val="Heading4"/>
        <w:rPr>
          <w:rFonts w:asciiTheme="minorHAnsi" w:hAnsiTheme="minorHAnsi" w:cstheme="minorHAnsi"/>
        </w:rPr>
      </w:pPr>
      <w:r w:rsidRPr="007A3506">
        <w:rPr>
          <w:rFonts w:asciiTheme="minorHAnsi" w:hAnsiTheme="minorHAnsi" w:cstheme="minorHAnsi"/>
        </w:rPr>
        <w:t>Procurement Agencies</w:t>
      </w:r>
    </w:p>
    <w:p w14:paraId="5A7FFCD0" w14:textId="7EFE6D6E" w:rsidR="00F64187" w:rsidRPr="007A3506" w:rsidRDefault="00F64187" w:rsidP="00F64187">
      <w:pPr>
        <w:rPr>
          <w:rFonts w:cstheme="minorHAnsi"/>
        </w:rPr>
      </w:pPr>
      <w:r w:rsidRPr="007A3506">
        <w:rPr>
          <w:rFonts w:cstheme="minorHAnsi"/>
        </w:rPr>
        <w:t>Some procurement agencies have their own WHS incident reporting requirements.</w:t>
      </w:r>
      <w:r w:rsidR="004B7971" w:rsidRPr="007A3506">
        <w:rPr>
          <w:rFonts w:cstheme="minorHAnsi"/>
        </w:rPr>
        <w:t xml:space="preserve"> </w:t>
      </w:r>
      <w:r w:rsidRPr="007A3506">
        <w:rPr>
          <w:rFonts w:cstheme="minorHAnsi"/>
        </w:rPr>
        <w:t>For example, the Department of Defence requires contractors to report WHS incidents to it.</w:t>
      </w:r>
      <w:r w:rsidR="004B7971" w:rsidRPr="007A3506">
        <w:rPr>
          <w:rFonts w:cstheme="minorHAnsi"/>
        </w:rPr>
        <w:t xml:space="preserve"> </w:t>
      </w:r>
      <w:r w:rsidRPr="007A3506">
        <w:rPr>
          <w:rFonts w:cstheme="minorHAnsi"/>
        </w:rPr>
        <w:t>The Department of Defence also audits worksites and issues its own contractual notices where there is non-compliance with WHS obligations.</w:t>
      </w:r>
    </w:p>
    <w:p w14:paraId="11E553A7" w14:textId="783B583A" w:rsidR="00F64187" w:rsidRPr="007A3506" w:rsidRDefault="00F64187" w:rsidP="00F64187">
      <w:pPr>
        <w:rPr>
          <w:rFonts w:cstheme="minorHAnsi"/>
        </w:rPr>
      </w:pPr>
      <w:r w:rsidRPr="007A3506">
        <w:rPr>
          <w:rFonts w:cstheme="minorHAnsi"/>
        </w:rPr>
        <w:t xml:space="preserve">Accredited </w:t>
      </w:r>
      <w:r w:rsidR="00893F86" w:rsidRPr="007A3506">
        <w:rPr>
          <w:rFonts w:cstheme="minorHAnsi"/>
        </w:rPr>
        <w:t>entities</w:t>
      </w:r>
      <w:r w:rsidRPr="007A3506">
        <w:rPr>
          <w:rFonts w:cstheme="minorHAnsi"/>
        </w:rPr>
        <w:t xml:space="preserve"> are reporting WHS incidents, injuries and fatalities to multiple parties under multiple pieces of legislation.</w:t>
      </w:r>
      <w:r w:rsidR="004B7971" w:rsidRPr="007A3506">
        <w:rPr>
          <w:rFonts w:cstheme="minorHAnsi"/>
        </w:rPr>
        <w:t xml:space="preserve"> </w:t>
      </w:r>
      <w:r w:rsidRPr="007A3506">
        <w:rPr>
          <w:rFonts w:cstheme="minorHAnsi"/>
        </w:rPr>
        <w:t>They are reporting different things to different agencies and sometimes they appear to be reporting the same things but under different names (dangerous occurrences and dangerous incidents).</w:t>
      </w:r>
      <w:r w:rsidR="004B7971" w:rsidRPr="007A3506">
        <w:rPr>
          <w:rFonts w:cstheme="minorHAnsi"/>
        </w:rPr>
        <w:t xml:space="preserve"> </w:t>
      </w:r>
      <w:r w:rsidRPr="007A3506">
        <w:rPr>
          <w:rFonts w:cstheme="minorHAnsi"/>
        </w:rPr>
        <w:t>However, they are not reporting all WHS incidents across all of their activities to the FSC.</w:t>
      </w:r>
    </w:p>
    <w:p w14:paraId="54427BD8" w14:textId="1FA02638" w:rsidR="005B7AB7" w:rsidRPr="007A3506" w:rsidRDefault="005B7AB7" w:rsidP="005B7AB7">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w:t>
      </w:r>
      <w:r w:rsidR="0057474B" w:rsidRPr="007A3506">
        <w:rPr>
          <w:rFonts w:asciiTheme="minorHAnsi" w:hAnsiTheme="minorHAnsi" w:cstheme="minorHAnsi"/>
        </w:rPr>
        <w:t>n</w:t>
      </w:r>
      <w:r w:rsidRPr="007A3506">
        <w:rPr>
          <w:rFonts w:asciiTheme="minorHAnsi" w:hAnsiTheme="minorHAnsi" w:cstheme="minorHAnsi"/>
        </w:rPr>
        <w:t xml:space="preserve"> </w:t>
      </w:r>
      <w:r w:rsidR="001639D0" w:rsidRPr="007A3506">
        <w:rPr>
          <w:rFonts w:asciiTheme="minorHAnsi" w:hAnsiTheme="minorHAnsi" w:cstheme="minorHAnsi"/>
        </w:rPr>
        <w:t>2</w:t>
      </w:r>
      <w:r w:rsidR="00346D35" w:rsidRPr="007A3506">
        <w:rPr>
          <w:rFonts w:asciiTheme="minorHAnsi" w:hAnsiTheme="minorHAnsi" w:cstheme="minorHAnsi"/>
        </w:rPr>
        <w:t>0</w:t>
      </w:r>
    </w:p>
    <w:p w14:paraId="1595E92F" w14:textId="53C579E1" w:rsidR="005B7AB7" w:rsidRPr="007A3506" w:rsidRDefault="0078084D" w:rsidP="005B7AB7">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How best could entities</w:t>
      </w:r>
      <w:r w:rsidR="00431143" w:rsidRPr="007A3506">
        <w:rPr>
          <w:rFonts w:cstheme="minorHAnsi"/>
        </w:rPr>
        <w:t xml:space="preserve"> report WHS incidents, injuries and fatalities consistently across all of their activities (scheme and non-scheme)?</w:t>
      </w:r>
    </w:p>
    <w:p w14:paraId="2992EDD9" w14:textId="3F7E24B3" w:rsidR="00840C5A" w:rsidRPr="007A3506" w:rsidRDefault="00840C5A" w:rsidP="00840C5A">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 2</w:t>
      </w:r>
      <w:r w:rsidR="00346D35" w:rsidRPr="007A3506">
        <w:rPr>
          <w:rFonts w:asciiTheme="minorHAnsi" w:hAnsiTheme="minorHAnsi" w:cstheme="minorHAnsi"/>
        </w:rPr>
        <w:t>1</w:t>
      </w:r>
    </w:p>
    <w:p w14:paraId="10D30366" w14:textId="0441AADF" w:rsidR="00840C5A" w:rsidRPr="007A3506" w:rsidRDefault="00840C5A" w:rsidP="005B7AB7">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Should WHS incident reporting be streamlined to cater for all government agency and regulatory reporting requirements? If yes, how?</w:t>
      </w:r>
    </w:p>
    <w:p w14:paraId="17EC57F8" w14:textId="339B2C5D" w:rsidR="00840C5A" w:rsidRPr="007A3506" w:rsidRDefault="00840C5A" w:rsidP="00840C5A">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 2</w:t>
      </w:r>
      <w:r w:rsidR="00346D35" w:rsidRPr="007A3506">
        <w:rPr>
          <w:rFonts w:asciiTheme="minorHAnsi" w:hAnsiTheme="minorHAnsi" w:cstheme="minorHAnsi"/>
        </w:rPr>
        <w:t>2</w:t>
      </w:r>
    </w:p>
    <w:p w14:paraId="5945CAC7" w14:textId="174B6B29" w:rsidR="00840C5A" w:rsidRPr="007A3506" w:rsidRDefault="00840C5A" w:rsidP="005B7AB7">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Could the FSC draw on existing data sources instead of requiring its own data?</w:t>
      </w:r>
    </w:p>
    <w:p w14:paraId="59C96A2F" w14:textId="54668F8C" w:rsidR="00840C5A" w:rsidRPr="007A3506" w:rsidRDefault="00840C5A" w:rsidP="00840C5A">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 2</w:t>
      </w:r>
      <w:r w:rsidR="00346D35" w:rsidRPr="007A3506">
        <w:rPr>
          <w:rFonts w:asciiTheme="minorHAnsi" w:hAnsiTheme="minorHAnsi" w:cstheme="minorHAnsi"/>
        </w:rPr>
        <w:t>3</w:t>
      </w:r>
    </w:p>
    <w:p w14:paraId="2E4C7ABE" w14:textId="424761C1" w:rsidR="00840C5A" w:rsidRPr="007A3506" w:rsidRDefault="00840C5A" w:rsidP="005B7AB7">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Are there any lead indicators that could be reported to the FSC?</w:t>
      </w:r>
    </w:p>
    <w:p w14:paraId="4749E14C" w14:textId="7EB84787" w:rsidR="000719AC" w:rsidRPr="007A3506" w:rsidRDefault="000719AC" w:rsidP="000719AC">
      <w:pPr>
        <w:rPr>
          <w:rFonts w:cstheme="minorHAnsi"/>
        </w:rPr>
      </w:pPr>
      <w:r w:rsidRPr="007A3506">
        <w:rPr>
          <w:rFonts w:cstheme="minorHAnsi"/>
        </w:rPr>
        <w:t>The issue of reporting across multiple parties also raises</w:t>
      </w:r>
      <w:r w:rsidR="00C3040F" w:rsidRPr="007A3506">
        <w:rPr>
          <w:rFonts w:cstheme="minorHAnsi"/>
        </w:rPr>
        <w:t xml:space="preserve"> the </w:t>
      </w:r>
      <w:r w:rsidRPr="007A3506">
        <w:rPr>
          <w:rFonts w:cstheme="minorHAnsi"/>
        </w:rPr>
        <w:t xml:space="preserve">question about greater collaboration between those agencies and regulators currently working to improve WHS in the building and construction industry. Safe Work Australia, the </w:t>
      </w:r>
      <w:r w:rsidR="00260C11" w:rsidRPr="007A3506">
        <w:rPr>
          <w:rFonts w:cstheme="minorHAnsi"/>
        </w:rPr>
        <w:t>FSC,</w:t>
      </w:r>
      <w:r w:rsidRPr="007A3506">
        <w:rPr>
          <w:rFonts w:cstheme="minorHAnsi"/>
        </w:rPr>
        <w:t xml:space="preserve"> WHS Regulators and Workers Compensation agencies are all collecting data, and using it to develop education and compliance strategies with the objective of reducing workplace fatalities and injuries. Often confidentiality provisions in various pieces of legislation prevent these agencies from sharing that information with each other.</w:t>
      </w:r>
    </w:p>
    <w:p w14:paraId="2C6BCDB8" w14:textId="77777777" w:rsidR="00CA0FDD" w:rsidRPr="007A3506" w:rsidRDefault="00CA0FDD">
      <w:pPr>
        <w:spacing w:after="160" w:line="259" w:lineRule="auto"/>
        <w:rPr>
          <w:rFonts w:cstheme="minorHAnsi"/>
        </w:rPr>
      </w:pPr>
    </w:p>
    <w:p w14:paraId="6031FAE5" w14:textId="77777777" w:rsidR="00CA0FDD" w:rsidRPr="007A3506" w:rsidRDefault="00CA0FDD">
      <w:pPr>
        <w:spacing w:after="160" w:line="259" w:lineRule="auto"/>
        <w:rPr>
          <w:rFonts w:cstheme="minorHAnsi"/>
        </w:rPr>
      </w:pPr>
    </w:p>
    <w:p w14:paraId="70F42FF6" w14:textId="77777777" w:rsidR="00CA0FDD" w:rsidRPr="007A3506" w:rsidRDefault="00CA0FDD">
      <w:pPr>
        <w:spacing w:after="160" w:line="259" w:lineRule="auto"/>
        <w:rPr>
          <w:rFonts w:cstheme="minorHAnsi"/>
        </w:rPr>
      </w:pPr>
    </w:p>
    <w:p w14:paraId="785502B0" w14:textId="12B84A36" w:rsidR="000719AC" w:rsidRPr="007A3506" w:rsidRDefault="000719AC" w:rsidP="000719AC">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1639D0" w:rsidRPr="007A3506">
        <w:rPr>
          <w:rFonts w:asciiTheme="minorHAnsi" w:hAnsiTheme="minorHAnsi" w:cstheme="minorHAnsi"/>
        </w:rPr>
        <w:t>2</w:t>
      </w:r>
      <w:r w:rsidR="00346D35" w:rsidRPr="007A3506">
        <w:rPr>
          <w:rFonts w:asciiTheme="minorHAnsi" w:hAnsiTheme="minorHAnsi" w:cstheme="minorHAnsi"/>
        </w:rPr>
        <w:t>4</w:t>
      </w:r>
    </w:p>
    <w:p w14:paraId="70551139" w14:textId="45B6C1C0" w:rsidR="000719AC" w:rsidRPr="007A3506" w:rsidRDefault="000719AC" w:rsidP="000719AC">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How can we ensure greater </w:t>
      </w:r>
      <w:r w:rsidR="00346D35" w:rsidRPr="007A3506">
        <w:rPr>
          <w:rFonts w:cstheme="minorHAnsi"/>
        </w:rPr>
        <w:t xml:space="preserve">collaboration and </w:t>
      </w:r>
      <w:r w:rsidRPr="007A3506">
        <w:rPr>
          <w:rFonts w:cstheme="minorHAnsi"/>
        </w:rPr>
        <w:t>sharing of information between the FSC and other WHS agencies and regulators?</w:t>
      </w:r>
    </w:p>
    <w:p w14:paraId="364AE9D8" w14:textId="5D89B293" w:rsidR="00C3040F" w:rsidRPr="007A3506" w:rsidRDefault="00C3040F" w:rsidP="00C3040F">
      <w:pPr>
        <w:rPr>
          <w:rFonts w:cstheme="minorHAnsi"/>
        </w:rPr>
      </w:pPr>
      <w:r w:rsidRPr="007A3506">
        <w:rPr>
          <w:rFonts w:cstheme="minorHAnsi"/>
        </w:rPr>
        <w:t xml:space="preserve">WHS incident, injury and fatality data is used to track improvements in safety across accredited </w:t>
      </w:r>
      <w:r w:rsidR="000719AC" w:rsidRPr="007A3506">
        <w:rPr>
          <w:rFonts w:cstheme="minorHAnsi"/>
        </w:rPr>
        <w:t>entities</w:t>
      </w:r>
      <w:r w:rsidRPr="007A3506">
        <w:rPr>
          <w:rFonts w:cstheme="minorHAnsi"/>
        </w:rPr>
        <w:t xml:space="preserve"> operating in the building and construction industry and to assess whether an accredited </w:t>
      </w:r>
      <w:r w:rsidR="00A664CD" w:rsidRPr="007A3506">
        <w:rPr>
          <w:rFonts w:cstheme="minorHAnsi"/>
        </w:rPr>
        <w:t>entity</w:t>
      </w:r>
      <w:r w:rsidRPr="007A3506">
        <w:rPr>
          <w:rFonts w:cstheme="minorHAnsi"/>
        </w:rPr>
        <w:t>’s risk rating should be set at low, medium or high within the FSC’s risk framework.</w:t>
      </w:r>
      <w:r w:rsidR="004B7971" w:rsidRPr="007A3506">
        <w:rPr>
          <w:rFonts w:cstheme="minorHAnsi"/>
        </w:rPr>
        <w:t xml:space="preserve"> </w:t>
      </w:r>
      <w:r w:rsidRPr="007A3506">
        <w:rPr>
          <w:rFonts w:cstheme="minorHAnsi"/>
        </w:rPr>
        <w:t xml:space="preserve">The purpose of the risk framework is to enable the management of audit frequency. </w:t>
      </w:r>
    </w:p>
    <w:p w14:paraId="6BC5E312" w14:textId="739F9C51" w:rsidR="00623599" w:rsidRPr="007A3506" w:rsidRDefault="00C3040F" w:rsidP="00C3040F">
      <w:pPr>
        <w:rPr>
          <w:rFonts w:cstheme="minorHAnsi"/>
        </w:rPr>
      </w:pPr>
      <w:r w:rsidRPr="007A3506">
        <w:rPr>
          <w:rFonts w:cstheme="minorHAnsi"/>
        </w:rPr>
        <w:t xml:space="preserve">The Royal Commission reported that there should be the ability for transparent comparative assessments of an accredited </w:t>
      </w:r>
      <w:r w:rsidR="0004159F" w:rsidRPr="007A3506">
        <w:rPr>
          <w:rFonts w:cstheme="minorHAnsi"/>
        </w:rPr>
        <w:t>entity</w:t>
      </w:r>
      <w:r w:rsidRPr="007A3506">
        <w:rPr>
          <w:rFonts w:cstheme="minorHAnsi"/>
        </w:rPr>
        <w:t>’s safety record and capacity, noting that</w:t>
      </w:r>
      <w:r w:rsidR="00DE11FF" w:rsidRPr="007A3506">
        <w:rPr>
          <w:rFonts w:cstheme="minorHAnsi"/>
        </w:rPr>
        <w:t>:</w:t>
      </w:r>
    </w:p>
    <w:p w14:paraId="73A99407" w14:textId="46EFCC45" w:rsidR="00C3040F" w:rsidRPr="007A3506" w:rsidRDefault="00C3040F" w:rsidP="00B77BC6">
      <w:pPr>
        <w:ind w:left="720"/>
        <w:rPr>
          <w:rFonts w:cstheme="minorHAnsi"/>
        </w:rPr>
      </w:pPr>
      <w:r w:rsidRPr="007A3506">
        <w:rPr>
          <w:rFonts w:cstheme="minorHAnsi"/>
          <w:i/>
          <w:iCs/>
        </w:rPr>
        <w:t>the qualification held by each contractor should be a matter of public record …</w:t>
      </w:r>
      <w:r w:rsidR="004B7971" w:rsidRPr="007A3506">
        <w:rPr>
          <w:rFonts w:cstheme="minorHAnsi"/>
          <w:i/>
          <w:iCs/>
        </w:rPr>
        <w:t xml:space="preserve"> </w:t>
      </w:r>
      <w:r w:rsidRPr="007A3506">
        <w:rPr>
          <w:rFonts w:cstheme="minorHAnsi"/>
          <w:i/>
          <w:iCs/>
        </w:rPr>
        <w:t>such qualifications are intended to be of such a standard that they will indicate to the world at large the attainment and maintenance of a level of excellence in occupational health and safety</w:t>
      </w:r>
      <w:r w:rsidRPr="007A3506">
        <w:rPr>
          <w:rFonts w:cstheme="minorHAnsi"/>
        </w:rPr>
        <w:t>.</w:t>
      </w:r>
      <w:r w:rsidR="004B7971" w:rsidRPr="007A3506">
        <w:rPr>
          <w:rFonts w:cstheme="minorHAnsi"/>
        </w:rPr>
        <w:t xml:space="preserve"> </w:t>
      </w:r>
    </w:p>
    <w:p w14:paraId="389A3682" w14:textId="7DCBD246" w:rsidR="00C3040F" w:rsidRPr="007A3506" w:rsidRDefault="00C3040F" w:rsidP="00C3040F">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346D35" w:rsidRPr="007A3506">
        <w:rPr>
          <w:rFonts w:asciiTheme="minorHAnsi" w:hAnsiTheme="minorHAnsi" w:cstheme="minorHAnsi"/>
        </w:rPr>
        <w:t>25</w:t>
      </w:r>
    </w:p>
    <w:p w14:paraId="3F012451" w14:textId="33961EFC" w:rsidR="00682132" w:rsidRPr="007A3506" w:rsidRDefault="005453FC" w:rsidP="00346D3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Should the risk ratings of accredited </w:t>
      </w:r>
      <w:r w:rsidR="0004159F" w:rsidRPr="007A3506">
        <w:rPr>
          <w:rFonts w:cstheme="minorHAnsi"/>
        </w:rPr>
        <w:t>entities</w:t>
      </w:r>
      <w:r w:rsidRPr="007A3506">
        <w:rPr>
          <w:rFonts w:cstheme="minorHAnsi"/>
        </w:rPr>
        <w:t xml:space="preserve"> be transparent to allow for a comparative assessment of their safety record and capacity as part of the procurement requirements for CW funded projects?</w:t>
      </w:r>
      <w:bookmarkStart w:id="97" w:name="_Toc138428297"/>
    </w:p>
    <w:p w14:paraId="6808C167" w14:textId="77777777" w:rsidR="00371095" w:rsidRPr="007A3506" w:rsidRDefault="00371095" w:rsidP="00371095">
      <w:pPr>
        <w:rPr>
          <w:rFonts w:cstheme="minorHAnsi"/>
        </w:rPr>
      </w:pPr>
      <w:bookmarkStart w:id="98" w:name="_Toc1778436074"/>
    </w:p>
    <w:p w14:paraId="37C950E3" w14:textId="4F6B7232" w:rsidR="00256D40" w:rsidRPr="007A3506" w:rsidRDefault="00256D40" w:rsidP="00256D40">
      <w:pPr>
        <w:pStyle w:val="Heading2"/>
        <w:rPr>
          <w:rFonts w:asciiTheme="minorHAnsi" w:hAnsiTheme="minorHAnsi" w:cstheme="minorHAnsi"/>
        </w:rPr>
      </w:pPr>
      <w:bookmarkStart w:id="99" w:name="_Toc139261461"/>
      <w:r w:rsidRPr="007A3506">
        <w:rPr>
          <w:rFonts w:asciiTheme="minorHAnsi" w:hAnsiTheme="minorHAnsi" w:cstheme="minorHAnsi"/>
        </w:rPr>
        <w:t>3.4</w:t>
      </w:r>
      <w:r w:rsidR="002315E9" w:rsidRPr="007A3506">
        <w:rPr>
          <w:rFonts w:asciiTheme="minorHAnsi" w:hAnsiTheme="minorHAnsi" w:cstheme="minorHAnsi"/>
        </w:rPr>
        <w:t xml:space="preserve"> </w:t>
      </w:r>
      <w:r w:rsidRPr="007A3506">
        <w:rPr>
          <w:rFonts w:asciiTheme="minorHAnsi" w:hAnsiTheme="minorHAnsi" w:cstheme="minorHAnsi"/>
        </w:rPr>
        <w:t xml:space="preserve">Current and </w:t>
      </w:r>
      <w:r w:rsidR="00610D72" w:rsidRPr="007A3506">
        <w:rPr>
          <w:rFonts w:asciiTheme="minorHAnsi" w:hAnsiTheme="minorHAnsi" w:cstheme="minorHAnsi"/>
        </w:rPr>
        <w:t>R</w:t>
      </w:r>
      <w:r w:rsidRPr="007A3506">
        <w:rPr>
          <w:rFonts w:asciiTheme="minorHAnsi" w:hAnsiTheme="minorHAnsi" w:cstheme="minorHAnsi"/>
        </w:rPr>
        <w:t xml:space="preserve">ecently </w:t>
      </w:r>
      <w:r w:rsidR="00610D72" w:rsidRPr="007A3506">
        <w:rPr>
          <w:rFonts w:asciiTheme="minorHAnsi" w:hAnsiTheme="minorHAnsi" w:cstheme="minorHAnsi"/>
        </w:rPr>
        <w:t>A</w:t>
      </w:r>
      <w:r w:rsidRPr="007A3506">
        <w:rPr>
          <w:rFonts w:asciiTheme="minorHAnsi" w:hAnsiTheme="minorHAnsi" w:cstheme="minorHAnsi"/>
        </w:rPr>
        <w:t xml:space="preserve">cknowledged </w:t>
      </w:r>
      <w:r w:rsidR="00610D72" w:rsidRPr="007A3506">
        <w:rPr>
          <w:rFonts w:asciiTheme="minorHAnsi" w:hAnsiTheme="minorHAnsi" w:cstheme="minorHAnsi"/>
        </w:rPr>
        <w:t>H</w:t>
      </w:r>
      <w:r w:rsidRPr="007A3506">
        <w:rPr>
          <w:rFonts w:asciiTheme="minorHAnsi" w:hAnsiTheme="minorHAnsi" w:cstheme="minorHAnsi"/>
        </w:rPr>
        <w:t>azards</w:t>
      </w:r>
      <w:bookmarkEnd w:id="97"/>
      <w:bookmarkEnd w:id="98"/>
      <w:bookmarkEnd w:id="99"/>
    </w:p>
    <w:p w14:paraId="084489E8" w14:textId="77777777" w:rsidR="00C479C6" w:rsidRPr="007A3506" w:rsidRDefault="00C479C6" w:rsidP="007F0AA2">
      <w:pPr>
        <w:rPr>
          <w:rFonts w:cstheme="minorHAnsi"/>
        </w:rPr>
      </w:pPr>
      <w:r w:rsidRPr="007A3506">
        <w:rPr>
          <w:rFonts w:cstheme="minorHAnsi"/>
        </w:rPr>
        <w:t>The two main levers used by the FSC to improve safety standards in the building and construction industry are:</w:t>
      </w:r>
    </w:p>
    <w:p w14:paraId="5811AD1A" w14:textId="77777777" w:rsidR="00C479C6" w:rsidRPr="007A3506" w:rsidRDefault="00C479C6" w:rsidP="000352B4">
      <w:pPr>
        <w:pStyle w:val="ListNumber"/>
        <w:rPr>
          <w:rFonts w:cstheme="minorHAnsi"/>
        </w:rPr>
      </w:pPr>
      <w:r w:rsidRPr="007A3506">
        <w:rPr>
          <w:rFonts w:cstheme="minorHAnsi"/>
        </w:rPr>
        <w:t xml:space="preserve">The auditing processes </w:t>
      </w:r>
    </w:p>
    <w:p w14:paraId="392A9391" w14:textId="24AEF517" w:rsidR="00C479C6" w:rsidRPr="007A3506" w:rsidRDefault="00C479C6" w:rsidP="000352B4">
      <w:pPr>
        <w:pStyle w:val="ListNumber"/>
        <w:rPr>
          <w:rFonts w:cstheme="minorHAnsi"/>
        </w:rPr>
      </w:pPr>
      <w:r w:rsidRPr="007A3506">
        <w:rPr>
          <w:rFonts w:cstheme="minorHAnsi"/>
        </w:rPr>
        <w:t>Education and promotion</w:t>
      </w:r>
      <w:r w:rsidR="00F86876" w:rsidRPr="007A3506">
        <w:rPr>
          <w:rFonts w:cstheme="minorHAnsi"/>
        </w:rPr>
        <w:t xml:space="preserve"> of good WHS practices</w:t>
      </w:r>
      <w:r w:rsidR="009C40FB">
        <w:rPr>
          <w:rFonts w:cstheme="minorHAnsi"/>
        </w:rPr>
        <w:t>.</w:t>
      </w:r>
    </w:p>
    <w:p w14:paraId="12D6F415" w14:textId="48405821" w:rsidR="00C479C6" w:rsidRPr="007A3506" w:rsidRDefault="00C479C6" w:rsidP="00736346">
      <w:pPr>
        <w:rPr>
          <w:rFonts w:cstheme="minorHAnsi"/>
        </w:rPr>
      </w:pPr>
      <w:r w:rsidRPr="007A3506">
        <w:rPr>
          <w:rFonts w:cstheme="minorHAnsi"/>
        </w:rPr>
        <w:t xml:space="preserve">To support </w:t>
      </w:r>
      <w:r w:rsidR="00F86876" w:rsidRPr="007A3506">
        <w:rPr>
          <w:rFonts w:cstheme="minorHAnsi"/>
        </w:rPr>
        <w:t xml:space="preserve">accredited </w:t>
      </w:r>
      <w:r w:rsidR="004319EF" w:rsidRPr="007A3506">
        <w:rPr>
          <w:rFonts w:cstheme="minorHAnsi"/>
        </w:rPr>
        <w:t>entitie</w:t>
      </w:r>
      <w:r w:rsidRPr="007A3506">
        <w:rPr>
          <w:rFonts w:cstheme="minorHAnsi"/>
        </w:rPr>
        <w:t>s in understanding the audit process, the FSC has developed Audit Criteria Guidelines</w:t>
      </w:r>
      <w:r w:rsidR="006A275C" w:rsidRPr="007A3506">
        <w:rPr>
          <w:rFonts w:cstheme="minorHAnsi"/>
        </w:rPr>
        <w:t xml:space="preserve"> (Guidelines)</w:t>
      </w:r>
      <w:r w:rsidRPr="007A3506">
        <w:rPr>
          <w:rFonts w:cstheme="minorHAnsi"/>
        </w:rPr>
        <w:t xml:space="preserve">. </w:t>
      </w:r>
    </w:p>
    <w:p w14:paraId="536B010C" w14:textId="209B9A3D" w:rsidR="00C479C6" w:rsidRPr="007A3506" w:rsidRDefault="00C479C6" w:rsidP="00736346">
      <w:pPr>
        <w:rPr>
          <w:rFonts w:cstheme="minorHAnsi"/>
        </w:rPr>
      </w:pPr>
      <w:r w:rsidRPr="007A3506">
        <w:rPr>
          <w:rFonts w:cstheme="minorHAnsi"/>
        </w:rPr>
        <w:t>The Guidelines outline the scope of each criterion and provide examples of possible evidence that will and will not meet the criteria.</w:t>
      </w:r>
      <w:r w:rsidR="004B7971" w:rsidRPr="007A3506">
        <w:rPr>
          <w:rFonts w:cstheme="minorHAnsi"/>
        </w:rPr>
        <w:t xml:space="preserve"> </w:t>
      </w:r>
      <w:r w:rsidRPr="007A3506">
        <w:rPr>
          <w:rFonts w:cstheme="minorHAnsi"/>
        </w:rPr>
        <w:t>The criteria, last reviewed in 2015, were selected following an analysis of the key hazards within the industry, derived from Scheme incident data, audit outcomes, information from State and Territory WHS regulators and Safe Work Australia data highlighting national trends and statistics.</w:t>
      </w:r>
      <w:r w:rsidR="004B7971" w:rsidRPr="007A3506">
        <w:rPr>
          <w:rFonts w:cstheme="minorHAnsi"/>
        </w:rPr>
        <w:t xml:space="preserve"> </w:t>
      </w:r>
    </w:p>
    <w:p w14:paraId="504524BD" w14:textId="77777777" w:rsidR="00371095" w:rsidRPr="007A3506" w:rsidRDefault="00371095">
      <w:pPr>
        <w:spacing w:after="160" w:line="259" w:lineRule="auto"/>
        <w:rPr>
          <w:rFonts w:cstheme="minorHAnsi"/>
        </w:rPr>
      </w:pPr>
      <w:r w:rsidRPr="007A3506">
        <w:rPr>
          <w:rFonts w:cstheme="minorHAnsi"/>
        </w:rPr>
        <w:br w:type="page"/>
      </w:r>
    </w:p>
    <w:p w14:paraId="5C88EDA4" w14:textId="3AB1C0FB" w:rsidR="00C479C6" w:rsidRPr="007A3506" w:rsidRDefault="00C479C6" w:rsidP="00736346">
      <w:pPr>
        <w:rPr>
          <w:rFonts w:cstheme="minorHAnsi"/>
        </w:rPr>
      </w:pPr>
      <w:r w:rsidRPr="007A3506">
        <w:rPr>
          <w:rFonts w:cstheme="minorHAnsi"/>
        </w:rPr>
        <w:lastRenderedPageBreak/>
        <w:t>The current criteria are divided into the following subject matter areas:</w:t>
      </w:r>
    </w:p>
    <w:p w14:paraId="1BD69513" w14:textId="7CCB2444" w:rsidR="00C479C6" w:rsidRPr="007A3506" w:rsidRDefault="00C479C6" w:rsidP="00B77BC6">
      <w:pPr>
        <w:pStyle w:val="Heading5"/>
        <w:spacing w:after="30"/>
        <w:rPr>
          <w:rFonts w:asciiTheme="minorHAnsi" w:hAnsiTheme="minorHAnsi" w:cstheme="minorHAnsi"/>
          <w:b w:val="0"/>
        </w:rPr>
      </w:pPr>
      <w:r w:rsidRPr="007A3506">
        <w:rPr>
          <w:rFonts w:asciiTheme="minorHAnsi" w:hAnsiTheme="minorHAnsi" w:cstheme="minorHAnsi"/>
        </w:rPr>
        <w:t>WHS Audit Criteria</w:t>
      </w:r>
    </w:p>
    <w:p w14:paraId="1221B65F" w14:textId="77777777" w:rsidR="00C479C6" w:rsidRPr="007A3506" w:rsidRDefault="00C479C6" w:rsidP="00054594">
      <w:pPr>
        <w:pStyle w:val="PURPLEBullet"/>
        <w:spacing w:after="200"/>
        <w:rPr>
          <w:rFonts w:cstheme="minorHAnsi"/>
        </w:rPr>
      </w:pPr>
      <w:r w:rsidRPr="007A3506">
        <w:rPr>
          <w:rFonts w:cstheme="minorHAnsi"/>
        </w:rPr>
        <w:t>Legal requirements</w:t>
      </w:r>
    </w:p>
    <w:p w14:paraId="325E2464" w14:textId="77777777" w:rsidR="00C479C6" w:rsidRPr="007A3506" w:rsidRDefault="00C479C6" w:rsidP="00054594">
      <w:pPr>
        <w:pStyle w:val="PURPLEBullet"/>
        <w:spacing w:after="200"/>
        <w:rPr>
          <w:rFonts w:cstheme="minorHAnsi"/>
        </w:rPr>
      </w:pPr>
      <w:r w:rsidRPr="007A3506">
        <w:rPr>
          <w:rFonts w:cstheme="minorHAnsi"/>
        </w:rPr>
        <w:t>Hazard identification, Risk Assessment and Control</w:t>
      </w:r>
    </w:p>
    <w:p w14:paraId="60A6EDE9" w14:textId="77777777" w:rsidR="00C479C6" w:rsidRPr="007A3506" w:rsidRDefault="00C479C6" w:rsidP="00054594">
      <w:pPr>
        <w:pStyle w:val="PURPLEBullet"/>
        <w:spacing w:after="200"/>
        <w:rPr>
          <w:rFonts w:cstheme="minorHAnsi"/>
        </w:rPr>
      </w:pPr>
      <w:r w:rsidRPr="007A3506">
        <w:rPr>
          <w:rFonts w:cstheme="minorHAnsi"/>
        </w:rPr>
        <w:t>Emergency preparedness and response</w:t>
      </w:r>
    </w:p>
    <w:p w14:paraId="7F01FED3" w14:textId="77777777" w:rsidR="00C479C6" w:rsidRPr="007A3506" w:rsidRDefault="00C479C6" w:rsidP="00054594">
      <w:pPr>
        <w:pStyle w:val="PURPLEBullet"/>
        <w:spacing w:after="200"/>
        <w:rPr>
          <w:rFonts w:cstheme="minorHAnsi"/>
        </w:rPr>
      </w:pPr>
      <w:r w:rsidRPr="007A3506">
        <w:rPr>
          <w:rFonts w:cstheme="minorHAnsi"/>
        </w:rPr>
        <w:t>Health surveillance and exposure monitoring</w:t>
      </w:r>
    </w:p>
    <w:p w14:paraId="0A99D62C" w14:textId="77777777" w:rsidR="00C479C6" w:rsidRPr="007A3506" w:rsidRDefault="00C479C6" w:rsidP="00054594">
      <w:pPr>
        <w:pStyle w:val="PURPLEBullet"/>
        <w:spacing w:after="200"/>
        <w:rPr>
          <w:rFonts w:cstheme="minorHAnsi"/>
        </w:rPr>
      </w:pPr>
      <w:r w:rsidRPr="007A3506">
        <w:rPr>
          <w:rFonts w:cstheme="minorHAnsi"/>
        </w:rPr>
        <w:t>Incident investigation and corrective action</w:t>
      </w:r>
    </w:p>
    <w:p w14:paraId="5F1DB91F" w14:textId="2F223FC7" w:rsidR="00C479C6" w:rsidRPr="007A3506" w:rsidRDefault="00C479C6" w:rsidP="0061548D">
      <w:pPr>
        <w:pStyle w:val="PURPLEBullet"/>
        <w:spacing w:after="200"/>
        <w:rPr>
          <w:rFonts w:cstheme="minorHAnsi"/>
        </w:rPr>
      </w:pPr>
      <w:r w:rsidRPr="007A3506">
        <w:rPr>
          <w:rFonts w:cstheme="minorHAnsi"/>
        </w:rPr>
        <w:t>Health and safety management system</w:t>
      </w:r>
    </w:p>
    <w:p w14:paraId="1253CE07" w14:textId="77777777" w:rsidR="00C479C6" w:rsidRPr="007A3506" w:rsidRDefault="00C479C6" w:rsidP="00B77BC6">
      <w:pPr>
        <w:pStyle w:val="Heading5"/>
        <w:spacing w:after="30"/>
        <w:rPr>
          <w:rFonts w:asciiTheme="minorHAnsi" w:hAnsiTheme="minorHAnsi" w:cstheme="minorHAnsi"/>
          <w:b w:val="0"/>
        </w:rPr>
      </w:pPr>
      <w:r w:rsidRPr="007A3506">
        <w:rPr>
          <w:rFonts w:asciiTheme="minorHAnsi" w:hAnsiTheme="minorHAnsi" w:cstheme="minorHAnsi"/>
        </w:rPr>
        <w:t>Focus Point Audit Criteria</w:t>
      </w:r>
    </w:p>
    <w:p w14:paraId="3413AE5F" w14:textId="77777777" w:rsidR="00C479C6" w:rsidRPr="007A3506" w:rsidRDefault="00C479C6" w:rsidP="00054594">
      <w:pPr>
        <w:pStyle w:val="PURPLEBullet"/>
        <w:spacing w:after="200"/>
        <w:rPr>
          <w:rFonts w:cstheme="minorHAnsi"/>
        </w:rPr>
      </w:pPr>
      <w:r w:rsidRPr="007A3506">
        <w:rPr>
          <w:rFonts w:cstheme="minorHAnsi"/>
        </w:rPr>
        <w:t>Senior management commitment</w:t>
      </w:r>
    </w:p>
    <w:p w14:paraId="72154574" w14:textId="77777777" w:rsidR="00C479C6" w:rsidRPr="007A3506" w:rsidRDefault="00C479C6" w:rsidP="00054594">
      <w:pPr>
        <w:pStyle w:val="PURPLEBullet"/>
        <w:spacing w:after="200"/>
        <w:rPr>
          <w:rFonts w:cstheme="minorHAnsi"/>
        </w:rPr>
      </w:pPr>
      <w:r w:rsidRPr="007A3506">
        <w:rPr>
          <w:rFonts w:cstheme="minorHAnsi"/>
        </w:rPr>
        <w:t>Integration of design issues into the risk management process</w:t>
      </w:r>
    </w:p>
    <w:p w14:paraId="35167644" w14:textId="77777777" w:rsidR="00C479C6" w:rsidRPr="007A3506" w:rsidRDefault="00C479C6" w:rsidP="00054594">
      <w:pPr>
        <w:pStyle w:val="PURPLEBullet"/>
        <w:spacing w:after="200"/>
        <w:rPr>
          <w:rFonts w:cstheme="minorHAnsi"/>
        </w:rPr>
      </w:pPr>
      <w:r w:rsidRPr="007A3506">
        <w:rPr>
          <w:rFonts w:cstheme="minorHAnsi"/>
        </w:rPr>
        <w:t>Whole of project consultation</w:t>
      </w:r>
    </w:p>
    <w:p w14:paraId="39C3E3BF" w14:textId="77777777" w:rsidR="00C479C6" w:rsidRPr="007A3506" w:rsidRDefault="00C479C6" w:rsidP="00054594">
      <w:pPr>
        <w:pStyle w:val="PURPLEBullet"/>
        <w:spacing w:after="200"/>
        <w:rPr>
          <w:rFonts w:cstheme="minorHAnsi"/>
        </w:rPr>
      </w:pPr>
      <w:r w:rsidRPr="007A3506">
        <w:rPr>
          <w:rFonts w:cstheme="minorHAnsi"/>
        </w:rPr>
        <w:t>Management of subcontractor WHS</w:t>
      </w:r>
    </w:p>
    <w:p w14:paraId="2B04F672" w14:textId="77777777" w:rsidR="00C479C6" w:rsidRPr="007A3506" w:rsidRDefault="00C479C6" w:rsidP="00054594">
      <w:pPr>
        <w:pStyle w:val="PURPLEBullet"/>
        <w:spacing w:after="200"/>
        <w:rPr>
          <w:rFonts w:cstheme="minorHAnsi"/>
        </w:rPr>
      </w:pPr>
      <w:r w:rsidRPr="007A3506">
        <w:rPr>
          <w:rFonts w:cstheme="minorHAnsi"/>
        </w:rPr>
        <w:t>Project performance measurement</w:t>
      </w:r>
    </w:p>
    <w:p w14:paraId="0B1426D6" w14:textId="1983A843" w:rsidR="0006732A" w:rsidRPr="007A3506" w:rsidRDefault="00C479C6" w:rsidP="00054594">
      <w:pPr>
        <w:pStyle w:val="PURPLEBullet"/>
        <w:spacing w:after="200"/>
        <w:rPr>
          <w:rFonts w:cstheme="minorHAnsi"/>
        </w:rPr>
      </w:pPr>
      <w:r w:rsidRPr="007A3506">
        <w:rPr>
          <w:rFonts w:cstheme="minorHAnsi"/>
        </w:rPr>
        <w:t>Training arrangements</w:t>
      </w:r>
    </w:p>
    <w:p w14:paraId="527F3D90" w14:textId="55A08B7D" w:rsidR="00C479C6" w:rsidRPr="007A3506" w:rsidRDefault="00C479C6" w:rsidP="00B77BC6">
      <w:pPr>
        <w:pStyle w:val="Heading5"/>
        <w:spacing w:after="30"/>
        <w:rPr>
          <w:rFonts w:asciiTheme="minorHAnsi" w:hAnsiTheme="minorHAnsi" w:cstheme="minorHAnsi"/>
          <w:b w:val="0"/>
        </w:rPr>
      </w:pPr>
      <w:r w:rsidRPr="007A3506">
        <w:rPr>
          <w:rFonts w:asciiTheme="minorHAnsi" w:hAnsiTheme="minorHAnsi" w:cstheme="minorHAnsi"/>
        </w:rPr>
        <w:t>Hazard Audit Criteria</w:t>
      </w:r>
    </w:p>
    <w:p w14:paraId="766997AC" w14:textId="77777777" w:rsidR="00C479C6" w:rsidRPr="007A3506" w:rsidRDefault="00C479C6" w:rsidP="00054594">
      <w:pPr>
        <w:pStyle w:val="PURPLEBullet"/>
        <w:spacing w:after="200"/>
        <w:rPr>
          <w:rFonts w:cstheme="minorHAnsi"/>
        </w:rPr>
      </w:pPr>
      <w:r w:rsidRPr="007A3506">
        <w:rPr>
          <w:rFonts w:cstheme="minorHAnsi"/>
        </w:rPr>
        <w:t>Working at heights</w:t>
      </w:r>
    </w:p>
    <w:p w14:paraId="4BECA3EF" w14:textId="77777777" w:rsidR="00C479C6" w:rsidRPr="007A3506" w:rsidRDefault="00C479C6" w:rsidP="00054594">
      <w:pPr>
        <w:pStyle w:val="PURPLEBullet"/>
        <w:spacing w:after="200"/>
        <w:rPr>
          <w:rFonts w:cstheme="minorHAnsi"/>
        </w:rPr>
      </w:pPr>
      <w:r w:rsidRPr="007A3506">
        <w:rPr>
          <w:rFonts w:cstheme="minorHAnsi"/>
        </w:rPr>
        <w:t>Telecommunication towers</w:t>
      </w:r>
    </w:p>
    <w:p w14:paraId="5059EACE" w14:textId="77777777" w:rsidR="00C479C6" w:rsidRPr="007A3506" w:rsidRDefault="00C479C6" w:rsidP="00054594">
      <w:pPr>
        <w:pStyle w:val="PURPLEBullet"/>
        <w:spacing w:after="200"/>
        <w:rPr>
          <w:rFonts w:cstheme="minorHAnsi"/>
        </w:rPr>
      </w:pPr>
      <w:r w:rsidRPr="007A3506">
        <w:rPr>
          <w:rFonts w:cstheme="minorHAnsi"/>
        </w:rPr>
        <w:t>Demolition</w:t>
      </w:r>
    </w:p>
    <w:p w14:paraId="2491B8A7" w14:textId="77777777" w:rsidR="00C479C6" w:rsidRPr="007A3506" w:rsidRDefault="00C479C6" w:rsidP="00054594">
      <w:pPr>
        <w:pStyle w:val="PURPLEBullet"/>
        <w:spacing w:after="200"/>
        <w:rPr>
          <w:rFonts w:cstheme="minorHAnsi"/>
        </w:rPr>
      </w:pPr>
      <w:r w:rsidRPr="007A3506">
        <w:rPr>
          <w:rFonts w:cstheme="minorHAnsi"/>
        </w:rPr>
        <w:t>Asbestos</w:t>
      </w:r>
    </w:p>
    <w:p w14:paraId="0565B404" w14:textId="77777777" w:rsidR="00C479C6" w:rsidRPr="007A3506" w:rsidRDefault="00C479C6" w:rsidP="00054594">
      <w:pPr>
        <w:pStyle w:val="PURPLEBullet"/>
        <w:spacing w:after="200"/>
        <w:rPr>
          <w:rFonts w:cstheme="minorHAnsi"/>
        </w:rPr>
      </w:pPr>
      <w:r w:rsidRPr="007A3506">
        <w:rPr>
          <w:rFonts w:cstheme="minorHAnsi"/>
        </w:rPr>
        <w:t>Structural alterations/temporary support structures</w:t>
      </w:r>
    </w:p>
    <w:p w14:paraId="29B7ACA9" w14:textId="77777777" w:rsidR="00C479C6" w:rsidRPr="007A3506" w:rsidRDefault="00C479C6" w:rsidP="00054594">
      <w:pPr>
        <w:pStyle w:val="PURPLEBullet"/>
        <w:spacing w:after="200"/>
        <w:rPr>
          <w:rFonts w:cstheme="minorHAnsi"/>
        </w:rPr>
      </w:pPr>
      <w:r w:rsidRPr="007A3506">
        <w:rPr>
          <w:rFonts w:cstheme="minorHAnsi"/>
        </w:rPr>
        <w:t>Confined space</w:t>
      </w:r>
    </w:p>
    <w:p w14:paraId="06679382" w14:textId="77777777" w:rsidR="00C479C6" w:rsidRPr="007A3506" w:rsidRDefault="00C479C6" w:rsidP="00054594">
      <w:pPr>
        <w:pStyle w:val="PURPLEBullet"/>
        <w:spacing w:after="200"/>
        <w:rPr>
          <w:rFonts w:cstheme="minorHAnsi"/>
        </w:rPr>
      </w:pPr>
      <w:r w:rsidRPr="007A3506">
        <w:rPr>
          <w:rFonts w:cstheme="minorHAnsi"/>
        </w:rPr>
        <w:t>Excavation (at a depth of 1.5m or greater)</w:t>
      </w:r>
    </w:p>
    <w:p w14:paraId="4E9299F9" w14:textId="77777777" w:rsidR="00C479C6" w:rsidRPr="007A3506" w:rsidRDefault="00C479C6" w:rsidP="00054594">
      <w:pPr>
        <w:pStyle w:val="PURPLEBullet"/>
        <w:spacing w:after="200"/>
        <w:rPr>
          <w:rFonts w:cstheme="minorHAnsi"/>
        </w:rPr>
      </w:pPr>
      <w:r w:rsidRPr="007A3506">
        <w:rPr>
          <w:rFonts w:cstheme="minorHAnsi"/>
        </w:rPr>
        <w:t>Tunnels</w:t>
      </w:r>
    </w:p>
    <w:p w14:paraId="6929C4B0" w14:textId="77777777" w:rsidR="00C479C6" w:rsidRPr="007A3506" w:rsidRDefault="00C479C6" w:rsidP="00054594">
      <w:pPr>
        <w:pStyle w:val="PURPLEBullet"/>
        <w:spacing w:after="200"/>
        <w:rPr>
          <w:rFonts w:cstheme="minorHAnsi"/>
        </w:rPr>
      </w:pPr>
      <w:r w:rsidRPr="007A3506">
        <w:rPr>
          <w:rFonts w:cstheme="minorHAnsi"/>
        </w:rPr>
        <w:t>Explosives</w:t>
      </w:r>
    </w:p>
    <w:p w14:paraId="026B8EF9" w14:textId="77777777" w:rsidR="00C479C6" w:rsidRPr="007A3506" w:rsidRDefault="00C479C6" w:rsidP="00054594">
      <w:pPr>
        <w:pStyle w:val="PURPLEBullet"/>
        <w:spacing w:after="200"/>
        <w:rPr>
          <w:rFonts w:cstheme="minorHAnsi"/>
        </w:rPr>
      </w:pPr>
      <w:r w:rsidRPr="007A3506">
        <w:rPr>
          <w:rFonts w:cstheme="minorHAnsi"/>
        </w:rPr>
        <w:t>Pressurised gas</w:t>
      </w:r>
    </w:p>
    <w:p w14:paraId="7358A3AC" w14:textId="77777777" w:rsidR="00C479C6" w:rsidRPr="007A3506" w:rsidRDefault="00C479C6" w:rsidP="00054594">
      <w:pPr>
        <w:pStyle w:val="PURPLEBullet"/>
        <w:spacing w:after="200"/>
        <w:rPr>
          <w:rFonts w:cstheme="minorHAnsi"/>
        </w:rPr>
      </w:pPr>
      <w:r w:rsidRPr="007A3506">
        <w:rPr>
          <w:rFonts w:cstheme="minorHAnsi"/>
        </w:rPr>
        <w:t>Chemical, fuel or refrigerant lines</w:t>
      </w:r>
    </w:p>
    <w:p w14:paraId="2A8BE6B0" w14:textId="77777777" w:rsidR="00C479C6" w:rsidRPr="007A3506" w:rsidRDefault="00C479C6" w:rsidP="00054594">
      <w:pPr>
        <w:pStyle w:val="PURPLEBullet"/>
        <w:spacing w:after="200"/>
        <w:rPr>
          <w:rFonts w:cstheme="minorHAnsi"/>
        </w:rPr>
      </w:pPr>
      <w:r w:rsidRPr="007A3506">
        <w:rPr>
          <w:rFonts w:cstheme="minorHAnsi"/>
        </w:rPr>
        <w:t>Electrical</w:t>
      </w:r>
    </w:p>
    <w:p w14:paraId="541DB964" w14:textId="77777777" w:rsidR="00C479C6" w:rsidRPr="007A3506" w:rsidRDefault="00C479C6" w:rsidP="00054594">
      <w:pPr>
        <w:pStyle w:val="PURPLEBullet"/>
        <w:spacing w:after="200"/>
        <w:rPr>
          <w:rFonts w:cstheme="minorHAnsi"/>
        </w:rPr>
      </w:pPr>
      <w:r w:rsidRPr="007A3506">
        <w:rPr>
          <w:rFonts w:cstheme="minorHAnsi"/>
        </w:rPr>
        <w:t>Contaminated/flammable atmosphere</w:t>
      </w:r>
    </w:p>
    <w:p w14:paraId="135E07CC" w14:textId="77777777" w:rsidR="00C479C6" w:rsidRPr="007A3506" w:rsidRDefault="00C479C6" w:rsidP="00054594">
      <w:pPr>
        <w:pStyle w:val="PURPLEBullet"/>
        <w:spacing w:after="200"/>
        <w:rPr>
          <w:rFonts w:cstheme="minorHAnsi"/>
        </w:rPr>
      </w:pPr>
      <w:r w:rsidRPr="007A3506">
        <w:rPr>
          <w:rFonts w:cstheme="minorHAnsi"/>
        </w:rPr>
        <w:t>Tilt up/precast concrete</w:t>
      </w:r>
    </w:p>
    <w:p w14:paraId="195DE81E" w14:textId="77777777" w:rsidR="00C479C6" w:rsidRPr="007A3506" w:rsidRDefault="00C479C6" w:rsidP="00054594">
      <w:pPr>
        <w:pStyle w:val="PURPLEBullet"/>
        <w:spacing w:after="200"/>
        <w:rPr>
          <w:rFonts w:cstheme="minorHAnsi"/>
        </w:rPr>
      </w:pPr>
      <w:r w:rsidRPr="007A3506">
        <w:rPr>
          <w:rFonts w:cstheme="minorHAnsi"/>
        </w:rPr>
        <w:t>Traffic</w:t>
      </w:r>
    </w:p>
    <w:p w14:paraId="429E738E" w14:textId="77777777" w:rsidR="00C479C6" w:rsidRPr="007A3506" w:rsidRDefault="00C479C6" w:rsidP="00054594">
      <w:pPr>
        <w:pStyle w:val="PURPLEBullet"/>
        <w:spacing w:after="200"/>
        <w:rPr>
          <w:rFonts w:cstheme="minorHAnsi"/>
        </w:rPr>
      </w:pPr>
      <w:r w:rsidRPr="007A3506">
        <w:rPr>
          <w:rFonts w:cstheme="minorHAnsi"/>
        </w:rPr>
        <w:t>Mobile plant</w:t>
      </w:r>
    </w:p>
    <w:p w14:paraId="53C3F251" w14:textId="77777777" w:rsidR="00C479C6" w:rsidRPr="007A3506" w:rsidRDefault="00C479C6" w:rsidP="00054594">
      <w:pPr>
        <w:pStyle w:val="PURPLEBullet"/>
        <w:spacing w:after="200"/>
        <w:rPr>
          <w:rFonts w:cstheme="minorHAnsi"/>
        </w:rPr>
      </w:pPr>
      <w:r w:rsidRPr="007A3506">
        <w:rPr>
          <w:rFonts w:cstheme="minorHAnsi"/>
        </w:rPr>
        <w:t>Artificial extremes of temperature</w:t>
      </w:r>
    </w:p>
    <w:p w14:paraId="1F33DE33" w14:textId="77777777" w:rsidR="00C479C6" w:rsidRPr="007A3506" w:rsidRDefault="00C479C6" w:rsidP="00054594">
      <w:pPr>
        <w:pStyle w:val="PURPLEBullet"/>
        <w:spacing w:after="200"/>
        <w:rPr>
          <w:rFonts w:cstheme="minorHAnsi"/>
        </w:rPr>
      </w:pPr>
      <w:r w:rsidRPr="007A3506">
        <w:rPr>
          <w:rFonts w:cstheme="minorHAnsi"/>
          <w:lang w:val="en-US"/>
        </w:rPr>
        <w:t>Diving</w:t>
      </w:r>
    </w:p>
    <w:p w14:paraId="74178FEF" w14:textId="56DBB206" w:rsidR="00414B66" w:rsidRPr="007A3506" w:rsidRDefault="00C479C6" w:rsidP="00414B66">
      <w:pPr>
        <w:pStyle w:val="PURPLEBullet"/>
        <w:spacing w:after="200"/>
        <w:rPr>
          <w:rFonts w:cstheme="minorHAnsi"/>
        </w:rPr>
      </w:pPr>
      <w:r w:rsidRPr="007A3506">
        <w:rPr>
          <w:rFonts w:cstheme="minorHAnsi"/>
          <w:lang w:val="en-US"/>
        </w:rPr>
        <w:t>Construction work in, over or adjacent to water/liquids where risk of drowning</w:t>
      </w:r>
    </w:p>
    <w:p w14:paraId="64650174" w14:textId="293E9272" w:rsidR="00D24C23" w:rsidRPr="007A3506" w:rsidRDefault="00D24C23" w:rsidP="00D24C23">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346D35" w:rsidRPr="007A3506">
        <w:rPr>
          <w:rFonts w:asciiTheme="minorHAnsi" w:hAnsiTheme="minorHAnsi" w:cstheme="minorHAnsi"/>
        </w:rPr>
        <w:t>26</w:t>
      </w:r>
    </w:p>
    <w:p w14:paraId="11F5BCA6" w14:textId="797EC79E" w:rsidR="00D24C23" w:rsidRPr="007A3506" w:rsidRDefault="00D24C23" w:rsidP="00D24C23">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w:t>
      </w:r>
      <w:r w:rsidR="00F056F5" w:rsidRPr="007A3506">
        <w:rPr>
          <w:rFonts w:cstheme="minorHAnsi"/>
        </w:rPr>
        <w:t xml:space="preserve"> the audit criteria remain relevant to building and construction workplaces in 2023? If not, are there any new criteria you would suggest be included?</w:t>
      </w:r>
    </w:p>
    <w:p w14:paraId="3F03AEB0" w14:textId="77777777" w:rsidR="00CA0FDD" w:rsidRPr="007A3506" w:rsidRDefault="00CA0FDD">
      <w:pPr>
        <w:spacing w:after="160" w:line="259" w:lineRule="auto"/>
        <w:rPr>
          <w:rFonts w:cstheme="minorHAnsi"/>
          <w:lang w:val="en-US"/>
        </w:rPr>
      </w:pPr>
      <w:r w:rsidRPr="007A3506">
        <w:rPr>
          <w:rFonts w:cstheme="minorHAnsi"/>
          <w:lang w:val="en-US"/>
        </w:rPr>
        <w:br w:type="page"/>
      </w:r>
    </w:p>
    <w:p w14:paraId="0F7A7C45" w14:textId="0B517639" w:rsidR="00993BC0" w:rsidRPr="007A3506" w:rsidRDefault="00993BC0" w:rsidP="00993BC0">
      <w:pPr>
        <w:rPr>
          <w:rFonts w:cstheme="minorHAnsi"/>
          <w:lang w:val="en-US"/>
        </w:rPr>
      </w:pPr>
      <w:r w:rsidRPr="007A3506">
        <w:rPr>
          <w:rFonts w:cstheme="minorHAnsi"/>
          <w:lang w:val="en-US"/>
        </w:rPr>
        <w:lastRenderedPageBreak/>
        <w:t xml:space="preserve">The traditional emphasis of work health and safety has been on the management of the risks to a worker’s </w:t>
      </w:r>
      <w:r w:rsidRPr="007A3506">
        <w:rPr>
          <w:rFonts w:cstheme="minorHAnsi"/>
          <w:b/>
          <w:bCs/>
          <w:lang w:val="en-US"/>
        </w:rPr>
        <w:t>safety</w:t>
      </w:r>
      <w:r w:rsidRPr="007A3506">
        <w:rPr>
          <w:rFonts w:cstheme="minorHAnsi"/>
          <w:lang w:val="en-US"/>
        </w:rPr>
        <w:t xml:space="preserve"> in high-risk industries such as building and construction.</w:t>
      </w:r>
      <w:r w:rsidR="004B7971" w:rsidRPr="007A3506">
        <w:rPr>
          <w:rFonts w:cstheme="minorHAnsi"/>
          <w:lang w:val="en-US"/>
        </w:rPr>
        <w:t xml:space="preserve"> </w:t>
      </w:r>
      <w:r w:rsidRPr="007A3506">
        <w:rPr>
          <w:rFonts w:cstheme="minorHAnsi"/>
          <w:lang w:val="en-US"/>
        </w:rPr>
        <w:t>This emphasis is reflected in the FSC Audit Criteria.</w:t>
      </w:r>
      <w:r w:rsidR="004B7971" w:rsidRPr="007A3506">
        <w:rPr>
          <w:rFonts w:cstheme="minorHAnsi"/>
          <w:lang w:val="en-US"/>
        </w:rPr>
        <w:t xml:space="preserve"> </w:t>
      </w:r>
    </w:p>
    <w:p w14:paraId="75AB3B90" w14:textId="636AF7AB" w:rsidR="00993BC0" w:rsidRPr="007A3506" w:rsidRDefault="00993BC0" w:rsidP="00993BC0">
      <w:pPr>
        <w:rPr>
          <w:rFonts w:cstheme="minorHAnsi"/>
          <w:lang w:val="en-US"/>
        </w:rPr>
      </w:pPr>
      <w:r w:rsidRPr="007A3506">
        <w:rPr>
          <w:rFonts w:cstheme="minorHAnsi"/>
          <w:lang w:val="en-US"/>
        </w:rPr>
        <w:t xml:space="preserve">Preliminary consultation for this review suggests there is support for a renewed focus in the audit criteria on the management of the risks to a worker’s </w:t>
      </w:r>
      <w:r w:rsidRPr="007A3506">
        <w:rPr>
          <w:rFonts w:cstheme="minorHAnsi"/>
          <w:b/>
          <w:bCs/>
          <w:lang w:val="en-US"/>
        </w:rPr>
        <w:t>health</w:t>
      </w:r>
      <w:r w:rsidRPr="007A3506">
        <w:rPr>
          <w:rFonts w:cstheme="minorHAnsi"/>
          <w:lang w:val="en-US"/>
        </w:rPr>
        <w:t>, particularly in the context of mental health.</w:t>
      </w:r>
      <w:r w:rsidR="004B7971" w:rsidRPr="007A3506">
        <w:rPr>
          <w:rFonts w:cstheme="minorHAnsi"/>
          <w:lang w:val="en-US"/>
        </w:rPr>
        <w:t xml:space="preserve"> </w:t>
      </w:r>
      <w:r w:rsidRPr="007A3506">
        <w:rPr>
          <w:rFonts w:cstheme="minorHAnsi"/>
          <w:lang w:val="en-US"/>
        </w:rPr>
        <w:t>Relevantly, Mates in Construction recently reported that</w:t>
      </w:r>
      <w:r w:rsidR="00E6773B" w:rsidRPr="007A3506">
        <w:rPr>
          <w:rFonts w:cstheme="minorHAnsi"/>
          <w:lang w:val="en-US"/>
        </w:rPr>
        <w:t>:</w:t>
      </w:r>
    </w:p>
    <w:p w14:paraId="45190D2E" w14:textId="29EB7F1A" w:rsidR="00993BC0" w:rsidRPr="007A3506" w:rsidRDefault="00993BC0" w:rsidP="00993BC0">
      <w:pPr>
        <w:ind w:left="720"/>
        <w:rPr>
          <w:rFonts w:cstheme="minorHAnsi"/>
          <w:lang w:val="en-US"/>
        </w:rPr>
      </w:pPr>
      <w:r w:rsidRPr="007A3506">
        <w:rPr>
          <w:rFonts w:cstheme="minorHAnsi"/>
          <w:i/>
          <w:iCs/>
          <w:lang w:val="en-US"/>
        </w:rPr>
        <w:t>Every year 190 Australians working in the construction industry take their own lives; this means we lose a construction worker every second day to suicide.</w:t>
      </w:r>
      <w:r w:rsidR="004B7971" w:rsidRPr="007A3506">
        <w:rPr>
          <w:rFonts w:cstheme="minorHAnsi"/>
          <w:i/>
          <w:iCs/>
          <w:lang w:val="en-US"/>
        </w:rPr>
        <w:t xml:space="preserve"> </w:t>
      </w:r>
      <w:r w:rsidR="00036DE7" w:rsidRPr="007A3506">
        <w:rPr>
          <w:rFonts w:cstheme="minorHAnsi"/>
          <w:i/>
          <w:iCs/>
          <w:lang w:val="en-US"/>
        </w:rPr>
        <w:t>C</w:t>
      </w:r>
      <w:r w:rsidRPr="007A3506">
        <w:rPr>
          <w:rFonts w:cstheme="minorHAnsi"/>
          <w:i/>
          <w:iCs/>
          <w:lang w:val="en-US"/>
        </w:rPr>
        <w:t>onstruction workers are six times more likely to die from suicide than an accident at work. For our young workers, the facts are that they are well over two times more likely to take their own lives than other young Australian men</w:t>
      </w:r>
      <w:r w:rsidR="001F254D" w:rsidRPr="007A3506">
        <w:rPr>
          <w:rFonts w:cstheme="minorHAnsi"/>
          <w:i/>
          <w:iCs/>
          <w:lang w:val="en-US"/>
        </w:rPr>
        <w:t>.</w:t>
      </w:r>
      <w:r w:rsidRPr="007A3506">
        <w:rPr>
          <w:rStyle w:val="FootnoteReference"/>
          <w:rFonts w:cstheme="minorHAnsi"/>
          <w:lang w:val="en-US"/>
        </w:rPr>
        <w:footnoteReference w:id="32"/>
      </w:r>
    </w:p>
    <w:p w14:paraId="0AFDA707" w14:textId="29151442" w:rsidR="000C2E11" w:rsidRPr="007A3506" w:rsidRDefault="000C2E11" w:rsidP="000C2E11">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Question 27</w:t>
      </w:r>
    </w:p>
    <w:p w14:paraId="3FFD75BC" w14:textId="0B5F5527" w:rsidR="000C2E11" w:rsidRPr="007A3506" w:rsidRDefault="000C2E11" w:rsidP="000C2E11">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Should the hazard criteria highlight the management of risks to a worker’s health (for example risks of contracting</w:t>
      </w:r>
      <w:r w:rsidR="0057474B" w:rsidRPr="007A3506">
        <w:rPr>
          <w:rFonts w:cstheme="minorHAnsi"/>
        </w:rPr>
        <w:t xml:space="preserve"> occupational diseases and psychosocial risks) as well as the hazards to physical safety? If yes, what criteria do you suggest be included?</w:t>
      </w:r>
    </w:p>
    <w:p w14:paraId="61EC114A" w14:textId="77777777" w:rsidR="00832D46" w:rsidRPr="007A3506" w:rsidRDefault="00832D46" w:rsidP="00141CD8">
      <w:pPr>
        <w:rPr>
          <w:rFonts w:cstheme="minorHAnsi"/>
        </w:rPr>
      </w:pPr>
    </w:p>
    <w:p w14:paraId="69F80A79" w14:textId="4C80CBA2" w:rsidR="00142E16" w:rsidRPr="007A3506" w:rsidRDefault="00E9390D" w:rsidP="00E6773B">
      <w:pPr>
        <w:pStyle w:val="Heading2"/>
        <w:rPr>
          <w:rFonts w:asciiTheme="minorHAnsi" w:hAnsiTheme="minorHAnsi" w:cstheme="minorHAnsi"/>
        </w:rPr>
      </w:pPr>
      <w:bookmarkStart w:id="100" w:name="_Toc138428298"/>
      <w:bookmarkStart w:id="101" w:name="_Toc1487379794"/>
      <w:bookmarkStart w:id="102" w:name="_Toc139261462"/>
      <w:r w:rsidRPr="007A3506">
        <w:rPr>
          <w:rFonts w:asciiTheme="minorHAnsi" w:hAnsiTheme="minorHAnsi" w:cstheme="minorHAnsi"/>
        </w:rPr>
        <w:t>3</w:t>
      </w:r>
      <w:r w:rsidR="004D0AA8" w:rsidRPr="007A3506">
        <w:rPr>
          <w:rFonts w:asciiTheme="minorHAnsi" w:hAnsiTheme="minorHAnsi" w:cstheme="minorHAnsi"/>
        </w:rPr>
        <w:t xml:space="preserve">.5 </w:t>
      </w:r>
      <w:r w:rsidR="00142E16" w:rsidRPr="007A3506">
        <w:rPr>
          <w:rFonts w:asciiTheme="minorHAnsi" w:hAnsiTheme="minorHAnsi" w:cstheme="minorHAnsi"/>
        </w:rPr>
        <w:t>Cost Recovery</w:t>
      </w:r>
      <w:bookmarkEnd w:id="100"/>
      <w:bookmarkEnd w:id="101"/>
      <w:bookmarkEnd w:id="102"/>
    </w:p>
    <w:p w14:paraId="59FB4444" w14:textId="77777777" w:rsidR="003D5C71" w:rsidRPr="007A3506" w:rsidRDefault="003D5C71" w:rsidP="003D5C71">
      <w:pPr>
        <w:rPr>
          <w:rFonts w:cstheme="minorHAnsi"/>
        </w:rPr>
      </w:pPr>
      <w:r w:rsidRPr="007A3506">
        <w:rPr>
          <w:rFonts w:cstheme="minorHAnsi"/>
        </w:rPr>
        <w:t xml:space="preserve">The Charging Policy statement in the Australian Government Cost Recovery Policy (Charging Policy) is: </w:t>
      </w:r>
    </w:p>
    <w:p w14:paraId="0A56D421" w14:textId="4D7064EA" w:rsidR="003D5C71" w:rsidRPr="007A3506" w:rsidRDefault="003D5C71" w:rsidP="00123815">
      <w:pPr>
        <w:ind w:left="720"/>
        <w:rPr>
          <w:rFonts w:cstheme="minorHAnsi"/>
        </w:rPr>
      </w:pPr>
      <w:r w:rsidRPr="007A3506">
        <w:rPr>
          <w:rFonts w:cstheme="minorHAnsi"/>
          <w:i/>
          <w:iCs/>
        </w:rPr>
        <w:t xml:space="preserve">Where specific demand for a government activity is created by identifiable individuals or </w:t>
      </w:r>
      <w:r w:rsidR="00260C11" w:rsidRPr="007A3506">
        <w:rPr>
          <w:rFonts w:cstheme="minorHAnsi"/>
          <w:i/>
          <w:iCs/>
        </w:rPr>
        <w:t>groups,</w:t>
      </w:r>
      <w:r w:rsidRPr="007A3506">
        <w:rPr>
          <w:rFonts w:cstheme="minorHAnsi"/>
          <w:i/>
          <w:iCs/>
        </w:rPr>
        <w:t xml:space="preserve"> they should be charged for it unless the Government has decided to fund that activity. Where it is appropriate for the Australian Government to participate in an activity, it should fully utilise and maintain public resources, through appropriate charging. The application of charging should not, however, adversely impact disadvantaged Australians</w:t>
      </w:r>
      <w:r w:rsidRPr="007A3506">
        <w:rPr>
          <w:rFonts w:cstheme="minorHAnsi"/>
        </w:rPr>
        <w:t>.</w:t>
      </w:r>
      <w:r w:rsidR="00DD2E88" w:rsidRPr="007A3506">
        <w:rPr>
          <w:rStyle w:val="FootnoteReference"/>
          <w:rFonts w:cstheme="minorHAnsi"/>
        </w:rPr>
        <w:footnoteReference w:id="33"/>
      </w:r>
    </w:p>
    <w:p w14:paraId="59E154FC" w14:textId="4AA46513" w:rsidR="00142E16" w:rsidRPr="007A3506" w:rsidRDefault="00142E16" w:rsidP="000B1BB6">
      <w:pPr>
        <w:rPr>
          <w:rFonts w:cstheme="minorHAnsi"/>
        </w:rPr>
      </w:pPr>
      <w:r w:rsidRPr="007A3506">
        <w:rPr>
          <w:rFonts w:cstheme="minorHAnsi"/>
        </w:rPr>
        <w:t>The Royal Commission reported that</w:t>
      </w:r>
      <w:r w:rsidR="00B77BC6" w:rsidRPr="007A3506">
        <w:rPr>
          <w:rFonts w:cstheme="minorHAnsi"/>
        </w:rPr>
        <w:t>:</w:t>
      </w:r>
    </w:p>
    <w:p w14:paraId="1A0915A3" w14:textId="4A00D2C1" w:rsidR="00142E16" w:rsidRPr="007A3506" w:rsidRDefault="00142E16" w:rsidP="00B77BC6">
      <w:pPr>
        <w:ind w:left="720"/>
        <w:rPr>
          <w:rFonts w:cstheme="minorHAnsi"/>
        </w:rPr>
      </w:pPr>
      <w:r w:rsidRPr="007A3506">
        <w:rPr>
          <w:rFonts w:cstheme="minorHAnsi"/>
          <w:i/>
          <w:iCs/>
        </w:rPr>
        <w:t>the costs associated with an application for pre tender occupational health and safety qualification should be borne by the applicant with post accreditation audits borne by the Commonwealth</w:t>
      </w:r>
      <w:r w:rsidRPr="007A3506">
        <w:rPr>
          <w:rFonts w:cstheme="minorHAnsi"/>
        </w:rPr>
        <w:t>.</w:t>
      </w:r>
      <w:r w:rsidRPr="007A3506">
        <w:rPr>
          <w:rStyle w:val="FootnoteReference"/>
          <w:rFonts w:cstheme="minorHAnsi"/>
        </w:rPr>
        <w:footnoteReference w:id="34"/>
      </w:r>
    </w:p>
    <w:p w14:paraId="4E0E920E" w14:textId="6B145274" w:rsidR="00142E16" w:rsidRPr="007A3506" w:rsidRDefault="00142E16" w:rsidP="000B1BB6">
      <w:pPr>
        <w:rPr>
          <w:rFonts w:cstheme="minorHAnsi"/>
        </w:rPr>
      </w:pPr>
      <w:r w:rsidRPr="007A3506">
        <w:rPr>
          <w:rFonts w:cstheme="minorHAnsi"/>
        </w:rPr>
        <w:t>Section 43(3) of the Act provides that the Rules may prescribe fees for Scheme applications.</w:t>
      </w:r>
      <w:r w:rsidR="004B7971" w:rsidRPr="007A3506">
        <w:rPr>
          <w:rFonts w:cstheme="minorHAnsi"/>
        </w:rPr>
        <w:t xml:space="preserve"> </w:t>
      </w:r>
      <w:r w:rsidRPr="007A3506">
        <w:rPr>
          <w:rFonts w:cstheme="minorHAnsi"/>
        </w:rPr>
        <w:t>To date, no fees have been prescribed.</w:t>
      </w:r>
      <w:r w:rsidR="00B25C33" w:rsidRPr="007A3506">
        <w:rPr>
          <w:rStyle w:val="FootnoteReference"/>
          <w:rFonts w:cstheme="minorHAnsi"/>
        </w:rPr>
        <w:footnoteReference w:id="35"/>
      </w:r>
    </w:p>
    <w:p w14:paraId="6F48B4B4" w14:textId="77777777" w:rsidR="00832D46" w:rsidRPr="007A3506" w:rsidRDefault="00832D46">
      <w:pPr>
        <w:spacing w:after="160" w:line="259" w:lineRule="auto"/>
        <w:rPr>
          <w:rFonts w:cstheme="minorHAnsi"/>
        </w:rPr>
      </w:pPr>
      <w:r w:rsidRPr="007A3506">
        <w:rPr>
          <w:rFonts w:cstheme="minorHAnsi"/>
        </w:rPr>
        <w:br w:type="page"/>
      </w:r>
    </w:p>
    <w:p w14:paraId="679127BE" w14:textId="77777777" w:rsidR="00414B66" w:rsidRPr="007A3506" w:rsidRDefault="00414B66" w:rsidP="000B1BB6">
      <w:pPr>
        <w:rPr>
          <w:rFonts w:cstheme="minorHAnsi"/>
        </w:rPr>
      </w:pPr>
    </w:p>
    <w:p w14:paraId="20ADE2CE" w14:textId="22C7D709" w:rsidR="00142E16" w:rsidRPr="007A3506" w:rsidRDefault="00142E16" w:rsidP="000B1BB6">
      <w:pPr>
        <w:rPr>
          <w:rFonts w:cstheme="minorHAnsi"/>
        </w:rPr>
      </w:pPr>
      <w:r w:rsidRPr="007A3506">
        <w:rPr>
          <w:rFonts w:cstheme="minorHAnsi"/>
        </w:rPr>
        <w:t>In the Discussion Paper for the 2014 review of the Office of the FSC, it was suggested that</w:t>
      </w:r>
      <w:r w:rsidR="00883C5A" w:rsidRPr="007A3506">
        <w:rPr>
          <w:rFonts w:cstheme="minorHAnsi"/>
        </w:rPr>
        <w:t>:</w:t>
      </w:r>
    </w:p>
    <w:p w14:paraId="1CD8D29C" w14:textId="52C79BA7" w:rsidR="00142E16" w:rsidRPr="007A3506" w:rsidRDefault="00142E16" w:rsidP="00B77BC6">
      <w:pPr>
        <w:ind w:left="720"/>
        <w:rPr>
          <w:rFonts w:cstheme="minorHAnsi"/>
          <w:i/>
          <w:iCs/>
        </w:rPr>
      </w:pPr>
      <w:r w:rsidRPr="007A3506">
        <w:rPr>
          <w:rFonts w:cstheme="minorHAnsi"/>
          <w:i/>
          <w:iCs/>
        </w:rPr>
        <w:t>an annual fee for maintaining accreditation may foster greater value to be placed on maintaining the required standards as it would be a direct cost associated with maintaining accreditation.</w:t>
      </w:r>
      <w:r w:rsidR="004B7971" w:rsidRPr="007A3506">
        <w:rPr>
          <w:rFonts w:cstheme="minorHAnsi"/>
          <w:i/>
          <w:iCs/>
        </w:rPr>
        <w:t xml:space="preserve"> </w:t>
      </w:r>
      <w:r w:rsidRPr="007A3506">
        <w:rPr>
          <w:rFonts w:cstheme="minorHAnsi"/>
          <w:i/>
          <w:iCs/>
        </w:rPr>
        <w:t>This could be a flat rate or tiered to the size of the company. It may act as a deterrent to companies that rely on multiple audits to achieve accreditation rather than proactively resolving any deficiencies themselves.</w:t>
      </w:r>
      <w:r w:rsidR="004B7971" w:rsidRPr="007A3506">
        <w:rPr>
          <w:rFonts w:cstheme="minorHAnsi"/>
          <w:i/>
          <w:iCs/>
        </w:rPr>
        <w:t xml:space="preserve"> </w:t>
      </w:r>
    </w:p>
    <w:p w14:paraId="3B89112A" w14:textId="777D79CF" w:rsidR="00142E16" w:rsidRPr="007A3506" w:rsidRDefault="00142E16" w:rsidP="000B1BB6">
      <w:pPr>
        <w:rPr>
          <w:rFonts w:cstheme="minorHAnsi"/>
        </w:rPr>
      </w:pPr>
      <w:r w:rsidRPr="007A3506">
        <w:rPr>
          <w:rFonts w:cstheme="minorHAnsi"/>
        </w:rPr>
        <w:t>However, it was noted that:</w:t>
      </w:r>
    </w:p>
    <w:p w14:paraId="667DA876" w14:textId="01BF16C9" w:rsidR="00142E16" w:rsidRPr="007A3506" w:rsidRDefault="00142E16" w:rsidP="00B77BC6">
      <w:pPr>
        <w:ind w:left="720"/>
        <w:rPr>
          <w:rFonts w:cstheme="minorHAnsi"/>
          <w:i/>
          <w:iCs/>
        </w:rPr>
      </w:pPr>
      <w:r w:rsidRPr="007A3506">
        <w:rPr>
          <w:rFonts w:cstheme="minorHAnsi"/>
          <w:i/>
          <w:iCs/>
        </w:rPr>
        <w:t>Charging may detract from the current collaborative approach and may lead to increased debate and tension where a company requires multiple audits to achieve the same standards</w:t>
      </w:r>
      <w:r w:rsidR="002825D8" w:rsidRPr="007A3506">
        <w:rPr>
          <w:rFonts w:cstheme="minorHAnsi"/>
          <w:i/>
          <w:iCs/>
        </w:rPr>
        <w:t>.</w:t>
      </w:r>
      <w:r w:rsidRPr="007A3506">
        <w:rPr>
          <w:rFonts w:cstheme="minorHAnsi"/>
          <w:i/>
          <w:iCs/>
        </w:rPr>
        <w:t xml:space="preserve"> </w:t>
      </w:r>
    </w:p>
    <w:p w14:paraId="15482899" w14:textId="0EF77C54" w:rsidR="0038733A" w:rsidRPr="007A3506" w:rsidRDefault="00142E16" w:rsidP="0038733A">
      <w:pPr>
        <w:rPr>
          <w:rFonts w:cstheme="minorHAnsi"/>
        </w:rPr>
      </w:pPr>
      <w:r w:rsidRPr="007A3506">
        <w:rPr>
          <w:rFonts w:cstheme="minorHAnsi"/>
        </w:rPr>
        <w:t>And:</w:t>
      </w:r>
    </w:p>
    <w:p w14:paraId="3688F7C9" w14:textId="5D8E9D71" w:rsidR="00511A11" w:rsidRPr="007A3506" w:rsidRDefault="00142E16" w:rsidP="00682132">
      <w:pPr>
        <w:ind w:left="720"/>
        <w:rPr>
          <w:rFonts w:cstheme="minorHAnsi"/>
        </w:rPr>
      </w:pPr>
      <w:r w:rsidRPr="007A3506">
        <w:rPr>
          <w:rFonts w:cstheme="minorHAnsi"/>
          <w:i/>
          <w:iCs/>
        </w:rPr>
        <w:t>Consideration would need to be given to whether the different rates were applied to different companies (e.g. on the basis of their size), whether it was based on the actual cost recovery (which may be inequitable for companies outside metropolitan areas) and other factors</w:t>
      </w:r>
      <w:r w:rsidRPr="007A3506">
        <w:rPr>
          <w:rFonts w:cstheme="minorHAnsi"/>
        </w:rPr>
        <w:t>.</w:t>
      </w:r>
      <w:r w:rsidRPr="007A3506">
        <w:rPr>
          <w:rStyle w:val="FootnoteReference"/>
          <w:rFonts w:cstheme="minorHAnsi"/>
        </w:rPr>
        <w:footnoteReference w:id="36"/>
      </w:r>
      <w:r w:rsidRPr="007A3506">
        <w:rPr>
          <w:rFonts w:cstheme="minorHAnsi"/>
        </w:rPr>
        <w:t xml:space="preserve"> </w:t>
      </w:r>
    </w:p>
    <w:p w14:paraId="7B1BA703" w14:textId="0E7EEE4F" w:rsidR="00142E16" w:rsidRPr="007A3506" w:rsidRDefault="00142E16" w:rsidP="005047AD">
      <w:pPr>
        <w:rPr>
          <w:rFonts w:cstheme="minorHAnsi"/>
        </w:rPr>
      </w:pPr>
      <w:r w:rsidRPr="007A3506">
        <w:rPr>
          <w:rFonts w:cstheme="minorHAnsi"/>
        </w:rPr>
        <w:t>Perhaps not surprisingly, the 2014 review reported a unanimous response that there should not be an annual fee for accreditation, although the Australian Council of Trade Unions raised the possibility of a charge for lodging an application and that consideration should be given to charging an additional fee where it is necessary to conduct more than two pre-accreditation audits.</w:t>
      </w:r>
      <w:r w:rsidR="004B7971" w:rsidRPr="007A3506">
        <w:rPr>
          <w:rFonts w:cstheme="minorHAnsi"/>
        </w:rPr>
        <w:t xml:space="preserve"> </w:t>
      </w:r>
    </w:p>
    <w:p w14:paraId="6EE30650" w14:textId="598A3A74" w:rsidR="00142E16" w:rsidRPr="007A3506" w:rsidRDefault="00142E16" w:rsidP="005047AD">
      <w:pPr>
        <w:rPr>
          <w:rFonts w:cstheme="minorHAnsi"/>
        </w:rPr>
      </w:pPr>
      <w:r w:rsidRPr="007A3506">
        <w:rPr>
          <w:rFonts w:cstheme="minorHAnsi"/>
        </w:rPr>
        <w:t>The 2014 review also noted that some Australian Government agencies raised the possibility of incorporating an FSC accreditation and compliance cost element in new policy proposals for building and infrastructure initiatives being considered by Government.</w:t>
      </w:r>
      <w:r w:rsidR="004B7971" w:rsidRPr="007A3506">
        <w:rPr>
          <w:rFonts w:cstheme="minorHAnsi"/>
        </w:rPr>
        <w:t xml:space="preserve"> </w:t>
      </w:r>
      <w:r w:rsidRPr="007A3506">
        <w:rPr>
          <w:rFonts w:cstheme="minorHAnsi"/>
        </w:rPr>
        <w:t>Under this option, agencies would then provide funding to the FSC as part of their project management responsibilities and costs</w:t>
      </w:r>
      <w:r w:rsidR="00CE29CD" w:rsidRPr="007A3506">
        <w:rPr>
          <w:rFonts w:cstheme="minorHAnsi"/>
        </w:rPr>
        <w:t>.</w:t>
      </w:r>
      <w:r w:rsidRPr="007A3506">
        <w:rPr>
          <w:rStyle w:val="FootnoteReference"/>
          <w:rFonts w:cstheme="minorHAnsi"/>
        </w:rPr>
        <w:footnoteReference w:id="37"/>
      </w:r>
      <w:r w:rsidR="004B7971" w:rsidRPr="007A3506">
        <w:rPr>
          <w:rFonts w:cstheme="minorHAnsi"/>
        </w:rPr>
        <w:t xml:space="preserve"> </w:t>
      </w:r>
    </w:p>
    <w:p w14:paraId="1DF68BE1" w14:textId="35B8666A" w:rsidR="005047AD" w:rsidRPr="007A3506" w:rsidRDefault="005047AD" w:rsidP="005047AD">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B25C33" w:rsidRPr="007A3506">
        <w:rPr>
          <w:rFonts w:asciiTheme="minorHAnsi" w:hAnsiTheme="minorHAnsi" w:cstheme="minorHAnsi"/>
        </w:rPr>
        <w:t>28</w:t>
      </w:r>
    </w:p>
    <w:p w14:paraId="1660ED97" w14:textId="77308AE5" w:rsidR="005047AD" w:rsidRPr="007A3506" w:rsidRDefault="005047AD" w:rsidP="005047AD">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Given</w:t>
      </w:r>
      <w:r w:rsidR="00080068" w:rsidRPr="007A3506">
        <w:rPr>
          <w:rFonts w:cstheme="minorHAnsi"/>
        </w:rPr>
        <w:t xml:space="preserve"> the costs associated with administering a growing Scheme</w:t>
      </w:r>
      <w:r w:rsidR="003D5C71" w:rsidRPr="007A3506">
        <w:rPr>
          <w:rFonts w:cstheme="minorHAnsi"/>
        </w:rPr>
        <w:t xml:space="preserve">, </w:t>
      </w:r>
      <w:r w:rsidR="00080068" w:rsidRPr="007A3506">
        <w:rPr>
          <w:rFonts w:cstheme="minorHAnsi"/>
        </w:rPr>
        <w:t xml:space="preserve">the substantial auditing service being provided to </w:t>
      </w:r>
      <w:r w:rsidR="004319EF" w:rsidRPr="007A3506">
        <w:rPr>
          <w:rFonts w:cstheme="minorHAnsi"/>
        </w:rPr>
        <w:t>entitie</w:t>
      </w:r>
      <w:r w:rsidR="00080068" w:rsidRPr="007A3506">
        <w:rPr>
          <w:rFonts w:cstheme="minorHAnsi"/>
        </w:rPr>
        <w:t>s</w:t>
      </w:r>
      <w:r w:rsidR="003D5C71" w:rsidRPr="007A3506">
        <w:rPr>
          <w:rFonts w:cstheme="minorHAnsi"/>
        </w:rPr>
        <w:t xml:space="preserve"> and the Charging Policy, </w:t>
      </w:r>
      <w:r w:rsidR="00080068" w:rsidRPr="007A3506">
        <w:rPr>
          <w:rFonts w:cstheme="minorHAnsi"/>
        </w:rPr>
        <w:t xml:space="preserve">is it reasonable and appropriate to charge </w:t>
      </w:r>
      <w:r w:rsidR="004319EF" w:rsidRPr="007A3506">
        <w:rPr>
          <w:rFonts w:cstheme="minorHAnsi"/>
        </w:rPr>
        <w:t>entities</w:t>
      </w:r>
      <w:r w:rsidR="00080068" w:rsidRPr="007A3506">
        <w:rPr>
          <w:rFonts w:cstheme="minorHAnsi"/>
        </w:rPr>
        <w:t xml:space="preserve"> seeking accreditation?</w:t>
      </w:r>
    </w:p>
    <w:p w14:paraId="33356D39" w14:textId="367432A6" w:rsidR="00A30B47" w:rsidRPr="007A3506" w:rsidRDefault="00304253" w:rsidP="00414B66">
      <w:pPr>
        <w:rPr>
          <w:rFonts w:cstheme="minorHAnsi"/>
        </w:rPr>
      </w:pPr>
      <w:r w:rsidRPr="007A3506">
        <w:rPr>
          <w:rFonts w:cstheme="minorHAnsi"/>
        </w:rPr>
        <w:t xml:space="preserve">In determining the appropriateness of charging </w:t>
      </w:r>
      <w:r w:rsidR="004319EF" w:rsidRPr="007A3506">
        <w:rPr>
          <w:rFonts w:cstheme="minorHAnsi"/>
        </w:rPr>
        <w:t>entitie</w:t>
      </w:r>
      <w:r w:rsidRPr="007A3506">
        <w:rPr>
          <w:rFonts w:cstheme="minorHAnsi"/>
        </w:rPr>
        <w:t xml:space="preserve">s for accreditation, the </w:t>
      </w:r>
      <w:r w:rsidR="00D60394" w:rsidRPr="007A3506">
        <w:rPr>
          <w:rFonts w:cstheme="minorHAnsi"/>
        </w:rPr>
        <w:t>Charging Policy</w:t>
      </w:r>
      <w:r w:rsidRPr="007A3506">
        <w:rPr>
          <w:rFonts w:cstheme="minorHAnsi"/>
        </w:rPr>
        <w:t xml:space="preserve"> need to be considered. </w:t>
      </w:r>
    </w:p>
    <w:p w14:paraId="33A5C4D7" w14:textId="77777777" w:rsidR="00414B66" w:rsidRPr="007A3506" w:rsidRDefault="00414B66">
      <w:pPr>
        <w:spacing w:after="160" w:line="259" w:lineRule="auto"/>
        <w:rPr>
          <w:rFonts w:cstheme="minorHAnsi"/>
        </w:rPr>
      </w:pPr>
      <w:r w:rsidRPr="007A3506">
        <w:rPr>
          <w:rFonts w:cstheme="minorHAnsi"/>
        </w:rPr>
        <w:br w:type="page"/>
      </w:r>
    </w:p>
    <w:p w14:paraId="78723701" w14:textId="46AE9C0F" w:rsidR="00304253" w:rsidRPr="007A3506" w:rsidRDefault="00304253" w:rsidP="00C71C26">
      <w:pPr>
        <w:spacing w:after="160" w:line="259" w:lineRule="auto"/>
        <w:rPr>
          <w:rFonts w:cstheme="minorHAnsi"/>
        </w:rPr>
      </w:pPr>
      <w:r w:rsidRPr="007A3506">
        <w:rPr>
          <w:rFonts w:cstheme="minorHAnsi"/>
        </w:rPr>
        <w:lastRenderedPageBreak/>
        <w:t xml:space="preserve">The Charging </w:t>
      </w:r>
      <w:r w:rsidR="00D60394" w:rsidRPr="007A3506">
        <w:rPr>
          <w:rFonts w:cstheme="minorHAnsi"/>
        </w:rPr>
        <w:t xml:space="preserve">Policy </w:t>
      </w:r>
      <w:r w:rsidRPr="007A3506">
        <w:rPr>
          <w:rFonts w:cstheme="minorHAnsi"/>
        </w:rPr>
        <w:t>outline</w:t>
      </w:r>
      <w:r w:rsidR="00D60394" w:rsidRPr="007A3506">
        <w:rPr>
          <w:rFonts w:cstheme="minorHAnsi"/>
        </w:rPr>
        <w:t xml:space="preserve">s </w:t>
      </w:r>
      <w:r w:rsidRPr="007A3506">
        <w:rPr>
          <w:rFonts w:cstheme="minorHAnsi"/>
        </w:rPr>
        <w:t>two types of cost recovery charges</w:t>
      </w:r>
      <w:r w:rsidR="001C2319" w:rsidRPr="007A3506">
        <w:rPr>
          <w:rFonts w:cstheme="minorHAnsi"/>
        </w:rPr>
        <w:t>:</w:t>
      </w:r>
    </w:p>
    <w:p w14:paraId="50B518A6" w14:textId="39C7909A" w:rsidR="00304253" w:rsidRPr="007A3506" w:rsidRDefault="00304253" w:rsidP="00827707">
      <w:pPr>
        <w:pStyle w:val="ListNumber"/>
        <w:numPr>
          <w:ilvl w:val="0"/>
          <w:numId w:val="18"/>
        </w:numPr>
        <w:rPr>
          <w:rFonts w:cstheme="minorHAnsi"/>
        </w:rPr>
      </w:pPr>
      <w:r w:rsidRPr="007A3506">
        <w:rPr>
          <w:rFonts w:cstheme="minorHAnsi"/>
        </w:rPr>
        <w:t>Cost recovery fees</w:t>
      </w:r>
      <w:r w:rsidR="004A5D97" w:rsidRPr="007A3506">
        <w:rPr>
          <w:rFonts w:cstheme="minorHAnsi"/>
        </w:rPr>
        <w:t xml:space="preserve"> – </w:t>
      </w:r>
      <w:r w:rsidRPr="007A3506">
        <w:rPr>
          <w:rFonts w:cstheme="minorHAnsi"/>
        </w:rPr>
        <w:t>fees charged when a good, service or regulation (in certain circumstances) is provided directly to a specific individual or organisation</w:t>
      </w:r>
      <w:r w:rsidR="001C2319" w:rsidRPr="007A3506">
        <w:rPr>
          <w:rFonts w:cstheme="minorHAnsi"/>
        </w:rPr>
        <w:t>.</w:t>
      </w:r>
    </w:p>
    <w:p w14:paraId="2B5D03CA" w14:textId="5AF18993" w:rsidR="00D72FFD" w:rsidRPr="007A3506" w:rsidRDefault="00304253" w:rsidP="001C2319">
      <w:pPr>
        <w:pStyle w:val="ListNumber"/>
        <w:rPr>
          <w:rFonts w:cstheme="minorHAnsi"/>
        </w:rPr>
      </w:pPr>
      <w:r w:rsidRPr="007A3506">
        <w:rPr>
          <w:rFonts w:cstheme="minorHAnsi"/>
        </w:rPr>
        <w:t>Cost recovery levies</w:t>
      </w:r>
      <w:r w:rsidR="004A5D97" w:rsidRPr="007A3506">
        <w:rPr>
          <w:rFonts w:cstheme="minorHAnsi"/>
        </w:rPr>
        <w:t xml:space="preserve"> – </w:t>
      </w:r>
      <w:r w:rsidRPr="007A3506">
        <w:rPr>
          <w:rFonts w:cstheme="minorHAnsi"/>
        </w:rPr>
        <w:t xml:space="preserve">charges imposed when a good, service or regulation is provided to a group of individuals or organisations (e.g., an industry sector) rather than to a specific individual or organisation. </w:t>
      </w:r>
    </w:p>
    <w:p w14:paraId="0B47BBBC" w14:textId="77777777" w:rsidR="00304253" w:rsidRPr="007A3506" w:rsidRDefault="00304253" w:rsidP="00054594">
      <w:pPr>
        <w:rPr>
          <w:rFonts w:cstheme="minorHAnsi"/>
        </w:rPr>
      </w:pPr>
      <w:r w:rsidRPr="007A3506">
        <w:rPr>
          <w:rFonts w:cstheme="minorHAnsi"/>
        </w:rPr>
        <w:t>Relevant examples are:</w:t>
      </w:r>
    </w:p>
    <w:p w14:paraId="59F9E34D" w14:textId="75B26A70" w:rsidR="00304253" w:rsidRPr="007A3506" w:rsidRDefault="00304253" w:rsidP="00054594">
      <w:pPr>
        <w:pStyle w:val="PURPLEBullet"/>
        <w:spacing w:after="200"/>
        <w:rPr>
          <w:rFonts w:cstheme="minorHAnsi"/>
        </w:rPr>
      </w:pPr>
      <w:r w:rsidRPr="007A3506">
        <w:rPr>
          <w:rFonts w:cstheme="minorHAnsi"/>
        </w:rPr>
        <w:t>The National Heavy Vehicle Accreditation Scheme (NHVAS) which charges fees to companies depending on the relevant stream of accreditation and the number of vehicles registered</w:t>
      </w:r>
      <w:r w:rsidR="00E23F46" w:rsidRPr="007A3506">
        <w:rPr>
          <w:rFonts w:cstheme="minorHAnsi"/>
        </w:rPr>
        <w:t>.</w:t>
      </w:r>
      <w:r w:rsidR="00712C29" w:rsidRPr="007A3506">
        <w:rPr>
          <w:rStyle w:val="FootnoteReference"/>
          <w:rFonts w:cstheme="minorHAnsi"/>
        </w:rPr>
        <w:footnoteReference w:id="38"/>
      </w:r>
    </w:p>
    <w:p w14:paraId="6291F02A" w14:textId="41BC73C7" w:rsidR="00304253" w:rsidRPr="007A3506" w:rsidRDefault="00304253" w:rsidP="00054594">
      <w:pPr>
        <w:pStyle w:val="PURPLEBullet"/>
        <w:spacing w:after="200"/>
        <w:rPr>
          <w:rFonts w:cstheme="minorHAnsi"/>
        </w:rPr>
      </w:pPr>
      <w:r w:rsidRPr="007A3506">
        <w:rPr>
          <w:rFonts w:cstheme="minorHAnsi"/>
        </w:rPr>
        <w:t>The Cleaning Accountability Framework (CAF) Building Certification Scheme which charges fees to property owners, dependent on building type and size with an initial first-year application fee and then subsequent certification fee of approximately 40-70 per cent of the initial fee</w:t>
      </w:r>
      <w:r w:rsidR="00E23F46" w:rsidRPr="007A3506">
        <w:rPr>
          <w:rFonts w:cstheme="minorHAnsi"/>
        </w:rPr>
        <w:t>.</w:t>
      </w:r>
      <w:r w:rsidR="00712C29" w:rsidRPr="007A3506">
        <w:rPr>
          <w:rStyle w:val="FootnoteReference"/>
          <w:rFonts w:cstheme="minorHAnsi"/>
        </w:rPr>
        <w:footnoteReference w:id="39"/>
      </w:r>
    </w:p>
    <w:p w14:paraId="13B76A61" w14:textId="6D22F2D2" w:rsidR="00304253" w:rsidRPr="007A3506" w:rsidRDefault="00304253" w:rsidP="00054594">
      <w:pPr>
        <w:pStyle w:val="PURPLEBullet"/>
        <w:spacing w:after="200"/>
        <w:rPr>
          <w:rFonts w:cstheme="minorHAnsi"/>
        </w:rPr>
      </w:pPr>
      <w:r w:rsidRPr="007A3506">
        <w:rPr>
          <w:rFonts w:cstheme="minorHAnsi"/>
        </w:rPr>
        <w:t>Ireland’s Safe-T-Cert Certification Scheme which charges registration and audit/certification fees based on a company’s annual turnover.</w:t>
      </w:r>
      <w:r w:rsidR="00712C29" w:rsidRPr="007A3506">
        <w:rPr>
          <w:rStyle w:val="FootnoteReference"/>
          <w:rFonts w:cstheme="minorHAnsi"/>
        </w:rPr>
        <w:footnoteReference w:id="40"/>
      </w:r>
    </w:p>
    <w:p w14:paraId="7E78CD06" w14:textId="6CAF3C66" w:rsidR="00304253" w:rsidRPr="007A3506" w:rsidRDefault="00304253" w:rsidP="00054594">
      <w:pPr>
        <w:pStyle w:val="PURPLEBullet"/>
        <w:spacing w:after="200"/>
        <w:rPr>
          <w:rFonts w:cstheme="minorHAnsi"/>
        </w:rPr>
      </w:pPr>
      <w:r w:rsidRPr="007A3506">
        <w:rPr>
          <w:rFonts w:cstheme="minorHAnsi"/>
        </w:rPr>
        <w:t xml:space="preserve">Western Australia’s Mines Safety Inspection Levy </w:t>
      </w:r>
      <w:r w:rsidR="006F346C" w:rsidRPr="007A3506">
        <w:rPr>
          <w:rFonts w:cstheme="minorHAnsi"/>
        </w:rPr>
        <w:t xml:space="preserve">which </w:t>
      </w:r>
      <w:r w:rsidRPr="007A3506">
        <w:rPr>
          <w:rFonts w:cstheme="minorHAnsi"/>
        </w:rPr>
        <w:t>divides the total forecast cost to be recovered to fund regulatory activities by the forecast industry hours worked. The levy is imposed on mining operations depending on hours worked.</w:t>
      </w:r>
      <w:r w:rsidR="00712C29" w:rsidRPr="007A3506">
        <w:rPr>
          <w:rStyle w:val="FootnoteReference"/>
          <w:rFonts w:cstheme="minorHAnsi"/>
        </w:rPr>
        <w:footnoteReference w:id="41"/>
      </w:r>
    </w:p>
    <w:p w14:paraId="7B5E4B73" w14:textId="2DB982AC" w:rsidR="00304253" w:rsidRPr="007A3506" w:rsidRDefault="00304253" w:rsidP="00054594">
      <w:pPr>
        <w:pStyle w:val="PURPLEBullet"/>
        <w:spacing w:after="200"/>
        <w:rPr>
          <w:rFonts w:cstheme="minorHAnsi"/>
        </w:rPr>
      </w:pPr>
      <w:r w:rsidRPr="007A3506">
        <w:rPr>
          <w:rFonts w:cstheme="minorHAnsi"/>
        </w:rPr>
        <w:t>South Australia’s Construction and Industry Training Fund (CITF) Levy is 0.25 per cent of the contract price on all building and construction activity over $40,000 and is payable by the project owner</w:t>
      </w:r>
      <w:r w:rsidR="006F346C" w:rsidRPr="007A3506">
        <w:rPr>
          <w:rFonts w:cstheme="minorHAnsi"/>
        </w:rPr>
        <w:t>.</w:t>
      </w:r>
      <w:r w:rsidR="00712C29" w:rsidRPr="007A3506">
        <w:rPr>
          <w:rStyle w:val="FootnoteReference"/>
          <w:rFonts w:cstheme="minorHAnsi"/>
        </w:rPr>
        <w:footnoteReference w:id="42"/>
      </w:r>
    </w:p>
    <w:p w14:paraId="64619F94" w14:textId="7B02E859" w:rsidR="00534FA2" w:rsidRPr="007A3506" w:rsidRDefault="00304253" w:rsidP="00E62975">
      <w:pPr>
        <w:pStyle w:val="PURPLEBullet"/>
        <w:spacing w:after="200"/>
        <w:rPr>
          <w:rFonts w:cstheme="minorHAnsi"/>
        </w:rPr>
      </w:pPr>
      <w:r w:rsidRPr="007A3506">
        <w:rPr>
          <w:rFonts w:cstheme="minorHAnsi"/>
        </w:rPr>
        <w:t>The UK’s Building Safety Levy (expected implementation in late-2023) will be charged on all new residential buildings requiring building control approval in England. The levy will be calculated on a ‘per residential unit’ basis or ‘per square metre’ basis and be payable by the Principal Designer and/or Principal Contractor.</w:t>
      </w:r>
      <w:r w:rsidR="005D6AAD" w:rsidRPr="007A3506">
        <w:rPr>
          <w:rStyle w:val="FootnoteReference"/>
          <w:rFonts w:cstheme="minorHAnsi"/>
        </w:rPr>
        <w:footnoteReference w:id="43"/>
      </w:r>
    </w:p>
    <w:p w14:paraId="29B23C45" w14:textId="0A80DD56" w:rsidR="007A25DC" w:rsidRPr="007A3506" w:rsidRDefault="007A25DC" w:rsidP="007A25DC">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B25C33" w:rsidRPr="007A3506">
        <w:rPr>
          <w:rFonts w:asciiTheme="minorHAnsi" w:hAnsiTheme="minorHAnsi" w:cstheme="minorHAnsi"/>
        </w:rPr>
        <w:t>29</w:t>
      </w:r>
    </w:p>
    <w:p w14:paraId="56E2E277" w14:textId="6DE70DDA" w:rsidR="00247FBC" w:rsidRPr="007A3506" w:rsidRDefault="007A25DC" w:rsidP="00EB705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What would be the impact of charging for accreditation and how could any charge be implemented fairly? </w:t>
      </w:r>
    </w:p>
    <w:p w14:paraId="1C82D9E1" w14:textId="77777777" w:rsidR="00A30B47" w:rsidRPr="007A3506" w:rsidRDefault="00A30B47">
      <w:pPr>
        <w:spacing w:after="160" w:line="259" w:lineRule="auto"/>
        <w:rPr>
          <w:rFonts w:eastAsiaTheme="majorEastAsia" w:cstheme="minorHAnsi"/>
          <w:b/>
          <w:color w:val="214050" w:themeColor="text2"/>
          <w:sz w:val="30"/>
          <w:szCs w:val="26"/>
        </w:rPr>
      </w:pPr>
      <w:bookmarkStart w:id="103" w:name="_Toc138428299"/>
      <w:bookmarkStart w:id="104" w:name="_Toc753441034"/>
      <w:r w:rsidRPr="007A3506">
        <w:rPr>
          <w:rFonts w:cstheme="minorHAnsi"/>
        </w:rPr>
        <w:br w:type="page"/>
      </w:r>
    </w:p>
    <w:p w14:paraId="5A65AB98" w14:textId="1FD07E1D" w:rsidR="00B534EF" w:rsidRPr="007A3506" w:rsidRDefault="00B534EF" w:rsidP="00B534EF">
      <w:pPr>
        <w:pStyle w:val="Heading2"/>
        <w:rPr>
          <w:rFonts w:asciiTheme="minorHAnsi" w:hAnsiTheme="minorHAnsi" w:cstheme="minorHAnsi"/>
        </w:rPr>
      </w:pPr>
      <w:bookmarkStart w:id="105" w:name="_Toc139261463"/>
      <w:r w:rsidRPr="007A3506">
        <w:rPr>
          <w:rFonts w:asciiTheme="minorHAnsi" w:hAnsiTheme="minorHAnsi" w:cstheme="minorHAnsi"/>
        </w:rPr>
        <w:lastRenderedPageBreak/>
        <w:t>3.6 Government Priorities</w:t>
      </w:r>
      <w:bookmarkEnd w:id="103"/>
      <w:bookmarkEnd w:id="104"/>
      <w:bookmarkEnd w:id="105"/>
    </w:p>
    <w:p w14:paraId="1622FE40" w14:textId="5226E282" w:rsidR="00B534EF" w:rsidRPr="007A3506" w:rsidRDefault="00B534EF" w:rsidP="00B534EF">
      <w:pPr>
        <w:rPr>
          <w:rFonts w:cstheme="minorHAnsi"/>
        </w:rPr>
      </w:pPr>
      <w:r w:rsidRPr="007A3506">
        <w:rPr>
          <w:rFonts w:cstheme="minorHAnsi"/>
        </w:rPr>
        <w:t xml:space="preserve">With the election of a new </w:t>
      </w:r>
      <w:r w:rsidR="00E47A3B" w:rsidRPr="007A3506">
        <w:rPr>
          <w:rFonts w:cstheme="minorHAnsi"/>
        </w:rPr>
        <w:t>CW</w:t>
      </w:r>
      <w:r w:rsidRPr="007A3506">
        <w:rPr>
          <w:rFonts w:cstheme="minorHAnsi"/>
        </w:rPr>
        <w:t xml:space="preserve"> Government in May 2022, a number of national policy objectives are being implemented which are relevant to the work of the FSC.</w:t>
      </w:r>
      <w:r w:rsidR="004B7971" w:rsidRPr="007A3506">
        <w:rPr>
          <w:rFonts w:cstheme="minorHAnsi"/>
        </w:rPr>
        <w:t xml:space="preserve"> </w:t>
      </w:r>
    </w:p>
    <w:p w14:paraId="5780A554" w14:textId="0FA69218" w:rsidR="00B534EF" w:rsidRPr="007A3506" w:rsidRDefault="00AE6B39" w:rsidP="00F15124">
      <w:pPr>
        <w:pStyle w:val="Heading3"/>
        <w:rPr>
          <w:rFonts w:asciiTheme="minorHAnsi" w:hAnsiTheme="minorHAnsi" w:cstheme="minorHAnsi"/>
        </w:rPr>
      </w:pPr>
      <w:bookmarkStart w:id="106" w:name="_Toc138428300"/>
      <w:bookmarkStart w:id="107" w:name="_Toc2056670538"/>
      <w:bookmarkStart w:id="108" w:name="_Toc139261464"/>
      <w:r w:rsidRPr="007A3506">
        <w:rPr>
          <w:rFonts w:asciiTheme="minorHAnsi" w:hAnsiTheme="minorHAnsi" w:cstheme="minorHAnsi"/>
        </w:rPr>
        <w:t xml:space="preserve">3.6.1 </w:t>
      </w:r>
      <w:r w:rsidR="00B534EF" w:rsidRPr="007A3506">
        <w:rPr>
          <w:rFonts w:asciiTheme="minorHAnsi" w:hAnsiTheme="minorHAnsi" w:cstheme="minorHAnsi"/>
        </w:rPr>
        <w:t>Buy Australian Plan</w:t>
      </w:r>
      <w:bookmarkEnd w:id="106"/>
      <w:bookmarkEnd w:id="107"/>
      <w:bookmarkEnd w:id="108"/>
    </w:p>
    <w:p w14:paraId="7D537DAD" w14:textId="188F5CCC" w:rsidR="00B534EF" w:rsidRPr="007A3506" w:rsidRDefault="00B534EF" w:rsidP="00054594">
      <w:pPr>
        <w:pStyle w:val="NormalWeb"/>
        <w:spacing w:before="0" w:beforeAutospacing="0" w:after="200" w:afterAutospacing="0"/>
        <w:rPr>
          <w:rFonts w:asciiTheme="minorHAnsi" w:hAnsiTheme="minorHAnsi" w:cstheme="minorHAnsi"/>
          <w:color w:val="212529"/>
          <w:sz w:val="22"/>
          <w:szCs w:val="22"/>
        </w:rPr>
      </w:pPr>
      <w:r w:rsidRPr="007A3506">
        <w:rPr>
          <w:rFonts w:asciiTheme="minorHAnsi" w:hAnsiTheme="minorHAnsi" w:cstheme="minorHAnsi"/>
          <w:color w:val="212529"/>
          <w:sz w:val="22"/>
          <w:szCs w:val="22"/>
        </w:rPr>
        <w:t xml:space="preserve">The </w:t>
      </w:r>
      <w:r w:rsidRPr="007A3506">
        <w:rPr>
          <w:rFonts w:asciiTheme="minorHAnsi" w:hAnsiTheme="minorHAnsi" w:cstheme="minorHAnsi"/>
          <w:i/>
          <w:iCs/>
          <w:color w:val="212529"/>
          <w:sz w:val="22"/>
          <w:szCs w:val="22"/>
        </w:rPr>
        <w:t>Buy Australian Plan</w:t>
      </w:r>
      <w:r w:rsidRPr="007A3506">
        <w:rPr>
          <w:rFonts w:asciiTheme="minorHAnsi" w:hAnsiTheme="minorHAnsi" w:cstheme="minorHAnsi"/>
          <w:color w:val="212529"/>
          <w:sz w:val="22"/>
          <w:szCs w:val="22"/>
        </w:rPr>
        <w:t xml:space="preserve"> (Plan) aims to improve ‘</w:t>
      </w:r>
      <w:r w:rsidRPr="007A3506">
        <w:rPr>
          <w:rFonts w:asciiTheme="minorHAnsi" w:hAnsiTheme="minorHAnsi" w:cstheme="minorHAnsi"/>
          <w:i/>
          <w:iCs/>
          <w:color w:val="212529"/>
          <w:sz w:val="22"/>
          <w:szCs w:val="22"/>
        </w:rPr>
        <w:t>the way government contracts work and build domestic industry capability through the Australian Government’s purchasing power’</w:t>
      </w:r>
      <w:r w:rsidRPr="007A3506">
        <w:rPr>
          <w:rFonts w:asciiTheme="minorHAnsi" w:hAnsiTheme="minorHAnsi" w:cstheme="minorHAnsi"/>
          <w:color w:val="212529"/>
          <w:sz w:val="22"/>
          <w:szCs w:val="22"/>
        </w:rPr>
        <w:t>.</w:t>
      </w:r>
      <w:r w:rsidR="004B7971" w:rsidRPr="007A3506">
        <w:rPr>
          <w:rFonts w:asciiTheme="minorHAnsi" w:hAnsiTheme="minorHAnsi" w:cstheme="minorHAnsi"/>
          <w:color w:val="212529"/>
          <w:sz w:val="22"/>
          <w:szCs w:val="22"/>
        </w:rPr>
        <w:t xml:space="preserve"> </w:t>
      </w:r>
    </w:p>
    <w:p w14:paraId="070940D9" w14:textId="77777777" w:rsidR="00B534EF" w:rsidRPr="007A3506" w:rsidRDefault="00B534EF" w:rsidP="00054594">
      <w:pPr>
        <w:pStyle w:val="NormalWeb"/>
        <w:spacing w:before="0" w:beforeAutospacing="0" w:after="200" w:afterAutospacing="0"/>
        <w:rPr>
          <w:rFonts w:asciiTheme="minorHAnsi" w:hAnsiTheme="minorHAnsi" w:cstheme="minorHAnsi"/>
          <w:color w:val="212529"/>
          <w:sz w:val="22"/>
          <w:szCs w:val="22"/>
        </w:rPr>
      </w:pPr>
      <w:r w:rsidRPr="007A3506">
        <w:rPr>
          <w:rFonts w:asciiTheme="minorHAnsi" w:hAnsiTheme="minorHAnsi" w:cstheme="minorHAnsi"/>
          <w:color w:val="212529"/>
          <w:sz w:val="22"/>
          <w:szCs w:val="22"/>
        </w:rPr>
        <w:t>It is intended that the Plan will:</w:t>
      </w:r>
    </w:p>
    <w:p w14:paraId="090986FF" w14:textId="3EB04EBF" w:rsidR="00B534EF" w:rsidRPr="007A3506" w:rsidRDefault="00226AE9" w:rsidP="00054594">
      <w:pPr>
        <w:pStyle w:val="PURPLEBullet"/>
        <w:spacing w:after="200"/>
        <w:rPr>
          <w:rFonts w:cstheme="minorHAnsi"/>
        </w:rPr>
      </w:pPr>
      <w:r w:rsidRPr="007A3506">
        <w:rPr>
          <w:rFonts w:cstheme="minorHAnsi"/>
        </w:rPr>
        <w:t>M</w:t>
      </w:r>
      <w:r w:rsidR="00B534EF" w:rsidRPr="007A3506">
        <w:rPr>
          <w:rFonts w:cstheme="minorHAnsi"/>
        </w:rPr>
        <w:t>aximise opportunities for Australian businesses in major infrastructure projects</w:t>
      </w:r>
    </w:p>
    <w:p w14:paraId="4D8CA706" w14:textId="76662266" w:rsidR="00B534EF" w:rsidRPr="007A3506" w:rsidRDefault="00D021A5" w:rsidP="00054594">
      <w:pPr>
        <w:pStyle w:val="PURPLEBullet"/>
        <w:spacing w:after="200"/>
        <w:rPr>
          <w:rFonts w:cstheme="minorHAnsi"/>
        </w:rPr>
      </w:pPr>
      <w:r w:rsidRPr="007A3506">
        <w:rPr>
          <w:rFonts w:cstheme="minorHAnsi"/>
        </w:rPr>
        <w:t>O</w:t>
      </w:r>
      <w:r w:rsidR="00B534EF" w:rsidRPr="007A3506">
        <w:rPr>
          <w:rFonts w:cstheme="minorHAnsi"/>
        </w:rPr>
        <w:t>pen the door to more government work for more small and medium businesses by decoding and simplifying procurement processes</w:t>
      </w:r>
    </w:p>
    <w:p w14:paraId="27F06879" w14:textId="2BD1F2DF" w:rsidR="00B534EF" w:rsidRPr="007A3506" w:rsidRDefault="00796E6A" w:rsidP="00054594">
      <w:pPr>
        <w:pStyle w:val="PURPLEBullet"/>
        <w:spacing w:after="200"/>
        <w:rPr>
          <w:rFonts w:cstheme="minorHAnsi"/>
        </w:rPr>
      </w:pPr>
      <w:r w:rsidRPr="007A3506">
        <w:rPr>
          <w:rFonts w:cstheme="minorHAnsi"/>
        </w:rPr>
        <w:t>E</w:t>
      </w:r>
      <w:r w:rsidR="00B534EF" w:rsidRPr="007A3506">
        <w:rPr>
          <w:rFonts w:cstheme="minorHAnsi"/>
        </w:rPr>
        <w:t>stablish a Secure Australian Jobs Code to prioritise secure work in government contracts and ensure that government purchasing power is being used to support businesses that engage in fair, equitable, ethical and sustainable practices</w:t>
      </w:r>
    </w:p>
    <w:p w14:paraId="4CE4B4E3" w14:textId="4E2AD7A7" w:rsidR="00B534EF" w:rsidRPr="007A3506" w:rsidRDefault="00796E6A" w:rsidP="00054594">
      <w:pPr>
        <w:pStyle w:val="PURPLEBullet"/>
        <w:spacing w:after="200"/>
        <w:rPr>
          <w:rFonts w:cstheme="minorHAnsi"/>
        </w:rPr>
      </w:pPr>
      <w:r w:rsidRPr="007A3506">
        <w:rPr>
          <w:rFonts w:cstheme="minorHAnsi"/>
        </w:rPr>
        <w:t>P</w:t>
      </w:r>
      <w:r w:rsidR="00B534EF" w:rsidRPr="007A3506">
        <w:rPr>
          <w:rFonts w:cstheme="minorHAnsi"/>
        </w:rPr>
        <w:t>rovide more opportunities for First Nations businesses with a view to maximise skills transfer so that we can get more First Nations workers into long-term skilled work</w:t>
      </w:r>
    </w:p>
    <w:p w14:paraId="7CFC3483" w14:textId="0049DE5C" w:rsidR="00B534EF" w:rsidRPr="007A3506" w:rsidRDefault="00796E6A" w:rsidP="00054594">
      <w:pPr>
        <w:pStyle w:val="PURPLEBullet"/>
        <w:spacing w:after="200"/>
        <w:rPr>
          <w:rFonts w:cstheme="minorHAnsi"/>
        </w:rPr>
      </w:pPr>
      <w:r w:rsidRPr="007A3506">
        <w:rPr>
          <w:rFonts w:cstheme="minorHAnsi"/>
        </w:rPr>
        <w:t>L</w:t>
      </w:r>
      <w:r w:rsidR="00B534EF" w:rsidRPr="007A3506">
        <w:rPr>
          <w:rFonts w:cstheme="minorHAnsi"/>
        </w:rPr>
        <w:t>evel the playing field by bringing in a Fair Go Procurement Framework requiring those that gain government contracts to pay their fair share of tax</w:t>
      </w:r>
    </w:p>
    <w:p w14:paraId="727793CD" w14:textId="4746C14A" w:rsidR="00B534EF" w:rsidRPr="007A3506" w:rsidRDefault="00796E6A" w:rsidP="00054594">
      <w:pPr>
        <w:pStyle w:val="PURPLEBullet"/>
        <w:spacing w:after="200"/>
        <w:rPr>
          <w:rFonts w:cstheme="minorHAnsi"/>
        </w:rPr>
      </w:pPr>
      <w:r w:rsidRPr="007A3506">
        <w:rPr>
          <w:rFonts w:cstheme="minorHAnsi"/>
        </w:rPr>
        <w:t>S</w:t>
      </w:r>
      <w:r w:rsidR="00B534EF" w:rsidRPr="007A3506">
        <w:rPr>
          <w:rFonts w:cstheme="minorHAnsi"/>
        </w:rPr>
        <w:t>upport industry sectors through the government’s purchasing power</w:t>
      </w:r>
    </w:p>
    <w:p w14:paraId="706E1662" w14:textId="3118344E" w:rsidR="00B534EF" w:rsidRPr="007A3506" w:rsidRDefault="00796E6A" w:rsidP="00054594">
      <w:pPr>
        <w:pStyle w:val="PURPLEBullet"/>
        <w:spacing w:after="200"/>
        <w:rPr>
          <w:rFonts w:cstheme="minorHAnsi"/>
        </w:rPr>
      </w:pPr>
      <w:r w:rsidRPr="007A3506">
        <w:rPr>
          <w:rFonts w:cstheme="minorHAnsi"/>
        </w:rPr>
        <w:t>U</w:t>
      </w:r>
      <w:r w:rsidR="00B534EF" w:rsidRPr="007A3506">
        <w:rPr>
          <w:rFonts w:cstheme="minorHAnsi"/>
        </w:rPr>
        <w:t>se government spending power to take action on climate change and support energy projects</w:t>
      </w:r>
    </w:p>
    <w:p w14:paraId="4A5D91A1" w14:textId="4BBF49F7" w:rsidR="00B534EF" w:rsidRPr="007A3506" w:rsidRDefault="00796E6A" w:rsidP="00054594">
      <w:pPr>
        <w:pStyle w:val="PURPLEBullet"/>
        <w:spacing w:after="200"/>
        <w:rPr>
          <w:rFonts w:cstheme="minorHAnsi"/>
        </w:rPr>
      </w:pPr>
      <w:r w:rsidRPr="007A3506">
        <w:rPr>
          <w:rFonts w:cstheme="minorHAnsi"/>
        </w:rPr>
        <w:t>S</w:t>
      </w:r>
      <w:r w:rsidR="00B534EF" w:rsidRPr="007A3506">
        <w:rPr>
          <w:rFonts w:cstheme="minorHAnsi"/>
        </w:rPr>
        <w:t>trengthen Defence industries and capability</w:t>
      </w:r>
    </w:p>
    <w:p w14:paraId="02A8BA37" w14:textId="0A41D257" w:rsidR="00B534EF" w:rsidRPr="007A3506" w:rsidRDefault="00796E6A" w:rsidP="00054594">
      <w:pPr>
        <w:pStyle w:val="PURPLEBullet"/>
        <w:spacing w:after="200"/>
        <w:rPr>
          <w:rFonts w:cstheme="minorHAnsi"/>
        </w:rPr>
      </w:pPr>
      <w:r w:rsidRPr="007A3506">
        <w:rPr>
          <w:rFonts w:cstheme="minorHAnsi"/>
        </w:rPr>
        <w:t>M</w:t>
      </w:r>
      <w:r w:rsidR="00B534EF" w:rsidRPr="007A3506">
        <w:rPr>
          <w:rFonts w:cstheme="minorHAnsi"/>
        </w:rPr>
        <w:t>ake National Partnerships work to maximise the use of local workers and businesses.</w:t>
      </w:r>
      <w:r w:rsidR="00B534EF" w:rsidRPr="007A3506">
        <w:rPr>
          <w:rStyle w:val="FootnoteReference"/>
          <w:rFonts w:cstheme="minorHAnsi"/>
          <w:color w:val="212529"/>
        </w:rPr>
        <w:footnoteReference w:id="44"/>
      </w:r>
    </w:p>
    <w:p w14:paraId="31C5AE12" w14:textId="77777777" w:rsidR="00AE4F62" w:rsidRPr="007A3506" w:rsidRDefault="00AE4F62" w:rsidP="00054594">
      <w:pPr>
        <w:pStyle w:val="PURPLEBullet"/>
        <w:numPr>
          <w:ilvl w:val="0"/>
          <w:numId w:val="0"/>
        </w:numPr>
        <w:spacing w:after="200"/>
        <w:ind w:left="357"/>
        <w:rPr>
          <w:rFonts w:cstheme="minorHAnsi"/>
        </w:rPr>
      </w:pPr>
    </w:p>
    <w:p w14:paraId="7728C477" w14:textId="5DE6DE46" w:rsidR="00B07720" w:rsidRPr="007A3506" w:rsidRDefault="00B07720" w:rsidP="00B07720">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6E5E9B" w:rsidRPr="007A3506">
        <w:rPr>
          <w:rFonts w:asciiTheme="minorHAnsi" w:hAnsiTheme="minorHAnsi" w:cstheme="minorHAnsi"/>
        </w:rPr>
        <w:t>3</w:t>
      </w:r>
      <w:r w:rsidR="00B25C33" w:rsidRPr="007A3506">
        <w:rPr>
          <w:rFonts w:asciiTheme="minorHAnsi" w:hAnsiTheme="minorHAnsi" w:cstheme="minorHAnsi"/>
        </w:rPr>
        <w:t>0</w:t>
      </w:r>
    </w:p>
    <w:p w14:paraId="72060888" w14:textId="00B12BEA" w:rsidR="00B07720" w:rsidRPr="007A3506" w:rsidRDefault="00B07720" w:rsidP="00B07720">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Are</w:t>
      </w:r>
      <w:r w:rsidR="006C6D3F" w:rsidRPr="007A3506">
        <w:rPr>
          <w:rFonts w:cstheme="minorHAnsi"/>
        </w:rPr>
        <w:t xml:space="preserve"> changes to the functions of the FSC or to the requirements of the Scheme necessary to support the dual policy objectives of improving building and construction industry safety through government procurement and supporting local industry to take advantage of government purchasing opportunities?</w:t>
      </w:r>
    </w:p>
    <w:p w14:paraId="173E1519" w14:textId="46CAB476" w:rsidR="00B77BC6" w:rsidRPr="007A3506" w:rsidRDefault="00B77BC6" w:rsidP="00414B66">
      <w:pPr>
        <w:rPr>
          <w:rFonts w:cstheme="minorHAnsi"/>
        </w:rPr>
      </w:pPr>
    </w:p>
    <w:p w14:paraId="63A7B4EB" w14:textId="2FDC78D0" w:rsidR="00002D5A" w:rsidRPr="007A3506" w:rsidRDefault="00AE6B39" w:rsidP="00002D5A">
      <w:pPr>
        <w:pStyle w:val="Heading3"/>
        <w:rPr>
          <w:rFonts w:asciiTheme="minorHAnsi" w:hAnsiTheme="minorHAnsi" w:cstheme="minorHAnsi"/>
        </w:rPr>
      </w:pPr>
      <w:bookmarkStart w:id="109" w:name="_Toc769035729"/>
      <w:bookmarkStart w:id="110" w:name="_Toc139261465"/>
      <w:bookmarkStart w:id="111" w:name="_Toc138428301"/>
      <w:r w:rsidRPr="007A3506">
        <w:rPr>
          <w:rFonts w:asciiTheme="minorHAnsi" w:hAnsiTheme="minorHAnsi" w:cstheme="minorHAnsi"/>
        </w:rPr>
        <w:t xml:space="preserve">3.6.2 </w:t>
      </w:r>
      <w:r w:rsidR="00002D5A" w:rsidRPr="007A3506">
        <w:rPr>
          <w:rFonts w:asciiTheme="minorHAnsi" w:hAnsiTheme="minorHAnsi" w:cstheme="minorHAnsi"/>
        </w:rPr>
        <w:t>Secure Australian Jobs Plan</w:t>
      </w:r>
      <w:bookmarkEnd w:id="109"/>
      <w:bookmarkEnd w:id="110"/>
    </w:p>
    <w:p w14:paraId="002E40DC" w14:textId="308D00C8" w:rsidR="00002D5A" w:rsidRPr="007A3506" w:rsidRDefault="00002D5A" w:rsidP="00401382">
      <w:pPr>
        <w:rPr>
          <w:rFonts w:cstheme="minorHAnsi"/>
        </w:rPr>
      </w:pPr>
      <w:r w:rsidRPr="007A3506">
        <w:rPr>
          <w:rFonts w:cstheme="minorHAnsi"/>
        </w:rPr>
        <w:t xml:space="preserve">The </w:t>
      </w:r>
      <w:r w:rsidRPr="007A3506">
        <w:rPr>
          <w:rFonts w:cstheme="minorHAnsi"/>
          <w:i/>
          <w:iCs/>
        </w:rPr>
        <w:t>Secure Australian Jobs Plan</w:t>
      </w:r>
      <w:r w:rsidRPr="007A3506">
        <w:rPr>
          <w:rFonts w:cstheme="minorHAnsi"/>
        </w:rPr>
        <w:t xml:space="preserve"> is part of the Buy Australian Plan.</w:t>
      </w:r>
      <w:r w:rsidR="00893078" w:rsidRPr="007A3506">
        <w:rPr>
          <w:rFonts w:cstheme="minorHAnsi"/>
        </w:rPr>
        <w:t xml:space="preserve"> </w:t>
      </w:r>
      <w:r w:rsidRPr="007A3506">
        <w:rPr>
          <w:rFonts w:cstheme="minorHAnsi"/>
        </w:rPr>
        <w:t>It is a set of actions identified by</w:t>
      </w:r>
      <w:r w:rsidR="001C47A5" w:rsidRPr="007A3506">
        <w:rPr>
          <w:rFonts w:cstheme="minorHAnsi"/>
        </w:rPr>
        <w:t xml:space="preserve"> </w:t>
      </w:r>
      <w:r w:rsidRPr="007A3506">
        <w:rPr>
          <w:rFonts w:cstheme="minorHAnsi"/>
        </w:rPr>
        <w:t>the CW Government to support the objective of creating secure work, with better pay and a fairer system for Australian workers.</w:t>
      </w:r>
      <w:r w:rsidR="00692AD2" w:rsidRPr="007A3506">
        <w:rPr>
          <w:rStyle w:val="FootnoteReference"/>
          <w:rFonts w:cstheme="minorHAnsi"/>
        </w:rPr>
        <w:footnoteReference w:id="45"/>
      </w:r>
      <w:r w:rsidRPr="007A3506">
        <w:rPr>
          <w:rFonts w:cstheme="minorHAnsi"/>
        </w:rPr>
        <w:t xml:space="preserve"> </w:t>
      </w:r>
      <w:r w:rsidR="00EA098B" w:rsidRPr="007A3506">
        <w:rPr>
          <w:rFonts w:cstheme="minorHAnsi"/>
        </w:rPr>
        <w:t>A</w:t>
      </w:r>
      <w:r w:rsidR="00C56267" w:rsidRPr="007A3506">
        <w:rPr>
          <w:rFonts w:cstheme="minorHAnsi"/>
        </w:rPr>
        <w:t xml:space="preserve">s </w:t>
      </w:r>
      <w:r w:rsidRPr="007A3506">
        <w:rPr>
          <w:rFonts w:cstheme="minorHAnsi"/>
        </w:rPr>
        <w:t xml:space="preserve">part of this plan the Government intends to introduce a Secure Jobs Code to ensure that </w:t>
      </w:r>
      <w:r w:rsidRPr="007A3506">
        <w:rPr>
          <w:rFonts w:cstheme="minorHAnsi"/>
          <w:color w:val="1C2226"/>
          <w:bdr w:val="none" w:sz="0" w:space="0" w:color="auto" w:frame="1"/>
        </w:rPr>
        <w:t>taxpayers’ money being spent through government contracts is being used to support secure employment for Australian workers.</w:t>
      </w:r>
    </w:p>
    <w:p w14:paraId="55434A7C" w14:textId="77777777" w:rsidR="00414B66" w:rsidRPr="007A3506" w:rsidRDefault="00414B66">
      <w:pPr>
        <w:spacing w:after="160" w:line="259" w:lineRule="auto"/>
        <w:rPr>
          <w:rFonts w:cstheme="minorHAnsi"/>
          <w:color w:val="1C2226"/>
          <w:bdr w:val="none" w:sz="0" w:space="0" w:color="auto" w:frame="1"/>
        </w:rPr>
      </w:pPr>
      <w:r w:rsidRPr="007A3506">
        <w:rPr>
          <w:rFonts w:cstheme="minorHAnsi"/>
          <w:color w:val="1C2226"/>
          <w:bdr w:val="none" w:sz="0" w:space="0" w:color="auto" w:frame="1"/>
        </w:rPr>
        <w:br w:type="page"/>
      </w:r>
    </w:p>
    <w:p w14:paraId="7178A3FF" w14:textId="33D38933" w:rsidR="00002D5A" w:rsidRPr="007A3506" w:rsidRDefault="00002D5A" w:rsidP="00123815">
      <w:pPr>
        <w:spacing w:after="160" w:line="259" w:lineRule="auto"/>
        <w:rPr>
          <w:rFonts w:cstheme="minorHAnsi"/>
          <w:color w:val="1C2226"/>
          <w:bdr w:val="none" w:sz="0" w:space="0" w:color="auto" w:frame="1"/>
        </w:rPr>
      </w:pPr>
      <w:r w:rsidRPr="007A3506">
        <w:rPr>
          <w:rFonts w:cstheme="minorHAnsi"/>
          <w:color w:val="1C2226"/>
          <w:bdr w:val="none" w:sz="0" w:space="0" w:color="auto" w:frame="1"/>
        </w:rPr>
        <w:lastRenderedPageBreak/>
        <w:t xml:space="preserve">The Secure </w:t>
      </w:r>
      <w:r w:rsidR="0085059E" w:rsidRPr="007A3506">
        <w:rPr>
          <w:rFonts w:cstheme="minorHAnsi"/>
          <w:color w:val="1C2226"/>
          <w:bdr w:val="none" w:sz="0" w:space="0" w:color="auto" w:frame="1"/>
        </w:rPr>
        <w:t xml:space="preserve">Australian </w:t>
      </w:r>
      <w:r w:rsidRPr="007A3506">
        <w:rPr>
          <w:rFonts w:cstheme="minorHAnsi"/>
          <w:color w:val="1C2226"/>
          <w:bdr w:val="none" w:sz="0" w:space="0" w:color="auto" w:frame="1"/>
        </w:rPr>
        <w:t>Jobs Code will establish guidelines with respect to:</w:t>
      </w:r>
      <w:r w:rsidRPr="007A3506">
        <w:rPr>
          <w:rStyle w:val="apple-converted-space"/>
          <w:rFonts w:cstheme="minorHAnsi"/>
          <w:color w:val="1C2226"/>
          <w:bdr w:val="none" w:sz="0" w:space="0" w:color="auto" w:frame="1"/>
        </w:rPr>
        <w:t> </w:t>
      </w:r>
    </w:p>
    <w:p w14:paraId="3C385616" w14:textId="77777777" w:rsidR="00002D5A" w:rsidRPr="007A3506" w:rsidRDefault="00002D5A" w:rsidP="00002D5A">
      <w:pPr>
        <w:pStyle w:val="PURPLEBullet"/>
        <w:spacing w:after="200"/>
        <w:rPr>
          <w:rFonts w:cstheme="minorHAnsi"/>
          <w:color w:val="1C2226"/>
        </w:rPr>
      </w:pPr>
      <w:r w:rsidRPr="007A3506">
        <w:rPr>
          <w:rFonts w:cstheme="minorHAnsi"/>
          <w:bdr w:val="none" w:sz="0" w:space="0" w:color="auto" w:frame="1"/>
        </w:rPr>
        <w:t>The fair treatment of workers, including job security</w:t>
      </w:r>
    </w:p>
    <w:p w14:paraId="584B6BEC" w14:textId="77777777" w:rsidR="00002D5A" w:rsidRPr="007A3506" w:rsidRDefault="00002D5A" w:rsidP="00002D5A">
      <w:pPr>
        <w:pStyle w:val="PURPLEBullet"/>
        <w:spacing w:after="200"/>
        <w:rPr>
          <w:rFonts w:cstheme="minorHAnsi"/>
          <w:color w:val="1C2226"/>
        </w:rPr>
      </w:pPr>
      <w:r w:rsidRPr="007A3506">
        <w:rPr>
          <w:rFonts w:cstheme="minorHAnsi"/>
          <w:bdr w:val="none" w:sz="0" w:space="0" w:color="auto" w:frame="1"/>
        </w:rPr>
        <w:t>Fair and reasonable wages and conditions</w:t>
      </w:r>
      <w:r w:rsidRPr="007A3506">
        <w:rPr>
          <w:rStyle w:val="apple-converted-space"/>
          <w:rFonts w:cstheme="minorHAnsi"/>
          <w:color w:val="1C2226"/>
          <w:bdr w:val="none" w:sz="0" w:space="0" w:color="auto" w:frame="1"/>
        </w:rPr>
        <w:t> </w:t>
      </w:r>
    </w:p>
    <w:p w14:paraId="60782615" w14:textId="77777777" w:rsidR="00002D5A" w:rsidRPr="007A3506" w:rsidRDefault="00002D5A" w:rsidP="00002D5A">
      <w:pPr>
        <w:pStyle w:val="PURPLEBullet"/>
        <w:spacing w:after="200"/>
        <w:rPr>
          <w:rFonts w:cstheme="minorHAnsi"/>
          <w:color w:val="1C2226"/>
        </w:rPr>
      </w:pPr>
      <w:r w:rsidRPr="007A3506">
        <w:rPr>
          <w:rFonts w:cstheme="minorHAnsi"/>
          <w:bdr w:val="none" w:sz="0" w:space="0" w:color="auto" w:frame="1"/>
        </w:rPr>
        <w:t xml:space="preserve">Ethical and sustainable practices such as </w:t>
      </w:r>
      <w:r w:rsidRPr="007A3506">
        <w:rPr>
          <w:rFonts w:cstheme="minorHAnsi"/>
          <w:color w:val="1C2226"/>
          <w:bdr w:val="none" w:sz="0" w:space="0" w:color="auto" w:frame="1"/>
        </w:rPr>
        <w:t>ensuring environmentally sustainable outcomes</w:t>
      </w:r>
    </w:p>
    <w:p w14:paraId="7C59DC4D" w14:textId="77777777" w:rsidR="00002D5A" w:rsidRPr="007A3506" w:rsidRDefault="00002D5A" w:rsidP="00002D5A">
      <w:pPr>
        <w:pStyle w:val="PURPLEBullet"/>
        <w:spacing w:after="200"/>
        <w:rPr>
          <w:rFonts w:cstheme="minorHAnsi"/>
          <w:color w:val="1C2226"/>
        </w:rPr>
      </w:pPr>
      <w:r w:rsidRPr="007A3506">
        <w:rPr>
          <w:rFonts w:cstheme="minorHAnsi"/>
          <w:bdr w:val="none" w:sz="0" w:space="0" w:color="auto" w:frame="1"/>
        </w:rPr>
        <w:t xml:space="preserve">Compliance with the </w:t>
      </w:r>
      <w:r w:rsidRPr="007A3506">
        <w:rPr>
          <w:rFonts w:cstheme="minorHAnsi"/>
          <w:i/>
          <w:color w:val="1C2226"/>
          <w:bdr w:val="none" w:sz="0" w:space="0" w:color="auto" w:frame="1"/>
        </w:rPr>
        <w:t>Workplace Gender Equality Act 2012</w:t>
      </w:r>
    </w:p>
    <w:p w14:paraId="1E656CA9" w14:textId="77777777" w:rsidR="00002D5A" w:rsidRPr="007A3506" w:rsidRDefault="00002D5A" w:rsidP="00002D5A">
      <w:pPr>
        <w:pStyle w:val="PURPLEBullet"/>
        <w:spacing w:after="200"/>
        <w:rPr>
          <w:rFonts w:cstheme="minorHAnsi"/>
          <w:color w:val="1C2226"/>
        </w:rPr>
      </w:pPr>
      <w:r w:rsidRPr="007A3506">
        <w:rPr>
          <w:rFonts w:cstheme="minorHAnsi"/>
          <w:bdr w:val="none" w:sz="0" w:space="0" w:color="auto" w:frame="1"/>
        </w:rPr>
        <w:t>The consideration of local industry workforce capability and capacity, particularly in regional Australia.</w:t>
      </w:r>
      <w:r w:rsidRPr="007A3506">
        <w:rPr>
          <w:rStyle w:val="FootnoteReference"/>
          <w:rFonts w:cstheme="minorHAnsi"/>
          <w:color w:val="1C2226"/>
          <w:bdr w:val="none" w:sz="0" w:space="0" w:color="auto" w:frame="1"/>
        </w:rPr>
        <w:footnoteReference w:id="46"/>
      </w:r>
    </w:p>
    <w:p w14:paraId="34065E72" w14:textId="030054A0" w:rsidR="00002D5A" w:rsidRPr="007A3506" w:rsidRDefault="00002D5A" w:rsidP="00002D5A">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3C19D4" w:rsidRPr="007A3506">
        <w:rPr>
          <w:rFonts w:asciiTheme="minorHAnsi" w:hAnsiTheme="minorHAnsi" w:cstheme="minorHAnsi"/>
        </w:rPr>
        <w:t>31</w:t>
      </w:r>
    </w:p>
    <w:p w14:paraId="73620717" w14:textId="77777777" w:rsidR="00002D5A" w:rsidRPr="007A3506" w:rsidRDefault="00002D5A" w:rsidP="00002D5A">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Are changes to the functions of the FSC or to the requirements of the Scheme necessary to support implementation of the Secure Jobs Code? If yes, what are those changes?</w:t>
      </w:r>
    </w:p>
    <w:p w14:paraId="12B6E8BB" w14:textId="0C3455C7" w:rsidR="00002D5A" w:rsidRPr="007A3506" w:rsidRDefault="00002D5A" w:rsidP="00002D5A">
      <w:pPr>
        <w:rPr>
          <w:rFonts w:cstheme="minorHAnsi"/>
          <w:lang w:val="en-US"/>
        </w:rPr>
      </w:pPr>
      <w:r w:rsidRPr="007A3506">
        <w:rPr>
          <w:rFonts w:cstheme="minorHAnsi"/>
          <w:lang w:val="en-US"/>
        </w:rPr>
        <w:t xml:space="preserve">Arguably, the objective of the Secure </w:t>
      </w:r>
      <w:r w:rsidR="00CB088B" w:rsidRPr="007A3506">
        <w:rPr>
          <w:rFonts w:cstheme="minorHAnsi"/>
          <w:lang w:val="en-US"/>
        </w:rPr>
        <w:t xml:space="preserve">Australian </w:t>
      </w:r>
      <w:r w:rsidRPr="007A3506">
        <w:rPr>
          <w:rFonts w:cstheme="minorHAnsi"/>
          <w:lang w:val="en-US"/>
        </w:rPr>
        <w:t xml:space="preserve">Jobs Code which is most relevant to the work of the FSC is ‘compliance with the </w:t>
      </w:r>
      <w:r w:rsidRPr="007A3506">
        <w:rPr>
          <w:rFonts w:cstheme="minorHAnsi"/>
          <w:i/>
          <w:iCs/>
          <w:lang w:val="en-US"/>
        </w:rPr>
        <w:t>Workplace Gender Equality Act 2012</w:t>
      </w:r>
      <w:r w:rsidRPr="007A3506">
        <w:rPr>
          <w:rFonts w:cstheme="minorHAnsi"/>
          <w:lang w:val="en-US"/>
        </w:rPr>
        <w:t>’. The objectives of this Act include:</w:t>
      </w:r>
    </w:p>
    <w:p w14:paraId="0E0B0CA7" w14:textId="77777777" w:rsidR="00002D5A" w:rsidRPr="007A3506" w:rsidRDefault="00002D5A" w:rsidP="00002D5A">
      <w:pPr>
        <w:pStyle w:val="paragraph"/>
        <w:numPr>
          <w:ilvl w:val="1"/>
          <w:numId w:val="10"/>
        </w:numPr>
        <w:spacing w:before="40" w:beforeAutospacing="0" w:after="0" w:afterAutospacing="0"/>
        <w:rPr>
          <w:rFonts w:asciiTheme="minorHAnsi" w:hAnsiTheme="minorHAnsi" w:cstheme="minorHAnsi"/>
          <w:color w:val="000000"/>
          <w:sz w:val="22"/>
          <w:szCs w:val="22"/>
        </w:rPr>
      </w:pPr>
      <w:r w:rsidRPr="007A3506">
        <w:rPr>
          <w:rFonts w:asciiTheme="minorHAnsi" w:hAnsiTheme="minorHAnsi" w:cstheme="minorHAnsi"/>
          <w:color w:val="000000"/>
          <w:sz w:val="22"/>
          <w:szCs w:val="22"/>
        </w:rPr>
        <w:t>to support employers to remove barriers to the full and equal participation of women in the workforce, in recognition of the disadvantaged position of women in relation to employment matters.</w:t>
      </w:r>
    </w:p>
    <w:p w14:paraId="58F1176B" w14:textId="77777777" w:rsidR="00002D5A" w:rsidRPr="007A3506" w:rsidRDefault="00002D5A" w:rsidP="00002D5A">
      <w:pPr>
        <w:pStyle w:val="paragraph"/>
        <w:numPr>
          <w:ilvl w:val="1"/>
          <w:numId w:val="10"/>
        </w:numPr>
        <w:spacing w:before="40" w:beforeAutospacing="0" w:after="200" w:afterAutospacing="0"/>
        <w:rPr>
          <w:rFonts w:asciiTheme="minorHAnsi" w:hAnsiTheme="minorHAnsi" w:cstheme="minorHAnsi"/>
          <w:color w:val="000000"/>
          <w:sz w:val="22"/>
          <w:szCs w:val="22"/>
        </w:rPr>
      </w:pPr>
      <w:r w:rsidRPr="007A3506">
        <w:rPr>
          <w:rFonts w:asciiTheme="minorHAnsi" w:hAnsiTheme="minorHAnsi" w:cstheme="minorHAnsi"/>
          <w:color w:val="000000"/>
          <w:sz w:val="22"/>
          <w:szCs w:val="22"/>
        </w:rPr>
        <w:t>to promote, amongst employers, the elimination of discrimination on the basis of gender in relation to employment matters (including in relation to family and caring responsibilities).</w:t>
      </w:r>
      <w:r w:rsidRPr="007A3506">
        <w:rPr>
          <w:rStyle w:val="FootnoteReference"/>
          <w:rFonts w:asciiTheme="minorHAnsi" w:hAnsiTheme="minorHAnsi" w:cstheme="minorHAnsi"/>
          <w:color w:val="000000"/>
          <w:sz w:val="22"/>
          <w:szCs w:val="22"/>
        </w:rPr>
        <w:footnoteReference w:id="47"/>
      </w:r>
    </w:p>
    <w:p w14:paraId="341C38EA" w14:textId="77777777" w:rsidR="00002D5A" w:rsidRPr="007A3506" w:rsidRDefault="00002D5A" w:rsidP="00002D5A">
      <w:pPr>
        <w:rPr>
          <w:rFonts w:cstheme="minorHAnsi"/>
          <w:lang w:val="en-US"/>
        </w:rPr>
      </w:pPr>
      <w:r w:rsidRPr="007A3506">
        <w:rPr>
          <w:rFonts w:cstheme="minorHAnsi"/>
          <w:lang w:val="en-US"/>
        </w:rPr>
        <w:t>A 2020 report into the barriers for women participating in the construction industry found:</w:t>
      </w:r>
    </w:p>
    <w:p w14:paraId="39C04911" w14:textId="77777777" w:rsidR="00002D5A" w:rsidRPr="007A3506" w:rsidRDefault="00002D5A" w:rsidP="00002D5A">
      <w:pPr>
        <w:pStyle w:val="NormalWeb"/>
        <w:spacing w:after="200" w:afterAutospacing="0"/>
        <w:ind w:left="720"/>
        <w:rPr>
          <w:rFonts w:asciiTheme="minorHAnsi" w:hAnsiTheme="minorHAnsi" w:cstheme="minorHAnsi"/>
          <w:i/>
          <w:iCs/>
          <w:sz w:val="22"/>
          <w:szCs w:val="22"/>
        </w:rPr>
      </w:pPr>
      <w:r w:rsidRPr="007A3506">
        <w:rPr>
          <w:rFonts w:asciiTheme="minorHAnsi" w:hAnsiTheme="minorHAnsi" w:cstheme="minorHAnsi"/>
          <w:i/>
          <w:iCs/>
          <w:sz w:val="22"/>
          <w:szCs w:val="22"/>
        </w:rPr>
        <w:t xml:space="preserve">Three inter-related themes emerged from the study capturing the critical challenges experienced by a substantial proportion of women in trades and semi-skilled roles in the construction industry: </w:t>
      </w:r>
    </w:p>
    <w:p w14:paraId="20BFE5C6" w14:textId="77777777" w:rsidR="00002D5A" w:rsidRPr="007A3506" w:rsidRDefault="00002D5A" w:rsidP="00002D5A">
      <w:pPr>
        <w:pStyle w:val="NormalWeb"/>
        <w:spacing w:after="200" w:afterAutospacing="0"/>
        <w:ind w:left="720"/>
        <w:rPr>
          <w:rFonts w:asciiTheme="minorHAnsi" w:hAnsiTheme="minorHAnsi" w:cstheme="minorHAnsi"/>
          <w:i/>
          <w:iCs/>
          <w:sz w:val="22"/>
          <w:szCs w:val="22"/>
        </w:rPr>
      </w:pPr>
      <w:r w:rsidRPr="007A3506">
        <w:rPr>
          <w:rFonts w:asciiTheme="minorHAnsi" w:hAnsiTheme="minorHAnsi" w:cstheme="minorHAnsi"/>
          <w:i/>
          <w:iCs/>
          <w:sz w:val="22"/>
          <w:szCs w:val="22"/>
        </w:rPr>
        <w:t xml:space="preserve">(I) </w:t>
      </w:r>
      <w:r w:rsidRPr="007A3506">
        <w:rPr>
          <w:rFonts w:asciiTheme="minorHAnsi" w:hAnsiTheme="minorHAnsi" w:cstheme="minorHAnsi"/>
          <w:b/>
          <w:bCs/>
          <w:i/>
          <w:iCs/>
          <w:sz w:val="22"/>
          <w:szCs w:val="22"/>
        </w:rPr>
        <w:t>Women are outsiders:</w:t>
      </w:r>
      <w:r w:rsidRPr="007A3506">
        <w:rPr>
          <w:rFonts w:asciiTheme="minorHAnsi" w:hAnsiTheme="minorHAnsi" w:cstheme="minorHAnsi"/>
          <w:i/>
          <w:iCs/>
          <w:sz w:val="22"/>
          <w:szCs w:val="22"/>
        </w:rPr>
        <w:t xml:space="preserve"> our results highlight how the culture of masculinity drives inappropriate behaviour; career pathway challenges and difficulty in accessing work aligned with skills and aptitude; being treated differently on-site due to gender; and the barriers faced around having family responsibilities and caring for children. </w:t>
      </w:r>
    </w:p>
    <w:p w14:paraId="7CDE932D" w14:textId="77777777" w:rsidR="00002D5A" w:rsidRPr="007A3506" w:rsidRDefault="00002D5A" w:rsidP="00002D5A">
      <w:pPr>
        <w:pStyle w:val="NormalWeb"/>
        <w:spacing w:after="200" w:afterAutospacing="0"/>
        <w:ind w:left="720"/>
        <w:rPr>
          <w:rFonts w:asciiTheme="minorHAnsi" w:hAnsiTheme="minorHAnsi" w:cstheme="minorHAnsi"/>
          <w:i/>
          <w:iCs/>
          <w:sz w:val="22"/>
          <w:szCs w:val="22"/>
        </w:rPr>
      </w:pPr>
      <w:r w:rsidRPr="007A3506">
        <w:rPr>
          <w:rFonts w:asciiTheme="minorHAnsi" w:hAnsiTheme="minorHAnsi" w:cstheme="minorHAnsi"/>
          <w:i/>
          <w:iCs/>
          <w:sz w:val="22"/>
          <w:szCs w:val="22"/>
        </w:rPr>
        <w:t>(ii</w:t>
      </w:r>
      <w:r w:rsidRPr="007A3506">
        <w:rPr>
          <w:rFonts w:asciiTheme="minorHAnsi" w:hAnsiTheme="minorHAnsi" w:cstheme="minorHAnsi"/>
          <w:b/>
          <w:bCs/>
          <w:i/>
          <w:iCs/>
          <w:sz w:val="22"/>
          <w:szCs w:val="22"/>
        </w:rPr>
        <w:t>) Consequence-free behaviour:</w:t>
      </w:r>
      <w:r w:rsidRPr="007A3506">
        <w:rPr>
          <w:rFonts w:asciiTheme="minorHAnsi" w:hAnsiTheme="minorHAnsi" w:cstheme="minorHAnsi"/>
          <w:i/>
          <w:iCs/>
          <w:sz w:val="22"/>
          <w:szCs w:val="22"/>
        </w:rPr>
        <w:t xml:space="preserve"> our results identify how the masculine culture can be an enabler of inappropriate behaviour; the mistreatment of female apprentices; and the lack of workplace support for managing inappropriate behaviour. </w:t>
      </w:r>
    </w:p>
    <w:p w14:paraId="01C112AC" w14:textId="77777777" w:rsidR="00002D5A" w:rsidRPr="007A3506" w:rsidRDefault="00002D5A" w:rsidP="00002D5A">
      <w:pPr>
        <w:pStyle w:val="NormalWeb"/>
        <w:spacing w:after="200" w:afterAutospacing="0"/>
        <w:ind w:left="660"/>
        <w:rPr>
          <w:rFonts w:asciiTheme="minorHAnsi" w:hAnsiTheme="minorHAnsi" w:cstheme="minorHAnsi"/>
          <w:sz w:val="22"/>
          <w:szCs w:val="22"/>
        </w:rPr>
      </w:pPr>
      <w:r w:rsidRPr="007A3506">
        <w:rPr>
          <w:rFonts w:asciiTheme="minorHAnsi" w:hAnsiTheme="minorHAnsi" w:cstheme="minorHAnsi"/>
          <w:i/>
          <w:iCs/>
          <w:sz w:val="22"/>
          <w:szCs w:val="22"/>
        </w:rPr>
        <w:t xml:space="preserve">(iii) </w:t>
      </w:r>
      <w:r w:rsidRPr="007A3506">
        <w:rPr>
          <w:rFonts w:asciiTheme="minorHAnsi" w:hAnsiTheme="minorHAnsi" w:cstheme="minorHAnsi"/>
          <w:b/>
          <w:bCs/>
          <w:i/>
          <w:iCs/>
          <w:sz w:val="22"/>
          <w:szCs w:val="22"/>
        </w:rPr>
        <w:t>Culture of silence</w:t>
      </w:r>
      <w:r w:rsidRPr="007A3506">
        <w:rPr>
          <w:rFonts w:asciiTheme="minorHAnsi" w:hAnsiTheme="minorHAnsi" w:cstheme="minorHAnsi"/>
          <w:i/>
          <w:iCs/>
          <w:sz w:val="22"/>
          <w:szCs w:val="22"/>
        </w:rPr>
        <w:t>: our results highlight the lack of transparent processes for reporting inappropriate behaviour; little to no consequences for co-workers who act inappropriately; and fear of punishment for reporting inappropriate behaviour</w:t>
      </w:r>
      <w:r w:rsidRPr="007A3506">
        <w:rPr>
          <w:rFonts w:asciiTheme="minorHAnsi" w:hAnsiTheme="minorHAnsi" w:cstheme="minorHAnsi"/>
          <w:sz w:val="22"/>
          <w:szCs w:val="22"/>
        </w:rPr>
        <w:t>.</w:t>
      </w:r>
      <w:r w:rsidRPr="007A3506">
        <w:rPr>
          <w:rStyle w:val="FootnoteReference"/>
          <w:rFonts w:asciiTheme="minorHAnsi" w:hAnsiTheme="minorHAnsi" w:cstheme="minorHAnsi"/>
          <w:sz w:val="22"/>
          <w:szCs w:val="22"/>
        </w:rPr>
        <w:footnoteReference w:id="48"/>
      </w:r>
      <w:r w:rsidRPr="007A3506">
        <w:rPr>
          <w:rFonts w:asciiTheme="minorHAnsi" w:hAnsiTheme="minorHAnsi" w:cstheme="minorHAnsi"/>
          <w:sz w:val="22"/>
          <w:szCs w:val="22"/>
        </w:rPr>
        <w:t xml:space="preserve"> </w:t>
      </w:r>
    </w:p>
    <w:p w14:paraId="66F6048F" w14:textId="2DD81937" w:rsidR="00002D5A" w:rsidRPr="007A3506" w:rsidRDefault="00002D5A" w:rsidP="00002D5A">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lastRenderedPageBreak/>
        <w:t>Question 3</w:t>
      </w:r>
      <w:r w:rsidR="003C19D4" w:rsidRPr="007A3506">
        <w:rPr>
          <w:rFonts w:asciiTheme="minorHAnsi" w:hAnsiTheme="minorHAnsi" w:cstheme="minorHAnsi"/>
        </w:rPr>
        <w:t>2</w:t>
      </w:r>
    </w:p>
    <w:p w14:paraId="0719C503" w14:textId="77777777" w:rsidR="00002D5A" w:rsidRPr="007A3506" w:rsidRDefault="00002D5A" w:rsidP="00002D5A">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Are changes to the functions of the FSC or to the requirements of the Scheme necessary to support </w:t>
      </w:r>
      <w:r w:rsidRPr="007A3506">
        <w:rPr>
          <w:rFonts w:cstheme="minorHAnsi"/>
          <w:lang w:val="en-US"/>
        </w:rPr>
        <w:t>a culture across the building and construction industry which removes barriers to women’s participation and enables a safe working environment for women? If yes, what is that role?</w:t>
      </w:r>
    </w:p>
    <w:p w14:paraId="07D17CE4" w14:textId="77777777" w:rsidR="00682132" w:rsidRPr="007A3506" w:rsidRDefault="00682132" w:rsidP="00682132">
      <w:pPr>
        <w:rPr>
          <w:rFonts w:cstheme="minorHAnsi"/>
        </w:rPr>
      </w:pPr>
    </w:p>
    <w:p w14:paraId="30CA0E7B" w14:textId="712D2D39" w:rsidR="0027776E" w:rsidRPr="007A3506" w:rsidRDefault="00AE6B39" w:rsidP="0027776E">
      <w:pPr>
        <w:pStyle w:val="Heading3"/>
        <w:rPr>
          <w:rFonts w:asciiTheme="minorHAnsi" w:hAnsiTheme="minorHAnsi" w:cstheme="minorHAnsi"/>
        </w:rPr>
      </w:pPr>
      <w:bookmarkStart w:id="112" w:name="_Toc1098619695"/>
      <w:bookmarkStart w:id="113" w:name="_Toc139261466"/>
      <w:r w:rsidRPr="007A3506">
        <w:rPr>
          <w:rFonts w:asciiTheme="minorHAnsi" w:hAnsiTheme="minorHAnsi" w:cstheme="minorHAnsi"/>
        </w:rPr>
        <w:t>3.6.</w:t>
      </w:r>
      <w:r w:rsidR="00002D5A" w:rsidRPr="007A3506">
        <w:rPr>
          <w:rFonts w:asciiTheme="minorHAnsi" w:hAnsiTheme="minorHAnsi" w:cstheme="minorHAnsi"/>
        </w:rPr>
        <w:t xml:space="preserve">3 </w:t>
      </w:r>
      <w:r w:rsidR="0027776E" w:rsidRPr="007A3506">
        <w:rPr>
          <w:rFonts w:asciiTheme="minorHAnsi" w:hAnsiTheme="minorHAnsi" w:cstheme="minorHAnsi"/>
        </w:rPr>
        <w:t>Better Deal for Small Business</w:t>
      </w:r>
      <w:bookmarkEnd w:id="111"/>
      <w:bookmarkEnd w:id="112"/>
      <w:bookmarkEnd w:id="113"/>
    </w:p>
    <w:p w14:paraId="028F0B37" w14:textId="5BB5C0D6" w:rsidR="002B2AF2" w:rsidRPr="007A3506" w:rsidRDefault="0027776E" w:rsidP="0027776E">
      <w:pPr>
        <w:rPr>
          <w:rFonts w:cstheme="minorHAnsi"/>
        </w:rPr>
      </w:pPr>
      <w:r w:rsidRPr="007A3506">
        <w:rPr>
          <w:rFonts w:cstheme="minorHAnsi"/>
        </w:rPr>
        <w:t>A</w:t>
      </w:r>
      <w:r w:rsidR="00284373" w:rsidRPr="007A3506">
        <w:rPr>
          <w:rFonts w:cstheme="minorHAnsi"/>
        </w:rPr>
        <w:t>s part of the Buy Australian Plan</w:t>
      </w:r>
      <w:r w:rsidR="00BC2242" w:rsidRPr="007A3506">
        <w:rPr>
          <w:rFonts w:cstheme="minorHAnsi"/>
        </w:rPr>
        <w:t>, a</w:t>
      </w:r>
      <w:r w:rsidRPr="007A3506">
        <w:rPr>
          <w:rFonts w:cstheme="minorHAnsi"/>
        </w:rPr>
        <w:t xml:space="preserve"> key objective of the </w:t>
      </w:r>
      <w:r w:rsidRPr="007A3506">
        <w:rPr>
          <w:rFonts w:cstheme="minorHAnsi"/>
          <w:i/>
        </w:rPr>
        <w:t xml:space="preserve">Better Deal for Small Business </w:t>
      </w:r>
      <w:r w:rsidRPr="007A3506">
        <w:rPr>
          <w:rFonts w:cstheme="minorHAnsi"/>
        </w:rPr>
        <w:t>policy is to</w:t>
      </w:r>
      <w:r w:rsidR="002B2AF2" w:rsidRPr="007A3506">
        <w:rPr>
          <w:rFonts w:cstheme="minorHAnsi"/>
        </w:rPr>
        <w:t>:</w:t>
      </w:r>
    </w:p>
    <w:p w14:paraId="529A3FC4" w14:textId="711477A5" w:rsidR="0027776E" w:rsidRPr="007A3506" w:rsidRDefault="00FF13B3" w:rsidP="002B2AF2">
      <w:pPr>
        <w:ind w:left="284"/>
        <w:rPr>
          <w:rFonts w:cstheme="minorHAnsi"/>
          <w:b/>
          <w:bCs/>
          <w:i/>
          <w:iCs/>
        </w:rPr>
      </w:pPr>
      <w:r w:rsidRPr="007A3506">
        <w:rPr>
          <w:rFonts w:cstheme="minorHAnsi"/>
          <w:i/>
          <w:iCs/>
        </w:rPr>
        <w:t>M</w:t>
      </w:r>
      <w:r w:rsidR="0027776E" w:rsidRPr="007A3506">
        <w:rPr>
          <w:rFonts w:cstheme="minorHAnsi"/>
          <w:i/>
          <w:iCs/>
        </w:rPr>
        <w:t>aximise small business participation in Commonwealth procurement, providing greater opportunities for business and Australian jobs. The Commonwealth intends to use its $190 billion purchasing power to support small businesses, delivering better value for money and growing the local economy</w:t>
      </w:r>
      <w:r w:rsidRPr="007A3506">
        <w:rPr>
          <w:rFonts w:cstheme="minorHAnsi"/>
          <w:i/>
          <w:iCs/>
        </w:rPr>
        <w:t>.</w:t>
      </w:r>
      <w:r w:rsidR="0027776E" w:rsidRPr="007A3506">
        <w:rPr>
          <w:rStyle w:val="FootnoteReference"/>
          <w:rFonts w:cstheme="minorHAnsi"/>
        </w:rPr>
        <w:footnoteReference w:id="49"/>
      </w:r>
    </w:p>
    <w:p w14:paraId="17E179B7" w14:textId="7CD9167C" w:rsidR="0027776E" w:rsidRPr="007A3506" w:rsidRDefault="0027776E" w:rsidP="0027776E">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002D5A" w:rsidRPr="007A3506">
        <w:rPr>
          <w:rFonts w:asciiTheme="minorHAnsi" w:hAnsiTheme="minorHAnsi" w:cstheme="minorHAnsi"/>
        </w:rPr>
        <w:t>3</w:t>
      </w:r>
      <w:r w:rsidR="008C2542" w:rsidRPr="007A3506">
        <w:rPr>
          <w:rFonts w:asciiTheme="minorHAnsi" w:hAnsiTheme="minorHAnsi" w:cstheme="minorHAnsi"/>
        </w:rPr>
        <w:t>3</w:t>
      </w:r>
    </w:p>
    <w:p w14:paraId="4CE6E7DF" w14:textId="0D2745FC" w:rsidR="00C002BB" w:rsidRPr="007A3506" w:rsidRDefault="0027776E" w:rsidP="009B0F2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Are </w:t>
      </w:r>
      <w:r w:rsidR="00A256CA" w:rsidRPr="007A3506">
        <w:rPr>
          <w:rFonts w:cstheme="minorHAnsi"/>
        </w:rPr>
        <w:t>changes to the functions of the FSC or to the requirements of the Scheme necessary to support implementation of the Better Deal for Small Business policy?</w:t>
      </w:r>
      <w:r w:rsidR="004B7971" w:rsidRPr="007A3506">
        <w:rPr>
          <w:rFonts w:cstheme="minorHAnsi"/>
        </w:rPr>
        <w:t xml:space="preserve"> </w:t>
      </w:r>
      <w:r w:rsidR="00A256CA" w:rsidRPr="007A3506">
        <w:rPr>
          <w:rFonts w:cstheme="minorHAnsi"/>
        </w:rPr>
        <w:t>If yes, what are those changes?</w:t>
      </w:r>
    </w:p>
    <w:p w14:paraId="4D84100D" w14:textId="5AC004E7" w:rsidR="008C2542" w:rsidRPr="007A3506" w:rsidRDefault="008C2542" w:rsidP="0031767C">
      <w:pPr>
        <w:rPr>
          <w:rFonts w:cstheme="minorHAnsi"/>
        </w:rPr>
      </w:pPr>
      <w:bookmarkStart w:id="114" w:name="_Toc138428302"/>
      <w:bookmarkStart w:id="115" w:name="_Toc1993515935"/>
    </w:p>
    <w:p w14:paraId="0AE2E284" w14:textId="3CB6D7DD" w:rsidR="006B6A00" w:rsidRPr="007A3506" w:rsidRDefault="00AE6B39" w:rsidP="006B6A00">
      <w:pPr>
        <w:pStyle w:val="Heading3"/>
        <w:rPr>
          <w:rFonts w:asciiTheme="minorHAnsi" w:eastAsia="Calibri" w:hAnsiTheme="minorHAnsi" w:cstheme="minorHAnsi"/>
        </w:rPr>
      </w:pPr>
      <w:bookmarkStart w:id="116" w:name="_Toc139261467"/>
      <w:r w:rsidRPr="007A3506">
        <w:rPr>
          <w:rFonts w:asciiTheme="minorHAnsi" w:eastAsia="Calibri" w:hAnsiTheme="minorHAnsi" w:cstheme="minorHAnsi"/>
        </w:rPr>
        <w:t>3.6.</w:t>
      </w:r>
      <w:r w:rsidR="00002D5A" w:rsidRPr="007A3506">
        <w:rPr>
          <w:rFonts w:asciiTheme="minorHAnsi" w:eastAsia="Calibri" w:hAnsiTheme="minorHAnsi" w:cstheme="minorHAnsi"/>
        </w:rPr>
        <w:t xml:space="preserve">4 </w:t>
      </w:r>
      <w:r w:rsidR="006B6A00" w:rsidRPr="007A3506">
        <w:rPr>
          <w:rFonts w:asciiTheme="minorHAnsi" w:eastAsia="Calibri" w:hAnsiTheme="minorHAnsi" w:cstheme="minorHAnsi"/>
        </w:rPr>
        <w:t>National Construction Industry Forum</w:t>
      </w:r>
      <w:bookmarkEnd w:id="114"/>
      <w:bookmarkEnd w:id="115"/>
      <w:bookmarkEnd w:id="116"/>
      <w:r w:rsidR="006B6A00" w:rsidRPr="007A3506">
        <w:rPr>
          <w:rFonts w:asciiTheme="minorHAnsi" w:eastAsia="Calibri" w:hAnsiTheme="minorHAnsi" w:cstheme="minorHAnsi"/>
        </w:rPr>
        <w:t xml:space="preserve"> </w:t>
      </w:r>
    </w:p>
    <w:p w14:paraId="3D18A76A" w14:textId="77777777" w:rsidR="006B6A00" w:rsidRPr="007A3506" w:rsidRDefault="006B6A00" w:rsidP="006B6A00">
      <w:pPr>
        <w:contextualSpacing/>
        <w:textAlignment w:val="baseline"/>
        <w:rPr>
          <w:rFonts w:cstheme="minorHAnsi"/>
          <w:lang w:eastAsia="en-AU"/>
        </w:rPr>
      </w:pPr>
      <w:r w:rsidRPr="007A3506">
        <w:rPr>
          <w:rFonts w:cstheme="minorHAnsi"/>
        </w:rPr>
        <w:t xml:space="preserve">The </w:t>
      </w:r>
      <w:r w:rsidRPr="007A3506">
        <w:rPr>
          <w:rFonts w:cstheme="minorHAnsi"/>
          <w:i/>
          <w:iCs/>
        </w:rPr>
        <w:t>Fair Work Legislation Amendment (Secure Jobs, Better Pay) Act 2022</w:t>
      </w:r>
      <w:r w:rsidRPr="007A3506">
        <w:rPr>
          <w:rFonts w:cstheme="minorHAnsi"/>
        </w:rPr>
        <w:t xml:space="preserve"> amends the </w:t>
      </w:r>
      <w:r w:rsidRPr="007A3506">
        <w:rPr>
          <w:rFonts w:cstheme="minorHAnsi"/>
          <w:i/>
          <w:iCs/>
        </w:rPr>
        <w:t>Fair Work Act 2009</w:t>
      </w:r>
      <w:r w:rsidRPr="007A3506">
        <w:rPr>
          <w:rFonts w:cstheme="minorHAnsi"/>
        </w:rPr>
        <w:t xml:space="preserve"> to </w:t>
      </w:r>
      <w:r w:rsidRPr="007A3506">
        <w:rPr>
          <w:rFonts w:cstheme="minorHAnsi"/>
          <w:lang w:eastAsia="en-AU"/>
        </w:rPr>
        <w:t>establish an ongoing National Construction Industry Forum (the Forum) as a statutory advisory body.</w:t>
      </w:r>
    </w:p>
    <w:p w14:paraId="0465493A" w14:textId="77777777" w:rsidR="006B6A00" w:rsidRPr="007A3506" w:rsidRDefault="006B6A00" w:rsidP="006B6A00">
      <w:pPr>
        <w:contextualSpacing/>
        <w:textAlignment w:val="baseline"/>
        <w:rPr>
          <w:rFonts w:cstheme="minorHAnsi"/>
          <w:lang w:eastAsia="en-AU"/>
        </w:rPr>
      </w:pPr>
    </w:p>
    <w:p w14:paraId="79895BFF" w14:textId="631DAC3B" w:rsidR="006B6A00" w:rsidRPr="007A3506" w:rsidRDefault="006B6A00" w:rsidP="006B6A00">
      <w:pPr>
        <w:contextualSpacing/>
        <w:textAlignment w:val="baseline"/>
        <w:rPr>
          <w:rFonts w:cstheme="minorHAnsi"/>
        </w:rPr>
      </w:pPr>
      <w:r w:rsidRPr="007A3506">
        <w:rPr>
          <w:rFonts w:cstheme="minorHAnsi"/>
          <w:lang w:eastAsia="en-AU"/>
        </w:rPr>
        <w:t xml:space="preserve">The Forum will be established </w:t>
      </w:r>
      <w:r w:rsidR="009A5CCF" w:rsidRPr="007A3506">
        <w:rPr>
          <w:rFonts w:cstheme="minorHAnsi"/>
          <w:lang w:eastAsia="en-AU"/>
        </w:rPr>
        <w:t xml:space="preserve">after </w:t>
      </w:r>
      <w:r w:rsidRPr="007A3506">
        <w:rPr>
          <w:rFonts w:cstheme="minorHAnsi"/>
          <w:lang w:eastAsia="en-AU"/>
        </w:rPr>
        <w:t xml:space="preserve">1 July 2023 </w:t>
      </w:r>
      <w:r w:rsidRPr="007A3506">
        <w:rPr>
          <w:rFonts w:cstheme="minorHAnsi"/>
        </w:rPr>
        <w:t xml:space="preserve">to provide advice to Government on a broad range of issues relating to work in the building and construction industry including workplace relations, industry culture, skills and training, </w:t>
      </w:r>
      <w:r w:rsidRPr="007A3506">
        <w:rPr>
          <w:rFonts w:cstheme="minorHAnsi"/>
          <w:b/>
          <w:bCs/>
        </w:rPr>
        <w:t>safety</w:t>
      </w:r>
      <w:r w:rsidRPr="007A3506">
        <w:rPr>
          <w:rFonts w:cstheme="minorHAnsi"/>
        </w:rPr>
        <w:t>, gender equity, and productivity.</w:t>
      </w:r>
      <w:r w:rsidR="004B7971" w:rsidRPr="007A3506">
        <w:rPr>
          <w:rFonts w:cstheme="minorHAnsi"/>
        </w:rPr>
        <w:t xml:space="preserve"> </w:t>
      </w:r>
    </w:p>
    <w:p w14:paraId="259B477D" w14:textId="77777777" w:rsidR="006B6A00" w:rsidRPr="007A3506" w:rsidRDefault="006B6A00" w:rsidP="006B6A00">
      <w:pPr>
        <w:ind w:left="720"/>
        <w:contextualSpacing/>
        <w:textAlignment w:val="baseline"/>
        <w:rPr>
          <w:rFonts w:cstheme="minorHAnsi"/>
        </w:rPr>
      </w:pPr>
    </w:p>
    <w:p w14:paraId="51125802" w14:textId="5E7C850F" w:rsidR="006B6A00" w:rsidRPr="007A3506" w:rsidRDefault="006B6A00" w:rsidP="006B6A00">
      <w:pPr>
        <w:contextualSpacing/>
        <w:textAlignment w:val="baseline"/>
        <w:rPr>
          <w:rFonts w:cstheme="minorHAnsi"/>
          <w:lang w:eastAsia="en-AU"/>
        </w:rPr>
      </w:pPr>
      <w:r w:rsidRPr="007A3506">
        <w:rPr>
          <w:rFonts w:cstheme="minorHAnsi"/>
        </w:rPr>
        <w:t xml:space="preserve">The Forum will be tripartite </w:t>
      </w:r>
      <w:r w:rsidR="002134A1" w:rsidRPr="007A3506">
        <w:rPr>
          <w:rFonts w:cstheme="minorHAnsi"/>
        </w:rPr>
        <w:t xml:space="preserve">featuring </w:t>
      </w:r>
      <w:r w:rsidR="00067426" w:rsidRPr="007A3506">
        <w:rPr>
          <w:rFonts w:cstheme="minorHAnsi"/>
        </w:rPr>
        <w:t>members</w:t>
      </w:r>
      <w:r w:rsidRPr="007A3506">
        <w:rPr>
          <w:rFonts w:cstheme="minorHAnsi"/>
        </w:rPr>
        <w:t xml:space="preserve"> from government</w:t>
      </w:r>
      <w:r w:rsidR="00067426" w:rsidRPr="007A3506">
        <w:rPr>
          <w:rFonts w:cstheme="minorHAnsi"/>
        </w:rPr>
        <w:t xml:space="preserve"> and those with experience representing employers and employees</w:t>
      </w:r>
      <w:r w:rsidRPr="007A3506">
        <w:rPr>
          <w:rFonts w:cstheme="minorHAnsi"/>
        </w:rPr>
        <w:t>.</w:t>
      </w:r>
      <w:r w:rsidR="004B7971" w:rsidRPr="007A3506">
        <w:rPr>
          <w:rFonts w:cstheme="minorHAnsi"/>
        </w:rPr>
        <w:t xml:space="preserve"> </w:t>
      </w:r>
      <w:r w:rsidRPr="007A3506">
        <w:rPr>
          <w:rFonts w:cstheme="minorHAnsi"/>
        </w:rPr>
        <w:t xml:space="preserve">It will be chaired by the Minister for Employment and Workplace Relations and </w:t>
      </w:r>
      <w:r w:rsidRPr="007A3506">
        <w:rPr>
          <w:rFonts w:cstheme="minorHAnsi"/>
          <w:lang w:eastAsia="en-AU"/>
        </w:rPr>
        <w:t>Forum members will include the Minister for Infrastructure, Transport, Regional Development and Local Government, and the Minister for Industry and Science.</w:t>
      </w:r>
    </w:p>
    <w:p w14:paraId="7A4AF548" w14:textId="703F3B7B" w:rsidR="000544E7" w:rsidRPr="007A3506" w:rsidRDefault="000544E7" w:rsidP="000544E7">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E544C3" w:rsidRPr="007A3506">
        <w:rPr>
          <w:rFonts w:asciiTheme="minorHAnsi" w:hAnsiTheme="minorHAnsi" w:cstheme="minorHAnsi"/>
        </w:rPr>
        <w:t>3</w:t>
      </w:r>
      <w:r w:rsidR="008C2542" w:rsidRPr="007A3506">
        <w:rPr>
          <w:rFonts w:asciiTheme="minorHAnsi" w:hAnsiTheme="minorHAnsi" w:cstheme="minorHAnsi"/>
        </w:rPr>
        <w:t>4</w:t>
      </w:r>
    </w:p>
    <w:p w14:paraId="78A8AC51" w14:textId="0CB9E414" w:rsidR="00C002BB" w:rsidRPr="007A3506" w:rsidRDefault="000544E7" w:rsidP="009B0F2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Are </w:t>
      </w:r>
      <w:r w:rsidR="00717ED4" w:rsidRPr="007A3506">
        <w:rPr>
          <w:rFonts w:cstheme="minorHAnsi"/>
        </w:rPr>
        <w:t>changes to the functions of the FSC or to the requirements of the Scheme necessary to support the work of the National Construction Industry Forum?</w:t>
      </w:r>
      <w:r w:rsidR="004B7971" w:rsidRPr="007A3506">
        <w:rPr>
          <w:rFonts w:cstheme="minorHAnsi"/>
        </w:rPr>
        <w:t xml:space="preserve"> </w:t>
      </w:r>
      <w:r w:rsidR="00717ED4" w:rsidRPr="007A3506">
        <w:rPr>
          <w:rFonts w:cstheme="minorHAnsi"/>
        </w:rPr>
        <w:t>If yes, what are those changes?</w:t>
      </w:r>
    </w:p>
    <w:p w14:paraId="4584E512" w14:textId="783BE157" w:rsidR="00AE6B39" w:rsidRPr="007A3506" w:rsidRDefault="00AE6B39" w:rsidP="00AE6B39">
      <w:pPr>
        <w:pStyle w:val="Heading3"/>
        <w:rPr>
          <w:rFonts w:asciiTheme="minorHAnsi" w:hAnsiTheme="minorHAnsi" w:cstheme="minorHAnsi"/>
        </w:rPr>
      </w:pPr>
      <w:bookmarkStart w:id="117" w:name="_Toc138428304"/>
      <w:bookmarkStart w:id="118" w:name="_Toc1658018510"/>
      <w:bookmarkStart w:id="119" w:name="_Toc139261468"/>
      <w:r w:rsidRPr="007A3506">
        <w:rPr>
          <w:rFonts w:asciiTheme="minorHAnsi" w:hAnsiTheme="minorHAnsi" w:cstheme="minorHAnsi"/>
        </w:rPr>
        <w:lastRenderedPageBreak/>
        <w:t xml:space="preserve">3.6.5 Regulatory </w:t>
      </w:r>
      <w:r w:rsidR="00610D72" w:rsidRPr="007A3506">
        <w:rPr>
          <w:rFonts w:asciiTheme="minorHAnsi" w:hAnsiTheme="minorHAnsi" w:cstheme="minorHAnsi"/>
        </w:rPr>
        <w:t>S</w:t>
      </w:r>
      <w:r w:rsidRPr="007A3506">
        <w:rPr>
          <w:rFonts w:asciiTheme="minorHAnsi" w:hAnsiTheme="minorHAnsi" w:cstheme="minorHAnsi"/>
        </w:rPr>
        <w:t>tewardship</w:t>
      </w:r>
      <w:bookmarkEnd w:id="117"/>
      <w:bookmarkEnd w:id="118"/>
      <w:bookmarkEnd w:id="119"/>
    </w:p>
    <w:p w14:paraId="4BB2C6C1" w14:textId="751DBDDC" w:rsidR="00AE6B39" w:rsidRPr="007A3506" w:rsidRDefault="00AE6B39" w:rsidP="00AE6B39">
      <w:pPr>
        <w:rPr>
          <w:rFonts w:cstheme="minorHAnsi"/>
        </w:rPr>
      </w:pPr>
      <w:r w:rsidRPr="007A3506">
        <w:rPr>
          <w:rFonts w:cstheme="minorHAnsi"/>
        </w:rPr>
        <w:t xml:space="preserve">The </w:t>
      </w:r>
      <w:r w:rsidR="009D51F4" w:rsidRPr="007A3506">
        <w:rPr>
          <w:rFonts w:cstheme="minorHAnsi"/>
        </w:rPr>
        <w:t>CW</w:t>
      </w:r>
      <w:r w:rsidRPr="007A3506">
        <w:rPr>
          <w:rFonts w:cstheme="minorHAnsi"/>
        </w:rPr>
        <w:t xml:space="preserve"> Government intends to enshrine the concept of regulatory stewardship into the Public Sector Act.</w:t>
      </w:r>
      <w:r w:rsidR="004B7971" w:rsidRPr="007A3506">
        <w:rPr>
          <w:rFonts w:cstheme="minorHAnsi"/>
        </w:rPr>
        <w:t xml:space="preserve"> </w:t>
      </w:r>
    </w:p>
    <w:p w14:paraId="247FC171" w14:textId="7A13841C" w:rsidR="00AE6B39" w:rsidRPr="007A3506" w:rsidRDefault="00AE6B39" w:rsidP="00AE6B39">
      <w:pPr>
        <w:rPr>
          <w:rFonts w:cstheme="minorHAnsi"/>
        </w:rPr>
      </w:pPr>
      <w:r w:rsidRPr="007A3506">
        <w:rPr>
          <w:rFonts w:cstheme="minorHAnsi"/>
        </w:rPr>
        <w:t>Regulatory stewardship means adopting a whole-of-system, practice, collaborative, and long-term approach to regulation, that can anticipate, and respond to change over time. Its goal is to ensure that regulatory systems remain fit for purpose over the long term.</w:t>
      </w:r>
      <w:r w:rsidR="004B7971" w:rsidRPr="007A3506">
        <w:rPr>
          <w:rFonts w:cstheme="minorHAnsi"/>
        </w:rPr>
        <w:t xml:space="preserve"> </w:t>
      </w:r>
      <w:r w:rsidRPr="007A3506">
        <w:rPr>
          <w:rFonts w:cstheme="minorHAnsi"/>
        </w:rPr>
        <w:t>The intention is to improve</w:t>
      </w:r>
      <w:r w:rsidRPr="007A3506">
        <w:rPr>
          <w:rFonts w:cstheme="minorHAnsi"/>
          <w:color w:val="212529"/>
          <w:spacing w:val="-5"/>
          <w:shd w:val="clear" w:color="auto" w:fill="FFFFFF"/>
        </w:rPr>
        <w:t xml:space="preserve"> </w:t>
      </w:r>
      <w:r w:rsidRPr="007A3506">
        <w:rPr>
          <w:rFonts w:cstheme="minorHAnsi"/>
        </w:rPr>
        <w:t>regulator performance, capability and culture through regulatory stewardship. </w:t>
      </w:r>
    </w:p>
    <w:p w14:paraId="3915F0DB" w14:textId="71174DC4" w:rsidR="003D142C" w:rsidRPr="007A3506" w:rsidRDefault="003D142C" w:rsidP="003D142C">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E544C3" w:rsidRPr="007A3506">
        <w:rPr>
          <w:rFonts w:asciiTheme="minorHAnsi" w:hAnsiTheme="minorHAnsi" w:cstheme="minorHAnsi"/>
        </w:rPr>
        <w:t>3</w:t>
      </w:r>
      <w:r w:rsidR="008C2542" w:rsidRPr="007A3506">
        <w:rPr>
          <w:rFonts w:asciiTheme="minorHAnsi" w:hAnsiTheme="minorHAnsi" w:cstheme="minorHAnsi"/>
        </w:rPr>
        <w:t>5</w:t>
      </w:r>
    </w:p>
    <w:p w14:paraId="19C5DCD3" w14:textId="3B78E374" w:rsidR="003D142C" w:rsidRPr="007A3506" w:rsidRDefault="003D142C" w:rsidP="003D142C">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Are changes to the functions of the FSC or to the requirements of the Scheme necessary to support </w:t>
      </w:r>
      <w:r w:rsidR="004A52EE" w:rsidRPr="007A3506">
        <w:rPr>
          <w:rFonts w:cstheme="minorHAnsi"/>
        </w:rPr>
        <w:t>the regulatory stewardship approach</w:t>
      </w:r>
      <w:r w:rsidRPr="007A3506">
        <w:rPr>
          <w:rFonts w:cstheme="minorHAnsi"/>
        </w:rPr>
        <w:t xml:space="preserve"> to </w:t>
      </w:r>
      <w:r w:rsidR="004A52EE" w:rsidRPr="007A3506">
        <w:rPr>
          <w:rFonts w:cstheme="minorHAnsi"/>
        </w:rPr>
        <w:t>regulation?</w:t>
      </w:r>
      <w:r w:rsidR="004B7971" w:rsidRPr="007A3506">
        <w:rPr>
          <w:rFonts w:cstheme="minorHAnsi"/>
        </w:rPr>
        <w:t xml:space="preserve"> </w:t>
      </w:r>
      <w:r w:rsidRPr="007A3506">
        <w:rPr>
          <w:rFonts w:cstheme="minorHAnsi"/>
        </w:rPr>
        <w:t xml:space="preserve">If yes, what </w:t>
      </w:r>
      <w:r w:rsidR="004A52EE" w:rsidRPr="007A3506">
        <w:rPr>
          <w:rFonts w:cstheme="minorHAnsi"/>
        </w:rPr>
        <w:t>are those changes?</w:t>
      </w:r>
    </w:p>
    <w:p w14:paraId="6E4DFDA8" w14:textId="3D3E3C8D" w:rsidR="00B2536D" w:rsidRPr="007A3506" w:rsidRDefault="00B2536D" w:rsidP="0031767C">
      <w:pPr>
        <w:rPr>
          <w:rFonts w:cstheme="minorHAnsi"/>
        </w:rPr>
      </w:pPr>
      <w:bookmarkStart w:id="120" w:name="_Toc138428305"/>
    </w:p>
    <w:p w14:paraId="0AE53462" w14:textId="594CB1CD" w:rsidR="00AE4C22" w:rsidRPr="007A3506" w:rsidRDefault="00AE4C22" w:rsidP="00AE4C22">
      <w:pPr>
        <w:pStyle w:val="Heading2"/>
        <w:rPr>
          <w:rFonts w:asciiTheme="minorHAnsi" w:hAnsiTheme="minorHAnsi" w:cstheme="minorHAnsi"/>
        </w:rPr>
      </w:pPr>
      <w:bookmarkStart w:id="121" w:name="_Toc162412341"/>
      <w:bookmarkStart w:id="122" w:name="_Toc139261469"/>
      <w:r w:rsidRPr="007A3506">
        <w:rPr>
          <w:rFonts w:asciiTheme="minorHAnsi" w:hAnsiTheme="minorHAnsi" w:cstheme="minorHAnsi"/>
        </w:rPr>
        <w:t>3.7 Expansion</w:t>
      </w:r>
      <w:bookmarkEnd w:id="120"/>
      <w:bookmarkEnd w:id="121"/>
      <w:bookmarkEnd w:id="122"/>
    </w:p>
    <w:p w14:paraId="18BD9D08" w14:textId="49532943" w:rsidR="00AE4C22" w:rsidRPr="007A3506" w:rsidRDefault="00AE4C22" w:rsidP="00AE4C22">
      <w:pPr>
        <w:rPr>
          <w:rFonts w:cstheme="minorHAnsi"/>
        </w:rPr>
      </w:pPr>
      <w:r w:rsidRPr="007A3506">
        <w:rPr>
          <w:rFonts w:cstheme="minorHAnsi"/>
        </w:rPr>
        <w:t>Any consideration of the expansion of the Scheme inevitably leads to a consideration of whether there should be an expansion within the building and construction industry itself.</w:t>
      </w:r>
      <w:r w:rsidR="00A36944" w:rsidRPr="007A3506">
        <w:rPr>
          <w:rStyle w:val="FootnoteReference"/>
          <w:rFonts w:cstheme="minorHAnsi"/>
        </w:rPr>
        <w:footnoteReference w:id="50"/>
      </w:r>
    </w:p>
    <w:p w14:paraId="0DE41F75" w14:textId="7DF85795" w:rsidR="00AE4C22" w:rsidRPr="007A3506" w:rsidRDefault="00AE4C22" w:rsidP="00AE4C22">
      <w:pPr>
        <w:rPr>
          <w:rFonts w:cstheme="minorHAnsi"/>
        </w:rPr>
      </w:pPr>
      <w:r w:rsidRPr="007A3506">
        <w:rPr>
          <w:rFonts w:cstheme="minorHAnsi"/>
        </w:rPr>
        <w:t>The Royal Commission contemplated that over time the Scheme might expand to sub-contractors:</w:t>
      </w:r>
    </w:p>
    <w:p w14:paraId="03977338" w14:textId="1B800568" w:rsidR="00AE4C22" w:rsidRPr="007A3506" w:rsidRDefault="00AE4C22" w:rsidP="00930476">
      <w:pPr>
        <w:ind w:left="720"/>
        <w:rPr>
          <w:rFonts w:cstheme="minorHAnsi"/>
        </w:rPr>
      </w:pPr>
      <w:r w:rsidRPr="007A3506">
        <w:rPr>
          <w:rFonts w:cstheme="minorHAnsi"/>
          <w:i/>
          <w:iCs/>
        </w:rPr>
        <w:t>Once the scheme is bedded down it might be extended to smaller builders and major subcontractors and so on.</w:t>
      </w:r>
      <w:r w:rsidR="004B7971" w:rsidRPr="007A3506">
        <w:rPr>
          <w:rFonts w:cstheme="minorHAnsi"/>
          <w:i/>
          <w:iCs/>
        </w:rPr>
        <w:t xml:space="preserve"> </w:t>
      </w:r>
      <w:r w:rsidRPr="007A3506">
        <w:rPr>
          <w:rFonts w:cstheme="minorHAnsi"/>
          <w:i/>
          <w:iCs/>
        </w:rPr>
        <w:t>The evolution of the Scheme will in turn take account of the particular hazards which the consultation process … will identify.</w:t>
      </w:r>
      <w:r w:rsidR="004B7971" w:rsidRPr="007A3506">
        <w:rPr>
          <w:rFonts w:cstheme="minorHAnsi"/>
          <w:i/>
          <w:iCs/>
        </w:rPr>
        <w:t xml:space="preserve"> </w:t>
      </w:r>
      <w:r w:rsidRPr="007A3506">
        <w:rPr>
          <w:rFonts w:cstheme="minorHAnsi"/>
          <w:i/>
          <w:iCs/>
        </w:rPr>
        <w:t>Thus, the scheme might be extended at an early time to subcontractors whose work exposes them to those particular hazards</w:t>
      </w:r>
      <w:r w:rsidRPr="007A3506">
        <w:rPr>
          <w:rFonts w:cstheme="minorHAnsi"/>
        </w:rPr>
        <w:t>.</w:t>
      </w:r>
      <w:r w:rsidRPr="007A3506">
        <w:rPr>
          <w:rStyle w:val="FootnoteReference"/>
          <w:rFonts w:cstheme="minorHAnsi"/>
        </w:rPr>
        <w:footnoteReference w:id="51"/>
      </w:r>
    </w:p>
    <w:p w14:paraId="61D219EF" w14:textId="257BFD21" w:rsidR="009C75DF" w:rsidRPr="007A3506" w:rsidRDefault="009C75DF" w:rsidP="009C75DF">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8C2542" w:rsidRPr="007A3506">
        <w:rPr>
          <w:rFonts w:asciiTheme="minorHAnsi" w:hAnsiTheme="minorHAnsi" w:cstheme="minorHAnsi"/>
        </w:rPr>
        <w:t>36</w:t>
      </w:r>
    </w:p>
    <w:p w14:paraId="5439D04C" w14:textId="1C0DBC0B" w:rsidR="009C75DF" w:rsidRPr="007A3506" w:rsidRDefault="00DA180E" w:rsidP="009C75DF">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Should the Scheme be expanded to cover sub-contractors as contemplated by the Royal Commission?</w:t>
      </w:r>
    </w:p>
    <w:p w14:paraId="4398D308" w14:textId="7FDDAB53" w:rsidR="00493858" w:rsidRPr="007A3506" w:rsidRDefault="00493858" w:rsidP="00493858">
      <w:pPr>
        <w:rPr>
          <w:rFonts w:cstheme="minorHAnsi"/>
        </w:rPr>
      </w:pPr>
      <w:r w:rsidRPr="007A3506">
        <w:rPr>
          <w:rFonts w:cstheme="minorHAnsi"/>
        </w:rPr>
        <w:t>Expanding the Scheme to other industries raises questions about how they might be identified, what special requirements might be relevant to meet the particular WHS challenges of the industry and what impact expansion would have on the ability of the FSC to continue its work in the building and construction industry.</w:t>
      </w:r>
      <w:r w:rsidR="004B7971" w:rsidRPr="007A3506">
        <w:rPr>
          <w:rFonts w:cstheme="minorHAnsi"/>
        </w:rPr>
        <w:t xml:space="preserve"> </w:t>
      </w:r>
    </w:p>
    <w:p w14:paraId="53E18BD7" w14:textId="3296FB52" w:rsidR="002B6860" w:rsidRPr="007A3506" w:rsidRDefault="002B6860" w:rsidP="002B6860">
      <w:pPr>
        <w:rPr>
          <w:rFonts w:cstheme="minorHAnsi"/>
        </w:rPr>
      </w:pPr>
      <w:r w:rsidRPr="007A3506">
        <w:rPr>
          <w:rFonts w:cstheme="minorHAnsi"/>
        </w:rPr>
        <w:t>Industries which receive significant CW funding include Defence, Health and IT noting that health care and social assistance and public administration and safety are currently considered high risk industrie</w:t>
      </w:r>
      <w:r w:rsidR="2F7AC0D4" w:rsidRPr="007A3506">
        <w:rPr>
          <w:rFonts w:cstheme="minorHAnsi"/>
        </w:rPr>
        <w:t>s</w:t>
      </w:r>
      <w:r w:rsidR="62238B42" w:rsidRPr="007A3506">
        <w:rPr>
          <w:rFonts w:cstheme="minorHAnsi"/>
        </w:rPr>
        <w:t xml:space="preserve"> from a WHS perspective</w:t>
      </w:r>
      <w:r w:rsidRPr="007A3506">
        <w:rPr>
          <w:rFonts w:cstheme="minorHAnsi"/>
        </w:rPr>
        <w:t>.</w:t>
      </w:r>
      <w:r w:rsidRPr="007A3506">
        <w:rPr>
          <w:rStyle w:val="FootnoteReference"/>
          <w:rFonts w:cstheme="minorHAnsi"/>
        </w:rPr>
        <w:footnoteReference w:id="52"/>
      </w:r>
    </w:p>
    <w:p w14:paraId="5D4DA357" w14:textId="10A9CBA5" w:rsidR="00002D5A" w:rsidRPr="007A3506" w:rsidRDefault="00002D5A" w:rsidP="00493858">
      <w:pPr>
        <w:rPr>
          <w:rFonts w:cstheme="minorHAnsi"/>
        </w:rPr>
      </w:pPr>
      <w:r w:rsidRPr="007A3506">
        <w:rPr>
          <w:rFonts w:cstheme="minorHAnsi"/>
        </w:rPr>
        <w:lastRenderedPageBreak/>
        <w:t xml:space="preserve">It is important to note that no other industry representatives have been consulted </w:t>
      </w:r>
      <w:r w:rsidR="00F973D3" w:rsidRPr="007A3506">
        <w:rPr>
          <w:rFonts w:cstheme="minorHAnsi"/>
        </w:rPr>
        <w:t xml:space="preserve">to inform this discussion paper </w:t>
      </w:r>
      <w:r w:rsidRPr="007A3506">
        <w:rPr>
          <w:rFonts w:cstheme="minorHAnsi"/>
        </w:rPr>
        <w:t>beyond the building and construction industry.</w:t>
      </w:r>
      <w:r w:rsidR="00893078" w:rsidRPr="007A3506">
        <w:rPr>
          <w:rFonts w:cstheme="minorHAnsi"/>
        </w:rPr>
        <w:t xml:space="preserve"> </w:t>
      </w:r>
      <w:r w:rsidR="009E385E" w:rsidRPr="007A3506">
        <w:rPr>
          <w:rFonts w:cstheme="minorHAnsi"/>
        </w:rPr>
        <w:t>I have therefore not suggested any specific expansion in this Discussion Paper but welcome views and responses to questions 3</w:t>
      </w:r>
      <w:r w:rsidR="004E49A8">
        <w:rPr>
          <w:rFonts w:cstheme="minorHAnsi"/>
        </w:rPr>
        <w:t>7</w:t>
      </w:r>
      <w:r w:rsidR="009E385E" w:rsidRPr="007A3506">
        <w:rPr>
          <w:rFonts w:cstheme="minorHAnsi"/>
        </w:rPr>
        <w:t xml:space="preserve"> and 3</w:t>
      </w:r>
      <w:r w:rsidR="004E49A8">
        <w:rPr>
          <w:rFonts w:cstheme="minorHAnsi"/>
        </w:rPr>
        <w:t>8</w:t>
      </w:r>
      <w:r w:rsidR="009E385E" w:rsidRPr="007A3506">
        <w:rPr>
          <w:rFonts w:cstheme="minorHAnsi"/>
        </w:rPr>
        <w:t>.</w:t>
      </w:r>
      <w:r w:rsidR="00893078" w:rsidRPr="007A3506">
        <w:rPr>
          <w:rFonts w:cstheme="minorHAnsi"/>
        </w:rPr>
        <w:t xml:space="preserve"> </w:t>
      </w:r>
    </w:p>
    <w:p w14:paraId="737F00D0" w14:textId="4BE51B46" w:rsidR="00493858" w:rsidRPr="007A3506" w:rsidRDefault="00493858" w:rsidP="00493858">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8C2542" w:rsidRPr="007A3506">
        <w:rPr>
          <w:rFonts w:asciiTheme="minorHAnsi" w:hAnsiTheme="minorHAnsi" w:cstheme="minorHAnsi"/>
        </w:rPr>
        <w:t>37</w:t>
      </w:r>
    </w:p>
    <w:p w14:paraId="71533D3E" w14:textId="582BEB4B" w:rsidR="00514C20" w:rsidRPr="007A3506" w:rsidRDefault="00514C20" w:rsidP="00514C20">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Does the safety performance of other industries </w:t>
      </w:r>
      <w:r w:rsidR="00E03451" w:rsidRPr="007A3506">
        <w:rPr>
          <w:rFonts w:cstheme="minorHAnsi"/>
        </w:rPr>
        <w:t xml:space="preserve">(including emerging industries) </w:t>
      </w:r>
      <w:r w:rsidRPr="007A3506">
        <w:rPr>
          <w:rFonts w:cstheme="minorHAnsi"/>
        </w:rPr>
        <w:t>which receive CW funding warrant expanding the Scheme?</w:t>
      </w:r>
      <w:r w:rsidR="004B7971" w:rsidRPr="007A3506">
        <w:rPr>
          <w:rFonts w:cstheme="minorHAnsi"/>
        </w:rPr>
        <w:t xml:space="preserve"> </w:t>
      </w:r>
      <w:r w:rsidRPr="007A3506">
        <w:rPr>
          <w:rFonts w:cstheme="minorHAnsi"/>
        </w:rPr>
        <w:t>If yes, which industries and why?</w:t>
      </w:r>
    </w:p>
    <w:p w14:paraId="5470E9FE" w14:textId="7E82B160" w:rsidR="00930476" w:rsidRPr="007A3506" w:rsidRDefault="00930476" w:rsidP="00930476">
      <w:pPr>
        <w:pStyle w:val="Heading6"/>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asciiTheme="minorHAnsi" w:hAnsiTheme="minorHAnsi" w:cstheme="minorHAnsi"/>
        </w:rPr>
      </w:pPr>
      <w:r w:rsidRPr="007A3506">
        <w:rPr>
          <w:rFonts w:asciiTheme="minorHAnsi" w:hAnsiTheme="minorHAnsi" w:cstheme="minorHAnsi"/>
        </w:rPr>
        <w:t xml:space="preserve">Question </w:t>
      </w:r>
      <w:r w:rsidR="008C2542" w:rsidRPr="007A3506">
        <w:rPr>
          <w:rFonts w:asciiTheme="minorHAnsi" w:hAnsiTheme="minorHAnsi" w:cstheme="minorHAnsi"/>
        </w:rPr>
        <w:t>38</w:t>
      </w:r>
    </w:p>
    <w:p w14:paraId="61D63B37" w14:textId="7891EB2D" w:rsidR="00930476" w:rsidRPr="007A3506" w:rsidRDefault="00930476" w:rsidP="00514C20">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What, if any, changes to the FSC‘s operations would be required by the expansion of the Scheme to other industries?</w:t>
      </w:r>
    </w:p>
    <w:p w14:paraId="4D40B2AE" w14:textId="77777777" w:rsidR="00930476" w:rsidRPr="007A3506" w:rsidRDefault="00930476" w:rsidP="00930476">
      <w:pPr>
        <w:rPr>
          <w:rFonts w:cstheme="minorHAnsi"/>
        </w:rPr>
      </w:pPr>
    </w:p>
    <w:p w14:paraId="17C6091D" w14:textId="77777777" w:rsidR="00930476" w:rsidRPr="007A3506" w:rsidRDefault="00930476" w:rsidP="00930476">
      <w:pPr>
        <w:rPr>
          <w:rFonts w:cstheme="minorHAnsi"/>
        </w:rPr>
      </w:pPr>
    </w:p>
    <w:p w14:paraId="45773091" w14:textId="308631F8" w:rsidR="00930476" w:rsidRPr="007A3506" w:rsidRDefault="00930476" w:rsidP="00930476">
      <w:pPr>
        <w:rPr>
          <w:rFonts w:cstheme="minorHAnsi"/>
        </w:rPr>
      </w:pPr>
    </w:p>
    <w:p w14:paraId="5B358744" w14:textId="77777777" w:rsidR="000E5725" w:rsidRPr="007A3506" w:rsidRDefault="000E5725">
      <w:pPr>
        <w:spacing w:after="160" w:line="259" w:lineRule="auto"/>
        <w:rPr>
          <w:rFonts w:eastAsiaTheme="majorEastAsia" w:cstheme="minorHAnsi"/>
          <w:b/>
          <w:color w:val="BF5A50" w:themeColor="accent5"/>
          <w:sz w:val="32"/>
          <w:szCs w:val="32"/>
        </w:rPr>
      </w:pPr>
      <w:bookmarkStart w:id="123" w:name="_Toc42892478"/>
      <w:bookmarkStart w:id="124" w:name="_Toc138428306"/>
      <w:r w:rsidRPr="007A3506">
        <w:rPr>
          <w:rFonts w:cstheme="minorHAnsi"/>
        </w:rPr>
        <w:br w:type="page"/>
      </w:r>
    </w:p>
    <w:p w14:paraId="7E0E7356" w14:textId="73AD7687" w:rsidR="000604AD" w:rsidRPr="007A3506" w:rsidRDefault="00AC4752" w:rsidP="000604AD">
      <w:pPr>
        <w:pStyle w:val="Heading1"/>
        <w:rPr>
          <w:rFonts w:asciiTheme="minorHAnsi" w:hAnsiTheme="minorHAnsi" w:cstheme="minorHAnsi"/>
        </w:rPr>
      </w:pPr>
      <w:bookmarkStart w:id="125" w:name="_4._List_of"/>
      <w:bookmarkStart w:id="126" w:name="_Toc139261470"/>
      <w:bookmarkEnd w:id="125"/>
      <w:r w:rsidRPr="007A3506">
        <w:rPr>
          <w:rFonts w:asciiTheme="minorHAnsi" w:hAnsiTheme="minorHAnsi" w:cstheme="minorHAnsi"/>
          <w:noProof/>
        </w:rPr>
        <w:lastRenderedPageBreak/>
        <w:drawing>
          <wp:anchor distT="0" distB="0" distL="114300" distR="114300" simplePos="0" relativeHeight="251660298" behindDoc="1" locked="0" layoutInCell="1" allowOverlap="1" wp14:anchorId="60A906A9" wp14:editId="4E3BBF87">
            <wp:simplePos x="0" y="0"/>
            <wp:positionH relativeFrom="page">
              <wp:posOffset>1270</wp:posOffset>
            </wp:positionH>
            <wp:positionV relativeFrom="page">
              <wp:posOffset>1208</wp:posOffset>
            </wp:positionV>
            <wp:extent cx="7548244" cy="6843397"/>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05" name="Picture 17">
                      <a:extLst>
                        <a:ext uri="{C183D7F6-B498-43B3-948B-1728B52AA6E4}">
                          <adec:decorative xmlns:adec="http://schemas.microsoft.com/office/drawing/2017/decorative" val="1"/>
                        </a:ext>
                      </a:extLst>
                    </pic:cNvPr>
                    <pic:cNvPicPr/>
                  </pic:nvPicPr>
                  <pic:blipFill>
                    <a:blip r:embed="rId10">
                      <a:extLst>
                        <a:ext uri="{C183D7F6-B498-43B3-948B-1728B52AA6E4}">
                          <adec:decorative xmlns:arto="http://schemas.microsoft.com/office/word/2006/arto" xmlns:adec="http://schemas.microsoft.com/office/drawing/2017/decorative"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1"/>
                        </a:ext>
                      </a:extLst>
                    </a:blip>
                    <a:srcRect b="35900"/>
                    <a:stretch>
                      <a:fillRect/>
                    </a:stretch>
                  </pic:blipFill>
                  <pic:spPr>
                    <a:xfrm>
                      <a:off x="0" y="0"/>
                      <a:ext cx="7548244" cy="6843397"/>
                    </a:xfrm>
                    <a:prstGeom prst="rect">
                      <a:avLst/>
                    </a:prstGeom>
                  </pic:spPr>
                </pic:pic>
              </a:graphicData>
            </a:graphic>
            <wp14:sizeRelH relativeFrom="page">
              <wp14:pctWidth>0</wp14:pctWidth>
            </wp14:sizeRelH>
            <wp14:sizeRelV relativeFrom="page">
              <wp14:pctHeight>0</wp14:pctHeight>
            </wp14:sizeRelV>
          </wp:anchor>
        </w:drawing>
      </w:r>
      <w:r w:rsidR="00B62693" w:rsidRPr="007A3506">
        <w:rPr>
          <w:rFonts w:asciiTheme="minorHAnsi" w:hAnsiTheme="minorHAnsi" w:cstheme="minorHAnsi"/>
          <w:noProof/>
        </w:rPr>
        <w:drawing>
          <wp:anchor distT="0" distB="0" distL="114300" distR="114300" simplePos="0" relativeHeight="251658249" behindDoc="1" locked="0" layoutInCell="1" allowOverlap="1" wp14:anchorId="545D3832" wp14:editId="6E8346C7">
            <wp:simplePos x="0" y="0"/>
            <wp:positionH relativeFrom="page">
              <wp:posOffset>1270</wp:posOffset>
            </wp:positionH>
            <wp:positionV relativeFrom="page">
              <wp:posOffset>635</wp:posOffset>
            </wp:positionV>
            <wp:extent cx="7548244" cy="6843397"/>
            <wp:effectExtent l="0" t="0" r="0" b="0"/>
            <wp:wrapNone/>
            <wp:docPr id="13811805" name="Picture 138118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05" name="Picture 17">
                      <a:extLst>
                        <a:ext uri="{C183D7F6-B498-43B3-948B-1728B52AA6E4}">
                          <adec:decorative xmlns:adec="http://schemas.microsoft.com/office/drawing/2017/decorative" val="1"/>
                        </a:ext>
                      </a:extLst>
                    </pic:cNvPr>
                    <pic:cNvPicPr/>
                  </pic:nvPicPr>
                  <pic:blipFill>
                    <a:blip r:embed="rId10">
                      <a:extLst>
                        <a:ext uri="{C183D7F6-B498-43B3-948B-1728B52AA6E4}">
                          <adec:decorative xmlns:arto="http://schemas.microsoft.com/office/word/2006/arto" xmlns:adec="http://schemas.microsoft.com/office/drawing/2017/decorative"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1"/>
                        </a:ext>
                      </a:extLst>
                    </a:blip>
                    <a:srcRect b="35900"/>
                    <a:stretch>
                      <a:fillRect/>
                    </a:stretch>
                  </pic:blipFill>
                  <pic:spPr>
                    <a:xfrm>
                      <a:off x="0" y="0"/>
                      <a:ext cx="7548244" cy="6843397"/>
                    </a:xfrm>
                    <a:prstGeom prst="rect">
                      <a:avLst/>
                    </a:prstGeom>
                  </pic:spPr>
                </pic:pic>
              </a:graphicData>
            </a:graphic>
            <wp14:sizeRelH relativeFrom="page">
              <wp14:pctWidth>0</wp14:pctWidth>
            </wp14:sizeRelH>
            <wp14:sizeRelV relativeFrom="page">
              <wp14:pctHeight>0</wp14:pctHeight>
            </wp14:sizeRelV>
          </wp:anchor>
        </w:drawing>
      </w:r>
      <w:r w:rsidR="00E001BE" w:rsidRPr="007A3506">
        <w:rPr>
          <w:rFonts w:asciiTheme="minorHAnsi" w:hAnsiTheme="minorHAnsi" w:cstheme="minorHAnsi"/>
          <w:noProof/>
        </w:rPr>
        <w:drawing>
          <wp:anchor distT="0" distB="0" distL="114300" distR="114300" simplePos="0" relativeHeight="251658250" behindDoc="1" locked="0" layoutInCell="1" allowOverlap="1" wp14:anchorId="6B584648" wp14:editId="7C56AFF2">
            <wp:simplePos x="0" y="0"/>
            <wp:positionH relativeFrom="page">
              <wp:posOffset>-498475</wp:posOffset>
            </wp:positionH>
            <wp:positionV relativeFrom="page">
              <wp:align>top</wp:align>
            </wp:positionV>
            <wp:extent cx="7547610" cy="6843395"/>
            <wp:effectExtent l="0" t="0" r="0" b="0"/>
            <wp:wrapNone/>
            <wp:docPr id="1193492559" name="Picture 1193492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92559" name="Picture 16">
                      <a:extLst>
                        <a:ext uri="{C183D7F6-B498-43B3-948B-1728B52AA6E4}">
                          <adec:decorative xmlns:adec="http://schemas.microsoft.com/office/drawing/2017/decorative" val="1"/>
                        </a:ext>
                      </a:extLst>
                    </pic:cNvPr>
                    <pic:cNvPicPr/>
                  </pic:nvPicPr>
                  <pic:blipFill>
                    <a:blip r:embed="rId10">
                      <a:extLst>
                        <a:ext uri="{C183D7F6-B498-43B3-948B-1728B52AA6E4}">
                          <adec:decorative xmlns:arto="http://schemas.microsoft.com/office/word/2006/arto" xmlns:adec="http://schemas.microsoft.com/office/drawing/2017/decorative" xmlns:c="http://schemas.openxmlformats.org/drawingml/2006/chart"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val="1"/>
                        </a:ext>
                      </a:extLst>
                    </a:blip>
                    <a:srcRect b="35900"/>
                    <a:stretch>
                      <a:fillRect/>
                    </a:stretch>
                  </pic:blipFill>
                  <pic:spPr>
                    <a:xfrm>
                      <a:off x="0" y="0"/>
                      <a:ext cx="7547610" cy="6843395"/>
                    </a:xfrm>
                    <a:prstGeom prst="rect">
                      <a:avLst/>
                    </a:prstGeom>
                  </pic:spPr>
                </pic:pic>
              </a:graphicData>
            </a:graphic>
            <wp14:sizeRelH relativeFrom="page">
              <wp14:pctWidth>0</wp14:pctWidth>
            </wp14:sizeRelH>
            <wp14:sizeRelV relativeFrom="page">
              <wp14:pctHeight>0</wp14:pctHeight>
            </wp14:sizeRelV>
          </wp:anchor>
        </w:drawing>
      </w:r>
      <w:r w:rsidR="000604AD" w:rsidRPr="007A3506">
        <w:rPr>
          <w:rFonts w:asciiTheme="minorHAnsi" w:hAnsiTheme="minorHAnsi" w:cstheme="minorHAnsi"/>
        </w:rPr>
        <w:t>4</w:t>
      </w:r>
      <w:r w:rsidR="002315E9" w:rsidRPr="007A3506">
        <w:rPr>
          <w:rFonts w:asciiTheme="minorHAnsi" w:hAnsiTheme="minorHAnsi" w:cstheme="minorHAnsi"/>
        </w:rPr>
        <w:t>.</w:t>
      </w:r>
      <w:r w:rsidR="000604AD" w:rsidRPr="007A3506">
        <w:rPr>
          <w:rFonts w:asciiTheme="minorHAnsi" w:hAnsiTheme="minorHAnsi" w:cstheme="minorHAnsi"/>
        </w:rPr>
        <w:t xml:space="preserve"> List of Questions</w:t>
      </w:r>
      <w:bookmarkEnd w:id="123"/>
      <w:bookmarkEnd w:id="126"/>
      <w:r w:rsidR="000604AD" w:rsidRPr="007A3506">
        <w:rPr>
          <w:rFonts w:asciiTheme="minorHAnsi" w:hAnsiTheme="minorHAnsi" w:cstheme="minorHAnsi"/>
        </w:rPr>
        <w:t xml:space="preserve"> </w:t>
      </w:r>
      <w:bookmarkEnd w:id="124"/>
    </w:p>
    <w:p w14:paraId="7FCF2DA4" w14:textId="39BBCC78" w:rsidR="006D5CD6" w:rsidRPr="007A3506" w:rsidRDefault="006D5CD6" w:rsidP="005375F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p>
    <w:p w14:paraId="49260FA2" w14:textId="7A56AD93" w:rsidR="00981263" w:rsidRPr="007A3506" w:rsidRDefault="00024CFC" w:rsidP="00024CFC">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What evidence is there to demonstrate the Scheme has improved safety practices </w:t>
      </w:r>
      <w:r w:rsidR="00981263" w:rsidRPr="007A3506">
        <w:rPr>
          <w:rFonts w:cstheme="minorHAnsi"/>
        </w:rPr>
        <w:t>within accredited entities or across the building and construction industry more broadly?</w:t>
      </w:r>
      <w:r w:rsidR="00893078" w:rsidRPr="007A3506">
        <w:rPr>
          <w:rFonts w:cstheme="minorHAnsi"/>
        </w:rPr>
        <w:t xml:space="preserve"> </w:t>
      </w:r>
    </w:p>
    <w:p w14:paraId="42642108" w14:textId="63795DCF" w:rsidR="00024CFC" w:rsidRPr="007A3506" w:rsidRDefault="00DA075A" w:rsidP="005375F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105BB7" w:rsidRPr="007A3506">
        <w:rPr>
          <w:rFonts w:cstheme="minorHAnsi"/>
          <w:color w:val="214050"/>
        </w:rPr>
        <w:t>2</w:t>
      </w:r>
    </w:p>
    <w:p w14:paraId="0E2299BF" w14:textId="56FB85B5" w:rsidR="00E001BE" w:rsidRPr="007A3506" w:rsidRDefault="00E001BE" w:rsidP="00E001BE">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As a building industry participant observing a worksite, what are the signs, if any, that it is operated by an accredited entity?</w:t>
      </w:r>
    </w:p>
    <w:p w14:paraId="71B3335A" w14:textId="1572A924" w:rsidR="00EC080C" w:rsidRPr="007A3506" w:rsidRDefault="00EC080C" w:rsidP="005375F8">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BF796B" w:rsidRPr="007A3506">
        <w:rPr>
          <w:rFonts w:cstheme="minorHAnsi"/>
          <w:color w:val="214050"/>
        </w:rPr>
        <w:t>3</w:t>
      </w:r>
      <w:r w:rsidRPr="007A3506">
        <w:rPr>
          <w:rFonts w:cstheme="minorHAnsi"/>
          <w:color w:val="214050"/>
        </w:rPr>
        <w:t xml:space="preserve"> </w:t>
      </w:r>
    </w:p>
    <w:p w14:paraId="4F0608D9" w14:textId="05C19592" w:rsidR="00024CFC" w:rsidRPr="007A3506" w:rsidRDefault="00024CFC" w:rsidP="00C34BDC">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What is the difference (if any) between the requirements of the Scheme and obligations under</w:t>
      </w:r>
      <w:r w:rsidR="00374407" w:rsidRPr="007A3506">
        <w:rPr>
          <w:rFonts w:cstheme="minorHAnsi"/>
        </w:rPr>
        <w:t xml:space="preserve"> </w:t>
      </w:r>
      <w:r w:rsidRPr="007A3506">
        <w:rPr>
          <w:rFonts w:cstheme="minorHAnsi"/>
        </w:rPr>
        <w:t>WHS and workers compensation (for those who are self-insured) legislation?</w:t>
      </w:r>
    </w:p>
    <w:p w14:paraId="39FF1EFB" w14:textId="38497D24" w:rsidR="00024CFC" w:rsidRPr="007A3506" w:rsidRDefault="00024CFC" w:rsidP="00C34BDC">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BF796B" w:rsidRPr="007A3506">
        <w:rPr>
          <w:rFonts w:cstheme="minorHAnsi"/>
          <w:color w:val="214050"/>
        </w:rPr>
        <w:t>4</w:t>
      </w:r>
    </w:p>
    <w:p w14:paraId="143A586F" w14:textId="5E9E2622" w:rsidR="00024CFC" w:rsidRPr="007A3506" w:rsidRDefault="00024CFC" w:rsidP="00C34BDC">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If the Scheme no longer existed, do you think the WHS performance standards of currently</w:t>
      </w:r>
      <w:r w:rsidR="00CF79F5" w:rsidRPr="007A3506">
        <w:rPr>
          <w:rFonts w:cstheme="minorHAnsi"/>
        </w:rPr>
        <w:t xml:space="preserve"> </w:t>
      </w:r>
      <w:r w:rsidRPr="007A3506">
        <w:rPr>
          <w:rFonts w:cstheme="minorHAnsi"/>
        </w:rPr>
        <w:t xml:space="preserve">accredited </w:t>
      </w:r>
      <w:r w:rsidR="00A53580" w:rsidRPr="007A3506">
        <w:rPr>
          <w:rFonts w:cstheme="minorHAnsi"/>
        </w:rPr>
        <w:t>entitie</w:t>
      </w:r>
      <w:r w:rsidRPr="007A3506">
        <w:rPr>
          <w:rFonts w:cstheme="minorHAnsi"/>
        </w:rPr>
        <w:t xml:space="preserve">s would remain the same, reduce or improve? </w:t>
      </w:r>
    </w:p>
    <w:p w14:paraId="44A8BFE3" w14:textId="5CEC6970" w:rsidR="00EB2AF5" w:rsidRPr="007A3506" w:rsidRDefault="00EB2AF5" w:rsidP="00CF79F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BF796B" w:rsidRPr="007A3506">
        <w:rPr>
          <w:rFonts w:cstheme="minorHAnsi"/>
          <w:color w:val="214050"/>
        </w:rPr>
        <w:t>5</w:t>
      </w:r>
    </w:p>
    <w:p w14:paraId="712BB2EB" w14:textId="77777777" w:rsidR="007C2AEC" w:rsidRPr="007A3506" w:rsidRDefault="007C2AEC" w:rsidP="007C2AEC">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 the functions of the FSC remain appropriate given the changes that have occurred in the WHS environment and operating context of the building and construction industry since its establishment?</w:t>
      </w:r>
    </w:p>
    <w:p w14:paraId="76DEEFDE" w14:textId="321CCBD1" w:rsidR="004E6BF5" w:rsidRPr="007A3506" w:rsidRDefault="004E6BF5" w:rsidP="00CF79F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BF796B" w:rsidRPr="007A3506">
        <w:rPr>
          <w:rFonts w:cstheme="minorHAnsi"/>
          <w:color w:val="214050"/>
        </w:rPr>
        <w:t>6</w:t>
      </w:r>
    </w:p>
    <w:p w14:paraId="29C24CC7" w14:textId="31EBC2F3" w:rsidR="004E6BF5" w:rsidRPr="007A3506" w:rsidRDefault="004E6BF5" w:rsidP="00CF79F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How can the FSC’s audit functions support the model WHS Act’s policy objective of ensuring</w:t>
      </w:r>
      <w:r w:rsidR="00CF79F5" w:rsidRPr="007A3506">
        <w:rPr>
          <w:rFonts w:cstheme="minorHAnsi"/>
        </w:rPr>
        <w:t xml:space="preserve"> </w:t>
      </w:r>
      <w:r w:rsidRPr="007A3506">
        <w:rPr>
          <w:rFonts w:cstheme="minorHAnsi"/>
        </w:rPr>
        <w:t>genuine and effective consultation with workers?</w:t>
      </w:r>
    </w:p>
    <w:p w14:paraId="262808A6" w14:textId="18B32BA3" w:rsidR="004E6BF5" w:rsidRPr="007A3506" w:rsidRDefault="004E6BF5" w:rsidP="00CF79F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BF796B" w:rsidRPr="007A3506">
        <w:rPr>
          <w:rFonts w:cstheme="minorHAnsi"/>
          <w:color w:val="214050"/>
        </w:rPr>
        <w:t>7</w:t>
      </w:r>
    </w:p>
    <w:p w14:paraId="2D601CB6" w14:textId="7B4D74FE" w:rsidR="004E6BF5" w:rsidRPr="007A3506" w:rsidRDefault="004E6BF5" w:rsidP="00DA5BA9">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Should the FSC be increasing its education role and what would that look like in practice? </w:t>
      </w:r>
    </w:p>
    <w:p w14:paraId="383D206B" w14:textId="3AA77CC9" w:rsidR="004E6BF5" w:rsidRPr="007A3506" w:rsidRDefault="004E6BF5" w:rsidP="00CF79F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BF796B" w:rsidRPr="007A3506">
        <w:rPr>
          <w:rFonts w:cstheme="minorHAnsi"/>
          <w:color w:val="214050"/>
        </w:rPr>
        <w:t>8</w:t>
      </w:r>
    </w:p>
    <w:p w14:paraId="631AC4FB" w14:textId="2F02B33B" w:rsidR="004E6BF5" w:rsidRPr="007A3506" w:rsidRDefault="004E6BF5" w:rsidP="00CF79F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How can workers and their representatives be encouraged and supported to play an active role in</w:t>
      </w:r>
      <w:r w:rsidR="00563886" w:rsidRPr="007A3506">
        <w:rPr>
          <w:rFonts w:cstheme="minorHAnsi"/>
        </w:rPr>
        <w:t xml:space="preserve"> </w:t>
      </w:r>
      <w:r w:rsidRPr="007A3506">
        <w:rPr>
          <w:rFonts w:cstheme="minorHAnsi"/>
        </w:rPr>
        <w:t>the work of the FSC?</w:t>
      </w:r>
    </w:p>
    <w:p w14:paraId="63CC7D45" w14:textId="1ACD0E5F"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BF796B" w:rsidRPr="007A3506">
        <w:rPr>
          <w:rFonts w:cstheme="minorHAnsi"/>
          <w:color w:val="214050"/>
        </w:rPr>
        <w:t>9</w:t>
      </w:r>
    </w:p>
    <w:p w14:paraId="48807319" w14:textId="014A0483"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Is auditing compliance with National Construction Code performance requirements in relation to</w:t>
      </w:r>
      <w:r w:rsidR="00563886" w:rsidRPr="007A3506">
        <w:rPr>
          <w:rFonts w:cstheme="minorHAnsi"/>
        </w:rPr>
        <w:t xml:space="preserve"> </w:t>
      </w:r>
      <w:r w:rsidRPr="007A3506">
        <w:rPr>
          <w:rFonts w:cstheme="minorHAnsi"/>
        </w:rPr>
        <w:t>building materials an appropriate function for the FSC?</w:t>
      </w:r>
    </w:p>
    <w:p w14:paraId="3170E1F7" w14:textId="55721992"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r w:rsidR="00BF796B" w:rsidRPr="007A3506">
        <w:rPr>
          <w:rFonts w:cstheme="minorHAnsi"/>
          <w:color w:val="214050"/>
        </w:rPr>
        <w:t>0</w:t>
      </w:r>
    </w:p>
    <w:p w14:paraId="182FB5D2" w14:textId="45110910"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 the powers of the FSC remain appropriate to achieve the objectives of the Scheme? Are any</w:t>
      </w:r>
      <w:r w:rsidR="00563886" w:rsidRPr="007A3506">
        <w:rPr>
          <w:rFonts w:cstheme="minorHAnsi"/>
        </w:rPr>
        <w:t xml:space="preserve"> </w:t>
      </w:r>
      <w:r w:rsidRPr="007A3506">
        <w:rPr>
          <w:rFonts w:cstheme="minorHAnsi"/>
        </w:rPr>
        <w:t>other powers required?</w:t>
      </w:r>
    </w:p>
    <w:p w14:paraId="5012427F" w14:textId="19950F5A"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r w:rsidR="00BF796B" w:rsidRPr="007A3506">
        <w:rPr>
          <w:rFonts w:cstheme="minorHAnsi"/>
          <w:color w:val="214050"/>
        </w:rPr>
        <w:t>1</w:t>
      </w:r>
    </w:p>
    <w:p w14:paraId="643D0911" w14:textId="10F9893A"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What are the appropriate steps that should be taken by the FSC when a fatality occurs on an</w:t>
      </w:r>
      <w:r w:rsidR="00563886" w:rsidRPr="007A3506">
        <w:rPr>
          <w:rFonts w:cstheme="minorHAnsi"/>
        </w:rPr>
        <w:t xml:space="preserve"> </w:t>
      </w:r>
      <w:r w:rsidRPr="007A3506">
        <w:rPr>
          <w:rFonts w:cstheme="minorHAnsi"/>
        </w:rPr>
        <w:t>accredited entity’s worksite?</w:t>
      </w:r>
    </w:p>
    <w:p w14:paraId="2E1D0982" w14:textId="77777777" w:rsidR="007A560C" w:rsidRDefault="007A560C">
      <w:pPr>
        <w:spacing w:after="160" w:line="259" w:lineRule="auto"/>
        <w:rPr>
          <w:rFonts w:cstheme="minorHAnsi"/>
          <w:color w:val="214050"/>
        </w:rPr>
      </w:pPr>
      <w:r>
        <w:rPr>
          <w:rFonts w:cstheme="minorHAnsi"/>
          <w:color w:val="214050"/>
        </w:rPr>
        <w:br w:type="page"/>
      </w:r>
    </w:p>
    <w:p w14:paraId="793F62BC" w14:textId="5B21789D"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lastRenderedPageBreak/>
        <w:t>Question 1</w:t>
      </w:r>
      <w:r w:rsidR="00BF796B" w:rsidRPr="007A3506">
        <w:rPr>
          <w:rFonts w:cstheme="minorHAnsi"/>
          <w:color w:val="214050"/>
        </w:rPr>
        <w:t>2</w:t>
      </w:r>
    </w:p>
    <w:p w14:paraId="4BD712E6" w14:textId="0347EC42" w:rsidR="004E6BF5" w:rsidRPr="007A3506" w:rsidRDefault="004E6BF5"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What are the appropriate steps that should be taken by the FSC if an accredited entity is</w:t>
      </w:r>
      <w:r w:rsidR="00563886" w:rsidRPr="007A3506">
        <w:rPr>
          <w:rFonts w:cstheme="minorHAnsi"/>
        </w:rPr>
        <w:t xml:space="preserve"> </w:t>
      </w:r>
      <w:r w:rsidRPr="007A3506">
        <w:rPr>
          <w:rFonts w:cstheme="minorHAnsi"/>
        </w:rPr>
        <w:t>prosecuted and found guilty of a breach of WHS legislation?</w:t>
      </w:r>
    </w:p>
    <w:p w14:paraId="46A908A2" w14:textId="3D7B09DB" w:rsidR="004E6BF5" w:rsidRPr="007A3506" w:rsidRDefault="004D6476"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r w:rsidR="00BF796B" w:rsidRPr="007A3506">
        <w:rPr>
          <w:rFonts w:cstheme="minorHAnsi"/>
          <w:color w:val="214050"/>
        </w:rPr>
        <w:t>3</w:t>
      </w:r>
    </w:p>
    <w:p w14:paraId="50D88A3A" w14:textId="1B2089E3" w:rsidR="00F05D40" w:rsidRPr="007A3506" w:rsidRDefault="004D6476"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How can the FSC improve </w:t>
      </w:r>
      <w:r w:rsidR="004A4443" w:rsidRPr="007A3506">
        <w:rPr>
          <w:rFonts w:cstheme="minorHAnsi"/>
        </w:rPr>
        <w:t>Commonwealth funding entities’</w:t>
      </w:r>
      <w:r w:rsidRPr="007A3506">
        <w:rPr>
          <w:rFonts w:cstheme="minorHAnsi"/>
        </w:rPr>
        <w:t xml:space="preserve"> compliance with the Act?</w:t>
      </w:r>
    </w:p>
    <w:p w14:paraId="0AEFE5C3" w14:textId="14FDE319" w:rsidR="00F05D40" w:rsidRPr="007A3506" w:rsidRDefault="00F05D40"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r w:rsidR="00BF796B" w:rsidRPr="007A3506">
        <w:rPr>
          <w:rFonts w:cstheme="minorHAnsi"/>
          <w:color w:val="214050"/>
        </w:rPr>
        <w:t>4</w:t>
      </w:r>
    </w:p>
    <w:p w14:paraId="04E85A7B" w14:textId="60E34259" w:rsidR="00F05D40" w:rsidRPr="007A3506" w:rsidRDefault="00F05D40"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 xml:space="preserve">What powers should the FSC have to deal with </w:t>
      </w:r>
      <w:r w:rsidR="00A155C8" w:rsidRPr="007A3506">
        <w:rPr>
          <w:rFonts w:cstheme="minorHAnsi"/>
        </w:rPr>
        <w:t>compliance failures</w:t>
      </w:r>
      <w:r w:rsidRPr="007A3506">
        <w:rPr>
          <w:rFonts w:cstheme="minorHAnsi"/>
        </w:rPr>
        <w:t xml:space="preserve"> by CW, State and Territory</w:t>
      </w:r>
      <w:r w:rsidR="00563886" w:rsidRPr="007A3506">
        <w:rPr>
          <w:rFonts w:cstheme="minorHAnsi"/>
        </w:rPr>
        <w:t xml:space="preserve"> </w:t>
      </w:r>
      <w:r w:rsidR="00A155C8" w:rsidRPr="007A3506">
        <w:rPr>
          <w:rFonts w:cstheme="minorHAnsi"/>
        </w:rPr>
        <w:t>funding entities</w:t>
      </w:r>
      <w:r w:rsidRPr="007A3506">
        <w:rPr>
          <w:rFonts w:cstheme="minorHAnsi"/>
        </w:rPr>
        <w:t>?</w:t>
      </w:r>
    </w:p>
    <w:p w14:paraId="71427824" w14:textId="2DB3198F" w:rsidR="00F05D40" w:rsidRPr="007A3506" w:rsidRDefault="00F05D40" w:rsidP="00563886">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r w:rsidR="00BF796B" w:rsidRPr="007A3506">
        <w:rPr>
          <w:rFonts w:cstheme="minorHAnsi"/>
          <w:color w:val="214050"/>
        </w:rPr>
        <w:t>5</w:t>
      </w:r>
    </w:p>
    <w:p w14:paraId="617A3819" w14:textId="32B8E280" w:rsidR="00F05D40" w:rsidRPr="007A3506" w:rsidRDefault="00F05D40" w:rsidP="0027001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Do the powers of the FSOs remain appropriate to achieve the objectives of the Scheme?</w:t>
      </w:r>
      <w:r w:rsidR="00893078" w:rsidRPr="007A3506">
        <w:rPr>
          <w:rFonts w:cstheme="minorHAnsi"/>
        </w:rPr>
        <w:t xml:space="preserve"> </w:t>
      </w:r>
      <w:r w:rsidRPr="007A3506">
        <w:rPr>
          <w:rFonts w:cstheme="minorHAnsi"/>
        </w:rPr>
        <w:t>Are any</w:t>
      </w:r>
      <w:r w:rsidR="00270015" w:rsidRPr="007A3506">
        <w:rPr>
          <w:rFonts w:cstheme="minorHAnsi"/>
        </w:rPr>
        <w:t xml:space="preserve"> </w:t>
      </w:r>
      <w:r w:rsidRPr="007A3506">
        <w:rPr>
          <w:rFonts w:cstheme="minorHAnsi"/>
        </w:rPr>
        <w:t>other powers required</w:t>
      </w:r>
      <w:r w:rsidR="00C07BF0" w:rsidRPr="007A3506">
        <w:rPr>
          <w:rFonts w:cstheme="minorHAnsi"/>
        </w:rPr>
        <w:t>?</w:t>
      </w:r>
    </w:p>
    <w:p w14:paraId="44177359" w14:textId="4ABEB6C9" w:rsidR="00F05D40" w:rsidRPr="007A3506" w:rsidRDefault="00F05D40" w:rsidP="0027001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r w:rsidR="00BF796B" w:rsidRPr="007A3506">
        <w:rPr>
          <w:rFonts w:cstheme="minorHAnsi"/>
          <w:color w:val="214050"/>
        </w:rPr>
        <w:t>6</w:t>
      </w:r>
    </w:p>
    <w:p w14:paraId="16C68FC6" w14:textId="77777777" w:rsidR="00AE6F2F" w:rsidRPr="007A3506" w:rsidRDefault="00AE6F2F" w:rsidP="00AE6F2F">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Are the current financial thresholds appropriate for Scheme coverage? If not, what should the threshold be?</w:t>
      </w:r>
    </w:p>
    <w:p w14:paraId="4E40B606" w14:textId="20758A71" w:rsidR="00F05D40" w:rsidRPr="007A3506" w:rsidRDefault="00F05D40" w:rsidP="0027001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Question 1</w:t>
      </w:r>
      <w:r w:rsidR="00BF796B" w:rsidRPr="007A3506">
        <w:rPr>
          <w:rFonts w:cstheme="minorHAnsi"/>
          <w:color w:val="214050"/>
        </w:rPr>
        <w:t>7</w:t>
      </w:r>
    </w:p>
    <w:p w14:paraId="304D7956" w14:textId="23D357C3" w:rsidR="00F05D40" w:rsidRPr="007A3506" w:rsidRDefault="00F05D40" w:rsidP="0027001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ind w:left="284"/>
        <w:rPr>
          <w:rFonts w:cstheme="minorHAnsi"/>
        </w:rPr>
      </w:pPr>
      <w:r w:rsidRPr="007A3506">
        <w:rPr>
          <w:rFonts w:cstheme="minorHAnsi"/>
        </w:rPr>
        <w:t>Are there situations where the Scheme requirements are not fit for purpose?</w:t>
      </w:r>
      <w:r w:rsidR="00893078" w:rsidRPr="007A3506">
        <w:rPr>
          <w:rFonts w:cstheme="minorHAnsi"/>
        </w:rPr>
        <w:t xml:space="preserve"> </w:t>
      </w:r>
      <w:r w:rsidRPr="007A3506">
        <w:rPr>
          <w:rFonts w:cstheme="minorHAnsi"/>
        </w:rPr>
        <w:t>How can they be</w:t>
      </w:r>
      <w:r w:rsidR="00270015" w:rsidRPr="007A3506">
        <w:rPr>
          <w:rFonts w:cstheme="minorHAnsi"/>
        </w:rPr>
        <w:t xml:space="preserve"> </w:t>
      </w:r>
      <w:r w:rsidRPr="007A3506">
        <w:rPr>
          <w:rFonts w:cstheme="minorHAnsi"/>
        </w:rPr>
        <w:t>repurposed?</w:t>
      </w:r>
    </w:p>
    <w:p w14:paraId="2180F9C8" w14:textId="1621A970" w:rsidR="00F05D40" w:rsidRPr="007A3506" w:rsidRDefault="00F05D40" w:rsidP="00270015">
      <w:pPr>
        <w:pBdr>
          <w:top w:val="single" w:sz="48" w:space="1" w:color="DFCEBC" w:themeColor="accent4"/>
          <w:left w:val="single" w:sz="48" w:space="4" w:color="DFCEBC" w:themeColor="accent4"/>
          <w:bottom w:val="single" w:sz="48" w:space="0" w:color="DFCEBC" w:themeColor="accent4"/>
          <w:right w:val="single" w:sz="48" w:space="4" w:color="DFCEBC" w:themeColor="accent4"/>
        </w:pBdr>
        <w:shd w:val="clear" w:color="auto" w:fill="DFCEBC" w:themeFill="accent4"/>
        <w:spacing w:before="120" w:after="0"/>
        <w:ind w:left="284"/>
        <w:rPr>
          <w:rFonts w:cstheme="minorHAnsi"/>
          <w:color w:val="214050"/>
        </w:rPr>
      </w:pPr>
      <w:r w:rsidRPr="007A3506">
        <w:rPr>
          <w:rFonts w:cstheme="minorHAnsi"/>
          <w:color w:val="214050"/>
        </w:rPr>
        <w:t xml:space="preserve">Question </w:t>
      </w:r>
      <w:r w:rsidR="00AE6F2F" w:rsidRPr="007A3506">
        <w:rPr>
          <w:rFonts w:cstheme="minorHAnsi"/>
          <w:color w:val="214050"/>
        </w:rPr>
        <w:t>1</w:t>
      </w:r>
      <w:r w:rsidR="00BF796B" w:rsidRPr="007A3506">
        <w:rPr>
          <w:rFonts w:cstheme="minorHAnsi"/>
          <w:color w:val="214050"/>
        </w:rPr>
        <w:t>8</w:t>
      </w:r>
      <w:r w:rsidR="00270015" w:rsidRPr="007A3506">
        <w:rPr>
          <w:rFonts w:cstheme="minorHAnsi"/>
          <w:color w:val="214050"/>
        </w:rPr>
        <w:br/>
      </w:r>
      <w:r w:rsidRPr="007A3506">
        <w:rPr>
          <w:rFonts w:cstheme="minorHAnsi"/>
        </w:rPr>
        <w:t>Should there be a limit to how many FSO audits are available to achieve accreditation?</w:t>
      </w:r>
    </w:p>
    <w:p w14:paraId="7A98292C" w14:textId="7C7C8474" w:rsidR="00F05D40" w:rsidRPr="007A3506" w:rsidRDefault="00F05D40"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 xml:space="preserve">Question </w:t>
      </w:r>
      <w:r w:rsidR="006D5F31" w:rsidRPr="007A3506">
        <w:rPr>
          <w:rFonts w:cstheme="minorHAnsi"/>
          <w:color w:val="214050"/>
        </w:rPr>
        <w:t>19</w:t>
      </w:r>
      <w:r w:rsidR="00270015" w:rsidRPr="007A3506">
        <w:rPr>
          <w:rFonts w:cstheme="minorHAnsi"/>
          <w:color w:val="214050"/>
        </w:rPr>
        <w:br/>
      </w:r>
      <w:r w:rsidRPr="007A3506">
        <w:rPr>
          <w:rFonts w:cstheme="minorHAnsi"/>
        </w:rPr>
        <w:t>Does the approach to post-accreditation audits remain appropriate?</w:t>
      </w:r>
      <w:r w:rsidR="00882AD8" w:rsidRPr="007A3506">
        <w:rPr>
          <w:rFonts w:cstheme="minorHAnsi"/>
        </w:rPr>
        <w:t xml:space="preserve"> For example, should the nature of the audits or the criteria chosen for assessment change depending on factors such as time spent accredited under the Scheme?</w:t>
      </w:r>
    </w:p>
    <w:p w14:paraId="14A2E953" w14:textId="1E0FB4E2" w:rsidR="00F05D40" w:rsidRPr="007A3506" w:rsidRDefault="00F05D40"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2</w:t>
      </w:r>
      <w:r w:rsidR="006D5F31" w:rsidRPr="007A3506">
        <w:rPr>
          <w:rFonts w:cstheme="minorHAnsi"/>
          <w:color w:val="214050"/>
        </w:rPr>
        <w:t>0</w:t>
      </w:r>
      <w:r w:rsidRPr="007A3506">
        <w:rPr>
          <w:rFonts w:cstheme="minorHAnsi"/>
          <w:color w:val="214050"/>
        </w:rPr>
        <w:t xml:space="preserve"> </w:t>
      </w:r>
      <w:r w:rsidR="00270015" w:rsidRPr="007A3506">
        <w:rPr>
          <w:rFonts w:cstheme="minorHAnsi"/>
          <w:color w:val="214050"/>
        </w:rPr>
        <w:br/>
      </w:r>
      <w:r w:rsidR="00A55572" w:rsidRPr="007A3506">
        <w:rPr>
          <w:rFonts w:cstheme="minorHAnsi"/>
        </w:rPr>
        <w:t>How best could entities</w:t>
      </w:r>
      <w:r w:rsidRPr="007A3506">
        <w:rPr>
          <w:rFonts w:cstheme="minorHAnsi"/>
        </w:rPr>
        <w:t xml:space="preserve"> report WHS incidents, injuries and fatalities consistently across all of their activities (scheme and non-scheme)?</w:t>
      </w:r>
    </w:p>
    <w:p w14:paraId="65B6DE9F" w14:textId="62E5DF46" w:rsidR="00F05D40" w:rsidRPr="007A3506" w:rsidRDefault="00F05D40"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2</w:t>
      </w:r>
      <w:r w:rsidR="006D5F31" w:rsidRPr="007A3506">
        <w:rPr>
          <w:rFonts w:cstheme="minorHAnsi"/>
          <w:color w:val="214050"/>
        </w:rPr>
        <w:t>1</w:t>
      </w:r>
      <w:r w:rsidR="00270015" w:rsidRPr="007A3506">
        <w:rPr>
          <w:rFonts w:cstheme="minorHAnsi"/>
          <w:color w:val="214050"/>
        </w:rPr>
        <w:br/>
      </w:r>
      <w:r w:rsidRPr="007A3506">
        <w:rPr>
          <w:rFonts w:cstheme="minorHAnsi"/>
        </w:rPr>
        <w:t>Should WHS incident reporting be streamlined to cater for all government agency and regulatory reporting requirements? If yes, how?</w:t>
      </w:r>
    </w:p>
    <w:p w14:paraId="2B0948BC" w14:textId="26BA7951" w:rsidR="00F05D40" w:rsidRPr="007A3506" w:rsidRDefault="00F05D40"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2</w:t>
      </w:r>
      <w:r w:rsidR="006D5F31" w:rsidRPr="007A3506">
        <w:rPr>
          <w:rFonts w:cstheme="minorHAnsi"/>
          <w:color w:val="214050"/>
        </w:rPr>
        <w:t>2</w:t>
      </w:r>
      <w:r w:rsidR="00270015" w:rsidRPr="007A3506">
        <w:rPr>
          <w:rFonts w:cstheme="minorHAnsi"/>
          <w:color w:val="214050"/>
        </w:rPr>
        <w:br/>
      </w:r>
      <w:r w:rsidRPr="007A3506">
        <w:rPr>
          <w:rFonts w:cstheme="minorHAnsi"/>
        </w:rPr>
        <w:t>Could the FSC draw on existing data sources instead of requiring its own data?</w:t>
      </w:r>
    </w:p>
    <w:p w14:paraId="2E94F1C8" w14:textId="50FC12DB" w:rsidR="00F05D40" w:rsidRPr="007A3506" w:rsidRDefault="00F05D40"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2</w:t>
      </w:r>
      <w:r w:rsidR="006D5F31" w:rsidRPr="007A3506">
        <w:rPr>
          <w:rFonts w:cstheme="minorHAnsi"/>
          <w:color w:val="214050"/>
        </w:rPr>
        <w:t>3</w:t>
      </w:r>
      <w:r w:rsidR="00270015" w:rsidRPr="007A3506">
        <w:rPr>
          <w:rFonts w:cstheme="minorHAnsi"/>
          <w:color w:val="214050"/>
        </w:rPr>
        <w:br/>
      </w:r>
      <w:r w:rsidRPr="007A3506">
        <w:rPr>
          <w:rFonts w:cstheme="minorHAnsi"/>
        </w:rPr>
        <w:t>Are there any lead indicators that could be reported to the FSC?</w:t>
      </w:r>
    </w:p>
    <w:p w14:paraId="5D2DABAF" w14:textId="6120C684" w:rsidR="00F05D40" w:rsidRPr="007A3506" w:rsidRDefault="00E3311C"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2</w:t>
      </w:r>
      <w:r w:rsidR="006D5F31" w:rsidRPr="007A3506">
        <w:rPr>
          <w:rFonts w:cstheme="minorHAnsi"/>
          <w:color w:val="214050"/>
        </w:rPr>
        <w:t>4</w:t>
      </w:r>
      <w:r w:rsidR="00270015" w:rsidRPr="007A3506">
        <w:rPr>
          <w:rFonts w:cstheme="minorHAnsi"/>
          <w:color w:val="214050"/>
        </w:rPr>
        <w:br/>
      </w:r>
      <w:r w:rsidR="00F05D40" w:rsidRPr="007A3506">
        <w:rPr>
          <w:rFonts w:cstheme="minorHAnsi"/>
        </w:rPr>
        <w:t xml:space="preserve">How can we ensure greater </w:t>
      </w:r>
      <w:r w:rsidR="00EE5340" w:rsidRPr="007A3506">
        <w:rPr>
          <w:rFonts w:cstheme="minorHAnsi"/>
        </w:rPr>
        <w:t xml:space="preserve">collaboration and </w:t>
      </w:r>
      <w:r w:rsidR="00F05D40" w:rsidRPr="007A3506">
        <w:rPr>
          <w:rFonts w:cstheme="minorHAnsi"/>
        </w:rPr>
        <w:t>sharing of information between the FSC and other WHS agencies and regulators?</w:t>
      </w:r>
    </w:p>
    <w:p w14:paraId="6D8EC97D" w14:textId="6FF63B22" w:rsidR="00F05D40" w:rsidRPr="007A3506" w:rsidRDefault="00F05D40"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lastRenderedPageBreak/>
        <w:t>Question 2</w:t>
      </w:r>
      <w:r w:rsidR="006D5F31" w:rsidRPr="007A3506">
        <w:rPr>
          <w:rFonts w:cstheme="minorHAnsi"/>
          <w:color w:val="214050"/>
        </w:rPr>
        <w:t>5</w:t>
      </w:r>
      <w:r w:rsidR="00270015" w:rsidRPr="007A3506">
        <w:rPr>
          <w:rFonts w:cstheme="minorHAnsi"/>
          <w:color w:val="214050"/>
        </w:rPr>
        <w:br/>
      </w:r>
      <w:r w:rsidRPr="007A3506">
        <w:rPr>
          <w:rFonts w:cstheme="minorHAnsi"/>
        </w:rPr>
        <w:t xml:space="preserve">Should the risk ratings of accredited </w:t>
      </w:r>
      <w:r w:rsidR="00A53580" w:rsidRPr="007A3506">
        <w:rPr>
          <w:rFonts w:cstheme="minorHAnsi"/>
        </w:rPr>
        <w:t>entities</w:t>
      </w:r>
      <w:r w:rsidRPr="007A3506">
        <w:rPr>
          <w:rFonts w:cstheme="minorHAnsi"/>
        </w:rPr>
        <w:t xml:space="preserve"> be transparent to allow for a comparative assessment of their safety record and capacity as part of the procurement requirements for CW funded projects?</w:t>
      </w:r>
    </w:p>
    <w:p w14:paraId="5D4B0231" w14:textId="6F2FC992" w:rsidR="00E3311C" w:rsidRPr="007A3506" w:rsidRDefault="00E3311C"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2</w:t>
      </w:r>
      <w:r w:rsidR="006D5F31" w:rsidRPr="007A3506">
        <w:rPr>
          <w:rFonts w:cstheme="minorHAnsi"/>
          <w:color w:val="214050"/>
        </w:rPr>
        <w:t>6</w:t>
      </w:r>
      <w:r w:rsidR="00270015" w:rsidRPr="007A3506">
        <w:rPr>
          <w:rFonts w:cstheme="minorHAnsi"/>
          <w:color w:val="214050"/>
        </w:rPr>
        <w:br/>
      </w:r>
      <w:r w:rsidRPr="007A3506">
        <w:rPr>
          <w:rFonts w:cstheme="minorHAnsi"/>
        </w:rPr>
        <w:t>Do the audit criteria remain relevant to building and construction workplaces in 2023? If not, are there any new criteria you would suggest be included?</w:t>
      </w:r>
    </w:p>
    <w:p w14:paraId="76252C75" w14:textId="2A68BFDE" w:rsidR="00E3311C" w:rsidRPr="007A3506" w:rsidRDefault="00E3311C"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2</w:t>
      </w:r>
      <w:r w:rsidR="006D5F31" w:rsidRPr="007A3506">
        <w:rPr>
          <w:rFonts w:cstheme="minorHAnsi"/>
          <w:color w:val="214050"/>
        </w:rPr>
        <w:t>7</w:t>
      </w:r>
      <w:r w:rsidR="00270015" w:rsidRPr="007A3506">
        <w:rPr>
          <w:rFonts w:cstheme="minorHAnsi"/>
          <w:color w:val="214050"/>
        </w:rPr>
        <w:br/>
      </w:r>
      <w:r w:rsidRPr="007A3506">
        <w:rPr>
          <w:rFonts w:cstheme="minorHAnsi"/>
        </w:rPr>
        <w:t>Should the hazard criteria highlight the management of risks to a worker’s health (for example risks of contracting occupational diseases and psychosocial risks) as well as the hazards</w:t>
      </w:r>
      <w:r w:rsidR="00854665" w:rsidRPr="007A3506">
        <w:rPr>
          <w:rFonts w:cstheme="minorHAnsi"/>
        </w:rPr>
        <w:t xml:space="preserve"> to physical safety?</w:t>
      </w:r>
      <w:r w:rsidR="00893078" w:rsidRPr="007A3506">
        <w:rPr>
          <w:rFonts w:cstheme="minorHAnsi"/>
        </w:rPr>
        <w:t xml:space="preserve"> </w:t>
      </w:r>
      <w:r w:rsidR="00854665" w:rsidRPr="007A3506">
        <w:rPr>
          <w:rFonts w:cstheme="minorHAnsi"/>
        </w:rPr>
        <w:t>If yes, what criteria do you suggest be included?</w:t>
      </w:r>
    </w:p>
    <w:p w14:paraId="0E9485E2" w14:textId="37D1EB14" w:rsidR="00195AAD" w:rsidRPr="007A3506" w:rsidRDefault="00195AAD"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 xml:space="preserve">Question </w:t>
      </w:r>
      <w:r w:rsidR="00EE5340" w:rsidRPr="007A3506">
        <w:rPr>
          <w:rFonts w:cstheme="minorHAnsi"/>
          <w:color w:val="214050"/>
        </w:rPr>
        <w:t>2</w:t>
      </w:r>
      <w:r w:rsidR="006D5F31" w:rsidRPr="007A3506">
        <w:rPr>
          <w:rFonts w:cstheme="minorHAnsi"/>
          <w:color w:val="214050"/>
        </w:rPr>
        <w:t>8</w:t>
      </w:r>
      <w:r w:rsidR="00270015" w:rsidRPr="007A3506">
        <w:rPr>
          <w:rFonts w:cstheme="minorHAnsi"/>
          <w:color w:val="214050"/>
        </w:rPr>
        <w:br/>
      </w:r>
      <w:r w:rsidRPr="007A3506">
        <w:rPr>
          <w:rFonts w:cstheme="minorHAnsi"/>
        </w:rPr>
        <w:t xml:space="preserve">Given the costs associated with administering a growing Scheme, the substantial auditing service being provided to </w:t>
      </w:r>
      <w:r w:rsidR="00A53580" w:rsidRPr="007A3506">
        <w:rPr>
          <w:rFonts w:cstheme="minorHAnsi"/>
        </w:rPr>
        <w:t>entities</w:t>
      </w:r>
      <w:r w:rsidRPr="007A3506">
        <w:rPr>
          <w:rFonts w:cstheme="minorHAnsi"/>
        </w:rPr>
        <w:t xml:space="preserve"> and the Charging Policy, is it reasonable and appropriate to charge </w:t>
      </w:r>
      <w:r w:rsidR="00C737CA" w:rsidRPr="007A3506">
        <w:rPr>
          <w:rFonts w:cstheme="minorHAnsi"/>
        </w:rPr>
        <w:t>entitie</w:t>
      </w:r>
      <w:r w:rsidRPr="007A3506">
        <w:rPr>
          <w:rFonts w:cstheme="minorHAnsi"/>
        </w:rPr>
        <w:t>s seeking accreditation?</w:t>
      </w:r>
    </w:p>
    <w:p w14:paraId="0BFC828A" w14:textId="558ADF67" w:rsidR="001568C3" w:rsidRPr="007A3506" w:rsidRDefault="001568C3"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 xml:space="preserve">Question </w:t>
      </w:r>
      <w:r w:rsidR="006D5F31" w:rsidRPr="007A3506">
        <w:rPr>
          <w:rFonts w:cstheme="minorHAnsi"/>
          <w:color w:val="214050"/>
        </w:rPr>
        <w:t>29</w:t>
      </w:r>
      <w:r w:rsidR="00270015" w:rsidRPr="007A3506">
        <w:rPr>
          <w:rFonts w:cstheme="minorHAnsi"/>
          <w:color w:val="214050"/>
        </w:rPr>
        <w:br/>
      </w:r>
      <w:r w:rsidRPr="007A3506">
        <w:rPr>
          <w:rFonts w:cstheme="minorHAnsi"/>
        </w:rPr>
        <w:t xml:space="preserve">What would be the impact of charging for accreditation and how could any charge be implemented fairly? </w:t>
      </w:r>
    </w:p>
    <w:p w14:paraId="4D2A02B0" w14:textId="3B23F786" w:rsidR="009C12DB" w:rsidRPr="007A3506" w:rsidRDefault="009C12DB"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3</w:t>
      </w:r>
      <w:r w:rsidR="006D5F31" w:rsidRPr="007A3506">
        <w:rPr>
          <w:rFonts w:cstheme="minorHAnsi"/>
          <w:color w:val="214050"/>
        </w:rPr>
        <w:t>0</w:t>
      </w:r>
      <w:r w:rsidR="00270015" w:rsidRPr="007A3506">
        <w:rPr>
          <w:rFonts w:cstheme="minorHAnsi"/>
          <w:color w:val="214050"/>
        </w:rPr>
        <w:br/>
      </w:r>
      <w:r w:rsidRPr="007A3506">
        <w:rPr>
          <w:rFonts w:cstheme="minorHAnsi"/>
        </w:rPr>
        <w:t>Are changes to the functions of the FSC or to the requirements of the Scheme necessary to support the dual policy objectives of improving building and construction industry safety through government procurement and supporting local industry to take advantage of government purchasing opportunities?</w:t>
      </w:r>
    </w:p>
    <w:p w14:paraId="7962E67A" w14:textId="20AC91DA" w:rsidR="009C12DB" w:rsidRPr="007A3506" w:rsidRDefault="009C12DB" w:rsidP="002700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3</w:t>
      </w:r>
      <w:r w:rsidR="006D5F31" w:rsidRPr="007A3506">
        <w:rPr>
          <w:rFonts w:cstheme="minorHAnsi"/>
          <w:color w:val="214050"/>
        </w:rPr>
        <w:t>1</w:t>
      </w:r>
      <w:r w:rsidRPr="007A3506">
        <w:rPr>
          <w:rFonts w:cstheme="minorHAnsi"/>
          <w:color w:val="214050"/>
        </w:rPr>
        <w:t xml:space="preserve"> </w:t>
      </w:r>
      <w:r w:rsidR="00270015" w:rsidRPr="007A3506">
        <w:rPr>
          <w:rFonts w:cstheme="minorHAnsi"/>
          <w:color w:val="214050"/>
        </w:rPr>
        <w:br/>
      </w:r>
      <w:r w:rsidRPr="007A3506">
        <w:rPr>
          <w:rFonts w:cstheme="minorHAnsi"/>
        </w:rPr>
        <w:t>Are changes to the functions of the FSC or to the requirements of the Scheme necessary to support implementation of the Secure Jobs Code? If yes, what are those changes?</w:t>
      </w:r>
    </w:p>
    <w:p w14:paraId="40D0645A" w14:textId="74AA90F2" w:rsidR="009C12DB" w:rsidRPr="007A3506" w:rsidRDefault="009C12DB"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3</w:t>
      </w:r>
      <w:r w:rsidR="006D5F31" w:rsidRPr="007A3506">
        <w:rPr>
          <w:rFonts w:cstheme="minorHAnsi"/>
          <w:color w:val="214050"/>
        </w:rPr>
        <w:t>2</w:t>
      </w:r>
      <w:r w:rsidR="00270015" w:rsidRPr="007A3506">
        <w:rPr>
          <w:rFonts w:cstheme="minorHAnsi"/>
          <w:color w:val="214050"/>
        </w:rPr>
        <w:br/>
      </w:r>
      <w:r w:rsidRPr="007A3506">
        <w:rPr>
          <w:rFonts w:cstheme="minorHAnsi"/>
        </w:rPr>
        <w:t>Are changes to the functions of the FSC or to the requirements of the Scheme necessary to support a culture across the building and construction industry which removes barriers to women’s participation and enables a safe working environment for women? If yes, what is that role?</w:t>
      </w:r>
    </w:p>
    <w:p w14:paraId="36359936" w14:textId="19E808A4" w:rsidR="009C12DB" w:rsidRPr="007A3506" w:rsidRDefault="009C12DB"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3</w:t>
      </w:r>
      <w:r w:rsidR="006D5F31" w:rsidRPr="007A3506">
        <w:rPr>
          <w:rFonts w:cstheme="minorHAnsi"/>
          <w:color w:val="214050"/>
        </w:rPr>
        <w:t>3</w:t>
      </w:r>
      <w:r w:rsidR="00270015" w:rsidRPr="007A3506">
        <w:rPr>
          <w:rFonts w:cstheme="minorHAnsi"/>
          <w:color w:val="214050"/>
        </w:rPr>
        <w:br/>
      </w:r>
      <w:r w:rsidRPr="007A3506">
        <w:rPr>
          <w:rFonts w:cstheme="minorHAnsi"/>
        </w:rPr>
        <w:t>Are changes to the functions of the FSC or to the requirements of the Scheme necessary to support implementation of the Better Deal for Small Business policy? If yes, what are those changes?</w:t>
      </w:r>
    </w:p>
    <w:p w14:paraId="5D02D5FB" w14:textId="20507A32" w:rsidR="00482E61" w:rsidRPr="007A3506" w:rsidRDefault="00482E61"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3</w:t>
      </w:r>
      <w:r w:rsidR="006D5F31" w:rsidRPr="007A3506">
        <w:rPr>
          <w:rFonts w:cstheme="minorHAnsi"/>
          <w:color w:val="214050"/>
        </w:rPr>
        <w:t>4</w:t>
      </w:r>
      <w:r w:rsidR="00270015" w:rsidRPr="007A3506">
        <w:rPr>
          <w:rFonts w:cstheme="minorHAnsi"/>
          <w:color w:val="214050"/>
        </w:rPr>
        <w:br/>
      </w:r>
      <w:r w:rsidRPr="007A3506">
        <w:rPr>
          <w:rFonts w:cstheme="minorHAnsi"/>
        </w:rPr>
        <w:t>Are changes to the functions of the FSC or to the requirements of the Scheme necessary to support the work of the National Construction Industry Forum? If yes, what are those changes?</w:t>
      </w:r>
    </w:p>
    <w:p w14:paraId="103A7EE7" w14:textId="42981E81" w:rsidR="00482E61" w:rsidRPr="007A3506" w:rsidRDefault="00482E61"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lastRenderedPageBreak/>
        <w:t>Question 3</w:t>
      </w:r>
      <w:r w:rsidR="006D5F31" w:rsidRPr="007A3506">
        <w:rPr>
          <w:rFonts w:cstheme="minorHAnsi"/>
          <w:color w:val="214050"/>
        </w:rPr>
        <w:t>5</w:t>
      </w:r>
      <w:r w:rsidR="00270015" w:rsidRPr="007A3506">
        <w:rPr>
          <w:rFonts w:cstheme="minorHAnsi"/>
          <w:color w:val="214050"/>
        </w:rPr>
        <w:br/>
      </w:r>
      <w:r w:rsidRPr="007A3506">
        <w:rPr>
          <w:rFonts w:cstheme="minorHAnsi"/>
        </w:rPr>
        <w:t>Are changes to the functions of the FSC or to the requirements of the Scheme necessary to support the regulatory stewardship approach to regulation? If yes, what are those changes?</w:t>
      </w:r>
    </w:p>
    <w:p w14:paraId="208DA5ED" w14:textId="37DFFC71" w:rsidR="000448C9" w:rsidRPr="007A3506" w:rsidRDefault="000448C9"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3</w:t>
      </w:r>
      <w:r w:rsidR="006D5F31" w:rsidRPr="007A3506">
        <w:rPr>
          <w:rFonts w:cstheme="minorHAnsi"/>
          <w:color w:val="214050"/>
        </w:rPr>
        <w:t>6</w:t>
      </w:r>
      <w:r w:rsidR="00270015" w:rsidRPr="007A3506">
        <w:rPr>
          <w:rFonts w:cstheme="minorHAnsi"/>
          <w:color w:val="214050"/>
        </w:rPr>
        <w:br/>
      </w:r>
      <w:r w:rsidRPr="007A3506">
        <w:rPr>
          <w:rFonts w:cstheme="minorHAnsi"/>
        </w:rPr>
        <w:t>Should the Scheme be expanded to cover sub-contractors as contemplated by the Royal Commission?</w:t>
      </w:r>
    </w:p>
    <w:p w14:paraId="02E1A2CD" w14:textId="1DD66051" w:rsidR="000448C9" w:rsidRPr="007A3506" w:rsidRDefault="000448C9" w:rsidP="00123815">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Question 3</w:t>
      </w:r>
      <w:r w:rsidR="006D5F31" w:rsidRPr="007A3506">
        <w:rPr>
          <w:rFonts w:cstheme="minorHAnsi"/>
          <w:color w:val="214050"/>
        </w:rPr>
        <w:t>7</w:t>
      </w:r>
      <w:r w:rsidR="00270015" w:rsidRPr="007A3506">
        <w:rPr>
          <w:rFonts w:cstheme="minorHAnsi"/>
          <w:color w:val="214050"/>
        </w:rPr>
        <w:br/>
      </w:r>
      <w:r w:rsidRPr="007A3506">
        <w:rPr>
          <w:rFonts w:cstheme="minorHAnsi"/>
        </w:rPr>
        <w:t>Does the safety performance of other industries (including emerging industries) which receive CW funding warrant expanding the Scheme? If yes, which industries and why?</w:t>
      </w:r>
    </w:p>
    <w:p w14:paraId="33F9B7BB" w14:textId="0E788618" w:rsidR="00F05D40" w:rsidRPr="007A3506" w:rsidRDefault="000448C9" w:rsidP="009022AD">
      <w:pPr>
        <w:pBdr>
          <w:top w:val="single" w:sz="48" w:space="1" w:color="DFCEBC" w:themeColor="accent4"/>
          <w:left w:val="single" w:sz="48" w:space="4" w:color="DFCEBC" w:themeColor="accent4"/>
          <w:bottom w:val="single" w:sz="48" w:space="1" w:color="DFCEBC" w:themeColor="accent4"/>
          <w:right w:val="single" w:sz="48" w:space="4" w:color="DFCEBC" w:themeColor="accent4"/>
        </w:pBdr>
        <w:shd w:val="clear" w:color="auto" w:fill="DFCEBC" w:themeFill="accent4"/>
        <w:ind w:left="284"/>
        <w:rPr>
          <w:rFonts w:cstheme="minorHAnsi"/>
          <w:color w:val="214050"/>
        </w:rPr>
      </w:pPr>
      <w:r w:rsidRPr="007A3506">
        <w:rPr>
          <w:rFonts w:cstheme="minorHAnsi"/>
          <w:color w:val="214050"/>
        </w:rPr>
        <w:t xml:space="preserve">Question </w:t>
      </w:r>
      <w:r w:rsidR="00BE1DC5" w:rsidRPr="007A3506">
        <w:rPr>
          <w:rFonts w:cstheme="minorHAnsi"/>
          <w:color w:val="214050"/>
        </w:rPr>
        <w:t>3</w:t>
      </w:r>
      <w:r w:rsidR="006D5F31" w:rsidRPr="007A3506">
        <w:rPr>
          <w:rFonts w:cstheme="minorHAnsi"/>
          <w:color w:val="214050"/>
        </w:rPr>
        <w:t>8</w:t>
      </w:r>
      <w:r w:rsidR="00270015" w:rsidRPr="007A3506">
        <w:rPr>
          <w:rFonts w:cstheme="minorHAnsi"/>
          <w:color w:val="214050"/>
        </w:rPr>
        <w:br/>
      </w:r>
      <w:r w:rsidRPr="007A3506">
        <w:rPr>
          <w:rFonts w:cstheme="minorHAnsi"/>
        </w:rPr>
        <w:t xml:space="preserve">What, if any, changes to the FSC‘s operations would be required by the expansion of the Scheme to other industries? </w:t>
      </w:r>
    </w:p>
    <w:p w14:paraId="53FA72E8" w14:textId="12CD0C98" w:rsidR="005A75BA" w:rsidRPr="007A3506" w:rsidRDefault="00E76D7A" w:rsidP="00877091">
      <w:pPr>
        <w:pStyle w:val="Heading1"/>
        <w:rPr>
          <w:rFonts w:asciiTheme="minorHAnsi" w:hAnsiTheme="minorHAnsi" w:cstheme="minorHAnsi"/>
          <w:noProof/>
        </w:rPr>
      </w:pPr>
      <w:bookmarkStart w:id="127" w:name="_Toc1912549737"/>
      <w:r w:rsidRPr="007A3506">
        <w:rPr>
          <w:rFonts w:asciiTheme="minorHAnsi" w:hAnsiTheme="minorHAnsi" w:cstheme="minorHAnsi"/>
          <w:color w:val="214050"/>
        </w:rPr>
        <w:br w:type="page"/>
      </w:r>
      <w:bookmarkStart w:id="128" w:name="_Appendix_A_Federal"/>
      <w:bookmarkStart w:id="129" w:name="_Toc138428307"/>
      <w:bookmarkStart w:id="130" w:name="_Toc139261471"/>
      <w:bookmarkEnd w:id="128"/>
      <w:r w:rsidR="000A43B0" w:rsidRPr="007A3506">
        <w:rPr>
          <w:rFonts w:asciiTheme="minorHAnsi" w:hAnsiTheme="minorHAnsi" w:cstheme="minorHAnsi"/>
        </w:rPr>
        <w:lastRenderedPageBreak/>
        <w:t>Appendix</w:t>
      </w:r>
      <w:r w:rsidR="00271096" w:rsidRPr="007A3506">
        <w:rPr>
          <w:rFonts w:asciiTheme="minorHAnsi" w:hAnsiTheme="minorHAnsi" w:cstheme="minorHAnsi"/>
        </w:rPr>
        <w:t xml:space="preserve"> </w:t>
      </w:r>
      <w:r w:rsidR="00837A8B" w:rsidRPr="007A3506">
        <w:rPr>
          <w:rFonts w:asciiTheme="minorHAnsi" w:hAnsiTheme="minorHAnsi" w:cstheme="minorHAnsi"/>
        </w:rPr>
        <w:t>A</w:t>
      </w:r>
      <w:r w:rsidR="00271096" w:rsidRPr="007A3506">
        <w:rPr>
          <w:rFonts w:asciiTheme="minorHAnsi" w:hAnsiTheme="minorHAnsi" w:cstheme="minorHAnsi"/>
        </w:rPr>
        <w:t xml:space="preserve"> </w:t>
      </w:r>
      <w:r w:rsidR="001B6CF6" w:rsidRPr="007A3506">
        <w:rPr>
          <w:rFonts w:asciiTheme="minorHAnsi" w:hAnsiTheme="minorHAnsi" w:cstheme="minorHAnsi"/>
        </w:rPr>
        <w:br/>
      </w:r>
      <w:r w:rsidR="00D32DA9" w:rsidRPr="007A3506">
        <w:rPr>
          <w:rFonts w:asciiTheme="minorHAnsi" w:hAnsiTheme="minorHAnsi" w:cstheme="minorHAnsi"/>
        </w:rPr>
        <w:t>Federal Safety Commissioner</w:t>
      </w:r>
      <w:r w:rsidR="00B313DE" w:rsidRPr="007A3506">
        <w:rPr>
          <w:rFonts w:asciiTheme="minorHAnsi" w:hAnsiTheme="minorHAnsi" w:cstheme="minorHAnsi"/>
        </w:rPr>
        <w:t xml:space="preserve"> Review</w:t>
      </w:r>
      <w:r w:rsidR="00D32DA9" w:rsidRPr="007A3506">
        <w:rPr>
          <w:rFonts w:asciiTheme="minorHAnsi" w:hAnsiTheme="minorHAnsi" w:cstheme="minorHAnsi"/>
        </w:rPr>
        <w:t xml:space="preserve"> Terms of Reference</w:t>
      </w:r>
      <w:bookmarkEnd w:id="127"/>
      <w:bookmarkEnd w:id="129"/>
      <w:bookmarkEnd w:id="130"/>
    </w:p>
    <w:p w14:paraId="638E9546" w14:textId="0C8FC729" w:rsidR="00E967B4" w:rsidRPr="007A3506" w:rsidRDefault="00E967B4" w:rsidP="00E967B4">
      <w:pPr>
        <w:rPr>
          <w:rFonts w:cstheme="minorHAnsi"/>
          <w:lang w:eastAsia="en-AU"/>
        </w:rPr>
      </w:pPr>
      <w:r w:rsidRPr="007A3506">
        <w:rPr>
          <w:rFonts w:cstheme="minorHAnsi"/>
          <w:lang w:eastAsia="en-AU"/>
        </w:rPr>
        <w:t>The Federal Safety Commissioner (FSC) was established in 2005 to improve the safety culture of the buildin</w:t>
      </w:r>
      <w:r w:rsidR="001203BF" w:rsidRPr="007A3506">
        <w:rPr>
          <w:rFonts w:cstheme="minorHAnsi"/>
          <w:noProof/>
        </w:rPr>
        <w:drawing>
          <wp:anchor distT="0" distB="0" distL="114300" distR="114300" simplePos="0" relativeHeight="251658242" behindDoc="1" locked="1" layoutInCell="1" allowOverlap="1" wp14:anchorId="178D1B19" wp14:editId="1382484F">
            <wp:simplePos x="0" y="0"/>
            <wp:positionH relativeFrom="page">
              <wp:posOffset>7620</wp:posOffset>
            </wp:positionH>
            <wp:positionV relativeFrom="page">
              <wp:posOffset>3810</wp:posOffset>
            </wp:positionV>
            <wp:extent cx="7547610" cy="6830060"/>
            <wp:effectExtent l="0" t="0" r="0" b="889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24"/>
                    <a:srcRect b="36027"/>
                    <a:stretch/>
                  </pic:blipFill>
                  <pic:spPr bwMode="auto">
                    <a:xfrm>
                      <a:off x="0" y="0"/>
                      <a:ext cx="7547610" cy="683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3506">
        <w:rPr>
          <w:rFonts w:cstheme="minorHAnsi"/>
          <w:lang w:eastAsia="en-AU"/>
        </w:rPr>
        <w:t>g and construction industry. The FSC is responsible for enhancing and monitoring safety in the industry through the development, administration and promotion of the Work Health and Safety Accreditation Scheme (the Scheme).</w:t>
      </w:r>
    </w:p>
    <w:p w14:paraId="06977C67" w14:textId="742034F6" w:rsidR="00E967B4" w:rsidRPr="007A3506" w:rsidRDefault="00E967B4" w:rsidP="00E967B4">
      <w:pPr>
        <w:rPr>
          <w:rFonts w:cstheme="minorHAnsi"/>
          <w:lang w:eastAsia="en-AU"/>
        </w:rPr>
      </w:pPr>
      <w:r w:rsidRPr="007A3506">
        <w:rPr>
          <w:rFonts w:cstheme="minorHAnsi"/>
          <w:lang w:eastAsia="en-AU"/>
        </w:rPr>
        <w:t xml:space="preserve">The Scheme uses the Australian Government’s position as a major funder of building and construction work to insist on higher safety standards within the industry. To be a head contractor on a government-funded project, a building and construction </w:t>
      </w:r>
      <w:r w:rsidR="00CB5006" w:rsidRPr="007A3506">
        <w:rPr>
          <w:rFonts w:cstheme="minorHAnsi"/>
          <w:lang w:eastAsia="en-AU"/>
        </w:rPr>
        <w:t>entity</w:t>
      </w:r>
      <w:r w:rsidRPr="007A3506">
        <w:rPr>
          <w:rFonts w:cstheme="minorHAnsi"/>
          <w:lang w:eastAsia="en-AU"/>
        </w:rPr>
        <w:t xml:space="preserve"> must be accredited under the Scheme. The Scheme obliges builders to meet work health and safety requirements in addition to those required under State and Territory laws.</w:t>
      </w:r>
    </w:p>
    <w:p w14:paraId="27D065CC" w14:textId="1449CBD6" w:rsidR="00E967B4" w:rsidRPr="007A3506" w:rsidRDefault="00E967B4" w:rsidP="00E967B4">
      <w:pPr>
        <w:rPr>
          <w:rFonts w:cstheme="minorHAnsi"/>
          <w:lang w:eastAsia="en-AU"/>
        </w:rPr>
      </w:pPr>
      <w:r w:rsidRPr="007A3506">
        <w:rPr>
          <w:rFonts w:cstheme="minorHAnsi"/>
          <w:lang w:eastAsia="en-AU"/>
        </w:rPr>
        <w:t>The development and implementation of the Australian Government’s Buy Australian Plan presents a timely opportunity to review the FSC and the Scheme in light of the dual policy objectives of improving building and construction industry safety through government procurement and supporting local industry to take advantage of government purchasing opportunities. Noting that building construction and maintenance services was the 4</w:t>
      </w:r>
      <w:r w:rsidRPr="007A3506">
        <w:rPr>
          <w:rFonts w:cstheme="minorHAnsi"/>
          <w:vertAlign w:val="superscript"/>
          <w:lang w:eastAsia="en-AU"/>
        </w:rPr>
        <w:t>th</w:t>
      </w:r>
      <w:r w:rsidRPr="007A3506">
        <w:rPr>
          <w:rFonts w:cstheme="minorHAnsi"/>
          <w:lang w:eastAsia="en-AU"/>
        </w:rPr>
        <w:t xml:space="preserve"> largest area of government procurement from 2018-19 to 2021-22,</w:t>
      </w:r>
      <w:r w:rsidRPr="007A3506">
        <w:rPr>
          <w:rStyle w:val="FootnoteReference"/>
          <w:rFonts w:cstheme="minorHAnsi"/>
          <w:lang w:eastAsia="en-AU"/>
        </w:rPr>
        <w:footnoteReference w:id="53"/>
      </w:r>
      <w:r w:rsidRPr="007A3506">
        <w:rPr>
          <w:rFonts w:cstheme="minorHAnsi"/>
          <w:lang w:eastAsia="en-AU"/>
        </w:rPr>
        <w:t xml:space="preserve"> the review would consider the appropriateness of expanding the remit of the FSC and the Scheme, with particular regard to whether this could improve safety in other significant procurement areas.</w:t>
      </w:r>
      <w:r w:rsidR="00893078" w:rsidRPr="007A3506">
        <w:rPr>
          <w:rFonts w:cstheme="minorHAnsi"/>
          <w:lang w:eastAsia="en-AU"/>
        </w:rPr>
        <w:t xml:space="preserve"> </w:t>
      </w:r>
    </w:p>
    <w:p w14:paraId="62827989" w14:textId="72A996C8" w:rsidR="00E967B4" w:rsidRPr="007A3506" w:rsidRDefault="00E967B4" w:rsidP="00E967B4">
      <w:pPr>
        <w:rPr>
          <w:rFonts w:cstheme="minorHAnsi"/>
          <w:lang w:eastAsia="en-AU"/>
        </w:rPr>
      </w:pPr>
      <w:r w:rsidRPr="007A3506">
        <w:rPr>
          <w:rFonts w:cstheme="minorHAnsi"/>
          <w:lang w:eastAsia="en-AU"/>
        </w:rPr>
        <w:t>Given the importance of continuing to support safety in the building and construction industry, this review will consider the impact of the FSC and the Scheme on building industry safety by adopting a tripartite approach to stakeholder consultations. This includes consultation through an advisory panel made up of stakeholders from key industry associations, unions and other Government agencies, as well as through consultation with the National Construction Industry Forum (NCIF) which is expected to be established from 1 July 2023.</w:t>
      </w:r>
    </w:p>
    <w:p w14:paraId="427D6D8A" w14:textId="77777777" w:rsidR="00E967B4" w:rsidRPr="007A3506" w:rsidRDefault="00E967B4" w:rsidP="00E967B4">
      <w:pPr>
        <w:rPr>
          <w:rFonts w:cstheme="minorHAnsi"/>
          <w:lang w:eastAsia="en-AU"/>
        </w:rPr>
      </w:pPr>
      <w:r w:rsidRPr="007A3506">
        <w:rPr>
          <w:rFonts w:cstheme="minorHAnsi"/>
          <w:lang w:eastAsia="en-AU"/>
        </w:rPr>
        <w:t>The review would examine whether:</w:t>
      </w:r>
    </w:p>
    <w:p w14:paraId="60E0143B" w14:textId="7A94A4E1" w:rsidR="00E967B4" w:rsidRPr="007A3506" w:rsidRDefault="00B926ED" w:rsidP="00AD7506">
      <w:pPr>
        <w:pStyle w:val="PURPLEBullet"/>
        <w:spacing w:after="200"/>
        <w:rPr>
          <w:rFonts w:cstheme="minorHAnsi"/>
          <w:lang w:eastAsia="en-AU"/>
        </w:rPr>
      </w:pPr>
      <w:r w:rsidRPr="007A3506">
        <w:rPr>
          <w:rFonts w:cstheme="minorHAnsi"/>
          <w:lang w:eastAsia="en-AU"/>
        </w:rPr>
        <w:t>T</w:t>
      </w:r>
      <w:r w:rsidR="00E967B4" w:rsidRPr="007A3506">
        <w:rPr>
          <w:rFonts w:cstheme="minorHAnsi"/>
          <w:lang w:eastAsia="en-AU"/>
        </w:rPr>
        <w:t>he FSC and the Scheme have improved work health and safety practices in the building and construction industry</w:t>
      </w:r>
      <w:r w:rsidR="00A15EE4" w:rsidRPr="007A3506">
        <w:rPr>
          <w:rFonts w:cstheme="minorHAnsi"/>
          <w:lang w:eastAsia="en-AU"/>
        </w:rPr>
        <w:t>.</w:t>
      </w:r>
    </w:p>
    <w:p w14:paraId="0F75181E" w14:textId="6049D0AC" w:rsidR="00E967B4" w:rsidRPr="007A3506" w:rsidRDefault="00A15EE4" w:rsidP="00AD7506">
      <w:pPr>
        <w:pStyle w:val="PURPLEBullet"/>
        <w:spacing w:after="200"/>
        <w:rPr>
          <w:rFonts w:cstheme="minorHAnsi"/>
          <w:lang w:eastAsia="en-AU"/>
        </w:rPr>
      </w:pPr>
      <w:r w:rsidRPr="007A3506">
        <w:rPr>
          <w:rFonts w:cstheme="minorHAnsi"/>
          <w:lang w:eastAsia="en-AU"/>
        </w:rPr>
        <w:t>T</w:t>
      </w:r>
      <w:r w:rsidR="00E967B4" w:rsidRPr="007A3506">
        <w:rPr>
          <w:rFonts w:cstheme="minorHAnsi"/>
          <w:lang w:eastAsia="en-AU"/>
        </w:rPr>
        <w:t>he powers and functions of the FSC, as well as the Scheme’s requirements, are adequate and appropriate to drive safety improvements within the building and construction industry</w:t>
      </w:r>
      <w:r w:rsidRPr="007A3506">
        <w:rPr>
          <w:rFonts w:cstheme="minorHAnsi"/>
          <w:lang w:eastAsia="en-AU"/>
        </w:rPr>
        <w:t>.</w:t>
      </w:r>
    </w:p>
    <w:p w14:paraId="1A2AF3F8" w14:textId="50FFB5D3" w:rsidR="00E967B4" w:rsidRPr="007A3506" w:rsidRDefault="004C49C4" w:rsidP="00AD7506">
      <w:pPr>
        <w:pStyle w:val="PURPLEBullet"/>
        <w:spacing w:after="200"/>
        <w:rPr>
          <w:rFonts w:cstheme="minorHAnsi"/>
          <w:lang w:eastAsia="en-AU"/>
        </w:rPr>
      </w:pPr>
      <w:r w:rsidRPr="007A3506">
        <w:rPr>
          <w:rFonts w:cstheme="minorHAnsi"/>
          <w:lang w:eastAsia="en-AU"/>
        </w:rPr>
        <w:t>T</w:t>
      </w:r>
      <w:r w:rsidR="00E967B4" w:rsidRPr="007A3506">
        <w:rPr>
          <w:rFonts w:cstheme="minorHAnsi"/>
          <w:lang w:eastAsia="en-AU"/>
        </w:rPr>
        <w:t>he FSC and the Scheme sufficiently address currently understood hazards within the building and construction industry, including more recently acknowledged hazards</w:t>
      </w:r>
      <w:r w:rsidRPr="007A3506">
        <w:rPr>
          <w:rFonts w:cstheme="minorHAnsi"/>
          <w:lang w:eastAsia="en-AU"/>
        </w:rPr>
        <w:t>.</w:t>
      </w:r>
    </w:p>
    <w:p w14:paraId="7CDE25FD" w14:textId="3933B830" w:rsidR="00E967B4" w:rsidRPr="007A3506" w:rsidRDefault="004C49C4" w:rsidP="00AD7506">
      <w:pPr>
        <w:pStyle w:val="PURPLEBullet"/>
        <w:spacing w:after="200"/>
        <w:rPr>
          <w:rFonts w:cstheme="minorHAnsi"/>
          <w:lang w:eastAsia="en-AU"/>
        </w:rPr>
      </w:pPr>
      <w:r w:rsidRPr="007A3506">
        <w:rPr>
          <w:rFonts w:cstheme="minorHAnsi"/>
          <w:lang w:eastAsia="en-AU"/>
        </w:rPr>
        <w:t>I</w:t>
      </w:r>
      <w:r w:rsidR="00E967B4" w:rsidRPr="007A3506">
        <w:rPr>
          <w:rFonts w:cstheme="minorHAnsi"/>
          <w:lang w:eastAsia="en-AU"/>
        </w:rPr>
        <w:t xml:space="preserve">t is appropriate to charge </w:t>
      </w:r>
      <w:r w:rsidR="00C737CA" w:rsidRPr="007A3506">
        <w:rPr>
          <w:rFonts w:cstheme="minorHAnsi"/>
          <w:lang w:eastAsia="en-AU"/>
        </w:rPr>
        <w:t>entities</w:t>
      </w:r>
      <w:r w:rsidR="00E967B4" w:rsidRPr="007A3506">
        <w:rPr>
          <w:rFonts w:cstheme="minorHAnsi"/>
          <w:lang w:eastAsia="en-AU"/>
        </w:rPr>
        <w:t xml:space="preserve"> seeking accreditation in accordance with the Australian Government Cost Recovery Guidelines and, if so, what impact this may have on the industry and how could such charging be levied fairly noting the varying size of accredited </w:t>
      </w:r>
      <w:r w:rsidR="00C737CA" w:rsidRPr="007A3506">
        <w:rPr>
          <w:rFonts w:cstheme="minorHAnsi"/>
          <w:lang w:eastAsia="en-AU"/>
        </w:rPr>
        <w:t>entitie</w:t>
      </w:r>
      <w:r w:rsidR="00FA31E7" w:rsidRPr="007A3506">
        <w:rPr>
          <w:rFonts w:cstheme="minorHAnsi"/>
          <w:lang w:eastAsia="en-AU"/>
        </w:rPr>
        <w:t>s</w:t>
      </w:r>
      <w:r w:rsidRPr="007A3506">
        <w:rPr>
          <w:rFonts w:cstheme="minorHAnsi"/>
          <w:lang w:eastAsia="en-AU"/>
        </w:rPr>
        <w:t>.</w:t>
      </w:r>
    </w:p>
    <w:p w14:paraId="71646440" w14:textId="4EBAC83A" w:rsidR="00E967B4" w:rsidRPr="007A3506" w:rsidRDefault="004C49C4" w:rsidP="00AD7506">
      <w:pPr>
        <w:pStyle w:val="PURPLEBullet"/>
        <w:spacing w:after="200"/>
        <w:rPr>
          <w:rFonts w:cstheme="minorHAnsi"/>
          <w:lang w:eastAsia="en-AU"/>
        </w:rPr>
      </w:pPr>
      <w:r w:rsidRPr="007A3506">
        <w:rPr>
          <w:rFonts w:cstheme="minorHAnsi"/>
          <w:lang w:eastAsia="en-AU"/>
        </w:rPr>
        <w:t>C</w:t>
      </w:r>
      <w:r w:rsidR="00E967B4" w:rsidRPr="007A3506">
        <w:rPr>
          <w:rFonts w:cstheme="minorHAnsi"/>
          <w:lang w:eastAsia="en-AU"/>
        </w:rPr>
        <w:t>hanges to the functions of the FSC or the requirements and implementation of the Scheme are necessary to support implementation of the Government’s priorities such as the Buy Australia Plan and a Better Deal for Small Business</w:t>
      </w:r>
      <w:r w:rsidRPr="007A3506">
        <w:rPr>
          <w:rFonts w:cstheme="minorHAnsi"/>
          <w:lang w:eastAsia="en-AU"/>
        </w:rPr>
        <w:t>.</w:t>
      </w:r>
    </w:p>
    <w:p w14:paraId="3366E981" w14:textId="1496F1C2" w:rsidR="00E967B4" w:rsidRPr="007A3506" w:rsidRDefault="004C49C4" w:rsidP="00AD7506">
      <w:pPr>
        <w:pStyle w:val="PURPLEBullet"/>
        <w:spacing w:after="200"/>
        <w:rPr>
          <w:rFonts w:cstheme="minorHAnsi"/>
          <w:lang w:eastAsia="en-AU"/>
        </w:rPr>
      </w:pPr>
      <w:r w:rsidRPr="007A3506">
        <w:rPr>
          <w:rFonts w:cstheme="minorHAnsi"/>
          <w:lang w:eastAsia="en-AU"/>
        </w:rPr>
        <w:lastRenderedPageBreak/>
        <w:t>W</w:t>
      </w:r>
      <w:r w:rsidR="00E967B4" w:rsidRPr="007A3506">
        <w:rPr>
          <w:rFonts w:cstheme="minorHAnsi"/>
          <w:lang w:eastAsia="en-AU"/>
        </w:rPr>
        <w:t>hether the safety performance of other industries which Government funds</w:t>
      </w:r>
      <w:r w:rsidR="00E967B4" w:rsidRPr="007A3506">
        <w:rPr>
          <w:rStyle w:val="FootnoteReference"/>
          <w:rFonts w:cstheme="minorHAnsi"/>
          <w:lang w:eastAsia="en-AU"/>
        </w:rPr>
        <w:footnoteReference w:id="54"/>
      </w:r>
      <w:r w:rsidR="00E967B4" w:rsidRPr="007A3506">
        <w:rPr>
          <w:rFonts w:cstheme="minorHAnsi"/>
          <w:lang w:eastAsia="en-AU"/>
        </w:rPr>
        <w:t xml:space="preserve"> warrants expanding the FSC and the Scheme, taking into consideration factors such as cost, resources and existing regulation. If expansion to other industries is proposed, the review should outline how implementation should occur.</w:t>
      </w:r>
    </w:p>
    <w:p w14:paraId="766AF790" w14:textId="1A53A387" w:rsidR="005E5CD0" w:rsidRPr="007A3506" w:rsidRDefault="00E967B4" w:rsidP="00AD7506">
      <w:pPr>
        <w:rPr>
          <w:rFonts w:cstheme="minorHAnsi"/>
        </w:rPr>
      </w:pPr>
      <w:r w:rsidRPr="007A3506">
        <w:rPr>
          <w:rFonts w:cstheme="minorHAnsi"/>
        </w:rPr>
        <w:t>The review should report to the Minister for Workplace Relations in late 2023.</w:t>
      </w:r>
      <w:r w:rsidR="005E5CD0" w:rsidRPr="007A3506">
        <w:rPr>
          <w:rFonts w:cstheme="minorHAnsi"/>
        </w:rPr>
        <w:t xml:space="preserve"> </w:t>
      </w:r>
      <w:r w:rsidR="005E5CD0" w:rsidRPr="007A3506">
        <w:rPr>
          <w:rFonts w:cstheme="minorHAnsi"/>
          <w:noProof/>
        </w:rPr>
        <w:drawing>
          <wp:anchor distT="0" distB="0" distL="114300" distR="114300" simplePos="0" relativeHeight="251658243" behindDoc="1" locked="1" layoutInCell="1" allowOverlap="1" wp14:anchorId="5A64B829" wp14:editId="01046C42">
            <wp:simplePos x="0" y="0"/>
            <wp:positionH relativeFrom="page">
              <wp:posOffset>6985</wp:posOffset>
            </wp:positionH>
            <wp:positionV relativeFrom="page">
              <wp:posOffset>9525</wp:posOffset>
            </wp:positionV>
            <wp:extent cx="7547610" cy="6830060"/>
            <wp:effectExtent l="0" t="0" r="0" b="889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24"/>
                    <a:srcRect b="36027"/>
                    <a:stretch/>
                  </pic:blipFill>
                  <pic:spPr bwMode="auto">
                    <a:xfrm>
                      <a:off x="0" y="0"/>
                      <a:ext cx="7547610" cy="683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335FF0" w14:textId="4E2A4A79" w:rsidR="005E5CD0" w:rsidRPr="007A3506" w:rsidRDefault="005E5CD0">
      <w:pPr>
        <w:spacing w:after="160" w:line="259" w:lineRule="auto"/>
        <w:rPr>
          <w:rFonts w:cstheme="minorHAnsi"/>
        </w:rPr>
      </w:pPr>
      <w:r w:rsidRPr="007A3506">
        <w:rPr>
          <w:rFonts w:cstheme="minorHAnsi"/>
        </w:rPr>
        <w:br w:type="page"/>
      </w:r>
    </w:p>
    <w:p w14:paraId="02508D84" w14:textId="3A32E8F6" w:rsidR="00270015" w:rsidRPr="007A3506" w:rsidRDefault="005E5CD0" w:rsidP="00270015">
      <w:pPr>
        <w:pStyle w:val="Heading1"/>
        <w:rPr>
          <w:rFonts w:asciiTheme="minorHAnsi" w:hAnsiTheme="minorHAnsi" w:cstheme="minorHAnsi"/>
        </w:rPr>
      </w:pPr>
      <w:bookmarkStart w:id="131" w:name="_Toc138428308"/>
      <w:bookmarkStart w:id="132" w:name="_Toc199857743"/>
      <w:bookmarkStart w:id="133" w:name="_Toc139261472"/>
      <w:r w:rsidRPr="007A3506">
        <w:rPr>
          <w:rFonts w:asciiTheme="minorHAnsi" w:hAnsiTheme="minorHAnsi" w:cstheme="minorHAnsi"/>
        </w:rPr>
        <w:lastRenderedPageBreak/>
        <w:t>Appendix B</w:t>
      </w:r>
      <w:r w:rsidR="00C136E5" w:rsidRPr="007A3506">
        <w:rPr>
          <w:rFonts w:asciiTheme="minorHAnsi" w:hAnsiTheme="minorHAnsi" w:cstheme="minorHAnsi"/>
        </w:rPr>
        <w:t xml:space="preserve"> </w:t>
      </w:r>
      <w:r w:rsidR="003A0E96" w:rsidRPr="007A3506">
        <w:rPr>
          <w:rFonts w:asciiTheme="minorHAnsi" w:hAnsiTheme="minorHAnsi" w:cstheme="minorHAnsi"/>
        </w:rPr>
        <w:br/>
      </w:r>
      <w:r w:rsidR="00E326F9" w:rsidRPr="007A3506">
        <w:rPr>
          <w:rFonts w:asciiTheme="minorHAnsi" w:hAnsiTheme="minorHAnsi" w:cstheme="minorHAnsi"/>
        </w:rPr>
        <w:t>Key Terms</w:t>
      </w:r>
      <w:bookmarkEnd w:id="131"/>
      <w:bookmarkEnd w:id="132"/>
      <w:bookmarkEnd w:id="133"/>
    </w:p>
    <w:tbl>
      <w:tblPr>
        <w:tblStyle w:val="DataTable1"/>
        <w:tblW w:w="9214" w:type="dxa"/>
        <w:tblLook w:val="04A0" w:firstRow="1" w:lastRow="0" w:firstColumn="1" w:lastColumn="0" w:noHBand="0" w:noVBand="1"/>
      </w:tblPr>
      <w:tblGrid>
        <w:gridCol w:w="2552"/>
        <w:gridCol w:w="6662"/>
      </w:tblGrid>
      <w:tr w:rsidR="006A3871" w:rsidRPr="00E412D6" w14:paraId="1D470CFB" w14:textId="77777777" w:rsidTr="009E4413">
        <w:trPr>
          <w:cnfStyle w:val="100000000000" w:firstRow="1" w:lastRow="0" w:firstColumn="0" w:lastColumn="0" w:oddVBand="0" w:evenVBand="0" w:oddHBand="0" w:evenHBand="0" w:firstRowFirstColumn="0" w:firstRowLastColumn="0" w:lastRowFirstColumn="0" w:lastRowLastColumn="0"/>
          <w:trHeight w:val="399"/>
        </w:trPr>
        <w:tc>
          <w:tcPr>
            <w:tcW w:w="0" w:type="dxa"/>
          </w:tcPr>
          <w:p w14:paraId="1058D52B" w14:textId="77777777" w:rsidR="00640ECA" w:rsidRPr="007A3506" w:rsidRDefault="00640ECA">
            <w:pPr>
              <w:pStyle w:val="TableColumnHeader"/>
              <w:rPr>
                <w:rFonts w:asciiTheme="minorHAnsi" w:hAnsiTheme="minorHAnsi" w:cstheme="minorHAnsi"/>
              </w:rPr>
            </w:pPr>
            <w:r w:rsidRPr="007A3506">
              <w:rPr>
                <w:rFonts w:asciiTheme="minorHAnsi" w:hAnsiTheme="minorHAnsi" w:cstheme="minorHAnsi"/>
              </w:rPr>
              <w:t>Term</w:t>
            </w:r>
          </w:p>
        </w:tc>
        <w:tc>
          <w:tcPr>
            <w:tcW w:w="0" w:type="dxa"/>
          </w:tcPr>
          <w:p w14:paraId="3AF67DDB" w14:textId="77777777" w:rsidR="00640ECA" w:rsidRPr="007A3506" w:rsidRDefault="00640ECA">
            <w:pPr>
              <w:pStyle w:val="TableColumnHeader"/>
              <w:rPr>
                <w:rFonts w:asciiTheme="minorHAnsi" w:hAnsiTheme="minorHAnsi" w:cstheme="minorHAnsi"/>
              </w:rPr>
            </w:pPr>
            <w:r w:rsidRPr="007A3506">
              <w:rPr>
                <w:rFonts w:asciiTheme="minorHAnsi" w:hAnsiTheme="minorHAnsi" w:cstheme="minorHAnsi"/>
              </w:rPr>
              <w:t>Definition</w:t>
            </w:r>
          </w:p>
        </w:tc>
      </w:tr>
      <w:tr w:rsidR="00640ECA" w:rsidRPr="00E412D6" w14:paraId="420F4D85" w14:textId="77777777" w:rsidTr="009E4413">
        <w:tc>
          <w:tcPr>
            <w:tcW w:w="2552" w:type="dxa"/>
          </w:tcPr>
          <w:p w14:paraId="49C9CB88" w14:textId="77777777" w:rsidR="00640ECA" w:rsidRPr="007A3506" w:rsidRDefault="00640ECA">
            <w:pPr>
              <w:pStyle w:val="TableRowHeader"/>
              <w:rPr>
                <w:rFonts w:cstheme="minorHAnsi"/>
                <w:b w:val="0"/>
              </w:rPr>
            </w:pPr>
            <w:r w:rsidRPr="007A3506">
              <w:rPr>
                <w:rFonts w:cstheme="minorHAnsi"/>
              </w:rPr>
              <w:t>Act</w:t>
            </w:r>
          </w:p>
        </w:tc>
        <w:tc>
          <w:tcPr>
            <w:tcW w:w="6662" w:type="dxa"/>
          </w:tcPr>
          <w:p w14:paraId="5D91EBC8" w14:textId="77777777" w:rsidR="00640ECA" w:rsidRPr="007A3506" w:rsidRDefault="00640ECA">
            <w:pPr>
              <w:pStyle w:val="TableRowData"/>
              <w:rPr>
                <w:rFonts w:cstheme="minorHAnsi"/>
              </w:rPr>
            </w:pPr>
            <w:r w:rsidRPr="007A3506">
              <w:rPr>
                <w:rFonts w:cstheme="minorHAnsi"/>
                <w:i/>
              </w:rPr>
              <w:t>Federal Safety Commissioner Act 2022</w:t>
            </w:r>
            <w:r w:rsidRPr="007A3506">
              <w:rPr>
                <w:rFonts w:cstheme="minorHAnsi"/>
              </w:rPr>
              <w:t xml:space="preserve"> (Cth)</w:t>
            </w:r>
          </w:p>
        </w:tc>
      </w:tr>
      <w:tr w:rsidR="00640ECA" w:rsidRPr="00E412D6" w14:paraId="104E96EB" w14:textId="77777777" w:rsidTr="009E4413">
        <w:trPr>
          <w:trHeight w:val="317"/>
        </w:trPr>
        <w:tc>
          <w:tcPr>
            <w:tcW w:w="2552" w:type="dxa"/>
            <w:shd w:val="clear" w:color="auto" w:fill="F2F2F2" w:themeFill="background1" w:themeFillShade="F2"/>
          </w:tcPr>
          <w:p w14:paraId="601DB670" w14:textId="77777777" w:rsidR="00640ECA" w:rsidRPr="007A3506" w:rsidRDefault="00640ECA">
            <w:pPr>
              <w:pStyle w:val="TableRowHeader"/>
              <w:rPr>
                <w:rFonts w:cstheme="minorHAnsi"/>
              </w:rPr>
            </w:pPr>
            <w:r w:rsidRPr="007A3506">
              <w:rPr>
                <w:rFonts w:cstheme="minorHAnsi"/>
              </w:rPr>
              <w:t>CAR</w:t>
            </w:r>
          </w:p>
        </w:tc>
        <w:tc>
          <w:tcPr>
            <w:tcW w:w="6662" w:type="dxa"/>
            <w:shd w:val="clear" w:color="auto" w:fill="F2F2F2" w:themeFill="background1" w:themeFillShade="F2"/>
          </w:tcPr>
          <w:p w14:paraId="6EECDFB2" w14:textId="3EAC97A0" w:rsidR="00640ECA" w:rsidRPr="007A3506" w:rsidRDefault="00640ECA">
            <w:pPr>
              <w:pStyle w:val="TableRowData"/>
              <w:rPr>
                <w:rFonts w:cstheme="minorHAnsi"/>
              </w:rPr>
            </w:pPr>
            <w:r w:rsidRPr="007A3506">
              <w:rPr>
                <w:rFonts w:cstheme="minorHAnsi"/>
              </w:rPr>
              <w:t>Corrective Action</w:t>
            </w:r>
            <w:r w:rsidR="002833EF" w:rsidRPr="007A3506">
              <w:rPr>
                <w:rFonts w:cstheme="minorHAnsi"/>
              </w:rPr>
              <w:t xml:space="preserve"> Report</w:t>
            </w:r>
          </w:p>
        </w:tc>
      </w:tr>
      <w:tr w:rsidR="00640ECA" w:rsidRPr="00E412D6" w14:paraId="0F5E9B33" w14:textId="77777777" w:rsidTr="009E4413">
        <w:tc>
          <w:tcPr>
            <w:tcW w:w="2552" w:type="dxa"/>
          </w:tcPr>
          <w:p w14:paraId="32007489" w14:textId="77777777" w:rsidR="00640ECA" w:rsidRPr="007A3506" w:rsidRDefault="00640ECA">
            <w:pPr>
              <w:pStyle w:val="TableTotals"/>
              <w:rPr>
                <w:rFonts w:cstheme="minorHAnsi"/>
              </w:rPr>
            </w:pPr>
            <w:r w:rsidRPr="007A3506">
              <w:rPr>
                <w:rFonts w:cstheme="minorHAnsi"/>
              </w:rPr>
              <w:t>CW</w:t>
            </w:r>
          </w:p>
        </w:tc>
        <w:tc>
          <w:tcPr>
            <w:tcW w:w="6662" w:type="dxa"/>
          </w:tcPr>
          <w:p w14:paraId="56838A54" w14:textId="6A062C1C" w:rsidR="00640ECA" w:rsidRPr="007A3506" w:rsidRDefault="00A930AB">
            <w:pPr>
              <w:pStyle w:val="TableTotals"/>
              <w:rPr>
                <w:rFonts w:cstheme="minorHAnsi"/>
                <w:b w:val="0"/>
              </w:rPr>
            </w:pPr>
            <w:r w:rsidRPr="007A3506">
              <w:rPr>
                <w:rFonts w:cstheme="minorHAnsi"/>
                <w:b w:val="0"/>
              </w:rPr>
              <w:t>Commonwealth</w:t>
            </w:r>
          </w:p>
        </w:tc>
      </w:tr>
      <w:tr w:rsidR="00640ECA" w:rsidRPr="00E412D6" w14:paraId="6F8B274D" w14:textId="77777777" w:rsidTr="009E4413">
        <w:tc>
          <w:tcPr>
            <w:tcW w:w="2552" w:type="dxa"/>
            <w:shd w:val="clear" w:color="auto" w:fill="F2F2F2" w:themeFill="background1" w:themeFillShade="F2"/>
          </w:tcPr>
          <w:p w14:paraId="3B74AF78" w14:textId="77777777" w:rsidR="00640ECA" w:rsidRPr="007A3506" w:rsidRDefault="00640ECA">
            <w:pPr>
              <w:pStyle w:val="TableRowHeader"/>
              <w:rPr>
                <w:rFonts w:cstheme="minorHAnsi"/>
              </w:rPr>
            </w:pPr>
            <w:r w:rsidRPr="007A3506">
              <w:rPr>
                <w:rFonts w:cstheme="minorHAnsi"/>
              </w:rPr>
              <w:t>FSC</w:t>
            </w:r>
          </w:p>
        </w:tc>
        <w:tc>
          <w:tcPr>
            <w:tcW w:w="6662" w:type="dxa"/>
            <w:shd w:val="clear" w:color="auto" w:fill="F2F2F2" w:themeFill="background1" w:themeFillShade="F2"/>
          </w:tcPr>
          <w:p w14:paraId="067C746D" w14:textId="77777777" w:rsidR="00640ECA" w:rsidRPr="007A3506" w:rsidRDefault="00640ECA">
            <w:pPr>
              <w:pStyle w:val="TableTotals"/>
              <w:rPr>
                <w:rFonts w:cstheme="minorHAnsi"/>
                <w:b w:val="0"/>
              </w:rPr>
            </w:pPr>
            <w:r w:rsidRPr="007A3506">
              <w:rPr>
                <w:rFonts w:cstheme="minorHAnsi"/>
                <w:b w:val="0"/>
              </w:rPr>
              <w:t>Federal Safety Commissioner</w:t>
            </w:r>
          </w:p>
        </w:tc>
      </w:tr>
      <w:tr w:rsidR="00640ECA" w:rsidRPr="00E412D6" w14:paraId="4BD3B53A" w14:textId="77777777" w:rsidTr="009E4413">
        <w:tc>
          <w:tcPr>
            <w:tcW w:w="2552" w:type="dxa"/>
          </w:tcPr>
          <w:p w14:paraId="486FAD88" w14:textId="77777777" w:rsidR="00640ECA" w:rsidRPr="007A3506" w:rsidRDefault="00640ECA">
            <w:pPr>
              <w:pStyle w:val="TableTotals"/>
              <w:rPr>
                <w:rFonts w:cstheme="minorHAnsi"/>
              </w:rPr>
            </w:pPr>
            <w:r w:rsidRPr="007A3506">
              <w:rPr>
                <w:rFonts w:cstheme="minorHAnsi"/>
              </w:rPr>
              <w:t>FSO</w:t>
            </w:r>
          </w:p>
        </w:tc>
        <w:tc>
          <w:tcPr>
            <w:tcW w:w="6662" w:type="dxa"/>
          </w:tcPr>
          <w:p w14:paraId="7F611E48" w14:textId="77777777" w:rsidR="00640ECA" w:rsidRPr="007A3506" w:rsidRDefault="00640ECA">
            <w:pPr>
              <w:pStyle w:val="TableTotals"/>
              <w:rPr>
                <w:rFonts w:cstheme="minorHAnsi"/>
                <w:b w:val="0"/>
              </w:rPr>
            </w:pPr>
            <w:r w:rsidRPr="007A3506">
              <w:rPr>
                <w:rFonts w:cstheme="minorHAnsi"/>
                <w:b w:val="0"/>
              </w:rPr>
              <w:t>Federal Safety Officer</w:t>
            </w:r>
          </w:p>
        </w:tc>
      </w:tr>
      <w:tr w:rsidR="00640ECA" w:rsidRPr="00E412D6" w14:paraId="354BEA94" w14:textId="77777777" w:rsidTr="009E4413">
        <w:tc>
          <w:tcPr>
            <w:tcW w:w="2552" w:type="dxa"/>
            <w:shd w:val="clear" w:color="auto" w:fill="F2F2F2" w:themeFill="background1" w:themeFillShade="F2"/>
          </w:tcPr>
          <w:p w14:paraId="13DC62B1" w14:textId="77777777" w:rsidR="00640ECA" w:rsidRPr="007A3506" w:rsidRDefault="00640ECA">
            <w:pPr>
              <w:pStyle w:val="TableTotals"/>
              <w:rPr>
                <w:rFonts w:cstheme="minorHAnsi"/>
              </w:rPr>
            </w:pPr>
            <w:r w:rsidRPr="007A3506">
              <w:rPr>
                <w:rFonts w:cstheme="minorHAnsi"/>
              </w:rPr>
              <w:t>LTI</w:t>
            </w:r>
          </w:p>
        </w:tc>
        <w:tc>
          <w:tcPr>
            <w:tcW w:w="6662" w:type="dxa"/>
            <w:shd w:val="clear" w:color="auto" w:fill="F2F2F2" w:themeFill="background1" w:themeFillShade="F2"/>
          </w:tcPr>
          <w:p w14:paraId="08C2D401" w14:textId="77777777" w:rsidR="00640ECA" w:rsidRPr="007A3506" w:rsidRDefault="00640ECA">
            <w:pPr>
              <w:pStyle w:val="TableTotals"/>
              <w:rPr>
                <w:rFonts w:cstheme="minorHAnsi"/>
                <w:b w:val="0"/>
              </w:rPr>
            </w:pPr>
            <w:r w:rsidRPr="007A3506">
              <w:rPr>
                <w:rFonts w:cstheme="minorHAnsi"/>
                <w:b w:val="0"/>
              </w:rPr>
              <w:t>Lost Time Injury</w:t>
            </w:r>
          </w:p>
        </w:tc>
      </w:tr>
      <w:tr w:rsidR="00FE773E" w:rsidRPr="00E412D6" w14:paraId="48C3DE46" w14:textId="77777777" w:rsidTr="00FE773E">
        <w:tc>
          <w:tcPr>
            <w:tcW w:w="2552" w:type="dxa"/>
            <w:shd w:val="clear" w:color="auto" w:fill="auto"/>
          </w:tcPr>
          <w:p w14:paraId="69C9FEBD" w14:textId="578C42DC" w:rsidR="00FE773E" w:rsidRPr="007A3506" w:rsidRDefault="00FE773E">
            <w:pPr>
              <w:pStyle w:val="TableTotals"/>
              <w:rPr>
                <w:rFonts w:cstheme="minorHAnsi"/>
              </w:rPr>
            </w:pPr>
            <w:r w:rsidRPr="007A3506">
              <w:rPr>
                <w:rFonts w:cstheme="minorHAnsi"/>
              </w:rPr>
              <w:t>LTIFR</w:t>
            </w:r>
          </w:p>
        </w:tc>
        <w:tc>
          <w:tcPr>
            <w:tcW w:w="6662" w:type="dxa"/>
            <w:shd w:val="clear" w:color="auto" w:fill="auto"/>
          </w:tcPr>
          <w:p w14:paraId="053E7966" w14:textId="6AB9BC2D" w:rsidR="00FE773E" w:rsidRPr="007A3506" w:rsidRDefault="00FE773E">
            <w:pPr>
              <w:pStyle w:val="TableTotals"/>
              <w:rPr>
                <w:rFonts w:cstheme="minorHAnsi"/>
                <w:b w:val="0"/>
              </w:rPr>
            </w:pPr>
            <w:r w:rsidRPr="007A3506">
              <w:rPr>
                <w:rFonts w:cstheme="minorHAnsi"/>
                <w:b w:val="0"/>
              </w:rPr>
              <w:t>Lost Time Injury Frequency Rate</w:t>
            </w:r>
          </w:p>
        </w:tc>
      </w:tr>
      <w:tr w:rsidR="00640ECA" w:rsidRPr="00E412D6" w14:paraId="42DACB45" w14:textId="77777777" w:rsidTr="00FE773E">
        <w:tc>
          <w:tcPr>
            <w:tcW w:w="2552" w:type="dxa"/>
            <w:shd w:val="clear" w:color="auto" w:fill="F2F2F2" w:themeFill="background1" w:themeFillShade="F2"/>
          </w:tcPr>
          <w:p w14:paraId="3C72FCCB" w14:textId="77777777" w:rsidR="00640ECA" w:rsidRPr="007A3506" w:rsidRDefault="00640ECA">
            <w:pPr>
              <w:pStyle w:val="TableTotals"/>
              <w:rPr>
                <w:rFonts w:cstheme="minorHAnsi"/>
              </w:rPr>
            </w:pPr>
            <w:r w:rsidRPr="007A3506">
              <w:rPr>
                <w:rFonts w:cstheme="minorHAnsi"/>
              </w:rPr>
              <w:t>MTI</w:t>
            </w:r>
          </w:p>
        </w:tc>
        <w:tc>
          <w:tcPr>
            <w:tcW w:w="6662" w:type="dxa"/>
            <w:shd w:val="clear" w:color="auto" w:fill="F2F2F2" w:themeFill="background1" w:themeFillShade="F2"/>
          </w:tcPr>
          <w:p w14:paraId="2258C719" w14:textId="77777777" w:rsidR="00640ECA" w:rsidRPr="007A3506" w:rsidRDefault="00640ECA">
            <w:pPr>
              <w:pStyle w:val="TableTotals"/>
              <w:rPr>
                <w:rFonts w:cstheme="minorHAnsi"/>
                <w:b w:val="0"/>
              </w:rPr>
            </w:pPr>
            <w:r w:rsidRPr="007A3506">
              <w:rPr>
                <w:rFonts w:cstheme="minorHAnsi"/>
                <w:b w:val="0"/>
              </w:rPr>
              <w:t>Medically Treated Injury</w:t>
            </w:r>
          </w:p>
        </w:tc>
      </w:tr>
      <w:tr w:rsidR="00640ECA" w:rsidRPr="00E412D6" w14:paraId="54F4FC80" w14:textId="77777777" w:rsidTr="00FE773E">
        <w:tc>
          <w:tcPr>
            <w:tcW w:w="2552" w:type="dxa"/>
            <w:shd w:val="clear" w:color="auto" w:fill="auto"/>
          </w:tcPr>
          <w:p w14:paraId="5EB4F0F4" w14:textId="77777777" w:rsidR="00640ECA" w:rsidRPr="007A3506" w:rsidRDefault="00640ECA">
            <w:pPr>
              <w:pStyle w:val="TableTotals"/>
              <w:rPr>
                <w:rFonts w:cstheme="minorHAnsi"/>
              </w:rPr>
            </w:pPr>
            <w:r w:rsidRPr="007A3506">
              <w:rPr>
                <w:rFonts w:cstheme="minorHAnsi"/>
              </w:rPr>
              <w:t>NCC</w:t>
            </w:r>
          </w:p>
        </w:tc>
        <w:tc>
          <w:tcPr>
            <w:tcW w:w="6662" w:type="dxa"/>
            <w:shd w:val="clear" w:color="auto" w:fill="auto"/>
          </w:tcPr>
          <w:p w14:paraId="5E8CA724" w14:textId="77777777" w:rsidR="00640ECA" w:rsidRPr="007A3506" w:rsidRDefault="00640ECA">
            <w:pPr>
              <w:pStyle w:val="TableTotals"/>
              <w:rPr>
                <w:rFonts w:cstheme="minorHAnsi"/>
                <w:b w:val="0"/>
              </w:rPr>
            </w:pPr>
            <w:r w:rsidRPr="007A3506">
              <w:rPr>
                <w:rFonts w:cstheme="minorHAnsi"/>
                <w:b w:val="0"/>
              </w:rPr>
              <w:t>National Construction Code</w:t>
            </w:r>
          </w:p>
        </w:tc>
      </w:tr>
      <w:tr w:rsidR="00640ECA" w:rsidRPr="00E412D6" w14:paraId="5854177A" w14:textId="77777777" w:rsidTr="00FE773E">
        <w:tc>
          <w:tcPr>
            <w:tcW w:w="2552" w:type="dxa"/>
            <w:shd w:val="clear" w:color="auto" w:fill="F2F2F2" w:themeFill="background1" w:themeFillShade="F2"/>
          </w:tcPr>
          <w:p w14:paraId="55878DF8" w14:textId="77777777" w:rsidR="00640ECA" w:rsidRPr="007A3506" w:rsidRDefault="00640ECA">
            <w:pPr>
              <w:pStyle w:val="TableTotals"/>
              <w:rPr>
                <w:rFonts w:cstheme="minorHAnsi"/>
              </w:rPr>
            </w:pPr>
            <w:r w:rsidRPr="007A3506">
              <w:rPr>
                <w:rFonts w:cstheme="minorHAnsi"/>
              </w:rPr>
              <w:t>Royal Commission</w:t>
            </w:r>
          </w:p>
        </w:tc>
        <w:tc>
          <w:tcPr>
            <w:tcW w:w="6662" w:type="dxa"/>
            <w:shd w:val="clear" w:color="auto" w:fill="F2F2F2" w:themeFill="background1" w:themeFillShade="F2"/>
          </w:tcPr>
          <w:p w14:paraId="4C5E4A45" w14:textId="27688C5B" w:rsidR="00640ECA" w:rsidRPr="007A3506" w:rsidRDefault="00640ECA">
            <w:pPr>
              <w:pStyle w:val="TableTotals"/>
              <w:rPr>
                <w:rFonts w:cstheme="minorHAnsi"/>
                <w:b w:val="0"/>
              </w:rPr>
            </w:pPr>
            <w:r w:rsidRPr="007A3506">
              <w:rPr>
                <w:rFonts w:cstheme="minorHAnsi"/>
                <w:b w:val="0"/>
              </w:rPr>
              <w:t xml:space="preserve">Final Report of the Royal Commission into the Building and Construction </w:t>
            </w:r>
            <w:r w:rsidR="007B2F49" w:rsidRPr="007A3506">
              <w:rPr>
                <w:rFonts w:cstheme="minorHAnsi"/>
                <w:b w:val="0"/>
              </w:rPr>
              <w:t>Industry</w:t>
            </w:r>
          </w:p>
        </w:tc>
      </w:tr>
      <w:tr w:rsidR="00640ECA" w:rsidRPr="00E412D6" w14:paraId="7CFDF67F" w14:textId="77777777" w:rsidTr="00FE773E">
        <w:tc>
          <w:tcPr>
            <w:tcW w:w="2552" w:type="dxa"/>
            <w:shd w:val="clear" w:color="auto" w:fill="auto"/>
          </w:tcPr>
          <w:p w14:paraId="2D157811" w14:textId="77777777" w:rsidR="00640ECA" w:rsidRPr="007A3506" w:rsidRDefault="00640ECA">
            <w:pPr>
              <w:pStyle w:val="TableTotals"/>
              <w:rPr>
                <w:rFonts w:cstheme="minorHAnsi"/>
              </w:rPr>
            </w:pPr>
            <w:r w:rsidRPr="007A3506">
              <w:rPr>
                <w:rFonts w:cstheme="minorHAnsi"/>
              </w:rPr>
              <w:t>Rules</w:t>
            </w:r>
          </w:p>
        </w:tc>
        <w:tc>
          <w:tcPr>
            <w:tcW w:w="6662" w:type="dxa"/>
            <w:shd w:val="clear" w:color="auto" w:fill="auto"/>
          </w:tcPr>
          <w:p w14:paraId="2BABE85D" w14:textId="6236284D" w:rsidR="00640ECA" w:rsidRPr="007A3506" w:rsidRDefault="00640ECA">
            <w:pPr>
              <w:pStyle w:val="TableTotals"/>
              <w:rPr>
                <w:rFonts w:cstheme="minorHAnsi"/>
                <w:b w:val="0"/>
                <w:i/>
              </w:rPr>
            </w:pPr>
            <w:r w:rsidRPr="007A3506">
              <w:rPr>
                <w:rFonts w:cstheme="minorHAnsi"/>
                <w:b w:val="0"/>
                <w:i/>
              </w:rPr>
              <w:t>Building and Construction Industry (Improving Productivity) (Accreditation Scheme) Rules 2019</w:t>
            </w:r>
          </w:p>
        </w:tc>
      </w:tr>
      <w:tr w:rsidR="00640ECA" w:rsidRPr="00E412D6" w14:paraId="21DF2A53" w14:textId="77777777" w:rsidTr="00FE773E">
        <w:tc>
          <w:tcPr>
            <w:tcW w:w="2552" w:type="dxa"/>
            <w:shd w:val="clear" w:color="auto" w:fill="F2F2F2" w:themeFill="background1" w:themeFillShade="F2"/>
          </w:tcPr>
          <w:p w14:paraId="35E6679D" w14:textId="77777777" w:rsidR="00640ECA" w:rsidRPr="007A3506" w:rsidRDefault="00640ECA">
            <w:pPr>
              <w:pStyle w:val="TableTotals"/>
              <w:rPr>
                <w:rFonts w:cstheme="minorHAnsi"/>
              </w:rPr>
            </w:pPr>
            <w:r w:rsidRPr="007A3506">
              <w:rPr>
                <w:rFonts w:cstheme="minorHAnsi"/>
              </w:rPr>
              <w:t>Scheme</w:t>
            </w:r>
          </w:p>
        </w:tc>
        <w:tc>
          <w:tcPr>
            <w:tcW w:w="6662" w:type="dxa"/>
            <w:shd w:val="clear" w:color="auto" w:fill="F2F2F2" w:themeFill="background1" w:themeFillShade="F2"/>
          </w:tcPr>
          <w:p w14:paraId="6321C714" w14:textId="77777777" w:rsidR="00640ECA" w:rsidRPr="007A3506" w:rsidRDefault="00640ECA">
            <w:pPr>
              <w:pStyle w:val="TableTotals"/>
              <w:rPr>
                <w:rFonts w:cstheme="minorHAnsi"/>
                <w:b w:val="0"/>
              </w:rPr>
            </w:pPr>
            <w:r w:rsidRPr="007A3506">
              <w:rPr>
                <w:rFonts w:cstheme="minorHAnsi"/>
                <w:b w:val="0"/>
              </w:rPr>
              <w:t>Work Health and Safety Accreditation Scheme</w:t>
            </w:r>
          </w:p>
        </w:tc>
      </w:tr>
      <w:tr w:rsidR="00640ECA" w:rsidRPr="00E412D6" w14:paraId="6BBD08F4" w14:textId="77777777" w:rsidTr="00FE773E">
        <w:tc>
          <w:tcPr>
            <w:tcW w:w="2552" w:type="dxa"/>
            <w:shd w:val="clear" w:color="auto" w:fill="auto"/>
          </w:tcPr>
          <w:p w14:paraId="096786C0" w14:textId="77777777" w:rsidR="00640ECA" w:rsidRPr="007A3506" w:rsidRDefault="00640ECA">
            <w:pPr>
              <w:pStyle w:val="TableTotals"/>
              <w:rPr>
                <w:rFonts w:cstheme="minorHAnsi"/>
              </w:rPr>
            </w:pPr>
            <w:r w:rsidRPr="007A3506">
              <w:rPr>
                <w:rFonts w:cstheme="minorHAnsi"/>
              </w:rPr>
              <w:t>SWA</w:t>
            </w:r>
          </w:p>
        </w:tc>
        <w:tc>
          <w:tcPr>
            <w:tcW w:w="6662" w:type="dxa"/>
            <w:shd w:val="clear" w:color="auto" w:fill="auto"/>
          </w:tcPr>
          <w:p w14:paraId="63A929FF" w14:textId="77777777" w:rsidR="00640ECA" w:rsidRPr="007A3506" w:rsidRDefault="00640ECA">
            <w:pPr>
              <w:pStyle w:val="TableTotals"/>
              <w:rPr>
                <w:rFonts w:cstheme="minorHAnsi"/>
                <w:b w:val="0"/>
              </w:rPr>
            </w:pPr>
            <w:r w:rsidRPr="007A3506">
              <w:rPr>
                <w:rFonts w:cstheme="minorHAnsi"/>
                <w:b w:val="0"/>
              </w:rPr>
              <w:t>Safe Work Australia</w:t>
            </w:r>
          </w:p>
        </w:tc>
      </w:tr>
      <w:tr w:rsidR="00640ECA" w:rsidRPr="00E412D6" w14:paraId="75BA8B71" w14:textId="77777777" w:rsidTr="00FE773E">
        <w:tc>
          <w:tcPr>
            <w:tcW w:w="2552" w:type="dxa"/>
            <w:shd w:val="clear" w:color="auto" w:fill="F2F2F2" w:themeFill="background1" w:themeFillShade="F2"/>
          </w:tcPr>
          <w:p w14:paraId="4E0D795E" w14:textId="77777777" w:rsidR="00640ECA" w:rsidRPr="007A3506" w:rsidRDefault="00640ECA">
            <w:pPr>
              <w:pStyle w:val="TableTotals"/>
              <w:rPr>
                <w:rFonts w:cstheme="minorHAnsi"/>
              </w:rPr>
            </w:pPr>
            <w:r w:rsidRPr="007A3506">
              <w:rPr>
                <w:rFonts w:cstheme="minorHAnsi"/>
              </w:rPr>
              <w:t>WHS</w:t>
            </w:r>
          </w:p>
        </w:tc>
        <w:tc>
          <w:tcPr>
            <w:tcW w:w="6662" w:type="dxa"/>
            <w:shd w:val="clear" w:color="auto" w:fill="F2F2F2" w:themeFill="background1" w:themeFillShade="F2"/>
          </w:tcPr>
          <w:p w14:paraId="75F5E762" w14:textId="77777777" w:rsidR="00640ECA" w:rsidRPr="007A3506" w:rsidRDefault="00640ECA">
            <w:pPr>
              <w:pStyle w:val="TableTotals"/>
              <w:rPr>
                <w:rFonts w:cstheme="minorHAnsi"/>
                <w:b w:val="0"/>
              </w:rPr>
            </w:pPr>
            <w:r w:rsidRPr="007A3506">
              <w:rPr>
                <w:rFonts w:cstheme="minorHAnsi"/>
                <w:b w:val="0"/>
              </w:rPr>
              <w:t>Work Health and Safety</w:t>
            </w:r>
          </w:p>
        </w:tc>
      </w:tr>
    </w:tbl>
    <w:p w14:paraId="6579C515" w14:textId="42C8D39A" w:rsidR="00831215" w:rsidRPr="007A3506" w:rsidRDefault="00B313DE" w:rsidP="00E967B4">
      <w:pPr>
        <w:rPr>
          <w:rFonts w:cstheme="minorHAnsi"/>
        </w:rPr>
      </w:pPr>
      <w:r w:rsidRPr="007A3506">
        <w:rPr>
          <w:rFonts w:cstheme="minorHAnsi"/>
          <w:noProof/>
        </w:rPr>
        <w:drawing>
          <wp:anchor distT="0" distB="0" distL="114300" distR="114300" simplePos="0" relativeHeight="251658241" behindDoc="1" locked="1" layoutInCell="1" allowOverlap="1" wp14:anchorId="0FF5EBC3" wp14:editId="3A92DE51">
            <wp:simplePos x="0" y="0"/>
            <wp:positionH relativeFrom="page">
              <wp:posOffset>0</wp:posOffset>
            </wp:positionH>
            <wp:positionV relativeFrom="page">
              <wp:posOffset>6985</wp:posOffset>
            </wp:positionV>
            <wp:extent cx="7547610" cy="6830060"/>
            <wp:effectExtent l="0" t="0" r="0" b="889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24"/>
                    <a:srcRect b="36027"/>
                    <a:stretch/>
                  </pic:blipFill>
                  <pic:spPr bwMode="auto">
                    <a:xfrm>
                      <a:off x="0" y="0"/>
                      <a:ext cx="7547610" cy="683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31215" w:rsidRPr="007A3506" w:rsidSect="00422B89">
      <w:headerReference w:type="even" r:id="rId25"/>
      <w:headerReference w:type="default" r:id="rId26"/>
      <w:footerReference w:type="default" r:id="rId27"/>
      <w:headerReference w:type="first" r:id="rId28"/>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A966D" w14:textId="77777777" w:rsidR="004736B0" w:rsidRDefault="004736B0" w:rsidP="0051352E">
      <w:pPr>
        <w:spacing w:after="0" w:line="240" w:lineRule="auto"/>
      </w:pPr>
      <w:r>
        <w:separator/>
      </w:r>
    </w:p>
    <w:p w14:paraId="3D698700" w14:textId="77777777" w:rsidR="004736B0" w:rsidRDefault="004736B0"/>
  </w:endnote>
  <w:endnote w:type="continuationSeparator" w:id="0">
    <w:p w14:paraId="2E4F37E7" w14:textId="77777777" w:rsidR="004736B0" w:rsidRDefault="004736B0" w:rsidP="0051352E">
      <w:pPr>
        <w:spacing w:after="0" w:line="240" w:lineRule="auto"/>
      </w:pPr>
      <w:r>
        <w:continuationSeparator/>
      </w:r>
    </w:p>
    <w:p w14:paraId="302066C5" w14:textId="77777777" w:rsidR="004736B0" w:rsidRDefault="004736B0"/>
  </w:endnote>
  <w:endnote w:type="continuationNotice" w:id="1">
    <w:p w14:paraId="10C3B2B1" w14:textId="77777777" w:rsidR="004736B0" w:rsidRDefault="004736B0">
      <w:pPr>
        <w:spacing w:after="0" w:line="240" w:lineRule="auto"/>
      </w:pPr>
    </w:p>
    <w:p w14:paraId="3EAAE8F2" w14:textId="77777777" w:rsidR="004736B0" w:rsidRDefault="00473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6CDD" w14:textId="54362813" w:rsidR="005D154C" w:rsidRDefault="00F640C3" w:rsidP="00577137">
    <w:pPr>
      <w:pStyle w:val="Footer"/>
      <w:jc w:val="right"/>
      <w:rPr>
        <w:noProof/>
      </w:rPr>
    </w:pPr>
    <w:r>
      <w:t>Independent Review of the Federal Safety Commissioner – Discussion Paper</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4280F44F" w14:textId="77777777" w:rsidR="00513041" w:rsidRDefault="005130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75472" w14:textId="77777777" w:rsidR="004736B0" w:rsidRDefault="004736B0" w:rsidP="0051352E">
      <w:pPr>
        <w:spacing w:after="0" w:line="240" w:lineRule="auto"/>
      </w:pPr>
      <w:r>
        <w:separator/>
      </w:r>
    </w:p>
  </w:footnote>
  <w:footnote w:type="continuationSeparator" w:id="0">
    <w:p w14:paraId="3920CB5E" w14:textId="77777777" w:rsidR="004736B0" w:rsidRDefault="004736B0" w:rsidP="0051352E">
      <w:pPr>
        <w:spacing w:after="0" w:line="240" w:lineRule="auto"/>
      </w:pPr>
      <w:r>
        <w:continuationSeparator/>
      </w:r>
    </w:p>
    <w:p w14:paraId="3A269BBB" w14:textId="77777777" w:rsidR="004736B0" w:rsidRDefault="004736B0"/>
  </w:footnote>
  <w:footnote w:type="continuationNotice" w:id="1">
    <w:p w14:paraId="58776C9E" w14:textId="77777777" w:rsidR="004736B0" w:rsidRDefault="004736B0">
      <w:pPr>
        <w:spacing w:after="0" w:line="240" w:lineRule="auto"/>
      </w:pPr>
    </w:p>
    <w:p w14:paraId="788ECA6D" w14:textId="77777777" w:rsidR="004736B0" w:rsidRDefault="004736B0"/>
  </w:footnote>
  <w:footnote w:id="2">
    <w:p w14:paraId="3873A25E" w14:textId="4ADBDAD1" w:rsidR="00F640C3" w:rsidRPr="007A3506" w:rsidRDefault="00F640C3" w:rsidP="00F640C3">
      <w:pPr>
        <w:pStyle w:val="FootnoteText"/>
        <w:rPr>
          <w:rFonts w:asciiTheme="minorHAnsi" w:hAnsiTheme="minorHAnsi" w:cstheme="minorHAnsi"/>
        </w:rPr>
      </w:pPr>
      <w:r w:rsidRPr="007A3506">
        <w:rPr>
          <w:rStyle w:val="FootnoteReference"/>
          <w:rFonts w:asciiTheme="minorHAnsi" w:eastAsiaTheme="minorEastAsia" w:hAnsiTheme="minorHAnsi" w:cstheme="minorHAnsi"/>
        </w:rPr>
        <w:footnoteRef/>
      </w:r>
      <w:r w:rsidRPr="007A3506">
        <w:rPr>
          <w:rFonts w:asciiTheme="minorHAnsi" w:hAnsiTheme="minorHAnsi" w:cstheme="minorHAnsi"/>
        </w:rPr>
        <w:t xml:space="preserve"> Safe Work Australia, </w:t>
      </w:r>
      <w:hyperlink r:id="rId1" w:history="1">
        <w:r w:rsidRPr="007A3506">
          <w:rPr>
            <w:rStyle w:val="Hyperlink"/>
            <w:rFonts w:asciiTheme="minorHAnsi" w:hAnsiTheme="minorHAnsi" w:cstheme="minorHAnsi"/>
            <w:i/>
            <w:iCs/>
          </w:rPr>
          <w:t>Key work health and safety statistics</w:t>
        </w:r>
      </w:hyperlink>
      <w:r w:rsidRPr="007A3506">
        <w:rPr>
          <w:rFonts w:asciiTheme="minorHAnsi" w:hAnsiTheme="minorHAnsi" w:cstheme="minorHAnsi"/>
          <w:i/>
          <w:iCs/>
        </w:rPr>
        <w:t>,</w:t>
      </w:r>
      <w:r w:rsidRPr="007A3506">
        <w:rPr>
          <w:rFonts w:asciiTheme="minorHAnsi" w:hAnsiTheme="minorHAnsi" w:cstheme="minorHAnsi"/>
        </w:rPr>
        <w:t xml:space="preserve"> Australia 2022.</w:t>
      </w:r>
    </w:p>
  </w:footnote>
  <w:footnote w:id="3">
    <w:p w14:paraId="4728B6A8" w14:textId="77777777" w:rsidR="00F640C3" w:rsidRPr="007A3506" w:rsidRDefault="00F640C3" w:rsidP="00F640C3">
      <w:pPr>
        <w:pStyle w:val="FootnoteText"/>
        <w:rPr>
          <w:rFonts w:asciiTheme="minorHAnsi" w:hAnsiTheme="minorHAnsi" w:cstheme="minorHAnsi"/>
        </w:rPr>
      </w:pPr>
      <w:r w:rsidRPr="007A3506">
        <w:rPr>
          <w:rStyle w:val="FootnoteReference"/>
          <w:rFonts w:asciiTheme="minorHAnsi" w:eastAsiaTheme="minorEastAsia" w:hAnsiTheme="minorHAnsi" w:cstheme="minorHAnsi"/>
        </w:rPr>
        <w:footnoteRef/>
      </w:r>
      <w:r w:rsidRPr="007A3506">
        <w:rPr>
          <w:rFonts w:asciiTheme="minorHAnsi" w:hAnsiTheme="minorHAnsi" w:cstheme="minorHAnsi"/>
        </w:rPr>
        <w:t xml:space="preserve"> Initially known as the Office of the Commissioner for Occupational Health and Safety in the building and construction industry.</w:t>
      </w:r>
    </w:p>
  </w:footnote>
  <w:footnote w:id="4">
    <w:p w14:paraId="7FF421F2" w14:textId="0822C50E" w:rsidR="00F640C3" w:rsidRPr="007A3506" w:rsidRDefault="00F640C3" w:rsidP="00F640C3">
      <w:pPr>
        <w:pStyle w:val="FootnoteText"/>
        <w:rPr>
          <w:rFonts w:asciiTheme="minorHAnsi" w:hAnsiTheme="minorHAnsi" w:cstheme="minorHAnsi"/>
        </w:rPr>
      </w:pPr>
      <w:r w:rsidRPr="007A3506">
        <w:rPr>
          <w:rStyle w:val="FootnoteReference"/>
          <w:rFonts w:asciiTheme="minorHAnsi" w:eastAsiaTheme="minorEastAsia" w:hAnsiTheme="minorHAnsi" w:cstheme="minorHAnsi"/>
        </w:rPr>
        <w:footnoteRef/>
      </w:r>
      <w:r w:rsidRPr="007A3506">
        <w:rPr>
          <w:rFonts w:asciiTheme="minorHAnsi" w:hAnsiTheme="minorHAnsi" w:cstheme="minorHAnsi"/>
        </w:rPr>
        <w:t xml:space="preserve"> Federal Safety Officers are appointed under section 68 of the </w:t>
      </w:r>
      <w:r w:rsidR="00C8172A" w:rsidRPr="007A3506">
        <w:rPr>
          <w:rFonts w:asciiTheme="minorHAnsi" w:hAnsiTheme="minorHAnsi" w:cstheme="minorHAnsi"/>
          <w:i/>
          <w:iCs/>
        </w:rPr>
        <w:t>Federal Safety Commissioner Act 2022</w:t>
      </w:r>
      <w:r w:rsidR="00C8172A" w:rsidRPr="007A3506">
        <w:rPr>
          <w:rFonts w:asciiTheme="minorHAnsi" w:hAnsiTheme="minorHAnsi" w:cstheme="minorHAnsi"/>
        </w:rPr>
        <w:t xml:space="preserve"> (Cth) </w:t>
      </w:r>
      <w:r w:rsidRPr="007A3506">
        <w:rPr>
          <w:rFonts w:asciiTheme="minorHAnsi" w:hAnsiTheme="minorHAnsi" w:cstheme="minorHAnsi"/>
        </w:rPr>
        <w:t>and conduct audits for the FSC.</w:t>
      </w:r>
    </w:p>
  </w:footnote>
  <w:footnote w:id="5">
    <w:p w14:paraId="585C2843" w14:textId="1C2081DD" w:rsidR="001F5D55" w:rsidRPr="007A3506" w:rsidRDefault="001F5D55">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See </w:t>
      </w:r>
      <w:hyperlink w:anchor="_The_Review_Process" w:history="1">
        <w:r w:rsidRPr="007A3506">
          <w:rPr>
            <w:rStyle w:val="Hyperlink"/>
            <w:rFonts w:asciiTheme="minorHAnsi" w:hAnsiTheme="minorHAnsi" w:cstheme="minorHAnsi"/>
          </w:rPr>
          <w:t xml:space="preserve">page </w:t>
        </w:r>
        <w:r w:rsidR="00996C71" w:rsidRPr="007A3506">
          <w:rPr>
            <w:rStyle w:val="Hyperlink"/>
            <w:rFonts w:asciiTheme="minorHAnsi" w:hAnsiTheme="minorHAnsi" w:cstheme="minorHAnsi"/>
          </w:rPr>
          <w:t>5</w:t>
        </w:r>
      </w:hyperlink>
      <w:r w:rsidR="00996C71" w:rsidRPr="007A3506">
        <w:rPr>
          <w:rFonts w:asciiTheme="minorHAnsi" w:hAnsiTheme="minorHAnsi" w:cstheme="minorHAnsi"/>
        </w:rPr>
        <w:t xml:space="preserve"> for more details on the review process.</w:t>
      </w:r>
    </w:p>
  </w:footnote>
  <w:footnote w:id="6">
    <w:p w14:paraId="6DADD8FF" w14:textId="7BC46419" w:rsidR="00DD006C" w:rsidRPr="007A3506" w:rsidRDefault="00DD006C" w:rsidP="00DD006C">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See the </w:t>
      </w:r>
      <w:hyperlink r:id="rId2" w:history="1">
        <w:r w:rsidRPr="007A3506">
          <w:rPr>
            <w:rStyle w:val="Hyperlink"/>
            <w:rFonts w:asciiTheme="minorHAnsi" w:hAnsiTheme="minorHAnsi" w:cstheme="minorHAnsi"/>
            <w:i/>
            <w:iCs/>
          </w:rPr>
          <w:t>Building and Construction Industry (Improving Productivity) (Accreditation Scheme) Rules 2019</w:t>
        </w:r>
      </w:hyperlink>
      <w:r w:rsidRPr="007A3506">
        <w:rPr>
          <w:rStyle w:val="Hyperlink"/>
          <w:rFonts w:asciiTheme="minorHAnsi" w:hAnsiTheme="minorHAnsi" w:cstheme="minorHAnsi"/>
          <w:color w:val="auto"/>
          <w:u w:val="none"/>
        </w:rPr>
        <w:t>.</w:t>
      </w:r>
    </w:p>
  </w:footnote>
  <w:footnote w:id="7">
    <w:p w14:paraId="1D2B973F" w14:textId="77777777" w:rsidR="00735CD7" w:rsidRPr="007A3506" w:rsidRDefault="00735CD7" w:rsidP="00735CD7">
      <w:pPr>
        <w:pStyle w:val="FootnoteText"/>
        <w:rPr>
          <w:rFonts w:asciiTheme="minorHAnsi" w:hAnsiTheme="minorHAnsi" w:cstheme="minorHAnsi"/>
        </w:rPr>
      </w:pPr>
      <w:r w:rsidRPr="007A3506">
        <w:rPr>
          <w:rStyle w:val="FootnoteReference"/>
          <w:rFonts w:asciiTheme="minorHAnsi" w:eastAsiaTheme="majorEastAsia" w:hAnsiTheme="minorHAnsi" w:cstheme="minorHAnsi"/>
        </w:rPr>
        <w:footnoteRef/>
      </w:r>
      <w:r w:rsidRPr="007A3506">
        <w:rPr>
          <w:rFonts w:asciiTheme="minorHAnsi" w:hAnsiTheme="minorHAnsi" w:cstheme="minorHAnsi"/>
        </w:rPr>
        <w:t xml:space="preserve"> For projects that are indirectly funded by the CW, the CW funding must represent 50% of the total or be over $10 million regardless of what proportion it represents. </w:t>
      </w:r>
    </w:p>
  </w:footnote>
  <w:footnote w:id="8">
    <w:p w14:paraId="2C560582" w14:textId="22510176" w:rsidR="00735CD7" w:rsidRPr="007A3506" w:rsidRDefault="00735CD7" w:rsidP="00735CD7">
      <w:pPr>
        <w:pStyle w:val="FootnoteText"/>
        <w:rPr>
          <w:rFonts w:asciiTheme="minorHAnsi" w:hAnsiTheme="minorHAnsi" w:cstheme="minorHAnsi"/>
        </w:rPr>
      </w:pPr>
      <w:r w:rsidRPr="007A3506">
        <w:rPr>
          <w:rStyle w:val="FootnoteReference"/>
          <w:rFonts w:asciiTheme="minorHAnsi" w:eastAsiaTheme="majorEastAsia" w:hAnsiTheme="minorHAnsi" w:cstheme="minorHAnsi"/>
        </w:rPr>
        <w:footnoteRef/>
      </w:r>
      <w:r w:rsidRPr="007A3506">
        <w:rPr>
          <w:rFonts w:asciiTheme="minorHAnsi" w:hAnsiTheme="minorHAnsi" w:cstheme="minorHAnsi"/>
        </w:rPr>
        <w:t xml:space="preserve"> For a more detailed discussion of the FSC’s role in relation to the NCC see</w:t>
      </w:r>
      <w:r w:rsidR="00470701" w:rsidRPr="007A3506">
        <w:rPr>
          <w:rFonts w:asciiTheme="minorHAnsi" w:hAnsiTheme="minorHAnsi" w:cstheme="minorHAnsi"/>
        </w:rPr>
        <w:t xml:space="preserve"> </w:t>
      </w:r>
      <w:hyperlink w:anchor="_Question_8" w:history="1">
        <w:r w:rsidR="00470701" w:rsidRPr="00470701">
          <w:rPr>
            <w:rStyle w:val="Hyperlink"/>
            <w:rFonts w:asciiTheme="minorHAnsi" w:hAnsiTheme="minorHAnsi" w:cstheme="minorHAnsi"/>
          </w:rPr>
          <w:t>page 20</w:t>
        </w:r>
      </w:hyperlink>
      <w:r w:rsidRPr="007A3506">
        <w:rPr>
          <w:rFonts w:asciiTheme="minorHAnsi" w:hAnsiTheme="minorHAnsi" w:cstheme="minorHAnsi"/>
        </w:rPr>
        <w:t>.</w:t>
      </w:r>
    </w:p>
  </w:footnote>
  <w:footnote w:id="9">
    <w:p w14:paraId="7B1E19D9" w14:textId="5169E25C" w:rsidR="00735CD7" w:rsidRPr="007A3506" w:rsidRDefault="00735CD7" w:rsidP="00735CD7">
      <w:pPr>
        <w:pStyle w:val="FootnoteText"/>
        <w:rPr>
          <w:rFonts w:asciiTheme="minorHAnsi" w:hAnsiTheme="minorHAnsi" w:cstheme="minorHAnsi"/>
        </w:rPr>
      </w:pPr>
      <w:r w:rsidRPr="007A3506">
        <w:rPr>
          <w:rStyle w:val="FootnoteReference"/>
          <w:rFonts w:asciiTheme="minorHAnsi" w:eastAsiaTheme="majorEastAsia" w:hAnsiTheme="minorHAnsi" w:cstheme="minorHAnsi"/>
        </w:rPr>
        <w:footnoteRef/>
      </w:r>
      <w:r w:rsidRPr="007A3506">
        <w:rPr>
          <w:rFonts w:asciiTheme="minorHAnsi" w:hAnsiTheme="minorHAnsi" w:cstheme="minorHAnsi"/>
        </w:rPr>
        <w:t xml:space="preserve"> </w:t>
      </w:r>
      <w:r w:rsidR="008D75E9" w:rsidRPr="007A3506">
        <w:rPr>
          <w:rFonts w:asciiTheme="minorHAnsi" w:hAnsiTheme="minorHAnsi" w:cstheme="minorHAnsi"/>
        </w:rPr>
        <w:t>See</w:t>
      </w:r>
      <w:r w:rsidR="006A18BF" w:rsidRPr="007A3506">
        <w:rPr>
          <w:rFonts w:asciiTheme="minorHAnsi" w:hAnsiTheme="minorHAnsi" w:cstheme="minorHAnsi"/>
        </w:rPr>
        <w:t xml:space="preserve"> the </w:t>
      </w:r>
      <w:hyperlink r:id="rId3" w:history="1">
        <w:r w:rsidR="000030AC" w:rsidRPr="007A3506">
          <w:rPr>
            <w:rStyle w:val="Hyperlink"/>
            <w:rFonts w:asciiTheme="minorHAnsi" w:hAnsiTheme="minorHAnsi" w:cstheme="minorHAnsi"/>
          </w:rPr>
          <w:t>FSC Audit Criteria Guidelines</w:t>
        </w:r>
      </w:hyperlink>
      <w:r w:rsidR="000030AC" w:rsidRPr="007A3506">
        <w:rPr>
          <w:rFonts w:asciiTheme="minorHAnsi" w:hAnsiTheme="minorHAnsi" w:cstheme="minorHAnsi"/>
        </w:rPr>
        <w:t>.</w:t>
      </w:r>
    </w:p>
  </w:footnote>
  <w:footnote w:id="10">
    <w:p w14:paraId="0010D45D" w14:textId="3020D23F" w:rsidR="00D97CAE" w:rsidRPr="007A3506" w:rsidRDefault="00D97CAE" w:rsidP="00D97CAE">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Newly accredited </w:t>
      </w:r>
      <w:r w:rsidR="00BD6AA6" w:rsidRPr="007A3506">
        <w:rPr>
          <w:rFonts w:asciiTheme="minorHAnsi" w:hAnsiTheme="minorHAnsi" w:cstheme="minorHAnsi"/>
        </w:rPr>
        <w:t>entities</w:t>
      </w:r>
      <w:r w:rsidRPr="007A3506">
        <w:rPr>
          <w:rFonts w:asciiTheme="minorHAnsi" w:hAnsiTheme="minorHAnsi" w:cstheme="minorHAnsi"/>
        </w:rPr>
        <w:t xml:space="preserve"> are allocated a medium risk rating until a post accreditation audit indicates they are eligible to move to low risk.</w:t>
      </w:r>
    </w:p>
  </w:footnote>
  <w:footnote w:id="11">
    <w:p w14:paraId="25DAF957" w14:textId="3BF24F86" w:rsidR="002766BC" w:rsidRPr="007A3506" w:rsidRDefault="002766BC">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26357D" w:rsidRPr="007A3506">
        <w:rPr>
          <w:rFonts w:asciiTheme="minorHAnsi" w:hAnsiTheme="minorHAnsi" w:cstheme="minorHAnsi"/>
        </w:rPr>
        <w:t xml:space="preserve">Office of the Federal Safety Commissioner, </w:t>
      </w:r>
      <w:hyperlink r:id="rId4" w:history="1">
        <w:r w:rsidR="0026357D" w:rsidRPr="007A3506">
          <w:rPr>
            <w:rStyle w:val="Hyperlink"/>
            <w:rFonts w:asciiTheme="minorHAnsi" w:hAnsiTheme="minorHAnsi" w:cstheme="minorHAnsi"/>
            <w:i/>
            <w:iCs/>
          </w:rPr>
          <w:t>WHS Accreditation Scheme Company Compliance Policy</w:t>
        </w:r>
      </w:hyperlink>
      <w:r w:rsidR="0026357D" w:rsidRPr="007A3506">
        <w:rPr>
          <w:rFonts w:asciiTheme="minorHAnsi" w:hAnsiTheme="minorHAnsi" w:cstheme="minorHAnsi"/>
        </w:rPr>
        <w:t>, p8</w:t>
      </w:r>
    </w:p>
  </w:footnote>
  <w:footnote w:id="12">
    <w:p w14:paraId="14DA27A6" w14:textId="21ED6865" w:rsidR="00A03F24" w:rsidRPr="007A3506" w:rsidRDefault="00A03F24">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See the </w:t>
      </w:r>
      <w:r w:rsidR="00810883" w:rsidRPr="007A3506">
        <w:rPr>
          <w:rFonts w:asciiTheme="minorHAnsi" w:hAnsiTheme="minorHAnsi" w:cstheme="minorHAnsi"/>
        </w:rPr>
        <w:t xml:space="preserve">Reporting Requirements section of this Discussion Paper </w:t>
      </w:r>
      <w:r w:rsidR="00FB0342" w:rsidRPr="007A3506">
        <w:rPr>
          <w:rFonts w:asciiTheme="minorHAnsi" w:hAnsiTheme="minorHAnsi" w:cstheme="minorHAnsi"/>
        </w:rPr>
        <w:t xml:space="preserve">at </w:t>
      </w:r>
      <w:hyperlink w:anchor="_3.3.1_Reporting_Requirements_1" w:history="1">
        <w:r w:rsidR="00FB0342" w:rsidRPr="007F6249">
          <w:rPr>
            <w:rStyle w:val="Hyperlink"/>
            <w:rFonts w:asciiTheme="minorHAnsi" w:hAnsiTheme="minorHAnsi" w:cstheme="minorHAnsi"/>
          </w:rPr>
          <w:t xml:space="preserve">page </w:t>
        </w:r>
        <w:r w:rsidR="007F6249" w:rsidRPr="007F6249">
          <w:rPr>
            <w:rStyle w:val="Hyperlink"/>
            <w:rFonts w:asciiTheme="minorHAnsi" w:hAnsiTheme="minorHAnsi" w:cstheme="minorHAnsi"/>
          </w:rPr>
          <w:t>25</w:t>
        </w:r>
      </w:hyperlink>
      <w:r w:rsidR="00FB0342" w:rsidRPr="007A3506">
        <w:rPr>
          <w:rFonts w:asciiTheme="minorHAnsi" w:hAnsiTheme="minorHAnsi" w:cstheme="minorHAnsi"/>
        </w:rPr>
        <w:t xml:space="preserve"> </w:t>
      </w:r>
      <w:r w:rsidR="00810883" w:rsidRPr="007A3506">
        <w:rPr>
          <w:rFonts w:asciiTheme="minorHAnsi" w:hAnsiTheme="minorHAnsi" w:cstheme="minorHAnsi"/>
        </w:rPr>
        <w:t xml:space="preserve">for more details on the data required to be reported to the </w:t>
      </w:r>
      <w:r w:rsidR="00FB0342" w:rsidRPr="007A3506">
        <w:rPr>
          <w:rFonts w:asciiTheme="minorHAnsi" w:hAnsiTheme="minorHAnsi" w:cstheme="minorHAnsi"/>
        </w:rPr>
        <w:t>FSC by accredited entities.</w:t>
      </w:r>
    </w:p>
  </w:footnote>
  <w:footnote w:id="13">
    <w:p w14:paraId="50148B5A" w14:textId="4118E974" w:rsidR="00EA0803" w:rsidRPr="007A3506" w:rsidRDefault="00EA0803" w:rsidP="00EA0803">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370D44" w:rsidRPr="007A3506">
        <w:rPr>
          <w:rFonts w:asciiTheme="minorHAnsi" w:eastAsiaTheme="majorEastAsia" w:hAnsiTheme="minorHAnsi" w:cstheme="minorHAnsi"/>
        </w:rPr>
        <w:t xml:space="preserve">Safe Work Australia, </w:t>
      </w:r>
      <w:hyperlink r:id="rId5" w:history="1">
        <w:r w:rsidRPr="007A3506">
          <w:rPr>
            <w:rStyle w:val="Hyperlink"/>
            <w:rFonts w:asciiTheme="minorHAnsi" w:eastAsiaTheme="majorEastAsia" w:hAnsiTheme="minorHAnsi" w:cstheme="minorHAnsi"/>
            <w:i/>
            <w:iCs/>
          </w:rPr>
          <w:t>Work-related injury fatalities</w:t>
        </w:r>
      </w:hyperlink>
      <w:r w:rsidR="00370D44" w:rsidRPr="007A3506">
        <w:rPr>
          <w:rFonts w:asciiTheme="minorHAnsi" w:eastAsiaTheme="majorEastAsia" w:hAnsiTheme="minorHAnsi" w:cstheme="minorHAnsi"/>
        </w:rPr>
        <w:t>, 17 January 2023</w:t>
      </w:r>
    </w:p>
  </w:footnote>
  <w:footnote w:id="14">
    <w:p w14:paraId="5E50B29D" w14:textId="58A7A9FB" w:rsidR="00BC60B7" w:rsidRPr="007A3506" w:rsidRDefault="00BC60B7">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6B768D" w:rsidRPr="007A3506">
        <w:rPr>
          <w:rFonts w:asciiTheme="minorHAnsi" w:hAnsiTheme="minorHAnsi" w:cstheme="minorHAnsi"/>
        </w:rPr>
        <w:t xml:space="preserve">Safe Work Australia, </w:t>
      </w:r>
      <w:hyperlink r:id="rId6" w:history="1">
        <w:r w:rsidR="006B768D" w:rsidRPr="007A3506">
          <w:rPr>
            <w:rStyle w:val="Hyperlink"/>
            <w:rFonts w:asciiTheme="minorHAnsi" w:hAnsiTheme="minorHAnsi" w:cstheme="minorHAnsi"/>
            <w:i/>
            <w:iCs/>
          </w:rPr>
          <w:t>Work-related Traumatic Injury Fatalities Database</w:t>
        </w:r>
      </w:hyperlink>
      <w:r w:rsidR="006B768D" w:rsidRPr="007A3506">
        <w:rPr>
          <w:rFonts w:asciiTheme="minorHAnsi" w:hAnsiTheme="minorHAnsi" w:cstheme="minorHAnsi"/>
        </w:rPr>
        <w:t>.</w:t>
      </w:r>
    </w:p>
  </w:footnote>
  <w:footnote w:id="15">
    <w:p w14:paraId="5B498CCE" w14:textId="3F713293" w:rsidR="00C83402" w:rsidRPr="007A3506" w:rsidRDefault="00C83402" w:rsidP="00C83402">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Pr="007A3506">
        <w:rPr>
          <w:rFonts w:asciiTheme="minorHAnsi" w:eastAsiaTheme="majorEastAsia" w:hAnsiTheme="minorHAnsi" w:cstheme="minorHAnsi"/>
        </w:rPr>
        <w:t xml:space="preserve">Safe Work Australia, </w:t>
      </w:r>
      <w:hyperlink r:id="rId7" w:history="1">
        <w:r w:rsidRPr="007A3506">
          <w:rPr>
            <w:rStyle w:val="Hyperlink"/>
            <w:rFonts w:asciiTheme="minorHAnsi" w:eastAsiaTheme="majorEastAsia" w:hAnsiTheme="minorHAnsi" w:cstheme="minorHAnsi"/>
            <w:i/>
            <w:iCs/>
          </w:rPr>
          <w:t>Work-related injury fatalities</w:t>
        </w:r>
      </w:hyperlink>
      <w:r w:rsidRPr="007A3506">
        <w:rPr>
          <w:rFonts w:asciiTheme="minorHAnsi" w:eastAsiaTheme="majorEastAsia" w:hAnsiTheme="minorHAnsi" w:cstheme="minorHAnsi"/>
        </w:rPr>
        <w:t>, 17 January 2023</w:t>
      </w:r>
      <w:r w:rsidR="008047C9">
        <w:rPr>
          <w:rFonts w:asciiTheme="minorHAnsi" w:eastAsiaTheme="majorEastAsia" w:hAnsiTheme="minorHAnsi" w:cstheme="minorHAnsi"/>
        </w:rPr>
        <w:t>.</w:t>
      </w:r>
    </w:p>
  </w:footnote>
  <w:footnote w:id="16">
    <w:p w14:paraId="197D1152" w14:textId="6F196E0B" w:rsidR="00CE0E34" w:rsidRPr="007A3506" w:rsidRDefault="00CE0E34">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For more information, please refer to the latest edition of the </w:t>
      </w:r>
      <w:hyperlink r:id="rId8" w:history="1">
        <w:r w:rsidRPr="007A3506">
          <w:rPr>
            <w:rStyle w:val="Hyperlink"/>
            <w:rFonts w:asciiTheme="minorHAnsi" w:hAnsiTheme="minorHAnsi" w:cstheme="minorHAnsi"/>
          </w:rPr>
          <w:t>Comparative Performance Monitoring report</w:t>
        </w:r>
      </w:hyperlink>
      <w:r w:rsidRPr="007A3506">
        <w:rPr>
          <w:rFonts w:asciiTheme="minorHAnsi" w:hAnsiTheme="minorHAnsi" w:cstheme="minorHAnsi"/>
        </w:rPr>
        <w:t>.</w:t>
      </w:r>
    </w:p>
  </w:footnote>
  <w:footnote w:id="17">
    <w:p w14:paraId="17CE8609" w14:textId="5380ED44" w:rsidR="00A76C73" w:rsidRDefault="00A76C73">
      <w:pPr>
        <w:pStyle w:val="FootnoteText"/>
      </w:pPr>
      <w:r w:rsidRPr="00735139">
        <w:rPr>
          <w:rStyle w:val="FootnoteReference"/>
          <w:rFonts w:asciiTheme="minorHAnsi" w:hAnsiTheme="minorHAnsi" w:cstheme="minorHAnsi"/>
        </w:rPr>
        <w:footnoteRef/>
      </w:r>
      <w:r w:rsidRPr="00735139">
        <w:rPr>
          <w:rFonts w:asciiTheme="minorHAnsi" w:hAnsiTheme="minorHAnsi" w:cstheme="minorHAnsi"/>
        </w:rPr>
        <w:t xml:space="preserve"> </w:t>
      </w:r>
      <w:r w:rsidR="0069418B" w:rsidRPr="009A43F5">
        <w:rPr>
          <w:rFonts w:asciiTheme="minorHAnsi" w:hAnsiTheme="minorHAnsi" w:cstheme="minorHAnsi"/>
        </w:rPr>
        <w:t xml:space="preserve">Scheme accredited companies are included in </w:t>
      </w:r>
      <w:r w:rsidR="00034A61">
        <w:rPr>
          <w:rFonts w:asciiTheme="minorHAnsi" w:hAnsiTheme="minorHAnsi" w:cstheme="minorHAnsi"/>
        </w:rPr>
        <w:t>the entire industry</w:t>
      </w:r>
      <w:r w:rsidR="0069418B" w:rsidRPr="009A43F5">
        <w:rPr>
          <w:rFonts w:asciiTheme="minorHAnsi" w:hAnsiTheme="minorHAnsi" w:cstheme="minorHAnsi"/>
        </w:rPr>
        <w:t xml:space="preserve"> figures.</w:t>
      </w:r>
      <w:r w:rsidR="0069418B">
        <w:rPr>
          <w:rFonts w:asciiTheme="minorHAnsi" w:hAnsiTheme="minorHAnsi" w:cstheme="minorHAnsi"/>
        </w:rPr>
        <w:t xml:space="preserve"> </w:t>
      </w:r>
      <w:r w:rsidR="00735139" w:rsidRPr="00735139">
        <w:rPr>
          <w:rFonts w:asciiTheme="minorHAnsi" w:hAnsiTheme="minorHAnsi" w:cstheme="minorHAnsi"/>
        </w:rPr>
        <w:t xml:space="preserve">An LTI is a work-related occurrence that results in a permanent disability or injury resulting in time lost from work of one day/shift or more. </w:t>
      </w:r>
      <w:r w:rsidR="00034A61">
        <w:rPr>
          <w:rFonts w:asciiTheme="minorHAnsi" w:hAnsiTheme="minorHAnsi" w:cstheme="minorHAnsi"/>
        </w:rPr>
        <w:t>P</w:t>
      </w:r>
      <w:r w:rsidR="00735139" w:rsidRPr="00735139">
        <w:rPr>
          <w:rFonts w:asciiTheme="minorHAnsi" w:hAnsiTheme="minorHAnsi" w:cstheme="minorHAnsi"/>
        </w:rPr>
        <w:t xml:space="preserve">ermanent disability is as defined in the legislation of the jurisdiction in which the project is being undertaken. </w:t>
      </w:r>
      <w:r w:rsidR="00850329">
        <w:rPr>
          <w:rFonts w:asciiTheme="minorHAnsi" w:hAnsiTheme="minorHAnsi" w:cstheme="minorHAnsi"/>
        </w:rPr>
        <w:t>Source and m</w:t>
      </w:r>
      <w:r w:rsidR="00735139" w:rsidRPr="00735139">
        <w:rPr>
          <w:rFonts w:asciiTheme="minorHAnsi" w:hAnsiTheme="minorHAnsi" w:cstheme="minorHAnsi"/>
        </w:rPr>
        <w:t xml:space="preserve">ore information about how LTIFRs are calculated can be found at </w:t>
      </w:r>
      <w:hyperlink r:id="rId9" w:history="1">
        <w:r w:rsidR="00735139" w:rsidRPr="00735139">
          <w:rPr>
            <w:rStyle w:val="Hyperlink"/>
            <w:rFonts w:asciiTheme="minorHAnsi" w:hAnsiTheme="minorHAnsi" w:cstheme="minorHAnsi"/>
          </w:rPr>
          <w:t>Lost time injury frequency rates interactive data</w:t>
        </w:r>
      </w:hyperlink>
      <w:r w:rsidR="00735139" w:rsidRPr="00735139">
        <w:rPr>
          <w:rFonts w:asciiTheme="minorHAnsi" w:hAnsiTheme="minorHAnsi" w:cstheme="minorHAnsi"/>
        </w:rPr>
        <w:t>.</w:t>
      </w:r>
    </w:p>
  </w:footnote>
  <w:footnote w:id="18">
    <w:p w14:paraId="0AA7E9C3" w14:textId="4F5D2C71" w:rsidR="006540A5" w:rsidRPr="007A3506" w:rsidRDefault="006540A5" w:rsidP="00A2086E">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Style w:val="FootnoteReference"/>
          <w:rFonts w:asciiTheme="minorHAnsi" w:hAnsiTheme="minorHAnsi" w:cstheme="minorHAnsi"/>
        </w:rPr>
        <w:t xml:space="preserve"> </w:t>
      </w:r>
      <w:r w:rsidRPr="007A3506">
        <w:rPr>
          <w:rFonts w:asciiTheme="minorHAnsi" w:hAnsiTheme="minorHAnsi" w:cstheme="minorHAnsi"/>
        </w:rPr>
        <w:t>Data supplied by the FSC and correct as at 9 June 2023.</w:t>
      </w:r>
      <w:r w:rsidR="004B7971" w:rsidRPr="007A3506">
        <w:rPr>
          <w:rFonts w:asciiTheme="minorHAnsi" w:hAnsiTheme="minorHAnsi" w:cstheme="minorHAnsi"/>
        </w:rPr>
        <w:t xml:space="preserve"> </w:t>
      </w:r>
      <w:r w:rsidRPr="007A3506">
        <w:rPr>
          <w:rFonts w:asciiTheme="minorHAnsi" w:eastAsiaTheme="minorEastAsia" w:hAnsiTheme="minorHAnsi" w:cstheme="minorHAnsi"/>
        </w:rPr>
        <w:t xml:space="preserve"> </w:t>
      </w:r>
      <w:r w:rsidR="00606CDF" w:rsidRPr="007A3506">
        <w:rPr>
          <w:rFonts w:asciiTheme="minorHAnsi" w:hAnsiTheme="minorHAnsi" w:cstheme="minorHAnsi"/>
        </w:rPr>
        <w:t>D</w:t>
      </w:r>
      <w:r w:rsidRPr="007A3506">
        <w:rPr>
          <w:rFonts w:asciiTheme="minorHAnsi" w:eastAsiaTheme="minorEastAsia" w:hAnsiTheme="minorHAnsi" w:cstheme="minorHAnsi"/>
        </w:rPr>
        <w:t xml:space="preserve">ata collected under the Scheme is different to the data collected and reported by </w:t>
      </w:r>
      <w:r w:rsidR="00606CDF" w:rsidRPr="007A3506">
        <w:rPr>
          <w:rFonts w:asciiTheme="minorHAnsi" w:hAnsiTheme="minorHAnsi" w:cstheme="minorHAnsi"/>
        </w:rPr>
        <w:t>SWA</w:t>
      </w:r>
      <w:r w:rsidRPr="007A3506">
        <w:rPr>
          <w:rFonts w:asciiTheme="minorHAnsi" w:eastAsiaTheme="minorEastAsia" w:hAnsiTheme="minorHAnsi" w:cstheme="minorHAnsi"/>
        </w:rPr>
        <w:t>. For example, the FSC does not capture data about vehicle incidents where the incident does not occur on a building or construction site covered by the Scheme.</w:t>
      </w:r>
      <w:r w:rsidR="004B7971" w:rsidRPr="007A3506">
        <w:rPr>
          <w:rFonts w:asciiTheme="minorHAnsi" w:eastAsiaTheme="minorEastAsia" w:hAnsiTheme="minorHAnsi" w:cstheme="minorHAnsi"/>
        </w:rPr>
        <w:t xml:space="preserve"> </w:t>
      </w:r>
      <w:r w:rsidRPr="007A3506">
        <w:rPr>
          <w:rFonts w:asciiTheme="minorHAnsi" w:eastAsiaTheme="minorEastAsia" w:hAnsiTheme="minorHAnsi" w:cstheme="minorHAnsi"/>
        </w:rPr>
        <w:t xml:space="preserve">The FSC does not capture data from certain incidents which occur on an accredited </w:t>
      </w:r>
      <w:r w:rsidR="008F71FD" w:rsidRPr="007A3506">
        <w:rPr>
          <w:rFonts w:asciiTheme="minorHAnsi" w:eastAsiaTheme="minorEastAsia" w:hAnsiTheme="minorHAnsi" w:cstheme="minorHAnsi"/>
        </w:rPr>
        <w:t>entity</w:t>
      </w:r>
      <w:r w:rsidRPr="007A3506">
        <w:rPr>
          <w:rFonts w:asciiTheme="minorHAnsi" w:eastAsiaTheme="minorEastAsia" w:hAnsiTheme="minorHAnsi" w:cstheme="minorHAnsi"/>
        </w:rPr>
        <w:t xml:space="preserve">’s non-Scheme projects. </w:t>
      </w:r>
    </w:p>
  </w:footnote>
  <w:footnote w:id="19">
    <w:p w14:paraId="3E66E396" w14:textId="288198DB" w:rsidR="00B66B58" w:rsidRPr="007A3506" w:rsidRDefault="00B66B58" w:rsidP="00EF22E4">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892213" w:rsidRPr="007A3506">
        <w:rPr>
          <w:rFonts w:asciiTheme="minorHAnsi" w:hAnsiTheme="minorHAnsi" w:cstheme="minorHAnsi"/>
        </w:rPr>
        <w:t>Accredited entitie</w:t>
      </w:r>
      <w:r w:rsidR="00EF22E4" w:rsidRPr="007A3506">
        <w:rPr>
          <w:rFonts w:asciiTheme="minorHAnsi" w:hAnsiTheme="minorHAnsi" w:cstheme="minorHAnsi"/>
        </w:rPr>
        <w:t>s report on number of employees: 0-19 is small, 20-199 is medium, 200+ is large</w:t>
      </w:r>
      <w:r w:rsidR="00375117" w:rsidRPr="007A3506">
        <w:rPr>
          <w:rFonts w:asciiTheme="minorHAnsi" w:hAnsiTheme="minorHAnsi" w:cstheme="minorHAnsi"/>
        </w:rPr>
        <w:t>.</w:t>
      </w:r>
    </w:p>
  </w:footnote>
  <w:footnote w:id="20">
    <w:p w14:paraId="5D3C8D59" w14:textId="4FC9A313" w:rsidR="00FF15C7" w:rsidRPr="007A3506" w:rsidRDefault="00FF15C7" w:rsidP="00043D76">
      <w:pPr>
        <w:pStyle w:val="FootnoteText"/>
        <w:rPr>
          <w:rFonts w:asciiTheme="minorHAnsi" w:hAnsiTheme="minorHAnsi" w:cstheme="minorHAnsi"/>
        </w:rPr>
      </w:pPr>
      <w:r w:rsidRPr="007A3506">
        <w:rPr>
          <w:rStyle w:val="FootnoteReference"/>
          <w:rFonts w:asciiTheme="minorHAnsi" w:hAnsiTheme="minorHAnsi" w:cstheme="minorHAnsi"/>
          <w:szCs w:val="24"/>
          <w:lang w:eastAsia="zh-CN"/>
        </w:rPr>
        <w:footnoteRef/>
      </w:r>
      <w:r w:rsidRPr="007A3506">
        <w:rPr>
          <w:rStyle w:val="FootnoteReference"/>
          <w:rFonts w:asciiTheme="minorHAnsi" w:hAnsiTheme="minorHAnsi" w:cstheme="minorHAnsi"/>
          <w:szCs w:val="24"/>
          <w:lang w:eastAsia="zh-CN"/>
        </w:rPr>
        <w:t xml:space="preserve"> </w:t>
      </w:r>
      <w:r w:rsidRPr="007A3506">
        <w:rPr>
          <w:rFonts w:asciiTheme="minorHAnsi" w:hAnsiTheme="minorHAnsi" w:cstheme="minorHAnsi"/>
        </w:rPr>
        <w:t>The number of accredited entities is from 31 December in each year.</w:t>
      </w:r>
    </w:p>
  </w:footnote>
  <w:footnote w:id="21">
    <w:p w14:paraId="749D2893" w14:textId="0FC2F5E6" w:rsidR="004C487A" w:rsidRPr="007A3506" w:rsidRDefault="004C487A">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As at 30 June 2022.</w:t>
      </w:r>
    </w:p>
  </w:footnote>
  <w:footnote w:id="22">
    <w:p w14:paraId="29B47DEB" w14:textId="548A40BF" w:rsidR="00090E2C" w:rsidRPr="007A3506" w:rsidRDefault="00090E2C">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As at 30 June 2022.</w:t>
      </w:r>
    </w:p>
  </w:footnote>
  <w:footnote w:id="23">
    <w:p w14:paraId="14D1CB8E" w14:textId="77777777" w:rsidR="00091064" w:rsidRPr="007A3506" w:rsidRDefault="00091064" w:rsidP="00091064">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Note this is preliminary data only.</w:t>
      </w:r>
    </w:p>
  </w:footnote>
  <w:footnote w:id="24">
    <w:p w14:paraId="4896CB99" w14:textId="147422D5" w:rsidR="00E06C6F" w:rsidRPr="007A3506" w:rsidRDefault="00E06C6F" w:rsidP="00E06C6F">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The object of the Act is to promote health and safety in relation to building work by a constitutional corporation, the </w:t>
      </w:r>
      <w:r w:rsidR="009D51F4" w:rsidRPr="007A3506">
        <w:rPr>
          <w:rFonts w:asciiTheme="minorHAnsi" w:hAnsiTheme="minorHAnsi" w:cstheme="minorHAnsi"/>
        </w:rPr>
        <w:t>CW</w:t>
      </w:r>
      <w:r w:rsidRPr="007A3506">
        <w:rPr>
          <w:rFonts w:asciiTheme="minorHAnsi" w:hAnsiTheme="minorHAnsi" w:cstheme="minorHAnsi"/>
        </w:rPr>
        <w:t xml:space="preserve"> or a </w:t>
      </w:r>
      <w:r w:rsidR="009D51F4" w:rsidRPr="007A3506">
        <w:rPr>
          <w:rFonts w:asciiTheme="minorHAnsi" w:hAnsiTheme="minorHAnsi" w:cstheme="minorHAnsi"/>
        </w:rPr>
        <w:t>CW</w:t>
      </w:r>
      <w:r w:rsidRPr="007A3506">
        <w:rPr>
          <w:rFonts w:asciiTheme="minorHAnsi" w:hAnsiTheme="minorHAnsi" w:cstheme="minorHAnsi"/>
        </w:rPr>
        <w:t xml:space="preserve"> corporate entity (section 3).</w:t>
      </w:r>
    </w:p>
  </w:footnote>
  <w:footnote w:id="25">
    <w:p w14:paraId="5C0D98DA" w14:textId="77777777" w:rsidR="00E06C6F" w:rsidRPr="007A3506" w:rsidRDefault="00E06C6F" w:rsidP="00E06C6F">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No other functions are currently conferred on the FSC.</w:t>
      </w:r>
    </w:p>
  </w:footnote>
  <w:footnote w:id="26">
    <w:p w14:paraId="10ADCF18" w14:textId="77777777" w:rsidR="00E06C6F" w:rsidRPr="007A3506" w:rsidRDefault="00E06C6F" w:rsidP="00E06C6F">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Section 3(1) of the </w:t>
      </w:r>
      <w:r w:rsidRPr="007A3506">
        <w:rPr>
          <w:rFonts w:asciiTheme="minorHAnsi" w:hAnsiTheme="minorHAnsi" w:cstheme="minorHAnsi"/>
          <w:i/>
          <w:iCs/>
        </w:rPr>
        <w:t>Work Health and Safety Act 2011</w:t>
      </w:r>
      <w:r w:rsidRPr="007A3506">
        <w:rPr>
          <w:rFonts w:asciiTheme="minorHAnsi" w:hAnsiTheme="minorHAnsi" w:cstheme="minorHAnsi"/>
        </w:rPr>
        <w:t xml:space="preserve"> (CW), </w:t>
      </w:r>
      <w:r w:rsidRPr="007A3506">
        <w:rPr>
          <w:rFonts w:asciiTheme="minorHAnsi" w:hAnsiTheme="minorHAnsi" w:cstheme="minorHAnsi"/>
          <w:i/>
          <w:iCs/>
        </w:rPr>
        <w:t>Work Health and Safety Act 2011</w:t>
      </w:r>
      <w:r w:rsidRPr="007A3506">
        <w:rPr>
          <w:rFonts w:asciiTheme="minorHAnsi" w:hAnsiTheme="minorHAnsi" w:cstheme="minorHAnsi"/>
        </w:rPr>
        <w:t xml:space="preserve"> (NSW), </w:t>
      </w:r>
      <w:r w:rsidRPr="007A3506">
        <w:rPr>
          <w:rFonts w:asciiTheme="minorHAnsi" w:hAnsiTheme="minorHAnsi" w:cstheme="minorHAnsi"/>
          <w:i/>
          <w:iCs/>
        </w:rPr>
        <w:t>Work Health and Safety Act 2011</w:t>
      </w:r>
      <w:r w:rsidRPr="007A3506">
        <w:rPr>
          <w:rFonts w:asciiTheme="minorHAnsi" w:hAnsiTheme="minorHAnsi" w:cstheme="minorHAnsi"/>
        </w:rPr>
        <w:t xml:space="preserve"> (QLD), </w:t>
      </w:r>
      <w:r w:rsidRPr="007A3506">
        <w:rPr>
          <w:rFonts w:asciiTheme="minorHAnsi" w:hAnsiTheme="minorHAnsi" w:cstheme="minorHAnsi"/>
          <w:i/>
          <w:iCs/>
        </w:rPr>
        <w:t>Work Health and Safety Act</w:t>
      </w:r>
      <w:r w:rsidRPr="007A3506">
        <w:rPr>
          <w:rFonts w:asciiTheme="minorHAnsi" w:hAnsiTheme="minorHAnsi" w:cstheme="minorHAnsi"/>
        </w:rPr>
        <w:t xml:space="preserve"> </w:t>
      </w:r>
      <w:r w:rsidRPr="007A3506">
        <w:rPr>
          <w:rFonts w:asciiTheme="minorHAnsi" w:hAnsiTheme="minorHAnsi" w:cstheme="minorHAnsi"/>
          <w:i/>
          <w:iCs/>
        </w:rPr>
        <w:t>2011</w:t>
      </w:r>
      <w:r w:rsidRPr="007A3506">
        <w:rPr>
          <w:rFonts w:asciiTheme="minorHAnsi" w:hAnsiTheme="minorHAnsi" w:cstheme="minorHAnsi"/>
        </w:rPr>
        <w:t xml:space="preserve"> (ACT), </w:t>
      </w:r>
      <w:r w:rsidRPr="007A3506">
        <w:rPr>
          <w:rFonts w:asciiTheme="minorHAnsi" w:hAnsiTheme="minorHAnsi" w:cstheme="minorHAnsi"/>
          <w:i/>
          <w:iCs/>
        </w:rPr>
        <w:t>Work Health and Safety Act 2012</w:t>
      </w:r>
      <w:r w:rsidRPr="007A3506">
        <w:rPr>
          <w:rFonts w:asciiTheme="minorHAnsi" w:hAnsiTheme="minorHAnsi" w:cstheme="minorHAnsi"/>
        </w:rPr>
        <w:t xml:space="preserve"> (SA), </w:t>
      </w:r>
      <w:r w:rsidRPr="007A3506">
        <w:rPr>
          <w:rFonts w:asciiTheme="minorHAnsi" w:hAnsiTheme="minorHAnsi" w:cstheme="minorHAnsi"/>
          <w:i/>
          <w:iCs/>
        </w:rPr>
        <w:t>Work Health and Safety Act 2012</w:t>
      </w:r>
      <w:r w:rsidRPr="007A3506">
        <w:rPr>
          <w:rFonts w:asciiTheme="minorHAnsi" w:hAnsiTheme="minorHAnsi" w:cstheme="minorHAnsi"/>
        </w:rPr>
        <w:t xml:space="preserve"> (TAS), </w:t>
      </w:r>
      <w:r w:rsidRPr="007A3506">
        <w:rPr>
          <w:rFonts w:asciiTheme="minorHAnsi" w:hAnsiTheme="minorHAnsi" w:cstheme="minorHAnsi"/>
          <w:i/>
          <w:iCs/>
        </w:rPr>
        <w:t>Work Health and Safety Act 2020</w:t>
      </w:r>
      <w:r w:rsidRPr="007A3506">
        <w:rPr>
          <w:rFonts w:asciiTheme="minorHAnsi" w:hAnsiTheme="minorHAnsi" w:cstheme="minorHAnsi"/>
        </w:rPr>
        <w:t xml:space="preserve"> (WA), </w:t>
      </w:r>
      <w:r w:rsidRPr="007A3506">
        <w:rPr>
          <w:rFonts w:asciiTheme="minorHAnsi" w:hAnsiTheme="minorHAnsi" w:cstheme="minorHAnsi"/>
          <w:i/>
          <w:iCs/>
        </w:rPr>
        <w:t>Work Health and Safety Act 2011</w:t>
      </w:r>
      <w:r w:rsidRPr="007A3506">
        <w:rPr>
          <w:rFonts w:asciiTheme="minorHAnsi" w:hAnsiTheme="minorHAnsi" w:cstheme="minorHAnsi"/>
        </w:rPr>
        <w:t xml:space="preserve"> (NT).</w:t>
      </w:r>
    </w:p>
  </w:footnote>
  <w:footnote w:id="27">
    <w:p w14:paraId="3F3C946C" w14:textId="3DA76AC1" w:rsidR="00770968" w:rsidRPr="007A3506" w:rsidRDefault="00770968" w:rsidP="00770968">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Pr="007A3506">
        <w:rPr>
          <w:rFonts w:asciiTheme="minorHAnsi" w:hAnsiTheme="minorHAnsi" w:cstheme="minorHAnsi"/>
          <w:i/>
          <w:iCs/>
        </w:rPr>
        <w:t>Federal Safety Commissioner Act 2022</w:t>
      </w:r>
      <w:r w:rsidR="001E149F" w:rsidRPr="007A3506">
        <w:rPr>
          <w:rFonts w:asciiTheme="minorHAnsi" w:hAnsiTheme="minorHAnsi" w:cstheme="minorHAnsi"/>
        </w:rPr>
        <w:t>,</w:t>
      </w:r>
      <w:r w:rsidRPr="007A3506">
        <w:rPr>
          <w:rFonts w:asciiTheme="minorHAnsi" w:hAnsiTheme="minorHAnsi" w:cstheme="minorHAnsi"/>
        </w:rPr>
        <w:t xml:space="preserve"> sections 70-79.</w:t>
      </w:r>
    </w:p>
  </w:footnote>
  <w:footnote w:id="28">
    <w:p w14:paraId="3AE80324" w14:textId="77777777" w:rsidR="007C3545" w:rsidRPr="007A3506" w:rsidRDefault="007C3545" w:rsidP="007C3545">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Pr="007A3506">
        <w:rPr>
          <w:rFonts w:asciiTheme="minorHAnsi" w:hAnsiTheme="minorHAnsi" w:cstheme="minorHAnsi"/>
          <w:i/>
          <w:iCs/>
        </w:rPr>
        <w:t>Final Report of the Royal Commission into the Building and Construction Industry</w:t>
      </w:r>
      <w:r w:rsidRPr="007A3506">
        <w:rPr>
          <w:rFonts w:asciiTheme="minorHAnsi" w:hAnsiTheme="minorHAnsi" w:cstheme="minorHAnsi"/>
        </w:rPr>
        <w:t>, page 79.</w:t>
      </w:r>
    </w:p>
  </w:footnote>
  <w:footnote w:id="29">
    <w:p w14:paraId="123BB3B8" w14:textId="38FB1E6B" w:rsidR="0071670E" w:rsidRPr="007A3506" w:rsidRDefault="0071670E" w:rsidP="0071670E">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Style w:val="FootnoteReference"/>
          <w:rFonts w:asciiTheme="minorHAnsi" w:hAnsiTheme="minorHAnsi" w:cstheme="minorHAnsi"/>
        </w:rPr>
        <w:t xml:space="preserve"> </w:t>
      </w:r>
      <w:r w:rsidRPr="007A3506">
        <w:rPr>
          <w:rFonts w:asciiTheme="minorHAnsi" w:hAnsiTheme="minorHAnsi" w:cstheme="minorHAnsi"/>
        </w:rPr>
        <w:t>A dangerous occurrence is an incident where no person is injured, but could have been injured, resulting in Serious Personal Injury (which requires a week or more away from work), Incapacity or Death. Also commonly called a “near miss”. Only Dangerous Occurrences that are required to be reported under the relevant WHS legislation in the jurisdiction the project is being undertaken are required to be reported to the OFSC.</w:t>
      </w:r>
      <w:r w:rsidR="004B7971" w:rsidRPr="007A3506">
        <w:rPr>
          <w:rFonts w:asciiTheme="minorHAnsi" w:hAnsiTheme="minorHAnsi" w:cstheme="minorHAnsi"/>
        </w:rPr>
        <w:t xml:space="preserve"> </w:t>
      </w:r>
      <w:r w:rsidRPr="007A3506">
        <w:rPr>
          <w:rFonts w:asciiTheme="minorHAnsi" w:hAnsiTheme="minorHAnsi" w:cstheme="minorHAnsi"/>
        </w:rPr>
        <w:t xml:space="preserve">See the </w:t>
      </w:r>
      <w:hyperlink r:id="rId10" w:history="1">
        <w:r w:rsidRPr="007A3506">
          <w:rPr>
            <w:rStyle w:val="Hyperlink"/>
            <w:rFonts w:asciiTheme="minorHAnsi" w:hAnsiTheme="minorHAnsi" w:cstheme="minorHAnsi"/>
          </w:rPr>
          <w:t xml:space="preserve">FSC </w:t>
        </w:r>
        <w:r w:rsidR="006A18BF" w:rsidRPr="007A3506">
          <w:rPr>
            <w:rStyle w:val="Hyperlink"/>
            <w:rFonts w:asciiTheme="minorHAnsi" w:hAnsiTheme="minorHAnsi" w:cstheme="minorHAnsi"/>
          </w:rPr>
          <w:t>Online WHS Report Guide</w:t>
        </w:r>
      </w:hyperlink>
      <w:r w:rsidR="006A18BF" w:rsidRPr="007A3506">
        <w:rPr>
          <w:rFonts w:asciiTheme="minorHAnsi" w:hAnsiTheme="minorHAnsi" w:cstheme="minorHAnsi"/>
        </w:rPr>
        <w:t>.</w:t>
      </w:r>
      <w:r w:rsidRPr="007A3506">
        <w:rPr>
          <w:rFonts w:asciiTheme="minorHAnsi" w:hAnsiTheme="minorHAnsi" w:cstheme="minorHAnsi"/>
        </w:rPr>
        <w:t xml:space="preserve"> </w:t>
      </w:r>
    </w:p>
  </w:footnote>
  <w:footnote w:id="30">
    <w:p w14:paraId="4246BD10" w14:textId="00F60BD9" w:rsidR="00F45ACF" w:rsidRPr="007A3506" w:rsidRDefault="00F45ACF" w:rsidP="00F45ACF">
      <w:pPr>
        <w:pStyle w:val="FootnoteText"/>
        <w:rPr>
          <w:rStyle w:val="Hyperlink"/>
          <w:rFonts w:asciiTheme="minorHAnsi" w:eastAsiaTheme="majorEastAsia"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3E0537" w:rsidRPr="007A3506">
        <w:rPr>
          <w:rFonts w:asciiTheme="minorHAnsi" w:eastAsiaTheme="majorEastAsia" w:hAnsiTheme="minorHAnsi" w:cstheme="minorHAnsi"/>
        </w:rPr>
        <w:t>T</w:t>
      </w:r>
      <w:r w:rsidRPr="007A3506">
        <w:rPr>
          <w:rFonts w:asciiTheme="minorHAnsi" w:eastAsiaTheme="majorEastAsia" w:hAnsiTheme="minorHAnsi" w:cstheme="minorHAnsi"/>
        </w:rPr>
        <w:t xml:space="preserve">he terms ‘serious injury or illness’ and </w:t>
      </w:r>
      <w:r w:rsidRPr="007A3506">
        <w:rPr>
          <w:rFonts w:asciiTheme="minorHAnsi" w:hAnsiTheme="minorHAnsi" w:cstheme="minorHAnsi"/>
        </w:rPr>
        <w:t>‘</w:t>
      </w:r>
      <w:r w:rsidRPr="007A3506">
        <w:rPr>
          <w:rFonts w:asciiTheme="minorHAnsi" w:eastAsiaTheme="majorEastAsia" w:hAnsiTheme="minorHAnsi" w:cstheme="minorHAnsi"/>
        </w:rPr>
        <w:t>dangerous incident’ are defined at sections 36 and 37 of the model Act</w:t>
      </w:r>
      <w:r w:rsidR="00AC4729" w:rsidRPr="007A3506">
        <w:rPr>
          <w:rFonts w:asciiTheme="minorHAnsi" w:eastAsiaTheme="majorEastAsia" w:hAnsiTheme="minorHAnsi" w:cstheme="minorHAnsi"/>
        </w:rPr>
        <w:t xml:space="preserve">. See </w:t>
      </w:r>
      <w:hyperlink r:id="rId11" w:history="1">
        <w:r w:rsidR="00AC4729" w:rsidRPr="007A3506">
          <w:rPr>
            <w:rStyle w:val="Hyperlink"/>
            <w:rFonts w:asciiTheme="minorHAnsi" w:eastAsiaTheme="majorEastAsia" w:hAnsiTheme="minorHAnsi" w:cstheme="minorHAnsi"/>
          </w:rPr>
          <w:t>Model-WHS-Bill-21March2016 (safeworkaustralia.gov.au)</w:t>
        </w:r>
      </w:hyperlink>
      <w:r w:rsidR="00AC4729" w:rsidRPr="007A3506">
        <w:rPr>
          <w:rFonts w:asciiTheme="minorHAnsi" w:eastAsiaTheme="majorEastAsia" w:hAnsiTheme="minorHAnsi" w:cstheme="minorHAnsi"/>
        </w:rPr>
        <w:t>.</w:t>
      </w:r>
    </w:p>
  </w:footnote>
  <w:footnote w:id="31">
    <w:p w14:paraId="2ECFED39" w14:textId="13E2DED6" w:rsidR="00F45ACF" w:rsidRPr="007A3506" w:rsidRDefault="00F45ACF" w:rsidP="00F45ACF">
      <w:pPr>
        <w:pStyle w:val="FootnoteText"/>
        <w:rPr>
          <w:rStyle w:val="Hyperlink"/>
          <w:rFonts w:asciiTheme="minorHAnsi" w:eastAsiaTheme="majorEastAsia" w:hAnsiTheme="minorHAnsi" w:cstheme="minorHAnsi"/>
        </w:rPr>
      </w:pPr>
      <w:r w:rsidRPr="007A3506">
        <w:rPr>
          <w:rStyle w:val="FootnoteReference"/>
          <w:rFonts w:asciiTheme="minorHAnsi" w:hAnsiTheme="minorHAnsi" w:cstheme="minorHAnsi"/>
        </w:rPr>
        <w:footnoteRef/>
      </w:r>
      <w:r w:rsidR="00367208" w:rsidRPr="007A3506">
        <w:rPr>
          <w:rFonts w:asciiTheme="minorHAnsi" w:hAnsiTheme="minorHAnsi" w:cstheme="minorHAnsi"/>
        </w:rPr>
        <w:t xml:space="preserve"> Work</w:t>
      </w:r>
      <w:r w:rsidR="00853F30" w:rsidRPr="007A3506">
        <w:rPr>
          <w:rFonts w:asciiTheme="minorHAnsi" w:hAnsiTheme="minorHAnsi" w:cstheme="minorHAnsi"/>
        </w:rPr>
        <w:t xml:space="preserve">Safe Victoria, </w:t>
      </w:r>
      <w:r w:rsidR="00853F30" w:rsidRPr="007A3506">
        <w:rPr>
          <w:rFonts w:asciiTheme="minorHAnsi" w:hAnsiTheme="minorHAnsi" w:cstheme="minorHAnsi"/>
          <w:i/>
          <w:iCs/>
        </w:rPr>
        <w:t>Guide to Incident Notification</w:t>
      </w:r>
      <w:r w:rsidR="00853F30" w:rsidRPr="007A3506">
        <w:rPr>
          <w:rFonts w:asciiTheme="minorHAnsi" w:hAnsiTheme="minorHAnsi" w:cstheme="minorHAnsi"/>
        </w:rPr>
        <w:t>,</w:t>
      </w:r>
      <w:r w:rsidRPr="007A3506">
        <w:rPr>
          <w:rStyle w:val="FootnoteReference"/>
          <w:rFonts w:asciiTheme="minorHAnsi" w:hAnsiTheme="minorHAnsi" w:cstheme="minorHAnsi"/>
        </w:rPr>
        <w:t xml:space="preserve"> </w:t>
      </w:r>
      <w:hyperlink r:id="rId12" w:history="1">
        <w:r w:rsidRPr="007A3506">
          <w:rPr>
            <w:rStyle w:val="Hyperlink"/>
            <w:rFonts w:asciiTheme="minorHAnsi" w:eastAsiaTheme="majorEastAsia" w:hAnsiTheme="minorHAnsi" w:cstheme="minorHAnsi"/>
          </w:rPr>
          <w:t>ISBN-Guide-to-incident-notification-2022-03.pdf (worksafe.vic.gov.au)</w:t>
        </w:r>
      </w:hyperlink>
    </w:p>
  </w:footnote>
  <w:footnote w:id="32">
    <w:p w14:paraId="6D1B7FF1" w14:textId="77A28BD2" w:rsidR="00993BC0" w:rsidRPr="007A3506" w:rsidRDefault="00993BC0" w:rsidP="00993BC0">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9D2D8E" w:rsidRPr="007A3506">
        <w:rPr>
          <w:rFonts w:asciiTheme="minorHAnsi" w:hAnsiTheme="minorHAnsi" w:cstheme="minorHAnsi"/>
        </w:rPr>
        <w:t xml:space="preserve">Mates in Construction, </w:t>
      </w:r>
      <w:r w:rsidR="009D2D8E" w:rsidRPr="007A3506">
        <w:rPr>
          <w:rFonts w:asciiTheme="minorHAnsi" w:hAnsiTheme="minorHAnsi" w:cstheme="minorHAnsi"/>
          <w:i/>
          <w:iCs/>
        </w:rPr>
        <w:t>Why Mates Exist: The Problem</w:t>
      </w:r>
      <w:r w:rsidR="00F76A3B" w:rsidRPr="007A3506">
        <w:rPr>
          <w:rFonts w:asciiTheme="minorHAnsi" w:hAnsiTheme="minorHAnsi" w:cstheme="minorHAnsi"/>
        </w:rPr>
        <w:t xml:space="preserve">, </w:t>
      </w:r>
      <w:hyperlink r:id="rId13" w:history="1">
        <w:r w:rsidR="00F76A3B" w:rsidRPr="007A3506">
          <w:rPr>
            <w:rStyle w:val="Hyperlink"/>
            <w:rFonts w:asciiTheme="minorHAnsi" w:hAnsiTheme="minorHAnsi" w:cstheme="minorHAnsi"/>
          </w:rPr>
          <w:t>https://mates.org.au/construction/the-problem</w:t>
        </w:r>
      </w:hyperlink>
      <w:r w:rsidR="00E9600E" w:rsidRPr="007A3506">
        <w:rPr>
          <w:rFonts w:asciiTheme="minorHAnsi" w:hAnsiTheme="minorHAnsi" w:cstheme="minorHAnsi"/>
        </w:rPr>
        <w:t xml:space="preserve"> </w:t>
      </w:r>
    </w:p>
  </w:footnote>
  <w:footnote w:id="33">
    <w:p w14:paraId="0C38C26C" w14:textId="14D8FDAD" w:rsidR="00DD2E88" w:rsidRPr="007A3506" w:rsidRDefault="00DD2E88">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Australian Government Department of Finance,  </w:t>
      </w:r>
      <w:hyperlink r:id="rId14" w:history="1">
        <w:r w:rsidRPr="007A3506">
          <w:rPr>
            <w:rStyle w:val="Hyperlink"/>
            <w:rFonts w:asciiTheme="minorHAnsi" w:hAnsiTheme="minorHAnsi" w:cstheme="minorHAnsi"/>
          </w:rPr>
          <w:t>Australian Government Cost Recovery Policy (RMG 302)</w:t>
        </w:r>
      </w:hyperlink>
    </w:p>
  </w:footnote>
  <w:footnote w:id="34">
    <w:p w14:paraId="16761E61" w14:textId="77777777" w:rsidR="00142E16" w:rsidRPr="007A3506" w:rsidRDefault="00142E16" w:rsidP="00CE29CD">
      <w:pPr>
        <w:spacing w:after="0"/>
        <w:rPr>
          <w:rFonts w:cstheme="minorHAnsi"/>
          <w:sz w:val="20"/>
          <w:szCs w:val="20"/>
        </w:rPr>
      </w:pPr>
      <w:r w:rsidRPr="007A3506">
        <w:rPr>
          <w:rStyle w:val="FootnoteReference"/>
          <w:rFonts w:cstheme="minorHAnsi"/>
          <w:sz w:val="20"/>
          <w:szCs w:val="20"/>
        </w:rPr>
        <w:footnoteRef/>
      </w:r>
      <w:r w:rsidRPr="007A3506">
        <w:rPr>
          <w:rFonts w:cstheme="minorHAnsi"/>
        </w:rPr>
        <w:t xml:space="preserve"> </w:t>
      </w:r>
      <w:r w:rsidRPr="007A3506">
        <w:rPr>
          <w:rFonts w:cstheme="minorHAnsi"/>
          <w:i/>
          <w:iCs/>
          <w:sz w:val="20"/>
          <w:szCs w:val="20"/>
        </w:rPr>
        <w:t>Final Report of the Royal Commission into the Building and Construction Industry, Reform – Occupational Health and Safety</w:t>
      </w:r>
      <w:r w:rsidRPr="007A3506">
        <w:rPr>
          <w:rFonts w:cstheme="minorHAnsi"/>
          <w:sz w:val="20"/>
          <w:szCs w:val="20"/>
        </w:rPr>
        <w:t>, Volume 6, page 79.</w:t>
      </w:r>
    </w:p>
  </w:footnote>
  <w:footnote w:id="35">
    <w:p w14:paraId="05AC26F4" w14:textId="2286B49D" w:rsidR="00B25C33" w:rsidRPr="007A3506" w:rsidRDefault="00B25C33">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The FSC cost the CW Government approximately $8.5 million in the 2022/2023 financial year.</w:t>
      </w:r>
    </w:p>
  </w:footnote>
  <w:footnote w:id="36">
    <w:p w14:paraId="4C7837B2" w14:textId="0EA1C355" w:rsidR="00142E16" w:rsidRPr="007A3506" w:rsidRDefault="00142E16" w:rsidP="00142E16">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Australian Government Department of Employment, </w:t>
      </w:r>
      <w:r w:rsidRPr="007A3506">
        <w:rPr>
          <w:rFonts w:asciiTheme="minorHAnsi" w:hAnsiTheme="minorHAnsi" w:cstheme="minorHAnsi"/>
          <w:i/>
          <w:iCs/>
        </w:rPr>
        <w:t>Discussion Paper, A Review to Modernise the Office of the Federal Safety Commissioner and the Australian Government Building and Construction OHS Accreditation Scheme</w:t>
      </w:r>
      <w:r w:rsidRPr="007A3506">
        <w:rPr>
          <w:rFonts w:asciiTheme="minorHAnsi" w:hAnsiTheme="minorHAnsi" w:cstheme="minorHAnsi"/>
        </w:rPr>
        <w:t>, page 21.</w:t>
      </w:r>
      <w:r w:rsidR="004B7971" w:rsidRPr="007A3506">
        <w:rPr>
          <w:rFonts w:asciiTheme="minorHAnsi" w:hAnsiTheme="minorHAnsi" w:cstheme="minorHAnsi"/>
        </w:rPr>
        <w:t xml:space="preserve"> </w:t>
      </w:r>
    </w:p>
  </w:footnote>
  <w:footnote w:id="37">
    <w:p w14:paraId="3AFD73F1" w14:textId="77777777" w:rsidR="00142E16" w:rsidRPr="007A3506" w:rsidRDefault="00142E16" w:rsidP="00142E16">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Australian Government Department of Employment, A Review to Modernise the Office of the Federal Safety Commissioner and the Australian Building and Construction OHS Scheme, June 2014, page 24.</w:t>
      </w:r>
    </w:p>
  </w:footnote>
  <w:footnote w:id="38">
    <w:p w14:paraId="2B123CBB" w14:textId="51FA2814" w:rsidR="00712C29" w:rsidRPr="007A3506" w:rsidRDefault="00712C29" w:rsidP="00712C29">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B907E6" w:rsidRPr="007A3506">
        <w:rPr>
          <w:rFonts w:asciiTheme="minorHAnsi" w:hAnsiTheme="minorHAnsi" w:cstheme="minorHAnsi"/>
        </w:rPr>
        <w:t xml:space="preserve">National Heavy Vehicle Regulator, </w:t>
      </w:r>
      <w:hyperlink r:id="rId15" w:history="1">
        <w:r w:rsidRPr="007A3506">
          <w:rPr>
            <w:rStyle w:val="Hyperlink"/>
            <w:rFonts w:asciiTheme="minorHAnsi" w:eastAsiaTheme="majorEastAsia" w:hAnsiTheme="minorHAnsi" w:cstheme="minorHAnsi"/>
            <w:i/>
            <w:iCs/>
          </w:rPr>
          <w:t>National Heavy Vehicle Accreditation Scheme</w:t>
        </w:r>
      </w:hyperlink>
    </w:p>
  </w:footnote>
  <w:footnote w:id="39">
    <w:p w14:paraId="0519A433" w14:textId="3BB3F01E" w:rsidR="00712C29" w:rsidRPr="007A3506" w:rsidRDefault="00712C29" w:rsidP="00712C29">
      <w:pPr>
        <w:pStyle w:val="FootnoteText"/>
        <w:rPr>
          <w:rFonts w:asciiTheme="minorHAnsi" w:hAnsiTheme="minorHAnsi" w:cstheme="minorHAnsi"/>
          <w:i/>
          <w:iCs/>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4B306A" w:rsidRPr="007A3506">
        <w:rPr>
          <w:rFonts w:asciiTheme="minorHAnsi" w:hAnsiTheme="minorHAnsi" w:cstheme="minorHAnsi"/>
        </w:rPr>
        <w:t xml:space="preserve">Cleaning Accountability Framework, </w:t>
      </w:r>
      <w:hyperlink r:id="rId16" w:anchor="additional-fees" w:history="1">
        <w:r w:rsidR="004B306A" w:rsidRPr="007A3506">
          <w:rPr>
            <w:rStyle w:val="Hyperlink"/>
            <w:rFonts w:asciiTheme="minorHAnsi" w:hAnsiTheme="minorHAnsi" w:cstheme="minorHAnsi"/>
            <w:i/>
            <w:iCs/>
          </w:rPr>
          <w:t>What is CAF Building Certification?</w:t>
        </w:r>
      </w:hyperlink>
    </w:p>
  </w:footnote>
  <w:footnote w:id="40">
    <w:p w14:paraId="38AAA917" w14:textId="1D0B04E6" w:rsidR="00712C29" w:rsidRPr="007A3506" w:rsidRDefault="00712C29" w:rsidP="00712C29">
      <w:pPr>
        <w:pStyle w:val="FootnoteText"/>
        <w:rPr>
          <w:rFonts w:asciiTheme="minorHAnsi" w:hAnsiTheme="minorHAnsi" w:cstheme="minorHAnsi"/>
          <w:i/>
          <w:iCs/>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C1224F" w:rsidRPr="007A3506">
        <w:rPr>
          <w:rFonts w:asciiTheme="minorHAnsi" w:hAnsiTheme="minorHAnsi" w:cstheme="minorHAnsi"/>
        </w:rPr>
        <w:t xml:space="preserve">Safe-T-Cert, </w:t>
      </w:r>
      <w:hyperlink r:id="rId17" w:history="1">
        <w:r w:rsidR="00C1224F" w:rsidRPr="007A3506">
          <w:rPr>
            <w:rStyle w:val="Hyperlink"/>
            <w:rFonts w:asciiTheme="minorHAnsi" w:hAnsiTheme="minorHAnsi" w:cstheme="minorHAnsi"/>
            <w:i/>
            <w:iCs/>
          </w:rPr>
          <w:t>Overview of Safe-T-Cert</w:t>
        </w:r>
      </w:hyperlink>
    </w:p>
  </w:footnote>
  <w:footnote w:id="41">
    <w:p w14:paraId="2D62DB1A" w14:textId="39B7D4D0" w:rsidR="00712C29" w:rsidRPr="007A3506" w:rsidRDefault="00712C29" w:rsidP="00712C29">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Pr="007A3506">
        <w:rPr>
          <w:rFonts w:asciiTheme="minorHAnsi" w:eastAsiaTheme="majorEastAsia" w:hAnsiTheme="minorHAnsi" w:cstheme="minorHAnsi"/>
        </w:rPr>
        <w:t>Western Australia Department of Mines, Industry Regulation and Safety</w:t>
      </w:r>
      <w:r w:rsidR="00925CBE" w:rsidRPr="007A3506">
        <w:rPr>
          <w:rFonts w:asciiTheme="minorHAnsi" w:eastAsiaTheme="majorEastAsia" w:hAnsiTheme="minorHAnsi" w:cstheme="minorHAnsi"/>
        </w:rPr>
        <w:t xml:space="preserve">, </w:t>
      </w:r>
      <w:hyperlink r:id="rId18" w:history="1">
        <w:r w:rsidR="00925CBE" w:rsidRPr="007A3506">
          <w:rPr>
            <w:rStyle w:val="Hyperlink"/>
            <w:rFonts w:asciiTheme="minorHAnsi" w:eastAsiaTheme="majorEastAsia" w:hAnsiTheme="minorHAnsi" w:cstheme="minorHAnsi"/>
            <w:i/>
            <w:iCs/>
          </w:rPr>
          <w:t>Mines Safety Inspection Levy</w:t>
        </w:r>
      </w:hyperlink>
    </w:p>
  </w:footnote>
  <w:footnote w:id="42">
    <w:p w14:paraId="28628713" w14:textId="2AD5039E" w:rsidR="00712C29" w:rsidRPr="007A3506" w:rsidRDefault="00712C29" w:rsidP="00712C29">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4C0507" w:rsidRPr="007A3506">
        <w:rPr>
          <w:rFonts w:asciiTheme="minorHAnsi" w:hAnsiTheme="minorHAnsi" w:cstheme="minorHAnsi"/>
        </w:rPr>
        <w:t xml:space="preserve">South Australia Construction and Industry Training Board, </w:t>
      </w:r>
      <w:hyperlink r:id="rId19" w:history="1">
        <w:r w:rsidR="00A56CE4" w:rsidRPr="007A3506">
          <w:rPr>
            <w:rStyle w:val="Hyperlink"/>
            <w:rFonts w:asciiTheme="minorHAnsi" w:eastAsiaTheme="majorEastAsia" w:hAnsiTheme="minorHAnsi" w:cstheme="minorHAnsi"/>
            <w:i/>
            <w:iCs/>
          </w:rPr>
          <w:t>About</w:t>
        </w:r>
      </w:hyperlink>
      <w:r w:rsidR="00A56CE4" w:rsidRPr="007A3506">
        <w:rPr>
          <w:rStyle w:val="Hyperlink"/>
          <w:rFonts w:asciiTheme="minorHAnsi" w:eastAsiaTheme="majorEastAsia" w:hAnsiTheme="minorHAnsi" w:cstheme="minorHAnsi"/>
          <w:i/>
          <w:iCs/>
        </w:rPr>
        <w:t xml:space="preserve"> the </w:t>
      </w:r>
      <w:r w:rsidR="002004FB" w:rsidRPr="007A3506">
        <w:rPr>
          <w:rStyle w:val="Hyperlink"/>
          <w:rFonts w:asciiTheme="minorHAnsi" w:eastAsiaTheme="majorEastAsia" w:hAnsiTheme="minorHAnsi" w:cstheme="minorHAnsi"/>
          <w:i/>
          <w:iCs/>
        </w:rPr>
        <w:t xml:space="preserve">(CITF) Levy </w:t>
      </w:r>
    </w:p>
  </w:footnote>
  <w:footnote w:id="43">
    <w:p w14:paraId="56BE571A" w14:textId="7E302387" w:rsidR="005D6AAD" w:rsidRPr="007A3506" w:rsidRDefault="005D6AAD" w:rsidP="005D6AAD">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0055735D" w:rsidRPr="007A3506">
        <w:rPr>
          <w:rFonts w:asciiTheme="minorHAnsi" w:hAnsiTheme="minorHAnsi" w:cstheme="minorHAnsi"/>
        </w:rPr>
        <w:t>UK Government</w:t>
      </w:r>
      <w:r w:rsidR="00BB691E" w:rsidRPr="007A3506">
        <w:rPr>
          <w:rFonts w:asciiTheme="minorHAnsi" w:hAnsiTheme="minorHAnsi" w:cstheme="minorHAnsi"/>
        </w:rPr>
        <w:t xml:space="preserve"> Department for Levelling Up, Housing and Communities</w:t>
      </w:r>
      <w:r w:rsidR="00160A5D" w:rsidRPr="007A3506">
        <w:rPr>
          <w:rFonts w:asciiTheme="minorHAnsi" w:hAnsiTheme="minorHAnsi" w:cstheme="minorHAnsi"/>
        </w:rPr>
        <w:t xml:space="preserve">, </w:t>
      </w:r>
      <w:hyperlink r:id="rId20" w:history="1">
        <w:r w:rsidR="00160A5D" w:rsidRPr="007A3506">
          <w:rPr>
            <w:rStyle w:val="Hyperlink"/>
            <w:rFonts w:asciiTheme="minorHAnsi" w:hAnsiTheme="minorHAnsi" w:cstheme="minorHAnsi"/>
            <w:i/>
            <w:iCs/>
          </w:rPr>
          <w:t>Consultation Outcome – The Building and Safety Levy</w:t>
        </w:r>
      </w:hyperlink>
    </w:p>
  </w:footnote>
  <w:footnote w:id="44">
    <w:p w14:paraId="1DFC729A" w14:textId="492AEC3F" w:rsidR="00B534EF" w:rsidRPr="007A3506" w:rsidRDefault="00B534EF" w:rsidP="00B534EF">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More details can be found at </w:t>
      </w:r>
      <w:hyperlink r:id="rId21" w:history="1">
        <w:r w:rsidR="00A73CD0" w:rsidRPr="007A3506">
          <w:rPr>
            <w:rStyle w:val="Hyperlink"/>
            <w:rFonts w:asciiTheme="minorHAnsi" w:hAnsiTheme="minorHAnsi" w:cstheme="minorHAnsi"/>
          </w:rPr>
          <w:t>https://www.finance.gov.au/business/buyaustralianplan</w:t>
        </w:r>
      </w:hyperlink>
      <w:r w:rsidR="00A73CD0" w:rsidRPr="007A3506">
        <w:rPr>
          <w:rFonts w:asciiTheme="minorHAnsi" w:hAnsiTheme="minorHAnsi" w:cstheme="minorHAnsi"/>
        </w:rPr>
        <w:t xml:space="preserve"> </w:t>
      </w:r>
    </w:p>
  </w:footnote>
  <w:footnote w:id="45">
    <w:p w14:paraId="03B6A83D" w14:textId="4703704E" w:rsidR="00692AD2" w:rsidRPr="007A3506" w:rsidRDefault="00692AD2">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It is noted that significant consultation is occurring around the Secure Jobs Code outside of this review.</w:t>
      </w:r>
    </w:p>
  </w:footnote>
  <w:footnote w:id="46">
    <w:p w14:paraId="02A7AD28" w14:textId="77777777" w:rsidR="00002D5A" w:rsidRPr="007A3506" w:rsidRDefault="00002D5A" w:rsidP="00002D5A">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hyperlink r:id="rId22" w:history="1">
        <w:r w:rsidRPr="007A3506">
          <w:rPr>
            <w:rStyle w:val="Hyperlink"/>
            <w:rFonts w:asciiTheme="minorHAnsi" w:hAnsiTheme="minorHAnsi" w:cstheme="minorHAnsi"/>
          </w:rPr>
          <w:t>https://anthonyalbanese.com.au/media-centre/secure-australian-jobs-plan</w:t>
        </w:r>
      </w:hyperlink>
      <w:r w:rsidRPr="007A3506">
        <w:rPr>
          <w:rFonts w:asciiTheme="minorHAnsi" w:hAnsiTheme="minorHAnsi" w:cstheme="minorHAnsi"/>
        </w:rPr>
        <w:t xml:space="preserve"> </w:t>
      </w:r>
    </w:p>
  </w:footnote>
  <w:footnote w:id="47">
    <w:p w14:paraId="75AA7952" w14:textId="77777777" w:rsidR="00002D5A" w:rsidRPr="007A3506" w:rsidRDefault="00002D5A" w:rsidP="00002D5A">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Pr="007A3506">
        <w:rPr>
          <w:rFonts w:asciiTheme="minorHAnsi" w:hAnsiTheme="minorHAnsi" w:cstheme="minorHAnsi"/>
          <w:i/>
          <w:iCs/>
        </w:rPr>
        <w:t>Workplace Gender Equality Act 2012</w:t>
      </w:r>
      <w:r w:rsidRPr="007A3506">
        <w:rPr>
          <w:rFonts w:asciiTheme="minorHAnsi" w:hAnsiTheme="minorHAnsi" w:cstheme="minorHAnsi"/>
        </w:rPr>
        <w:t>, section 2A</w:t>
      </w:r>
    </w:p>
  </w:footnote>
  <w:footnote w:id="48">
    <w:p w14:paraId="27FD3BEC" w14:textId="77777777" w:rsidR="00002D5A" w:rsidRPr="007A3506" w:rsidRDefault="00002D5A" w:rsidP="00002D5A">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hyperlink r:id="rId23" w:history="1">
        <w:r w:rsidRPr="007A3506">
          <w:rPr>
            <w:rStyle w:val="Hyperlink"/>
            <w:rFonts w:asciiTheme="minorHAnsi" w:eastAsiaTheme="majorEastAsia" w:hAnsiTheme="minorHAnsi" w:cstheme="minorHAnsi"/>
          </w:rPr>
          <w:t>https://www.rmit.edu.au/content/dam/rmit/documents/about/academic-schools/property-construction-project-management/report-women-in-construction-exploring-the-barriers-and-supportive-enablers-of-wellbeing-in-the-workplace.pdf</w:t>
        </w:r>
      </w:hyperlink>
      <w:r w:rsidRPr="007A3506">
        <w:rPr>
          <w:rFonts w:asciiTheme="minorHAnsi" w:hAnsiTheme="minorHAnsi" w:cstheme="minorHAnsi"/>
        </w:rPr>
        <w:t>, page 7.</w:t>
      </w:r>
    </w:p>
  </w:footnote>
  <w:footnote w:id="49">
    <w:p w14:paraId="028D1172" w14:textId="1C5D5D4F" w:rsidR="0027776E" w:rsidRPr="007A3506" w:rsidRDefault="0027776E" w:rsidP="0027776E">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More details can be found at</w:t>
      </w:r>
      <w:r w:rsidR="00A73CD0" w:rsidRPr="007A3506">
        <w:rPr>
          <w:rFonts w:asciiTheme="minorHAnsi" w:hAnsiTheme="minorHAnsi" w:cstheme="minorHAnsi"/>
        </w:rPr>
        <w:t xml:space="preserve">: </w:t>
      </w:r>
      <w:hyperlink r:id="rId24" w:history="1">
        <w:r w:rsidR="00A73CD0" w:rsidRPr="007A3506">
          <w:rPr>
            <w:rStyle w:val="Hyperlink"/>
            <w:rFonts w:asciiTheme="minorHAnsi" w:hAnsiTheme="minorHAnsi" w:cstheme="minorHAnsi"/>
          </w:rPr>
          <w:t>https://parlinfo.aph.gov.au/parlInfo/search/display/display.w3p;query=Id%3A%22library%2Fpartypol%2F8697618%22;src1=sm1</w:t>
        </w:r>
      </w:hyperlink>
      <w:r w:rsidR="00A73CD0" w:rsidRPr="007A3506">
        <w:rPr>
          <w:rFonts w:asciiTheme="minorHAnsi" w:hAnsiTheme="minorHAnsi" w:cstheme="minorHAnsi"/>
        </w:rPr>
        <w:t xml:space="preserve"> </w:t>
      </w:r>
    </w:p>
  </w:footnote>
  <w:footnote w:id="50">
    <w:p w14:paraId="1662C4FC" w14:textId="337F8E25" w:rsidR="00A36944" w:rsidRPr="007A3506" w:rsidRDefault="00A36944">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The 2014 review led to a contraction of the Scheme through the removal of CW funded projects involving the construction of single-dwelling houses.</w:t>
      </w:r>
    </w:p>
  </w:footnote>
  <w:footnote w:id="51">
    <w:p w14:paraId="642BE928" w14:textId="77777777" w:rsidR="00AE4C22" w:rsidRPr="007A3506" w:rsidRDefault="00AE4C22" w:rsidP="00AE4C22">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Pr="007A3506">
        <w:rPr>
          <w:rFonts w:asciiTheme="minorHAnsi" w:hAnsiTheme="minorHAnsi" w:cstheme="minorHAnsi"/>
          <w:i/>
          <w:iCs/>
        </w:rPr>
        <w:t>Final Report of the Royal Commission into the Building and Construction Industry</w:t>
      </w:r>
      <w:r w:rsidRPr="007A3506">
        <w:rPr>
          <w:rFonts w:asciiTheme="minorHAnsi" w:hAnsiTheme="minorHAnsi" w:cstheme="minorHAnsi"/>
        </w:rPr>
        <w:t>, page 88.</w:t>
      </w:r>
    </w:p>
  </w:footnote>
  <w:footnote w:id="52">
    <w:p w14:paraId="0EBEA6AD" w14:textId="77777777" w:rsidR="002B6860" w:rsidRPr="007A3506" w:rsidRDefault="002B6860" w:rsidP="002B6860">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Australian Work Health and Safety (WHS) Strategy 2023-2033 page 10.</w:t>
      </w:r>
    </w:p>
  </w:footnote>
  <w:footnote w:id="53">
    <w:p w14:paraId="69E02DAA" w14:textId="77777777" w:rsidR="00E967B4" w:rsidRPr="007A3506" w:rsidRDefault="00E967B4" w:rsidP="00E967B4">
      <w:pPr>
        <w:pStyle w:val="FootnoteText"/>
        <w:rPr>
          <w:rFonts w:asciiTheme="minorHAnsi" w:hAnsiTheme="minorHAnsi" w:cstheme="minorHAnsi"/>
          <w:lang w:val="en-US"/>
        </w:rPr>
      </w:pPr>
      <w:r w:rsidRPr="007A3506">
        <w:rPr>
          <w:rStyle w:val="FootnoteReference"/>
          <w:rFonts w:asciiTheme="minorHAnsi" w:hAnsiTheme="minorHAnsi" w:cstheme="minorHAnsi"/>
        </w:rPr>
        <w:footnoteRef/>
      </w:r>
      <w:r w:rsidRPr="007A3506">
        <w:rPr>
          <w:rFonts w:asciiTheme="minorHAnsi" w:hAnsiTheme="minorHAnsi" w:cstheme="minorHAnsi"/>
        </w:rPr>
        <w:t xml:space="preserve"> Source: AusTender </w:t>
      </w:r>
    </w:p>
  </w:footnote>
  <w:footnote w:id="54">
    <w:p w14:paraId="5844B97C" w14:textId="77777777" w:rsidR="00E967B4" w:rsidRPr="007A3506" w:rsidRDefault="00E967B4" w:rsidP="00E967B4">
      <w:pPr>
        <w:pStyle w:val="FootnoteText"/>
        <w:rPr>
          <w:rFonts w:asciiTheme="minorHAnsi" w:hAnsiTheme="minorHAnsi" w:cstheme="minorHAnsi"/>
        </w:rPr>
      </w:pPr>
      <w:r w:rsidRPr="007A3506">
        <w:rPr>
          <w:rStyle w:val="FootnoteReference"/>
          <w:rFonts w:asciiTheme="minorHAnsi" w:hAnsiTheme="minorHAnsi" w:cstheme="minorHAnsi"/>
        </w:rPr>
        <w:footnoteRef/>
      </w:r>
      <w:r w:rsidRPr="007A3506">
        <w:rPr>
          <w:rFonts w:asciiTheme="minorHAnsi" w:hAnsiTheme="minorHAnsi" w:cstheme="minorHAnsi"/>
        </w:rPr>
        <w:t xml:space="preserve"> </w:t>
      </w:r>
      <w:r w:rsidRPr="007A3506">
        <w:rPr>
          <w:rFonts w:asciiTheme="minorHAnsi" w:hAnsiTheme="minorHAnsi" w:cstheme="minorHAnsi"/>
          <w:lang w:eastAsia="en-AU"/>
        </w:rPr>
        <w:t>Other significant areas of government procurement include the purchase of management and business professional services; commercial, military and private vehicles; engineering, research and technology-based services; information technology, broadcasting and telecommunications hardware; defence and law enforcement equipment; and healthcare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7206" w14:textId="3E85CAAA" w:rsidR="0038465A" w:rsidRDefault="0038465A">
    <w:pPr>
      <w:pStyle w:val="Header"/>
    </w:pPr>
  </w:p>
  <w:p w14:paraId="0E03E1B7" w14:textId="77777777" w:rsidR="00513041" w:rsidRDefault="005130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428" w14:textId="77777777" w:rsidR="00513041" w:rsidRDefault="005130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9D42" w14:textId="15F3A175" w:rsidR="0038465A" w:rsidRDefault="00384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D2C"/>
    <w:multiLevelType w:val="multilevel"/>
    <w:tmpl w:val="0C09001D"/>
    <w:styleLink w:val="BulletStyleGreen"/>
    <w:lvl w:ilvl="0">
      <w:start w:val="1"/>
      <w:numFmt w:val="bullet"/>
      <w:lvlText w:val=""/>
      <w:lvlJc w:val="left"/>
      <w:pPr>
        <w:ind w:left="360" w:hanging="360"/>
      </w:pPr>
      <w:rPr>
        <w:rFonts w:ascii="Wingdings 2" w:hAnsi="Wingdings 2" w:hint="default"/>
        <w:color w:val="DFCEBC" w:themeColor="accent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157457"/>
    <w:multiLevelType w:val="multilevel"/>
    <w:tmpl w:val="FDA41D1A"/>
    <w:name w:val="List number"/>
    <w:lvl w:ilvl="0">
      <w:start w:val="1"/>
      <w:numFmt w:val="decimal"/>
      <w:pStyle w:val="ListNumber"/>
      <w:lvlText w:val="%1."/>
      <w:lvlJc w:val="left"/>
      <w:pPr>
        <w:ind w:left="851" w:hanging="284"/>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530A9D7"/>
    <w:multiLevelType w:val="hybridMultilevel"/>
    <w:tmpl w:val="B7F81E02"/>
    <w:lvl w:ilvl="0" w:tplc="7F16F3BC">
      <w:start w:val="1"/>
      <w:numFmt w:val="bullet"/>
      <w:lvlText w:val=""/>
      <w:lvlJc w:val="left"/>
      <w:pPr>
        <w:ind w:left="720" w:hanging="360"/>
      </w:pPr>
      <w:rPr>
        <w:rFonts w:ascii="Symbol" w:hAnsi="Symbol" w:hint="default"/>
      </w:rPr>
    </w:lvl>
    <w:lvl w:ilvl="1" w:tplc="07FE1D66">
      <w:start w:val="1"/>
      <w:numFmt w:val="bullet"/>
      <w:lvlText w:val="o"/>
      <w:lvlJc w:val="left"/>
      <w:pPr>
        <w:ind w:left="1440" w:hanging="360"/>
      </w:pPr>
      <w:rPr>
        <w:rFonts w:ascii="Courier New" w:hAnsi="Courier New" w:hint="default"/>
      </w:rPr>
    </w:lvl>
    <w:lvl w:ilvl="2" w:tplc="58D44A64">
      <w:start w:val="1"/>
      <w:numFmt w:val="bullet"/>
      <w:lvlText w:val=""/>
      <w:lvlJc w:val="left"/>
      <w:pPr>
        <w:ind w:left="2160" w:hanging="360"/>
      </w:pPr>
      <w:rPr>
        <w:rFonts w:ascii="Wingdings" w:hAnsi="Wingdings" w:hint="default"/>
      </w:rPr>
    </w:lvl>
    <w:lvl w:ilvl="3" w:tplc="460E15A0">
      <w:start w:val="1"/>
      <w:numFmt w:val="bullet"/>
      <w:lvlText w:val=""/>
      <w:lvlJc w:val="left"/>
      <w:pPr>
        <w:ind w:left="2880" w:hanging="360"/>
      </w:pPr>
      <w:rPr>
        <w:rFonts w:ascii="Symbol" w:hAnsi="Symbol" w:hint="default"/>
      </w:rPr>
    </w:lvl>
    <w:lvl w:ilvl="4" w:tplc="F5C04B6C">
      <w:start w:val="1"/>
      <w:numFmt w:val="bullet"/>
      <w:lvlText w:val="o"/>
      <w:lvlJc w:val="left"/>
      <w:pPr>
        <w:ind w:left="3600" w:hanging="360"/>
      </w:pPr>
      <w:rPr>
        <w:rFonts w:ascii="Courier New" w:hAnsi="Courier New" w:hint="default"/>
      </w:rPr>
    </w:lvl>
    <w:lvl w:ilvl="5" w:tplc="EC9CE4B6">
      <w:start w:val="1"/>
      <w:numFmt w:val="bullet"/>
      <w:lvlText w:val=""/>
      <w:lvlJc w:val="left"/>
      <w:pPr>
        <w:ind w:left="4320" w:hanging="360"/>
      </w:pPr>
      <w:rPr>
        <w:rFonts w:ascii="Wingdings" w:hAnsi="Wingdings" w:hint="default"/>
      </w:rPr>
    </w:lvl>
    <w:lvl w:ilvl="6" w:tplc="950C6470">
      <w:start w:val="1"/>
      <w:numFmt w:val="bullet"/>
      <w:lvlText w:val=""/>
      <w:lvlJc w:val="left"/>
      <w:pPr>
        <w:ind w:left="5040" w:hanging="360"/>
      </w:pPr>
      <w:rPr>
        <w:rFonts w:ascii="Symbol" w:hAnsi="Symbol" w:hint="default"/>
      </w:rPr>
    </w:lvl>
    <w:lvl w:ilvl="7" w:tplc="835283AC">
      <w:start w:val="1"/>
      <w:numFmt w:val="bullet"/>
      <w:lvlText w:val="o"/>
      <w:lvlJc w:val="left"/>
      <w:pPr>
        <w:ind w:left="5760" w:hanging="360"/>
      </w:pPr>
      <w:rPr>
        <w:rFonts w:ascii="Courier New" w:hAnsi="Courier New" w:hint="default"/>
      </w:rPr>
    </w:lvl>
    <w:lvl w:ilvl="8" w:tplc="D93A0BC2">
      <w:start w:val="1"/>
      <w:numFmt w:val="bullet"/>
      <w:lvlText w:val=""/>
      <w:lvlJc w:val="left"/>
      <w:pPr>
        <w:ind w:left="6480" w:hanging="360"/>
      </w:pPr>
      <w:rPr>
        <w:rFonts w:ascii="Wingdings" w:hAnsi="Wingdings" w:hint="default"/>
      </w:rPr>
    </w:lvl>
  </w:abstractNum>
  <w:abstractNum w:abstractNumId="3" w15:restartNumberingAfterBreak="0">
    <w:nsid w:val="15730DDB"/>
    <w:multiLevelType w:val="multilevel"/>
    <w:tmpl w:val="6C8A8B6A"/>
    <w:styleLink w:val="BulletPINK"/>
    <w:lvl w:ilvl="0">
      <w:start w:val="1"/>
      <w:numFmt w:val="bullet"/>
      <w:pStyle w:val="PINKBullet"/>
      <w:lvlText w:val=""/>
      <w:lvlJc w:val="left"/>
      <w:pPr>
        <w:ind w:left="357" w:hanging="357"/>
      </w:pPr>
      <w:rPr>
        <w:rFonts w:ascii="Wingdings 2" w:hAnsi="Wingdings 2" w:cs="Times New Roman" w:hint="default"/>
        <w:color w:val="008276" w:themeColor="accent6"/>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16863792"/>
    <w:multiLevelType w:val="multilevel"/>
    <w:tmpl w:val="0C09001D"/>
    <w:numStyleLink w:val="BulletGREEN"/>
  </w:abstractNum>
  <w:abstractNum w:abstractNumId="6" w15:restartNumberingAfterBreak="0">
    <w:nsid w:val="17C51642"/>
    <w:multiLevelType w:val="multilevel"/>
    <w:tmpl w:val="01AC8A1C"/>
    <w:lvl w:ilvl="0">
      <w:start w:val="1"/>
      <w:numFmt w:val="bullet"/>
      <w:pStyle w:val="PURPLEBullet"/>
      <w:lvlText w:val=""/>
      <w:lvlJc w:val="left"/>
      <w:pPr>
        <w:ind w:left="851" w:hanging="284"/>
      </w:pPr>
      <w:rPr>
        <w:rFonts w:ascii="Wingdings 2" w:hAnsi="Wingdings 2" w:hint="default"/>
        <w:color w:val="BF5A50" w:themeColor="accent5"/>
        <w:sz w:val="22"/>
      </w:rPr>
    </w:lvl>
    <w:lvl w:ilvl="1">
      <w:start w:val="1"/>
      <w:numFmt w:val="lowerLetter"/>
      <w:lvlText w:val="%2)"/>
      <w:lvlJc w:val="left"/>
      <w:pPr>
        <w:ind w:left="1077" w:hanging="357"/>
      </w:pPr>
      <w:rPr>
        <w:rFonts w:hint="default"/>
      </w:rPr>
    </w:lvl>
    <w:lvl w:ilvl="2">
      <w:start w:val="1"/>
      <w:numFmt w:val="lowerLetter"/>
      <w:lvlText w:val="%3)"/>
      <w:lvlJc w:val="left"/>
      <w:pPr>
        <w:ind w:left="1080" w:hanging="360"/>
      </w:pPr>
      <w:rPr>
        <w:rFonts w:asciiTheme="minorHAnsi" w:eastAsia="Times New Roman" w:hAnsiTheme="minorHAnsi" w:cstheme="minorHAns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7D5AA1"/>
    <w:multiLevelType w:val="multilevel"/>
    <w:tmpl w:val="0C09001D"/>
    <w:styleLink w:val="BLUEBullet"/>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2E72F1"/>
    <w:multiLevelType w:val="hybridMultilevel"/>
    <w:tmpl w:val="C9BA66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A4E1AA6"/>
    <w:multiLevelType w:val="multilevel"/>
    <w:tmpl w:val="0C09001D"/>
    <w:styleLink w:val="BulletGREEN"/>
    <w:lvl w:ilvl="0">
      <w:start w:val="1"/>
      <w:numFmt w:val="bullet"/>
      <w:pStyle w:val="GREENBullet"/>
      <w:lvlText w:val=""/>
      <w:lvlJc w:val="left"/>
      <w:pPr>
        <w:ind w:left="360" w:hanging="360"/>
      </w:pPr>
      <w:rPr>
        <w:rFonts w:ascii="Wingdings 2" w:hAnsi="Wingdings 2" w:hint="default"/>
        <w:color w:val="DDA93B" w:themeColor="accent1"/>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A53E4C"/>
    <w:multiLevelType w:val="multilevel"/>
    <w:tmpl w:val="6C8A8B6A"/>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347943"/>
    <w:multiLevelType w:val="multilevel"/>
    <w:tmpl w:val="0C09001D"/>
    <w:styleLink w:val="Bullet-BLUE"/>
    <w:lvl w:ilvl="0">
      <w:start w:val="1"/>
      <w:numFmt w:val="bullet"/>
      <w:lvlText w:val=""/>
      <w:lvlJc w:val="left"/>
      <w:pPr>
        <w:ind w:left="360" w:hanging="360"/>
      </w:pPr>
      <w:rPr>
        <w:rFonts w:ascii="Wingdings" w:hAnsi="Wingdings" w:hint="default"/>
        <w:color w:val="214050" w:themeColor="accent2"/>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DE96002"/>
    <w:multiLevelType w:val="hybridMultilevel"/>
    <w:tmpl w:val="02306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2D0F27"/>
    <w:multiLevelType w:val="multilevel"/>
    <w:tmpl w:val="6C8A8B6A"/>
    <w:numStyleLink w:val="BulletPINK"/>
  </w:abstractNum>
  <w:abstractNum w:abstractNumId="15" w15:restartNumberingAfterBreak="0">
    <w:nsid w:val="442C4EEF"/>
    <w:multiLevelType w:val="hybridMultilevel"/>
    <w:tmpl w:val="7CDEEFEC"/>
    <w:lvl w:ilvl="0" w:tplc="D6C4D93E">
      <w:start w:val="1"/>
      <w:numFmt w:val="bullet"/>
      <w:lvlText w:val=""/>
      <w:lvlJc w:val="left"/>
      <w:pPr>
        <w:ind w:left="720" w:hanging="360"/>
      </w:pPr>
      <w:rPr>
        <w:rFonts w:ascii="Symbol" w:hAnsi="Symbol" w:hint="default"/>
      </w:rPr>
    </w:lvl>
    <w:lvl w:ilvl="1" w:tplc="99F017A6">
      <w:start w:val="1"/>
      <w:numFmt w:val="bullet"/>
      <w:lvlText w:val="o"/>
      <w:lvlJc w:val="left"/>
      <w:pPr>
        <w:ind w:left="1440" w:hanging="360"/>
      </w:pPr>
      <w:rPr>
        <w:rFonts w:ascii="Courier New" w:hAnsi="Courier New" w:hint="default"/>
      </w:rPr>
    </w:lvl>
    <w:lvl w:ilvl="2" w:tplc="9EA80BE2">
      <w:start w:val="1"/>
      <w:numFmt w:val="bullet"/>
      <w:lvlText w:val=""/>
      <w:lvlJc w:val="left"/>
      <w:pPr>
        <w:ind w:left="2160" w:hanging="360"/>
      </w:pPr>
      <w:rPr>
        <w:rFonts w:ascii="Wingdings" w:hAnsi="Wingdings" w:hint="default"/>
      </w:rPr>
    </w:lvl>
    <w:lvl w:ilvl="3" w:tplc="2806C9E8">
      <w:start w:val="1"/>
      <w:numFmt w:val="bullet"/>
      <w:lvlText w:val=""/>
      <w:lvlJc w:val="left"/>
      <w:pPr>
        <w:ind w:left="2880" w:hanging="360"/>
      </w:pPr>
      <w:rPr>
        <w:rFonts w:ascii="Symbol" w:hAnsi="Symbol" w:hint="default"/>
      </w:rPr>
    </w:lvl>
    <w:lvl w:ilvl="4" w:tplc="41A83806">
      <w:start w:val="1"/>
      <w:numFmt w:val="bullet"/>
      <w:lvlText w:val="o"/>
      <w:lvlJc w:val="left"/>
      <w:pPr>
        <w:ind w:left="3600" w:hanging="360"/>
      </w:pPr>
      <w:rPr>
        <w:rFonts w:ascii="Courier New" w:hAnsi="Courier New" w:hint="default"/>
      </w:rPr>
    </w:lvl>
    <w:lvl w:ilvl="5" w:tplc="901282D6">
      <w:start w:val="1"/>
      <w:numFmt w:val="bullet"/>
      <w:lvlText w:val=""/>
      <w:lvlJc w:val="left"/>
      <w:pPr>
        <w:ind w:left="4320" w:hanging="360"/>
      </w:pPr>
      <w:rPr>
        <w:rFonts w:ascii="Wingdings" w:hAnsi="Wingdings" w:hint="default"/>
      </w:rPr>
    </w:lvl>
    <w:lvl w:ilvl="6" w:tplc="CAFA9094">
      <w:start w:val="1"/>
      <w:numFmt w:val="bullet"/>
      <w:lvlText w:val=""/>
      <w:lvlJc w:val="left"/>
      <w:pPr>
        <w:ind w:left="5040" w:hanging="360"/>
      </w:pPr>
      <w:rPr>
        <w:rFonts w:ascii="Symbol" w:hAnsi="Symbol" w:hint="default"/>
      </w:rPr>
    </w:lvl>
    <w:lvl w:ilvl="7" w:tplc="EF9E484A">
      <w:start w:val="1"/>
      <w:numFmt w:val="bullet"/>
      <w:lvlText w:val="o"/>
      <w:lvlJc w:val="left"/>
      <w:pPr>
        <w:ind w:left="5760" w:hanging="360"/>
      </w:pPr>
      <w:rPr>
        <w:rFonts w:ascii="Courier New" w:hAnsi="Courier New" w:hint="default"/>
      </w:rPr>
    </w:lvl>
    <w:lvl w:ilvl="8" w:tplc="B20C1B00">
      <w:start w:val="1"/>
      <w:numFmt w:val="bullet"/>
      <w:lvlText w:val=""/>
      <w:lvlJc w:val="left"/>
      <w:pPr>
        <w:ind w:left="6480" w:hanging="360"/>
      </w:pPr>
      <w:rPr>
        <w:rFonts w:ascii="Wingdings" w:hAnsi="Wingdings" w:hint="default"/>
      </w:rPr>
    </w:lvl>
  </w:abstractNum>
  <w:abstractNum w:abstractNumId="16" w15:restartNumberingAfterBreak="0">
    <w:nsid w:val="4E055119"/>
    <w:multiLevelType w:val="multilevel"/>
    <w:tmpl w:val="B872856C"/>
    <w:lvl w:ilvl="0">
      <w:start w:val="1"/>
      <w:numFmt w:val="bullet"/>
      <w:pStyle w:val="BLUE-Bullet"/>
      <w:lvlText w:val=""/>
      <w:lvlJc w:val="left"/>
      <w:pPr>
        <w:ind w:left="357" w:hanging="357"/>
      </w:pPr>
      <w:rPr>
        <w:rFonts w:ascii="Wingdings" w:hAnsi="Wingdings" w:hint="default"/>
        <w:color w:val="214050" w:themeColor="accent2"/>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3972F2"/>
    <w:multiLevelType w:val="multilevel"/>
    <w:tmpl w:val="F070BC58"/>
    <w:lvl w:ilvl="0">
      <w:start w:val="1"/>
      <w:numFmt w:val="decimal"/>
      <w:pStyle w:val="LRCodeSectionHeading"/>
      <w:lvlText w:val="%1."/>
      <w:lvlJc w:val="left"/>
      <w:pPr>
        <w:ind w:left="360" w:hanging="360"/>
      </w:pPr>
      <w:rPr>
        <w:rFonts w:hint="default"/>
      </w:rPr>
    </w:lvl>
    <w:lvl w:ilvl="1">
      <w:start w:val="1"/>
      <w:numFmt w:val="decimal"/>
      <w:pStyle w:val="LRCode-ordinary"/>
      <w:lvlText w:val="(%2)"/>
      <w:lvlJc w:val="left"/>
      <w:pPr>
        <w:ind w:left="432" w:hanging="432"/>
      </w:pPr>
      <w:rPr>
        <w:rFonts w:ascii="Calibri" w:eastAsia="Calibri" w:hAnsi="Calibri" w:cs="Arial"/>
        <w:b w:val="0"/>
        <w:sz w:val="24"/>
        <w:szCs w:val="22"/>
      </w:rPr>
    </w:lvl>
    <w:lvl w:ilvl="2">
      <w:start w:val="1"/>
      <w:numFmt w:val="lowerLetter"/>
      <w:lvlText w:val="(%3)"/>
      <w:lvlJc w:val="left"/>
      <w:pPr>
        <w:ind w:left="1224" w:hanging="504"/>
      </w:pPr>
      <w:rPr>
        <w:rFonts w:hint="default"/>
        <w:b w:val="0"/>
        <w:i w:val="0"/>
        <w:sz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48D6DCB"/>
    <w:multiLevelType w:val="hybridMultilevel"/>
    <w:tmpl w:val="A7D4E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B601F9"/>
    <w:multiLevelType w:val="hybridMultilevel"/>
    <w:tmpl w:val="1786D6B0"/>
    <w:lvl w:ilvl="0" w:tplc="D832B522">
      <w:start w:val="1"/>
      <w:numFmt w:val="bullet"/>
      <w:lvlText w:val=""/>
      <w:lvlJc w:val="left"/>
      <w:pPr>
        <w:ind w:left="360" w:hanging="360"/>
      </w:pPr>
      <w:rPr>
        <w:rFonts w:ascii="Symbol" w:hAnsi="Symbol" w:hint="default"/>
        <w:color w:val="00000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720B6010"/>
    <w:multiLevelType w:val="hybridMultilevel"/>
    <w:tmpl w:val="443C289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7E8A56F7"/>
    <w:multiLevelType w:val="multilevel"/>
    <w:tmpl w:val="0C09001D"/>
    <w:styleLink w:val="BulletPURPLE"/>
    <w:lvl w:ilvl="0">
      <w:start w:val="1"/>
      <w:numFmt w:val="bullet"/>
      <w:lvlText w:val=""/>
      <w:lvlJc w:val="left"/>
      <w:pPr>
        <w:ind w:left="360" w:hanging="360"/>
      </w:pPr>
      <w:rPr>
        <w:rFonts w:ascii="Wingdings 2" w:hAnsi="Wingdings 2" w:hint="default"/>
        <w:color w:val="BF5A50" w:themeColor="accent5"/>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FC03462"/>
    <w:multiLevelType w:val="hybridMultilevel"/>
    <w:tmpl w:val="70EEB97E"/>
    <w:lvl w:ilvl="0" w:tplc="4886A370">
      <w:start w:val="5"/>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776367619">
    <w:abstractNumId w:val="1"/>
  </w:num>
  <w:num w:numId="2" w16cid:durableId="1291746611">
    <w:abstractNumId w:val="10"/>
  </w:num>
  <w:num w:numId="3" w16cid:durableId="507449168">
    <w:abstractNumId w:val="12"/>
  </w:num>
  <w:num w:numId="4" w16cid:durableId="17886163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4135436">
    <w:abstractNumId w:val="0"/>
  </w:num>
  <w:num w:numId="6" w16cid:durableId="339626200">
    <w:abstractNumId w:val="7"/>
  </w:num>
  <w:num w:numId="7" w16cid:durableId="1088771285">
    <w:abstractNumId w:val="3"/>
  </w:num>
  <w:num w:numId="8" w16cid:durableId="695472921">
    <w:abstractNumId w:val="14"/>
  </w:num>
  <w:num w:numId="9" w16cid:durableId="1908883352">
    <w:abstractNumId w:val="21"/>
  </w:num>
  <w:num w:numId="10" w16cid:durableId="946733693">
    <w:abstractNumId w:val="6"/>
  </w:num>
  <w:num w:numId="11" w16cid:durableId="557596470">
    <w:abstractNumId w:val="11"/>
  </w:num>
  <w:num w:numId="12" w16cid:durableId="59718251">
    <w:abstractNumId w:val="16"/>
  </w:num>
  <w:num w:numId="13" w16cid:durableId="1395011415">
    <w:abstractNumId w:val="9"/>
  </w:num>
  <w:num w:numId="14" w16cid:durableId="1623880864">
    <w:abstractNumId w:val="5"/>
  </w:num>
  <w:num w:numId="15" w16cid:durableId="1252277681">
    <w:abstractNumId w:val="8"/>
  </w:num>
  <w:num w:numId="16" w16cid:durableId="447361834">
    <w:abstractNumId w:val="17"/>
  </w:num>
  <w:num w:numId="17" w16cid:durableId="2010332030">
    <w:abstractNumId w:val="6"/>
    <w:lvlOverride w:ilvl="0">
      <w:lvl w:ilvl="0">
        <w:start w:val="1"/>
        <w:numFmt w:val="bullet"/>
        <w:pStyle w:val="PURPLEBullet"/>
        <w:lvlText w:val=""/>
        <w:lvlJc w:val="left"/>
        <w:pPr>
          <w:ind w:left="357" w:hanging="357"/>
        </w:pPr>
        <w:rPr>
          <w:rFonts w:ascii="Wingdings 2" w:hAnsi="Wingdings 2" w:hint="default"/>
          <w:color w:val="BF5A50" w:themeColor="accent5"/>
          <w:sz w:val="22"/>
        </w:rPr>
      </w:lvl>
    </w:lvlOverride>
    <w:lvlOverride w:ilvl="1">
      <w:lvl w:ilvl="1">
        <w:start w:val="1"/>
        <w:numFmt w:val="lowerLetter"/>
        <w:lvlText w:val="%2)"/>
        <w:lvlJc w:val="left"/>
        <w:pPr>
          <w:ind w:left="862" w:hanging="360"/>
        </w:pPr>
        <w:rPr>
          <w:rFonts w:hint="default"/>
        </w:rPr>
      </w:lvl>
    </w:lvlOverride>
    <w:lvlOverride w:ilvl="2">
      <w:lvl w:ilvl="2">
        <w:start w:val="1"/>
        <w:numFmt w:val="lowerRoman"/>
        <w:lvlText w:val="%3)"/>
        <w:lvlJc w:val="left"/>
        <w:pPr>
          <w:ind w:left="1222" w:hanging="360"/>
        </w:pPr>
        <w:rPr>
          <w:rFonts w:hint="default"/>
        </w:rPr>
      </w:lvl>
    </w:lvlOverride>
    <w:lvlOverride w:ilvl="3">
      <w:lvl w:ilvl="3">
        <w:start w:val="1"/>
        <w:numFmt w:val="decimal"/>
        <w:lvlText w:val="(%4)"/>
        <w:lvlJc w:val="left"/>
        <w:pPr>
          <w:ind w:left="1582" w:hanging="360"/>
        </w:pPr>
        <w:rPr>
          <w:rFonts w:hint="default"/>
        </w:rPr>
      </w:lvl>
    </w:lvlOverride>
    <w:lvlOverride w:ilvl="4">
      <w:lvl w:ilvl="4">
        <w:start w:val="1"/>
        <w:numFmt w:val="lowerLetter"/>
        <w:lvlText w:val="(%5)"/>
        <w:lvlJc w:val="left"/>
        <w:pPr>
          <w:ind w:left="1942" w:hanging="360"/>
        </w:pPr>
        <w:rPr>
          <w:rFonts w:hint="default"/>
        </w:rPr>
      </w:lvl>
    </w:lvlOverride>
    <w:lvlOverride w:ilvl="5">
      <w:lvl w:ilvl="5">
        <w:start w:val="1"/>
        <w:numFmt w:val="lowerRoman"/>
        <w:lvlText w:val="(%6)"/>
        <w:lvlJc w:val="left"/>
        <w:pPr>
          <w:ind w:left="2302" w:hanging="360"/>
        </w:pPr>
        <w:rPr>
          <w:rFonts w:hint="default"/>
        </w:rPr>
      </w:lvl>
    </w:lvlOverride>
    <w:lvlOverride w:ilvl="6">
      <w:lvl w:ilvl="6">
        <w:start w:val="1"/>
        <w:numFmt w:val="decimal"/>
        <w:lvlText w:val="%7."/>
        <w:lvlJc w:val="left"/>
        <w:pPr>
          <w:ind w:left="2662" w:hanging="360"/>
        </w:pPr>
        <w:rPr>
          <w:rFonts w:hint="default"/>
        </w:rPr>
      </w:lvl>
    </w:lvlOverride>
    <w:lvlOverride w:ilvl="7">
      <w:lvl w:ilvl="7">
        <w:start w:val="1"/>
        <w:numFmt w:val="lowerLetter"/>
        <w:lvlText w:val="%8."/>
        <w:lvlJc w:val="left"/>
        <w:pPr>
          <w:ind w:left="3022" w:hanging="360"/>
        </w:pPr>
        <w:rPr>
          <w:rFonts w:hint="default"/>
        </w:rPr>
      </w:lvl>
    </w:lvlOverride>
    <w:lvlOverride w:ilvl="8">
      <w:lvl w:ilvl="8">
        <w:start w:val="1"/>
        <w:numFmt w:val="lowerRoman"/>
        <w:lvlText w:val="%9."/>
        <w:lvlJc w:val="left"/>
        <w:pPr>
          <w:ind w:left="3382" w:hanging="360"/>
        </w:pPr>
        <w:rPr>
          <w:rFonts w:hint="default"/>
        </w:rPr>
      </w:lvl>
    </w:lvlOverride>
  </w:num>
  <w:num w:numId="18" w16cid:durableId="553006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9643550">
    <w:abstractNumId w:val="19"/>
  </w:num>
  <w:num w:numId="20" w16cid:durableId="696198530">
    <w:abstractNumId w:val="22"/>
  </w:num>
  <w:num w:numId="21" w16cid:durableId="1940749408">
    <w:abstractNumId w:val="12"/>
    <w:lvlOverride w:ilvl="0">
      <w:lvl w:ilvl="0">
        <w:start w:val="1"/>
        <w:numFmt w:val="decimal"/>
        <w:pStyle w:val="List"/>
        <w:lvlText w:val="%1"/>
        <w:lvlJc w:val="left"/>
        <w:pPr>
          <w:ind w:left="357" w:hanging="357"/>
        </w:pPr>
        <w:rPr>
          <w:rFonts w:hint="default"/>
        </w:rPr>
      </w:lvl>
    </w:lvlOverride>
    <w:lvlOverride w:ilvl="1">
      <w:lvl w:ilvl="1">
        <w:start w:val="1"/>
        <w:numFmt w:val="lowerLetter"/>
        <w:lvlText w:val="%2"/>
        <w:lvlJc w:val="left"/>
        <w:pPr>
          <w:ind w:left="714" w:hanging="357"/>
        </w:pPr>
        <w:rPr>
          <w:rFonts w:hint="default"/>
        </w:rPr>
      </w:lvl>
    </w:lvlOverride>
    <w:lvlOverride w:ilvl="2">
      <w:lvl w:ilvl="2">
        <w:start w:val="1"/>
        <w:numFmt w:val="lowerRoman"/>
        <w:lvlText w:val="%3"/>
        <w:lvlJc w:val="left"/>
        <w:pPr>
          <w:tabs>
            <w:tab w:val="num" w:pos="1985"/>
          </w:tabs>
          <w:ind w:left="1071" w:hanging="357"/>
        </w:pPr>
        <w:rPr>
          <w:rFonts w:hint="default"/>
        </w:rPr>
      </w:lvl>
    </w:lvlOverride>
    <w:lvlOverride w:ilvl="3">
      <w:lvl w:ilvl="3">
        <w:start w:val="1"/>
        <w:numFmt w:val="bullet"/>
        <w:lvlText w:val="–"/>
        <w:lvlJc w:val="left"/>
        <w:pPr>
          <w:tabs>
            <w:tab w:val="num" w:pos="2552"/>
          </w:tabs>
          <w:ind w:left="1428" w:hanging="357"/>
        </w:pPr>
        <w:rPr>
          <w:rFonts w:ascii="Calibri" w:hAnsi="Calibri" w:hint="default"/>
          <w:color w:val="auto"/>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lef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22" w16cid:durableId="1357388770">
    <w:abstractNumId w:val="4"/>
  </w:num>
  <w:num w:numId="23" w16cid:durableId="2032565961">
    <w:abstractNumId w:val="6"/>
    <w:lvlOverride w:ilvl="0">
      <w:lvl w:ilvl="0">
        <w:start w:val="1"/>
        <w:numFmt w:val="bullet"/>
        <w:pStyle w:val="PURPLEBullet"/>
        <w:lvlText w:val=""/>
        <w:lvlJc w:val="left"/>
        <w:pPr>
          <w:ind w:left="357" w:hanging="357"/>
        </w:pPr>
        <w:rPr>
          <w:rFonts w:ascii="Wingdings 2" w:hAnsi="Wingdings 2" w:hint="default"/>
          <w:color w:val="BF5A50" w:themeColor="accent5"/>
          <w:sz w:val="22"/>
        </w:rPr>
      </w:lvl>
    </w:lvlOverride>
    <w:lvlOverride w:ilvl="1">
      <w:lvl w:ilvl="1">
        <w:start w:val="1"/>
        <w:numFmt w:val="lowerLetter"/>
        <w:lvlText w:val="%2)"/>
        <w:lvlJc w:val="left"/>
        <w:pPr>
          <w:ind w:left="862" w:hanging="360"/>
        </w:pPr>
        <w:rPr>
          <w:rFonts w:hint="default"/>
        </w:rPr>
      </w:lvl>
    </w:lvlOverride>
    <w:lvlOverride w:ilvl="2">
      <w:lvl w:ilvl="2">
        <w:start w:val="1"/>
        <w:numFmt w:val="lowerRoman"/>
        <w:lvlText w:val="%3)"/>
        <w:lvlJc w:val="left"/>
        <w:pPr>
          <w:ind w:left="1222" w:hanging="360"/>
        </w:pPr>
        <w:rPr>
          <w:rFonts w:hint="default"/>
        </w:rPr>
      </w:lvl>
    </w:lvlOverride>
    <w:lvlOverride w:ilvl="3">
      <w:lvl w:ilvl="3">
        <w:start w:val="1"/>
        <w:numFmt w:val="decimal"/>
        <w:lvlText w:val="(%4)"/>
        <w:lvlJc w:val="left"/>
        <w:pPr>
          <w:ind w:left="1582" w:hanging="360"/>
        </w:pPr>
        <w:rPr>
          <w:rFonts w:hint="default"/>
        </w:rPr>
      </w:lvl>
    </w:lvlOverride>
    <w:lvlOverride w:ilvl="4">
      <w:lvl w:ilvl="4">
        <w:start w:val="1"/>
        <w:numFmt w:val="lowerLetter"/>
        <w:lvlText w:val="(%5)"/>
        <w:lvlJc w:val="left"/>
        <w:pPr>
          <w:ind w:left="1942" w:hanging="360"/>
        </w:pPr>
        <w:rPr>
          <w:rFonts w:hint="default"/>
        </w:rPr>
      </w:lvl>
    </w:lvlOverride>
    <w:lvlOverride w:ilvl="5">
      <w:lvl w:ilvl="5">
        <w:start w:val="1"/>
        <w:numFmt w:val="lowerRoman"/>
        <w:lvlText w:val="(%6)"/>
        <w:lvlJc w:val="left"/>
        <w:pPr>
          <w:ind w:left="2302" w:hanging="360"/>
        </w:pPr>
        <w:rPr>
          <w:rFonts w:hint="default"/>
        </w:rPr>
      </w:lvl>
    </w:lvlOverride>
    <w:lvlOverride w:ilvl="6">
      <w:lvl w:ilvl="6">
        <w:start w:val="1"/>
        <w:numFmt w:val="decimal"/>
        <w:lvlText w:val="%7."/>
        <w:lvlJc w:val="left"/>
        <w:pPr>
          <w:ind w:left="2662" w:hanging="360"/>
        </w:pPr>
        <w:rPr>
          <w:rFonts w:hint="default"/>
        </w:rPr>
      </w:lvl>
    </w:lvlOverride>
    <w:lvlOverride w:ilvl="7">
      <w:lvl w:ilvl="7">
        <w:start w:val="1"/>
        <w:numFmt w:val="lowerLetter"/>
        <w:lvlText w:val="%8."/>
        <w:lvlJc w:val="left"/>
        <w:pPr>
          <w:ind w:left="3022" w:hanging="360"/>
        </w:pPr>
        <w:rPr>
          <w:rFonts w:hint="default"/>
        </w:rPr>
      </w:lvl>
    </w:lvlOverride>
    <w:lvlOverride w:ilvl="8">
      <w:lvl w:ilvl="8">
        <w:start w:val="1"/>
        <w:numFmt w:val="lowerRoman"/>
        <w:lvlText w:val="%9."/>
        <w:lvlJc w:val="left"/>
        <w:pPr>
          <w:ind w:left="3382" w:hanging="360"/>
        </w:pPr>
        <w:rPr>
          <w:rFonts w:hint="default"/>
        </w:rPr>
      </w:lvl>
    </w:lvlOverride>
  </w:num>
  <w:num w:numId="24" w16cid:durableId="651637472">
    <w:abstractNumId w:val="6"/>
    <w:lvlOverride w:ilvl="0">
      <w:lvl w:ilvl="0">
        <w:start w:val="1"/>
        <w:numFmt w:val="bullet"/>
        <w:pStyle w:val="PURPLEBullet"/>
        <w:lvlText w:val=""/>
        <w:lvlJc w:val="left"/>
        <w:pPr>
          <w:ind w:left="357" w:hanging="357"/>
        </w:pPr>
        <w:rPr>
          <w:rFonts w:ascii="Wingdings 2" w:hAnsi="Wingdings 2" w:hint="default"/>
          <w:color w:val="BF5A50" w:themeColor="accent5"/>
          <w:sz w:val="22"/>
        </w:rPr>
      </w:lvl>
    </w:lvlOverride>
    <w:lvlOverride w:ilvl="1">
      <w:lvl w:ilvl="1">
        <w:start w:val="1"/>
        <w:numFmt w:val="lowerLetter"/>
        <w:lvlText w:val="%2)"/>
        <w:lvlJc w:val="left"/>
        <w:pPr>
          <w:ind w:left="862" w:hanging="360"/>
        </w:pPr>
        <w:rPr>
          <w:rFonts w:hint="default"/>
        </w:rPr>
      </w:lvl>
    </w:lvlOverride>
    <w:lvlOverride w:ilvl="2">
      <w:lvl w:ilvl="2">
        <w:start w:val="1"/>
        <w:numFmt w:val="lowerRoman"/>
        <w:lvlText w:val="%3)"/>
        <w:lvlJc w:val="left"/>
        <w:pPr>
          <w:ind w:left="1222" w:hanging="360"/>
        </w:pPr>
        <w:rPr>
          <w:rFonts w:hint="default"/>
        </w:rPr>
      </w:lvl>
    </w:lvlOverride>
    <w:lvlOverride w:ilvl="3">
      <w:lvl w:ilvl="3">
        <w:start w:val="1"/>
        <w:numFmt w:val="decimal"/>
        <w:lvlText w:val="(%4)"/>
        <w:lvlJc w:val="left"/>
        <w:pPr>
          <w:ind w:left="1582" w:hanging="360"/>
        </w:pPr>
        <w:rPr>
          <w:rFonts w:hint="default"/>
        </w:rPr>
      </w:lvl>
    </w:lvlOverride>
    <w:lvlOverride w:ilvl="4">
      <w:lvl w:ilvl="4">
        <w:start w:val="1"/>
        <w:numFmt w:val="lowerLetter"/>
        <w:lvlText w:val="(%5)"/>
        <w:lvlJc w:val="left"/>
        <w:pPr>
          <w:ind w:left="1942" w:hanging="360"/>
        </w:pPr>
        <w:rPr>
          <w:rFonts w:hint="default"/>
        </w:rPr>
      </w:lvl>
    </w:lvlOverride>
    <w:lvlOverride w:ilvl="5">
      <w:lvl w:ilvl="5">
        <w:start w:val="1"/>
        <w:numFmt w:val="lowerRoman"/>
        <w:lvlText w:val="(%6)"/>
        <w:lvlJc w:val="left"/>
        <w:pPr>
          <w:ind w:left="2302" w:hanging="360"/>
        </w:pPr>
        <w:rPr>
          <w:rFonts w:hint="default"/>
        </w:rPr>
      </w:lvl>
    </w:lvlOverride>
    <w:lvlOverride w:ilvl="6">
      <w:lvl w:ilvl="6">
        <w:start w:val="1"/>
        <w:numFmt w:val="decimal"/>
        <w:lvlText w:val="%7."/>
        <w:lvlJc w:val="left"/>
        <w:pPr>
          <w:ind w:left="2662" w:hanging="360"/>
        </w:pPr>
        <w:rPr>
          <w:rFonts w:hint="default"/>
        </w:rPr>
      </w:lvl>
    </w:lvlOverride>
    <w:lvlOverride w:ilvl="7">
      <w:lvl w:ilvl="7">
        <w:start w:val="1"/>
        <w:numFmt w:val="lowerLetter"/>
        <w:lvlText w:val="%8."/>
        <w:lvlJc w:val="left"/>
        <w:pPr>
          <w:ind w:left="3022" w:hanging="360"/>
        </w:pPr>
        <w:rPr>
          <w:rFonts w:hint="default"/>
        </w:rPr>
      </w:lvl>
    </w:lvlOverride>
    <w:lvlOverride w:ilvl="8">
      <w:lvl w:ilvl="8">
        <w:start w:val="1"/>
        <w:numFmt w:val="lowerRoman"/>
        <w:lvlText w:val="%9."/>
        <w:lvlJc w:val="left"/>
        <w:pPr>
          <w:ind w:left="3382" w:hanging="360"/>
        </w:pPr>
        <w:rPr>
          <w:rFonts w:hint="default"/>
        </w:rPr>
      </w:lvl>
    </w:lvlOverride>
  </w:num>
  <w:num w:numId="25" w16cid:durableId="103306972">
    <w:abstractNumId w:val="20"/>
  </w:num>
  <w:num w:numId="26" w16cid:durableId="974994690">
    <w:abstractNumId w:val="13"/>
  </w:num>
  <w:num w:numId="27" w16cid:durableId="185950807">
    <w:abstractNumId w:val="6"/>
    <w:lvlOverride w:ilvl="0">
      <w:lvl w:ilvl="0">
        <w:start w:val="1"/>
        <w:numFmt w:val="bullet"/>
        <w:pStyle w:val="PURPLEBullet"/>
        <w:lvlText w:val=""/>
        <w:lvlJc w:val="left"/>
        <w:pPr>
          <w:ind w:left="357" w:hanging="357"/>
        </w:pPr>
        <w:rPr>
          <w:rFonts w:ascii="Wingdings 2" w:hAnsi="Wingdings 2" w:hint="default"/>
          <w:color w:val="BF5A50" w:themeColor="accent5"/>
          <w:sz w:val="22"/>
        </w:rPr>
      </w:lvl>
    </w:lvlOverride>
    <w:lvlOverride w:ilvl="1">
      <w:lvl w:ilvl="1">
        <w:start w:val="1"/>
        <w:numFmt w:val="lowerLetter"/>
        <w:lvlText w:val="%2)"/>
        <w:lvlJc w:val="left"/>
        <w:pPr>
          <w:ind w:left="862" w:hanging="360"/>
        </w:pPr>
        <w:rPr>
          <w:rFonts w:hint="default"/>
        </w:rPr>
      </w:lvl>
    </w:lvlOverride>
    <w:lvlOverride w:ilvl="2">
      <w:lvl w:ilvl="2">
        <w:start w:val="1"/>
        <w:numFmt w:val="lowerRoman"/>
        <w:lvlText w:val="%3)"/>
        <w:lvlJc w:val="left"/>
        <w:pPr>
          <w:ind w:left="1222" w:hanging="360"/>
        </w:pPr>
        <w:rPr>
          <w:rFonts w:hint="default"/>
        </w:rPr>
      </w:lvl>
    </w:lvlOverride>
    <w:lvlOverride w:ilvl="3">
      <w:lvl w:ilvl="3">
        <w:start w:val="1"/>
        <w:numFmt w:val="decimal"/>
        <w:lvlText w:val="(%4)"/>
        <w:lvlJc w:val="left"/>
        <w:pPr>
          <w:ind w:left="1582" w:hanging="360"/>
        </w:pPr>
        <w:rPr>
          <w:rFonts w:hint="default"/>
        </w:rPr>
      </w:lvl>
    </w:lvlOverride>
    <w:lvlOverride w:ilvl="4">
      <w:lvl w:ilvl="4">
        <w:start w:val="1"/>
        <w:numFmt w:val="lowerLetter"/>
        <w:lvlText w:val="(%5)"/>
        <w:lvlJc w:val="left"/>
        <w:pPr>
          <w:ind w:left="1942" w:hanging="360"/>
        </w:pPr>
        <w:rPr>
          <w:rFonts w:hint="default"/>
        </w:rPr>
      </w:lvl>
    </w:lvlOverride>
    <w:lvlOverride w:ilvl="5">
      <w:lvl w:ilvl="5">
        <w:start w:val="1"/>
        <w:numFmt w:val="lowerRoman"/>
        <w:lvlText w:val="(%6)"/>
        <w:lvlJc w:val="left"/>
        <w:pPr>
          <w:ind w:left="2302" w:hanging="360"/>
        </w:pPr>
        <w:rPr>
          <w:rFonts w:hint="default"/>
        </w:rPr>
      </w:lvl>
    </w:lvlOverride>
    <w:lvlOverride w:ilvl="6">
      <w:lvl w:ilvl="6">
        <w:start w:val="1"/>
        <w:numFmt w:val="decimal"/>
        <w:lvlText w:val="%7."/>
        <w:lvlJc w:val="left"/>
        <w:pPr>
          <w:ind w:left="2662" w:hanging="360"/>
        </w:pPr>
        <w:rPr>
          <w:rFonts w:hint="default"/>
        </w:rPr>
      </w:lvl>
    </w:lvlOverride>
    <w:lvlOverride w:ilvl="7">
      <w:lvl w:ilvl="7">
        <w:start w:val="1"/>
        <w:numFmt w:val="lowerLetter"/>
        <w:lvlText w:val="%8."/>
        <w:lvlJc w:val="left"/>
        <w:pPr>
          <w:ind w:left="3022" w:hanging="360"/>
        </w:pPr>
        <w:rPr>
          <w:rFonts w:hint="default"/>
        </w:rPr>
      </w:lvl>
    </w:lvlOverride>
    <w:lvlOverride w:ilvl="8">
      <w:lvl w:ilvl="8">
        <w:start w:val="1"/>
        <w:numFmt w:val="lowerRoman"/>
        <w:lvlText w:val="%9."/>
        <w:lvlJc w:val="left"/>
        <w:pPr>
          <w:ind w:left="3382" w:hanging="360"/>
        </w:pPr>
        <w:rPr>
          <w:rFonts w:hint="default"/>
        </w:rPr>
      </w:lvl>
    </w:lvlOverride>
  </w:num>
  <w:num w:numId="28" w16cid:durableId="1584604218">
    <w:abstractNumId w:val="15"/>
  </w:num>
  <w:num w:numId="29" w16cid:durableId="499857493">
    <w:abstractNumId w:val="18"/>
  </w:num>
  <w:num w:numId="30" w16cid:durableId="974869656">
    <w:abstractNumId w:val="6"/>
    <w:lvlOverride w:ilvl="0">
      <w:lvl w:ilvl="0">
        <w:start w:val="1"/>
        <w:numFmt w:val="bullet"/>
        <w:pStyle w:val="PURPLEBullet"/>
        <w:lvlText w:val=""/>
        <w:lvlJc w:val="left"/>
        <w:pPr>
          <w:ind w:left="357" w:hanging="357"/>
        </w:pPr>
        <w:rPr>
          <w:rFonts w:ascii="Wingdings 2" w:hAnsi="Wingdings 2" w:hint="default"/>
          <w:color w:val="BF5A50" w:themeColor="accent5"/>
          <w:sz w:val="22"/>
        </w:rPr>
      </w:lvl>
    </w:lvlOverride>
    <w:lvlOverride w:ilvl="1">
      <w:lvl w:ilvl="1">
        <w:start w:val="1"/>
        <w:numFmt w:val="lowerLetter"/>
        <w:lvlText w:val="%2)"/>
        <w:lvlJc w:val="left"/>
        <w:pPr>
          <w:ind w:left="862" w:hanging="360"/>
        </w:pPr>
        <w:rPr>
          <w:rFonts w:hint="default"/>
        </w:rPr>
      </w:lvl>
    </w:lvlOverride>
    <w:lvlOverride w:ilvl="2">
      <w:lvl w:ilvl="2">
        <w:start w:val="1"/>
        <w:numFmt w:val="lowerRoman"/>
        <w:lvlText w:val="%3)"/>
        <w:lvlJc w:val="left"/>
        <w:pPr>
          <w:ind w:left="1222" w:hanging="360"/>
        </w:pPr>
        <w:rPr>
          <w:rFonts w:hint="default"/>
        </w:rPr>
      </w:lvl>
    </w:lvlOverride>
    <w:lvlOverride w:ilvl="3">
      <w:lvl w:ilvl="3">
        <w:start w:val="1"/>
        <w:numFmt w:val="decimal"/>
        <w:lvlText w:val="(%4)"/>
        <w:lvlJc w:val="left"/>
        <w:pPr>
          <w:ind w:left="1582" w:hanging="360"/>
        </w:pPr>
        <w:rPr>
          <w:rFonts w:hint="default"/>
        </w:rPr>
      </w:lvl>
    </w:lvlOverride>
    <w:lvlOverride w:ilvl="4">
      <w:lvl w:ilvl="4">
        <w:start w:val="1"/>
        <w:numFmt w:val="lowerLetter"/>
        <w:lvlText w:val="(%5)"/>
        <w:lvlJc w:val="left"/>
        <w:pPr>
          <w:ind w:left="1942" w:hanging="360"/>
        </w:pPr>
        <w:rPr>
          <w:rFonts w:hint="default"/>
        </w:rPr>
      </w:lvl>
    </w:lvlOverride>
    <w:lvlOverride w:ilvl="5">
      <w:lvl w:ilvl="5">
        <w:start w:val="1"/>
        <w:numFmt w:val="lowerRoman"/>
        <w:lvlText w:val="(%6)"/>
        <w:lvlJc w:val="left"/>
        <w:pPr>
          <w:ind w:left="2302" w:hanging="360"/>
        </w:pPr>
        <w:rPr>
          <w:rFonts w:hint="default"/>
        </w:rPr>
      </w:lvl>
    </w:lvlOverride>
    <w:lvlOverride w:ilvl="6">
      <w:lvl w:ilvl="6">
        <w:start w:val="1"/>
        <w:numFmt w:val="decimal"/>
        <w:lvlText w:val="%7."/>
        <w:lvlJc w:val="left"/>
        <w:pPr>
          <w:ind w:left="2662" w:hanging="360"/>
        </w:pPr>
        <w:rPr>
          <w:rFonts w:hint="default"/>
        </w:rPr>
      </w:lvl>
    </w:lvlOverride>
    <w:lvlOverride w:ilvl="7">
      <w:lvl w:ilvl="7">
        <w:start w:val="1"/>
        <w:numFmt w:val="lowerLetter"/>
        <w:lvlText w:val="%8."/>
        <w:lvlJc w:val="left"/>
        <w:pPr>
          <w:ind w:left="3022" w:hanging="360"/>
        </w:pPr>
        <w:rPr>
          <w:rFonts w:hint="default"/>
        </w:rPr>
      </w:lvl>
    </w:lvlOverride>
    <w:lvlOverride w:ilvl="8">
      <w:lvl w:ilvl="8">
        <w:start w:val="1"/>
        <w:numFmt w:val="lowerRoman"/>
        <w:lvlText w:val="%9."/>
        <w:lvlJc w:val="left"/>
        <w:pPr>
          <w:ind w:left="3382" w:hanging="360"/>
        </w:pPr>
        <w:rPr>
          <w:rFonts w:hint="default"/>
        </w:rPr>
      </w:lvl>
    </w:lvlOverride>
  </w:num>
  <w:num w:numId="31" w16cid:durableId="145490713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122C"/>
    <w:rsid w:val="00001268"/>
    <w:rsid w:val="00002D5A"/>
    <w:rsid w:val="000030AC"/>
    <w:rsid w:val="0000439A"/>
    <w:rsid w:val="00005499"/>
    <w:rsid w:val="00005518"/>
    <w:rsid w:val="00005A28"/>
    <w:rsid w:val="00006506"/>
    <w:rsid w:val="0001012B"/>
    <w:rsid w:val="000115A3"/>
    <w:rsid w:val="000121FD"/>
    <w:rsid w:val="000123BA"/>
    <w:rsid w:val="000126F1"/>
    <w:rsid w:val="000129AB"/>
    <w:rsid w:val="00013112"/>
    <w:rsid w:val="000141AF"/>
    <w:rsid w:val="0001519A"/>
    <w:rsid w:val="00015910"/>
    <w:rsid w:val="0001602E"/>
    <w:rsid w:val="000168F5"/>
    <w:rsid w:val="00017DEB"/>
    <w:rsid w:val="00022E93"/>
    <w:rsid w:val="00023261"/>
    <w:rsid w:val="00023592"/>
    <w:rsid w:val="00023773"/>
    <w:rsid w:val="00023D91"/>
    <w:rsid w:val="00024927"/>
    <w:rsid w:val="00024B8B"/>
    <w:rsid w:val="00024CFC"/>
    <w:rsid w:val="0002640F"/>
    <w:rsid w:val="00026796"/>
    <w:rsid w:val="00026E34"/>
    <w:rsid w:val="00027201"/>
    <w:rsid w:val="00027680"/>
    <w:rsid w:val="00027FB0"/>
    <w:rsid w:val="00030171"/>
    <w:rsid w:val="00031E30"/>
    <w:rsid w:val="00032480"/>
    <w:rsid w:val="00032DD9"/>
    <w:rsid w:val="00034A61"/>
    <w:rsid w:val="000350CF"/>
    <w:rsid w:val="000352B4"/>
    <w:rsid w:val="00036DE7"/>
    <w:rsid w:val="00036FE1"/>
    <w:rsid w:val="000379A0"/>
    <w:rsid w:val="00040081"/>
    <w:rsid w:val="00040E59"/>
    <w:rsid w:val="000410A4"/>
    <w:rsid w:val="00041429"/>
    <w:rsid w:val="0004159F"/>
    <w:rsid w:val="00041A62"/>
    <w:rsid w:val="00043D76"/>
    <w:rsid w:val="000442A1"/>
    <w:rsid w:val="00044360"/>
    <w:rsid w:val="000447D3"/>
    <w:rsid w:val="000448C9"/>
    <w:rsid w:val="00044CE0"/>
    <w:rsid w:val="000452D3"/>
    <w:rsid w:val="00045938"/>
    <w:rsid w:val="000462EB"/>
    <w:rsid w:val="00046B26"/>
    <w:rsid w:val="00046E3A"/>
    <w:rsid w:val="00047D7D"/>
    <w:rsid w:val="0005041A"/>
    <w:rsid w:val="0005280C"/>
    <w:rsid w:val="00052BBC"/>
    <w:rsid w:val="000544E7"/>
    <w:rsid w:val="00054594"/>
    <w:rsid w:val="0005612C"/>
    <w:rsid w:val="00057143"/>
    <w:rsid w:val="00057746"/>
    <w:rsid w:val="00057D84"/>
    <w:rsid w:val="000603DD"/>
    <w:rsid w:val="000604AD"/>
    <w:rsid w:val="00061144"/>
    <w:rsid w:val="00063421"/>
    <w:rsid w:val="00064A85"/>
    <w:rsid w:val="00064B3C"/>
    <w:rsid w:val="00065179"/>
    <w:rsid w:val="0006677D"/>
    <w:rsid w:val="0006732A"/>
    <w:rsid w:val="00067426"/>
    <w:rsid w:val="000679B9"/>
    <w:rsid w:val="000709BF"/>
    <w:rsid w:val="000719AC"/>
    <w:rsid w:val="000737BF"/>
    <w:rsid w:val="000761DC"/>
    <w:rsid w:val="00076A45"/>
    <w:rsid w:val="00077959"/>
    <w:rsid w:val="00080068"/>
    <w:rsid w:val="00086E60"/>
    <w:rsid w:val="00087642"/>
    <w:rsid w:val="00090712"/>
    <w:rsid w:val="00090C05"/>
    <w:rsid w:val="00090E2C"/>
    <w:rsid w:val="00091064"/>
    <w:rsid w:val="00091C4C"/>
    <w:rsid w:val="0009276E"/>
    <w:rsid w:val="00092AC9"/>
    <w:rsid w:val="00092B44"/>
    <w:rsid w:val="00093708"/>
    <w:rsid w:val="000937E0"/>
    <w:rsid w:val="000961D5"/>
    <w:rsid w:val="000971EE"/>
    <w:rsid w:val="00097F54"/>
    <w:rsid w:val="000A32D2"/>
    <w:rsid w:val="000A43B0"/>
    <w:rsid w:val="000A453D"/>
    <w:rsid w:val="000A477B"/>
    <w:rsid w:val="000A4A8D"/>
    <w:rsid w:val="000A5496"/>
    <w:rsid w:val="000A596E"/>
    <w:rsid w:val="000A6CEE"/>
    <w:rsid w:val="000A73A5"/>
    <w:rsid w:val="000A785D"/>
    <w:rsid w:val="000B04E5"/>
    <w:rsid w:val="000B1BB6"/>
    <w:rsid w:val="000B268A"/>
    <w:rsid w:val="000B2704"/>
    <w:rsid w:val="000B2C1C"/>
    <w:rsid w:val="000B320A"/>
    <w:rsid w:val="000B3F78"/>
    <w:rsid w:val="000B6ADA"/>
    <w:rsid w:val="000B6B39"/>
    <w:rsid w:val="000B6D91"/>
    <w:rsid w:val="000B74CA"/>
    <w:rsid w:val="000B7BAC"/>
    <w:rsid w:val="000C04E2"/>
    <w:rsid w:val="000C066E"/>
    <w:rsid w:val="000C0F76"/>
    <w:rsid w:val="000C1045"/>
    <w:rsid w:val="000C171A"/>
    <w:rsid w:val="000C1BA4"/>
    <w:rsid w:val="000C1F3A"/>
    <w:rsid w:val="000C20D0"/>
    <w:rsid w:val="000C2BF4"/>
    <w:rsid w:val="000C2E11"/>
    <w:rsid w:val="000C3314"/>
    <w:rsid w:val="000C3342"/>
    <w:rsid w:val="000C4CF7"/>
    <w:rsid w:val="000C5AA5"/>
    <w:rsid w:val="000C662C"/>
    <w:rsid w:val="000C67B6"/>
    <w:rsid w:val="000C724A"/>
    <w:rsid w:val="000D0312"/>
    <w:rsid w:val="000D0433"/>
    <w:rsid w:val="000D1B7A"/>
    <w:rsid w:val="000D1D8A"/>
    <w:rsid w:val="000D25C1"/>
    <w:rsid w:val="000D2602"/>
    <w:rsid w:val="000D3406"/>
    <w:rsid w:val="000D4712"/>
    <w:rsid w:val="000D47CF"/>
    <w:rsid w:val="000D4ED0"/>
    <w:rsid w:val="000D5143"/>
    <w:rsid w:val="000D52AD"/>
    <w:rsid w:val="000D676D"/>
    <w:rsid w:val="000D704F"/>
    <w:rsid w:val="000E03E9"/>
    <w:rsid w:val="000E1923"/>
    <w:rsid w:val="000E2E69"/>
    <w:rsid w:val="000E3D80"/>
    <w:rsid w:val="000E4474"/>
    <w:rsid w:val="000E50E0"/>
    <w:rsid w:val="000E5725"/>
    <w:rsid w:val="000E5E56"/>
    <w:rsid w:val="000E70EA"/>
    <w:rsid w:val="000F0231"/>
    <w:rsid w:val="000F31CF"/>
    <w:rsid w:val="000F5512"/>
    <w:rsid w:val="000F5B86"/>
    <w:rsid w:val="000F735D"/>
    <w:rsid w:val="00101C7B"/>
    <w:rsid w:val="00101ECE"/>
    <w:rsid w:val="00102D50"/>
    <w:rsid w:val="001033C6"/>
    <w:rsid w:val="00103831"/>
    <w:rsid w:val="00104824"/>
    <w:rsid w:val="001049CF"/>
    <w:rsid w:val="00105131"/>
    <w:rsid w:val="00105444"/>
    <w:rsid w:val="00105BB7"/>
    <w:rsid w:val="0010615F"/>
    <w:rsid w:val="00110CB8"/>
    <w:rsid w:val="00112442"/>
    <w:rsid w:val="0011356D"/>
    <w:rsid w:val="00113B0C"/>
    <w:rsid w:val="001168FF"/>
    <w:rsid w:val="00116969"/>
    <w:rsid w:val="001177E2"/>
    <w:rsid w:val="001179AC"/>
    <w:rsid w:val="001203BF"/>
    <w:rsid w:val="001207E7"/>
    <w:rsid w:val="001227E3"/>
    <w:rsid w:val="00123815"/>
    <w:rsid w:val="00124C86"/>
    <w:rsid w:val="00126617"/>
    <w:rsid w:val="00126C22"/>
    <w:rsid w:val="00127253"/>
    <w:rsid w:val="001279DB"/>
    <w:rsid w:val="0013101A"/>
    <w:rsid w:val="00133469"/>
    <w:rsid w:val="00134867"/>
    <w:rsid w:val="00135338"/>
    <w:rsid w:val="001354F0"/>
    <w:rsid w:val="00136367"/>
    <w:rsid w:val="00136511"/>
    <w:rsid w:val="00141C7C"/>
    <w:rsid w:val="00141CD8"/>
    <w:rsid w:val="001424B3"/>
    <w:rsid w:val="00142911"/>
    <w:rsid w:val="00142E16"/>
    <w:rsid w:val="00143A27"/>
    <w:rsid w:val="00144039"/>
    <w:rsid w:val="00144BB7"/>
    <w:rsid w:val="00145E0E"/>
    <w:rsid w:val="001460C3"/>
    <w:rsid w:val="00146F79"/>
    <w:rsid w:val="00147013"/>
    <w:rsid w:val="0014761B"/>
    <w:rsid w:val="001514E3"/>
    <w:rsid w:val="00153515"/>
    <w:rsid w:val="0015377A"/>
    <w:rsid w:val="00153C81"/>
    <w:rsid w:val="0015452C"/>
    <w:rsid w:val="001553E0"/>
    <w:rsid w:val="0015563E"/>
    <w:rsid w:val="0015592E"/>
    <w:rsid w:val="00155D70"/>
    <w:rsid w:val="001561DE"/>
    <w:rsid w:val="00156481"/>
    <w:rsid w:val="001568C3"/>
    <w:rsid w:val="00156D39"/>
    <w:rsid w:val="00156D68"/>
    <w:rsid w:val="00157152"/>
    <w:rsid w:val="001574BF"/>
    <w:rsid w:val="00157F35"/>
    <w:rsid w:val="00160A5D"/>
    <w:rsid w:val="0016207C"/>
    <w:rsid w:val="001639D0"/>
    <w:rsid w:val="0016449A"/>
    <w:rsid w:val="001657E6"/>
    <w:rsid w:val="0016610B"/>
    <w:rsid w:val="001663D9"/>
    <w:rsid w:val="00166465"/>
    <w:rsid w:val="001674F0"/>
    <w:rsid w:val="00172DE4"/>
    <w:rsid w:val="0017561C"/>
    <w:rsid w:val="00175867"/>
    <w:rsid w:val="00176527"/>
    <w:rsid w:val="001766E9"/>
    <w:rsid w:val="00177A7A"/>
    <w:rsid w:val="00181FDD"/>
    <w:rsid w:val="00184184"/>
    <w:rsid w:val="00186744"/>
    <w:rsid w:val="00187D49"/>
    <w:rsid w:val="00190925"/>
    <w:rsid w:val="0019253B"/>
    <w:rsid w:val="00193297"/>
    <w:rsid w:val="00193348"/>
    <w:rsid w:val="00193581"/>
    <w:rsid w:val="001944A0"/>
    <w:rsid w:val="00195AAD"/>
    <w:rsid w:val="00196DDC"/>
    <w:rsid w:val="0019726B"/>
    <w:rsid w:val="001A0778"/>
    <w:rsid w:val="001A30FF"/>
    <w:rsid w:val="001A3F67"/>
    <w:rsid w:val="001A467A"/>
    <w:rsid w:val="001A4C20"/>
    <w:rsid w:val="001A5557"/>
    <w:rsid w:val="001A5BBC"/>
    <w:rsid w:val="001A637B"/>
    <w:rsid w:val="001A63D8"/>
    <w:rsid w:val="001A6DE6"/>
    <w:rsid w:val="001A74E3"/>
    <w:rsid w:val="001B1AAF"/>
    <w:rsid w:val="001B3C53"/>
    <w:rsid w:val="001B6B4A"/>
    <w:rsid w:val="001B6CF6"/>
    <w:rsid w:val="001B7157"/>
    <w:rsid w:val="001C0296"/>
    <w:rsid w:val="001C0446"/>
    <w:rsid w:val="001C174E"/>
    <w:rsid w:val="001C1B6E"/>
    <w:rsid w:val="001C2319"/>
    <w:rsid w:val="001C240B"/>
    <w:rsid w:val="001C24AF"/>
    <w:rsid w:val="001C2FC6"/>
    <w:rsid w:val="001C40B8"/>
    <w:rsid w:val="001C47A5"/>
    <w:rsid w:val="001C5888"/>
    <w:rsid w:val="001C6995"/>
    <w:rsid w:val="001D01F2"/>
    <w:rsid w:val="001D0434"/>
    <w:rsid w:val="001D055B"/>
    <w:rsid w:val="001D17FA"/>
    <w:rsid w:val="001D1FE4"/>
    <w:rsid w:val="001D20B8"/>
    <w:rsid w:val="001D2B18"/>
    <w:rsid w:val="001D34E7"/>
    <w:rsid w:val="001D3C3E"/>
    <w:rsid w:val="001D462C"/>
    <w:rsid w:val="001D4E72"/>
    <w:rsid w:val="001D63B6"/>
    <w:rsid w:val="001D6C06"/>
    <w:rsid w:val="001D78F7"/>
    <w:rsid w:val="001D79A1"/>
    <w:rsid w:val="001E149F"/>
    <w:rsid w:val="001E2C76"/>
    <w:rsid w:val="001E2EE8"/>
    <w:rsid w:val="001E3C4D"/>
    <w:rsid w:val="001E46D5"/>
    <w:rsid w:val="001E4885"/>
    <w:rsid w:val="001E4ADA"/>
    <w:rsid w:val="001E5E1E"/>
    <w:rsid w:val="001E5F5F"/>
    <w:rsid w:val="001E6A1C"/>
    <w:rsid w:val="001E6C7C"/>
    <w:rsid w:val="001F0FB9"/>
    <w:rsid w:val="001F18D1"/>
    <w:rsid w:val="001F254D"/>
    <w:rsid w:val="001F3471"/>
    <w:rsid w:val="001F383C"/>
    <w:rsid w:val="001F3F50"/>
    <w:rsid w:val="001F51A3"/>
    <w:rsid w:val="001F5B06"/>
    <w:rsid w:val="001F5D55"/>
    <w:rsid w:val="001F78A0"/>
    <w:rsid w:val="00200078"/>
    <w:rsid w:val="002004FB"/>
    <w:rsid w:val="002034F6"/>
    <w:rsid w:val="00206068"/>
    <w:rsid w:val="002062AD"/>
    <w:rsid w:val="0021088B"/>
    <w:rsid w:val="00210A45"/>
    <w:rsid w:val="00210F65"/>
    <w:rsid w:val="00212B30"/>
    <w:rsid w:val="002134A1"/>
    <w:rsid w:val="00213E2B"/>
    <w:rsid w:val="00214DC0"/>
    <w:rsid w:val="00215355"/>
    <w:rsid w:val="0021576B"/>
    <w:rsid w:val="00215C4A"/>
    <w:rsid w:val="00217217"/>
    <w:rsid w:val="00217EAB"/>
    <w:rsid w:val="002222BB"/>
    <w:rsid w:val="002232AD"/>
    <w:rsid w:val="0022447F"/>
    <w:rsid w:val="002245FE"/>
    <w:rsid w:val="0022498C"/>
    <w:rsid w:val="002266B0"/>
    <w:rsid w:val="00226AE9"/>
    <w:rsid w:val="00227084"/>
    <w:rsid w:val="002315E9"/>
    <w:rsid w:val="00233140"/>
    <w:rsid w:val="00233D8D"/>
    <w:rsid w:val="00234C0B"/>
    <w:rsid w:val="0023509B"/>
    <w:rsid w:val="00235E57"/>
    <w:rsid w:val="00236022"/>
    <w:rsid w:val="0023649F"/>
    <w:rsid w:val="002369DB"/>
    <w:rsid w:val="00236C4A"/>
    <w:rsid w:val="002371FB"/>
    <w:rsid w:val="0023792F"/>
    <w:rsid w:val="00242A6B"/>
    <w:rsid w:val="00242EE5"/>
    <w:rsid w:val="002433A8"/>
    <w:rsid w:val="00243EED"/>
    <w:rsid w:val="00243FB8"/>
    <w:rsid w:val="002443B7"/>
    <w:rsid w:val="0024458F"/>
    <w:rsid w:val="002454B2"/>
    <w:rsid w:val="002456FC"/>
    <w:rsid w:val="00245983"/>
    <w:rsid w:val="00247491"/>
    <w:rsid w:val="002477BD"/>
    <w:rsid w:val="00247FBC"/>
    <w:rsid w:val="00252B26"/>
    <w:rsid w:val="00254CA7"/>
    <w:rsid w:val="00256BFA"/>
    <w:rsid w:val="00256D40"/>
    <w:rsid w:val="00256E63"/>
    <w:rsid w:val="002576AF"/>
    <w:rsid w:val="002609ED"/>
    <w:rsid w:val="00260C11"/>
    <w:rsid w:val="00261A1D"/>
    <w:rsid w:val="00262B05"/>
    <w:rsid w:val="00262C18"/>
    <w:rsid w:val="00262D7E"/>
    <w:rsid w:val="00262E01"/>
    <w:rsid w:val="0026357D"/>
    <w:rsid w:val="00263C94"/>
    <w:rsid w:val="00263CE5"/>
    <w:rsid w:val="00264478"/>
    <w:rsid w:val="00265D96"/>
    <w:rsid w:val="002668DF"/>
    <w:rsid w:val="00270015"/>
    <w:rsid w:val="00270872"/>
    <w:rsid w:val="00271096"/>
    <w:rsid w:val="002724D0"/>
    <w:rsid w:val="00272786"/>
    <w:rsid w:val="0027385B"/>
    <w:rsid w:val="00274B38"/>
    <w:rsid w:val="00275655"/>
    <w:rsid w:val="00275A02"/>
    <w:rsid w:val="00276315"/>
    <w:rsid w:val="002766BC"/>
    <w:rsid w:val="00276FF8"/>
    <w:rsid w:val="00277550"/>
    <w:rsid w:val="0027776E"/>
    <w:rsid w:val="0028090B"/>
    <w:rsid w:val="0028227E"/>
    <w:rsid w:val="002825D8"/>
    <w:rsid w:val="002833EF"/>
    <w:rsid w:val="00283ABE"/>
    <w:rsid w:val="00284373"/>
    <w:rsid w:val="00285273"/>
    <w:rsid w:val="002858A3"/>
    <w:rsid w:val="002866C7"/>
    <w:rsid w:val="00287928"/>
    <w:rsid w:val="00291072"/>
    <w:rsid w:val="002910F1"/>
    <w:rsid w:val="002923AF"/>
    <w:rsid w:val="0029258E"/>
    <w:rsid w:val="002928CC"/>
    <w:rsid w:val="00292924"/>
    <w:rsid w:val="00293F18"/>
    <w:rsid w:val="002944FF"/>
    <w:rsid w:val="0029519C"/>
    <w:rsid w:val="002958D1"/>
    <w:rsid w:val="002960C9"/>
    <w:rsid w:val="00296376"/>
    <w:rsid w:val="00297368"/>
    <w:rsid w:val="002A0B75"/>
    <w:rsid w:val="002A0FA8"/>
    <w:rsid w:val="002A1844"/>
    <w:rsid w:val="002A295C"/>
    <w:rsid w:val="002A39C0"/>
    <w:rsid w:val="002A3C62"/>
    <w:rsid w:val="002A578C"/>
    <w:rsid w:val="002A6BA3"/>
    <w:rsid w:val="002A7D76"/>
    <w:rsid w:val="002B0916"/>
    <w:rsid w:val="002B11AB"/>
    <w:rsid w:val="002B15C4"/>
    <w:rsid w:val="002B1694"/>
    <w:rsid w:val="002B1CE5"/>
    <w:rsid w:val="002B24C0"/>
    <w:rsid w:val="002B2AF2"/>
    <w:rsid w:val="002B30A9"/>
    <w:rsid w:val="002B322C"/>
    <w:rsid w:val="002B326F"/>
    <w:rsid w:val="002B4358"/>
    <w:rsid w:val="002B4430"/>
    <w:rsid w:val="002B5133"/>
    <w:rsid w:val="002B573E"/>
    <w:rsid w:val="002B6860"/>
    <w:rsid w:val="002B7E3C"/>
    <w:rsid w:val="002C0298"/>
    <w:rsid w:val="002C0B8F"/>
    <w:rsid w:val="002C1627"/>
    <w:rsid w:val="002C18F0"/>
    <w:rsid w:val="002C19F1"/>
    <w:rsid w:val="002C2796"/>
    <w:rsid w:val="002C2A0A"/>
    <w:rsid w:val="002C3A5B"/>
    <w:rsid w:val="002C3FCB"/>
    <w:rsid w:val="002C48B9"/>
    <w:rsid w:val="002C59A4"/>
    <w:rsid w:val="002C7F03"/>
    <w:rsid w:val="002C7F17"/>
    <w:rsid w:val="002D204A"/>
    <w:rsid w:val="002D2B54"/>
    <w:rsid w:val="002D2D9B"/>
    <w:rsid w:val="002D37EB"/>
    <w:rsid w:val="002D431D"/>
    <w:rsid w:val="002D5474"/>
    <w:rsid w:val="002D7EC7"/>
    <w:rsid w:val="002E15A9"/>
    <w:rsid w:val="002E242A"/>
    <w:rsid w:val="002E316E"/>
    <w:rsid w:val="002E4D0F"/>
    <w:rsid w:val="002E5705"/>
    <w:rsid w:val="002E7D91"/>
    <w:rsid w:val="002F03ED"/>
    <w:rsid w:val="002F0621"/>
    <w:rsid w:val="002F0773"/>
    <w:rsid w:val="002F0DB6"/>
    <w:rsid w:val="002F1D51"/>
    <w:rsid w:val="002F3272"/>
    <w:rsid w:val="002F4DB3"/>
    <w:rsid w:val="002F6703"/>
    <w:rsid w:val="002F7CAB"/>
    <w:rsid w:val="003003DD"/>
    <w:rsid w:val="00300D81"/>
    <w:rsid w:val="00302446"/>
    <w:rsid w:val="003032F9"/>
    <w:rsid w:val="003035A0"/>
    <w:rsid w:val="003041CD"/>
    <w:rsid w:val="00304253"/>
    <w:rsid w:val="003042FF"/>
    <w:rsid w:val="00305F40"/>
    <w:rsid w:val="0030617E"/>
    <w:rsid w:val="00307855"/>
    <w:rsid w:val="00307EF7"/>
    <w:rsid w:val="00311D7D"/>
    <w:rsid w:val="00311EC2"/>
    <w:rsid w:val="00312D77"/>
    <w:rsid w:val="00312EDE"/>
    <w:rsid w:val="00313B51"/>
    <w:rsid w:val="00313CC3"/>
    <w:rsid w:val="00313FE5"/>
    <w:rsid w:val="00314153"/>
    <w:rsid w:val="003144FB"/>
    <w:rsid w:val="0031767C"/>
    <w:rsid w:val="003179E0"/>
    <w:rsid w:val="00317CF2"/>
    <w:rsid w:val="003219FD"/>
    <w:rsid w:val="00323A2E"/>
    <w:rsid w:val="00323E10"/>
    <w:rsid w:val="00325C2E"/>
    <w:rsid w:val="00327791"/>
    <w:rsid w:val="00331718"/>
    <w:rsid w:val="0033247B"/>
    <w:rsid w:val="00332544"/>
    <w:rsid w:val="00332DDD"/>
    <w:rsid w:val="003335B6"/>
    <w:rsid w:val="0033373F"/>
    <w:rsid w:val="00333EAE"/>
    <w:rsid w:val="00334ED5"/>
    <w:rsid w:val="00334FD2"/>
    <w:rsid w:val="003353AD"/>
    <w:rsid w:val="003356AA"/>
    <w:rsid w:val="00335C67"/>
    <w:rsid w:val="00335F31"/>
    <w:rsid w:val="0033636B"/>
    <w:rsid w:val="00337D19"/>
    <w:rsid w:val="0034308C"/>
    <w:rsid w:val="00343148"/>
    <w:rsid w:val="00346D35"/>
    <w:rsid w:val="00347196"/>
    <w:rsid w:val="00347E2A"/>
    <w:rsid w:val="00350C96"/>
    <w:rsid w:val="00350FFA"/>
    <w:rsid w:val="003510A2"/>
    <w:rsid w:val="003514E8"/>
    <w:rsid w:val="00351DF4"/>
    <w:rsid w:val="00351E4B"/>
    <w:rsid w:val="0035340F"/>
    <w:rsid w:val="003544C4"/>
    <w:rsid w:val="00354D14"/>
    <w:rsid w:val="0035564E"/>
    <w:rsid w:val="003561D8"/>
    <w:rsid w:val="00356331"/>
    <w:rsid w:val="00356C53"/>
    <w:rsid w:val="003577A5"/>
    <w:rsid w:val="00357964"/>
    <w:rsid w:val="00357B4A"/>
    <w:rsid w:val="00360E68"/>
    <w:rsid w:val="00361C04"/>
    <w:rsid w:val="00361D42"/>
    <w:rsid w:val="00361E93"/>
    <w:rsid w:val="003627E2"/>
    <w:rsid w:val="0036381B"/>
    <w:rsid w:val="00363C1A"/>
    <w:rsid w:val="00364913"/>
    <w:rsid w:val="00366856"/>
    <w:rsid w:val="00366AEB"/>
    <w:rsid w:val="00367208"/>
    <w:rsid w:val="00367268"/>
    <w:rsid w:val="00370106"/>
    <w:rsid w:val="00370D44"/>
    <w:rsid w:val="00371095"/>
    <w:rsid w:val="00371FCB"/>
    <w:rsid w:val="003720B6"/>
    <w:rsid w:val="0037228B"/>
    <w:rsid w:val="003726DD"/>
    <w:rsid w:val="003727C8"/>
    <w:rsid w:val="00372883"/>
    <w:rsid w:val="00372CD9"/>
    <w:rsid w:val="00372CE8"/>
    <w:rsid w:val="003735E6"/>
    <w:rsid w:val="003735EE"/>
    <w:rsid w:val="00374407"/>
    <w:rsid w:val="00375117"/>
    <w:rsid w:val="003752BA"/>
    <w:rsid w:val="003758D8"/>
    <w:rsid w:val="00375EB3"/>
    <w:rsid w:val="00376671"/>
    <w:rsid w:val="003767B8"/>
    <w:rsid w:val="00377CFA"/>
    <w:rsid w:val="003826EF"/>
    <w:rsid w:val="003829F0"/>
    <w:rsid w:val="00382F07"/>
    <w:rsid w:val="0038318E"/>
    <w:rsid w:val="003831C0"/>
    <w:rsid w:val="003834FE"/>
    <w:rsid w:val="0038465A"/>
    <w:rsid w:val="00384C6A"/>
    <w:rsid w:val="00385F61"/>
    <w:rsid w:val="0038733A"/>
    <w:rsid w:val="00387EB4"/>
    <w:rsid w:val="00390905"/>
    <w:rsid w:val="00390918"/>
    <w:rsid w:val="00390A4E"/>
    <w:rsid w:val="003930F2"/>
    <w:rsid w:val="003938EB"/>
    <w:rsid w:val="003945FC"/>
    <w:rsid w:val="00396394"/>
    <w:rsid w:val="0039674C"/>
    <w:rsid w:val="0039699D"/>
    <w:rsid w:val="003A0C78"/>
    <w:rsid w:val="003A0E96"/>
    <w:rsid w:val="003A1EC6"/>
    <w:rsid w:val="003A20F1"/>
    <w:rsid w:val="003A2C21"/>
    <w:rsid w:val="003A3C63"/>
    <w:rsid w:val="003A4209"/>
    <w:rsid w:val="003A4346"/>
    <w:rsid w:val="003A49BF"/>
    <w:rsid w:val="003A5211"/>
    <w:rsid w:val="003A6D69"/>
    <w:rsid w:val="003A6E6C"/>
    <w:rsid w:val="003B00B7"/>
    <w:rsid w:val="003B1522"/>
    <w:rsid w:val="003B3885"/>
    <w:rsid w:val="003B3BA3"/>
    <w:rsid w:val="003B4655"/>
    <w:rsid w:val="003B4C37"/>
    <w:rsid w:val="003B51DF"/>
    <w:rsid w:val="003B68AF"/>
    <w:rsid w:val="003B6C82"/>
    <w:rsid w:val="003B76D6"/>
    <w:rsid w:val="003B79BD"/>
    <w:rsid w:val="003C12A4"/>
    <w:rsid w:val="003C19D4"/>
    <w:rsid w:val="003C28ED"/>
    <w:rsid w:val="003C2F4B"/>
    <w:rsid w:val="003C5008"/>
    <w:rsid w:val="003C53E4"/>
    <w:rsid w:val="003C6CA0"/>
    <w:rsid w:val="003C77D6"/>
    <w:rsid w:val="003C781E"/>
    <w:rsid w:val="003D142C"/>
    <w:rsid w:val="003D1459"/>
    <w:rsid w:val="003D18C6"/>
    <w:rsid w:val="003D1948"/>
    <w:rsid w:val="003D1F40"/>
    <w:rsid w:val="003D2647"/>
    <w:rsid w:val="003D2ACB"/>
    <w:rsid w:val="003D326E"/>
    <w:rsid w:val="003D37BF"/>
    <w:rsid w:val="003D3CB9"/>
    <w:rsid w:val="003D4F54"/>
    <w:rsid w:val="003D5217"/>
    <w:rsid w:val="003D5C71"/>
    <w:rsid w:val="003D5D22"/>
    <w:rsid w:val="003D61A5"/>
    <w:rsid w:val="003D647E"/>
    <w:rsid w:val="003D68FA"/>
    <w:rsid w:val="003D6F90"/>
    <w:rsid w:val="003D75D3"/>
    <w:rsid w:val="003D7914"/>
    <w:rsid w:val="003E0537"/>
    <w:rsid w:val="003E1364"/>
    <w:rsid w:val="003E2BBC"/>
    <w:rsid w:val="003E2EEC"/>
    <w:rsid w:val="003E319E"/>
    <w:rsid w:val="003E56F6"/>
    <w:rsid w:val="003E6EAF"/>
    <w:rsid w:val="003E6FA4"/>
    <w:rsid w:val="003E7015"/>
    <w:rsid w:val="003F02D4"/>
    <w:rsid w:val="003F07A5"/>
    <w:rsid w:val="003F0E20"/>
    <w:rsid w:val="003F1967"/>
    <w:rsid w:val="003F22FA"/>
    <w:rsid w:val="003F32D1"/>
    <w:rsid w:val="003F34BA"/>
    <w:rsid w:val="003F3B95"/>
    <w:rsid w:val="003F3D03"/>
    <w:rsid w:val="003F47D1"/>
    <w:rsid w:val="003F6157"/>
    <w:rsid w:val="003F7F3D"/>
    <w:rsid w:val="004007D6"/>
    <w:rsid w:val="00401382"/>
    <w:rsid w:val="00401A24"/>
    <w:rsid w:val="004043B1"/>
    <w:rsid w:val="0040488F"/>
    <w:rsid w:val="00404DD8"/>
    <w:rsid w:val="00404FCA"/>
    <w:rsid w:val="0040515A"/>
    <w:rsid w:val="004054D6"/>
    <w:rsid w:val="00405634"/>
    <w:rsid w:val="004063F9"/>
    <w:rsid w:val="004077BD"/>
    <w:rsid w:val="00410A9E"/>
    <w:rsid w:val="00410C86"/>
    <w:rsid w:val="00411FF1"/>
    <w:rsid w:val="00412850"/>
    <w:rsid w:val="00413205"/>
    <w:rsid w:val="0041481B"/>
    <w:rsid w:val="00414B66"/>
    <w:rsid w:val="004155D2"/>
    <w:rsid w:val="00415D39"/>
    <w:rsid w:val="00415E48"/>
    <w:rsid w:val="0041614B"/>
    <w:rsid w:val="004211C1"/>
    <w:rsid w:val="0042286F"/>
    <w:rsid w:val="00422B89"/>
    <w:rsid w:val="004234DC"/>
    <w:rsid w:val="0042373A"/>
    <w:rsid w:val="00423EB1"/>
    <w:rsid w:val="0042405D"/>
    <w:rsid w:val="00424B61"/>
    <w:rsid w:val="0042609C"/>
    <w:rsid w:val="00426C7E"/>
    <w:rsid w:val="00430C21"/>
    <w:rsid w:val="00430F64"/>
    <w:rsid w:val="00431143"/>
    <w:rsid w:val="004319EF"/>
    <w:rsid w:val="00431D2C"/>
    <w:rsid w:val="00431F8B"/>
    <w:rsid w:val="00432281"/>
    <w:rsid w:val="00433E7C"/>
    <w:rsid w:val="00434468"/>
    <w:rsid w:val="0043448B"/>
    <w:rsid w:val="00434691"/>
    <w:rsid w:val="00435FF5"/>
    <w:rsid w:val="004365ED"/>
    <w:rsid w:val="004408FF"/>
    <w:rsid w:val="0044187F"/>
    <w:rsid w:val="00442140"/>
    <w:rsid w:val="004435A3"/>
    <w:rsid w:val="004449AC"/>
    <w:rsid w:val="004451AD"/>
    <w:rsid w:val="00447501"/>
    <w:rsid w:val="0045037D"/>
    <w:rsid w:val="004509DA"/>
    <w:rsid w:val="00451888"/>
    <w:rsid w:val="00452074"/>
    <w:rsid w:val="004529B1"/>
    <w:rsid w:val="00453C04"/>
    <w:rsid w:val="004548E8"/>
    <w:rsid w:val="00455825"/>
    <w:rsid w:val="00455B4D"/>
    <w:rsid w:val="00455BC3"/>
    <w:rsid w:val="004600EE"/>
    <w:rsid w:val="0046036E"/>
    <w:rsid w:val="004606F5"/>
    <w:rsid w:val="00460737"/>
    <w:rsid w:val="00460BCE"/>
    <w:rsid w:val="00460CF2"/>
    <w:rsid w:val="00461316"/>
    <w:rsid w:val="00461E4D"/>
    <w:rsid w:val="00462ED6"/>
    <w:rsid w:val="00463FF4"/>
    <w:rsid w:val="00465A81"/>
    <w:rsid w:val="004665DF"/>
    <w:rsid w:val="00467F34"/>
    <w:rsid w:val="004704C1"/>
    <w:rsid w:val="00470701"/>
    <w:rsid w:val="004715F8"/>
    <w:rsid w:val="004736B0"/>
    <w:rsid w:val="004737AF"/>
    <w:rsid w:val="00473FBA"/>
    <w:rsid w:val="004743E4"/>
    <w:rsid w:val="00474C64"/>
    <w:rsid w:val="0047580D"/>
    <w:rsid w:val="00475B24"/>
    <w:rsid w:val="00476FAA"/>
    <w:rsid w:val="0047774E"/>
    <w:rsid w:val="0047794F"/>
    <w:rsid w:val="00480905"/>
    <w:rsid w:val="004810C4"/>
    <w:rsid w:val="00481A27"/>
    <w:rsid w:val="00481E0C"/>
    <w:rsid w:val="004823F2"/>
    <w:rsid w:val="00482E61"/>
    <w:rsid w:val="0048373F"/>
    <w:rsid w:val="0048584C"/>
    <w:rsid w:val="00485E44"/>
    <w:rsid w:val="00485FD9"/>
    <w:rsid w:val="0048656B"/>
    <w:rsid w:val="00486E62"/>
    <w:rsid w:val="004906B5"/>
    <w:rsid w:val="0049282E"/>
    <w:rsid w:val="00493362"/>
    <w:rsid w:val="00493858"/>
    <w:rsid w:val="00493A55"/>
    <w:rsid w:val="00494A1F"/>
    <w:rsid w:val="00494F2A"/>
    <w:rsid w:val="00495597"/>
    <w:rsid w:val="00495780"/>
    <w:rsid w:val="0049732D"/>
    <w:rsid w:val="00497764"/>
    <w:rsid w:val="00497A60"/>
    <w:rsid w:val="004A0F5C"/>
    <w:rsid w:val="004A2C0F"/>
    <w:rsid w:val="004A31FD"/>
    <w:rsid w:val="004A39C7"/>
    <w:rsid w:val="004A3C70"/>
    <w:rsid w:val="004A4443"/>
    <w:rsid w:val="004A52EE"/>
    <w:rsid w:val="004A5D97"/>
    <w:rsid w:val="004A7000"/>
    <w:rsid w:val="004B01D7"/>
    <w:rsid w:val="004B1A24"/>
    <w:rsid w:val="004B1FA4"/>
    <w:rsid w:val="004B2C45"/>
    <w:rsid w:val="004B306A"/>
    <w:rsid w:val="004B66D4"/>
    <w:rsid w:val="004B6DBF"/>
    <w:rsid w:val="004B7971"/>
    <w:rsid w:val="004C0507"/>
    <w:rsid w:val="004C103B"/>
    <w:rsid w:val="004C1750"/>
    <w:rsid w:val="004C215C"/>
    <w:rsid w:val="004C2514"/>
    <w:rsid w:val="004C2C7F"/>
    <w:rsid w:val="004C2DBE"/>
    <w:rsid w:val="004C487A"/>
    <w:rsid w:val="004C49C4"/>
    <w:rsid w:val="004C4FF4"/>
    <w:rsid w:val="004C5196"/>
    <w:rsid w:val="004D0AA8"/>
    <w:rsid w:val="004D25BF"/>
    <w:rsid w:val="004D3444"/>
    <w:rsid w:val="004D3959"/>
    <w:rsid w:val="004D3B4D"/>
    <w:rsid w:val="004D3C67"/>
    <w:rsid w:val="004D4317"/>
    <w:rsid w:val="004D4505"/>
    <w:rsid w:val="004D6476"/>
    <w:rsid w:val="004D6792"/>
    <w:rsid w:val="004D69A9"/>
    <w:rsid w:val="004D7E34"/>
    <w:rsid w:val="004D7E3D"/>
    <w:rsid w:val="004E03A4"/>
    <w:rsid w:val="004E19E7"/>
    <w:rsid w:val="004E2D79"/>
    <w:rsid w:val="004E3FC8"/>
    <w:rsid w:val="004E49A8"/>
    <w:rsid w:val="004E58DB"/>
    <w:rsid w:val="004E6B60"/>
    <w:rsid w:val="004E6BF5"/>
    <w:rsid w:val="004E7425"/>
    <w:rsid w:val="004F1707"/>
    <w:rsid w:val="004F34CA"/>
    <w:rsid w:val="004F3E45"/>
    <w:rsid w:val="004F3F86"/>
    <w:rsid w:val="004F4E8E"/>
    <w:rsid w:val="004F5B68"/>
    <w:rsid w:val="004F66AF"/>
    <w:rsid w:val="004F776B"/>
    <w:rsid w:val="00500D40"/>
    <w:rsid w:val="0050113F"/>
    <w:rsid w:val="00502050"/>
    <w:rsid w:val="0050227E"/>
    <w:rsid w:val="00503861"/>
    <w:rsid w:val="00503EFA"/>
    <w:rsid w:val="00504123"/>
    <w:rsid w:val="005047AD"/>
    <w:rsid w:val="005047FF"/>
    <w:rsid w:val="0050498C"/>
    <w:rsid w:val="00506F45"/>
    <w:rsid w:val="005113AE"/>
    <w:rsid w:val="00511A11"/>
    <w:rsid w:val="00512B4C"/>
    <w:rsid w:val="00513041"/>
    <w:rsid w:val="0051352E"/>
    <w:rsid w:val="00514C20"/>
    <w:rsid w:val="00514D23"/>
    <w:rsid w:val="005165EF"/>
    <w:rsid w:val="005175C3"/>
    <w:rsid w:val="00517DA7"/>
    <w:rsid w:val="00520A33"/>
    <w:rsid w:val="00520E60"/>
    <w:rsid w:val="00522AEB"/>
    <w:rsid w:val="00522F20"/>
    <w:rsid w:val="005230B5"/>
    <w:rsid w:val="00523121"/>
    <w:rsid w:val="00523238"/>
    <w:rsid w:val="00523E6B"/>
    <w:rsid w:val="005242E0"/>
    <w:rsid w:val="005257FB"/>
    <w:rsid w:val="00527749"/>
    <w:rsid w:val="00527A20"/>
    <w:rsid w:val="00527AE4"/>
    <w:rsid w:val="00531649"/>
    <w:rsid w:val="005323B3"/>
    <w:rsid w:val="00532AF2"/>
    <w:rsid w:val="00532B96"/>
    <w:rsid w:val="00532E3E"/>
    <w:rsid w:val="00533947"/>
    <w:rsid w:val="00533B1C"/>
    <w:rsid w:val="005340A0"/>
    <w:rsid w:val="005346BD"/>
    <w:rsid w:val="00534FA2"/>
    <w:rsid w:val="005356C2"/>
    <w:rsid w:val="00535ACC"/>
    <w:rsid w:val="00535BC8"/>
    <w:rsid w:val="00535E40"/>
    <w:rsid w:val="005365F4"/>
    <w:rsid w:val="00536B95"/>
    <w:rsid w:val="005375F8"/>
    <w:rsid w:val="0053770E"/>
    <w:rsid w:val="00537804"/>
    <w:rsid w:val="00540026"/>
    <w:rsid w:val="00540497"/>
    <w:rsid w:val="005405F3"/>
    <w:rsid w:val="00540682"/>
    <w:rsid w:val="00540C72"/>
    <w:rsid w:val="005414C4"/>
    <w:rsid w:val="0054230F"/>
    <w:rsid w:val="00542714"/>
    <w:rsid w:val="00543E43"/>
    <w:rsid w:val="005443A2"/>
    <w:rsid w:val="005453FC"/>
    <w:rsid w:val="00545587"/>
    <w:rsid w:val="0054646C"/>
    <w:rsid w:val="00546875"/>
    <w:rsid w:val="005469A0"/>
    <w:rsid w:val="005470DE"/>
    <w:rsid w:val="005475D2"/>
    <w:rsid w:val="00547659"/>
    <w:rsid w:val="00547A7E"/>
    <w:rsid w:val="00550213"/>
    <w:rsid w:val="0055044F"/>
    <w:rsid w:val="00551905"/>
    <w:rsid w:val="0055229B"/>
    <w:rsid w:val="00553241"/>
    <w:rsid w:val="005537A2"/>
    <w:rsid w:val="0055391F"/>
    <w:rsid w:val="0055442F"/>
    <w:rsid w:val="005548BB"/>
    <w:rsid w:val="005551B3"/>
    <w:rsid w:val="0055575F"/>
    <w:rsid w:val="00555A5D"/>
    <w:rsid w:val="0055735D"/>
    <w:rsid w:val="00557DB6"/>
    <w:rsid w:val="005608C5"/>
    <w:rsid w:val="005634DD"/>
    <w:rsid w:val="00563886"/>
    <w:rsid w:val="00563A1A"/>
    <w:rsid w:val="00563C76"/>
    <w:rsid w:val="005646A8"/>
    <w:rsid w:val="00564A11"/>
    <w:rsid w:val="00565286"/>
    <w:rsid w:val="005665D3"/>
    <w:rsid w:val="00567468"/>
    <w:rsid w:val="00567D90"/>
    <w:rsid w:val="005704A6"/>
    <w:rsid w:val="00570D76"/>
    <w:rsid w:val="00571CB3"/>
    <w:rsid w:val="0057224E"/>
    <w:rsid w:val="00572D60"/>
    <w:rsid w:val="0057435E"/>
    <w:rsid w:val="0057474B"/>
    <w:rsid w:val="005749CF"/>
    <w:rsid w:val="00577137"/>
    <w:rsid w:val="00577EAB"/>
    <w:rsid w:val="005805B9"/>
    <w:rsid w:val="00580BD4"/>
    <w:rsid w:val="00583314"/>
    <w:rsid w:val="00583EDA"/>
    <w:rsid w:val="00583F6E"/>
    <w:rsid w:val="0058535E"/>
    <w:rsid w:val="00585C63"/>
    <w:rsid w:val="005863F3"/>
    <w:rsid w:val="00587342"/>
    <w:rsid w:val="0059012F"/>
    <w:rsid w:val="00591255"/>
    <w:rsid w:val="00591621"/>
    <w:rsid w:val="00591EF7"/>
    <w:rsid w:val="00592723"/>
    <w:rsid w:val="005938B4"/>
    <w:rsid w:val="00594073"/>
    <w:rsid w:val="0059437A"/>
    <w:rsid w:val="00595899"/>
    <w:rsid w:val="00596E7C"/>
    <w:rsid w:val="00597EC1"/>
    <w:rsid w:val="005A1AAD"/>
    <w:rsid w:val="005A20FD"/>
    <w:rsid w:val="005A2613"/>
    <w:rsid w:val="005A2DA0"/>
    <w:rsid w:val="005A4442"/>
    <w:rsid w:val="005A4594"/>
    <w:rsid w:val="005A6A0E"/>
    <w:rsid w:val="005A7040"/>
    <w:rsid w:val="005A75BA"/>
    <w:rsid w:val="005B0407"/>
    <w:rsid w:val="005B0B8A"/>
    <w:rsid w:val="005B1C27"/>
    <w:rsid w:val="005B1CAA"/>
    <w:rsid w:val="005B5CF3"/>
    <w:rsid w:val="005B7AB7"/>
    <w:rsid w:val="005C01B7"/>
    <w:rsid w:val="005C1AB4"/>
    <w:rsid w:val="005C268C"/>
    <w:rsid w:val="005C2FA6"/>
    <w:rsid w:val="005C5F27"/>
    <w:rsid w:val="005C6D6B"/>
    <w:rsid w:val="005C7F56"/>
    <w:rsid w:val="005D08F9"/>
    <w:rsid w:val="005D14BA"/>
    <w:rsid w:val="005D154C"/>
    <w:rsid w:val="005D1815"/>
    <w:rsid w:val="005D1BC6"/>
    <w:rsid w:val="005D2DEF"/>
    <w:rsid w:val="005D368B"/>
    <w:rsid w:val="005D4650"/>
    <w:rsid w:val="005D6AAD"/>
    <w:rsid w:val="005E09B0"/>
    <w:rsid w:val="005E0ED4"/>
    <w:rsid w:val="005E13F9"/>
    <w:rsid w:val="005E2C5D"/>
    <w:rsid w:val="005E2D91"/>
    <w:rsid w:val="005E323A"/>
    <w:rsid w:val="005E3A30"/>
    <w:rsid w:val="005E5CD0"/>
    <w:rsid w:val="005E677A"/>
    <w:rsid w:val="005E79BC"/>
    <w:rsid w:val="005F0971"/>
    <w:rsid w:val="005F0AE1"/>
    <w:rsid w:val="005F1F3F"/>
    <w:rsid w:val="005F253E"/>
    <w:rsid w:val="005F2EDE"/>
    <w:rsid w:val="005F46CD"/>
    <w:rsid w:val="005F5423"/>
    <w:rsid w:val="005F680A"/>
    <w:rsid w:val="005F7186"/>
    <w:rsid w:val="005F77FE"/>
    <w:rsid w:val="006005D5"/>
    <w:rsid w:val="00600850"/>
    <w:rsid w:val="00600A5B"/>
    <w:rsid w:val="00600F5F"/>
    <w:rsid w:val="006015D8"/>
    <w:rsid w:val="006025B8"/>
    <w:rsid w:val="00602C42"/>
    <w:rsid w:val="00603324"/>
    <w:rsid w:val="006038D4"/>
    <w:rsid w:val="00603A73"/>
    <w:rsid w:val="00603B8B"/>
    <w:rsid w:val="006041B5"/>
    <w:rsid w:val="00604371"/>
    <w:rsid w:val="00606CDF"/>
    <w:rsid w:val="00607F90"/>
    <w:rsid w:val="00610C81"/>
    <w:rsid w:val="00610D72"/>
    <w:rsid w:val="00611C8E"/>
    <w:rsid w:val="00612665"/>
    <w:rsid w:val="006129D3"/>
    <w:rsid w:val="00613025"/>
    <w:rsid w:val="0061392D"/>
    <w:rsid w:val="00613F42"/>
    <w:rsid w:val="0061548D"/>
    <w:rsid w:val="0061561F"/>
    <w:rsid w:val="00615AE7"/>
    <w:rsid w:val="006177E5"/>
    <w:rsid w:val="00617C66"/>
    <w:rsid w:val="0062086E"/>
    <w:rsid w:val="00622AC2"/>
    <w:rsid w:val="006230AC"/>
    <w:rsid w:val="00623168"/>
    <w:rsid w:val="00623599"/>
    <w:rsid w:val="00624884"/>
    <w:rsid w:val="00624E31"/>
    <w:rsid w:val="00625004"/>
    <w:rsid w:val="00625C97"/>
    <w:rsid w:val="00626235"/>
    <w:rsid w:val="006264BC"/>
    <w:rsid w:val="00626815"/>
    <w:rsid w:val="00626AD9"/>
    <w:rsid w:val="00626B96"/>
    <w:rsid w:val="00627400"/>
    <w:rsid w:val="006276FF"/>
    <w:rsid w:val="00627C17"/>
    <w:rsid w:val="0063072C"/>
    <w:rsid w:val="006308E2"/>
    <w:rsid w:val="00630DDF"/>
    <w:rsid w:val="006313D4"/>
    <w:rsid w:val="00631472"/>
    <w:rsid w:val="00631B76"/>
    <w:rsid w:val="00631E72"/>
    <w:rsid w:val="00632039"/>
    <w:rsid w:val="006321EE"/>
    <w:rsid w:val="00633CE3"/>
    <w:rsid w:val="0063436E"/>
    <w:rsid w:val="00636D49"/>
    <w:rsid w:val="0064001B"/>
    <w:rsid w:val="00640B9A"/>
    <w:rsid w:val="00640ECA"/>
    <w:rsid w:val="00641170"/>
    <w:rsid w:val="0064196A"/>
    <w:rsid w:val="00642663"/>
    <w:rsid w:val="00643DE0"/>
    <w:rsid w:val="006441F7"/>
    <w:rsid w:val="006448FE"/>
    <w:rsid w:val="00644D53"/>
    <w:rsid w:val="006477BD"/>
    <w:rsid w:val="00647B9C"/>
    <w:rsid w:val="00650848"/>
    <w:rsid w:val="006509BA"/>
    <w:rsid w:val="00652730"/>
    <w:rsid w:val="00652CA9"/>
    <w:rsid w:val="006537F0"/>
    <w:rsid w:val="00653D67"/>
    <w:rsid w:val="006540A5"/>
    <w:rsid w:val="006547E4"/>
    <w:rsid w:val="006570FD"/>
    <w:rsid w:val="006572A8"/>
    <w:rsid w:val="00657456"/>
    <w:rsid w:val="00661119"/>
    <w:rsid w:val="00661C1E"/>
    <w:rsid w:val="0066236B"/>
    <w:rsid w:val="0066498D"/>
    <w:rsid w:val="00665194"/>
    <w:rsid w:val="00666031"/>
    <w:rsid w:val="0066646D"/>
    <w:rsid w:val="00666759"/>
    <w:rsid w:val="00670951"/>
    <w:rsid w:val="00670AB7"/>
    <w:rsid w:val="0067199B"/>
    <w:rsid w:val="00671DA0"/>
    <w:rsid w:val="00672155"/>
    <w:rsid w:val="00672E37"/>
    <w:rsid w:val="006749AC"/>
    <w:rsid w:val="00674F1D"/>
    <w:rsid w:val="00675506"/>
    <w:rsid w:val="00676B8C"/>
    <w:rsid w:val="006775FE"/>
    <w:rsid w:val="00677A27"/>
    <w:rsid w:val="00682132"/>
    <w:rsid w:val="00682141"/>
    <w:rsid w:val="00682385"/>
    <w:rsid w:val="006825BC"/>
    <w:rsid w:val="006827C3"/>
    <w:rsid w:val="00682A69"/>
    <w:rsid w:val="0068499F"/>
    <w:rsid w:val="00684B00"/>
    <w:rsid w:val="00685CD3"/>
    <w:rsid w:val="0068613C"/>
    <w:rsid w:val="00686866"/>
    <w:rsid w:val="00687528"/>
    <w:rsid w:val="006877D7"/>
    <w:rsid w:val="006908AB"/>
    <w:rsid w:val="006918BB"/>
    <w:rsid w:val="00692AD2"/>
    <w:rsid w:val="00692BB2"/>
    <w:rsid w:val="00692E40"/>
    <w:rsid w:val="00693C0B"/>
    <w:rsid w:val="00694087"/>
    <w:rsid w:val="0069418B"/>
    <w:rsid w:val="00695821"/>
    <w:rsid w:val="006961FD"/>
    <w:rsid w:val="00696EFB"/>
    <w:rsid w:val="00697C0F"/>
    <w:rsid w:val="006A01C4"/>
    <w:rsid w:val="006A0754"/>
    <w:rsid w:val="006A18BF"/>
    <w:rsid w:val="006A1C47"/>
    <w:rsid w:val="006A275C"/>
    <w:rsid w:val="006A3871"/>
    <w:rsid w:val="006A51E0"/>
    <w:rsid w:val="006B0151"/>
    <w:rsid w:val="006B13FE"/>
    <w:rsid w:val="006B1C70"/>
    <w:rsid w:val="006B26A6"/>
    <w:rsid w:val="006B2DFD"/>
    <w:rsid w:val="006B3E51"/>
    <w:rsid w:val="006B6A00"/>
    <w:rsid w:val="006B768D"/>
    <w:rsid w:val="006B7993"/>
    <w:rsid w:val="006C0350"/>
    <w:rsid w:val="006C0613"/>
    <w:rsid w:val="006C096F"/>
    <w:rsid w:val="006C0B11"/>
    <w:rsid w:val="006C162A"/>
    <w:rsid w:val="006C1765"/>
    <w:rsid w:val="006C231D"/>
    <w:rsid w:val="006C3D2A"/>
    <w:rsid w:val="006C4386"/>
    <w:rsid w:val="006C458B"/>
    <w:rsid w:val="006C4B87"/>
    <w:rsid w:val="006C5509"/>
    <w:rsid w:val="006C561A"/>
    <w:rsid w:val="006C5D15"/>
    <w:rsid w:val="006C6926"/>
    <w:rsid w:val="006C6C12"/>
    <w:rsid w:val="006C6D3F"/>
    <w:rsid w:val="006C79F9"/>
    <w:rsid w:val="006D133F"/>
    <w:rsid w:val="006D2708"/>
    <w:rsid w:val="006D3D01"/>
    <w:rsid w:val="006D3DCB"/>
    <w:rsid w:val="006D53D8"/>
    <w:rsid w:val="006D5CD6"/>
    <w:rsid w:val="006D5F31"/>
    <w:rsid w:val="006D6F71"/>
    <w:rsid w:val="006E081F"/>
    <w:rsid w:val="006E11E8"/>
    <w:rsid w:val="006E2697"/>
    <w:rsid w:val="006E2FDD"/>
    <w:rsid w:val="006E3D8B"/>
    <w:rsid w:val="006E53BD"/>
    <w:rsid w:val="006E5D6E"/>
    <w:rsid w:val="006E5E9B"/>
    <w:rsid w:val="006E68E2"/>
    <w:rsid w:val="006E6BAC"/>
    <w:rsid w:val="006E7D2A"/>
    <w:rsid w:val="006E7ECF"/>
    <w:rsid w:val="006F1CDB"/>
    <w:rsid w:val="006F346C"/>
    <w:rsid w:val="006F39A7"/>
    <w:rsid w:val="006F40B2"/>
    <w:rsid w:val="006F4D12"/>
    <w:rsid w:val="006F585C"/>
    <w:rsid w:val="006F62AE"/>
    <w:rsid w:val="007009E7"/>
    <w:rsid w:val="00701AB9"/>
    <w:rsid w:val="007029F4"/>
    <w:rsid w:val="00702F25"/>
    <w:rsid w:val="00703407"/>
    <w:rsid w:val="007043FD"/>
    <w:rsid w:val="007044E7"/>
    <w:rsid w:val="00704BEF"/>
    <w:rsid w:val="00705AD3"/>
    <w:rsid w:val="00706D07"/>
    <w:rsid w:val="00710209"/>
    <w:rsid w:val="00711949"/>
    <w:rsid w:val="00711B94"/>
    <w:rsid w:val="00712B13"/>
    <w:rsid w:val="00712C29"/>
    <w:rsid w:val="0071344E"/>
    <w:rsid w:val="0071670E"/>
    <w:rsid w:val="0071785B"/>
    <w:rsid w:val="00717EA3"/>
    <w:rsid w:val="00717ED4"/>
    <w:rsid w:val="00720952"/>
    <w:rsid w:val="00721B03"/>
    <w:rsid w:val="0072221D"/>
    <w:rsid w:val="007225C5"/>
    <w:rsid w:val="00722766"/>
    <w:rsid w:val="00722A3A"/>
    <w:rsid w:val="00722BCC"/>
    <w:rsid w:val="007234D1"/>
    <w:rsid w:val="00723A0A"/>
    <w:rsid w:val="007244C3"/>
    <w:rsid w:val="00725A58"/>
    <w:rsid w:val="00725EDE"/>
    <w:rsid w:val="00726861"/>
    <w:rsid w:val="00727A13"/>
    <w:rsid w:val="00727A96"/>
    <w:rsid w:val="00732D6C"/>
    <w:rsid w:val="00733547"/>
    <w:rsid w:val="00735139"/>
    <w:rsid w:val="00735833"/>
    <w:rsid w:val="00735CD7"/>
    <w:rsid w:val="00736346"/>
    <w:rsid w:val="0073798C"/>
    <w:rsid w:val="00737AD5"/>
    <w:rsid w:val="00737B7C"/>
    <w:rsid w:val="007418F3"/>
    <w:rsid w:val="0074219D"/>
    <w:rsid w:val="00742270"/>
    <w:rsid w:val="00742D1E"/>
    <w:rsid w:val="00742E54"/>
    <w:rsid w:val="007444DF"/>
    <w:rsid w:val="00745A90"/>
    <w:rsid w:val="00747E33"/>
    <w:rsid w:val="00751566"/>
    <w:rsid w:val="00751909"/>
    <w:rsid w:val="007526E2"/>
    <w:rsid w:val="00753E6F"/>
    <w:rsid w:val="00755C9B"/>
    <w:rsid w:val="00756138"/>
    <w:rsid w:val="00757A45"/>
    <w:rsid w:val="0076046C"/>
    <w:rsid w:val="007610DC"/>
    <w:rsid w:val="00761DA6"/>
    <w:rsid w:val="00762252"/>
    <w:rsid w:val="0076342A"/>
    <w:rsid w:val="007638C2"/>
    <w:rsid w:val="007641CD"/>
    <w:rsid w:val="007643A1"/>
    <w:rsid w:val="007651B6"/>
    <w:rsid w:val="00766EF0"/>
    <w:rsid w:val="00766F04"/>
    <w:rsid w:val="007674B9"/>
    <w:rsid w:val="007705D0"/>
    <w:rsid w:val="00770821"/>
    <w:rsid w:val="00770968"/>
    <w:rsid w:val="007717C3"/>
    <w:rsid w:val="00772279"/>
    <w:rsid w:val="0077253B"/>
    <w:rsid w:val="00772C62"/>
    <w:rsid w:val="0077326C"/>
    <w:rsid w:val="00773A91"/>
    <w:rsid w:val="00773D44"/>
    <w:rsid w:val="00773E83"/>
    <w:rsid w:val="00774748"/>
    <w:rsid w:val="0077507E"/>
    <w:rsid w:val="0077509D"/>
    <w:rsid w:val="00776671"/>
    <w:rsid w:val="00777895"/>
    <w:rsid w:val="007801FC"/>
    <w:rsid w:val="0078084D"/>
    <w:rsid w:val="007816CE"/>
    <w:rsid w:val="00782261"/>
    <w:rsid w:val="00782A18"/>
    <w:rsid w:val="0078364E"/>
    <w:rsid w:val="007855CC"/>
    <w:rsid w:val="007926ED"/>
    <w:rsid w:val="00793697"/>
    <w:rsid w:val="00793B0D"/>
    <w:rsid w:val="007946AC"/>
    <w:rsid w:val="00794909"/>
    <w:rsid w:val="00794EBD"/>
    <w:rsid w:val="00795ED7"/>
    <w:rsid w:val="00796DB6"/>
    <w:rsid w:val="00796E6A"/>
    <w:rsid w:val="007970C3"/>
    <w:rsid w:val="007971AE"/>
    <w:rsid w:val="00797715"/>
    <w:rsid w:val="007A249C"/>
    <w:rsid w:val="007A25DC"/>
    <w:rsid w:val="007A3506"/>
    <w:rsid w:val="007A468A"/>
    <w:rsid w:val="007A560C"/>
    <w:rsid w:val="007A636F"/>
    <w:rsid w:val="007A7258"/>
    <w:rsid w:val="007A744A"/>
    <w:rsid w:val="007B099C"/>
    <w:rsid w:val="007B13E6"/>
    <w:rsid w:val="007B19D5"/>
    <w:rsid w:val="007B1ABA"/>
    <w:rsid w:val="007B1B12"/>
    <w:rsid w:val="007B1E8A"/>
    <w:rsid w:val="007B21D5"/>
    <w:rsid w:val="007B2F49"/>
    <w:rsid w:val="007B3CE0"/>
    <w:rsid w:val="007B6385"/>
    <w:rsid w:val="007B74C5"/>
    <w:rsid w:val="007C2AEC"/>
    <w:rsid w:val="007C3213"/>
    <w:rsid w:val="007C3545"/>
    <w:rsid w:val="007C3FCF"/>
    <w:rsid w:val="007C4C0D"/>
    <w:rsid w:val="007C59BA"/>
    <w:rsid w:val="007C5C3E"/>
    <w:rsid w:val="007C74C3"/>
    <w:rsid w:val="007C787F"/>
    <w:rsid w:val="007D092B"/>
    <w:rsid w:val="007D1524"/>
    <w:rsid w:val="007D175D"/>
    <w:rsid w:val="007D178C"/>
    <w:rsid w:val="007D1B78"/>
    <w:rsid w:val="007D3580"/>
    <w:rsid w:val="007D4543"/>
    <w:rsid w:val="007D577B"/>
    <w:rsid w:val="007D6CCC"/>
    <w:rsid w:val="007E1849"/>
    <w:rsid w:val="007E2195"/>
    <w:rsid w:val="007E270C"/>
    <w:rsid w:val="007E3230"/>
    <w:rsid w:val="007E5679"/>
    <w:rsid w:val="007E597D"/>
    <w:rsid w:val="007E7774"/>
    <w:rsid w:val="007E7835"/>
    <w:rsid w:val="007E7FA0"/>
    <w:rsid w:val="007F0AA2"/>
    <w:rsid w:val="007F1502"/>
    <w:rsid w:val="007F1D47"/>
    <w:rsid w:val="007F273D"/>
    <w:rsid w:val="007F2F1B"/>
    <w:rsid w:val="007F34EF"/>
    <w:rsid w:val="007F40FF"/>
    <w:rsid w:val="007F42DC"/>
    <w:rsid w:val="007F49C9"/>
    <w:rsid w:val="007F6249"/>
    <w:rsid w:val="007F6D82"/>
    <w:rsid w:val="007F7009"/>
    <w:rsid w:val="007F71D6"/>
    <w:rsid w:val="007F7246"/>
    <w:rsid w:val="007F7FA5"/>
    <w:rsid w:val="0080261D"/>
    <w:rsid w:val="00803245"/>
    <w:rsid w:val="008035E2"/>
    <w:rsid w:val="00804226"/>
    <w:rsid w:val="008047C9"/>
    <w:rsid w:val="00805712"/>
    <w:rsid w:val="00806D1F"/>
    <w:rsid w:val="00807D5C"/>
    <w:rsid w:val="00810467"/>
    <w:rsid w:val="0081051E"/>
    <w:rsid w:val="00810883"/>
    <w:rsid w:val="00812461"/>
    <w:rsid w:val="00813DCC"/>
    <w:rsid w:val="008150E1"/>
    <w:rsid w:val="008155AC"/>
    <w:rsid w:val="00816CE0"/>
    <w:rsid w:val="00820F52"/>
    <w:rsid w:val="00821185"/>
    <w:rsid w:val="008222F4"/>
    <w:rsid w:val="00822647"/>
    <w:rsid w:val="008231FC"/>
    <w:rsid w:val="008255DE"/>
    <w:rsid w:val="00825A4D"/>
    <w:rsid w:val="00826ACB"/>
    <w:rsid w:val="00826C85"/>
    <w:rsid w:val="00827707"/>
    <w:rsid w:val="00830810"/>
    <w:rsid w:val="00831215"/>
    <w:rsid w:val="0083230B"/>
    <w:rsid w:val="00832D46"/>
    <w:rsid w:val="00833E25"/>
    <w:rsid w:val="008342AB"/>
    <w:rsid w:val="008348FB"/>
    <w:rsid w:val="00836843"/>
    <w:rsid w:val="00837158"/>
    <w:rsid w:val="00837A8B"/>
    <w:rsid w:val="00840C5A"/>
    <w:rsid w:val="0084110C"/>
    <w:rsid w:val="00841115"/>
    <w:rsid w:val="00842854"/>
    <w:rsid w:val="00842954"/>
    <w:rsid w:val="00843B60"/>
    <w:rsid w:val="008442E2"/>
    <w:rsid w:val="00844ABF"/>
    <w:rsid w:val="0084571B"/>
    <w:rsid w:val="00845AF9"/>
    <w:rsid w:val="00846A67"/>
    <w:rsid w:val="00847D24"/>
    <w:rsid w:val="00850329"/>
    <w:rsid w:val="0085059E"/>
    <w:rsid w:val="008507C0"/>
    <w:rsid w:val="008507C1"/>
    <w:rsid w:val="00850B4E"/>
    <w:rsid w:val="008514E2"/>
    <w:rsid w:val="00851511"/>
    <w:rsid w:val="00853F30"/>
    <w:rsid w:val="00853FAC"/>
    <w:rsid w:val="00854665"/>
    <w:rsid w:val="0085650E"/>
    <w:rsid w:val="00856535"/>
    <w:rsid w:val="00857B33"/>
    <w:rsid w:val="008600F9"/>
    <w:rsid w:val="00861934"/>
    <w:rsid w:val="00862519"/>
    <w:rsid w:val="00863DFE"/>
    <w:rsid w:val="00866355"/>
    <w:rsid w:val="008676DB"/>
    <w:rsid w:val="00870A54"/>
    <w:rsid w:val="00870EB4"/>
    <w:rsid w:val="0087177D"/>
    <w:rsid w:val="0087252C"/>
    <w:rsid w:val="008730AA"/>
    <w:rsid w:val="00874EAB"/>
    <w:rsid w:val="008755BD"/>
    <w:rsid w:val="008765ED"/>
    <w:rsid w:val="008766E8"/>
    <w:rsid w:val="00876BB4"/>
    <w:rsid w:val="00877091"/>
    <w:rsid w:val="00880CD2"/>
    <w:rsid w:val="00881756"/>
    <w:rsid w:val="00882A80"/>
    <w:rsid w:val="00882AD8"/>
    <w:rsid w:val="00883367"/>
    <w:rsid w:val="00883C5A"/>
    <w:rsid w:val="0088512E"/>
    <w:rsid w:val="008852AA"/>
    <w:rsid w:val="00886AFA"/>
    <w:rsid w:val="00890123"/>
    <w:rsid w:val="00892213"/>
    <w:rsid w:val="0089291B"/>
    <w:rsid w:val="00893078"/>
    <w:rsid w:val="00893F86"/>
    <w:rsid w:val="00895AE9"/>
    <w:rsid w:val="00895EC6"/>
    <w:rsid w:val="008960C1"/>
    <w:rsid w:val="008961BE"/>
    <w:rsid w:val="00896F92"/>
    <w:rsid w:val="00897DA1"/>
    <w:rsid w:val="008A0530"/>
    <w:rsid w:val="008A07B3"/>
    <w:rsid w:val="008A081E"/>
    <w:rsid w:val="008A0BEF"/>
    <w:rsid w:val="008A0EC4"/>
    <w:rsid w:val="008A13A3"/>
    <w:rsid w:val="008A151B"/>
    <w:rsid w:val="008A1766"/>
    <w:rsid w:val="008A3AD6"/>
    <w:rsid w:val="008A42C6"/>
    <w:rsid w:val="008A5326"/>
    <w:rsid w:val="008A62E6"/>
    <w:rsid w:val="008A66FD"/>
    <w:rsid w:val="008A6C18"/>
    <w:rsid w:val="008A6C8B"/>
    <w:rsid w:val="008A73AA"/>
    <w:rsid w:val="008B1A4A"/>
    <w:rsid w:val="008B1A93"/>
    <w:rsid w:val="008B1B16"/>
    <w:rsid w:val="008B1BCF"/>
    <w:rsid w:val="008B1D4C"/>
    <w:rsid w:val="008B1E2C"/>
    <w:rsid w:val="008B1F77"/>
    <w:rsid w:val="008B2FA0"/>
    <w:rsid w:val="008B3E93"/>
    <w:rsid w:val="008B46E0"/>
    <w:rsid w:val="008B5076"/>
    <w:rsid w:val="008B733C"/>
    <w:rsid w:val="008C0D26"/>
    <w:rsid w:val="008C0F01"/>
    <w:rsid w:val="008C2542"/>
    <w:rsid w:val="008C2EBE"/>
    <w:rsid w:val="008C3225"/>
    <w:rsid w:val="008C3936"/>
    <w:rsid w:val="008C3D7E"/>
    <w:rsid w:val="008C40EA"/>
    <w:rsid w:val="008C4546"/>
    <w:rsid w:val="008C64CD"/>
    <w:rsid w:val="008C712E"/>
    <w:rsid w:val="008D065D"/>
    <w:rsid w:val="008D20C7"/>
    <w:rsid w:val="008D4885"/>
    <w:rsid w:val="008D505A"/>
    <w:rsid w:val="008D51F0"/>
    <w:rsid w:val="008D5626"/>
    <w:rsid w:val="008D5B39"/>
    <w:rsid w:val="008D6099"/>
    <w:rsid w:val="008D6B07"/>
    <w:rsid w:val="008D6EA9"/>
    <w:rsid w:val="008D75E9"/>
    <w:rsid w:val="008E0598"/>
    <w:rsid w:val="008E2854"/>
    <w:rsid w:val="008E3E84"/>
    <w:rsid w:val="008E41A6"/>
    <w:rsid w:val="008E49CE"/>
    <w:rsid w:val="008E516A"/>
    <w:rsid w:val="008E5483"/>
    <w:rsid w:val="008E5779"/>
    <w:rsid w:val="008E5F59"/>
    <w:rsid w:val="008E72D1"/>
    <w:rsid w:val="008E7744"/>
    <w:rsid w:val="008F0036"/>
    <w:rsid w:val="008F05D5"/>
    <w:rsid w:val="008F0AC9"/>
    <w:rsid w:val="008F1218"/>
    <w:rsid w:val="008F23D7"/>
    <w:rsid w:val="008F3D8A"/>
    <w:rsid w:val="008F52B4"/>
    <w:rsid w:val="008F71FD"/>
    <w:rsid w:val="009005CA"/>
    <w:rsid w:val="00901587"/>
    <w:rsid w:val="00901FFB"/>
    <w:rsid w:val="009022AD"/>
    <w:rsid w:val="009023F1"/>
    <w:rsid w:val="00903A23"/>
    <w:rsid w:val="00904AE3"/>
    <w:rsid w:val="00904E73"/>
    <w:rsid w:val="00905915"/>
    <w:rsid w:val="00906936"/>
    <w:rsid w:val="00910050"/>
    <w:rsid w:val="00910D5E"/>
    <w:rsid w:val="00910E94"/>
    <w:rsid w:val="0091297B"/>
    <w:rsid w:val="00913D10"/>
    <w:rsid w:val="00913E7C"/>
    <w:rsid w:val="00915475"/>
    <w:rsid w:val="00915662"/>
    <w:rsid w:val="0091698C"/>
    <w:rsid w:val="00917605"/>
    <w:rsid w:val="00920343"/>
    <w:rsid w:val="0092200C"/>
    <w:rsid w:val="0092280B"/>
    <w:rsid w:val="00922CDE"/>
    <w:rsid w:val="00922FF2"/>
    <w:rsid w:val="009231E1"/>
    <w:rsid w:val="009244E6"/>
    <w:rsid w:val="00924888"/>
    <w:rsid w:val="0092488A"/>
    <w:rsid w:val="00925CBE"/>
    <w:rsid w:val="00926AEA"/>
    <w:rsid w:val="00926CE5"/>
    <w:rsid w:val="0092771F"/>
    <w:rsid w:val="00930476"/>
    <w:rsid w:val="00930CDA"/>
    <w:rsid w:val="00931565"/>
    <w:rsid w:val="0093316D"/>
    <w:rsid w:val="009337C6"/>
    <w:rsid w:val="00934250"/>
    <w:rsid w:val="009343F1"/>
    <w:rsid w:val="009346C1"/>
    <w:rsid w:val="0093473D"/>
    <w:rsid w:val="0093658E"/>
    <w:rsid w:val="00936662"/>
    <w:rsid w:val="00936A15"/>
    <w:rsid w:val="00936C78"/>
    <w:rsid w:val="00937266"/>
    <w:rsid w:val="00937C54"/>
    <w:rsid w:val="00941E0C"/>
    <w:rsid w:val="0094247A"/>
    <w:rsid w:val="0094279A"/>
    <w:rsid w:val="00943549"/>
    <w:rsid w:val="00944673"/>
    <w:rsid w:val="00945454"/>
    <w:rsid w:val="009458EE"/>
    <w:rsid w:val="009459AC"/>
    <w:rsid w:val="00946A53"/>
    <w:rsid w:val="009477CE"/>
    <w:rsid w:val="00947D66"/>
    <w:rsid w:val="009504E5"/>
    <w:rsid w:val="00950E35"/>
    <w:rsid w:val="00950F6B"/>
    <w:rsid w:val="009514B2"/>
    <w:rsid w:val="00953044"/>
    <w:rsid w:val="00953C5D"/>
    <w:rsid w:val="00955F22"/>
    <w:rsid w:val="0095636C"/>
    <w:rsid w:val="009577CB"/>
    <w:rsid w:val="00957B5E"/>
    <w:rsid w:val="00960C79"/>
    <w:rsid w:val="00965488"/>
    <w:rsid w:val="009657A0"/>
    <w:rsid w:val="0096620A"/>
    <w:rsid w:val="0096646D"/>
    <w:rsid w:val="009679FE"/>
    <w:rsid w:val="00967A86"/>
    <w:rsid w:val="00967F3B"/>
    <w:rsid w:val="00970CE1"/>
    <w:rsid w:val="00970F87"/>
    <w:rsid w:val="009718EF"/>
    <w:rsid w:val="00972F57"/>
    <w:rsid w:val="0097382E"/>
    <w:rsid w:val="00973A52"/>
    <w:rsid w:val="00973B57"/>
    <w:rsid w:val="009753B6"/>
    <w:rsid w:val="00975CA3"/>
    <w:rsid w:val="00975F6B"/>
    <w:rsid w:val="00980216"/>
    <w:rsid w:val="00981263"/>
    <w:rsid w:val="009819AC"/>
    <w:rsid w:val="00982A3A"/>
    <w:rsid w:val="00982C17"/>
    <w:rsid w:val="00982E1F"/>
    <w:rsid w:val="00983460"/>
    <w:rsid w:val="00983489"/>
    <w:rsid w:val="00983CC7"/>
    <w:rsid w:val="00984895"/>
    <w:rsid w:val="009855DD"/>
    <w:rsid w:val="009858D2"/>
    <w:rsid w:val="009860C9"/>
    <w:rsid w:val="0098610B"/>
    <w:rsid w:val="0098615B"/>
    <w:rsid w:val="0098774C"/>
    <w:rsid w:val="00990F51"/>
    <w:rsid w:val="00991276"/>
    <w:rsid w:val="00991FBB"/>
    <w:rsid w:val="009933DB"/>
    <w:rsid w:val="00993BC0"/>
    <w:rsid w:val="00993E54"/>
    <w:rsid w:val="00994797"/>
    <w:rsid w:val="00995280"/>
    <w:rsid w:val="0099599A"/>
    <w:rsid w:val="00995A6B"/>
    <w:rsid w:val="009969AF"/>
    <w:rsid w:val="00996C71"/>
    <w:rsid w:val="009A2684"/>
    <w:rsid w:val="009A43F5"/>
    <w:rsid w:val="009A5CCF"/>
    <w:rsid w:val="009A6654"/>
    <w:rsid w:val="009B05A6"/>
    <w:rsid w:val="009B07D5"/>
    <w:rsid w:val="009B0F28"/>
    <w:rsid w:val="009B584F"/>
    <w:rsid w:val="009B700F"/>
    <w:rsid w:val="009C12DB"/>
    <w:rsid w:val="009C2CE0"/>
    <w:rsid w:val="009C304A"/>
    <w:rsid w:val="009C40FB"/>
    <w:rsid w:val="009C75DF"/>
    <w:rsid w:val="009D269D"/>
    <w:rsid w:val="009D2D8E"/>
    <w:rsid w:val="009D367B"/>
    <w:rsid w:val="009D4B60"/>
    <w:rsid w:val="009D51F4"/>
    <w:rsid w:val="009D5E37"/>
    <w:rsid w:val="009D626E"/>
    <w:rsid w:val="009E09C2"/>
    <w:rsid w:val="009E15F1"/>
    <w:rsid w:val="009E32AB"/>
    <w:rsid w:val="009E37FF"/>
    <w:rsid w:val="009E385E"/>
    <w:rsid w:val="009E4413"/>
    <w:rsid w:val="009E4AFC"/>
    <w:rsid w:val="009E4C8C"/>
    <w:rsid w:val="009E79E2"/>
    <w:rsid w:val="009E7F55"/>
    <w:rsid w:val="009F027E"/>
    <w:rsid w:val="009F19D3"/>
    <w:rsid w:val="009F3F73"/>
    <w:rsid w:val="009F3FB8"/>
    <w:rsid w:val="009F43F8"/>
    <w:rsid w:val="009F4ED9"/>
    <w:rsid w:val="009F5E8B"/>
    <w:rsid w:val="009F70A8"/>
    <w:rsid w:val="009F714F"/>
    <w:rsid w:val="009F75B5"/>
    <w:rsid w:val="00A00098"/>
    <w:rsid w:val="00A010EB"/>
    <w:rsid w:val="00A01A2F"/>
    <w:rsid w:val="00A03F24"/>
    <w:rsid w:val="00A06D49"/>
    <w:rsid w:val="00A079B8"/>
    <w:rsid w:val="00A07A98"/>
    <w:rsid w:val="00A1124C"/>
    <w:rsid w:val="00A12468"/>
    <w:rsid w:val="00A1266D"/>
    <w:rsid w:val="00A1328F"/>
    <w:rsid w:val="00A13E49"/>
    <w:rsid w:val="00A155C8"/>
    <w:rsid w:val="00A155F7"/>
    <w:rsid w:val="00A15EE4"/>
    <w:rsid w:val="00A16234"/>
    <w:rsid w:val="00A167F0"/>
    <w:rsid w:val="00A16EAD"/>
    <w:rsid w:val="00A17729"/>
    <w:rsid w:val="00A20496"/>
    <w:rsid w:val="00A2086E"/>
    <w:rsid w:val="00A21ACA"/>
    <w:rsid w:val="00A22849"/>
    <w:rsid w:val="00A22B0A"/>
    <w:rsid w:val="00A24E6E"/>
    <w:rsid w:val="00A24F35"/>
    <w:rsid w:val="00A2502D"/>
    <w:rsid w:val="00A25309"/>
    <w:rsid w:val="00A256CA"/>
    <w:rsid w:val="00A25FA8"/>
    <w:rsid w:val="00A3015A"/>
    <w:rsid w:val="00A3073F"/>
    <w:rsid w:val="00A30B47"/>
    <w:rsid w:val="00A30CA3"/>
    <w:rsid w:val="00A31075"/>
    <w:rsid w:val="00A32A05"/>
    <w:rsid w:val="00A3361D"/>
    <w:rsid w:val="00A343BF"/>
    <w:rsid w:val="00A34889"/>
    <w:rsid w:val="00A351F1"/>
    <w:rsid w:val="00A3616B"/>
    <w:rsid w:val="00A36944"/>
    <w:rsid w:val="00A375C4"/>
    <w:rsid w:val="00A37B11"/>
    <w:rsid w:val="00A40208"/>
    <w:rsid w:val="00A40CB5"/>
    <w:rsid w:val="00A41C6E"/>
    <w:rsid w:val="00A42704"/>
    <w:rsid w:val="00A43561"/>
    <w:rsid w:val="00A43694"/>
    <w:rsid w:val="00A43F41"/>
    <w:rsid w:val="00A476AF"/>
    <w:rsid w:val="00A50173"/>
    <w:rsid w:val="00A51E93"/>
    <w:rsid w:val="00A527A4"/>
    <w:rsid w:val="00A52B2F"/>
    <w:rsid w:val="00A52DE8"/>
    <w:rsid w:val="00A53580"/>
    <w:rsid w:val="00A53A02"/>
    <w:rsid w:val="00A53F19"/>
    <w:rsid w:val="00A54517"/>
    <w:rsid w:val="00A545E4"/>
    <w:rsid w:val="00A54AE0"/>
    <w:rsid w:val="00A55572"/>
    <w:rsid w:val="00A56CE4"/>
    <w:rsid w:val="00A56FC7"/>
    <w:rsid w:val="00A578B8"/>
    <w:rsid w:val="00A60317"/>
    <w:rsid w:val="00A61479"/>
    <w:rsid w:val="00A62D45"/>
    <w:rsid w:val="00A63844"/>
    <w:rsid w:val="00A6503B"/>
    <w:rsid w:val="00A65E27"/>
    <w:rsid w:val="00A664CD"/>
    <w:rsid w:val="00A679C6"/>
    <w:rsid w:val="00A67B7D"/>
    <w:rsid w:val="00A704DD"/>
    <w:rsid w:val="00A70624"/>
    <w:rsid w:val="00A71678"/>
    <w:rsid w:val="00A72575"/>
    <w:rsid w:val="00A72F25"/>
    <w:rsid w:val="00A7367C"/>
    <w:rsid w:val="00A73C6B"/>
    <w:rsid w:val="00A73CD0"/>
    <w:rsid w:val="00A73FBD"/>
    <w:rsid w:val="00A74071"/>
    <w:rsid w:val="00A74A13"/>
    <w:rsid w:val="00A751AC"/>
    <w:rsid w:val="00A759F6"/>
    <w:rsid w:val="00A7632F"/>
    <w:rsid w:val="00A76BDC"/>
    <w:rsid w:val="00A76C73"/>
    <w:rsid w:val="00A7730F"/>
    <w:rsid w:val="00A77540"/>
    <w:rsid w:val="00A81000"/>
    <w:rsid w:val="00A813D4"/>
    <w:rsid w:val="00A81DBE"/>
    <w:rsid w:val="00A836B0"/>
    <w:rsid w:val="00A867E2"/>
    <w:rsid w:val="00A86844"/>
    <w:rsid w:val="00A90E39"/>
    <w:rsid w:val="00A930AB"/>
    <w:rsid w:val="00A9343D"/>
    <w:rsid w:val="00A935EB"/>
    <w:rsid w:val="00A9368C"/>
    <w:rsid w:val="00A954B3"/>
    <w:rsid w:val="00A95F43"/>
    <w:rsid w:val="00A96EF1"/>
    <w:rsid w:val="00A97ADE"/>
    <w:rsid w:val="00A97D56"/>
    <w:rsid w:val="00AA124A"/>
    <w:rsid w:val="00AA16C0"/>
    <w:rsid w:val="00AA20AA"/>
    <w:rsid w:val="00AA2A96"/>
    <w:rsid w:val="00AA3B09"/>
    <w:rsid w:val="00AA75A1"/>
    <w:rsid w:val="00AB0C42"/>
    <w:rsid w:val="00AB0F72"/>
    <w:rsid w:val="00AB20B4"/>
    <w:rsid w:val="00AB2672"/>
    <w:rsid w:val="00AB5426"/>
    <w:rsid w:val="00AB57EE"/>
    <w:rsid w:val="00AB70E1"/>
    <w:rsid w:val="00AB7B27"/>
    <w:rsid w:val="00AC0AD5"/>
    <w:rsid w:val="00AC3B5F"/>
    <w:rsid w:val="00AC4729"/>
    <w:rsid w:val="00AC4752"/>
    <w:rsid w:val="00AC4EB2"/>
    <w:rsid w:val="00AC668A"/>
    <w:rsid w:val="00AC6696"/>
    <w:rsid w:val="00AC69A1"/>
    <w:rsid w:val="00AD1128"/>
    <w:rsid w:val="00AD29C3"/>
    <w:rsid w:val="00AD29F9"/>
    <w:rsid w:val="00AD2ACD"/>
    <w:rsid w:val="00AD34E6"/>
    <w:rsid w:val="00AD62C6"/>
    <w:rsid w:val="00AD6607"/>
    <w:rsid w:val="00AD6BB8"/>
    <w:rsid w:val="00AD73A0"/>
    <w:rsid w:val="00AD7506"/>
    <w:rsid w:val="00AD7D59"/>
    <w:rsid w:val="00AE0650"/>
    <w:rsid w:val="00AE0676"/>
    <w:rsid w:val="00AE0BCE"/>
    <w:rsid w:val="00AE10FA"/>
    <w:rsid w:val="00AE17BD"/>
    <w:rsid w:val="00AE2A7E"/>
    <w:rsid w:val="00AE2A83"/>
    <w:rsid w:val="00AE2EAC"/>
    <w:rsid w:val="00AE3D08"/>
    <w:rsid w:val="00AE496F"/>
    <w:rsid w:val="00AE4C22"/>
    <w:rsid w:val="00AE4F62"/>
    <w:rsid w:val="00AE5875"/>
    <w:rsid w:val="00AE5C42"/>
    <w:rsid w:val="00AE6044"/>
    <w:rsid w:val="00AE6B39"/>
    <w:rsid w:val="00AE6F2F"/>
    <w:rsid w:val="00AF1789"/>
    <w:rsid w:val="00AF1BAC"/>
    <w:rsid w:val="00AF207A"/>
    <w:rsid w:val="00AF318E"/>
    <w:rsid w:val="00AF49CA"/>
    <w:rsid w:val="00AF68CA"/>
    <w:rsid w:val="00AF6DC5"/>
    <w:rsid w:val="00AF7BBD"/>
    <w:rsid w:val="00B005F4"/>
    <w:rsid w:val="00B022DA"/>
    <w:rsid w:val="00B02590"/>
    <w:rsid w:val="00B02C12"/>
    <w:rsid w:val="00B0336F"/>
    <w:rsid w:val="00B04855"/>
    <w:rsid w:val="00B060CF"/>
    <w:rsid w:val="00B06B4B"/>
    <w:rsid w:val="00B07720"/>
    <w:rsid w:val="00B100CC"/>
    <w:rsid w:val="00B119A1"/>
    <w:rsid w:val="00B13F97"/>
    <w:rsid w:val="00B14207"/>
    <w:rsid w:val="00B14634"/>
    <w:rsid w:val="00B14B2B"/>
    <w:rsid w:val="00B164AA"/>
    <w:rsid w:val="00B16F47"/>
    <w:rsid w:val="00B17B6A"/>
    <w:rsid w:val="00B17C1A"/>
    <w:rsid w:val="00B20A3A"/>
    <w:rsid w:val="00B2299D"/>
    <w:rsid w:val="00B25063"/>
    <w:rsid w:val="00B2536D"/>
    <w:rsid w:val="00B25C33"/>
    <w:rsid w:val="00B267F6"/>
    <w:rsid w:val="00B26E15"/>
    <w:rsid w:val="00B2774B"/>
    <w:rsid w:val="00B278A1"/>
    <w:rsid w:val="00B313DE"/>
    <w:rsid w:val="00B32220"/>
    <w:rsid w:val="00B32C1C"/>
    <w:rsid w:val="00B33194"/>
    <w:rsid w:val="00B33CBB"/>
    <w:rsid w:val="00B34299"/>
    <w:rsid w:val="00B3593A"/>
    <w:rsid w:val="00B37BDD"/>
    <w:rsid w:val="00B41BEC"/>
    <w:rsid w:val="00B438CF"/>
    <w:rsid w:val="00B444BE"/>
    <w:rsid w:val="00B44AD3"/>
    <w:rsid w:val="00B45892"/>
    <w:rsid w:val="00B4715C"/>
    <w:rsid w:val="00B47166"/>
    <w:rsid w:val="00B47D12"/>
    <w:rsid w:val="00B50386"/>
    <w:rsid w:val="00B506EC"/>
    <w:rsid w:val="00B52E58"/>
    <w:rsid w:val="00B534EF"/>
    <w:rsid w:val="00B544B5"/>
    <w:rsid w:val="00B54DE6"/>
    <w:rsid w:val="00B57637"/>
    <w:rsid w:val="00B5796E"/>
    <w:rsid w:val="00B57D3A"/>
    <w:rsid w:val="00B6039F"/>
    <w:rsid w:val="00B62693"/>
    <w:rsid w:val="00B62BA2"/>
    <w:rsid w:val="00B62BF9"/>
    <w:rsid w:val="00B64DA5"/>
    <w:rsid w:val="00B6689D"/>
    <w:rsid w:val="00B66B58"/>
    <w:rsid w:val="00B67AEA"/>
    <w:rsid w:val="00B70456"/>
    <w:rsid w:val="00B70654"/>
    <w:rsid w:val="00B72368"/>
    <w:rsid w:val="00B72634"/>
    <w:rsid w:val="00B74D8F"/>
    <w:rsid w:val="00B77B8A"/>
    <w:rsid w:val="00B77BC6"/>
    <w:rsid w:val="00B77EBC"/>
    <w:rsid w:val="00B77EF1"/>
    <w:rsid w:val="00B80579"/>
    <w:rsid w:val="00B80DD1"/>
    <w:rsid w:val="00B84602"/>
    <w:rsid w:val="00B84AC8"/>
    <w:rsid w:val="00B84F14"/>
    <w:rsid w:val="00B85348"/>
    <w:rsid w:val="00B85423"/>
    <w:rsid w:val="00B859B7"/>
    <w:rsid w:val="00B8632C"/>
    <w:rsid w:val="00B87872"/>
    <w:rsid w:val="00B900D2"/>
    <w:rsid w:val="00B9020F"/>
    <w:rsid w:val="00B907E6"/>
    <w:rsid w:val="00B91E3A"/>
    <w:rsid w:val="00B926ED"/>
    <w:rsid w:val="00B92D34"/>
    <w:rsid w:val="00B9445F"/>
    <w:rsid w:val="00B94F68"/>
    <w:rsid w:val="00B963DD"/>
    <w:rsid w:val="00B9699A"/>
    <w:rsid w:val="00B96B31"/>
    <w:rsid w:val="00BA0F2D"/>
    <w:rsid w:val="00BA1507"/>
    <w:rsid w:val="00BA1BE4"/>
    <w:rsid w:val="00BA1E01"/>
    <w:rsid w:val="00BA20FA"/>
    <w:rsid w:val="00BA2B93"/>
    <w:rsid w:val="00BA2D38"/>
    <w:rsid w:val="00BA2FE7"/>
    <w:rsid w:val="00BA7ECA"/>
    <w:rsid w:val="00BB20DD"/>
    <w:rsid w:val="00BB2246"/>
    <w:rsid w:val="00BB3072"/>
    <w:rsid w:val="00BB38AC"/>
    <w:rsid w:val="00BB3993"/>
    <w:rsid w:val="00BB474C"/>
    <w:rsid w:val="00BB6043"/>
    <w:rsid w:val="00BB65FC"/>
    <w:rsid w:val="00BB691E"/>
    <w:rsid w:val="00BB6A84"/>
    <w:rsid w:val="00BB77BA"/>
    <w:rsid w:val="00BB788E"/>
    <w:rsid w:val="00BB7DC0"/>
    <w:rsid w:val="00BC0055"/>
    <w:rsid w:val="00BC0D11"/>
    <w:rsid w:val="00BC0EF2"/>
    <w:rsid w:val="00BC2242"/>
    <w:rsid w:val="00BC25B0"/>
    <w:rsid w:val="00BC3278"/>
    <w:rsid w:val="00BC60B7"/>
    <w:rsid w:val="00BC69CE"/>
    <w:rsid w:val="00BC7FE0"/>
    <w:rsid w:val="00BD0394"/>
    <w:rsid w:val="00BD1153"/>
    <w:rsid w:val="00BD293D"/>
    <w:rsid w:val="00BD2C84"/>
    <w:rsid w:val="00BD33C8"/>
    <w:rsid w:val="00BD4907"/>
    <w:rsid w:val="00BD4D8A"/>
    <w:rsid w:val="00BD4EA3"/>
    <w:rsid w:val="00BD5037"/>
    <w:rsid w:val="00BD54D3"/>
    <w:rsid w:val="00BD57E1"/>
    <w:rsid w:val="00BD58B0"/>
    <w:rsid w:val="00BD63F8"/>
    <w:rsid w:val="00BD6AA6"/>
    <w:rsid w:val="00BD7300"/>
    <w:rsid w:val="00BE1BDC"/>
    <w:rsid w:val="00BE1DC5"/>
    <w:rsid w:val="00BE2D97"/>
    <w:rsid w:val="00BE3F33"/>
    <w:rsid w:val="00BE4E02"/>
    <w:rsid w:val="00BE737E"/>
    <w:rsid w:val="00BF0D5E"/>
    <w:rsid w:val="00BF3511"/>
    <w:rsid w:val="00BF3B2D"/>
    <w:rsid w:val="00BF41B1"/>
    <w:rsid w:val="00BF53D6"/>
    <w:rsid w:val="00BF5A46"/>
    <w:rsid w:val="00BF65FF"/>
    <w:rsid w:val="00BF7421"/>
    <w:rsid w:val="00BF7822"/>
    <w:rsid w:val="00BF796B"/>
    <w:rsid w:val="00BF7AD2"/>
    <w:rsid w:val="00C002BB"/>
    <w:rsid w:val="00C01F86"/>
    <w:rsid w:val="00C04CA3"/>
    <w:rsid w:val="00C04E62"/>
    <w:rsid w:val="00C0532D"/>
    <w:rsid w:val="00C05648"/>
    <w:rsid w:val="00C0595F"/>
    <w:rsid w:val="00C05B80"/>
    <w:rsid w:val="00C05CD2"/>
    <w:rsid w:val="00C0784B"/>
    <w:rsid w:val="00C07ABC"/>
    <w:rsid w:val="00C07BF0"/>
    <w:rsid w:val="00C1224F"/>
    <w:rsid w:val="00C1304D"/>
    <w:rsid w:val="00C134C5"/>
    <w:rsid w:val="00C136E5"/>
    <w:rsid w:val="00C1577E"/>
    <w:rsid w:val="00C15DF0"/>
    <w:rsid w:val="00C17893"/>
    <w:rsid w:val="00C3040F"/>
    <w:rsid w:val="00C307CA"/>
    <w:rsid w:val="00C30951"/>
    <w:rsid w:val="00C30ABA"/>
    <w:rsid w:val="00C30AF5"/>
    <w:rsid w:val="00C31BD5"/>
    <w:rsid w:val="00C322D8"/>
    <w:rsid w:val="00C329C2"/>
    <w:rsid w:val="00C32B61"/>
    <w:rsid w:val="00C32C97"/>
    <w:rsid w:val="00C34BDC"/>
    <w:rsid w:val="00C40310"/>
    <w:rsid w:val="00C4354A"/>
    <w:rsid w:val="00C43EDC"/>
    <w:rsid w:val="00C4511B"/>
    <w:rsid w:val="00C451C6"/>
    <w:rsid w:val="00C452DF"/>
    <w:rsid w:val="00C46874"/>
    <w:rsid w:val="00C479C6"/>
    <w:rsid w:val="00C501DC"/>
    <w:rsid w:val="00C51E5B"/>
    <w:rsid w:val="00C53E93"/>
    <w:rsid w:val="00C54D58"/>
    <w:rsid w:val="00C56267"/>
    <w:rsid w:val="00C573E1"/>
    <w:rsid w:val="00C57D4E"/>
    <w:rsid w:val="00C60B94"/>
    <w:rsid w:val="00C6109A"/>
    <w:rsid w:val="00C6564A"/>
    <w:rsid w:val="00C661B3"/>
    <w:rsid w:val="00C67148"/>
    <w:rsid w:val="00C671B9"/>
    <w:rsid w:val="00C67D9E"/>
    <w:rsid w:val="00C70322"/>
    <w:rsid w:val="00C707B4"/>
    <w:rsid w:val="00C71C26"/>
    <w:rsid w:val="00C7254D"/>
    <w:rsid w:val="00C737CA"/>
    <w:rsid w:val="00C73CDE"/>
    <w:rsid w:val="00C76478"/>
    <w:rsid w:val="00C76EC6"/>
    <w:rsid w:val="00C805A9"/>
    <w:rsid w:val="00C80FB3"/>
    <w:rsid w:val="00C8172A"/>
    <w:rsid w:val="00C83402"/>
    <w:rsid w:val="00C83AA7"/>
    <w:rsid w:val="00C84FF3"/>
    <w:rsid w:val="00C872B4"/>
    <w:rsid w:val="00C8743B"/>
    <w:rsid w:val="00C87924"/>
    <w:rsid w:val="00C87A52"/>
    <w:rsid w:val="00C90A83"/>
    <w:rsid w:val="00C91C91"/>
    <w:rsid w:val="00C92333"/>
    <w:rsid w:val="00C938FB"/>
    <w:rsid w:val="00C95828"/>
    <w:rsid w:val="00C95DF6"/>
    <w:rsid w:val="00CA02F7"/>
    <w:rsid w:val="00CA0823"/>
    <w:rsid w:val="00CA0A71"/>
    <w:rsid w:val="00CA0C28"/>
    <w:rsid w:val="00CA0FDD"/>
    <w:rsid w:val="00CA16AC"/>
    <w:rsid w:val="00CA20E3"/>
    <w:rsid w:val="00CA2F39"/>
    <w:rsid w:val="00CA354F"/>
    <w:rsid w:val="00CA5628"/>
    <w:rsid w:val="00CA6283"/>
    <w:rsid w:val="00CA6A3B"/>
    <w:rsid w:val="00CA6D1C"/>
    <w:rsid w:val="00CB088B"/>
    <w:rsid w:val="00CB19B3"/>
    <w:rsid w:val="00CB294D"/>
    <w:rsid w:val="00CB3EB3"/>
    <w:rsid w:val="00CB41FA"/>
    <w:rsid w:val="00CB48F1"/>
    <w:rsid w:val="00CB5006"/>
    <w:rsid w:val="00CB58D0"/>
    <w:rsid w:val="00CB5A0D"/>
    <w:rsid w:val="00CB6F4F"/>
    <w:rsid w:val="00CB7141"/>
    <w:rsid w:val="00CC16C3"/>
    <w:rsid w:val="00CC18B9"/>
    <w:rsid w:val="00CC1BA3"/>
    <w:rsid w:val="00CC1C69"/>
    <w:rsid w:val="00CC2275"/>
    <w:rsid w:val="00CC3156"/>
    <w:rsid w:val="00CC3471"/>
    <w:rsid w:val="00CC447D"/>
    <w:rsid w:val="00CC462F"/>
    <w:rsid w:val="00CC481E"/>
    <w:rsid w:val="00CC6822"/>
    <w:rsid w:val="00CC7D9D"/>
    <w:rsid w:val="00CD05CB"/>
    <w:rsid w:val="00CD2E37"/>
    <w:rsid w:val="00CD2E90"/>
    <w:rsid w:val="00CD337B"/>
    <w:rsid w:val="00CD4BFC"/>
    <w:rsid w:val="00CD6EB0"/>
    <w:rsid w:val="00CD75BF"/>
    <w:rsid w:val="00CD76DC"/>
    <w:rsid w:val="00CD7BE9"/>
    <w:rsid w:val="00CE0465"/>
    <w:rsid w:val="00CE053E"/>
    <w:rsid w:val="00CE0E34"/>
    <w:rsid w:val="00CE1EBF"/>
    <w:rsid w:val="00CE2068"/>
    <w:rsid w:val="00CE29CD"/>
    <w:rsid w:val="00CE3D2F"/>
    <w:rsid w:val="00CE6405"/>
    <w:rsid w:val="00CE7E94"/>
    <w:rsid w:val="00CF051A"/>
    <w:rsid w:val="00CF0FBA"/>
    <w:rsid w:val="00CF102B"/>
    <w:rsid w:val="00CF107E"/>
    <w:rsid w:val="00CF151B"/>
    <w:rsid w:val="00CF1D01"/>
    <w:rsid w:val="00CF1D6B"/>
    <w:rsid w:val="00CF22D6"/>
    <w:rsid w:val="00CF2E5A"/>
    <w:rsid w:val="00CF4D89"/>
    <w:rsid w:val="00CF682E"/>
    <w:rsid w:val="00CF6DAF"/>
    <w:rsid w:val="00CF79F5"/>
    <w:rsid w:val="00CF7D96"/>
    <w:rsid w:val="00D021A5"/>
    <w:rsid w:val="00D0236F"/>
    <w:rsid w:val="00D03DB5"/>
    <w:rsid w:val="00D05FE3"/>
    <w:rsid w:val="00D06485"/>
    <w:rsid w:val="00D06E14"/>
    <w:rsid w:val="00D07C34"/>
    <w:rsid w:val="00D10BB6"/>
    <w:rsid w:val="00D1111D"/>
    <w:rsid w:val="00D117FE"/>
    <w:rsid w:val="00D12C22"/>
    <w:rsid w:val="00D13C2A"/>
    <w:rsid w:val="00D14028"/>
    <w:rsid w:val="00D14306"/>
    <w:rsid w:val="00D15223"/>
    <w:rsid w:val="00D15FFD"/>
    <w:rsid w:val="00D161E6"/>
    <w:rsid w:val="00D166B3"/>
    <w:rsid w:val="00D16A80"/>
    <w:rsid w:val="00D1716F"/>
    <w:rsid w:val="00D20399"/>
    <w:rsid w:val="00D21A79"/>
    <w:rsid w:val="00D230F2"/>
    <w:rsid w:val="00D246E0"/>
    <w:rsid w:val="00D24C23"/>
    <w:rsid w:val="00D25182"/>
    <w:rsid w:val="00D25607"/>
    <w:rsid w:val="00D26679"/>
    <w:rsid w:val="00D26EE4"/>
    <w:rsid w:val="00D274A7"/>
    <w:rsid w:val="00D2761C"/>
    <w:rsid w:val="00D27C42"/>
    <w:rsid w:val="00D30B70"/>
    <w:rsid w:val="00D30B93"/>
    <w:rsid w:val="00D326DA"/>
    <w:rsid w:val="00D32A4E"/>
    <w:rsid w:val="00D32DA9"/>
    <w:rsid w:val="00D331D3"/>
    <w:rsid w:val="00D33833"/>
    <w:rsid w:val="00D33BC6"/>
    <w:rsid w:val="00D34EA8"/>
    <w:rsid w:val="00D374B9"/>
    <w:rsid w:val="00D379CF"/>
    <w:rsid w:val="00D37ECA"/>
    <w:rsid w:val="00D37F89"/>
    <w:rsid w:val="00D418FE"/>
    <w:rsid w:val="00D4190F"/>
    <w:rsid w:val="00D4245E"/>
    <w:rsid w:val="00D4286C"/>
    <w:rsid w:val="00D433FD"/>
    <w:rsid w:val="00D44BB5"/>
    <w:rsid w:val="00D44CF2"/>
    <w:rsid w:val="00D45167"/>
    <w:rsid w:val="00D45865"/>
    <w:rsid w:val="00D45C02"/>
    <w:rsid w:val="00D46F21"/>
    <w:rsid w:val="00D47891"/>
    <w:rsid w:val="00D50459"/>
    <w:rsid w:val="00D51143"/>
    <w:rsid w:val="00D51382"/>
    <w:rsid w:val="00D51D93"/>
    <w:rsid w:val="00D52B4D"/>
    <w:rsid w:val="00D56CA3"/>
    <w:rsid w:val="00D57CBA"/>
    <w:rsid w:val="00D60394"/>
    <w:rsid w:val="00D60C77"/>
    <w:rsid w:val="00D60EAD"/>
    <w:rsid w:val="00D611BC"/>
    <w:rsid w:val="00D62034"/>
    <w:rsid w:val="00D63FFE"/>
    <w:rsid w:val="00D64BC9"/>
    <w:rsid w:val="00D67EFC"/>
    <w:rsid w:val="00D70D8D"/>
    <w:rsid w:val="00D721C3"/>
    <w:rsid w:val="00D72FFD"/>
    <w:rsid w:val="00D73923"/>
    <w:rsid w:val="00D7418D"/>
    <w:rsid w:val="00D770E3"/>
    <w:rsid w:val="00D77424"/>
    <w:rsid w:val="00D815F7"/>
    <w:rsid w:val="00D83F36"/>
    <w:rsid w:val="00D8421E"/>
    <w:rsid w:val="00D86112"/>
    <w:rsid w:val="00D872F9"/>
    <w:rsid w:val="00D87CCD"/>
    <w:rsid w:val="00D90582"/>
    <w:rsid w:val="00D90E61"/>
    <w:rsid w:val="00D910BE"/>
    <w:rsid w:val="00D921BB"/>
    <w:rsid w:val="00D922C7"/>
    <w:rsid w:val="00D92425"/>
    <w:rsid w:val="00D926DC"/>
    <w:rsid w:val="00D930BC"/>
    <w:rsid w:val="00D94321"/>
    <w:rsid w:val="00D94FD2"/>
    <w:rsid w:val="00D9527D"/>
    <w:rsid w:val="00D95303"/>
    <w:rsid w:val="00D953C3"/>
    <w:rsid w:val="00D95AFE"/>
    <w:rsid w:val="00D95CDE"/>
    <w:rsid w:val="00D97CAE"/>
    <w:rsid w:val="00DA0172"/>
    <w:rsid w:val="00DA075A"/>
    <w:rsid w:val="00DA0C58"/>
    <w:rsid w:val="00DA180E"/>
    <w:rsid w:val="00DA1B7B"/>
    <w:rsid w:val="00DA3509"/>
    <w:rsid w:val="00DA52B7"/>
    <w:rsid w:val="00DA5716"/>
    <w:rsid w:val="00DA5BA9"/>
    <w:rsid w:val="00DA6FBF"/>
    <w:rsid w:val="00DB1635"/>
    <w:rsid w:val="00DB2F5D"/>
    <w:rsid w:val="00DB53B0"/>
    <w:rsid w:val="00DB7562"/>
    <w:rsid w:val="00DB79DF"/>
    <w:rsid w:val="00DB7A21"/>
    <w:rsid w:val="00DC002B"/>
    <w:rsid w:val="00DC0074"/>
    <w:rsid w:val="00DC1D99"/>
    <w:rsid w:val="00DC3D3E"/>
    <w:rsid w:val="00DC44BC"/>
    <w:rsid w:val="00DC465E"/>
    <w:rsid w:val="00DC4EA0"/>
    <w:rsid w:val="00DC5427"/>
    <w:rsid w:val="00DC5895"/>
    <w:rsid w:val="00DC61E6"/>
    <w:rsid w:val="00DC7BCF"/>
    <w:rsid w:val="00DD006C"/>
    <w:rsid w:val="00DD2DCF"/>
    <w:rsid w:val="00DD2E88"/>
    <w:rsid w:val="00DD39EA"/>
    <w:rsid w:val="00DD4BBD"/>
    <w:rsid w:val="00DD59AE"/>
    <w:rsid w:val="00DD6006"/>
    <w:rsid w:val="00DD64D4"/>
    <w:rsid w:val="00DD7B6D"/>
    <w:rsid w:val="00DE097B"/>
    <w:rsid w:val="00DE11FF"/>
    <w:rsid w:val="00DE1F08"/>
    <w:rsid w:val="00DE20AE"/>
    <w:rsid w:val="00DE388F"/>
    <w:rsid w:val="00DE3CA6"/>
    <w:rsid w:val="00DE3EDE"/>
    <w:rsid w:val="00DE4697"/>
    <w:rsid w:val="00DE5822"/>
    <w:rsid w:val="00DE6978"/>
    <w:rsid w:val="00DE6A6D"/>
    <w:rsid w:val="00DE738F"/>
    <w:rsid w:val="00DF0B36"/>
    <w:rsid w:val="00DF153F"/>
    <w:rsid w:val="00DF170E"/>
    <w:rsid w:val="00DF2705"/>
    <w:rsid w:val="00DF271E"/>
    <w:rsid w:val="00DF48D0"/>
    <w:rsid w:val="00DF4EBA"/>
    <w:rsid w:val="00DF50BF"/>
    <w:rsid w:val="00DF55E6"/>
    <w:rsid w:val="00DF5D46"/>
    <w:rsid w:val="00DF67E3"/>
    <w:rsid w:val="00E001BE"/>
    <w:rsid w:val="00E012BE"/>
    <w:rsid w:val="00E01732"/>
    <w:rsid w:val="00E01D55"/>
    <w:rsid w:val="00E0217A"/>
    <w:rsid w:val="00E03451"/>
    <w:rsid w:val="00E034D7"/>
    <w:rsid w:val="00E0361B"/>
    <w:rsid w:val="00E03F58"/>
    <w:rsid w:val="00E04401"/>
    <w:rsid w:val="00E047D8"/>
    <w:rsid w:val="00E04FC0"/>
    <w:rsid w:val="00E05C97"/>
    <w:rsid w:val="00E06C6F"/>
    <w:rsid w:val="00E06D2D"/>
    <w:rsid w:val="00E06F8E"/>
    <w:rsid w:val="00E074AA"/>
    <w:rsid w:val="00E1667F"/>
    <w:rsid w:val="00E178CA"/>
    <w:rsid w:val="00E17907"/>
    <w:rsid w:val="00E21183"/>
    <w:rsid w:val="00E22A77"/>
    <w:rsid w:val="00E23331"/>
    <w:rsid w:val="00E236C5"/>
    <w:rsid w:val="00E239DC"/>
    <w:rsid w:val="00E23F46"/>
    <w:rsid w:val="00E25700"/>
    <w:rsid w:val="00E25F0C"/>
    <w:rsid w:val="00E26BFD"/>
    <w:rsid w:val="00E3034E"/>
    <w:rsid w:val="00E326F9"/>
    <w:rsid w:val="00E3311C"/>
    <w:rsid w:val="00E33571"/>
    <w:rsid w:val="00E338DC"/>
    <w:rsid w:val="00E346C0"/>
    <w:rsid w:val="00E35374"/>
    <w:rsid w:val="00E358B0"/>
    <w:rsid w:val="00E3631F"/>
    <w:rsid w:val="00E36403"/>
    <w:rsid w:val="00E378F1"/>
    <w:rsid w:val="00E4056B"/>
    <w:rsid w:val="00E406F4"/>
    <w:rsid w:val="00E40953"/>
    <w:rsid w:val="00E40CC7"/>
    <w:rsid w:val="00E412D6"/>
    <w:rsid w:val="00E42EA7"/>
    <w:rsid w:val="00E43658"/>
    <w:rsid w:val="00E44863"/>
    <w:rsid w:val="00E44C3C"/>
    <w:rsid w:val="00E44E17"/>
    <w:rsid w:val="00E45CAC"/>
    <w:rsid w:val="00E47A3B"/>
    <w:rsid w:val="00E500D2"/>
    <w:rsid w:val="00E51A34"/>
    <w:rsid w:val="00E51A3A"/>
    <w:rsid w:val="00E52799"/>
    <w:rsid w:val="00E544C3"/>
    <w:rsid w:val="00E548E7"/>
    <w:rsid w:val="00E54913"/>
    <w:rsid w:val="00E55865"/>
    <w:rsid w:val="00E56195"/>
    <w:rsid w:val="00E5638B"/>
    <w:rsid w:val="00E56FA5"/>
    <w:rsid w:val="00E60D8C"/>
    <w:rsid w:val="00E61CEB"/>
    <w:rsid w:val="00E62975"/>
    <w:rsid w:val="00E630A8"/>
    <w:rsid w:val="00E631EE"/>
    <w:rsid w:val="00E648B0"/>
    <w:rsid w:val="00E6519C"/>
    <w:rsid w:val="00E658F6"/>
    <w:rsid w:val="00E65E19"/>
    <w:rsid w:val="00E6773B"/>
    <w:rsid w:val="00E6779B"/>
    <w:rsid w:val="00E7137B"/>
    <w:rsid w:val="00E727C0"/>
    <w:rsid w:val="00E72D83"/>
    <w:rsid w:val="00E73CF5"/>
    <w:rsid w:val="00E753F4"/>
    <w:rsid w:val="00E76C68"/>
    <w:rsid w:val="00E76D7A"/>
    <w:rsid w:val="00E77A92"/>
    <w:rsid w:val="00E81EDD"/>
    <w:rsid w:val="00E820F1"/>
    <w:rsid w:val="00E82411"/>
    <w:rsid w:val="00E838A5"/>
    <w:rsid w:val="00E84715"/>
    <w:rsid w:val="00E8548E"/>
    <w:rsid w:val="00E85D5B"/>
    <w:rsid w:val="00E866AC"/>
    <w:rsid w:val="00E86D4B"/>
    <w:rsid w:val="00E87981"/>
    <w:rsid w:val="00E908D4"/>
    <w:rsid w:val="00E9178D"/>
    <w:rsid w:val="00E92197"/>
    <w:rsid w:val="00E9390D"/>
    <w:rsid w:val="00E9600E"/>
    <w:rsid w:val="00E967B4"/>
    <w:rsid w:val="00E97803"/>
    <w:rsid w:val="00E97B1F"/>
    <w:rsid w:val="00E97E93"/>
    <w:rsid w:val="00EA0803"/>
    <w:rsid w:val="00EA098B"/>
    <w:rsid w:val="00EA251D"/>
    <w:rsid w:val="00EA32F7"/>
    <w:rsid w:val="00EA48E0"/>
    <w:rsid w:val="00EA61A8"/>
    <w:rsid w:val="00EA67FC"/>
    <w:rsid w:val="00EA7164"/>
    <w:rsid w:val="00EB1535"/>
    <w:rsid w:val="00EB16E5"/>
    <w:rsid w:val="00EB2AF5"/>
    <w:rsid w:val="00EB4341"/>
    <w:rsid w:val="00EB504D"/>
    <w:rsid w:val="00EB5305"/>
    <w:rsid w:val="00EB56EF"/>
    <w:rsid w:val="00EB6086"/>
    <w:rsid w:val="00EB7058"/>
    <w:rsid w:val="00EC080C"/>
    <w:rsid w:val="00EC0883"/>
    <w:rsid w:val="00EC0E71"/>
    <w:rsid w:val="00EC1CE1"/>
    <w:rsid w:val="00EC28E3"/>
    <w:rsid w:val="00EC2CC2"/>
    <w:rsid w:val="00EC320C"/>
    <w:rsid w:val="00EC3468"/>
    <w:rsid w:val="00EC3695"/>
    <w:rsid w:val="00EC4A48"/>
    <w:rsid w:val="00EC5A8B"/>
    <w:rsid w:val="00EC6877"/>
    <w:rsid w:val="00EC6D79"/>
    <w:rsid w:val="00EC73E2"/>
    <w:rsid w:val="00EC7B48"/>
    <w:rsid w:val="00ED0DDA"/>
    <w:rsid w:val="00ED298F"/>
    <w:rsid w:val="00ED29BB"/>
    <w:rsid w:val="00ED3057"/>
    <w:rsid w:val="00ED3309"/>
    <w:rsid w:val="00ED37AA"/>
    <w:rsid w:val="00ED4642"/>
    <w:rsid w:val="00ED47C2"/>
    <w:rsid w:val="00ED4E03"/>
    <w:rsid w:val="00ED627E"/>
    <w:rsid w:val="00ED7710"/>
    <w:rsid w:val="00EE07AF"/>
    <w:rsid w:val="00EE1DF1"/>
    <w:rsid w:val="00EE2192"/>
    <w:rsid w:val="00EE2FD3"/>
    <w:rsid w:val="00EE3AD9"/>
    <w:rsid w:val="00EE5340"/>
    <w:rsid w:val="00EE539D"/>
    <w:rsid w:val="00EE54AC"/>
    <w:rsid w:val="00EE5B63"/>
    <w:rsid w:val="00EE5D4A"/>
    <w:rsid w:val="00EE5D4C"/>
    <w:rsid w:val="00EE6337"/>
    <w:rsid w:val="00EE6A2D"/>
    <w:rsid w:val="00EE6BC8"/>
    <w:rsid w:val="00EE6D53"/>
    <w:rsid w:val="00EE6E5C"/>
    <w:rsid w:val="00EE7AB3"/>
    <w:rsid w:val="00EF0460"/>
    <w:rsid w:val="00EF063A"/>
    <w:rsid w:val="00EF1708"/>
    <w:rsid w:val="00EF22E4"/>
    <w:rsid w:val="00EF233F"/>
    <w:rsid w:val="00EF2DF0"/>
    <w:rsid w:val="00EF3400"/>
    <w:rsid w:val="00EF35D6"/>
    <w:rsid w:val="00EF3CC3"/>
    <w:rsid w:val="00EF48EC"/>
    <w:rsid w:val="00EF5167"/>
    <w:rsid w:val="00EF70B7"/>
    <w:rsid w:val="00EF773D"/>
    <w:rsid w:val="00EF7A45"/>
    <w:rsid w:val="00F0040B"/>
    <w:rsid w:val="00F01CD3"/>
    <w:rsid w:val="00F02DA1"/>
    <w:rsid w:val="00F03713"/>
    <w:rsid w:val="00F03A35"/>
    <w:rsid w:val="00F043FB"/>
    <w:rsid w:val="00F046F6"/>
    <w:rsid w:val="00F047B3"/>
    <w:rsid w:val="00F04894"/>
    <w:rsid w:val="00F04A49"/>
    <w:rsid w:val="00F04C82"/>
    <w:rsid w:val="00F056F5"/>
    <w:rsid w:val="00F05A75"/>
    <w:rsid w:val="00F05D40"/>
    <w:rsid w:val="00F06119"/>
    <w:rsid w:val="00F06AC5"/>
    <w:rsid w:val="00F06E88"/>
    <w:rsid w:val="00F12ED3"/>
    <w:rsid w:val="00F13742"/>
    <w:rsid w:val="00F13873"/>
    <w:rsid w:val="00F15124"/>
    <w:rsid w:val="00F16BFC"/>
    <w:rsid w:val="00F17E34"/>
    <w:rsid w:val="00F204CD"/>
    <w:rsid w:val="00F210BD"/>
    <w:rsid w:val="00F21FC3"/>
    <w:rsid w:val="00F22B3D"/>
    <w:rsid w:val="00F230CD"/>
    <w:rsid w:val="00F23507"/>
    <w:rsid w:val="00F2384D"/>
    <w:rsid w:val="00F255E2"/>
    <w:rsid w:val="00F26E8B"/>
    <w:rsid w:val="00F273B5"/>
    <w:rsid w:val="00F300B7"/>
    <w:rsid w:val="00F31728"/>
    <w:rsid w:val="00F32E8F"/>
    <w:rsid w:val="00F33548"/>
    <w:rsid w:val="00F33E78"/>
    <w:rsid w:val="00F353C8"/>
    <w:rsid w:val="00F35F4C"/>
    <w:rsid w:val="00F37320"/>
    <w:rsid w:val="00F3772A"/>
    <w:rsid w:val="00F40767"/>
    <w:rsid w:val="00F40CF3"/>
    <w:rsid w:val="00F4115E"/>
    <w:rsid w:val="00F41764"/>
    <w:rsid w:val="00F43162"/>
    <w:rsid w:val="00F4479B"/>
    <w:rsid w:val="00F4540A"/>
    <w:rsid w:val="00F4573A"/>
    <w:rsid w:val="00F45ACF"/>
    <w:rsid w:val="00F45DAC"/>
    <w:rsid w:val="00F46621"/>
    <w:rsid w:val="00F47E4E"/>
    <w:rsid w:val="00F50427"/>
    <w:rsid w:val="00F51B88"/>
    <w:rsid w:val="00F51C18"/>
    <w:rsid w:val="00F51D8B"/>
    <w:rsid w:val="00F526C5"/>
    <w:rsid w:val="00F5285A"/>
    <w:rsid w:val="00F5683B"/>
    <w:rsid w:val="00F56BA0"/>
    <w:rsid w:val="00F57346"/>
    <w:rsid w:val="00F573BA"/>
    <w:rsid w:val="00F600D8"/>
    <w:rsid w:val="00F607C0"/>
    <w:rsid w:val="00F6099D"/>
    <w:rsid w:val="00F6149E"/>
    <w:rsid w:val="00F61512"/>
    <w:rsid w:val="00F6308C"/>
    <w:rsid w:val="00F63800"/>
    <w:rsid w:val="00F640C3"/>
    <w:rsid w:val="00F64187"/>
    <w:rsid w:val="00F64F42"/>
    <w:rsid w:val="00F65713"/>
    <w:rsid w:val="00F67794"/>
    <w:rsid w:val="00F710CB"/>
    <w:rsid w:val="00F7195F"/>
    <w:rsid w:val="00F71D57"/>
    <w:rsid w:val="00F720B7"/>
    <w:rsid w:val="00F72371"/>
    <w:rsid w:val="00F76068"/>
    <w:rsid w:val="00F76A3B"/>
    <w:rsid w:val="00F76AD7"/>
    <w:rsid w:val="00F76EC2"/>
    <w:rsid w:val="00F808CF"/>
    <w:rsid w:val="00F82920"/>
    <w:rsid w:val="00F841EB"/>
    <w:rsid w:val="00F84708"/>
    <w:rsid w:val="00F84B2F"/>
    <w:rsid w:val="00F854A0"/>
    <w:rsid w:val="00F866FC"/>
    <w:rsid w:val="00F86876"/>
    <w:rsid w:val="00F8702F"/>
    <w:rsid w:val="00F923DF"/>
    <w:rsid w:val="00F93D6A"/>
    <w:rsid w:val="00F93EDE"/>
    <w:rsid w:val="00F94531"/>
    <w:rsid w:val="00F95566"/>
    <w:rsid w:val="00F96F54"/>
    <w:rsid w:val="00F973D3"/>
    <w:rsid w:val="00F97730"/>
    <w:rsid w:val="00F97B61"/>
    <w:rsid w:val="00FA0CD9"/>
    <w:rsid w:val="00FA0FE0"/>
    <w:rsid w:val="00FA16DC"/>
    <w:rsid w:val="00FA1DC3"/>
    <w:rsid w:val="00FA2158"/>
    <w:rsid w:val="00FA31E2"/>
    <w:rsid w:val="00FA31E7"/>
    <w:rsid w:val="00FA384A"/>
    <w:rsid w:val="00FA4DD2"/>
    <w:rsid w:val="00FA5D97"/>
    <w:rsid w:val="00FA5F0F"/>
    <w:rsid w:val="00FB0342"/>
    <w:rsid w:val="00FB065A"/>
    <w:rsid w:val="00FB1408"/>
    <w:rsid w:val="00FB19E9"/>
    <w:rsid w:val="00FB1E25"/>
    <w:rsid w:val="00FB2021"/>
    <w:rsid w:val="00FB2B90"/>
    <w:rsid w:val="00FB2D9C"/>
    <w:rsid w:val="00FB3A43"/>
    <w:rsid w:val="00FB3E5C"/>
    <w:rsid w:val="00FB3F0D"/>
    <w:rsid w:val="00FB5803"/>
    <w:rsid w:val="00FB597D"/>
    <w:rsid w:val="00FB5F86"/>
    <w:rsid w:val="00FB64EC"/>
    <w:rsid w:val="00FB76A9"/>
    <w:rsid w:val="00FB797A"/>
    <w:rsid w:val="00FB7E3B"/>
    <w:rsid w:val="00FC0F8B"/>
    <w:rsid w:val="00FC2C27"/>
    <w:rsid w:val="00FC35E0"/>
    <w:rsid w:val="00FC3A8E"/>
    <w:rsid w:val="00FC3EFC"/>
    <w:rsid w:val="00FC4CBB"/>
    <w:rsid w:val="00FC5246"/>
    <w:rsid w:val="00FC6372"/>
    <w:rsid w:val="00FC66CF"/>
    <w:rsid w:val="00FC6EBB"/>
    <w:rsid w:val="00FD2016"/>
    <w:rsid w:val="00FD27C6"/>
    <w:rsid w:val="00FD2BB0"/>
    <w:rsid w:val="00FD35A1"/>
    <w:rsid w:val="00FD3980"/>
    <w:rsid w:val="00FD3D3D"/>
    <w:rsid w:val="00FD4245"/>
    <w:rsid w:val="00FD4AC3"/>
    <w:rsid w:val="00FD4CE7"/>
    <w:rsid w:val="00FD7618"/>
    <w:rsid w:val="00FE006A"/>
    <w:rsid w:val="00FE0E32"/>
    <w:rsid w:val="00FE35FD"/>
    <w:rsid w:val="00FE49C5"/>
    <w:rsid w:val="00FE5701"/>
    <w:rsid w:val="00FE5F15"/>
    <w:rsid w:val="00FE773E"/>
    <w:rsid w:val="00FF0612"/>
    <w:rsid w:val="00FF13B3"/>
    <w:rsid w:val="00FF15C7"/>
    <w:rsid w:val="00FF1A66"/>
    <w:rsid w:val="00FF1AB8"/>
    <w:rsid w:val="00FF36D0"/>
    <w:rsid w:val="00FF499D"/>
    <w:rsid w:val="00FF50AB"/>
    <w:rsid w:val="00FF53F0"/>
    <w:rsid w:val="00FF56E0"/>
    <w:rsid w:val="00FF5B70"/>
    <w:rsid w:val="00FF5BB9"/>
    <w:rsid w:val="00FF5D6F"/>
    <w:rsid w:val="00FF61BE"/>
    <w:rsid w:val="00FF6FBB"/>
    <w:rsid w:val="05631D3B"/>
    <w:rsid w:val="08A2AB83"/>
    <w:rsid w:val="101D0C67"/>
    <w:rsid w:val="11ED0214"/>
    <w:rsid w:val="1766FF0C"/>
    <w:rsid w:val="280DBD4C"/>
    <w:rsid w:val="2C525962"/>
    <w:rsid w:val="2F7AC0D4"/>
    <w:rsid w:val="32707CF0"/>
    <w:rsid w:val="3B92E40D"/>
    <w:rsid w:val="3C94243D"/>
    <w:rsid w:val="3FCD33F9"/>
    <w:rsid w:val="4546A50A"/>
    <w:rsid w:val="466A3078"/>
    <w:rsid w:val="49B54F74"/>
    <w:rsid w:val="5348147D"/>
    <w:rsid w:val="538C6340"/>
    <w:rsid w:val="54F840C7"/>
    <w:rsid w:val="572C035F"/>
    <w:rsid w:val="5EA63F93"/>
    <w:rsid w:val="5FDA8B7A"/>
    <w:rsid w:val="62238B42"/>
    <w:rsid w:val="644F12F6"/>
    <w:rsid w:val="6BA1ADE3"/>
    <w:rsid w:val="72DE1AD6"/>
    <w:rsid w:val="72EFD799"/>
    <w:rsid w:val="733B6217"/>
    <w:rsid w:val="75D8FD2A"/>
    <w:rsid w:val="78742C80"/>
    <w:rsid w:val="7E1A3C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219FD"/>
    <w:pPr>
      <w:keepNext/>
      <w:keepLines/>
      <w:spacing w:before="120" w:after="0"/>
      <w:outlineLvl w:val="0"/>
    </w:pPr>
    <w:rPr>
      <w:rFonts w:ascii="Calibri" w:eastAsiaTheme="majorEastAsia" w:hAnsi="Calibri" w:cstheme="majorBidi"/>
      <w:b/>
      <w:color w:val="BF5A50" w:themeColor="accent5"/>
      <w:sz w:val="32"/>
      <w:szCs w:val="32"/>
    </w:rPr>
  </w:style>
  <w:style w:type="paragraph" w:styleId="Heading2">
    <w:name w:val="heading 2"/>
    <w:basedOn w:val="Normal"/>
    <w:next w:val="Normal"/>
    <w:link w:val="Heading2Char"/>
    <w:uiPriority w:val="9"/>
    <w:unhideWhenUsed/>
    <w:qFormat/>
    <w:rsid w:val="003219FD"/>
    <w:pPr>
      <w:keepNext/>
      <w:keepLines/>
      <w:spacing w:before="120" w:after="0"/>
      <w:outlineLvl w:val="1"/>
    </w:pPr>
    <w:rPr>
      <w:rFonts w:ascii="Calibri" w:eastAsiaTheme="majorEastAsia" w:hAnsi="Calibri" w:cstheme="majorBidi"/>
      <w:b/>
      <w:color w:val="214050" w:themeColor="text2"/>
      <w:sz w:val="30"/>
      <w:szCs w:val="26"/>
    </w:rPr>
  </w:style>
  <w:style w:type="paragraph" w:styleId="Heading3">
    <w:name w:val="heading 3"/>
    <w:basedOn w:val="Normal"/>
    <w:next w:val="Normal"/>
    <w:link w:val="Heading3Char"/>
    <w:uiPriority w:val="9"/>
    <w:unhideWhenUsed/>
    <w:qFormat/>
    <w:rsid w:val="003219FD"/>
    <w:pPr>
      <w:keepNext/>
      <w:keepLines/>
      <w:spacing w:before="120" w:after="0"/>
      <w:outlineLvl w:val="2"/>
    </w:pPr>
    <w:rPr>
      <w:rFonts w:ascii="Calibri" w:eastAsiaTheme="majorEastAsia" w:hAnsi="Calibri" w:cstheme="majorBidi"/>
      <w:color w:val="214050" w:themeColor="text2"/>
      <w:sz w:val="28"/>
      <w:szCs w:val="24"/>
    </w:rPr>
  </w:style>
  <w:style w:type="paragraph" w:styleId="Heading4">
    <w:name w:val="heading 4"/>
    <w:basedOn w:val="Normal"/>
    <w:next w:val="Normal"/>
    <w:link w:val="Heading4Char"/>
    <w:uiPriority w:val="9"/>
    <w:unhideWhenUsed/>
    <w:qFormat/>
    <w:rsid w:val="003219FD"/>
    <w:pPr>
      <w:keepNext/>
      <w:keepLines/>
      <w:spacing w:before="120" w:after="0"/>
      <w:outlineLvl w:val="3"/>
    </w:pPr>
    <w:rPr>
      <w:rFonts w:ascii="Calibri" w:eastAsiaTheme="majorEastAsia" w:hAnsi="Calibri" w:cstheme="majorBidi"/>
      <w:iCs/>
      <w:color w:val="214050" w:themeColor="text2"/>
      <w:sz w:val="26"/>
    </w:rPr>
  </w:style>
  <w:style w:type="paragraph" w:styleId="Heading5">
    <w:name w:val="heading 5"/>
    <w:basedOn w:val="Normal"/>
    <w:next w:val="Normal"/>
    <w:link w:val="Heading5Char"/>
    <w:uiPriority w:val="9"/>
    <w:unhideWhenUsed/>
    <w:qFormat/>
    <w:rsid w:val="003219FD"/>
    <w:pPr>
      <w:keepNext/>
      <w:keepLines/>
      <w:spacing w:before="120" w:after="0"/>
      <w:outlineLvl w:val="4"/>
    </w:pPr>
    <w:rPr>
      <w:rFonts w:ascii="Calibri" w:eastAsiaTheme="majorEastAsia" w:hAnsi="Calibri" w:cstheme="majorBidi"/>
      <w:b/>
      <w:color w:val="214050" w:themeColor="text2"/>
    </w:rPr>
  </w:style>
  <w:style w:type="paragraph" w:styleId="Heading6">
    <w:name w:val="heading 6"/>
    <w:basedOn w:val="Normal"/>
    <w:next w:val="Normal"/>
    <w:link w:val="Heading6Char"/>
    <w:uiPriority w:val="9"/>
    <w:unhideWhenUsed/>
    <w:qFormat/>
    <w:rsid w:val="003219FD"/>
    <w:pPr>
      <w:keepNext/>
      <w:keepLines/>
      <w:spacing w:before="120" w:after="0"/>
      <w:outlineLvl w:val="5"/>
    </w:pPr>
    <w:rPr>
      <w:rFonts w:ascii="Calibri" w:eastAsiaTheme="majorEastAsia" w:hAnsi="Calibri" w:cstheme="majorBidi"/>
      <w:color w:val="214050" w:themeColor="accent2"/>
    </w:rPr>
  </w:style>
  <w:style w:type="paragraph" w:styleId="Heading7">
    <w:name w:val="heading 7"/>
    <w:basedOn w:val="Normal"/>
    <w:next w:val="Normal"/>
    <w:link w:val="Heading7Char"/>
    <w:uiPriority w:val="9"/>
    <w:semiHidden/>
    <w:unhideWhenUsed/>
    <w:qFormat/>
    <w:rsid w:val="00722766"/>
    <w:pPr>
      <w:keepNext/>
      <w:keepLines/>
      <w:spacing w:before="40" w:after="0"/>
      <w:outlineLvl w:val="6"/>
    </w:pPr>
    <w:rPr>
      <w:rFonts w:asciiTheme="majorHAnsi" w:eastAsiaTheme="majorEastAsia" w:hAnsiTheme="majorHAnsi" w:cstheme="majorBidi"/>
      <w:i/>
      <w:iCs/>
      <w:color w:val="76571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957B5E"/>
    <w:pPr>
      <w:spacing w:before="720" w:after="0"/>
      <w:ind w:left="1134"/>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957B5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219FD"/>
    <w:pPr>
      <w:numPr>
        <w:ilvl w:val="1"/>
      </w:numPr>
      <w:spacing w:after="0"/>
      <w:ind w:left="1134"/>
    </w:pPr>
    <w:rPr>
      <w:rFonts w:ascii="Calibri" w:eastAsiaTheme="minorEastAsia" w:hAnsi="Calibri"/>
      <w:color w:val="DFCEBC" w:themeColor="accent4"/>
      <w:spacing w:val="15"/>
      <w:sz w:val="40"/>
    </w:rPr>
  </w:style>
  <w:style w:type="character" w:customStyle="1" w:styleId="SubtitleChar">
    <w:name w:val="Subtitle Char"/>
    <w:basedOn w:val="DefaultParagraphFont"/>
    <w:link w:val="Subtitle"/>
    <w:uiPriority w:val="8"/>
    <w:rsid w:val="003219FD"/>
    <w:rPr>
      <w:rFonts w:ascii="Calibri" w:eastAsiaTheme="minorEastAsia" w:hAnsi="Calibri"/>
      <w:color w:val="DFCEBC" w:themeColor="accent4"/>
      <w:spacing w:val="15"/>
      <w:sz w:val="40"/>
    </w:rPr>
  </w:style>
  <w:style w:type="character" w:customStyle="1" w:styleId="Heading1Char">
    <w:name w:val="Heading 1 Char"/>
    <w:basedOn w:val="DefaultParagraphFont"/>
    <w:link w:val="Heading1"/>
    <w:uiPriority w:val="9"/>
    <w:rsid w:val="003219FD"/>
    <w:rPr>
      <w:rFonts w:ascii="Calibri" w:eastAsiaTheme="majorEastAsia" w:hAnsi="Calibri" w:cstheme="majorBidi"/>
      <w:b/>
      <w:color w:val="BF5A50" w:themeColor="accent5"/>
      <w:sz w:val="32"/>
      <w:szCs w:val="32"/>
    </w:rPr>
  </w:style>
  <w:style w:type="character" w:customStyle="1" w:styleId="Heading2Char">
    <w:name w:val="Heading 2 Char"/>
    <w:basedOn w:val="DefaultParagraphFont"/>
    <w:link w:val="Heading2"/>
    <w:uiPriority w:val="9"/>
    <w:rsid w:val="003219FD"/>
    <w:rPr>
      <w:rFonts w:ascii="Calibri" w:eastAsiaTheme="majorEastAsia" w:hAnsi="Calibri" w:cstheme="majorBidi"/>
      <w:b/>
      <w:color w:val="214050" w:themeColor="text2"/>
      <w:sz w:val="30"/>
      <w:szCs w:val="26"/>
    </w:rPr>
  </w:style>
  <w:style w:type="character" w:customStyle="1" w:styleId="Heading3Char">
    <w:name w:val="Heading 3 Char"/>
    <w:basedOn w:val="DefaultParagraphFont"/>
    <w:link w:val="Heading3"/>
    <w:uiPriority w:val="9"/>
    <w:rsid w:val="003219FD"/>
    <w:rPr>
      <w:rFonts w:ascii="Calibri" w:eastAsiaTheme="majorEastAsia" w:hAnsi="Calibri" w:cstheme="majorBidi"/>
      <w:color w:val="214050" w:themeColor="text2"/>
      <w:sz w:val="28"/>
      <w:szCs w:val="24"/>
    </w:rPr>
  </w:style>
  <w:style w:type="character" w:customStyle="1" w:styleId="Heading4Char">
    <w:name w:val="Heading 4 Char"/>
    <w:basedOn w:val="DefaultParagraphFont"/>
    <w:link w:val="Heading4"/>
    <w:uiPriority w:val="9"/>
    <w:rsid w:val="003219FD"/>
    <w:rPr>
      <w:rFonts w:ascii="Calibri" w:eastAsiaTheme="majorEastAsia" w:hAnsi="Calibri" w:cstheme="majorBidi"/>
      <w:iCs/>
      <w:color w:val="214050" w:themeColor="text2"/>
      <w:sz w:val="26"/>
    </w:rPr>
  </w:style>
  <w:style w:type="character" w:customStyle="1" w:styleId="Heading5Char">
    <w:name w:val="Heading 5 Char"/>
    <w:basedOn w:val="DefaultParagraphFont"/>
    <w:link w:val="Heading5"/>
    <w:uiPriority w:val="9"/>
    <w:rsid w:val="003219FD"/>
    <w:rPr>
      <w:rFonts w:ascii="Calibri" w:eastAsiaTheme="majorEastAsia" w:hAnsi="Calibri" w:cstheme="majorBidi"/>
      <w:b/>
      <w:color w:val="214050" w:themeColor="text2"/>
    </w:rPr>
  </w:style>
  <w:style w:type="character" w:customStyle="1" w:styleId="Heading6Char">
    <w:name w:val="Heading 6 Char"/>
    <w:basedOn w:val="DefaultParagraphFont"/>
    <w:link w:val="Heading6"/>
    <w:uiPriority w:val="9"/>
    <w:rsid w:val="003219FD"/>
    <w:rPr>
      <w:rFonts w:ascii="Calibri" w:eastAsiaTheme="majorEastAsia" w:hAnsi="Calibri" w:cstheme="majorBidi"/>
      <w:color w:val="214050" w:themeColor="accent2"/>
    </w:rPr>
  </w:style>
  <w:style w:type="character" w:styleId="Hyperlink">
    <w:name w:val="Hyperlink"/>
    <w:basedOn w:val="DefaultParagraphFont"/>
    <w:uiPriority w:val="99"/>
    <w:unhideWhenUsed/>
    <w:qFormat/>
    <w:rsid w:val="007C4C0D"/>
    <w:rPr>
      <w:color w:val="214050" w:themeColor="accen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722766"/>
    <w:pPr>
      <w:keepNext/>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SWA List Paragraph,Indent,1 heading,Bullet point,Bulletr List Paragraph,FooterText,L,List Paragraph1,List Paragraph11,List Paragraph2,List Paragraph21,Listeafsnit1,NFP GP Bulleted List,Paragraphe de liste1,Parágrafo da Lista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722766"/>
    <w:pPr>
      <w:numPr>
        <w:numId w:val="1"/>
      </w:numPr>
      <w:spacing w:line="276" w:lineRule="auto"/>
    </w:pPr>
  </w:style>
  <w:style w:type="paragraph" w:styleId="ListBullet">
    <w:name w:val="List Bullet"/>
    <w:basedOn w:val="ListParagraph"/>
    <w:link w:val="ListBulletChar"/>
    <w:uiPriority w:val="99"/>
    <w:unhideWhenUsed/>
    <w:qFormat/>
    <w:rsid w:val="00950F6B"/>
    <w:pPr>
      <w:numPr>
        <w:numId w:val="2"/>
      </w:numPr>
      <w:spacing w:line="276" w:lineRule="auto"/>
      <w:mirrorIndents/>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84110C"/>
    <w:pPr>
      <w:tabs>
        <w:tab w:val="right" w:pos="9060"/>
      </w:tabs>
      <w:spacing w:after="100"/>
    </w:pPr>
    <w:rPr>
      <w:b/>
    </w:rPr>
  </w:style>
  <w:style w:type="paragraph" w:styleId="TOC2">
    <w:name w:val="toc 2"/>
    <w:basedOn w:val="Normal"/>
    <w:next w:val="Normal"/>
    <w:autoRedefine/>
    <w:uiPriority w:val="39"/>
    <w:unhideWhenUsed/>
    <w:rsid w:val="00511A11"/>
    <w:pPr>
      <w:tabs>
        <w:tab w:val="right" w:pos="9060"/>
      </w:tabs>
      <w:spacing w:after="100"/>
      <w:ind w:left="220"/>
    </w:pPr>
  </w:style>
  <w:style w:type="paragraph" w:styleId="TOC3">
    <w:name w:val="toc 3"/>
    <w:basedOn w:val="Normal"/>
    <w:next w:val="Normal"/>
    <w:autoRedefine/>
    <w:uiPriority w:val="39"/>
    <w:unhideWhenUsed/>
    <w:rsid w:val="00607F90"/>
    <w:pPr>
      <w:tabs>
        <w:tab w:val="righ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D29679" w:themeColor="followedHyperlink"/>
      <w:u w:val="single"/>
    </w:rPr>
  </w:style>
  <w:style w:type="character" w:customStyle="1" w:styleId="Heading7Char">
    <w:name w:val="Heading 7 Char"/>
    <w:basedOn w:val="DefaultParagraphFont"/>
    <w:link w:val="Heading7"/>
    <w:uiPriority w:val="9"/>
    <w:semiHidden/>
    <w:rsid w:val="00722766"/>
    <w:rPr>
      <w:rFonts w:asciiTheme="majorHAnsi" w:eastAsiaTheme="majorEastAsia" w:hAnsiTheme="majorHAnsi" w:cstheme="majorBidi"/>
      <w:i/>
      <w:iCs/>
      <w:color w:val="765714" w:themeColor="accent1" w:themeShade="7F"/>
    </w:rPr>
  </w:style>
  <w:style w:type="numbering" w:customStyle="1" w:styleId="BulletStyleGreen">
    <w:name w:val="Bullet Style Green"/>
    <w:basedOn w:val="NoList"/>
    <w:uiPriority w:val="99"/>
    <w:rsid w:val="00BC69CE"/>
    <w:pPr>
      <w:numPr>
        <w:numId w:val="5"/>
      </w:numPr>
    </w:pPr>
  </w:style>
  <w:style w:type="numbering" w:customStyle="1" w:styleId="BLUEBullet">
    <w:name w:val="BLUE Bullet"/>
    <w:basedOn w:val="NoList"/>
    <w:uiPriority w:val="99"/>
    <w:rsid w:val="008E516A"/>
    <w:pPr>
      <w:numPr>
        <w:numId w:val="6"/>
      </w:numPr>
    </w:pPr>
  </w:style>
  <w:style w:type="paragraph" w:customStyle="1" w:styleId="PINKBullet">
    <w:name w:val="PINK Bullet"/>
    <w:basedOn w:val="ListBullet"/>
    <w:link w:val="PINKBulletChar"/>
    <w:qFormat/>
    <w:rsid w:val="00C95828"/>
    <w:pPr>
      <w:numPr>
        <w:numId w:val="8"/>
      </w:numPr>
      <w:spacing w:after="0"/>
    </w:pPr>
  </w:style>
  <w:style w:type="numbering" w:customStyle="1" w:styleId="BulletPINK">
    <w:name w:val="Bullet PINK"/>
    <w:basedOn w:val="NoList"/>
    <w:uiPriority w:val="99"/>
    <w:rsid w:val="00C8743B"/>
    <w:pPr>
      <w:numPr>
        <w:numId w:val="7"/>
      </w:numPr>
    </w:pPr>
  </w:style>
  <w:style w:type="paragraph" w:customStyle="1" w:styleId="PURPLEBullet">
    <w:name w:val="PURPLE Bullet"/>
    <w:basedOn w:val="ListBullet"/>
    <w:link w:val="PURPLEBulletChar"/>
    <w:qFormat/>
    <w:rsid w:val="00587342"/>
    <w:pPr>
      <w:numPr>
        <w:numId w:val="17"/>
      </w:numPr>
      <w:spacing w:after="0"/>
    </w:pPr>
  </w:style>
  <w:style w:type="character" w:customStyle="1" w:styleId="ListParagraphChar">
    <w:name w:val="List Paragraph Char"/>
    <w:aliases w:val="SWA List Paragraph Char,Indent Char,1 heading Char,Bullet point Char,Bulletr List Paragraph Char,FooterText Char,L Char,List Paragraph1 Char,List Paragraph11 Char,List Paragraph2 Char,List Paragraph21 Char,Listeafsnit1 Char"/>
    <w:basedOn w:val="DefaultParagraphFont"/>
    <w:link w:val="ListParagraph"/>
    <w:uiPriority w:val="34"/>
    <w:qFormat/>
    <w:rsid w:val="00C95828"/>
  </w:style>
  <w:style w:type="character" w:customStyle="1" w:styleId="ListBulletChar">
    <w:name w:val="List Bullet Char"/>
    <w:basedOn w:val="ListParagraphChar"/>
    <w:link w:val="ListBullet"/>
    <w:uiPriority w:val="99"/>
    <w:rsid w:val="00950F6B"/>
  </w:style>
  <w:style w:type="character" w:customStyle="1" w:styleId="PINKBulletChar">
    <w:name w:val="PINK Bullet Char"/>
    <w:basedOn w:val="ListBulletChar"/>
    <w:link w:val="PINKBullet"/>
    <w:rsid w:val="00C95828"/>
  </w:style>
  <w:style w:type="paragraph" w:customStyle="1" w:styleId="BLUE-Bullet">
    <w:name w:val="BLUE-Bullet"/>
    <w:basedOn w:val="ListBullet"/>
    <w:link w:val="BLUE-BulletChar"/>
    <w:qFormat/>
    <w:rsid w:val="007C4C0D"/>
    <w:pPr>
      <w:numPr>
        <w:numId w:val="12"/>
      </w:numPr>
      <w:spacing w:after="0"/>
    </w:pPr>
  </w:style>
  <w:style w:type="character" w:customStyle="1" w:styleId="PURPLEBulletChar">
    <w:name w:val="PURPLE Bullet Char"/>
    <w:basedOn w:val="ListBulletChar"/>
    <w:link w:val="PURPLEBullet"/>
    <w:rsid w:val="00587342"/>
  </w:style>
  <w:style w:type="paragraph" w:customStyle="1" w:styleId="GREENBullet">
    <w:name w:val="GREEN Bullet"/>
    <w:basedOn w:val="ListBullet"/>
    <w:link w:val="GREENBulletChar"/>
    <w:qFormat/>
    <w:rsid w:val="00C95828"/>
    <w:pPr>
      <w:numPr>
        <w:numId w:val="14"/>
      </w:numPr>
      <w:spacing w:after="0"/>
      <w:ind w:left="357" w:hanging="357"/>
    </w:pPr>
  </w:style>
  <w:style w:type="character" w:customStyle="1" w:styleId="BLUE-BulletChar">
    <w:name w:val="BLUE-Bullet Char"/>
    <w:basedOn w:val="ListBulletChar"/>
    <w:link w:val="BLUE-Bullet"/>
    <w:rsid w:val="007C4C0D"/>
  </w:style>
  <w:style w:type="table" w:customStyle="1" w:styleId="JobsTable">
    <w:name w:val="Jobs Table"/>
    <w:basedOn w:val="TableNormal"/>
    <w:uiPriority w:val="99"/>
    <w:rsid w:val="00262E01"/>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FFFFFF" w:themeColor="background2"/>
        <w:sz w:val="22"/>
      </w:rPr>
      <w:tblPr/>
      <w:tcPr>
        <w:shd w:val="clear" w:color="auto" w:fill="287BB3"/>
      </w:tcPr>
    </w:tblStylePr>
    <w:tblStylePr w:type="firstCol">
      <w:rPr>
        <w:b/>
      </w:rPr>
    </w:tblStylePr>
  </w:style>
  <w:style w:type="table" w:customStyle="1" w:styleId="DataTable1">
    <w:name w:val="Data Table 1"/>
    <w:basedOn w:val="TableNormal"/>
    <w:uiPriority w:val="99"/>
    <w:rsid w:val="00481E0C"/>
    <w:pPr>
      <w:spacing w:after="0" w:line="240" w:lineRule="auto"/>
    </w:pPr>
    <w:tblPr>
      <w:tblBorders>
        <w:insideH w:val="single" w:sz="4" w:space="0" w:color="auto"/>
      </w:tblBorders>
    </w:tblPr>
    <w:tcPr>
      <w:vAlign w:val="center"/>
    </w:tcPr>
    <w:tblStylePr w:type="firstRow">
      <w:pPr>
        <w:jc w:val="left"/>
      </w:pPr>
      <w:rPr>
        <w:rFonts w:asciiTheme="minorHAnsi" w:hAnsiTheme="minorHAnsi"/>
        <w:b/>
        <w:color w:val="FFFFFF" w:themeColor="background1"/>
      </w:rPr>
      <w:tblPr/>
      <w:tcPr>
        <w:shd w:val="clear" w:color="auto" w:fill="214050" w:themeFill="text2"/>
        <w:vAlign w:val="center"/>
      </w:tcPr>
    </w:tblStylePr>
    <w:tblStylePr w:type="lastRow">
      <w:rPr>
        <w:rFonts w:asciiTheme="minorHAnsi" w:hAnsiTheme="minorHAnsi"/>
        <w:b/>
      </w:rPr>
    </w:tblStylePr>
  </w:style>
  <w:style w:type="paragraph" w:customStyle="1" w:styleId="TableColumnHeader">
    <w:name w:val="Table Column Header"/>
    <w:basedOn w:val="Normal"/>
    <w:link w:val="TableColumnHeaderChar"/>
    <w:rsid w:val="00262E01"/>
    <w:pPr>
      <w:spacing w:after="100" w:afterAutospacing="1"/>
    </w:pPr>
    <w:rPr>
      <w:rFonts w:ascii="Calibri" w:eastAsiaTheme="minorEastAsia" w:hAnsi="Calibri"/>
      <w:b/>
      <w:bCs/>
      <w:color w:val="FFFFFF" w:themeColor="background1"/>
      <w:sz w:val="20"/>
      <w:szCs w:val="20"/>
    </w:rPr>
  </w:style>
  <w:style w:type="paragraph" w:customStyle="1" w:styleId="TableRowHeader">
    <w:name w:val="Table Row Header"/>
    <w:basedOn w:val="Normal"/>
    <w:link w:val="TableRowHeaderChar"/>
    <w:rsid w:val="00265D96"/>
    <w:pPr>
      <w:spacing w:after="0"/>
    </w:pPr>
    <w:rPr>
      <w:rFonts w:eastAsiaTheme="minorEastAsia"/>
      <w:b/>
      <w:sz w:val="20"/>
      <w:szCs w:val="20"/>
    </w:rPr>
  </w:style>
  <w:style w:type="character" w:customStyle="1" w:styleId="TableColumnHeaderChar">
    <w:name w:val="Table Column Header Char"/>
    <w:basedOn w:val="DefaultParagraphFont"/>
    <w:link w:val="TableColumnHeader"/>
    <w:rsid w:val="00262E01"/>
    <w:rPr>
      <w:rFonts w:ascii="Calibri" w:eastAsiaTheme="minorEastAsia" w:hAnsi="Calibri"/>
      <w:b/>
      <w:bCs/>
      <w:color w:val="FFFFFF" w:themeColor="background1"/>
      <w:sz w:val="20"/>
      <w:szCs w:val="20"/>
    </w:rPr>
  </w:style>
  <w:style w:type="paragraph" w:customStyle="1" w:styleId="TableRowData">
    <w:name w:val="Table Row Data"/>
    <w:basedOn w:val="Normal"/>
    <w:link w:val="TableRowDataChar"/>
    <w:rsid w:val="00265D96"/>
    <w:pPr>
      <w:spacing w:after="0"/>
    </w:pPr>
    <w:rPr>
      <w:rFonts w:eastAsiaTheme="minorEastAsia"/>
      <w:sz w:val="20"/>
      <w:szCs w:val="20"/>
    </w:rPr>
  </w:style>
  <w:style w:type="character" w:customStyle="1" w:styleId="TableRowHeaderChar">
    <w:name w:val="Table Row Header Char"/>
    <w:basedOn w:val="DefaultParagraphFont"/>
    <w:link w:val="TableRowHeader"/>
    <w:rsid w:val="00265D96"/>
    <w:rPr>
      <w:rFonts w:eastAsiaTheme="minorEastAsia"/>
      <w:b/>
      <w:sz w:val="20"/>
      <w:szCs w:val="20"/>
    </w:rPr>
  </w:style>
  <w:style w:type="paragraph" w:customStyle="1" w:styleId="TableTotals">
    <w:name w:val="Table Totals"/>
    <w:basedOn w:val="Normal"/>
    <w:link w:val="TableTotalsChar"/>
    <w:rsid w:val="00265D96"/>
    <w:pPr>
      <w:spacing w:after="0"/>
    </w:pPr>
    <w:rPr>
      <w:rFonts w:eastAsiaTheme="minorEastAsia"/>
      <w:b/>
      <w:sz w:val="20"/>
      <w:szCs w:val="20"/>
    </w:rPr>
  </w:style>
  <w:style w:type="character" w:customStyle="1" w:styleId="TableRowDataChar">
    <w:name w:val="Table Row Data Char"/>
    <w:basedOn w:val="DefaultParagraphFont"/>
    <w:link w:val="TableRowData"/>
    <w:rsid w:val="00265D96"/>
    <w:rPr>
      <w:rFonts w:eastAsiaTheme="minorEastAsia"/>
      <w:sz w:val="20"/>
      <w:szCs w:val="20"/>
    </w:rPr>
  </w:style>
  <w:style w:type="character" w:customStyle="1" w:styleId="TableTotalsChar">
    <w:name w:val="Table Totals Char"/>
    <w:basedOn w:val="DefaultParagraphFont"/>
    <w:link w:val="TableTotals"/>
    <w:rsid w:val="00265D96"/>
    <w:rPr>
      <w:rFonts w:eastAsiaTheme="minorEastAsia"/>
      <w:b/>
      <w:sz w:val="20"/>
      <w:szCs w:val="20"/>
    </w:rPr>
  </w:style>
  <w:style w:type="numbering" w:customStyle="1" w:styleId="BulletPURPLE">
    <w:name w:val="Bullet PURPLE"/>
    <w:basedOn w:val="BulletPINK"/>
    <w:uiPriority w:val="99"/>
    <w:rsid w:val="00C8743B"/>
    <w:pPr>
      <w:numPr>
        <w:numId w:val="9"/>
      </w:numPr>
    </w:pPr>
  </w:style>
  <w:style w:type="numbering" w:customStyle="1" w:styleId="Bullet-BLUE">
    <w:name w:val="Bullet-BLUE"/>
    <w:basedOn w:val="BulletPURPLE"/>
    <w:uiPriority w:val="99"/>
    <w:rsid w:val="00C8743B"/>
    <w:pPr>
      <w:numPr>
        <w:numId w:val="11"/>
      </w:numPr>
    </w:pPr>
  </w:style>
  <w:style w:type="numbering" w:customStyle="1" w:styleId="BulletGREEN">
    <w:name w:val="Bullet GREEN"/>
    <w:basedOn w:val="Bullet-BLUE"/>
    <w:uiPriority w:val="99"/>
    <w:rsid w:val="00C8743B"/>
    <w:pPr>
      <w:numPr>
        <w:numId w:val="13"/>
      </w:numPr>
    </w:pPr>
  </w:style>
  <w:style w:type="character" w:customStyle="1" w:styleId="GREENBulletChar">
    <w:name w:val="GREEN Bullet Char"/>
    <w:basedOn w:val="ListBulletChar"/>
    <w:link w:val="GREENBullet"/>
    <w:rsid w:val="00C95828"/>
  </w:style>
  <w:style w:type="paragraph" w:styleId="FootnoteText">
    <w:name w:val="footnote text"/>
    <w:basedOn w:val="Normal"/>
    <w:link w:val="FootnoteTextChar"/>
    <w:uiPriority w:val="99"/>
    <w:unhideWhenUsed/>
    <w:rsid w:val="00F640C3"/>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F640C3"/>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unhideWhenUsed/>
    <w:rsid w:val="00F640C3"/>
    <w:rPr>
      <w:vertAlign w:val="superscript"/>
    </w:rPr>
  </w:style>
  <w:style w:type="character" w:customStyle="1" w:styleId="Indent1Char">
    <w:name w:val="*Indent1 Char"/>
    <w:aliases w:val="i1 Char"/>
    <w:basedOn w:val="DefaultParagraphFont"/>
    <w:link w:val="Indent1"/>
    <w:uiPriority w:val="3"/>
    <w:locked/>
    <w:rsid w:val="00623168"/>
    <w:rPr>
      <w:rFonts w:ascii="Arial" w:eastAsia="Times New Roman" w:hAnsi="Arial" w:cs="Times New Roman"/>
      <w:sz w:val="20"/>
      <w:szCs w:val="24"/>
      <w:lang w:eastAsia="zh-CN"/>
    </w:rPr>
  </w:style>
  <w:style w:type="paragraph" w:customStyle="1" w:styleId="Indent1">
    <w:name w:val="*Indent1"/>
    <w:aliases w:val="i1"/>
    <w:basedOn w:val="Normal"/>
    <w:link w:val="Indent1Char"/>
    <w:uiPriority w:val="3"/>
    <w:qFormat/>
    <w:rsid w:val="00623168"/>
    <w:pPr>
      <w:spacing w:after="240" w:line="240" w:lineRule="auto"/>
      <w:ind w:left="720"/>
      <w:jc w:val="both"/>
    </w:pPr>
    <w:rPr>
      <w:rFonts w:ascii="Arial" w:eastAsia="Times New Roman" w:hAnsi="Arial" w:cs="Times New Roman"/>
      <w:sz w:val="20"/>
      <w:szCs w:val="24"/>
      <w:lang w:eastAsia="zh-CN"/>
    </w:rPr>
  </w:style>
  <w:style w:type="character" w:styleId="CommentReference">
    <w:name w:val="annotation reference"/>
    <w:basedOn w:val="DefaultParagraphFont"/>
    <w:uiPriority w:val="99"/>
    <w:semiHidden/>
    <w:unhideWhenUsed/>
    <w:rsid w:val="00F84B2F"/>
    <w:rPr>
      <w:sz w:val="16"/>
      <w:szCs w:val="16"/>
    </w:rPr>
  </w:style>
  <w:style w:type="paragraph" w:styleId="CommentText">
    <w:name w:val="annotation text"/>
    <w:basedOn w:val="Normal"/>
    <w:link w:val="CommentTextChar"/>
    <w:uiPriority w:val="99"/>
    <w:unhideWhenUsed/>
    <w:rsid w:val="00F84B2F"/>
    <w:pPr>
      <w:spacing w:line="240" w:lineRule="auto"/>
    </w:pPr>
    <w:rPr>
      <w:sz w:val="20"/>
      <w:szCs w:val="20"/>
    </w:rPr>
  </w:style>
  <w:style w:type="character" w:customStyle="1" w:styleId="CommentTextChar">
    <w:name w:val="Comment Text Char"/>
    <w:basedOn w:val="DefaultParagraphFont"/>
    <w:link w:val="CommentText"/>
    <w:uiPriority w:val="99"/>
    <w:rsid w:val="00F84B2F"/>
    <w:rPr>
      <w:sz w:val="20"/>
      <w:szCs w:val="20"/>
    </w:rPr>
  </w:style>
  <w:style w:type="paragraph" w:styleId="CommentSubject">
    <w:name w:val="annotation subject"/>
    <w:basedOn w:val="CommentText"/>
    <w:next w:val="CommentText"/>
    <w:link w:val="CommentSubjectChar"/>
    <w:uiPriority w:val="99"/>
    <w:semiHidden/>
    <w:unhideWhenUsed/>
    <w:rsid w:val="00F84B2F"/>
    <w:rPr>
      <w:b/>
      <w:bCs/>
    </w:rPr>
  </w:style>
  <w:style w:type="character" w:customStyle="1" w:styleId="CommentSubjectChar">
    <w:name w:val="Comment Subject Char"/>
    <w:basedOn w:val="CommentTextChar"/>
    <w:link w:val="CommentSubject"/>
    <w:uiPriority w:val="99"/>
    <w:semiHidden/>
    <w:rsid w:val="00F84B2F"/>
    <w:rPr>
      <w:b/>
      <w:bCs/>
      <w:sz w:val="20"/>
      <w:szCs w:val="20"/>
    </w:rPr>
  </w:style>
  <w:style w:type="paragraph" w:styleId="NormalWeb">
    <w:name w:val="Normal (Web)"/>
    <w:basedOn w:val="Normal"/>
    <w:uiPriority w:val="99"/>
    <w:unhideWhenUsed/>
    <w:rsid w:val="00D620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RCodeSectionHeading">
    <w:name w:val="LRCode_SectionHeading"/>
    <w:basedOn w:val="ListParagraph"/>
    <w:qFormat/>
    <w:rsid w:val="00D62034"/>
    <w:pPr>
      <w:numPr>
        <w:numId w:val="16"/>
      </w:numPr>
      <w:spacing w:after="0" w:line="259" w:lineRule="auto"/>
      <w:contextualSpacing w:val="0"/>
      <w:jc w:val="both"/>
    </w:pPr>
    <w:rPr>
      <w:rFonts w:ascii="Arial" w:eastAsia="Batang" w:hAnsi="Arial" w:cs="Arial"/>
      <w:b/>
      <w:sz w:val="24"/>
    </w:rPr>
  </w:style>
  <w:style w:type="paragraph" w:customStyle="1" w:styleId="LRCode-ordinary">
    <w:name w:val="LRCode-ordinary"/>
    <w:basedOn w:val="ListParagraph"/>
    <w:qFormat/>
    <w:rsid w:val="00D62034"/>
    <w:pPr>
      <w:numPr>
        <w:ilvl w:val="1"/>
        <w:numId w:val="16"/>
      </w:numPr>
      <w:spacing w:after="120" w:line="259" w:lineRule="auto"/>
      <w:contextualSpacing w:val="0"/>
      <w:jc w:val="both"/>
    </w:pPr>
    <w:rPr>
      <w:rFonts w:ascii="Calibri" w:eastAsia="Batang" w:hAnsi="Calibri" w:cs="Arial"/>
      <w:sz w:val="24"/>
    </w:rPr>
  </w:style>
  <w:style w:type="paragraph" w:styleId="Revision">
    <w:name w:val="Revision"/>
    <w:hidden/>
    <w:uiPriority w:val="99"/>
    <w:semiHidden/>
    <w:rsid w:val="001553E0"/>
    <w:pPr>
      <w:spacing w:after="0" w:line="240" w:lineRule="auto"/>
    </w:pPr>
  </w:style>
  <w:style w:type="paragraph" w:customStyle="1" w:styleId="paragraph">
    <w:name w:val="paragraph"/>
    <w:basedOn w:val="Normal"/>
    <w:rsid w:val="001470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47013"/>
  </w:style>
  <w:style w:type="character" w:customStyle="1" w:styleId="eop">
    <w:name w:val="eop"/>
    <w:basedOn w:val="DefaultParagraphFont"/>
    <w:rsid w:val="00147013"/>
  </w:style>
  <w:style w:type="character" w:styleId="Mention">
    <w:name w:val="Mention"/>
    <w:basedOn w:val="DefaultParagraphFont"/>
    <w:uiPriority w:val="99"/>
    <w:unhideWhenUsed/>
    <w:rsid w:val="00264478"/>
    <w:rPr>
      <w:color w:val="2B579A"/>
      <w:shd w:val="clear" w:color="auto" w:fill="E1DFDD"/>
    </w:rPr>
  </w:style>
  <w:style w:type="character" w:customStyle="1" w:styleId="apple-converted-space">
    <w:name w:val="apple-converted-space"/>
    <w:basedOn w:val="DefaultParagraphFont"/>
    <w:rsid w:val="00EF773D"/>
  </w:style>
  <w:style w:type="character" w:styleId="UnresolvedMention">
    <w:name w:val="Unresolved Mention"/>
    <w:basedOn w:val="DefaultParagraphFont"/>
    <w:uiPriority w:val="99"/>
    <w:semiHidden/>
    <w:unhideWhenUsed/>
    <w:rsid w:val="00650848"/>
    <w:rPr>
      <w:color w:val="605E5C"/>
      <w:shd w:val="clear" w:color="auto" w:fill="E1DFDD"/>
    </w:rPr>
  </w:style>
  <w:style w:type="paragraph" w:customStyle="1" w:styleId="SWA-NORMAL">
    <w:name w:val="SWA - NORMAL"/>
    <w:basedOn w:val="Normal"/>
    <w:rsid w:val="003E2EEC"/>
    <w:pPr>
      <w:spacing w:after="160" w:line="252" w:lineRule="auto"/>
    </w:pPr>
    <w:rPr>
      <w:rFonts w:ascii="Calibri" w:hAnsi="Calibri" w:cs="Calibri"/>
    </w:rPr>
  </w:style>
  <w:style w:type="table" w:styleId="PlainTable1">
    <w:name w:val="Plain Table 1"/>
    <w:basedOn w:val="TableNormal"/>
    <w:uiPriority w:val="41"/>
    <w:rsid w:val="00EF7A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2766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66BC"/>
    <w:rPr>
      <w:sz w:val="20"/>
      <w:szCs w:val="20"/>
    </w:rPr>
  </w:style>
  <w:style w:type="character" w:styleId="EndnoteReference">
    <w:name w:val="endnote reference"/>
    <w:basedOn w:val="DefaultParagraphFont"/>
    <w:uiPriority w:val="99"/>
    <w:semiHidden/>
    <w:unhideWhenUsed/>
    <w:rsid w:val="002766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4408">
      <w:bodyDiv w:val="1"/>
      <w:marLeft w:val="0"/>
      <w:marRight w:val="0"/>
      <w:marTop w:val="0"/>
      <w:marBottom w:val="0"/>
      <w:divBdr>
        <w:top w:val="none" w:sz="0" w:space="0" w:color="auto"/>
        <w:left w:val="none" w:sz="0" w:space="0" w:color="auto"/>
        <w:bottom w:val="none" w:sz="0" w:space="0" w:color="auto"/>
        <w:right w:val="none" w:sz="0" w:space="0" w:color="auto"/>
      </w:divBdr>
    </w:div>
    <w:div w:id="326055522">
      <w:bodyDiv w:val="1"/>
      <w:marLeft w:val="0"/>
      <w:marRight w:val="0"/>
      <w:marTop w:val="0"/>
      <w:marBottom w:val="0"/>
      <w:divBdr>
        <w:top w:val="none" w:sz="0" w:space="0" w:color="auto"/>
        <w:left w:val="none" w:sz="0" w:space="0" w:color="auto"/>
        <w:bottom w:val="none" w:sz="0" w:space="0" w:color="auto"/>
        <w:right w:val="none" w:sz="0" w:space="0" w:color="auto"/>
      </w:divBdr>
    </w:div>
    <w:div w:id="347103585">
      <w:bodyDiv w:val="1"/>
      <w:marLeft w:val="0"/>
      <w:marRight w:val="0"/>
      <w:marTop w:val="0"/>
      <w:marBottom w:val="0"/>
      <w:divBdr>
        <w:top w:val="none" w:sz="0" w:space="0" w:color="auto"/>
        <w:left w:val="none" w:sz="0" w:space="0" w:color="auto"/>
        <w:bottom w:val="none" w:sz="0" w:space="0" w:color="auto"/>
        <w:right w:val="none" w:sz="0" w:space="0" w:color="auto"/>
      </w:divBdr>
    </w:div>
    <w:div w:id="616525980">
      <w:bodyDiv w:val="1"/>
      <w:marLeft w:val="0"/>
      <w:marRight w:val="0"/>
      <w:marTop w:val="0"/>
      <w:marBottom w:val="0"/>
      <w:divBdr>
        <w:top w:val="none" w:sz="0" w:space="0" w:color="auto"/>
        <w:left w:val="none" w:sz="0" w:space="0" w:color="auto"/>
        <w:bottom w:val="none" w:sz="0" w:space="0" w:color="auto"/>
        <w:right w:val="none" w:sz="0" w:space="0" w:color="auto"/>
      </w:divBdr>
    </w:div>
    <w:div w:id="688868309">
      <w:bodyDiv w:val="1"/>
      <w:marLeft w:val="0"/>
      <w:marRight w:val="0"/>
      <w:marTop w:val="0"/>
      <w:marBottom w:val="0"/>
      <w:divBdr>
        <w:top w:val="none" w:sz="0" w:space="0" w:color="auto"/>
        <w:left w:val="none" w:sz="0" w:space="0" w:color="auto"/>
        <w:bottom w:val="none" w:sz="0" w:space="0" w:color="auto"/>
        <w:right w:val="none" w:sz="0" w:space="0" w:color="auto"/>
      </w:divBdr>
    </w:div>
    <w:div w:id="767390164">
      <w:bodyDiv w:val="1"/>
      <w:marLeft w:val="0"/>
      <w:marRight w:val="0"/>
      <w:marTop w:val="0"/>
      <w:marBottom w:val="0"/>
      <w:divBdr>
        <w:top w:val="none" w:sz="0" w:space="0" w:color="auto"/>
        <w:left w:val="none" w:sz="0" w:space="0" w:color="auto"/>
        <w:bottom w:val="none" w:sz="0" w:space="0" w:color="auto"/>
        <w:right w:val="none" w:sz="0" w:space="0" w:color="auto"/>
      </w:divBdr>
    </w:div>
    <w:div w:id="1049067099">
      <w:bodyDiv w:val="1"/>
      <w:marLeft w:val="0"/>
      <w:marRight w:val="0"/>
      <w:marTop w:val="0"/>
      <w:marBottom w:val="0"/>
      <w:divBdr>
        <w:top w:val="none" w:sz="0" w:space="0" w:color="auto"/>
        <w:left w:val="none" w:sz="0" w:space="0" w:color="auto"/>
        <w:bottom w:val="none" w:sz="0" w:space="0" w:color="auto"/>
        <w:right w:val="none" w:sz="0" w:space="0" w:color="auto"/>
      </w:divBdr>
    </w:div>
    <w:div w:id="1189178083">
      <w:bodyDiv w:val="1"/>
      <w:marLeft w:val="0"/>
      <w:marRight w:val="0"/>
      <w:marTop w:val="0"/>
      <w:marBottom w:val="0"/>
      <w:divBdr>
        <w:top w:val="none" w:sz="0" w:space="0" w:color="auto"/>
        <w:left w:val="none" w:sz="0" w:space="0" w:color="auto"/>
        <w:bottom w:val="none" w:sz="0" w:space="0" w:color="auto"/>
        <w:right w:val="none" w:sz="0" w:space="0" w:color="auto"/>
      </w:divBdr>
    </w:div>
    <w:div w:id="1212962474">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557933015">
      <w:bodyDiv w:val="1"/>
      <w:marLeft w:val="0"/>
      <w:marRight w:val="0"/>
      <w:marTop w:val="0"/>
      <w:marBottom w:val="0"/>
      <w:divBdr>
        <w:top w:val="none" w:sz="0" w:space="0" w:color="auto"/>
        <w:left w:val="none" w:sz="0" w:space="0" w:color="auto"/>
        <w:bottom w:val="none" w:sz="0" w:space="0" w:color="auto"/>
        <w:right w:val="none" w:sz="0" w:space="0" w:color="auto"/>
      </w:divBdr>
    </w:div>
    <w:div w:id="1592854984">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WRConsultations@dewr.gov.au" TargetMode="Externa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dewr.gov.au/work-health-and-safety/review-federal-safety-commissioner"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cid:image001.png@01D9A4EB.558A58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RSubmissions@dewr.gov.au" TargetMode="External"/><Relationship Id="rId24"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hyperlink" Target="mailto:marie.boland@bigpond.com.au" TargetMode="External"/><Relationship Id="rId23" Type="http://schemas.openxmlformats.org/officeDocument/2006/relationships/chart" Target="charts/chart1.xml"/><Relationship Id="rId28"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image" Target="media/image6.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WRConsultations@dewr.gov.au" TargetMode="External"/><Relationship Id="rId22" Type="http://schemas.openxmlformats.org/officeDocument/2006/relationships/image" Target="cid:image002.png@01D9AA0A.0C8E2F60"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afeworkaustralia.gov.au/doc/workers-compensation-premiums-24th" TargetMode="External"/><Relationship Id="rId13" Type="http://schemas.openxmlformats.org/officeDocument/2006/relationships/hyperlink" Target="https://mates.org.au/construction/the-problem" TargetMode="External"/><Relationship Id="rId18" Type="http://schemas.openxmlformats.org/officeDocument/2006/relationships/hyperlink" Target="https://www.commerce.wa.gov.au/worksafe/mines-safety-inspection-levy" TargetMode="External"/><Relationship Id="rId3" Type="http://schemas.openxmlformats.org/officeDocument/2006/relationships/hyperlink" Target="https://www.fsc.gov.au/sites/default/files/2022-08/FSC%20Audit%20Criteria%20Guidelines.pdf" TargetMode="External"/><Relationship Id="rId21" Type="http://schemas.openxmlformats.org/officeDocument/2006/relationships/hyperlink" Target="https://www.finance.gov.au/business/buyaustralianplan" TargetMode="External"/><Relationship Id="rId7" Type="http://schemas.openxmlformats.org/officeDocument/2006/relationships/hyperlink" Target="https://www.safeworkaustralia.gov.au/sites/default/files/2023-01/key_whs_stats_2022_17jan2023.pdf" TargetMode="External"/><Relationship Id="rId12" Type="http://schemas.openxmlformats.org/officeDocument/2006/relationships/hyperlink" Target="https://content-v2.api.worksafe.vic.gov.au/sites/default/files/2022-03/ISBN-Guide-to-incident-notification-2022-03.pdf" TargetMode="External"/><Relationship Id="rId17" Type="http://schemas.openxmlformats.org/officeDocument/2006/relationships/hyperlink" Target="https://safe-t-cert.ie/about-safe-t-cert/" TargetMode="External"/><Relationship Id="rId2" Type="http://schemas.openxmlformats.org/officeDocument/2006/relationships/hyperlink" Target="https://www.legislation.gov.au/Details/F2019L00320" TargetMode="External"/><Relationship Id="rId16" Type="http://schemas.openxmlformats.org/officeDocument/2006/relationships/hyperlink" Target="https://www.cleaningaccountability.org.au/certification/" TargetMode="External"/><Relationship Id="rId20" Type="http://schemas.openxmlformats.org/officeDocument/2006/relationships/hyperlink" Target="https://www.gov.uk/government/consultations/the-building-safety-levy" TargetMode="External"/><Relationship Id="rId1" Type="http://schemas.openxmlformats.org/officeDocument/2006/relationships/hyperlink" Target="https://www.safeworkaustralia.gov.au/doc/key-work-health-and-safety-statistics-australia-2022" TargetMode="External"/><Relationship Id="rId6" Type="http://schemas.openxmlformats.org/officeDocument/2006/relationships/hyperlink" Target="https://data.safeworkaustralia.gov.au/data-collection/work-related-fatalities-data" TargetMode="External"/><Relationship Id="rId11" Type="http://schemas.openxmlformats.org/officeDocument/2006/relationships/hyperlink" Target="https://www.safeworkaustralia.gov.au/sites/default/files/2022-06/model_whs_bill_-_14_april_2022.pdf" TargetMode="External"/><Relationship Id="rId24" Type="http://schemas.openxmlformats.org/officeDocument/2006/relationships/hyperlink" Target="https://parlinfo.aph.gov.au/parlInfo/search/display/display.w3p;query=Id%3A%22library%2Fpartypol%2F8697618%22;src1=sm1" TargetMode="External"/><Relationship Id="rId5" Type="http://schemas.openxmlformats.org/officeDocument/2006/relationships/hyperlink" Target="https://www.safeworkaustralia.gov.au/sites/default/files/2023-01/key_whs_stats_2022_17jan2023.pdf" TargetMode="External"/><Relationship Id="rId15" Type="http://schemas.openxmlformats.org/officeDocument/2006/relationships/hyperlink" Target="https://www.nhvr.gov.au/safety-accreditation-compliance/national-heavy-vehicle-accreditation-scheme" TargetMode="External"/><Relationship Id="rId23" Type="http://schemas.openxmlformats.org/officeDocument/2006/relationships/hyperlink" Target="https://www.rmit.edu.au/content/dam/rmit/documents/about/academic-schools/property-construction-project-management/report-women-in-construction-exploring-the-barriers-and-supportive-enablers-of-wellbeing-in-the-workplace.pdf" TargetMode="External"/><Relationship Id="rId10" Type="http://schemas.openxmlformats.org/officeDocument/2006/relationships/hyperlink" Target="https://www.fsc.gov.au/sites/default/files/2023-02/FSC%20Online%20WHS%20Report%20Guide%20February%202020.pdf" TargetMode="External"/><Relationship Id="rId19" Type="http://schemas.openxmlformats.org/officeDocument/2006/relationships/hyperlink" Target="https://citb.org.au/pay-a-levy/about-the-levy" TargetMode="External"/><Relationship Id="rId4" Type="http://schemas.openxmlformats.org/officeDocument/2006/relationships/hyperlink" Target="https://www.fsc.gov.au/sites/default/files/2023-02/Company%20Compliance%20Policy.pdf" TargetMode="External"/><Relationship Id="rId9" Type="http://schemas.openxmlformats.org/officeDocument/2006/relationships/hyperlink" Target="https://data.safeworkaustralia.gov.au/interactive-data/lost-time-injury-frequency-rates" TargetMode="External"/><Relationship Id="rId14" Type="http://schemas.openxmlformats.org/officeDocument/2006/relationships/hyperlink" Target="https://www.finance.gov.au/government/managing-commonwealth-resources/implementing-charging-framework-rmg-302/australian-government-cost-recovery-policy" TargetMode="External"/><Relationship Id="rId22" Type="http://schemas.openxmlformats.org/officeDocument/2006/relationships/hyperlink" Target="https://anthonyalbanese.com.au/media-centre/secure-australian-jobs-pla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my.sharepoint.com/personal/christopher_marlton_dewr_gov_au/Documents/Desktop/2023%20Work/Review/Review%20Data/Chris%20review%20scratch%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92825896762904E-2"/>
          <c:y val="4.0237762837992165E-2"/>
          <c:w val="0.83862904636920388"/>
          <c:h val="0.74804420566134089"/>
        </c:manualLayout>
      </c:layout>
      <c:barChart>
        <c:barDir val="col"/>
        <c:grouping val="clustered"/>
        <c:varyColors val="0"/>
        <c:ser>
          <c:idx val="1"/>
          <c:order val="1"/>
          <c:tx>
            <c:strRef>
              <c:f>LTIFR!$J$1</c:f>
              <c:strCache>
                <c:ptCount val="1"/>
                <c:pt idx="0">
                  <c:v>Accredited Companies</c:v>
                </c:pt>
              </c:strCache>
            </c:strRef>
          </c:tx>
          <c:spPr>
            <a:solidFill>
              <a:schemeClr val="bg2">
                <a:lumMod val="50000"/>
              </a:schemeClr>
            </a:solidFill>
            <a:ln>
              <a:noFill/>
            </a:ln>
            <a:effectLst/>
          </c:spPr>
          <c:invertIfNegative val="0"/>
          <c:cat>
            <c:numRef>
              <c:f>LTIFR!$H$2:$H$12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LTIFR!$J$2:$J$12</c:f>
              <c:numCache>
                <c:formatCode>General</c:formatCode>
                <c:ptCount val="11"/>
                <c:pt idx="0">
                  <c:v>348</c:v>
                </c:pt>
                <c:pt idx="1">
                  <c:v>387</c:v>
                </c:pt>
                <c:pt idx="2">
                  <c:v>441</c:v>
                </c:pt>
                <c:pt idx="3">
                  <c:v>458</c:v>
                </c:pt>
                <c:pt idx="4">
                  <c:v>478</c:v>
                </c:pt>
                <c:pt idx="5">
                  <c:v>483</c:v>
                </c:pt>
                <c:pt idx="6">
                  <c:v>503</c:v>
                </c:pt>
                <c:pt idx="7">
                  <c:v>515</c:v>
                </c:pt>
                <c:pt idx="8">
                  <c:v>542</c:v>
                </c:pt>
                <c:pt idx="9">
                  <c:v>560</c:v>
                </c:pt>
                <c:pt idx="10">
                  <c:v>561</c:v>
                </c:pt>
              </c:numCache>
            </c:numRef>
          </c:val>
          <c:extLst>
            <c:ext xmlns:c16="http://schemas.microsoft.com/office/drawing/2014/chart" uri="{C3380CC4-5D6E-409C-BE32-E72D297353CC}">
              <c16:uniqueId val="{00000000-8AB8-4970-B9ED-B01B01A129D5}"/>
            </c:ext>
          </c:extLst>
        </c:ser>
        <c:dLbls>
          <c:showLegendKey val="0"/>
          <c:showVal val="0"/>
          <c:showCatName val="0"/>
          <c:showSerName val="0"/>
          <c:showPercent val="0"/>
          <c:showBubbleSize val="0"/>
        </c:dLbls>
        <c:gapWidth val="50"/>
        <c:axId val="1606855615"/>
        <c:axId val="1606853695"/>
      </c:barChart>
      <c:lineChart>
        <c:grouping val="standard"/>
        <c:varyColors val="0"/>
        <c:ser>
          <c:idx val="0"/>
          <c:order val="0"/>
          <c:tx>
            <c:strRef>
              <c:f>LTIFR!$I$1</c:f>
              <c:strCache>
                <c:ptCount val="1"/>
                <c:pt idx="0">
                  <c:v>LTIFR</c:v>
                </c:pt>
              </c:strCache>
            </c:strRef>
          </c:tx>
          <c:spPr>
            <a:ln w="38100" cap="rnd">
              <a:solidFill>
                <a:srgbClr val="C00000"/>
              </a:solidFill>
              <a:round/>
            </a:ln>
            <a:effectLst/>
          </c:spPr>
          <c:marker>
            <c:symbol val="none"/>
          </c:marker>
          <c:cat>
            <c:numRef>
              <c:f>LTIFR!$H$2:$H$12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LTIFR!$I$2:$I$12</c:f>
              <c:numCache>
                <c:formatCode>0.00</c:formatCode>
                <c:ptCount val="11"/>
                <c:pt idx="0">
                  <c:v>2.95</c:v>
                </c:pt>
                <c:pt idx="1">
                  <c:v>2.5</c:v>
                </c:pt>
                <c:pt idx="2">
                  <c:v>2.4500000000000002</c:v>
                </c:pt>
                <c:pt idx="3">
                  <c:v>1.99</c:v>
                </c:pt>
                <c:pt idx="4">
                  <c:v>1.81</c:v>
                </c:pt>
                <c:pt idx="5">
                  <c:v>1.89</c:v>
                </c:pt>
                <c:pt idx="6">
                  <c:v>1.73</c:v>
                </c:pt>
                <c:pt idx="7">
                  <c:v>1.45</c:v>
                </c:pt>
                <c:pt idx="8">
                  <c:v>1.48</c:v>
                </c:pt>
                <c:pt idx="9">
                  <c:v>1.5</c:v>
                </c:pt>
                <c:pt idx="10">
                  <c:v>1.29</c:v>
                </c:pt>
              </c:numCache>
            </c:numRef>
          </c:val>
          <c:smooth val="0"/>
          <c:extLst>
            <c:ext xmlns:c16="http://schemas.microsoft.com/office/drawing/2014/chart" uri="{C3380CC4-5D6E-409C-BE32-E72D297353CC}">
              <c16:uniqueId val="{00000001-8AB8-4970-B9ED-B01B01A129D5}"/>
            </c:ext>
          </c:extLst>
        </c:ser>
        <c:dLbls>
          <c:showLegendKey val="0"/>
          <c:showVal val="0"/>
          <c:showCatName val="0"/>
          <c:showSerName val="0"/>
          <c:showPercent val="0"/>
          <c:showBubbleSize val="0"/>
        </c:dLbls>
        <c:marker val="1"/>
        <c:smooth val="0"/>
        <c:axId val="1606858015"/>
        <c:axId val="1606835455"/>
      </c:lineChart>
      <c:catAx>
        <c:axId val="1606858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606835455"/>
        <c:crosses val="autoZero"/>
        <c:auto val="1"/>
        <c:lblAlgn val="ctr"/>
        <c:lblOffset val="100"/>
        <c:noMultiLvlLbl val="0"/>
      </c:catAx>
      <c:valAx>
        <c:axId val="160683545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1606858015"/>
        <c:crosses val="autoZero"/>
        <c:crossBetween val="between"/>
      </c:valAx>
      <c:valAx>
        <c:axId val="160685369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1606855615"/>
        <c:crosses val="max"/>
        <c:crossBetween val="between"/>
      </c:valAx>
      <c:catAx>
        <c:axId val="1606855615"/>
        <c:scaling>
          <c:orientation val="minMax"/>
        </c:scaling>
        <c:delete val="1"/>
        <c:axPos val="b"/>
        <c:numFmt formatCode="General" sourceLinked="1"/>
        <c:majorTickMark val="out"/>
        <c:minorTickMark val="none"/>
        <c:tickLblPos val="nextTo"/>
        <c:crossAx val="1606853695"/>
        <c:crosses val="autoZero"/>
        <c:auto val="1"/>
        <c:lblAlgn val="ctr"/>
        <c:lblOffset val="100"/>
        <c:noMultiLvlLbl val="0"/>
      </c:catAx>
      <c:spPr>
        <a:noFill/>
        <a:ln>
          <a:noFill/>
        </a:ln>
        <a:effectLst/>
      </c:spPr>
    </c:plotArea>
    <c:legend>
      <c:legendPos val="r"/>
      <c:layout>
        <c:manualLayout>
          <c:xMode val="edge"/>
          <c:yMode val="edge"/>
          <c:x val="0.27047156605424322"/>
          <c:y val="0.87357047210676231"/>
          <c:w val="0.4739728783902013"/>
          <c:h val="0.12345763643323486"/>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Review of the FWC">
      <a:dk1>
        <a:sysClr val="windowText" lastClr="000000"/>
      </a:dk1>
      <a:lt1>
        <a:sysClr val="window" lastClr="FFFFFF"/>
      </a:lt1>
      <a:dk2>
        <a:srgbClr val="214050"/>
      </a:dk2>
      <a:lt2>
        <a:srgbClr val="FFFFFF"/>
      </a:lt2>
      <a:accent1>
        <a:srgbClr val="DDA93B"/>
      </a:accent1>
      <a:accent2>
        <a:srgbClr val="214050"/>
      </a:accent2>
      <a:accent3>
        <a:srgbClr val="D29679"/>
      </a:accent3>
      <a:accent4>
        <a:srgbClr val="DFCEBC"/>
      </a:accent4>
      <a:accent5>
        <a:srgbClr val="BF5A50"/>
      </a:accent5>
      <a:accent6>
        <a:srgbClr val="008276"/>
      </a:accent6>
      <a:hlink>
        <a:srgbClr val="BF5A50"/>
      </a:hlink>
      <a:folHlink>
        <a:srgbClr val="D2967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11198</Words>
  <Characters>61370</Characters>
  <Application>Microsoft Office Word</Application>
  <DocSecurity>0</DocSecurity>
  <Lines>1534</Lines>
  <Paragraphs>967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71601</CharactersWithSpaces>
  <SharedDoc>false</SharedDoc>
  <HLinks>
    <vt:vector size="474" baseType="variant">
      <vt:variant>
        <vt:i4>5570663</vt:i4>
      </vt:variant>
      <vt:variant>
        <vt:i4>291</vt:i4>
      </vt:variant>
      <vt:variant>
        <vt:i4>0</vt:i4>
      </vt:variant>
      <vt:variant>
        <vt:i4>5</vt:i4>
      </vt:variant>
      <vt:variant>
        <vt:lpwstr>mailto:marie.boland@bigpond.com.au</vt:lpwstr>
      </vt:variant>
      <vt:variant>
        <vt:lpwstr/>
      </vt:variant>
      <vt:variant>
        <vt:i4>7864329</vt:i4>
      </vt:variant>
      <vt:variant>
        <vt:i4>288</vt:i4>
      </vt:variant>
      <vt:variant>
        <vt:i4>0</vt:i4>
      </vt:variant>
      <vt:variant>
        <vt:i4>5</vt:i4>
      </vt:variant>
      <vt:variant>
        <vt:lpwstr>mailto:WRConsultations@dewr.gov.au</vt:lpwstr>
      </vt:variant>
      <vt:variant>
        <vt:lpwstr/>
      </vt:variant>
      <vt:variant>
        <vt:i4>7864329</vt:i4>
      </vt:variant>
      <vt:variant>
        <vt:i4>285</vt:i4>
      </vt:variant>
      <vt:variant>
        <vt:i4>0</vt:i4>
      </vt:variant>
      <vt:variant>
        <vt:i4>5</vt:i4>
      </vt:variant>
      <vt:variant>
        <vt:lpwstr>mailto:WRConsultations@dewr.gov.au</vt:lpwstr>
      </vt:variant>
      <vt:variant>
        <vt:lpwstr/>
      </vt:variant>
      <vt:variant>
        <vt:i4>589846</vt:i4>
      </vt:variant>
      <vt:variant>
        <vt:i4>282</vt:i4>
      </vt:variant>
      <vt:variant>
        <vt:i4>0</vt:i4>
      </vt:variant>
      <vt:variant>
        <vt:i4>5</vt:i4>
      </vt:variant>
      <vt:variant>
        <vt:lpwstr>https://www.dewr.gov.au/work-health-and-safety/review-federal-safety-commissioner</vt:lpwstr>
      </vt:variant>
      <vt:variant>
        <vt:lpwstr/>
      </vt:variant>
      <vt:variant>
        <vt:i4>721011</vt:i4>
      </vt:variant>
      <vt:variant>
        <vt:i4>279</vt:i4>
      </vt:variant>
      <vt:variant>
        <vt:i4>0</vt:i4>
      </vt:variant>
      <vt:variant>
        <vt:i4>5</vt:i4>
      </vt:variant>
      <vt:variant>
        <vt:lpwstr>mailto:WRSubmissions@dewr.gov.au</vt:lpwstr>
      </vt:variant>
      <vt:variant>
        <vt:lpwstr/>
      </vt:variant>
      <vt:variant>
        <vt:i4>1638449</vt:i4>
      </vt:variant>
      <vt:variant>
        <vt:i4>276</vt:i4>
      </vt:variant>
      <vt:variant>
        <vt:i4>0</vt:i4>
      </vt:variant>
      <vt:variant>
        <vt:i4>5</vt:i4>
      </vt:variant>
      <vt:variant>
        <vt:lpwstr/>
      </vt:variant>
      <vt:variant>
        <vt:lpwstr>_4._List_of</vt:lpwstr>
      </vt:variant>
      <vt:variant>
        <vt:i4>7798855</vt:i4>
      </vt:variant>
      <vt:variant>
        <vt:i4>273</vt:i4>
      </vt:variant>
      <vt:variant>
        <vt:i4>0</vt:i4>
      </vt:variant>
      <vt:variant>
        <vt:i4>5</vt:i4>
      </vt:variant>
      <vt:variant>
        <vt:lpwstr/>
      </vt:variant>
      <vt:variant>
        <vt:lpwstr>_Appendix_A_Federal</vt:lpwstr>
      </vt:variant>
      <vt:variant>
        <vt:i4>1376314</vt:i4>
      </vt:variant>
      <vt:variant>
        <vt:i4>266</vt:i4>
      </vt:variant>
      <vt:variant>
        <vt:i4>0</vt:i4>
      </vt:variant>
      <vt:variant>
        <vt:i4>5</vt:i4>
      </vt:variant>
      <vt:variant>
        <vt:lpwstr/>
      </vt:variant>
      <vt:variant>
        <vt:lpwstr>_Toc139023029</vt:lpwstr>
      </vt:variant>
      <vt:variant>
        <vt:i4>1376314</vt:i4>
      </vt:variant>
      <vt:variant>
        <vt:i4>260</vt:i4>
      </vt:variant>
      <vt:variant>
        <vt:i4>0</vt:i4>
      </vt:variant>
      <vt:variant>
        <vt:i4>5</vt:i4>
      </vt:variant>
      <vt:variant>
        <vt:lpwstr/>
      </vt:variant>
      <vt:variant>
        <vt:lpwstr>_Toc139023028</vt:lpwstr>
      </vt:variant>
      <vt:variant>
        <vt:i4>1376314</vt:i4>
      </vt:variant>
      <vt:variant>
        <vt:i4>254</vt:i4>
      </vt:variant>
      <vt:variant>
        <vt:i4>0</vt:i4>
      </vt:variant>
      <vt:variant>
        <vt:i4>5</vt:i4>
      </vt:variant>
      <vt:variant>
        <vt:lpwstr/>
      </vt:variant>
      <vt:variant>
        <vt:lpwstr>_Toc139023027</vt:lpwstr>
      </vt:variant>
      <vt:variant>
        <vt:i4>1376314</vt:i4>
      </vt:variant>
      <vt:variant>
        <vt:i4>248</vt:i4>
      </vt:variant>
      <vt:variant>
        <vt:i4>0</vt:i4>
      </vt:variant>
      <vt:variant>
        <vt:i4>5</vt:i4>
      </vt:variant>
      <vt:variant>
        <vt:lpwstr/>
      </vt:variant>
      <vt:variant>
        <vt:lpwstr>_Toc139023026</vt:lpwstr>
      </vt:variant>
      <vt:variant>
        <vt:i4>1376314</vt:i4>
      </vt:variant>
      <vt:variant>
        <vt:i4>242</vt:i4>
      </vt:variant>
      <vt:variant>
        <vt:i4>0</vt:i4>
      </vt:variant>
      <vt:variant>
        <vt:i4>5</vt:i4>
      </vt:variant>
      <vt:variant>
        <vt:lpwstr/>
      </vt:variant>
      <vt:variant>
        <vt:lpwstr>_Toc139023025</vt:lpwstr>
      </vt:variant>
      <vt:variant>
        <vt:i4>1376314</vt:i4>
      </vt:variant>
      <vt:variant>
        <vt:i4>236</vt:i4>
      </vt:variant>
      <vt:variant>
        <vt:i4>0</vt:i4>
      </vt:variant>
      <vt:variant>
        <vt:i4>5</vt:i4>
      </vt:variant>
      <vt:variant>
        <vt:lpwstr/>
      </vt:variant>
      <vt:variant>
        <vt:lpwstr>_Toc139023024</vt:lpwstr>
      </vt:variant>
      <vt:variant>
        <vt:i4>1376314</vt:i4>
      </vt:variant>
      <vt:variant>
        <vt:i4>230</vt:i4>
      </vt:variant>
      <vt:variant>
        <vt:i4>0</vt:i4>
      </vt:variant>
      <vt:variant>
        <vt:i4>5</vt:i4>
      </vt:variant>
      <vt:variant>
        <vt:lpwstr/>
      </vt:variant>
      <vt:variant>
        <vt:lpwstr>_Toc139023023</vt:lpwstr>
      </vt:variant>
      <vt:variant>
        <vt:i4>1376314</vt:i4>
      </vt:variant>
      <vt:variant>
        <vt:i4>224</vt:i4>
      </vt:variant>
      <vt:variant>
        <vt:i4>0</vt:i4>
      </vt:variant>
      <vt:variant>
        <vt:i4>5</vt:i4>
      </vt:variant>
      <vt:variant>
        <vt:lpwstr/>
      </vt:variant>
      <vt:variant>
        <vt:lpwstr>_Toc139023022</vt:lpwstr>
      </vt:variant>
      <vt:variant>
        <vt:i4>1376314</vt:i4>
      </vt:variant>
      <vt:variant>
        <vt:i4>218</vt:i4>
      </vt:variant>
      <vt:variant>
        <vt:i4>0</vt:i4>
      </vt:variant>
      <vt:variant>
        <vt:i4>5</vt:i4>
      </vt:variant>
      <vt:variant>
        <vt:lpwstr/>
      </vt:variant>
      <vt:variant>
        <vt:lpwstr>_Toc139023021</vt:lpwstr>
      </vt:variant>
      <vt:variant>
        <vt:i4>1376314</vt:i4>
      </vt:variant>
      <vt:variant>
        <vt:i4>212</vt:i4>
      </vt:variant>
      <vt:variant>
        <vt:i4>0</vt:i4>
      </vt:variant>
      <vt:variant>
        <vt:i4>5</vt:i4>
      </vt:variant>
      <vt:variant>
        <vt:lpwstr/>
      </vt:variant>
      <vt:variant>
        <vt:lpwstr>_Toc139023020</vt:lpwstr>
      </vt:variant>
      <vt:variant>
        <vt:i4>1441850</vt:i4>
      </vt:variant>
      <vt:variant>
        <vt:i4>206</vt:i4>
      </vt:variant>
      <vt:variant>
        <vt:i4>0</vt:i4>
      </vt:variant>
      <vt:variant>
        <vt:i4>5</vt:i4>
      </vt:variant>
      <vt:variant>
        <vt:lpwstr/>
      </vt:variant>
      <vt:variant>
        <vt:lpwstr>_Toc139023019</vt:lpwstr>
      </vt:variant>
      <vt:variant>
        <vt:i4>1441850</vt:i4>
      </vt:variant>
      <vt:variant>
        <vt:i4>200</vt:i4>
      </vt:variant>
      <vt:variant>
        <vt:i4>0</vt:i4>
      </vt:variant>
      <vt:variant>
        <vt:i4>5</vt:i4>
      </vt:variant>
      <vt:variant>
        <vt:lpwstr/>
      </vt:variant>
      <vt:variant>
        <vt:lpwstr>_Toc139023018</vt:lpwstr>
      </vt:variant>
      <vt:variant>
        <vt:i4>1441850</vt:i4>
      </vt:variant>
      <vt:variant>
        <vt:i4>194</vt:i4>
      </vt:variant>
      <vt:variant>
        <vt:i4>0</vt:i4>
      </vt:variant>
      <vt:variant>
        <vt:i4>5</vt:i4>
      </vt:variant>
      <vt:variant>
        <vt:lpwstr/>
      </vt:variant>
      <vt:variant>
        <vt:lpwstr>_Toc139023017</vt:lpwstr>
      </vt:variant>
      <vt:variant>
        <vt:i4>1441850</vt:i4>
      </vt:variant>
      <vt:variant>
        <vt:i4>188</vt:i4>
      </vt:variant>
      <vt:variant>
        <vt:i4>0</vt:i4>
      </vt:variant>
      <vt:variant>
        <vt:i4>5</vt:i4>
      </vt:variant>
      <vt:variant>
        <vt:lpwstr/>
      </vt:variant>
      <vt:variant>
        <vt:lpwstr>_Toc139023016</vt:lpwstr>
      </vt:variant>
      <vt:variant>
        <vt:i4>1441850</vt:i4>
      </vt:variant>
      <vt:variant>
        <vt:i4>182</vt:i4>
      </vt:variant>
      <vt:variant>
        <vt:i4>0</vt:i4>
      </vt:variant>
      <vt:variant>
        <vt:i4>5</vt:i4>
      </vt:variant>
      <vt:variant>
        <vt:lpwstr/>
      </vt:variant>
      <vt:variant>
        <vt:lpwstr>_Toc139023015</vt:lpwstr>
      </vt:variant>
      <vt:variant>
        <vt:i4>1441850</vt:i4>
      </vt:variant>
      <vt:variant>
        <vt:i4>176</vt:i4>
      </vt:variant>
      <vt:variant>
        <vt:i4>0</vt:i4>
      </vt:variant>
      <vt:variant>
        <vt:i4>5</vt:i4>
      </vt:variant>
      <vt:variant>
        <vt:lpwstr/>
      </vt:variant>
      <vt:variant>
        <vt:lpwstr>_Toc139023014</vt:lpwstr>
      </vt:variant>
      <vt:variant>
        <vt:i4>1441850</vt:i4>
      </vt:variant>
      <vt:variant>
        <vt:i4>170</vt:i4>
      </vt:variant>
      <vt:variant>
        <vt:i4>0</vt:i4>
      </vt:variant>
      <vt:variant>
        <vt:i4>5</vt:i4>
      </vt:variant>
      <vt:variant>
        <vt:lpwstr/>
      </vt:variant>
      <vt:variant>
        <vt:lpwstr>_Toc139023013</vt:lpwstr>
      </vt:variant>
      <vt:variant>
        <vt:i4>1441850</vt:i4>
      </vt:variant>
      <vt:variant>
        <vt:i4>164</vt:i4>
      </vt:variant>
      <vt:variant>
        <vt:i4>0</vt:i4>
      </vt:variant>
      <vt:variant>
        <vt:i4>5</vt:i4>
      </vt:variant>
      <vt:variant>
        <vt:lpwstr/>
      </vt:variant>
      <vt:variant>
        <vt:lpwstr>_Toc139023012</vt:lpwstr>
      </vt:variant>
      <vt:variant>
        <vt:i4>1441850</vt:i4>
      </vt:variant>
      <vt:variant>
        <vt:i4>158</vt:i4>
      </vt:variant>
      <vt:variant>
        <vt:i4>0</vt:i4>
      </vt:variant>
      <vt:variant>
        <vt:i4>5</vt:i4>
      </vt:variant>
      <vt:variant>
        <vt:lpwstr/>
      </vt:variant>
      <vt:variant>
        <vt:lpwstr>_Toc139023011</vt:lpwstr>
      </vt:variant>
      <vt:variant>
        <vt:i4>1441850</vt:i4>
      </vt:variant>
      <vt:variant>
        <vt:i4>152</vt:i4>
      </vt:variant>
      <vt:variant>
        <vt:i4>0</vt:i4>
      </vt:variant>
      <vt:variant>
        <vt:i4>5</vt:i4>
      </vt:variant>
      <vt:variant>
        <vt:lpwstr/>
      </vt:variant>
      <vt:variant>
        <vt:lpwstr>_Toc139023010</vt:lpwstr>
      </vt:variant>
      <vt:variant>
        <vt:i4>1507386</vt:i4>
      </vt:variant>
      <vt:variant>
        <vt:i4>146</vt:i4>
      </vt:variant>
      <vt:variant>
        <vt:i4>0</vt:i4>
      </vt:variant>
      <vt:variant>
        <vt:i4>5</vt:i4>
      </vt:variant>
      <vt:variant>
        <vt:lpwstr/>
      </vt:variant>
      <vt:variant>
        <vt:lpwstr>_Toc139023009</vt:lpwstr>
      </vt:variant>
      <vt:variant>
        <vt:i4>1507386</vt:i4>
      </vt:variant>
      <vt:variant>
        <vt:i4>140</vt:i4>
      </vt:variant>
      <vt:variant>
        <vt:i4>0</vt:i4>
      </vt:variant>
      <vt:variant>
        <vt:i4>5</vt:i4>
      </vt:variant>
      <vt:variant>
        <vt:lpwstr/>
      </vt:variant>
      <vt:variant>
        <vt:lpwstr>_Toc139023008</vt:lpwstr>
      </vt:variant>
      <vt:variant>
        <vt:i4>1507386</vt:i4>
      </vt:variant>
      <vt:variant>
        <vt:i4>134</vt:i4>
      </vt:variant>
      <vt:variant>
        <vt:i4>0</vt:i4>
      </vt:variant>
      <vt:variant>
        <vt:i4>5</vt:i4>
      </vt:variant>
      <vt:variant>
        <vt:lpwstr/>
      </vt:variant>
      <vt:variant>
        <vt:lpwstr>_Toc139023007</vt:lpwstr>
      </vt:variant>
      <vt:variant>
        <vt:i4>1507386</vt:i4>
      </vt:variant>
      <vt:variant>
        <vt:i4>128</vt:i4>
      </vt:variant>
      <vt:variant>
        <vt:i4>0</vt:i4>
      </vt:variant>
      <vt:variant>
        <vt:i4>5</vt:i4>
      </vt:variant>
      <vt:variant>
        <vt:lpwstr/>
      </vt:variant>
      <vt:variant>
        <vt:lpwstr>_Toc139023006</vt:lpwstr>
      </vt:variant>
      <vt:variant>
        <vt:i4>1507386</vt:i4>
      </vt:variant>
      <vt:variant>
        <vt:i4>122</vt:i4>
      </vt:variant>
      <vt:variant>
        <vt:i4>0</vt:i4>
      </vt:variant>
      <vt:variant>
        <vt:i4>5</vt:i4>
      </vt:variant>
      <vt:variant>
        <vt:lpwstr/>
      </vt:variant>
      <vt:variant>
        <vt:lpwstr>_Toc139023005</vt:lpwstr>
      </vt:variant>
      <vt:variant>
        <vt:i4>1507386</vt:i4>
      </vt:variant>
      <vt:variant>
        <vt:i4>116</vt:i4>
      </vt:variant>
      <vt:variant>
        <vt:i4>0</vt:i4>
      </vt:variant>
      <vt:variant>
        <vt:i4>5</vt:i4>
      </vt:variant>
      <vt:variant>
        <vt:lpwstr/>
      </vt:variant>
      <vt:variant>
        <vt:lpwstr>_Toc139023004</vt:lpwstr>
      </vt:variant>
      <vt:variant>
        <vt:i4>1507386</vt:i4>
      </vt:variant>
      <vt:variant>
        <vt:i4>110</vt:i4>
      </vt:variant>
      <vt:variant>
        <vt:i4>0</vt:i4>
      </vt:variant>
      <vt:variant>
        <vt:i4>5</vt:i4>
      </vt:variant>
      <vt:variant>
        <vt:lpwstr/>
      </vt:variant>
      <vt:variant>
        <vt:lpwstr>_Toc139023003</vt:lpwstr>
      </vt:variant>
      <vt:variant>
        <vt:i4>1507386</vt:i4>
      </vt:variant>
      <vt:variant>
        <vt:i4>104</vt:i4>
      </vt:variant>
      <vt:variant>
        <vt:i4>0</vt:i4>
      </vt:variant>
      <vt:variant>
        <vt:i4>5</vt:i4>
      </vt:variant>
      <vt:variant>
        <vt:lpwstr/>
      </vt:variant>
      <vt:variant>
        <vt:lpwstr>_Toc139023002</vt:lpwstr>
      </vt:variant>
      <vt:variant>
        <vt:i4>1507386</vt:i4>
      </vt:variant>
      <vt:variant>
        <vt:i4>98</vt:i4>
      </vt:variant>
      <vt:variant>
        <vt:i4>0</vt:i4>
      </vt:variant>
      <vt:variant>
        <vt:i4>5</vt:i4>
      </vt:variant>
      <vt:variant>
        <vt:lpwstr/>
      </vt:variant>
      <vt:variant>
        <vt:lpwstr>_Toc139023001</vt:lpwstr>
      </vt:variant>
      <vt:variant>
        <vt:i4>1507386</vt:i4>
      </vt:variant>
      <vt:variant>
        <vt:i4>92</vt:i4>
      </vt:variant>
      <vt:variant>
        <vt:i4>0</vt:i4>
      </vt:variant>
      <vt:variant>
        <vt:i4>5</vt:i4>
      </vt:variant>
      <vt:variant>
        <vt:lpwstr/>
      </vt:variant>
      <vt:variant>
        <vt:lpwstr>_Toc139023000</vt:lpwstr>
      </vt:variant>
      <vt:variant>
        <vt:i4>2031667</vt:i4>
      </vt:variant>
      <vt:variant>
        <vt:i4>86</vt:i4>
      </vt:variant>
      <vt:variant>
        <vt:i4>0</vt:i4>
      </vt:variant>
      <vt:variant>
        <vt:i4>5</vt:i4>
      </vt:variant>
      <vt:variant>
        <vt:lpwstr/>
      </vt:variant>
      <vt:variant>
        <vt:lpwstr>_Toc139022999</vt:lpwstr>
      </vt:variant>
      <vt:variant>
        <vt:i4>2031667</vt:i4>
      </vt:variant>
      <vt:variant>
        <vt:i4>80</vt:i4>
      </vt:variant>
      <vt:variant>
        <vt:i4>0</vt:i4>
      </vt:variant>
      <vt:variant>
        <vt:i4>5</vt:i4>
      </vt:variant>
      <vt:variant>
        <vt:lpwstr/>
      </vt:variant>
      <vt:variant>
        <vt:lpwstr>_Toc139022998</vt:lpwstr>
      </vt:variant>
      <vt:variant>
        <vt:i4>2031667</vt:i4>
      </vt:variant>
      <vt:variant>
        <vt:i4>74</vt:i4>
      </vt:variant>
      <vt:variant>
        <vt:i4>0</vt:i4>
      </vt:variant>
      <vt:variant>
        <vt:i4>5</vt:i4>
      </vt:variant>
      <vt:variant>
        <vt:lpwstr/>
      </vt:variant>
      <vt:variant>
        <vt:lpwstr>_Toc139022997</vt:lpwstr>
      </vt:variant>
      <vt:variant>
        <vt:i4>2031667</vt:i4>
      </vt:variant>
      <vt:variant>
        <vt:i4>68</vt:i4>
      </vt:variant>
      <vt:variant>
        <vt:i4>0</vt:i4>
      </vt:variant>
      <vt:variant>
        <vt:i4>5</vt:i4>
      </vt:variant>
      <vt:variant>
        <vt:lpwstr/>
      </vt:variant>
      <vt:variant>
        <vt:lpwstr>_Toc139022996</vt:lpwstr>
      </vt:variant>
      <vt:variant>
        <vt:i4>2031667</vt:i4>
      </vt:variant>
      <vt:variant>
        <vt:i4>62</vt:i4>
      </vt:variant>
      <vt:variant>
        <vt:i4>0</vt:i4>
      </vt:variant>
      <vt:variant>
        <vt:i4>5</vt:i4>
      </vt:variant>
      <vt:variant>
        <vt:lpwstr/>
      </vt:variant>
      <vt:variant>
        <vt:lpwstr>_Toc139022995</vt:lpwstr>
      </vt:variant>
      <vt:variant>
        <vt:i4>2031667</vt:i4>
      </vt:variant>
      <vt:variant>
        <vt:i4>56</vt:i4>
      </vt:variant>
      <vt:variant>
        <vt:i4>0</vt:i4>
      </vt:variant>
      <vt:variant>
        <vt:i4>5</vt:i4>
      </vt:variant>
      <vt:variant>
        <vt:lpwstr/>
      </vt:variant>
      <vt:variant>
        <vt:lpwstr>_Toc139022994</vt:lpwstr>
      </vt:variant>
      <vt:variant>
        <vt:i4>2031667</vt:i4>
      </vt:variant>
      <vt:variant>
        <vt:i4>50</vt:i4>
      </vt:variant>
      <vt:variant>
        <vt:i4>0</vt:i4>
      </vt:variant>
      <vt:variant>
        <vt:i4>5</vt:i4>
      </vt:variant>
      <vt:variant>
        <vt:lpwstr/>
      </vt:variant>
      <vt:variant>
        <vt:lpwstr>_Toc139022993</vt:lpwstr>
      </vt:variant>
      <vt:variant>
        <vt:i4>2031667</vt:i4>
      </vt:variant>
      <vt:variant>
        <vt:i4>44</vt:i4>
      </vt:variant>
      <vt:variant>
        <vt:i4>0</vt:i4>
      </vt:variant>
      <vt:variant>
        <vt:i4>5</vt:i4>
      </vt:variant>
      <vt:variant>
        <vt:lpwstr/>
      </vt:variant>
      <vt:variant>
        <vt:lpwstr>_Toc139022992</vt:lpwstr>
      </vt:variant>
      <vt:variant>
        <vt:i4>2031667</vt:i4>
      </vt:variant>
      <vt:variant>
        <vt:i4>38</vt:i4>
      </vt:variant>
      <vt:variant>
        <vt:i4>0</vt:i4>
      </vt:variant>
      <vt:variant>
        <vt:i4>5</vt:i4>
      </vt:variant>
      <vt:variant>
        <vt:lpwstr/>
      </vt:variant>
      <vt:variant>
        <vt:lpwstr>_Toc139022991</vt:lpwstr>
      </vt:variant>
      <vt:variant>
        <vt:i4>2031667</vt:i4>
      </vt:variant>
      <vt:variant>
        <vt:i4>32</vt:i4>
      </vt:variant>
      <vt:variant>
        <vt:i4>0</vt:i4>
      </vt:variant>
      <vt:variant>
        <vt:i4>5</vt:i4>
      </vt:variant>
      <vt:variant>
        <vt:lpwstr/>
      </vt:variant>
      <vt:variant>
        <vt:lpwstr>_Toc139022990</vt:lpwstr>
      </vt:variant>
      <vt:variant>
        <vt:i4>1966131</vt:i4>
      </vt:variant>
      <vt:variant>
        <vt:i4>26</vt:i4>
      </vt:variant>
      <vt:variant>
        <vt:i4>0</vt:i4>
      </vt:variant>
      <vt:variant>
        <vt:i4>5</vt:i4>
      </vt:variant>
      <vt:variant>
        <vt:lpwstr/>
      </vt:variant>
      <vt:variant>
        <vt:lpwstr>_Toc139022989</vt:lpwstr>
      </vt:variant>
      <vt:variant>
        <vt:i4>1966131</vt:i4>
      </vt:variant>
      <vt:variant>
        <vt:i4>20</vt:i4>
      </vt:variant>
      <vt:variant>
        <vt:i4>0</vt:i4>
      </vt:variant>
      <vt:variant>
        <vt:i4>5</vt:i4>
      </vt:variant>
      <vt:variant>
        <vt:lpwstr/>
      </vt:variant>
      <vt:variant>
        <vt:lpwstr>_Toc139022988</vt:lpwstr>
      </vt:variant>
      <vt:variant>
        <vt:i4>1966131</vt:i4>
      </vt:variant>
      <vt:variant>
        <vt:i4>14</vt:i4>
      </vt:variant>
      <vt:variant>
        <vt:i4>0</vt:i4>
      </vt:variant>
      <vt:variant>
        <vt:i4>5</vt:i4>
      </vt:variant>
      <vt:variant>
        <vt:lpwstr/>
      </vt:variant>
      <vt:variant>
        <vt:lpwstr>_Toc139022987</vt:lpwstr>
      </vt:variant>
      <vt:variant>
        <vt:i4>1966131</vt:i4>
      </vt:variant>
      <vt:variant>
        <vt:i4>8</vt:i4>
      </vt:variant>
      <vt:variant>
        <vt:i4>0</vt:i4>
      </vt:variant>
      <vt:variant>
        <vt:i4>5</vt:i4>
      </vt:variant>
      <vt:variant>
        <vt:lpwstr/>
      </vt:variant>
      <vt:variant>
        <vt:lpwstr>_Toc139022986</vt:lpwstr>
      </vt:variant>
      <vt:variant>
        <vt:i4>1966131</vt:i4>
      </vt:variant>
      <vt:variant>
        <vt:i4>2</vt:i4>
      </vt:variant>
      <vt:variant>
        <vt:i4>0</vt:i4>
      </vt:variant>
      <vt:variant>
        <vt:i4>5</vt:i4>
      </vt:variant>
      <vt:variant>
        <vt:lpwstr/>
      </vt:variant>
      <vt:variant>
        <vt:lpwstr>_Toc139022985</vt:lpwstr>
      </vt:variant>
      <vt:variant>
        <vt:i4>8126517</vt:i4>
      </vt:variant>
      <vt:variant>
        <vt:i4>78</vt:i4>
      </vt:variant>
      <vt:variant>
        <vt:i4>0</vt:i4>
      </vt:variant>
      <vt:variant>
        <vt:i4>5</vt:i4>
      </vt:variant>
      <vt:variant>
        <vt:lpwstr>https://parlinfo.aph.gov.au/parlInfo/search/display/display.w3p;query=Id%3A%22library%2Fpartypol%2F8697618%22;src1=sm1</vt:lpwstr>
      </vt:variant>
      <vt:variant>
        <vt:lpwstr/>
      </vt:variant>
      <vt:variant>
        <vt:i4>1179727</vt:i4>
      </vt:variant>
      <vt:variant>
        <vt:i4>75</vt:i4>
      </vt:variant>
      <vt:variant>
        <vt:i4>0</vt:i4>
      </vt:variant>
      <vt:variant>
        <vt:i4>5</vt:i4>
      </vt:variant>
      <vt:variant>
        <vt:lpwstr>https://www.rmit.edu.au/content/dam/rmit/documents/about/academic-schools/property-construction-project-management/report-women-in-construction-exploring-the-barriers-and-supportive-enablers-of-wellbeing-in-the-workplace.pdf</vt:lpwstr>
      </vt:variant>
      <vt:variant>
        <vt:lpwstr/>
      </vt:variant>
      <vt:variant>
        <vt:i4>8192058</vt:i4>
      </vt:variant>
      <vt:variant>
        <vt:i4>72</vt:i4>
      </vt:variant>
      <vt:variant>
        <vt:i4>0</vt:i4>
      </vt:variant>
      <vt:variant>
        <vt:i4>5</vt:i4>
      </vt:variant>
      <vt:variant>
        <vt:lpwstr>https://anthonyalbanese.com.au/media-centre/secure-australian-jobs-plan</vt:lpwstr>
      </vt:variant>
      <vt:variant>
        <vt:lpwstr/>
      </vt:variant>
      <vt:variant>
        <vt:i4>1245190</vt:i4>
      </vt:variant>
      <vt:variant>
        <vt:i4>69</vt:i4>
      </vt:variant>
      <vt:variant>
        <vt:i4>0</vt:i4>
      </vt:variant>
      <vt:variant>
        <vt:i4>5</vt:i4>
      </vt:variant>
      <vt:variant>
        <vt:lpwstr>https://www.finance.gov.au/business/buyaustralianplan</vt:lpwstr>
      </vt:variant>
      <vt:variant>
        <vt:lpwstr/>
      </vt:variant>
      <vt:variant>
        <vt:i4>1441856</vt:i4>
      </vt:variant>
      <vt:variant>
        <vt:i4>66</vt:i4>
      </vt:variant>
      <vt:variant>
        <vt:i4>0</vt:i4>
      </vt:variant>
      <vt:variant>
        <vt:i4>5</vt:i4>
      </vt:variant>
      <vt:variant>
        <vt:lpwstr>https://www.gov.uk/government/consultations/the-building-safety-levy</vt:lpwstr>
      </vt:variant>
      <vt:variant>
        <vt:lpwstr/>
      </vt:variant>
      <vt:variant>
        <vt:i4>5242903</vt:i4>
      </vt:variant>
      <vt:variant>
        <vt:i4>63</vt:i4>
      </vt:variant>
      <vt:variant>
        <vt:i4>0</vt:i4>
      </vt:variant>
      <vt:variant>
        <vt:i4>5</vt:i4>
      </vt:variant>
      <vt:variant>
        <vt:lpwstr>https://citb.org.au/pay-a-levy/about-the-levy</vt:lpwstr>
      </vt:variant>
      <vt:variant>
        <vt:lpwstr/>
      </vt:variant>
      <vt:variant>
        <vt:i4>393220</vt:i4>
      </vt:variant>
      <vt:variant>
        <vt:i4>60</vt:i4>
      </vt:variant>
      <vt:variant>
        <vt:i4>0</vt:i4>
      </vt:variant>
      <vt:variant>
        <vt:i4>5</vt:i4>
      </vt:variant>
      <vt:variant>
        <vt:lpwstr>https://www.commerce.wa.gov.au/worksafe/mines-safety-inspection-levy</vt:lpwstr>
      </vt:variant>
      <vt:variant>
        <vt:lpwstr/>
      </vt:variant>
      <vt:variant>
        <vt:i4>4522073</vt:i4>
      </vt:variant>
      <vt:variant>
        <vt:i4>57</vt:i4>
      </vt:variant>
      <vt:variant>
        <vt:i4>0</vt:i4>
      </vt:variant>
      <vt:variant>
        <vt:i4>5</vt:i4>
      </vt:variant>
      <vt:variant>
        <vt:lpwstr>https://safe-t-cert.ie/about-safe-t-cert/</vt:lpwstr>
      </vt:variant>
      <vt:variant>
        <vt:lpwstr/>
      </vt:variant>
      <vt:variant>
        <vt:i4>3276920</vt:i4>
      </vt:variant>
      <vt:variant>
        <vt:i4>54</vt:i4>
      </vt:variant>
      <vt:variant>
        <vt:i4>0</vt:i4>
      </vt:variant>
      <vt:variant>
        <vt:i4>5</vt:i4>
      </vt:variant>
      <vt:variant>
        <vt:lpwstr>https://www.cleaningaccountability.org.au/certification/</vt:lpwstr>
      </vt:variant>
      <vt:variant>
        <vt:lpwstr>additional-fees</vt:lpwstr>
      </vt:variant>
      <vt:variant>
        <vt:i4>2818111</vt:i4>
      </vt:variant>
      <vt:variant>
        <vt:i4>51</vt:i4>
      </vt:variant>
      <vt:variant>
        <vt:i4>0</vt:i4>
      </vt:variant>
      <vt:variant>
        <vt:i4>5</vt:i4>
      </vt:variant>
      <vt:variant>
        <vt:lpwstr>https://www.nhvr.gov.au/safety-accreditation-compliance/national-heavy-vehicle-accreditation-scheme</vt:lpwstr>
      </vt:variant>
      <vt:variant>
        <vt:lpwstr/>
      </vt:variant>
      <vt:variant>
        <vt:i4>5242894</vt:i4>
      </vt:variant>
      <vt:variant>
        <vt:i4>48</vt:i4>
      </vt:variant>
      <vt:variant>
        <vt:i4>0</vt:i4>
      </vt:variant>
      <vt:variant>
        <vt:i4>5</vt:i4>
      </vt:variant>
      <vt:variant>
        <vt:lpwstr>https://www.finance.gov.au/government/managing-commonwealth-resources/implementing-charging-framework-rmg-302/australian-government-cost-recovery-policy</vt:lpwstr>
      </vt:variant>
      <vt:variant>
        <vt:lpwstr/>
      </vt:variant>
      <vt:variant>
        <vt:i4>1703940</vt:i4>
      </vt:variant>
      <vt:variant>
        <vt:i4>45</vt:i4>
      </vt:variant>
      <vt:variant>
        <vt:i4>0</vt:i4>
      </vt:variant>
      <vt:variant>
        <vt:i4>5</vt:i4>
      </vt:variant>
      <vt:variant>
        <vt:lpwstr>https://mates.org.au/construction/the-problem</vt:lpwstr>
      </vt:variant>
      <vt:variant>
        <vt:lpwstr/>
      </vt:variant>
      <vt:variant>
        <vt:i4>7798818</vt:i4>
      </vt:variant>
      <vt:variant>
        <vt:i4>42</vt:i4>
      </vt:variant>
      <vt:variant>
        <vt:i4>0</vt:i4>
      </vt:variant>
      <vt:variant>
        <vt:i4>5</vt:i4>
      </vt:variant>
      <vt:variant>
        <vt:lpwstr>https://content-v2.api.worksafe.vic.gov.au/sites/default/files/2022-03/ISBN-Guide-to-incident-notification-2022-03.pdf</vt:lpwstr>
      </vt:variant>
      <vt:variant>
        <vt:lpwstr/>
      </vt:variant>
      <vt:variant>
        <vt:i4>2097192</vt:i4>
      </vt:variant>
      <vt:variant>
        <vt:i4>39</vt:i4>
      </vt:variant>
      <vt:variant>
        <vt:i4>0</vt:i4>
      </vt:variant>
      <vt:variant>
        <vt:i4>5</vt:i4>
      </vt:variant>
      <vt:variant>
        <vt:lpwstr>https://www.safeworkaustralia.gov.au/sites/default/files/2022-06/model_whs_bill_-_14_april_2022.pdf</vt:lpwstr>
      </vt:variant>
      <vt:variant>
        <vt:lpwstr/>
      </vt:variant>
      <vt:variant>
        <vt:i4>1048656</vt:i4>
      </vt:variant>
      <vt:variant>
        <vt:i4>36</vt:i4>
      </vt:variant>
      <vt:variant>
        <vt:i4>0</vt:i4>
      </vt:variant>
      <vt:variant>
        <vt:i4>5</vt:i4>
      </vt:variant>
      <vt:variant>
        <vt:lpwstr>https://www.fsc.gov.au/sites/default/files/2023-02/FSC Online WHS Report Guide February 2020.pdf</vt:lpwstr>
      </vt:variant>
      <vt:variant>
        <vt:lpwstr/>
      </vt:variant>
      <vt:variant>
        <vt:i4>3670136</vt:i4>
      </vt:variant>
      <vt:variant>
        <vt:i4>33</vt:i4>
      </vt:variant>
      <vt:variant>
        <vt:i4>0</vt:i4>
      </vt:variant>
      <vt:variant>
        <vt:i4>5</vt:i4>
      </vt:variant>
      <vt:variant>
        <vt:lpwstr>https://data.safeworkaustralia.gov.au/interactive-data/lost-time-injury-frequency-rates</vt:lpwstr>
      </vt:variant>
      <vt:variant>
        <vt:lpwstr/>
      </vt:variant>
      <vt:variant>
        <vt:i4>4063334</vt:i4>
      </vt:variant>
      <vt:variant>
        <vt:i4>30</vt:i4>
      </vt:variant>
      <vt:variant>
        <vt:i4>0</vt:i4>
      </vt:variant>
      <vt:variant>
        <vt:i4>5</vt:i4>
      </vt:variant>
      <vt:variant>
        <vt:lpwstr>https://www.safeworkaustralia.gov.au/doc/workers-compensation-premiums-24th</vt:lpwstr>
      </vt:variant>
      <vt:variant>
        <vt:lpwstr/>
      </vt:variant>
      <vt:variant>
        <vt:i4>8192047</vt:i4>
      </vt:variant>
      <vt:variant>
        <vt:i4>27</vt:i4>
      </vt:variant>
      <vt:variant>
        <vt:i4>0</vt:i4>
      </vt:variant>
      <vt:variant>
        <vt:i4>5</vt:i4>
      </vt:variant>
      <vt:variant>
        <vt:lpwstr>https://www.safeworkaustralia.gov.au/sites/default/files/2023-01/key_whs_stats_2022_17jan2023.pdf</vt:lpwstr>
      </vt:variant>
      <vt:variant>
        <vt:lpwstr/>
      </vt:variant>
      <vt:variant>
        <vt:i4>2424880</vt:i4>
      </vt:variant>
      <vt:variant>
        <vt:i4>24</vt:i4>
      </vt:variant>
      <vt:variant>
        <vt:i4>0</vt:i4>
      </vt:variant>
      <vt:variant>
        <vt:i4>5</vt:i4>
      </vt:variant>
      <vt:variant>
        <vt:lpwstr>https://data.safeworkaustralia.gov.au/data-collection/work-related-fatalities-data</vt:lpwstr>
      </vt:variant>
      <vt:variant>
        <vt:lpwstr/>
      </vt:variant>
      <vt:variant>
        <vt:i4>8192047</vt:i4>
      </vt:variant>
      <vt:variant>
        <vt:i4>21</vt:i4>
      </vt:variant>
      <vt:variant>
        <vt:i4>0</vt:i4>
      </vt:variant>
      <vt:variant>
        <vt:i4>5</vt:i4>
      </vt:variant>
      <vt:variant>
        <vt:lpwstr>https://www.safeworkaustralia.gov.au/sites/default/files/2023-01/key_whs_stats_2022_17jan2023.pdf</vt:lpwstr>
      </vt:variant>
      <vt:variant>
        <vt:lpwstr/>
      </vt:variant>
      <vt:variant>
        <vt:i4>917597</vt:i4>
      </vt:variant>
      <vt:variant>
        <vt:i4>18</vt:i4>
      </vt:variant>
      <vt:variant>
        <vt:i4>0</vt:i4>
      </vt:variant>
      <vt:variant>
        <vt:i4>5</vt:i4>
      </vt:variant>
      <vt:variant>
        <vt:lpwstr/>
      </vt:variant>
      <vt:variant>
        <vt:lpwstr>_3.3.1_Reporting_Requirements_1</vt:lpwstr>
      </vt:variant>
      <vt:variant>
        <vt:i4>983128</vt:i4>
      </vt:variant>
      <vt:variant>
        <vt:i4>15</vt:i4>
      </vt:variant>
      <vt:variant>
        <vt:i4>0</vt:i4>
      </vt:variant>
      <vt:variant>
        <vt:i4>5</vt:i4>
      </vt:variant>
      <vt:variant>
        <vt:lpwstr>https://www.fsc.gov.au/sites/default/files/2023-02/Company Compliance Policy.pdf</vt:lpwstr>
      </vt:variant>
      <vt:variant>
        <vt:lpwstr/>
      </vt:variant>
      <vt:variant>
        <vt:i4>1966103</vt:i4>
      </vt:variant>
      <vt:variant>
        <vt:i4>12</vt:i4>
      </vt:variant>
      <vt:variant>
        <vt:i4>0</vt:i4>
      </vt:variant>
      <vt:variant>
        <vt:i4>5</vt:i4>
      </vt:variant>
      <vt:variant>
        <vt:lpwstr>https://www.fsc.gov.au/sites/default/files/2022-08/FSC Audit Criteria Guidelines.pdf</vt:lpwstr>
      </vt:variant>
      <vt:variant>
        <vt:lpwstr/>
      </vt:variant>
      <vt:variant>
        <vt:i4>5242974</vt:i4>
      </vt:variant>
      <vt:variant>
        <vt:i4>9</vt:i4>
      </vt:variant>
      <vt:variant>
        <vt:i4>0</vt:i4>
      </vt:variant>
      <vt:variant>
        <vt:i4>5</vt:i4>
      </vt:variant>
      <vt:variant>
        <vt:lpwstr/>
      </vt:variant>
      <vt:variant>
        <vt:lpwstr>_Question_8</vt:lpwstr>
      </vt:variant>
      <vt:variant>
        <vt:i4>8323115</vt:i4>
      </vt:variant>
      <vt:variant>
        <vt:i4>6</vt:i4>
      </vt:variant>
      <vt:variant>
        <vt:i4>0</vt:i4>
      </vt:variant>
      <vt:variant>
        <vt:i4>5</vt:i4>
      </vt:variant>
      <vt:variant>
        <vt:lpwstr>https://www.legislation.gov.au/Details/F2019L00320</vt:lpwstr>
      </vt:variant>
      <vt:variant>
        <vt:lpwstr/>
      </vt:variant>
      <vt:variant>
        <vt:i4>5046377</vt:i4>
      </vt:variant>
      <vt:variant>
        <vt:i4>3</vt:i4>
      </vt:variant>
      <vt:variant>
        <vt:i4>0</vt:i4>
      </vt:variant>
      <vt:variant>
        <vt:i4>5</vt:i4>
      </vt:variant>
      <vt:variant>
        <vt:lpwstr/>
      </vt:variant>
      <vt:variant>
        <vt:lpwstr>_The_Review_Process</vt:lpwstr>
      </vt:variant>
      <vt:variant>
        <vt:i4>4849749</vt:i4>
      </vt:variant>
      <vt:variant>
        <vt:i4>0</vt:i4>
      </vt:variant>
      <vt:variant>
        <vt:i4>0</vt:i4>
      </vt:variant>
      <vt:variant>
        <vt:i4>5</vt:i4>
      </vt:variant>
      <vt:variant>
        <vt:lpwstr>https://www.safeworkaustralia.gov.au/doc/key-work-health-and-safety-statistics-australia-2022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Review of the Federal Safety Commissioner – Discussion Paper 30 June 2023</dc:title>
  <dc:subject/>
  <dc:creator/>
  <cp:keywords/>
  <dc:description/>
  <cp:lastModifiedBy/>
  <cp:revision>1</cp:revision>
  <dcterms:created xsi:type="dcterms:W3CDTF">2023-07-02T23:25:00Z</dcterms:created>
  <dcterms:modified xsi:type="dcterms:W3CDTF">2023-07-02T23:26:00Z</dcterms:modified>
</cp:coreProperties>
</file>