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613" w:rsidRDefault="00735613" w:rsidP="00735613">
      <w:pPr>
        <w:autoSpaceDE w:val="0"/>
        <w:autoSpaceDN w:val="0"/>
        <w:adjustRightInd w:val="0"/>
        <w:spacing w:line="240" w:lineRule="auto"/>
        <w:rPr>
          <w:rFonts w:ascii="Times New Roman" w:hAnsi="Times New Roman"/>
          <w:b/>
          <w:bCs/>
          <w:sz w:val="22"/>
          <w:szCs w:val="22"/>
        </w:rPr>
      </w:pPr>
      <w:bookmarkStart w:id="0" w:name="Note_DPLTABLE1" w:colFirst="0" w:colLast="0"/>
      <w:bookmarkStart w:id="1" w:name="_GoBack"/>
      <w:bookmarkEnd w:id="1"/>
    </w:p>
    <w:p w:rsidR="00735613" w:rsidRDefault="00735613" w:rsidP="00735613">
      <w:pPr>
        <w:autoSpaceDE w:val="0"/>
        <w:autoSpaceDN w:val="0"/>
        <w:adjustRightInd w:val="0"/>
        <w:spacing w:line="240" w:lineRule="auto"/>
        <w:rPr>
          <w:rFonts w:ascii="Times New Roman" w:hAnsi="Times New Roman"/>
          <w:b/>
          <w:bCs/>
          <w:sz w:val="22"/>
          <w:szCs w:val="22"/>
        </w:rPr>
      </w:pPr>
    </w:p>
    <w:p w:rsidR="00735613" w:rsidRPr="00BD5364" w:rsidRDefault="00735613" w:rsidP="00735613">
      <w:pPr>
        <w:pStyle w:val="Heading2"/>
        <w:rPr>
          <w:rFonts w:ascii="Times New Roman" w:hAnsi="Times New Roman" w:cs="Times New Roman"/>
          <w:b/>
          <w:i w:val="0"/>
          <w:sz w:val="22"/>
          <w:szCs w:val="22"/>
        </w:rPr>
      </w:pPr>
      <w:r w:rsidRPr="00BD5364">
        <w:rPr>
          <w:rFonts w:ascii="Times New Roman" w:hAnsi="Times New Roman" w:cs="Times New Roman"/>
          <w:b/>
          <w:i w:val="0"/>
          <w:sz w:val="22"/>
          <w:szCs w:val="22"/>
        </w:rPr>
        <w:t>INDEPENDENT AUDITOR'S REPORT</w:t>
      </w:r>
    </w:p>
    <w:p w:rsidR="00735613" w:rsidRDefault="00735613" w:rsidP="00735613">
      <w:pPr>
        <w:autoSpaceDE w:val="0"/>
        <w:autoSpaceDN w:val="0"/>
        <w:adjustRightInd w:val="0"/>
        <w:spacing w:line="240" w:lineRule="auto"/>
        <w:rPr>
          <w:rFonts w:ascii="Times New Roman" w:hAnsi="Times New Roman"/>
          <w:b/>
          <w:bCs/>
          <w:sz w:val="22"/>
          <w:szCs w:val="22"/>
        </w:rPr>
      </w:pPr>
      <w:r>
        <w:rPr>
          <w:rFonts w:ascii="Times New Roman" w:hAnsi="Times New Roman"/>
          <w:b/>
          <w:bCs/>
          <w:sz w:val="22"/>
          <w:szCs w:val="22"/>
        </w:rPr>
        <w:t>To the Minister for Education and Training</w:t>
      </w:r>
    </w:p>
    <w:p w:rsidR="00735613" w:rsidRDefault="00735613" w:rsidP="00735613">
      <w:pPr>
        <w:autoSpaceDE w:val="0"/>
        <w:autoSpaceDN w:val="0"/>
        <w:adjustRightInd w:val="0"/>
        <w:spacing w:line="240" w:lineRule="auto"/>
        <w:rPr>
          <w:rFonts w:ascii="Times New Roman" w:hAnsi="Times New Roman"/>
          <w:b/>
          <w:bCs/>
          <w:sz w:val="22"/>
          <w:szCs w:val="22"/>
        </w:rPr>
      </w:pPr>
    </w:p>
    <w:p w:rsidR="00735613" w:rsidRDefault="00735613" w:rsidP="00735613">
      <w:pPr>
        <w:autoSpaceDE w:val="0"/>
        <w:autoSpaceDN w:val="0"/>
        <w:adjustRightInd w:val="0"/>
        <w:spacing w:line="240" w:lineRule="auto"/>
        <w:jc w:val="both"/>
        <w:rPr>
          <w:rFonts w:ascii="Times New Roman" w:hAnsi="Times New Roman"/>
          <w:sz w:val="22"/>
          <w:szCs w:val="22"/>
        </w:rPr>
      </w:pPr>
      <w:r>
        <w:rPr>
          <w:rFonts w:ascii="Times New Roman" w:hAnsi="Times New Roman"/>
          <w:sz w:val="22"/>
          <w:szCs w:val="22"/>
        </w:rPr>
        <w:t>I have audited the accompanying annual financial statements of the Department of Education Training for the year ended 30 June 2015, which comprise:</w:t>
      </w:r>
    </w:p>
    <w:p w:rsidR="00735613" w:rsidRPr="00466E22" w:rsidRDefault="00735613" w:rsidP="00735613">
      <w:pPr>
        <w:autoSpaceDE w:val="0"/>
        <w:autoSpaceDN w:val="0"/>
        <w:adjustRightInd w:val="0"/>
        <w:spacing w:line="240" w:lineRule="auto"/>
        <w:rPr>
          <w:rFonts w:ascii="Times New Roman" w:hAnsi="Times New Roman"/>
          <w:sz w:val="28"/>
          <w:szCs w:val="22"/>
        </w:rPr>
      </w:pPr>
    </w:p>
    <w:p w:rsidR="00735613" w:rsidRPr="00466E22" w:rsidRDefault="00735613" w:rsidP="00735613">
      <w:pPr>
        <w:pStyle w:val="ListParagraph"/>
        <w:numPr>
          <w:ilvl w:val="0"/>
          <w:numId w:val="36"/>
        </w:numPr>
        <w:autoSpaceDE w:val="0"/>
        <w:autoSpaceDN w:val="0"/>
        <w:adjustRightInd w:val="0"/>
        <w:spacing w:line="240" w:lineRule="auto"/>
        <w:ind w:left="426"/>
        <w:rPr>
          <w:rFonts w:ascii="Times New Roman" w:hAnsi="Times New Roman"/>
          <w:sz w:val="22"/>
        </w:rPr>
      </w:pPr>
      <w:r w:rsidRPr="00466E22">
        <w:rPr>
          <w:rFonts w:ascii="Times New Roman" w:hAnsi="Times New Roman"/>
          <w:sz w:val="22"/>
        </w:rPr>
        <w:t>Statement by the Chief Executive and Chief Finance Officer;</w:t>
      </w:r>
    </w:p>
    <w:p w:rsidR="00735613" w:rsidRPr="00466E22" w:rsidRDefault="00735613" w:rsidP="00735613">
      <w:pPr>
        <w:pStyle w:val="ListParagraph"/>
        <w:numPr>
          <w:ilvl w:val="0"/>
          <w:numId w:val="36"/>
        </w:numPr>
        <w:autoSpaceDE w:val="0"/>
        <w:autoSpaceDN w:val="0"/>
        <w:adjustRightInd w:val="0"/>
        <w:spacing w:line="240" w:lineRule="auto"/>
        <w:ind w:left="426"/>
        <w:rPr>
          <w:rFonts w:ascii="Times New Roman" w:hAnsi="Times New Roman"/>
          <w:sz w:val="22"/>
        </w:rPr>
      </w:pPr>
      <w:r w:rsidRPr="00466E22">
        <w:rPr>
          <w:rFonts w:ascii="Times New Roman" w:hAnsi="Times New Roman"/>
          <w:sz w:val="22"/>
        </w:rPr>
        <w:t>Statement of Comprehensive Income;</w:t>
      </w:r>
    </w:p>
    <w:p w:rsidR="00735613" w:rsidRPr="00466E22" w:rsidRDefault="00735613" w:rsidP="00735613">
      <w:pPr>
        <w:pStyle w:val="ListParagraph"/>
        <w:numPr>
          <w:ilvl w:val="0"/>
          <w:numId w:val="36"/>
        </w:numPr>
        <w:autoSpaceDE w:val="0"/>
        <w:autoSpaceDN w:val="0"/>
        <w:adjustRightInd w:val="0"/>
        <w:spacing w:line="240" w:lineRule="auto"/>
        <w:ind w:left="426"/>
        <w:rPr>
          <w:rFonts w:ascii="Times New Roman" w:hAnsi="Times New Roman"/>
          <w:sz w:val="22"/>
        </w:rPr>
      </w:pPr>
      <w:r w:rsidRPr="00466E22">
        <w:rPr>
          <w:rFonts w:ascii="Times New Roman" w:hAnsi="Times New Roman"/>
          <w:sz w:val="22"/>
        </w:rPr>
        <w:t>Statement of Financial Position;</w:t>
      </w:r>
    </w:p>
    <w:p w:rsidR="00735613" w:rsidRPr="00466E22" w:rsidRDefault="00735613" w:rsidP="00735613">
      <w:pPr>
        <w:pStyle w:val="ListParagraph"/>
        <w:numPr>
          <w:ilvl w:val="0"/>
          <w:numId w:val="36"/>
        </w:numPr>
        <w:autoSpaceDE w:val="0"/>
        <w:autoSpaceDN w:val="0"/>
        <w:adjustRightInd w:val="0"/>
        <w:spacing w:line="240" w:lineRule="auto"/>
        <w:ind w:left="426"/>
        <w:rPr>
          <w:rFonts w:ascii="Times New Roman" w:hAnsi="Times New Roman"/>
          <w:sz w:val="22"/>
        </w:rPr>
      </w:pPr>
      <w:r w:rsidRPr="00466E22">
        <w:rPr>
          <w:rFonts w:ascii="Times New Roman" w:hAnsi="Times New Roman"/>
          <w:sz w:val="22"/>
        </w:rPr>
        <w:t>Statement of Changes in Equity;</w:t>
      </w:r>
    </w:p>
    <w:p w:rsidR="00735613" w:rsidRPr="00466E22" w:rsidRDefault="00735613" w:rsidP="00735613">
      <w:pPr>
        <w:pStyle w:val="ListParagraph"/>
        <w:numPr>
          <w:ilvl w:val="0"/>
          <w:numId w:val="36"/>
        </w:numPr>
        <w:autoSpaceDE w:val="0"/>
        <w:autoSpaceDN w:val="0"/>
        <w:adjustRightInd w:val="0"/>
        <w:spacing w:line="240" w:lineRule="auto"/>
        <w:ind w:left="426"/>
        <w:rPr>
          <w:rFonts w:ascii="Times New Roman" w:hAnsi="Times New Roman"/>
          <w:sz w:val="22"/>
        </w:rPr>
      </w:pPr>
      <w:r w:rsidRPr="00466E22">
        <w:rPr>
          <w:rFonts w:ascii="Times New Roman" w:hAnsi="Times New Roman"/>
          <w:sz w:val="22"/>
        </w:rPr>
        <w:t>Cash Flow Statement;</w:t>
      </w:r>
    </w:p>
    <w:p w:rsidR="00735613" w:rsidRPr="00466E22" w:rsidRDefault="00735613" w:rsidP="00735613">
      <w:pPr>
        <w:pStyle w:val="ListParagraph"/>
        <w:numPr>
          <w:ilvl w:val="0"/>
          <w:numId w:val="36"/>
        </w:numPr>
        <w:autoSpaceDE w:val="0"/>
        <w:autoSpaceDN w:val="0"/>
        <w:adjustRightInd w:val="0"/>
        <w:spacing w:line="240" w:lineRule="auto"/>
        <w:ind w:left="426"/>
        <w:rPr>
          <w:rFonts w:ascii="Times New Roman" w:hAnsi="Times New Roman"/>
          <w:sz w:val="22"/>
        </w:rPr>
      </w:pPr>
      <w:r w:rsidRPr="00466E22">
        <w:rPr>
          <w:rFonts w:ascii="Times New Roman" w:hAnsi="Times New Roman"/>
          <w:sz w:val="22"/>
        </w:rPr>
        <w:t>Schedule of Commitments;</w:t>
      </w:r>
    </w:p>
    <w:p w:rsidR="00735613" w:rsidRPr="00466E22" w:rsidRDefault="00735613" w:rsidP="00735613">
      <w:pPr>
        <w:pStyle w:val="ListParagraph"/>
        <w:numPr>
          <w:ilvl w:val="0"/>
          <w:numId w:val="36"/>
        </w:numPr>
        <w:autoSpaceDE w:val="0"/>
        <w:autoSpaceDN w:val="0"/>
        <w:adjustRightInd w:val="0"/>
        <w:spacing w:line="240" w:lineRule="auto"/>
        <w:ind w:left="426"/>
        <w:rPr>
          <w:rFonts w:ascii="Times New Roman" w:hAnsi="Times New Roman"/>
          <w:sz w:val="22"/>
        </w:rPr>
      </w:pPr>
      <w:r w:rsidRPr="00466E22">
        <w:rPr>
          <w:rFonts w:ascii="Times New Roman" w:hAnsi="Times New Roman"/>
          <w:sz w:val="22"/>
        </w:rPr>
        <w:t>Administered Schedule of Comprehensive Income;</w:t>
      </w:r>
    </w:p>
    <w:p w:rsidR="00735613" w:rsidRPr="00466E22" w:rsidRDefault="00735613" w:rsidP="00735613">
      <w:pPr>
        <w:pStyle w:val="ListParagraph"/>
        <w:numPr>
          <w:ilvl w:val="0"/>
          <w:numId w:val="36"/>
        </w:numPr>
        <w:autoSpaceDE w:val="0"/>
        <w:autoSpaceDN w:val="0"/>
        <w:adjustRightInd w:val="0"/>
        <w:spacing w:line="240" w:lineRule="auto"/>
        <w:ind w:left="426"/>
        <w:rPr>
          <w:rFonts w:ascii="Times New Roman" w:hAnsi="Times New Roman"/>
          <w:sz w:val="22"/>
        </w:rPr>
      </w:pPr>
      <w:r w:rsidRPr="00466E22">
        <w:rPr>
          <w:rFonts w:ascii="Times New Roman" w:hAnsi="Times New Roman"/>
          <w:sz w:val="22"/>
        </w:rPr>
        <w:t>Administered Schedule of Assets and Liabilities;</w:t>
      </w:r>
    </w:p>
    <w:p w:rsidR="00735613" w:rsidRPr="00466E22" w:rsidRDefault="00735613" w:rsidP="00735613">
      <w:pPr>
        <w:pStyle w:val="ListParagraph"/>
        <w:numPr>
          <w:ilvl w:val="0"/>
          <w:numId w:val="36"/>
        </w:numPr>
        <w:autoSpaceDE w:val="0"/>
        <w:autoSpaceDN w:val="0"/>
        <w:adjustRightInd w:val="0"/>
        <w:spacing w:line="240" w:lineRule="auto"/>
        <w:ind w:left="426"/>
        <w:rPr>
          <w:rFonts w:ascii="Times New Roman" w:hAnsi="Times New Roman"/>
          <w:sz w:val="22"/>
        </w:rPr>
      </w:pPr>
      <w:r w:rsidRPr="00466E22">
        <w:rPr>
          <w:rFonts w:ascii="Times New Roman" w:hAnsi="Times New Roman"/>
          <w:sz w:val="22"/>
        </w:rPr>
        <w:t>Administered Reconciliation Schedule;</w:t>
      </w:r>
    </w:p>
    <w:p w:rsidR="00735613" w:rsidRPr="00466E22" w:rsidRDefault="00735613" w:rsidP="00735613">
      <w:pPr>
        <w:pStyle w:val="ListParagraph"/>
        <w:numPr>
          <w:ilvl w:val="0"/>
          <w:numId w:val="36"/>
        </w:numPr>
        <w:autoSpaceDE w:val="0"/>
        <w:autoSpaceDN w:val="0"/>
        <w:adjustRightInd w:val="0"/>
        <w:spacing w:line="240" w:lineRule="auto"/>
        <w:ind w:left="426"/>
        <w:rPr>
          <w:rFonts w:ascii="Times New Roman" w:hAnsi="Times New Roman"/>
          <w:sz w:val="22"/>
        </w:rPr>
      </w:pPr>
      <w:r w:rsidRPr="00466E22">
        <w:rPr>
          <w:rFonts w:ascii="Times New Roman" w:hAnsi="Times New Roman"/>
          <w:sz w:val="22"/>
        </w:rPr>
        <w:t>Administered Cash Flow Statement;</w:t>
      </w:r>
    </w:p>
    <w:p w:rsidR="00735613" w:rsidRPr="00466E22" w:rsidRDefault="00735613" w:rsidP="00735613">
      <w:pPr>
        <w:pStyle w:val="ListParagraph"/>
        <w:numPr>
          <w:ilvl w:val="0"/>
          <w:numId w:val="36"/>
        </w:numPr>
        <w:autoSpaceDE w:val="0"/>
        <w:autoSpaceDN w:val="0"/>
        <w:adjustRightInd w:val="0"/>
        <w:spacing w:line="240" w:lineRule="auto"/>
        <w:ind w:left="426"/>
        <w:rPr>
          <w:rFonts w:ascii="Times New Roman" w:hAnsi="Times New Roman"/>
          <w:sz w:val="22"/>
        </w:rPr>
      </w:pPr>
      <w:r w:rsidRPr="00466E22">
        <w:rPr>
          <w:rFonts w:ascii="Times New Roman" w:hAnsi="Times New Roman"/>
          <w:sz w:val="22"/>
        </w:rPr>
        <w:t>Schedule of Administered Commitments; and</w:t>
      </w:r>
    </w:p>
    <w:p w:rsidR="00735613" w:rsidRPr="00466E22" w:rsidRDefault="00735613" w:rsidP="00735613">
      <w:pPr>
        <w:pStyle w:val="ListParagraph"/>
        <w:numPr>
          <w:ilvl w:val="0"/>
          <w:numId w:val="36"/>
        </w:numPr>
        <w:autoSpaceDE w:val="0"/>
        <w:autoSpaceDN w:val="0"/>
        <w:adjustRightInd w:val="0"/>
        <w:spacing w:line="240" w:lineRule="auto"/>
        <w:ind w:left="426"/>
        <w:rPr>
          <w:rFonts w:ascii="Times New Roman" w:hAnsi="Times New Roman"/>
          <w:sz w:val="22"/>
        </w:rPr>
      </w:pPr>
      <w:r w:rsidRPr="00466E22">
        <w:rPr>
          <w:rFonts w:ascii="Times New Roman" w:hAnsi="Times New Roman"/>
          <w:sz w:val="22"/>
        </w:rPr>
        <w:t>Notes comprising a Summary of Significant Accounting Policies and other explanatory information.</w:t>
      </w:r>
    </w:p>
    <w:p w:rsidR="00735613" w:rsidRPr="00BD5364" w:rsidRDefault="00735613" w:rsidP="00735613">
      <w:pPr>
        <w:pStyle w:val="Heading3"/>
        <w:rPr>
          <w:rFonts w:ascii="Times New Roman" w:hAnsi="Times New Roman" w:cs="Times New Roman"/>
          <w:b/>
          <w:i/>
          <w:sz w:val="22"/>
          <w:szCs w:val="22"/>
        </w:rPr>
      </w:pPr>
      <w:r w:rsidRPr="00BD5364">
        <w:rPr>
          <w:rFonts w:ascii="Times New Roman" w:hAnsi="Times New Roman" w:cs="Times New Roman"/>
          <w:b/>
          <w:i/>
          <w:sz w:val="22"/>
          <w:szCs w:val="22"/>
        </w:rPr>
        <w:t>Chief Executive's Responsibility for the Financial Statements</w:t>
      </w:r>
    </w:p>
    <w:p w:rsidR="00735613" w:rsidRDefault="00735613" w:rsidP="00735613">
      <w:pPr>
        <w:autoSpaceDE w:val="0"/>
        <w:autoSpaceDN w:val="0"/>
        <w:adjustRightInd w:val="0"/>
        <w:spacing w:line="240" w:lineRule="auto"/>
        <w:jc w:val="both"/>
        <w:rPr>
          <w:rFonts w:ascii="Times New Roman" w:hAnsi="Times New Roman"/>
          <w:sz w:val="22"/>
          <w:szCs w:val="22"/>
        </w:rPr>
      </w:pPr>
      <w:r>
        <w:rPr>
          <w:rFonts w:ascii="Times New Roman" w:hAnsi="Times New Roman"/>
          <w:sz w:val="22"/>
          <w:szCs w:val="22"/>
        </w:rPr>
        <w:t xml:space="preserve">The Chief Executive of the Department of Education and Training is responsible under the </w:t>
      </w:r>
      <w:r>
        <w:rPr>
          <w:rFonts w:ascii="Times New Roman" w:hAnsi="Times New Roman"/>
          <w:i/>
          <w:iCs/>
          <w:sz w:val="22"/>
          <w:szCs w:val="22"/>
        </w:rPr>
        <w:t xml:space="preserve">Public Governance, Performance and Accountability Act 2013 </w:t>
      </w:r>
      <w:r>
        <w:rPr>
          <w:rFonts w:ascii="Times New Roman" w:hAnsi="Times New Roman"/>
          <w:sz w:val="22"/>
          <w:szCs w:val="22"/>
        </w:rPr>
        <w:t>for the preparation and fair presentation of annual financial statements that comply with Australian Accounting Standards and the rules made under that Act. The Chief Executive is also responsible for such internal control as is necessary to enable the preparation and fair presentation of financial statements that are free from material misstatement, whether due to fraud or error.</w:t>
      </w:r>
    </w:p>
    <w:p w:rsidR="00735613" w:rsidRPr="00BD5364" w:rsidRDefault="00735613" w:rsidP="00735613">
      <w:pPr>
        <w:pStyle w:val="Heading3"/>
        <w:rPr>
          <w:rFonts w:ascii="Times New Roman" w:hAnsi="Times New Roman" w:cs="Times New Roman"/>
          <w:b/>
          <w:i/>
          <w:sz w:val="22"/>
          <w:szCs w:val="22"/>
        </w:rPr>
      </w:pPr>
      <w:r w:rsidRPr="00BD5364">
        <w:rPr>
          <w:rFonts w:ascii="Times New Roman" w:hAnsi="Times New Roman" w:cs="Times New Roman"/>
          <w:b/>
          <w:i/>
          <w:sz w:val="22"/>
          <w:szCs w:val="22"/>
        </w:rPr>
        <w:t>Auditor's Responsibility</w:t>
      </w:r>
    </w:p>
    <w:p w:rsidR="00735613" w:rsidRDefault="00735613" w:rsidP="00735613">
      <w:pPr>
        <w:autoSpaceDE w:val="0"/>
        <w:autoSpaceDN w:val="0"/>
        <w:adjustRightInd w:val="0"/>
        <w:spacing w:line="240" w:lineRule="auto"/>
        <w:jc w:val="both"/>
        <w:rPr>
          <w:rFonts w:ascii="Times New Roman" w:hAnsi="Times New Roman"/>
          <w:sz w:val="22"/>
          <w:szCs w:val="22"/>
        </w:rPr>
      </w:pPr>
      <w:r>
        <w:rPr>
          <w:rFonts w:ascii="Times New Roman" w:hAnsi="Times New Roman"/>
          <w:sz w:val="22"/>
          <w:szCs w:val="22"/>
        </w:rPr>
        <w:t>My responsibility is to express an opinion on the financial statements based on my audit. I have conducted my audit in accordance with the Australian National Audit Office Auditing Standards, which incorporate the Australian Auditing Standards. These auditing standards require that I comply with relevant ethical requirements relating to audit engagements and plan and perform the audit to obtain reasonable assurance about whether the financial statements are free from material misstatement.</w:t>
      </w:r>
    </w:p>
    <w:p w:rsidR="00735613" w:rsidRDefault="00735613" w:rsidP="00735613">
      <w:pPr>
        <w:spacing w:after="200" w:line="276" w:lineRule="auto"/>
        <w:rPr>
          <w:rFonts w:ascii="Times New Roman" w:hAnsi="Times New Roman"/>
          <w:sz w:val="22"/>
          <w:szCs w:val="22"/>
        </w:rPr>
      </w:pPr>
      <w:r>
        <w:rPr>
          <w:rFonts w:ascii="Times New Roman" w:hAnsi="Times New Roman"/>
          <w:sz w:val="22"/>
          <w:szCs w:val="22"/>
        </w:rPr>
        <w:br w:type="page"/>
      </w:r>
    </w:p>
    <w:p w:rsidR="00735613" w:rsidRDefault="00735613" w:rsidP="00735613">
      <w:pPr>
        <w:autoSpaceDE w:val="0"/>
        <w:autoSpaceDN w:val="0"/>
        <w:adjustRightInd w:val="0"/>
        <w:spacing w:line="240" w:lineRule="auto"/>
        <w:jc w:val="both"/>
        <w:rPr>
          <w:rFonts w:ascii="Times New Roman" w:hAnsi="Times New Roman"/>
          <w:sz w:val="22"/>
          <w:szCs w:val="22"/>
        </w:rPr>
      </w:pPr>
      <w:r>
        <w:rPr>
          <w:rFonts w:ascii="Times New Roman" w:hAnsi="Times New Roman"/>
          <w:sz w:val="22"/>
          <w:szCs w:val="22"/>
        </w:rPr>
        <w:lastRenderedPageBreak/>
        <w:t>An audit involves performing procedures to obtain audit evidence about the amounts and disclosures in the financial statements. The procedures selected depend on the auditor's judgement,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 An audit also includes evaluating the appropriateness of the accounting policies used and the reasonableness of accounting estimates made by the Chief Executive of the Department of Education and Training, as well as evaluating the overall presentation of the financial statements. I believe that the audit evidence I have obtained is sufficient and appropriate to provide a basis for my audit opinion.</w:t>
      </w:r>
    </w:p>
    <w:p w:rsidR="00735613" w:rsidRPr="00BD5364" w:rsidRDefault="00735613" w:rsidP="00735613">
      <w:pPr>
        <w:pStyle w:val="Heading3"/>
        <w:rPr>
          <w:rFonts w:ascii="Times New Roman" w:hAnsi="Times New Roman" w:cs="Times New Roman"/>
          <w:b/>
          <w:i/>
          <w:sz w:val="22"/>
          <w:szCs w:val="22"/>
        </w:rPr>
      </w:pPr>
      <w:r w:rsidRPr="00BD5364">
        <w:rPr>
          <w:rFonts w:ascii="Times New Roman" w:hAnsi="Times New Roman" w:cs="Times New Roman"/>
          <w:b/>
          <w:i/>
          <w:sz w:val="22"/>
          <w:szCs w:val="22"/>
        </w:rPr>
        <w:t>Independence</w:t>
      </w:r>
    </w:p>
    <w:p w:rsidR="00735613" w:rsidRDefault="00735613" w:rsidP="00735613">
      <w:pPr>
        <w:autoSpaceDE w:val="0"/>
        <w:autoSpaceDN w:val="0"/>
        <w:adjustRightInd w:val="0"/>
        <w:spacing w:line="240" w:lineRule="auto"/>
        <w:jc w:val="both"/>
        <w:rPr>
          <w:rFonts w:ascii="Times New Roman" w:hAnsi="Times New Roman"/>
          <w:sz w:val="22"/>
          <w:szCs w:val="22"/>
        </w:rPr>
      </w:pPr>
      <w:r>
        <w:rPr>
          <w:rFonts w:ascii="Times New Roman" w:hAnsi="Times New Roman"/>
          <w:sz w:val="22"/>
          <w:szCs w:val="22"/>
        </w:rPr>
        <w:t>In conducting my audit, I have followed the independence requirements of the Australian National Audit Office, which incorporate the requirements of the Australian accounting profession.</w:t>
      </w:r>
    </w:p>
    <w:p w:rsidR="00735613" w:rsidRPr="00BD5364" w:rsidRDefault="00735613" w:rsidP="00735613">
      <w:pPr>
        <w:pStyle w:val="Heading3"/>
        <w:rPr>
          <w:rFonts w:ascii="Times New Roman" w:hAnsi="Times New Roman" w:cs="Times New Roman"/>
          <w:b/>
          <w:i/>
          <w:sz w:val="22"/>
          <w:szCs w:val="22"/>
        </w:rPr>
      </w:pPr>
      <w:r w:rsidRPr="00BD5364">
        <w:rPr>
          <w:rFonts w:ascii="Times New Roman" w:hAnsi="Times New Roman" w:cs="Times New Roman"/>
          <w:b/>
          <w:i/>
          <w:sz w:val="22"/>
          <w:szCs w:val="22"/>
        </w:rPr>
        <w:t>Opinion</w:t>
      </w:r>
    </w:p>
    <w:p w:rsidR="00735613" w:rsidRDefault="00735613" w:rsidP="00735613">
      <w:pPr>
        <w:autoSpaceDE w:val="0"/>
        <w:autoSpaceDN w:val="0"/>
        <w:adjustRightInd w:val="0"/>
        <w:spacing w:after="120" w:line="240" w:lineRule="auto"/>
        <w:jc w:val="both"/>
        <w:rPr>
          <w:rFonts w:ascii="Times New Roman" w:hAnsi="Times New Roman"/>
          <w:sz w:val="22"/>
          <w:szCs w:val="22"/>
        </w:rPr>
      </w:pPr>
      <w:r>
        <w:rPr>
          <w:rFonts w:ascii="Times New Roman" w:hAnsi="Times New Roman"/>
          <w:sz w:val="22"/>
          <w:szCs w:val="22"/>
        </w:rPr>
        <w:t>In my opinion, the financial statements of the Department of Education and Training:</w:t>
      </w:r>
    </w:p>
    <w:p w:rsidR="00735613" w:rsidRPr="00466E22" w:rsidRDefault="00735613" w:rsidP="00735613">
      <w:pPr>
        <w:pStyle w:val="ListParagraph"/>
        <w:numPr>
          <w:ilvl w:val="0"/>
          <w:numId w:val="37"/>
        </w:numPr>
        <w:autoSpaceDE w:val="0"/>
        <w:autoSpaceDN w:val="0"/>
        <w:adjustRightInd w:val="0"/>
        <w:spacing w:line="240" w:lineRule="auto"/>
        <w:ind w:left="426"/>
        <w:rPr>
          <w:rFonts w:ascii="Times New Roman" w:hAnsi="Times New Roman"/>
          <w:sz w:val="22"/>
        </w:rPr>
      </w:pPr>
      <w:r w:rsidRPr="00466E22">
        <w:rPr>
          <w:rFonts w:ascii="Times New Roman" w:hAnsi="Times New Roman"/>
          <w:sz w:val="22"/>
        </w:rPr>
        <w:t xml:space="preserve">comply with Australian Accounting Standards and the </w:t>
      </w:r>
      <w:r w:rsidRPr="00466E22">
        <w:rPr>
          <w:rFonts w:ascii="Times New Roman" w:hAnsi="Times New Roman"/>
          <w:i/>
          <w:iCs/>
          <w:sz w:val="22"/>
        </w:rPr>
        <w:t xml:space="preserve">Public Governance, Performance and Accountability (Financial Reporting) Rule 2015; </w:t>
      </w:r>
      <w:r w:rsidRPr="00466E22">
        <w:rPr>
          <w:rFonts w:ascii="Times New Roman" w:hAnsi="Times New Roman"/>
          <w:sz w:val="22"/>
        </w:rPr>
        <w:t>and</w:t>
      </w:r>
    </w:p>
    <w:p w:rsidR="00735613" w:rsidRPr="00466E22" w:rsidRDefault="00735613" w:rsidP="00735613">
      <w:pPr>
        <w:pStyle w:val="ListParagraph"/>
        <w:numPr>
          <w:ilvl w:val="0"/>
          <w:numId w:val="37"/>
        </w:numPr>
        <w:autoSpaceDE w:val="0"/>
        <w:autoSpaceDN w:val="0"/>
        <w:adjustRightInd w:val="0"/>
        <w:spacing w:line="240" w:lineRule="auto"/>
        <w:ind w:left="426"/>
        <w:rPr>
          <w:rFonts w:ascii="Times New Roman" w:hAnsi="Times New Roman"/>
          <w:sz w:val="22"/>
        </w:rPr>
      </w:pPr>
      <w:proofErr w:type="gramStart"/>
      <w:r w:rsidRPr="00466E22">
        <w:rPr>
          <w:rFonts w:ascii="Times New Roman" w:hAnsi="Times New Roman"/>
          <w:sz w:val="22"/>
        </w:rPr>
        <w:t>present</w:t>
      </w:r>
      <w:proofErr w:type="gramEnd"/>
      <w:r w:rsidRPr="00466E22">
        <w:rPr>
          <w:rFonts w:ascii="Times New Roman" w:hAnsi="Times New Roman"/>
          <w:sz w:val="22"/>
        </w:rPr>
        <w:t xml:space="preserve"> fairly the financial position of the Department of Education and Training as at 30 June 2015 and its financial performance and cash flows for the year then ended.</w:t>
      </w:r>
    </w:p>
    <w:p w:rsidR="00735613" w:rsidRDefault="00735613" w:rsidP="00735613">
      <w:pPr>
        <w:autoSpaceDE w:val="0"/>
        <w:autoSpaceDN w:val="0"/>
        <w:adjustRightInd w:val="0"/>
        <w:spacing w:line="240" w:lineRule="auto"/>
        <w:rPr>
          <w:rFonts w:ascii="Times New Roman" w:hAnsi="Times New Roman"/>
          <w:sz w:val="22"/>
          <w:szCs w:val="22"/>
        </w:rPr>
      </w:pPr>
    </w:p>
    <w:p w:rsidR="00735613" w:rsidRDefault="00735613" w:rsidP="00735613">
      <w:pPr>
        <w:autoSpaceDE w:val="0"/>
        <w:autoSpaceDN w:val="0"/>
        <w:adjustRightInd w:val="0"/>
        <w:spacing w:line="240" w:lineRule="auto"/>
        <w:rPr>
          <w:rFonts w:ascii="Times New Roman" w:hAnsi="Times New Roman"/>
          <w:sz w:val="22"/>
          <w:szCs w:val="22"/>
        </w:rPr>
      </w:pPr>
    </w:p>
    <w:p w:rsidR="00735613" w:rsidRDefault="00735613" w:rsidP="00735613">
      <w:pPr>
        <w:autoSpaceDE w:val="0"/>
        <w:autoSpaceDN w:val="0"/>
        <w:adjustRightInd w:val="0"/>
        <w:spacing w:line="240" w:lineRule="auto"/>
        <w:rPr>
          <w:rFonts w:ascii="Times New Roman" w:hAnsi="Times New Roman"/>
          <w:sz w:val="22"/>
          <w:szCs w:val="22"/>
        </w:rPr>
      </w:pPr>
      <w:r>
        <w:rPr>
          <w:rFonts w:ascii="Times New Roman" w:hAnsi="Times New Roman"/>
          <w:noProof/>
          <w:sz w:val="22"/>
          <w:szCs w:val="22"/>
          <w:lang w:eastAsia="en-AU"/>
        </w:rPr>
        <w:drawing>
          <wp:anchor distT="0" distB="0" distL="114300" distR="114300" simplePos="0" relativeHeight="251659264" behindDoc="1" locked="0" layoutInCell="1" allowOverlap="1" wp14:anchorId="2F13E3B2" wp14:editId="2912E142">
            <wp:simplePos x="0" y="0"/>
            <wp:positionH relativeFrom="column">
              <wp:posOffset>-447675</wp:posOffset>
            </wp:positionH>
            <wp:positionV relativeFrom="paragraph">
              <wp:posOffset>113665</wp:posOffset>
            </wp:positionV>
            <wp:extent cx="2300605" cy="1143000"/>
            <wp:effectExtent l="0" t="0" r="4445" b="0"/>
            <wp:wrapNone/>
            <wp:docPr id="2" name="Picture 2" descr="John Jon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0605"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2"/>
          <w:szCs w:val="22"/>
        </w:rPr>
        <w:t>Australian National Audit Office</w:t>
      </w:r>
    </w:p>
    <w:p w:rsidR="00735613" w:rsidRDefault="00735613" w:rsidP="00735613">
      <w:pPr>
        <w:autoSpaceDE w:val="0"/>
        <w:autoSpaceDN w:val="0"/>
        <w:adjustRightInd w:val="0"/>
        <w:spacing w:line="240" w:lineRule="auto"/>
        <w:rPr>
          <w:rFonts w:ascii="Times New Roman" w:hAnsi="Times New Roman"/>
          <w:sz w:val="22"/>
          <w:szCs w:val="22"/>
        </w:rPr>
      </w:pPr>
    </w:p>
    <w:p w:rsidR="00735613" w:rsidRDefault="00735613" w:rsidP="00735613">
      <w:pPr>
        <w:autoSpaceDE w:val="0"/>
        <w:autoSpaceDN w:val="0"/>
        <w:adjustRightInd w:val="0"/>
        <w:spacing w:line="240" w:lineRule="auto"/>
        <w:rPr>
          <w:rFonts w:ascii="Times New Roman" w:hAnsi="Times New Roman"/>
          <w:sz w:val="22"/>
          <w:szCs w:val="22"/>
        </w:rPr>
      </w:pPr>
    </w:p>
    <w:p w:rsidR="00735613" w:rsidRDefault="00735613" w:rsidP="00735613">
      <w:pPr>
        <w:autoSpaceDE w:val="0"/>
        <w:autoSpaceDN w:val="0"/>
        <w:adjustRightInd w:val="0"/>
        <w:spacing w:line="240" w:lineRule="auto"/>
        <w:rPr>
          <w:rFonts w:ascii="Times New Roman" w:hAnsi="Times New Roman"/>
          <w:sz w:val="22"/>
          <w:szCs w:val="22"/>
        </w:rPr>
      </w:pPr>
    </w:p>
    <w:p w:rsidR="00735613" w:rsidRDefault="00735613" w:rsidP="00735613">
      <w:pPr>
        <w:autoSpaceDE w:val="0"/>
        <w:autoSpaceDN w:val="0"/>
        <w:adjustRightInd w:val="0"/>
        <w:spacing w:line="240" w:lineRule="auto"/>
        <w:rPr>
          <w:rFonts w:ascii="Times New Roman" w:hAnsi="Times New Roman"/>
          <w:sz w:val="22"/>
          <w:szCs w:val="22"/>
        </w:rPr>
      </w:pPr>
    </w:p>
    <w:p w:rsidR="00735613" w:rsidRDefault="00735613" w:rsidP="00735613">
      <w:pPr>
        <w:autoSpaceDE w:val="0"/>
        <w:autoSpaceDN w:val="0"/>
        <w:adjustRightInd w:val="0"/>
        <w:spacing w:line="240" w:lineRule="auto"/>
        <w:rPr>
          <w:rFonts w:ascii="Times New Roman" w:hAnsi="Times New Roman"/>
          <w:sz w:val="22"/>
          <w:szCs w:val="22"/>
        </w:rPr>
      </w:pPr>
    </w:p>
    <w:p w:rsidR="00735613" w:rsidRDefault="00735613" w:rsidP="00735613">
      <w:pPr>
        <w:autoSpaceDE w:val="0"/>
        <w:autoSpaceDN w:val="0"/>
        <w:adjustRightInd w:val="0"/>
        <w:spacing w:line="240" w:lineRule="auto"/>
        <w:rPr>
          <w:rFonts w:ascii="Times New Roman" w:hAnsi="Times New Roman"/>
          <w:sz w:val="22"/>
          <w:szCs w:val="22"/>
        </w:rPr>
      </w:pPr>
    </w:p>
    <w:p w:rsidR="00735613" w:rsidRDefault="00735613" w:rsidP="00735613">
      <w:pPr>
        <w:autoSpaceDE w:val="0"/>
        <w:autoSpaceDN w:val="0"/>
        <w:adjustRightInd w:val="0"/>
        <w:spacing w:line="240" w:lineRule="auto"/>
        <w:rPr>
          <w:rFonts w:ascii="Times New Roman" w:hAnsi="Times New Roman"/>
          <w:sz w:val="22"/>
          <w:szCs w:val="22"/>
        </w:rPr>
      </w:pPr>
      <w:r>
        <w:rPr>
          <w:rFonts w:ascii="Times New Roman" w:hAnsi="Times New Roman"/>
          <w:sz w:val="22"/>
          <w:szCs w:val="22"/>
        </w:rPr>
        <w:t>John Jones</w:t>
      </w:r>
    </w:p>
    <w:p w:rsidR="00735613" w:rsidRDefault="00735613" w:rsidP="00735613">
      <w:pPr>
        <w:autoSpaceDE w:val="0"/>
        <w:autoSpaceDN w:val="0"/>
        <w:adjustRightInd w:val="0"/>
        <w:spacing w:line="240" w:lineRule="auto"/>
        <w:rPr>
          <w:rFonts w:ascii="Times New Roman" w:hAnsi="Times New Roman"/>
          <w:sz w:val="22"/>
          <w:szCs w:val="22"/>
        </w:rPr>
      </w:pPr>
      <w:r>
        <w:rPr>
          <w:rFonts w:ascii="Times New Roman" w:hAnsi="Times New Roman"/>
          <w:sz w:val="22"/>
          <w:szCs w:val="22"/>
        </w:rPr>
        <w:t>Executive Director</w:t>
      </w:r>
    </w:p>
    <w:p w:rsidR="00735613" w:rsidRDefault="00735613" w:rsidP="00735613">
      <w:pPr>
        <w:autoSpaceDE w:val="0"/>
        <w:autoSpaceDN w:val="0"/>
        <w:adjustRightInd w:val="0"/>
        <w:spacing w:line="240" w:lineRule="auto"/>
        <w:rPr>
          <w:rFonts w:ascii="Times New Roman" w:hAnsi="Times New Roman"/>
          <w:sz w:val="22"/>
          <w:szCs w:val="22"/>
        </w:rPr>
      </w:pPr>
    </w:p>
    <w:p w:rsidR="00735613" w:rsidRDefault="00735613" w:rsidP="00735613">
      <w:pPr>
        <w:autoSpaceDE w:val="0"/>
        <w:autoSpaceDN w:val="0"/>
        <w:adjustRightInd w:val="0"/>
        <w:spacing w:line="240" w:lineRule="auto"/>
        <w:rPr>
          <w:rFonts w:ascii="Times New Roman" w:hAnsi="Times New Roman"/>
          <w:sz w:val="22"/>
          <w:szCs w:val="22"/>
        </w:rPr>
      </w:pPr>
      <w:r>
        <w:rPr>
          <w:rFonts w:ascii="Times New Roman" w:hAnsi="Times New Roman"/>
          <w:sz w:val="22"/>
          <w:szCs w:val="22"/>
        </w:rPr>
        <w:t>Delegate of the Auditor</w:t>
      </w:r>
      <w:r>
        <w:rPr>
          <w:rFonts w:ascii="TimesNewRomanPSMT" w:hAnsi="TimesNewRomanPSMT" w:cs="TimesNewRomanPSMT"/>
          <w:sz w:val="22"/>
          <w:szCs w:val="22"/>
        </w:rPr>
        <w:t>−</w:t>
      </w:r>
      <w:r>
        <w:rPr>
          <w:rFonts w:ascii="Times New Roman" w:hAnsi="Times New Roman"/>
          <w:sz w:val="22"/>
          <w:szCs w:val="22"/>
        </w:rPr>
        <w:t>General</w:t>
      </w:r>
    </w:p>
    <w:p w:rsidR="00735613" w:rsidRDefault="00735613" w:rsidP="00735613">
      <w:pPr>
        <w:autoSpaceDE w:val="0"/>
        <w:autoSpaceDN w:val="0"/>
        <w:adjustRightInd w:val="0"/>
        <w:spacing w:line="240" w:lineRule="auto"/>
        <w:rPr>
          <w:rFonts w:ascii="Times New Roman" w:hAnsi="Times New Roman"/>
          <w:sz w:val="22"/>
          <w:szCs w:val="22"/>
        </w:rPr>
      </w:pPr>
    </w:p>
    <w:p w:rsidR="00735613" w:rsidRDefault="00735613" w:rsidP="00735613">
      <w:pPr>
        <w:autoSpaceDE w:val="0"/>
        <w:autoSpaceDN w:val="0"/>
        <w:adjustRightInd w:val="0"/>
        <w:spacing w:line="240" w:lineRule="auto"/>
        <w:rPr>
          <w:rFonts w:ascii="Times New Roman" w:hAnsi="Times New Roman"/>
          <w:sz w:val="22"/>
          <w:szCs w:val="22"/>
        </w:rPr>
      </w:pPr>
    </w:p>
    <w:p w:rsidR="00735613" w:rsidRDefault="00735613" w:rsidP="00735613">
      <w:pPr>
        <w:autoSpaceDE w:val="0"/>
        <w:autoSpaceDN w:val="0"/>
        <w:adjustRightInd w:val="0"/>
        <w:spacing w:line="240" w:lineRule="auto"/>
        <w:rPr>
          <w:rFonts w:ascii="Times New Roman" w:hAnsi="Times New Roman"/>
          <w:sz w:val="22"/>
          <w:szCs w:val="22"/>
        </w:rPr>
      </w:pPr>
      <w:r>
        <w:rPr>
          <w:rFonts w:ascii="Times New Roman" w:hAnsi="Times New Roman"/>
          <w:sz w:val="22"/>
          <w:szCs w:val="22"/>
        </w:rPr>
        <w:t>Canberra</w:t>
      </w:r>
    </w:p>
    <w:p w:rsidR="00735613" w:rsidRDefault="00735613" w:rsidP="00735613">
      <w:pPr>
        <w:autoSpaceDE w:val="0"/>
        <w:autoSpaceDN w:val="0"/>
        <w:adjustRightInd w:val="0"/>
        <w:spacing w:line="240" w:lineRule="auto"/>
        <w:rPr>
          <w:rFonts w:ascii="Times New Roman" w:hAnsi="Times New Roman"/>
          <w:sz w:val="22"/>
          <w:szCs w:val="22"/>
        </w:rPr>
      </w:pPr>
      <w:r>
        <w:rPr>
          <w:rFonts w:ascii="Times New Roman" w:hAnsi="Times New Roman"/>
          <w:sz w:val="22"/>
          <w:szCs w:val="22"/>
        </w:rPr>
        <w:t>18 September 2015</w:t>
      </w:r>
    </w:p>
    <w:p w:rsidR="00735613" w:rsidRDefault="00735613" w:rsidP="00735613">
      <w:pPr>
        <w:spacing w:after="200" w:line="276" w:lineRule="auto"/>
        <w:rPr>
          <w:rFonts w:ascii="Times New Roman" w:hAnsi="Times New Roman"/>
          <w:sz w:val="22"/>
          <w:szCs w:val="22"/>
        </w:rPr>
      </w:pPr>
      <w:r>
        <w:rPr>
          <w:rFonts w:ascii="Times New Roman" w:hAnsi="Times New Roman"/>
          <w:sz w:val="22"/>
          <w:szCs w:val="22"/>
        </w:rPr>
        <w:br w:type="page"/>
      </w:r>
    </w:p>
    <w:p w:rsidR="00735613" w:rsidRDefault="00735613" w:rsidP="00735613">
      <w:pPr>
        <w:autoSpaceDE w:val="0"/>
        <w:autoSpaceDN w:val="0"/>
        <w:adjustRightInd w:val="0"/>
        <w:spacing w:line="240" w:lineRule="auto"/>
        <w:rPr>
          <w:rFonts w:ascii="Arial" w:hAnsi="Arial" w:cs="Arial"/>
          <w:b/>
          <w:bCs/>
        </w:rPr>
      </w:pPr>
      <w:r>
        <w:rPr>
          <w:rFonts w:ascii="Arial" w:hAnsi="Arial" w:cs="Arial"/>
          <w:b/>
          <w:bCs/>
        </w:rPr>
        <w:lastRenderedPageBreak/>
        <w:t>Department of Education and Training</w:t>
      </w:r>
    </w:p>
    <w:p w:rsidR="00735613" w:rsidRDefault="00735613" w:rsidP="00735613">
      <w:pPr>
        <w:autoSpaceDE w:val="0"/>
        <w:autoSpaceDN w:val="0"/>
        <w:adjustRightInd w:val="0"/>
        <w:spacing w:line="240" w:lineRule="auto"/>
        <w:rPr>
          <w:rFonts w:ascii="Arial" w:hAnsi="Arial" w:cs="Arial"/>
          <w:b/>
          <w:bCs/>
        </w:rPr>
      </w:pPr>
      <w:r>
        <w:rPr>
          <w:rFonts w:ascii="Arial" w:hAnsi="Arial" w:cs="Arial"/>
          <w:b/>
          <w:bCs/>
        </w:rPr>
        <w:t>STATEMENT BY THE CHIEF EXECUTIVE AND CHIEF FINANCE OFFICER</w:t>
      </w:r>
    </w:p>
    <w:p w:rsidR="00735613" w:rsidRDefault="00735613" w:rsidP="00735613">
      <w:pPr>
        <w:autoSpaceDE w:val="0"/>
        <w:autoSpaceDN w:val="0"/>
        <w:adjustRightInd w:val="0"/>
        <w:spacing w:line="240" w:lineRule="auto"/>
        <w:rPr>
          <w:rFonts w:ascii="Arial" w:hAnsi="Arial" w:cs="Arial"/>
          <w:b/>
          <w:bCs/>
        </w:rPr>
      </w:pPr>
    </w:p>
    <w:p w:rsidR="00735613" w:rsidRDefault="00735613" w:rsidP="00735613">
      <w:pPr>
        <w:autoSpaceDE w:val="0"/>
        <w:autoSpaceDN w:val="0"/>
        <w:adjustRightInd w:val="0"/>
        <w:spacing w:line="240" w:lineRule="auto"/>
        <w:rPr>
          <w:rFonts w:ascii="Arial" w:hAnsi="Arial" w:cs="Arial"/>
          <w:b/>
          <w:bCs/>
        </w:rPr>
      </w:pPr>
    </w:p>
    <w:p w:rsidR="00735613" w:rsidRPr="00466E22" w:rsidRDefault="00735613" w:rsidP="00735613">
      <w:pPr>
        <w:autoSpaceDE w:val="0"/>
        <w:autoSpaceDN w:val="0"/>
        <w:adjustRightInd w:val="0"/>
        <w:spacing w:line="240" w:lineRule="auto"/>
        <w:rPr>
          <w:rFonts w:ascii="Arial" w:hAnsi="Arial" w:cs="Arial"/>
          <w:sz w:val="16"/>
          <w:szCs w:val="16"/>
        </w:rPr>
      </w:pPr>
      <w:r w:rsidRPr="00466E22">
        <w:rPr>
          <w:rFonts w:ascii="Arial" w:hAnsi="Arial" w:cs="Arial"/>
          <w:sz w:val="16"/>
          <w:szCs w:val="16"/>
        </w:rPr>
        <w:t xml:space="preserve">In our opinion, the attached financial statements for the year ended 30 June 2015 comply with subsection 42(2) of the </w:t>
      </w:r>
      <w:r w:rsidRPr="00466E22">
        <w:rPr>
          <w:rFonts w:ascii="Arial" w:hAnsi="Arial" w:cs="Arial"/>
          <w:i/>
          <w:iCs/>
          <w:sz w:val="16"/>
          <w:szCs w:val="16"/>
        </w:rPr>
        <w:t xml:space="preserve">Public Governance, Performance and Accountability Act 2013 </w:t>
      </w:r>
      <w:r w:rsidRPr="00466E22">
        <w:rPr>
          <w:rFonts w:ascii="Arial" w:hAnsi="Arial" w:cs="Arial"/>
          <w:sz w:val="16"/>
          <w:szCs w:val="16"/>
        </w:rPr>
        <w:t>(PGPA Act), and are based on properly maintained financial records as per subsection 41(2) of the PGPA Act.</w:t>
      </w:r>
    </w:p>
    <w:p w:rsidR="00735613" w:rsidRPr="00466E22" w:rsidRDefault="00735613" w:rsidP="00735613">
      <w:pPr>
        <w:autoSpaceDE w:val="0"/>
        <w:autoSpaceDN w:val="0"/>
        <w:adjustRightInd w:val="0"/>
        <w:spacing w:line="240" w:lineRule="auto"/>
        <w:rPr>
          <w:rFonts w:ascii="Arial" w:hAnsi="Arial" w:cs="Arial"/>
          <w:sz w:val="16"/>
          <w:szCs w:val="16"/>
        </w:rPr>
      </w:pPr>
    </w:p>
    <w:p w:rsidR="00735613" w:rsidRPr="00466E22" w:rsidRDefault="00735613" w:rsidP="00735613">
      <w:pPr>
        <w:autoSpaceDE w:val="0"/>
        <w:autoSpaceDN w:val="0"/>
        <w:adjustRightInd w:val="0"/>
        <w:spacing w:line="240" w:lineRule="auto"/>
        <w:rPr>
          <w:rFonts w:ascii="Arial" w:hAnsi="Arial" w:cs="Arial"/>
          <w:sz w:val="16"/>
          <w:szCs w:val="16"/>
        </w:rPr>
      </w:pPr>
    </w:p>
    <w:p w:rsidR="00735613" w:rsidRPr="00466E22" w:rsidRDefault="00735613" w:rsidP="00735613">
      <w:pPr>
        <w:autoSpaceDE w:val="0"/>
        <w:autoSpaceDN w:val="0"/>
        <w:adjustRightInd w:val="0"/>
        <w:spacing w:line="240" w:lineRule="auto"/>
        <w:rPr>
          <w:rFonts w:ascii="Arial" w:hAnsi="Arial" w:cs="Arial"/>
          <w:sz w:val="16"/>
          <w:szCs w:val="16"/>
        </w:rPr>
      </w:pPr>
      <w:r w:rsidRPr="00466E22">
        <w:rPr>
          <w:rFonts w:ascii="Arial" w:hAnsi="Arial" w:cs="Arial"/>
          <w:sz w:val="16"/>
          <w:szCs w:val="16"/>
        </w:rPr>
        <w:t>In our opinion, at the date of this statement, there are reasonable grounds to believe that the Department of Education and Training will be able to pay its debts as and when they fall due.</w:t>
      </w:r>
    </w:p>
    <w:p w:rsidR="00735613" w:rsidRDefault="00735613" w:rsidP="00735613">
      <w:pPr>
        <w:autoSpaceDE w:val="0"/>
        <w:autoSpaceDN w:val="0"/>
        <w:adjustRightInd w:val="0"/>
        <w:spacing w:line="240" w:lineRule="auto"/>
        <w:rPr>
          <w:rFonts w:ascii="Arial" w:hAnsi="Arial" w:cs="Arial"/>
          <w:sz w:val="16"/>
          <w:szCs w:val="16"/>
        </w:rPr>
      </w:pPr>
    </w:p>
    <w:p w:rsidR="00735613" w:rsidRDefault="00735613" w:rsidP="00735613">
      <w:pPr>
        <w:autoSpaceDE w:val="0"/>
        <w:autoSpaceDN w:val="0"/>
        <w:adjustRightInd w:val="0"/>
        <w:spacing w:line="240" w:lineRule="auto"/>
        <w:rPr>
          <w:rFonts w:ascii="Arial" w:hAnsi="Arial" w:cs="Arial"/>
          <w:sz w:val="16"/>
          <w:szCs w:val="16"/>
        </w:rPr>
        <w:sectPr w:rsidR="00735613" w:rsidSect="00735613">
          <w:headerReference w:type="default" r:id="rId9"/>
          <w:headerReference w:type="first" r:id="rId10"/>
          <w:footerReference w:type="first" r:id="rId11"/>
          <w:pgSz w:w="11906" w:h="16838"/>
          <w:pgMar w:top="1440" w:right="1440" w:bottom="1440" w:left="1440" w:header="708" w:footer="708" w:gutter="0"/>
          <w:cols w:space="708"/>
          <w:titlePg/>
          <w:docGrid w:linePitch="360"/>
        </w:sectPr>
      </w:pPr>
    </w:p>
    <w:p w:rsidR="00735613" w:rsidRDefault="00735613" w:rsidP="00735613">
      <w:pPr>
        <w:autoSpaceDE w:val="0"/>
        <w:autoSpaceDN w:val="0"/>
        <w:adjustRightInd w:val="0"/>
        <w:spacing w:line="240" w:lineRule="auto"/>
        <w:rPr>
          <w:rFonts w:ascii="Arial" w:hAnsi="Arial" w:cs="Arial"/>
          <w:sz w:val="16"/>
          <w:szCs w:val="16"/>
        </w:rPr>
      </w:pPr>
      <w:r>
        <w:rPr>
          <w:rFonts w:ascii="Arial" w:hAnsi="Arial" w:cs="Arial"/>
          <w:noProof/>
          <w:sz w:val="16"/>
          <w:szCs w:val="16"/>
          <w:lang w:eastAsia="en-AU"/>
        </w:rPr>
        <w:drawing>
          <wp:anchor distT="0" distB="0" distL="114300" distR="114300" simplePos="0" relativeHeight="251660288" behindDoc="1" locked="0" layoutInCell="1" allowOverlap="1" wp14:anchorId="5458604A" wp14:editId="5D72E361">
            <wp:simplePos x="0" y="0"/>
            <wp:positionH relativeFrom="column">
              <wp:posOffset>322540</wp:posOffset>
            </wp:positionH>
            <wp:positionV relativeFrom="paragraph">
              <wp:posOffset>76760</wp:posOffset>
            </wp:positionV>
            <wp:extent cx="1143000" cy="764540"/>
            <wp:effectExtent l="0" t="0" r="0" b="0"/>
            <wp:wrapNone/>
            <wp:docPr id="3" name="Picture 3" descr="Lisa Pau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764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5613" w:rsidRDefault="00735613" w:rsidP="00735613">
      <w:pPr>
        <w:autoSpaceDE w:val="0"/>
        <w:autoSpaceDN w:val="0"/>
        <w:adjustRightInd w:val="0"/>
        <w:spacing w:line="240" w:lineRule="auto"/>
        <w:rPr>
          <w:rFonts w:ascii="Arial" w:hAnsi="Arial" w:cs="Arial"/>
          <w:sz w:val="16"/>
          <w:szCs w:val="16"/>
        </w:rPr>
      </w:pPr>
    </w:p>
    <w:p w:rsidR="00735613" w:rsidRDefault="00735613" w:rsidP="00735613">
      <w:pPr>
        <w:autoSpaceDE w:val="0"/>
        <w:autoSpaceDN w:val="0"/>
        <w:adjustRightInd w:val="0"/>
        <w:spacing w:line="240" w:lineRule="auto"/>
        <w:rPr>
          <w:rFonts w:ascii="Arial" w:hAnsi="Arial" w:cs="Arial"/>
          <w:sz w:val="16"/>
          <w:szCs w:val="16"/>
        </w:rPr>
      </w:pPr>
    </w:p>
    <w:p w:rsidR="00735613" w:rsidRDefault="00735613" w:rsidP="00735613">
      <w:pPr>
        <w:autoSpaceDE w:val="0"/>
        <w:autoSpaceDN w:val="0"/>
        <w:adjustRightInd w:val="0"/>
        <w:spacing w:line="240" w:lineRule="auto"/>
        <w:rPr>
          <w:rFonts w:ascii="Arial" w:hAnsi="Arial" w:cs="Arial"/>
          <w:sz w:val="16"/>
          <w:szCs w:val="16"/>
        </w:rPr>
      </w:pPr>
    </w:p>
    <w:p w:rsidR="00735613" w:rsidRDefault="00735613" w:rsidP="00735613">
      <w:pPr>
        <w:autoSpaceDE w:val="0"/>
        <w:autoSpaceDN w:val="0"/>
        <w:adjustRightInd w:val="0"/>
        <w:spacing w:line="240" w:lineRule="auto"/>
        <w:rPr>
          <w:rFonts w:ascii="Arial" w:hAnsi="Arial" w:cs="Arial"/>
          <w:sz w:val="16"/>
          <w:szCs w:val="16"/>
        </w:rPr>
      </w:pPr>
    </w:p>
    <w:p w:rsidR="00735613" w:rsidRDefault="00735613" w:rsidP="00735613">
      <w:pPr>
        <w:autoSpaceDE w:val="0"/>
        <w:autoSpaceDN w:val="0"/>
        <w:adjustRightInd w:val="0"/>
        <w:spacing w:line="240" w:lineRule="auto"/>
        <w:rPr>
          <w:rFonts w:ascii="Arial" w:hAnsi="Arial" w:cs="Arial"/>
          <w:sz w:val="16"/>
          <w:szCs w:val="16"/>
        </w:rPr>
      </w:pPr>
      <w:r>
        <w:rPr>
          <w:rFonts w:ascii="Arial" w:hAnsi="Arial" w:cs="Arial"/>
          <w:sz w:val="16"/>
          <w:szCs w:val="16"/>
        </w:rPr>
        <w:t>Signed</w:t>
      </w:r>
    </w:p>
    <w:p w:rsidR="00735613" w:rsidRDefault="00735613" w:rsidP="00735613">
      <w:pPr>
        <w:autoSpaceDE w:val="0"/>
        <w:autoSpaceDN w:val="0"/>
        <w:adjustRightInd w:val="0"/>
        <w:spacing w:line="240" w:lineRule="auto"/>
        <w:rPr>
          <w:rFonts w:ascii="Arial" w:hAnsi="Arial" w:cs="Arial"/>
          <w:sz w:val="16"/>
          <w:szCs w:val="16"/>
        </w:rPr>
      </w:pPr>
    </w:p>
    <w:p w:rsidR="00735613" w:rsidRDefault="00735613" w:rsidP="00735613">
      <w:pPr>
        <w:autoSpaceDE w:val="0"/>
        <w:autoSpaceDN w:val="0"/>
        <w:adjustRightInd w:val="0"/>
        <w:spacing w:line="240" w:lineRule="auto"/>
        <w:rPr>
          <w:rFonts w:ascii="Arial" w:hAnsi="Arial" w:cs="Arial"/>
          <w:sz w:val="16"/>
          <w:szCs w:val="16"/>
        </w:rPr>
      </w:pPr>
      <w:r>
        <w:rPr>
          <w:rFonts w:ascii="Arial" w:hAnsi="Arial" w:cs="Arial"/>
          <w:sz w:val="16"/>
          <w:szCs w:val="16"/>
        </w:rPr>
        <w:t>Lisa Paul AO PSM</w:t>
      </w:r>
    </w:p>
    <w:p w:rsidR="00735613" w:rsidRDefault="00735613" w:rsidP="00735613">
      <w:pPr>
        <w:autoSpaceDE w:val="0"/>
        <w:autoSpaceDN w:val="0"/>
        <w:adjustRightInd w:val="0"/>
        <w:spacing w:line="240" w:lineRule="auto"/>
        <w:rPr>
          <w:rFonts w:ascii="Arial" w:hAnsi="Arial" w:cs="Arial"/>
          <w:sz w:val="16"/>
          <w:szCs w:val="16"/>
        </w:rPr>
      </w:pPr>
      <w:r>
        <w:rPr>
          <w:rFonts w:ascii="Arial" w:hAnsi="Arial" w:cs="Arial"/>
          <w:sz w:val="16"/>
          <w:szCs w:val="16"/>
        </w:rPr>
        <w:t>Chief Executive</w:t>
      </w:r>
    </w:p>
    <w:p w:rsidR="00735613" w:rsidRDefault="00735613" w:rsidP="00735613">
      <w:pPr>
        <w:autoSpaceDE w:val="0"/>
        <w:autoSpaceDN w:val="0"/>
        <w:adjustRightInd w:val="0"/>
        <w:spacing w:line="240" w:lineRule="auto"/>
        <w:rPr>
          <w:rFonts w:ascii="Arial" w:hAnsi="Arial" w:cs="Arial"/>
          <w:sz w:val="16"/>
          <w:szCs w:val="16"/>
        </w:rPr>
      </w:pPr>
    </w:p>
    <w:p w:rsidR="00735613" w:rsidRDefault="00735613" w:rsidP="00735613">
      <w:pPr>
        <w:autoSpaceDE w:val="0"/>
        <w:autoSpaceDN w:val="0"/>
        <w:adjustRightInd w:val="0"/>
        <w:spacing w:line="240" w:lineRule="auto"/>
        <w:rPr>
          <w:rFonts w:ascii="Arial" w:hAnsi="Arial" w:cs="Arial"/>
          <w:sz w:val="16"/>
          <w:szCs w:val="16"/>
        </w:rPr>
      </w:pPr>
      <w:r>
        <w:rPr>
          <w:rFonts w:ascii="Arial" w:hAnsi="Arial" w:cs="Arial"/>
          <w:sz w:val="16"/>
          <w:szCs w:val="16"/>
        </w:rPr>
        <w:t>17 September 2015</w:t>
      </w:r>
    </w:p>
    <w:p w:rsidR="00735613" w:rsidRDefault="00735613" w:rsidP="00735613">
      <w:pPr>
        <w:autoSpaceDE w:val="0"/>
        <w:autoSpaceDN w:val="0"/>
        <w:adjustRightInd w:val="0"/>
        <w:spacing w:line="240" w:lineRule="auto"/>
        <w:rPr>
          <w:rFonts w:ascii="Arial" w:hAnsi="Arial" w:cs="Arial"/>
          <w:sz w:val="16"/>
          <w:szCs w:val="16"/>
        </w:rPr>
      </w:pPr>
      <w:r>
        <w:rPr>
          <w:rFonts w:ascii="Arial" w:hAnsi="Arial" w:cs="Arial"/>
          <w:sz w:val="16"/>
          <w:szCs w:val="16"/>
        </w:rPr>
        <w:br w:type="column"/>
      </w:r>
    </w:p>
    <w:p w:rsidR="00735613" w:rsidRDefault="00735613" w:rsidP="00735613">
      <w:pPr>
        <w:autoSpaceDE w:val="0"/>
        <w:autoSpaceDN w:val="0"/>
        <w:adjustRightInd w:val="0"/>
        <w:spacing w:line="240" w:lineRule="auto"/>
        <w:rPr>
          <w:rFonts w:ascii="Arial" w:hAnsi="Arial" w:cs="Arial"/>
          <w:sz w:val="16"/>
          <w:szCs w:val="16"/>
        </w:rPr>
      </w:pPr>
      <w:r>
        <w:rPr>
          <w:rFonts w:ascii="Arial" w:hAnsi="Arial" w:cs="Arial"/>
          <w:noProof/>
          <w:sz w:val="16"/>
          <w:szCs w:val="16"/>
          <w:lang w:eastAsia="en-AU"/>
        </w:rPr>
        <w:drawing>
          <wp:anchor distT="0" distB="0" distL="114300" distR="114300" simplePos="0" relativeHeight="251661312" behindDoc="1" locked="0" layoutInCell="1" allowOverlap="1" wp14:anchorId="1B89DAAE" wp14:editId="129701E8">
            <wp:simplePos x="0" y="0"/>
            <wp:positionH relativeFrom="column">
              <wp:posOffset>327660</wp:posOffset>
            </wp:positionH>
            <wp:positionV relativeFrom="paragraph">
              <wp:posOffset>92710</wp:posOffset>
            </wp:positionV>
            <wp:extent cx="1295400" cy="708025"/>
            <wp:effectExtent l="0" t="0" r="0" b="0"/>
            <wp:wrapNone/>
            <wp:docPr id="4" name="Picture 4" descr="Susan Monkley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5400" cy="708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5613" w:rsidRDefault="00735613" w:rsidP="00735613">
      <w:pPr>
        <w:autoSpaceDE w:val="0"/>
        <w:autoSpaceDN w:val="0"/>
        <w:adjustRightInd w:val="0"/>
        <w:spacing w:line="240" w:lineRule="auto"/>
        <w:rPr>
          <w:rFonts w:ascii="Arial" w:hAnsi="Arial" w:cs="Arial"/>
          <w:sz w:val="16"/>
          <w:szCs w:val="16"/>
        </w:rPr>
      </w:pPr>
    </w:p>
    <w:p w:rsidR="00735613" w:rsidRDefault="00735613" w:rsidP="00735613">
      <w:pPr>
        <w:autoSpaceDE w:val="0"/>
        <w:autoSpaceDN w:val="0"/>
        <w:adjustRightInd w:val="0"/>
        <w:spacing w:line="240" w:lineRule="auto"/>
        <w:rPr>
          <w:rFonts w:ascii="Arial" w:hAnsi="Arial" w:cs="Arial"/>
          <w:sz w:val="16"/>
          <w:szCs w:val="16"/>
        </w:rPr>
      </w:pPr>
    </w:p>
    <w:p w:rsidR="00735613" w:rsidRDefault="00735613" w:rsidP="00735613">
      <w:pPr>
        <w:autoSpaceDE w:val="0"/>
        <w:autoSpaceDN w:val="0"/>
        <w:adjustRightInd w:val="0"/>
        <w:spacing w:line="240" w:lineRule="auto"/>
        <w:rPr>
          <w:rFonts w:ascii="Arial" w:hAnsi="Arial" w:cs="Arial"/>
          <w:sz w:val="16"/>
          <w:szCs w:val="16"/>
        </w:rPr>
      </w:pPr>
    </w:p>
    <w:p w:rsidR="00735613" w:rsidRDefault="00735613" w:rsidP="00735613">
      <w:pPr>
        <w:autoSpaceDE w:val="0"/>
        <w:autoSpaceDN w:val="0"/>
        <w:adjustRightInd w:val="0"/>
        <w:spacing w:line="240" w:lineRule="auto"/>
        <w:rPr>
          <w:rFonts w:ascii="Arial" w:hAnsi="Arial" w:cs="Arial"/>
          <w:sz w:val="16"/>
          <w:szCs w:val="16"/>
        </w:rPr>
      </w:pPr>
      <w:r>
        <w:rPr>
          <w:rFonts w:ascii="Arial" w:hAnsi="Arial" w:cs="Arial"/>
          <w:sz w:val="16"/>
          <w:szCs w:val="16"/>
        </w:rPr>
        <w:t>Signed</w:t>
      </w:r>
    </w:p>
    <w:p w:rsidR="00735613" w:rsidRDefault="00735613" w:rsidP="00735613">
      <w:pPr>
        <w:autoSpaceDE w:val="0"/>
        <w:autoSpaceDN w:val="0"/>
        <w:adjustRightInd w:val="0"/>
        <w:spacing w:line="240" w:lineRule="auto"/>
        <w:rPr>
          <w:rFonts w:ascii="Arial" w:hAnsi="Arial" w:cs="Arial"/>
          <w:sz w:val="16"/>
          <w:szCs w:val="16"/>
        </w:rPr>
      </w:pPr>
    </w:p>
    <w:p w:rsidR="00735613" w:rsidRDefault="00735613" w:rsidP="00735613">
      <w:pPr>
        <w:autoSpaceDE w:val="0"/>
        <w:autoSpaceDN w:val="0"/>
        <w:adjustRightInd w:val="0"/>
        <w:spacing w:line="240" w:lineRule="auto"/>
        <w:rPr>
          <w:rFonts w:ascii="Arial" w:hAnsi="Arial" w:cs="Arial"/>
          <w:sz w:val="16"/>
          <w:szCs w:val="16"/>
        </w:rPr>
      </w:pPr>
      <w:r>
        <w:rPr>
          <w:rFonts w:ascii="Arial" w:hAnsi="Arial" w:cs="Arial"/>
          <w:sz w:val="16"/>
          <w:szCs w:val="16"/>
        </w:rPr>
        <w:t>Susan Monkley</w:t>
      </w:r>
    </w:p>
    <w:p w:rsidR="00735613" w:rsidRDefault="00735613" w:rsidP="00735613">
      <w:pPr>
        <w:autoSpaceDE w:val="0"/>
        <w:autoSpaceDN w:val="0"/>
        <w:adjustRightInd w:val="0"/>
        <w:spacing w:line="240" w:lineRule="auto"/>
        <w:rPr>
          <w:rFonts w:ascii="Arial" w:hAnsi="Arial" w:cs="Arial"/>
          <w:sz w:val="16"/>
          <w:szCs w:val="16"/>
        </w:rPr>
      </w:pPr>
      <w:r>
        <w:rPr>
          <w:rFonts w:ascii="Arial" w:hAnsi="Arial" w:cs="Arial"/>
          <w:sz w:val="16"/>
          <w:szCs w:val="16"/>
        </w:rPr>
        <w:t>Chief Finance Officer</w:t>
      </w:r>
    </w:p>
    <w:p w:rsidR="00735613" w:rsidRDefault="00735613" w:rsidP="00735613">
      <w:pPr>
        <w:autoSpaceDE w:val="0"/>
        <w:autoSpaceDN w:val="0"/>
        <w:adjustRightInd w:val="0"/>
        <w:spacing w:line="240" w:lineRule="auto"/>
        <w:rPr>
          <w:rFonts w:ascii="Arial" w:hAnsi="Arial" w:cs="Arial"/>
          <w:sz w:val="16"/>
          <w:szCs w:val="16"/>
        </w:rPr>
      </w:pPr>
    </w:p>
    <w:p w:rsidR="00735613" w:rsidRDefault="00735613" w:rsidP="00735613">
      <w:pPr>
        <w:autoSpaceDE w:val="0"/>
        <w:autoSpaceDN w:val="0"/>
        <w:adjustRightInd w:val="0"/>
        <w:spacing w:line="240" w:lineRule="auto"/>
        <w:rPr>
          <w:rFonts w:ascii="Arial" w:hAnsi="Arial" w:cs="Arial"/>
          <w:sz w:val="16"/>
          <w:szCs w:val="16"/>
        </w:rPr>
      </w:pPr>
      <w:r>
        <w:rPr>
          <w:rFonts w:ascii="Arial" w:hAnsi="Arial" w:cs="Arial"/>
          <w:sz w:val="16"/>
          <w:szCs w:val="16"/>
        </w:rPr>
        <w:t>17 September 2015</w:t>
      </w:r>
    </w:p>
    <w:p w:rsidR="00735613" w:rsidRDefault="00735613" w:rsidP="00735613">
      <w:pPr>
        <w:autoSpaceDE w:val="0"/>
        <w:autoSpaceDN w:val="0"/>
        <w:adjustRightInd w:val="0"/>
        <w:spacing w:line="240" w:lineRule="auto"/>
        <w:rPr>
          <w:rFonts w:ascii="Times New Roman" w:hAnsi="Times New Roman"/>
          <w:sz w:val="22"/>
          <w:szCs w:val="22"/>
        </w:rPr>
        <w:sectPr w:rsidR="00735613" w:rsidSect="00735613">
          <w:type w:val="continuous"/>
          <w:pgSz w:w="11906" w:h="16838"/>
          <w:pgMar w:top="1440" w:right="1440" w:bottom="1440" w:left="1440" w:header="708" w:footer="708" w:gutter="0"/>
          <w:cols w:num="2" w:space="708"/>
          <w:titlePg/>
          <w:docGrid w:linePitch="360"/>
        </w:sectPr>
      </w:pPr>
    </w:p>
    <w:tbl>
      <w:tblPr>
        <w:tblW w:w="9087" w:type="dxa"/>
        <w:tblInd w:w="80" w:type="dxa"/>
        <w:tblLayout w:type="fixed"/>
        <w:tblLook w:val="04A0" w:firstRow="1" w:lastRow="0" w:firstColumn="1" w:lastColumn="0" w:noHBand="0" w:noVBand="1"/>
      </w:tblPr>
      <w:tblGrid>
        <w:gridCol w:w="5115"/>
        <w:gridCol w:w="1245"/>
        <w:gridCol w:w="1247"/>
        <w:gridCol w:w="239"/>
        <w:gridCol w:w="1241"/>
      </w:tblGrid>
      <w:tr w:rsidR="00735613" w:rsidTr="00735613">
        <w:trPr>
          <w:trHeight w:val="264"/>
        </w:trPr>
        <w:tc>
          <w:tcPr>
            <w:tcW w:w="511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2015</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2014</w:t>
            </w:r>
          </w:p>
        </w:tc>
      </w:tr>
      <w:bookmarkEnd w:id="0"/>
      <w:tr w:rsidR="00735613" w:rsidTr="00735613">
        <w:trPr>
          <w:trHeight w:val="264"/>
        </w:trPr>
        <w:tc>
          <w:tcPr>
            <w:tcW w:w="511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b/>
                <w:bCs/>
                <w:szCs w:val="18"/>
              </w:rPr>
            </w:pPr>
            <w:r>
              <w:rPr>
                <w:rFonts w:cs="Arial"/>
                <w:b/>
                <w:bCs/>
                <w:szCs w:val="18"/>
              </w:rPr>
              <w:t>Notes</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$'000</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5115"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NET COST OF SERVICES</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b/>
                <w:bCs/>
                <w:szCs w:val="18"/>
              </w:rPr>
            </w:pPr>
            <w:r>
              <w:rPr>
                <w:rFonts w:cs="Arial"/>
                <w:b/>
                <w:bCs/>
                <w:szCs w:val="18"/>
              </w:rPr>
              <w:t> </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EXPENSES</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Employee benefits</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4A</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206,561</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154,622</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Supplier expenses</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4B</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101,179</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68,908</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 xml:space="preserve">Grants </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4C</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257</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Depreciation and amortisation</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4D</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26,918</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20,308</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Finance costs</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4E</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51</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Write-down and impairment of assets</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4F</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2,866</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902</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Losses from asset sales</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4G</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314</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expenses</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337,832</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245,054</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 </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OWN-SOURCE INCOME</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Own-source revenue</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Sale of goods and rendering of services</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5A</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30,385</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18,067</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own-source revenue</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30,385</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18,067</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 </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Gains</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Sale of assets</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5B</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87</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Reversals of previous asset write-downs and impairment</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5C</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64</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74</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Other gains</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5D</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6,847</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8,273</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gains</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6,998</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8,347</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own-source income</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37,383</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26,414</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 </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 xml:space="preserve">Net cost of (contribution by) services </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300,449</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218,640</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 </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Revenue from Government</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5E</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276,854</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196,102</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Surplus (Deficit) attributable to the Australian Government</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(23,595)</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(22,538)</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 </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OTHER COMPREHENSIVE INCOME</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480"/>
        </w:trPr>
        <w:tc>
          <w:tcPr>
            <w:tcW w:w="5115"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Items not subject to subsequent reclassification to net cost of services</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Changes in asset revaluation surplus:</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ind w:firstLineChars="100" w:firstLine="180"/>
              <w:rPr>
                <w:rFonts w:cs="Arial"/>
                <w:szCs w:val="18"/>
              </w:rPr>
            </w:pPr>
            <w:r>
              <w:rPr>
                <w:rFonts w:cs="Arial"/>
                <w:szCs w:val="18"/>
              </w:rPr>
              <w:t>Adjustment to leasehold improvements</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5 </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433 </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other comprehensive income</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5</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433</w:t>
            </w:r>
          </w:p>
        </w:tc>
      </w:tr>
      <w:tr w:rsidR="00735613" w:rsidTr="00735613">
        <w:trPr>
          <w:trHeight w:val="264"/>
        </w:trPr>
        <w:tc>
          <w:tcPr>
            <w:tcW w:w="5115"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 </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492"/>
        </w:trPr>
        <w:tc>
          <w:tcPr>
            <w:tcW w:w="5115"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comprehensive income (loss) attributable to the Australian Government</w:t>
            </w:r>
          </w:p>
        </w:tc>
        <w:tc>
          <w:tcPr>
            <w:tcW w:w="1245"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47"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(23,590)</w:t>
            </w:r>
          </w:p>
        </w:tc>
        <w:tc>
          <w:tcPr>
            <w:tcW w:w="239"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1"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(22,105)</w:t>
            </w:r>
          </w:p>
        </w:tc>
      </w:tr>
    </w:tbl>
    <w:p w:rsidR="00735613" w:rsidRDefault="00735613">
      <w:pPr>
        <w:spacing w:line="240" w:lineRule="auto"/>
        <w:sectPr w:rsidR="00735613" w:rsidSect="00735613">
          <w:headerReference w:type="default" r:id="rId14"/>
          <w:footerReference w:type="default" r:id="rId15"/>
          <w:pgSz w:w="11906" w:h="16838"/>
          <w:pgMar w:top="1134" w:right="1134" w:bottom="1134" w:left="1134" w:header="958" w:footer="737" w:gutter="0"/>
          <w:cols w:space="720"/>
        </w:sectPr>
      </w:pPr>
      <w:r>
        <w:br w:type="page"/>
      </w:r>
    </w:p>
    <w:tbl>
      <w:tblPr>
        <w:tblW w:w="9087" w:type="dxa"/>
        <w:tblInd w:w="80" w:type="dxa"/>
        <w:tblLayout w:type="fixed"/>
        <w:tblLook w:val="04A0" w:firstRow="1" w:lastRow="0" w:firstColumn="1" w:lastColumn="0" w:noHBand="0" w:noVBand="1"/>
      </w:tblPr>
      <w:tblGrid>
        <w:gridCol w:w="5115"/>
        <w:gridCol w:w="1245"/>
        <w:gridCol w:w="1247"/>
        <w:gridCol w:w="239"/>
        <w:gridCol w:w="1241"/>
      </w:tblGrid>
      <w:tr w:rsidR="00735613" w:rsidTr="00735613">
        <w:trPr>
          <w:trHeight w:val="264"/>
        </w:trPr>
        <w:tc>
          <w:tcPr>
            <w:tcW w:w="5057" w:type="dxa"/>
            <w:tcBorders>
              <w:top w:val="nil"/>
              <w:left w:val="nil"/>
              <w:bottom w:val="nil"/>
              <w:right w:val="nil"/>
            </w:tcBorders>
            <w:shd w:val="clear" w:color="FFFFFF" w:fill="FFFFFF"/>
            <w:noWrap/>
            <w:vAlign w:val="bottom"/>
            <w:hideMark/>
          </w:tcPr>
          <w:p w:rsidR="00735613" w:rsidRDefault="00735613">
            <w:pPr>
              <w:rPr>
                <w:rFonts w:cs="Arial"/>
                <w:szCs w:val="18"/>
              </w:rPr>
            </w:pPr>
            <w:bookmarkStart w:id="2" w:name="Note_DBSTABLE1" w:colFirst="0" w:colLast="0"/>
            <w:r>
              <w:rPr>
                <w:rFonts w:cs="Arial"/>
                <w:szCs w:val="18"/>
              </w:rPr>
              <w:t> </w:t>
            </w:r>
          </w:p>
        </w:tc>
        <w:tc>
          <w:tcPr>
            <w:tcW w:w="123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2014</w:t>
            </w:r>
          </w:p>
        </w:tc>
      </w:tr>
      <w:bookmarkEnd w:id="2"/>
      <w:tr w:rsidR="00735613" w:rsidTr="00735613">
        <w:trPr>
          <w:trHeight w:val="264"/>
        </w:trPr>
        <w:tc>
          <w:tcPr>
            <w:tcW w:w="505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b/>
                <w:bCs/>
                <w:szCs w:val="18"/>
              </w:rPr>
            </w:pPr>
            <w:r>
              <w:rPr>
                <w:rFonts w:cs="Arial"/>
                <w:b/>
                <w:bCs/>
                <w:szCs w:val="18"/>
              </w:rPr>
              <w:t>Notes</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ASSETS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Financial assets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Cash and cash equivalents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7A</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9,817</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8,429</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Trade and other receivables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7B</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51,829</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34,769</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Other financial assets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7C</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3,276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10,113</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financial assets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64,922</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53,311</w:t>
            </w:r>
          </w:p>
        </w:tc>
      </w:tr>
      <w:tr w:rsidR="00735613" w:rsidTr="00735613">
        <w:trPr>
          <w:trHeight w:val="264"/>
        </w:trPr>
        <w:tc>
          <w:tcPr>
            <w:tcW w:w="505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Non-financial assets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Land and buildings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8A</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42,118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50,867</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Infrastructure, plant and equipment</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8B</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11,327</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11,452</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Intangibles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8D</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70,403</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63,552</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Other non-financial assets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8F</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10,728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8,599</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non-financial assets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134,576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134,470</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 </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76"/>
        </w:trPr>
        <w:tc>
          <w:tcPr>
            <w:tcW w:w="5057"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assets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199,498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187,781</w:t>
            </w:r>
          </w:p>
        </w:tc>
      </w:tr>
      <w:tr w:rsidR="00735613" w:rsidTr="00735613">
        <w:trPr>
          <w:trHeight w:val="276"/>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 </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LIABILITIES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Payables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Suppliers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9A</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23,495</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14,600</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Other payables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9B</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28,963</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34,426</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payables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52,458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49,026</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 </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Provisions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Employee provisions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10A</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54,778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61,052</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Other provisions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10B</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3,106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4,671</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provisions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57,884</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65,723</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 </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76"/>
        </w:trPr>
        <w:tc>
          <w:tcPr>
            <w:tcW w:w="5057"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liabilities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110,342</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114,749</w:t>
            </w:r>
          </w:p>
        </w:tc>
      </w:tr>
      <w:tr w:rsidR="00735613" w:rsidTr="00735613">
        <w:trPr>
          <w:trHeight w:val="276"/>
        </w:trPr>
        <w:tc>
          <w:tcPr>
            <w:tcW w:w="5057"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 </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76"/>
        </w:trPr>
        <w:tc>
          <w:tcPr>
            <w:tcW w:w="5057"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Net assets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89,156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73,032</w:t>
            </w:r>
          </w:p>
        </w:tc>
      </w:tr>
      <w:tr w:rsidR="00735613" w:rsidTr="00735613">
        <w:trPr>
          <w:trHeight w:val="276"/>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 </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EQUITY</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Contributed equity</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134,848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95,137</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Reserves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438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433</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Retained surplus (accumulated deficit)</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(46,130)</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(22,538)</w:t>
            </w:r>
          </w:p>
        </w:tc>
      </w:tr>
      <w:tr w:rsidR="00735613" w:rsidTr="00735613">
        <w:trPr>
          <w:trHeight w:val="276"/>
        </w:trPr>
        <w:tc>
          <w:tcPr>
            <w:tcW w:w="5057"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equity</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89,156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73,032</w:t>
            </w:r>
          </w:p>
        </w:tc>
      </w:tr>
    </w:tbl>
    <w:p w:rsidR="00735613" w:rsidRDefault="00735613">
      <w:pPr>
        <w:spacing w:line="240" w:lineRule="auto"/>
        <w:rPr>
          <w:rFonts w:ascii="Arial" w:hAnsi="Arial" w:cs="Arial"/>
          <w:sz w:val="16"/>
          <w:szCs w:val="16"/>
        </w:rPr>
        <w:sectPr w:rsidR="00735613">
          <w:headerReference w:type="default" r:id="rId16"/>
          <w:pgSz w:w="11906" w:h="16838"/>
          <w:pgMar w:top="1134" w:right="1134" w:bottom="1134" w:left="1134" w:header="958" w:footer="737" w:gutter="0"/>
          <w:cols w:space="720"/>
        </w:sectPr>
      </w:pPr>
      <w:bookmarkStart w:id="3" w:name="RANGE!D6:H69"/>
      <w:bookmarkStart w:id="4" w:name="RANGE!D6:D69"/>
      <w:bookmarkStart w:id="5" w:name="RANGE!D6:H68"/>
      <w:bookmarkStart w:id="6" w:name="RANGE!D6:D68"/>
      <w:bookmarkStart w:id="7" w:name="RANGE!D6:H48"/>
      <w:bookmarkStart w:id="8" w:name="RANGE!D6:H41"/>
      <w:bookmarkStart w:id="9" w:name="RANGE!D6:H40"/>
      <w:bookmarkStart w:id="10" w:name="RANGE!D6:H42"/>
      <w:bookmarkStart w:id="11" w:name="RANGE!D6:H46"/>
      <w:bookmarkStart w:id="12" w:name="RANGE!D6:H45"/>
      <w:bookmarkEnd w:id="3"/>
      <w:bookmarkEnd w:id="4"/>
      <w:bookmarkEnd w:id="5"/>
      <w:bookmarkEnd w:id="6"/>
      <w:bookmarkEnd w:id="7"/>
      <w:bookmarkEnd w:id="8"/>
      <w:bookmarkEnd w:id="9"/>
      <w:bookmarkEnd w:id="10"/>
      <w:bookmarkEnd w:id="11"/>
      <w:bookmarkEnd w:id="12"/>
      <w:r>
        <w:br w:type="page"/>
      </w:r>
    </w:p>
    <w:tbl>
      <w:tblPr>
        <w:tblW w:w="13991" w:type="dxa"/>
        <w:tblInd w:w="80" w:type="dxa"/>
        <w:tblLayout w:type="fixed"/>
        <w:tblLook w:val="04A0" w:firstRow="1" w:lastRow="0" w:firstColumn="1" w:lastColumn="0" w:noHBand="0" w:noVBand="1"/>
      </w:tblPr>
      <w:tblGrid>
        <w:gridCol w:w="4856"/>
        <w:gridCol w:w="1144"/>
        <w:gridCol w:w="1142"/>
        <w:gridCol w:w="1142"/>
        <w:gridCol w:w="1141"/>
        <w:gridCol w:w="1142"/>
        <w:gridCol w:w="1141"/>
        <w:gridCol w:w="1142"/>
        <w:gridCol w:w="1141"/>
      </w:tblGrid>
      <w:tr w:rsidR="00735613" w:rsidTr="00735613">
        <w:trPr>
          <w:trHeight w:val="705"/>
        </w:trPr>
        <w:tc>
          <w:tcPr>
            <w:tcW w:w="4819" w:type="dxa"/>
            <w:tcBorders>
              <w:top w:val="single" w:sz="4" w:space="0" w:color="auto"/>
              <w:left w:val="nil"/>
              <w:bottom w:val="nil"/>
              <w:right w:val="nil"/>
            </w:tcBorders>
            <w:shd w:val="clear" w:color="FFFFFF" w:fill="FFFFFF"/>
            <w:noWrap/>
            <w:vAlign w:val="bottom"/>
            <w:hideMark/>
          </w:tcPr>
          <w:p w:rsidR="00735613" w:rsidRDefault="00735613">
            <w:pPr>
              <w:rPr>
                <w:rFonts w:ascii="Arial" w:hAnsi="Arial" w:cs="Arial"/>
                <w:szCs w:val="18"/>
              </w:rPr>
            </w:pPr>
            <w:bookmarkStart w:id="13" w:name="Note_CEQTABLE1" w:colFirst="0" w:colLast="0"/>
            <w:r>
              <w:rPr>
                <w:rFonts w:ascii="Arial" w:hAnsi="Arial" w:cs="Arial"/>
                <w:szCs w:val="18"/>
              </w:rPr>
              <w:t> </w:t>
            </w:r>
          </w:p>
        </w:tc>
        <w:tc>
          <w:tcPr>
            <w:tcW w:w="2268" w:type="dxa"/>
            <w:gridSpan w:val="2"/>
            <w:tcBorders>
              <w:top w:val="single" w:sz="4" w:space="0" w:color="auto"/>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Retained earnings</w:t>
            </w:r>
          </w:p>
        </w:tc>
        <w:tc>
          <w:tcPr>
            <w:tcW w:w="2267" w:type="dxa"/>
            <w:gridSpan w:val="2"/>
            <w:tcBorders>
              <w:top w:val="single" w:sz="4" w:space="0" w:color="auto"/>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Asset revaluation reserves</w:t>
            </w:r>
          </w:p>
        </w:tc>
        <w:tc>
          <w:tcPr>
            <w:tcW w:w="2267" w:type="dxa"/>
            <w:gridSpan w:val="2"/>
            <w:tcBorders>
              <w:top w:val="single" w:sz="4" w:space="0" w:color="auto"/>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Contributed equity/capital</w:t>
            </w:r>
          </w:p>
        </w:tc>
        <w:tc>
          <w:tcPr>
            <w:tcW w:w="2267" w:type="dxa"/>
            <w:gridSpan w:val="2"/>
            <w:tcBorders>
              <w:top w:val="single" w:sz="4" w:space="0" w:color="auto"/>
              <w:left w:val="nil"/>
              <w:bottom w:val="nil"/>
              <w:right w:val="nil"/>
            </w:tcBorders>
            <w:shd w:val="clear" w:color="FFFFFF" w:fill="FFFFFF"/>
            <w:vAlign w:val="bottom"/>
            <w:hideMark/>
          </w:tcPr>
          <w:p w:rsidR="00735613" w:rsidRDefault="00735613">
            <w:pPr>
              <w:jc w:val="right"/>
              <w:rPr>
                <w:rFonts w:cs="Arial"/>
                <w:b/>
                <w:bCs/>
                <w:szCs w:val="18"/>
              </w:rPr>
            </w:pPr>
            <w:bookmarkStart w:id="14" w:name="RANGE!L7:L33"/>
            <w:r>
              <w:rPr>
                <w:rFonts w:cs="Arial"/>
                <w:b/>
                <w:bCs/>
                <w:szCs w:val="18"/>
              </w:rPr>
              <w:t>Total equity</w:t>
            </w:r>
            <w:bookmarkEnd w:id="14"/>
          </w:p>
        </w:tc>
      </w:tr>
      <w:bookmarkEnd w:id="13"/>
      <w:tr w:rsidR="00735613" w:rsidTr="00735613">
        <w:trPr>
          <w:trHeight w:val="264"/>
        </w:trPr>
        <w:tc>
          <w:tcPr>
            <w:tcW w:w="4819"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5"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1133"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2014</w:t>
            </w:r>
          </w:p>
        </w:tc>
        <w:tc>
          <w:tcPr>
            <w:tcW w:w="1134"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1133"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2014</w:t>
            </w:r>
          </w:p>
        </w:tc>
        <w:tc>
          <w:tcPr>
            <w:tcW w:w="1134"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1133"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2014</w:t>
            </w:r>
          </w:p>
        </w:tc>
        <w:tc>
          <w:tcPr>
            <w:tcW w:w="1134"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1133"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2014</w:t>
            </w:r>
          </w:p>
        </w:tc>
      </w:tr>
      <w:tr w:rsidR="00735613" w:rsidTr="00735613">
        <w:trPr>
          <w:trHeight w:val="264"/>
        </w:trPr>
        <w:tc>
          <w:tcPr>
            <w:tcW w:w="4819" w:type="dxa"/>
            <w:tcBorders>
              <w:top w:val="nil"/>
              <w:left w:val="nil"/>
              <w:bottom w:val="single" w:sz="4" w:space="0" w:color="auto"/>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5"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133" w:type="dxa"/>
            <w:tcBorders>
              <w:top w:val="nil"/>
              <w:left w:val="nil"/>
              <w:bottom w:val="single" w:sz="4" w:space="0" w:color="auto"/>
              <w:right w:val="nil"/>
            </w:tcBorders>
            <w:shd w:val="clear" w:color="FFFFFF" w:fill="FFFFFF"/>
            <w:vAlign w:val="bottom"/>
            <w:hideMark/>
          </w:tcPr>
          <w:p w:rsidR="00735613" w:rsidRDefault="00735613">
            <w:pPr>
              <w:jc w:val="right"/>
              <w:rPr>
                <w:rFonts w:cs="Arial"/>
                <w:szCs w:val="18"/>
              </w:rPr>
            </w:pPr>
            <w:r>
              <w:rPr>
                <w:rFonts w:cs="Arial"/>
                <w:szCs w:val="18"/>
              </w:rPr>
              <w:t>$'000</w:t>
            </w:r>
          </w:p>
        </w:tc>
        <w:tc>
          <w:tcPr>
            <w:tcW w:w="1134"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133" w:type="dxa"/>
            <w:tcBorders>
              <w:top w:val="nil"/>
              <w:left w:val="nil"/>
              <w:bottom w:val="single" w:sz="4" w:space="0" w:color="auto"/>
              <w:right w:val="nil"/>
            </w:tcBorders>
            <w:shd w:val="clear" w:color="FFFFFF" w:fill="FFFFFF"/>
            <w:vAlign w:val="bottom"/>
            <w:hideMark/>
          </w:tcPr>
          <w:p w:rsidR="00735613" w:rsidRDefault="00735613">
            <w:pPr>
              <w:jc w:val="right"/>
              <w:rPr>
                <w:rFonts w:cs="Arial"/>
                <w:szCs w:val="18"/>
              </w:rPr>
            </w:pPr>
            <w:r>
              <w:rPr>
                <w:rFonts w:cs="Arial"/>
                <w:szCs w:val="18"/>
              </w:rPr>
              <w:t>$'000</w:t>
            </w:r>
          </w:p>
        </w:tc>
        <w:tc>
          <w:tcPr>
            <w:tcW w:w="1134"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133" w:type="dxa"/>
            <w:tcBorders>
              <w:top w:val="nil"/>
              <w:left w:val="nil"/>
              <w:bottom w:val="single" w:sz="4" w:space="0" w:color="auto"/>
              <w:right w:val="nil"/>
            </w:tcBorders>
            <w:shd w:val="clear" w:color="FFFFFF" w:fill="FFFFFF"/>
            <w:vAlign w:val="bottom"/>
            <w:hideMark/>
          </w:tcPr>
          <w:p w:rsidR="00735613" w:rsidRDefault="00735613">
            <w:pPr>
              <w:jc w:val="right"/>
              <w:rPr>
                <w:rFonts w:cs="Arial"/>
                <w:szCs w:val="18"/>
              </w:rPr>
            </w:pPr>
            <w:r>
              <w:rPr>
                <w:rFonts w:cs="Arial"/>
                <w:szCs w:val="18"/>
              </w:rPr>
              <w:t>$'000</w:t>
            </w:r>
          </w:p>
        </w:tc>
        <w:tc>
          <w:tcPr>
            <w:tcW w:w="1134"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133" w:type="dxa"/>
            <w:tcBorders>
              <w:top w:val="nil"/>
              <w:left w:val="nil"/>
              <w:bottom w:val="single" w:sz="4" w:space="0" w:color="auto"/>
              <w:right w:val="nil"/>
            </w:tcBorders>
            <w:shd w:val="clear" w:color="FFFFFF" w:fill="FFFFFF"/>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4819"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Opening balance</w:t>
            </w:r>
          </w:p>
        </w:tc>
        <w:tc>
          <w:tcPr>
            <w:tcW w:w="1135"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4"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4"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4"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4819"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Balance carried forward from previous period</w:t>
            </w:r>
          </w:p>
        </w:tc>
        <w:tc>
          <w:tcPr>
            <w:tcW w:w="11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(22,538)</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433</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95,137</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73,032</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4819"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Adjustment for rounding</w:t>
            </w:r>
          </w:p>
        </w:tc>
        <w:tc>
          <w:tcPr>
            <w:tcW w:w="11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3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3</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4819"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Adjustment for changes in accounting policies</w:t>
            </w:r>
          </w:p>
        </w:tc>
        <w:tc>
          <w:tcPr>
            <w:tcW w:w="11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4819" w:type="dxa"/>
            <w:tcBorders>
              <w:top w:val="single" w:sz="4" w:space="0" w:color="auto"/>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Adjusted opening balance</w:t>
            </w:r>
          </w:p>
        </w:tc>
        <w:tc>
          <w:tcPr>
            <w:tcW w:w="11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(22,535)</w:t>
            </w:r>
          </w:p>
        </w:tc>
        <w:tc>
          <w:tcPr>
            <w:tcW w:w="11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1134"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433</w:t>
            </w:r>
          </w:p>
        </w:tc>
        <w:tc>
          <w:tcPr>
            <w:tcW w:w="11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1134"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95,137</w:t>
            </w:r>
          </w:p>
        </w:tc>
        <w:tc>
          <w:tcPr>
            <w:tcW w:w="11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1134"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73,035</w:t>
            </w:r>
          </w:p>
        </w:tc>
        <w:tc>
          <w:tcPr>
            <w:tcW w:w="11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4819" w:type="dxa"/>
            <w:tcBorders>
              <w:top w:val="nil"/>
              <w:left w:val="nil"/>
              <w:bottom w:val="nil"/>
              <w:right w:val="nil"/>
            </w:tcBorders>
            <w:shd w:val="clear" w:color="FFFFFF" w:fill="FFFFFF"/>
            <w:noWrap/>
            <w:vAlign w:val="bottom"/>
            <w:hideMark/>
          </w:tcPr>
          <w:p w:rsidR="00735613" w:rsidRDefault="00735613">
            <w:pPr>
              <w:rPr>
                <w:rFonts w:ascii="Arial" w:hAnsi="Arial" w:cs="Arial"/>
                <w:sz w:val="20"/>
              </w:rPr>
            </w:pPr>
            <w:r>
              <w:rPr>
                <w:rFonts w:ascii="Arial" w:hAnsi="Arial" w:cs="Arial"/>
                <w:sz w:val="20"/>
              </w:rPr>
              <w:t> </w:t>
            </w:r>
          </w:p>
        </w:tc>
        <w:tc>
          <w:tcPr>
            <w:tcW w:w="1135" w:type="dxa"/>
            <w:tcBorders>
              <w:top w:val="nil"/>
              <w:left w:val="nil"/>
              <w:bottom w:val="nil"/>
              <w:right w:val="nil"/>
            </w:tcBorders>
            <w:shd w:val="clear" w:color="FFFFFF" w:fill="FFFFFF"/>
            <w:noWrap/>
            <w:vAlign w:val="bottom"/>
            <w:hideMark/>
          </w:tcPr>
          <w:p w:rsidR="00735613" w:rsidRDefault="00735613">
            <w:pPr>
              <w:rPr>
                <w:rFonts w:ascii="Arial" w:hAnsi="Arial" w:cs="Arial"/>
                <w:sz w:val="20"/>
              </w:rPr>
            </w:pPr>
            <w:r>
              <w:rPr>
                <w:rFonts w:ascii="Arial" w:hAnsi="Arial" w:cs="Arial"/>
                <w:sz w:val="20"/>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 w:val="20"/>
              </w:rPr>
            </w:pPr>
            <w:r>
              <w:rPr>
                <w:rFonts w:ascii="Arial" w:hAnsi="Arial" w:cs="Arial"/>
                <w:sz w:val="20"/>
              </w:rPr>
              <w:t> </w:t>
            </w:r>
          </w:p>
        </w:tc>
        <w:tc>
          <w:tcPr>
            <w:tcW w:w="1134" w:type="dxa"/>
            <w:tcBorders>
              <w:top w:val="nil"/>
              <w:left w:val="nil"/>
              <w:bottom w:val="nil"/>
              <w:right w:val="nil"/>
            </w:tcBorders>
            <w:shd w:val="clear" w:color="FFFFFF" w:fill="FFFFFF"/>
            <w:noWrap/>
            <w:vAlign w:val="bottom"/>
            <w:hideMark/>
          </w:tcPr>
          <w:p w:rsidR="00735613" w:rsidRDefault="00735613">
            <w:pPr>
              <w:rPr>
                <w:rFonts w:ascii="Arial" w:hAnsi="Arial" w:cs="Arial"/>
                <w:sz w:val="20"/>
              </w:rPr>
            </w:pPr>
            <w:r>
              <w:rPr>
                <w:rFonts w:ascii="Arial" w:hAnsi="Arial" w:cs="Arial"/>
                <w:sz w:val="20"/>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 w:val="20"/>
              </w:rPr>
            </w:pPr>
            <w:r>
              <w:rPr>
                <w:rFonts w:ascii="Arial" w:hAnsi="Arial" w:cs="Arial"/>
                <w:sz w:val="20"/>
              </w:rPr>
              <w:t> </w:t>
            </w:r>
          </w:p>
        </w:tc>
        <w:tc>
          <w:tcPr>
            <w:tcW w:w="1134" w:type="dxa"/>
            <w:tcBorders>
              <w:top w:val="nil"/>
              <w:left w:val="nil"/>
              <w:bottom w:val="nil"/>
              <w:right w:val="nil"/>
            </w:tcBorders>
            <w:shd w:val="clear" w:color="FFFFFF" w:fill="FFFFFF"/>
            <w:noWrap/>
            <w:vAlign w:val="bottom"/>
            <w:hideMark/>
          </w:tcPr>
          <w:p w:rsidR="00735613" w:rsidRDefault="00735613">
            <w:pPr>
              <w:rPr>
                <w:rFonts w:ascii="Arial" w:hAnsi="Arial" w:cs="Arial"/>
                <w:sz w:val="20"/>
              </w:rPr>
            </w:pPr>
            <w:r>
              <w:rPr>
                <w:rFonts w:ascii="Arial" w:hAnsi="Arial" w:cs="Arial"/>
                <w:sz w:val="20"/>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 w:val="20"/>
              </w:rPr>
            </w:pPr>
            <w:r>
              <w:rPr>
                <w:rFonts w:ascii="Arial" w:hAnsi="Arial" w:cs="Arial"/>
                <w:sz w:val="20"/>
              </w:rPr>
              <w:t> </w:t>
            </w:r>
          </w:p>
        </w:tc>
        <w:tc>
          <w:tcPr>
            <w:tcW w:w="1134" w:type="dxa"/>
            <w:tcBorders>
              <w:top w:val="nil"/>
              <w:left w:val="nil"/>
              <w:bottom w:val="nil"/>
              <w:right w:val="nil"/>
            </w:tcBorders>
            <w:shd w:val="clear" w:color="FFFFFF" w:fill="FFFFFF"/>
            <w:noWrap/>
            <w:vAlign w:val="bottom"/>
            <w:hideMark/>
          </w:tcPr>
          <w:p w:rsidR="00735613" w:rsidRDefault="00735613">
            <w:pPr>
              <w:rPr>
                <w:rFonts w:ascii="Arial" w:hAnsi="Arial" w:cs="Arial"/>
                <w:sz w:val="20"/>
              </w:rPr>
            </w:pPr>
            <w:r>
              <w:rPr>
                <w:rFonts w:ascii="Arial" w:hAnsi="Arial" w:cs="Arial"/>
                <w:sz w:val="20"/>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 w:val="20"/>
              </w:rPr>
            </w:pPr>
            <w:r>
              <w:rPr>
                <w:rFonts w:ascii="Arial" w:hAnsi="Arial" w:cs="Arial"/>
                <w:sz w:val="20"/>
              </w:rPr>
              <w:t> </w:t>
            </w:r>
          </w:p>
        </w:tc>
      </w:tr>
      <w:tr w:rsidR="00735613" w:rsidTr="00735613">
        <w:trPr>
          <w:trHeight w:val="264"/>
        </w:trPr>
        <w:tc>
          <w:tcPr>
            <w:tcW w:w="4819"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Comprehensive income</w:t>
            </w:r>
          </w:p>
        </w:tc>
        <w:tc>
          <w:tcPr>
            <w:tcW w:w="11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 w:val="20"/>
              </w:rPr>
            </w:pPr>
            <w:r>
              <w:rPr>
                <w:rFonts w:ascii="Arial" w:hAnsi="Arial" w:cs="Arial"/>
                <w:sz w:val="20"/>
              </w:rPr>
              <w:t> </w:t>
            </w:r>
          </w:p>
        </w:tc>
        <w:tc>
          <w:tcPr>
            <w:tcW w:w="1134"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 w:val="20"/>
              </w:rPr>
            </w:pPr>
            <w:r>
              <w:rPr>
                <w:rFonts w:ascii="Arial" w:hAnsi="Arial" w:cs="Arial"/>
                <w:sz w:val="20"/>
              </w:rPr>
              <w:t> </w:t>
            </w:r>
          </w:p>
        </w:tc>
        <w:tc>
          <w:tcPr>
            <w:tcW w:w="1134"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4"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480"/>
        </w:trPr>
        <w:tc>
          <w:tcPr>
            <w:tcW w:w="4819"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Other comprehensive income - changes in asset revaluation reserve</w:t>
            </w:r>
          </w:p>
        </w:tc>
        <w:tc>
          <w:tcPr>
            <w:tcW w:w="11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5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433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5</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433</w:t>
            </w:r>
          </w:p>
        </w:tc>
      </w:tr>
      <w:tr w:rsidR="00735613" w:rsidTr="00735613">
        <w:trPr>
          <w:trHeight w:val="264"/>
        </w:trPr>
        <w:tc>
          <w:tcPr>
            <w:tcW w:w="4819"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Adjustment to provision for restoration obligations</w:t>
            </w:r>
          </w:p>
        </w:tc>
        <w:tc>
          <w:tcPr>
            <w:tcW w:w="11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4819"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Surplus (Deficit) for the period</w:t>
            </w:r>
          </w:p>
        </w:tc>
        <w:tc>
          <w:tcPr>
            <w:tcW w:w="11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(23,595)</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(22,538)</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(23,595)</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(22,538)</w:t>
            </w:r>
          </w:p>
        </w:tc>
      </w:tr>
      <w:tr w:rsidR="00735613" w:rsidTr="00735613">
        <w:trPr>
          <w:trHeight w:val="264"/>
        </w:trPr>
        <w:tc>
          <w:tcPr>
            <w:tcW w:w="4819" w:type="dxa"/>
            <w:tcBorders>
              <w:top w:val="single" w:sz="4" w:space="0" w:color="auto"/>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Total comprehensive income</w:t>
            </w:r>
          </w:p>
        </w:tc>
        <w:tc>
          <w:tcPr>
            <w:tcW w:w="11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(23,595)</w:t>
            </w:r>
          </w:p>
        </w:tc>
        <w:tc>
          <w:tcPr>
            <w:tcW w:w="11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(22,538)</w:t>
            </w:r>
          </w:p>
        </w:tc>
        <w:tc>
          <w:tcPr>
            <w:tcW w:w="1134"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5</w:t>
            </w:r>
          </w:p>
        </w:tc>
        <w:tc>
          <w:tcPr>
            <w:tcW w:w="11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433</w:t>
            </w:r>
          </w:p>
        </w:tc>
        <w:tc>
          <w:tcPr>
            <w:tcW w:w="1134"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1134"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(23,590)</w:t>
            </w:r>
          </w:p>
        </w:tc>
        <w:tc>
          <w:tcPr>
            <w:tcW w:w="11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(22,105)</w:t>
            </w:r>
          </w:p>
        </w:tc>
      </w:tr>
      <w:tr w:rsidR="00735613" w:rsidTr="00735613">
        <w:trPr>
          <w:trHeight w:val="264"/>
        </w:trPr>
        <w:tc>
          <w:tcPr>
            <w:tcW w:w="4819"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Transactions with owners</w:t>
            </w:r>
          </w:p>
        </w:tc>
        <w:tc>
          <w:tcPr>
            <w:tcW w:w="11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4"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4"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4"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4819"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Distributions to owners</w:t>
            </w:r>
          </w:p>
        </w:tc>
        <w:tc>
          <w:tcPr>
            <w:tcW w:w="11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4"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4"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4"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4819"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Returns of capital:</w:t>
            </w:r>
          </w:p>
        </w:tc>
        <w:tc>
          <w:tcPr>
            <w:tcW w:w="11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4"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4"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4819"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Restructuring (Note 11)</w:t>
            </w:r>
          </w:p>
        </w:tc>
        <w:tc>
          <w:tcPr>
            <w:tcW w:w="11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24,557</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45,042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24,557</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45,042</w:t>
            </w:r>
          </w:p>
        </w:tc>
      </w:tr>
      <w:tr w:rsidR="00735613" w:rsidTr="00735613">
        <w:trPr>
          <w:trHeight w:val="264"/>
        </w:trPr>
        <w:tc>
          <w:tcPr>
            <w:tcW w:w="4819"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Return of special account balance (Note 30)</w:t>
            </w:r>
          </w:p>
        </w:tc>
        <w:tc>
          <w:tcPr>
            <w:tcW w:w="11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4819"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Contributions by owners</w:t>
            </w:r>
          </w:p>
        </w:tc>
        <w:tc>
          <w:tcPr>
            <w:tcW w:w="11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4"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4"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1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4819"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Equity injection - Appropriation</w:t>
            </w:r>
          </w:p>
        </w:tc>
        <w:tc>
          <w:tcPr>
            <w:tcW w:w="11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3,489</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15,111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3,489</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15,111</w:t>
            </w:r>
          </w:p>
        </w:tc>
      </w:tr>
      <w:tr w:rsidR="00735613" w:rsidTr="00735613">
        <w:trPr>
          <w:trHeight w:val="264"/>
        </w:trPr>
        <w:tc>
          <w:tcPr>
            <w:tcW w:w="4819"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Departmental capital budget</w:t>
            </w:r>
          </w:p>
        </w:tc>
        <w:tc>
          <w:tcPr>
            <w:tcW w:w="11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18,686</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20,163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18,686</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20,163</w:t>
            </w:r>
          </w:p>
        </w:tc>
      </w:tr>
      <w:tr w:rsidR="00735613" w:rsidTr="00735613">
        <w:trPr>
          <w:trHeight w:val="264"/>
        </w:trPr>
        <w:tc>
          <w:tcPr>
            <w:tcW w:w="4819"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Return of Unspent Appropriation</w:t>
            </w:r>
          </w:p>
        </w:tc>
        <w:tc>
          <w:tcPr>
            <w:tcW w:w="11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4819"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Restructuring (Note 11)</w:t>
            </w:r>
          </w:p>
        </w:tc>
        <w:tc>
          <w:tcPr>
            <w:tcW w:w="11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(7,021)</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14,821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(7,021)</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14,821</w:t>
            </w:r>
          </w:p>
        </w:tc>
      </w:tr>
      <w:tr w:rsidR="00735613" w:rsidTr="00735613">
        <w:trPr>
          <w:trHeight w:val="264"/>
        </w:trPr>
        <w:tc>
          <w:tcPr>
            <w:tcW w:w="4819" w:type="dxa"/>
            <w:tcBorders>
              <w:top w:val="single" w:sz="4" w:space="0" w:color="auto"/>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Total transactions with owners</w:t>
            </w:r>
          </w:p>
        </w:tc>
        <w:tc>
          <w:tcPr>
            <w:tcW w:w="11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1134"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1134"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39,711</w:t>
            </w:r>
          </w:p>
        </w:tc>
        <w:tc>
          <w:tcPr>
            <w:tcW w:w="11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95,137</w:t>
            </w:r>
          </w:p>
        </w:tc>
        <w:tc>
          <w:tcPr>
            <w:tcW w:w="1134"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39,711</w:t>
            </w:r>
          </w:p>
        </w:tc>
        <w:tc>
          <w:tcPr>
            <w:tcW w:w="11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95,137</w:t>
            </w:r>
          </w:p>
        </w:tc>
      </w:tr>
      <w:tr w:rsidR="00735613" w:rsidTr="00735613">
        <w:trPr>
          <w:trHeight w:val="264"/>
        </w:trPr>
        <w:tc>
          <w:tcPr>
            <w:tcW w:w="4819"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Transfers between equity components</w:t>
            </w:r>
          </w:p>
        </w:tc>
        <w:tc>
          <w:tcPr>
            <w:tcW w:w="11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3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4819" w:type="dxa"/>
            <w:tcBorders>
              <w:top w:val="single" w:sz="4" w:space="0" w:color="auto"/>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Closing balance as at 30 June</w:t>
            </w:r>
          </w:p>
        </w:tc>
        <w:tc>
          <w:tcPr>
            <w:tcW w:w="11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(46,130)</w:t>
            </w:r>
          </w:p>
        </w:tc>
        <w:tc>
          <w:tcPr>
            <w:tcW w:w="11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(22,538)</w:t>
            </w:r>
          </w:p>
        </w:tc>
        <w:tc>
          <w:tcPr>
            <w:tcW w:w="1134"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438</w:t>
            </w:r>
          </w:p>
        </w:tc>
        <w:tc>
          <w:tcPr>
            <w:tcW w:w="11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433</w:t>
            </w:r>
          </w:p>
        </w:tc>
        <w:tc>
          <w:tcPr>
            <w:tcW w:w="1134"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134,848</w:t>
            </w:r>
          </w:p>
        </w:tc>
        <w:tc>
          <w:tcPr>
            <w:tcW w:w="11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95,137</w:t>
            </w:r>
          </w:p>
        </w:tc>
        <w:tc>
          <w:tcPr>
            <w:tcW w:w="1134"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89,156</w:t>
            </w:r>
          </w:p>
        </w:tc>
        <w:tc>
          <w:tcPr>
            <w:tcW w:w="11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73,032</w:t>
            </w:r>
          </w:p>
        </w:tc>
      </w:tr>
    </w:tbl>
    <w:p w:rsidR="00735613" w:rsidRDefault="00735613" w:rsidP="00735613">
      <w:pPr>
        <w:pStyle w:val="AdminBlankGreyShade"/>
      </w:pPr>
      <w:bookmarkStart w:id="15" w:name="RANGE!D6:H57"/>
      <w:bookmarkStart w:id="16" w:name="RANGE!D6:D57"/>
      <w:bookmarkStart w:id="17" w:name="RANGE!D6:D56"/>
      <w:bookmarkStart w:id="18" w:name="RANGE!D6:H53"/>
      <w:bookmarkStart w:id="19" w:name="RANGE!D6:H43"/>
      <w:bookmarkStart w:id="20" w:name="RANGE!D6:H44"/>
      <w:bookmarkStart w:id="21" w:name="RANGE!E7:M33"/>
      <w:bookmarkStart w:id="22" w:name="RANGE!E7:M32"/>
      <w:bookmarkStart w:id="23" w:name="RANGE!E6:M31"/>
      <w:bookmarkStart w:id="24" w:name="RANGE!E6:M30"/>
      <w:bookmarkStart w:id="25" w:name="RANGE!E6:M35"/>
      <w:bookmarkStart w:id="26" w:name="RANGE!E6:E37"/>
      <w:bookmarkStart w:id="27" w:name="RANGE!E6:M37"/>
      <w:bookmarkEnd w:id="15"/>
      <w:bookmarkEnd w:id="16"/>
      <w:bookmarkEnd w:id="17"/>
      <w:bookmarkEnd w:id="18"/>
      <w:bookmarkEnd w:id="19"/>
      <w:bookmarkEnd w:id="20"/>
      <w:bookmarkEnd w:id="21"/>
      <w:bookmarkEnd w:id="22"/>
      <w:bookmarkEnd w:id="23"/>
      <w:bookmarkEnd w:id="24"/>
      <w:bookmarkEnd w:id="25"/>
      <w:bookmarkEnd w:id="26"/>
      <w:bookmarkEnd w:id="27"/>
    </w:p>
    <w:p w:rsidR="00735613" w:rsidRDefault="00735613"/>
    <w:p w:rsidR="00735613" w:rsidRDefault="00735613">
      <w:pPr>
        <w:spacing w:line="240" w:lineRule="auto"/>
        <w:sectPr w:rsidR="00735613">
          <w:headerReference w:type="default" r:id="rId17"/>
          <w:pgSz w:w="16838" w:h="11906" w:orient="landscape"/>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5115"/>
        <w:gridCol w:w="1245"/>
        <w:gridCol w:w="1247"/>
        <w:gridCol w:w="239"/>
        <w:gridCol w:w="1241"/>
      </w:tblGrid>
      <w:tr w:rsidR="00735613" w:rsidTr="00735613">
        <w:trPr>
          <w:trHeight w:val="264"/>
        </w:trPr>
        <w:tc>
          <w:tcPr>
            <w:tcW w:w="5057" w:type="dxa"/>
            <w:tcBorders>
              <w:top w:val="nil"/>
              <w:left w:val="nil"/>
              <w:bottom w:val="nil"/>
              <w:right w:val="nil"/>
            </w:tcBorders>
            <w:shd w:val="clear" w:color="FFFFFF" w:fill="FFFFFF"/>
            <w:noWrap/>
            <w:vAlign w:val="bottom"/>
            <w:hideMark/>
          </w:tcPr>
          <w:p w:rsidR="00735613" w:rsidRDefault="00735613">
            <w:pPr>
              <w:rPr>
                <w:rFonts w:cs="Arial"/>
                <w:szCs w:val="18"/>
              </w:rPr>
            </w:pPr>
            <w:bookmarkStart w:id="28" w:name="Note_DCFTABLE1" w:colFirst="0" w:colLast="0"/>
            <w:r>
              <w:rPr>
                <w:rFonts w:cs="Arial"/>
                <w:szCs w:val="18"/>
              </w:rPr>
              <w:t> </w:t>
            </w:r>
          </w:p>
        </w:tc>
        <w:tc>
          <w:tcPr>
            <w:tcW w:w="123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2014</w:t>
            </w:r>
          </w:p>
        </w:tc>
      </w:tr>
      <w:bookmarkEnd w:id="28"/>
      <w:tr w:rsidR="00735613" w:rsidTr="00735613">
        <w:trPr>
          <w:trHeight w:val="264"/>
        </w:trPr>
        <w:tc>
          <w:tcPr>
            <w:tcW w:w="505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1"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Notes</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505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OPERATING ACTIVITIES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Cash received</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Appropriations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307,355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198,046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Sale of goods and rendering of services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40,737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12,145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Net GST received</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5,712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4,149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Other</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9,922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1,110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cash received</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363,726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215,450</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Cash used</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40"/>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Employee benefits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215,581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150,090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Supplier expenses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100,903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64,679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Grants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257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Section 74 receipts transferred to the OPA</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47,837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cash used</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364,578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214,769</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76"/>
        </w:trPr>
        <w:tc>
          <w:tcPr>
            <w:tcW w:w="5057"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Net cash from (used by) operating activities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12</w:t>
            </w:r>
          </w:p>
        </w:tc>
        <w:tc>
          <w:tcPr>
            <w:tcW w:w="1233" w:type="dxa"/>
            <w:tcBorders>
              <w:top w:val="nil"/>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(852)</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681</w:t>
            </w:r>
          </w:p>
        </w:tc>
      </w:tr>
      <w:tr w:rsidR="00735613" w:rsidTr="00735613">
        <w:trPr>
          <w:trHeight w:val="276"/>
        </w:trPr>
        <w:tc>
          <w:tcPr>
            <w:tcW w:w="505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INVESTING ACTIVITIES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Cash received</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Proceeds from sales of infrastructure, plant and equipment</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735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4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cash received</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735</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4</w:t>
            </w:r>
          </w:p>
        </w:tc>
      </w:tr>
      <w:tr w:rsidR="00735613" w:rsidTr="00735613">
        <w:trPr>
          <w:trHeight w:val="264"/>
        </w:trPr>
        <w:tc>
          <w:tcPr>
            <w:tcW w:w="505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Cash used</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Purchase of infrastructure, plant and equipment</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3,985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2,402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Purchase / development of intangibles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16,790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17,293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Purchase of land and buildings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2,041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266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cash used</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22,816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19,961</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76"/>
        </w:trPr>
        <w:tc>
          <w:tcPr>
            <w:tcW w:w="5057"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Net cash from (used by) investing activities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(22,081)</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(19,957)</w:t>
            </w:r>
          </w:p>
        </w:tc>
      </w:tr>
      <w:tr w:rsidR="00735613" w:rsidTr="00735613">
        <w:trPr>
          <w:trHeight w:val="276"/>
        </w:trPr>
        <w:tc>
          <w:tcPr>
            <w:tcW w:w="505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FINANCING ACTIVITIES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Cash received</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Contributed equity - capital injections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3,836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8,861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Contributed equity - capital budget</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18,299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16,226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Cash from restructuring</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2,186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2,618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cash received</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24,321</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27,705</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76"/>
        </w:trPr>
        <w:tc>
          <w:tcPr>
            <w:tcW w:w="5057"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Net cash from (used by) financing activities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24,321</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27,705</w:t>
            </w:r>
          </w:p>
        </w:tc>
      </w:tr>
      <w:tr w:rsidR="00735613" w:rsidTr="00735613">
        <w:trPr>
          <w:trHeight w:val="276"/>
        </w:trPr>
        <w:tc>
          <w:tcPr>
            <w:tcW w:w="505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Net increase (decrease) in cash held</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1,388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8,429</w:t>
            </w:r>
          </w:p>
        </w:tc>
      </w:tr>
      <w:tr w:rsidR="00735613" w:rsidTr="00735613">
        <w:trPr>
          <w:trHeight w:val="264"/>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Cash and cash equivalents at the beginning of the reporting period</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8,429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76"/>
        </w:trPr>
        <w:tc>
          <w:tcPr>
            <w:tcW w:w="5057"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Cash and cash equivalents at the end of the reporting period</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7A</w:t>
            </w:r>
          </w:p>
        </w:tc>
        <w:tc>
          <w:tcPr>
            <w:tcW w:w="1233"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9,817</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8,429</w:t>
            </w:r>
          </w:p>
        </w:tc>
      </w:tr>
    </w:tbl>
    <w:p w:rsidR="00735613" w:rsidRDefault="00735613">
      <w:pPr>
        <w:spacing w:line="240" w:lineRule="auto"/>
        <w:sectPr w:rsidR="00735613">
          <w:headerReference w:type="default" r:id="rId18"/>
          <w:pgSz w:w="11906" w:h="16838"/>
          <w:pgMar w:top="1134" w:right="1134" w:bottom="1134" w:left="1134" w:header="958" w:footer="737" w:gutter="0"/>
          <w:cols w:space="720"/>
        </w:sectPr>
      </w:pPr>
    </w:p>
    <w:p w:rsidR="00735613" w:rsidRDefault="00735613">
      <w:pPr>
        <w:spacing w:line="240" w:lineRule="auto"/>
      </w:pPr>
      <w:r>
        <w:rPr>
          <w:rFonts w:ascii="Times New Roman" w:hAnsi="Times New Roman"/>
          <w:sz w:val="24"/>
          <w:szCs w:val="24"/>
          <w:lang w:eastAsia="en-AU"/>
        </w:rPr>
        <w:br w:type="page"/>
      </w:r>
      <w:bookmarkStart w:id="29" w:name="RANGE!E6:I53"/>
      <w:bookmarkStart w:id="30" w:name="RANGE!E6:I52"/>
      <w:bookmarkStart w:id="31" w:name="RANGE!E6:I59"/>
      <w:bookmarkStart w:id="32" w:name="RANGE!E6:E65"/>
      <w:bookmarkStart w:id="33" w:name="RANGE!E6:I65"/>
      <w:bookmarkStart w:id="34" w:name="RANGE!E6:E64"/>
      <w:bookmarkStart w:id="35" w:name="RANGE!E6:I64"/>
      <w:bookmarkEnd w:id="29"/>
      <w:bookmarkEnd w:id="30"/>
      <w:bookmarkEnd w:id="31"/>
      <w:bookmarkEnd w:id="32"/>
      <w:bookmarkEnd w:id="33"/>
      <w:bookmarkEnd w:id="34"/>
      <w:bookmarkEnd w:id="35"/>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bookmarkStart w:id="36" w:name="RANGE!D7:D52"/>
            <w:bookmarkStart w:id="37" w:name="Note_SOCTABLE1" w:colFirst="0" w:colLast="0"/>
            <w:r>
              <w:rPr>
                <w:rFonts w:cs="Arial"/>
                <w:szCs w:val="18"/>
              </w:rPr>
              <w:t> </w:t>
            </w:r>
            <w:bookmarkEnd w:id="36"/>
          </w:p>
        </w:tc>
        <w:tc>
          <w:tcPr>
            <w:tcW w:w="1235"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2014</w:t>
            </w:r>
          </w:p>
        </w:tc>
      </w:tr>
      <w:bookmarkEnd w:id="37"/>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BY TYPE</w:t>
            </w:r>
          </w:p>
        </w:tc>
        <w:tc>
          <w:tcPr>
            <w:tcW w:w="1235"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Commitments receivable</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Sublease rental income</w:t>
            </w:r>
            <w:r>
              <w:rPr>
                <w:rFonts w:cs="Arial"/>
                <w:szCs w:val="18"/>
                <w:vertAlign w:val="superscript"/>
              </w:rPr>
              <w:t>1</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(11,110)</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(10,285)</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Net GST recoverable on commitments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(30,967)</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(32,136)</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commitments receivable</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(42,077)</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(42,421)</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Commitments payable</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Other commitments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Operating leases</w:t>
            </w:r>
            <w:r>
              <w:rPr>
                <w:rFonts w:cs="Arial"/>
                <w:szCs w:val="18"/>
                <w:vertAlign w:val="superscript"/>
              </w:rPr>
              <w:t>1</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323,127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350,287 </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IT commitments</w:t>
            </w:r>
            <w:r>
              <w:rPr>
                <w:rFonts w:cs="Arial"/>
                <w:szCs w:val="18"/>
                <w:vertAlign w:val="superscript"/>
              </w:rPr>
              <w:t>2</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10,834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11,300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Research and development</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2,843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853 </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Other</w:t>
            </w:r>
            <w:r>
              <w:rPr>
                <w:rFonts w:cs="Arial"/>
                <w:szCs w:val="18"/>
                <w:vertAlign w:val="superscript"/>
              </w:rPr>
              <w:t>3</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19,209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6,939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other commitments</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356,013</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369,379</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Net commitments by type</w:t>
            </w:r>
          </w:p>
        </w:tc>
        <w:tc>
          <w:tcPr>
            <w:tcW w:w="1235" w:type="dxa"/>
            <w:tcBorders>
              <w:top w:val="nil"/>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313,936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326,958</w:t>
            </w:r>
          </w:p>
        </w:tc>
      </w:tr>
      <w:tr w:rsidR="00735613" w:rsidTr="00735613">
        <w:trPr>
          <w:trHeight w:val="276"/>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BY MATURITY</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Commitments receivable</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Within 1 year</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(10,234)</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(8,479)</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Between 1 to 5  years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(17,226)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(16,422)</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More than 5 years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(14,617)</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(17,520)</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commitments receivable</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(42,077)</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(42,421)</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Commitments payable</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Operating lease commitments</w:t>
            </w:r>
            <w:r>
              <w:rPr>
                <w:rFonts w:cs="Arial"/>
                <w:b/>
                <w:bCs/>
                <w:szCs w:val="18"/>
                <w:vertAlign w:val="superscript"/>
              </w:rPr>
              <w:t>1</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Within 1 year</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36,399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39,541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Between 1 to 5  years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128,731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129,278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More than 5 years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157,997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181,468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operating lease commitments</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323,127</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350,287</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IT commitments</w:t>
            </w:r>
            <w:r>
              <w:rPr>
                <w:rFonts w:cs="Arial"/>
                <w:b/>
                <w:bCs/>
                <w:szCs w:val="18"/>
                <w:vertAlign w:val="superscript"/>
              </w:rPr>
              <w:t>2</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Within 1 year</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6,414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7,401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Between 1 to 5  years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4,420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3,899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More than 5 years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IT commitments</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10,834</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11,300</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Research and development commitments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Within 1 year</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503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853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Between 1 to 5  years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2,340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research and development commitments</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2,843</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853</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Other commitments</w:t>
            </w:r>
            <w:r>
              <w:rPr>
                <w:rFonts w:cs="Arial"/>
                <w:b/>
                <w:bCs/>
                <w:szCs w:val="18"/>
                <w:vertAlign w:val="superscript"/>
              </w:rPr>
              <w:t>3</w:t>
            </w:r>
          </w:p>
        </w:tc>
        <w:tc>
          <w:tcPr>
            <w:tcW w:w="1235"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Within 1 year</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15,035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4,951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Between 1 to 5  years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4,174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1,988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other commitments</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19,209</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6,939</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Net commitments by maturity</w:t>
            </w:r>
          </w:p>
        </w:tc>
        <w:tc>
          <w:tcPr>
            <w:tcW w:w="1235" w:type="dxa"/>
            <w:tcBorders>
              <w:top w:val="nil"/>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313,936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326,958</w:t>
            </w:r>
          </w:p>
        </w:tc>
      </w:tr>
    </w:tbl>
    <w:p w:rsidR="00735613" w:rsidRDefault="00735613">
      <w:bookmarkStart w:id="38" w:name="RANGE!D7:G50"/>
      <w:bookmarkStart w:id="39" w:name="RANGE!D7:G52"/>
      <w:bookmarkEnd w:id="38"/>
      <w:bookmarkEnd w:id="39"/>
      <w:r>
        <w:br w:type="page"/>
      </w:r>
    </w:p>
    <w:p w:rsidR="00735613" w:rsidRDefault="00735613">
      <w:bookmarkStart w:id="40" w:name="RANGE!D7:G63"/>
      <w:bookmarkStart w:id="41" w:name="RANGE!D7:G62"/>
      <w:bookmarkStart w:id="42" w:name="RANGE!D6:G63"/>
      <w:bookmarkStart w:id="43" w:name="RANGE!D6:H55"/>
      <w:bookmarkStart w:id="44" w:name="RANGE!D6:G59"/>
      <w:bookmarkStart w:id="45" w:name="RANGE!D6:D62"/>
      <w:bookmarkStart w:id="46" w:name="RANGE!D6:G62"/>
      <w:bookmarkEnd w:id="40"/>
      <w:bookmarkEnd w:id="41"/>
      <w:bookmarkEnd w:id="42"/>
      <w:bookmarkEnd w:id="43"/>
      <w:bookmarkEnd w:id="44"/>
      <w:bookmarkEnd w:id="45"/>
      <w:bookmarkEnd w:id="46"/>
    </w:p>
    <w:p w:rsidR="00735613" w:rsidRDefault="00735613" w:rsidP="00735613">
      <w:pPr>
        <w:pStyle w:val="AdminBlankGreyShade"/>
      </w:pPr>
      <w:r>
        <w:t>NB: Commitments are GST inclusive where relevant.</w:t>
      </w:r>
    </w:p>
    <w:p w:rsidR="00735613" w:rsidRDefault="00735613" w:rsidP="00735613">
      <w:pPr>
        <w:pStyle w:val="AdminBlankGreyShade"/>
      </w:pPr>
      <w:r>
        <w:rPr>
          <w:vertAlign w:val="superscript"/>
        </w:rPr>
        <w:t xml:space="preserve">1 </w:t>
      </w:r>
      <w:r>
        <w:t>Operating leases included are effectively non-cancellable and comprise:</w:t>
      </w:r>
    </w:p>
    <w:p w:rsidR="00735613" w:rsidRDefault="00735613">
      <w:pPr>
        <w:rPr>
          <w:rFonts w:cs="Arial"/>
          <w:szCs w:val="18"/>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536"/>
      </w:tblGrid>
      <w:tr w:rsidR="00735613">
        <w:tc>
          <w:tcPr>
            <w:tcW w:w="4264" w:type="dxa"/>
            <w:tcBorders>
              <w:top w:val="single" w:sz="4" w:space="0" w:color="auto"/>
              <w:left w:val="single" w:sz="4" w:space="0" w:color="auto"/>
              <w:bottom w:val="single" w:sz="4" w:space="0" w:color="auto"/>
              <w:right w:val="single" w:sz="4" w:space="0" w:color="auto"/>
            </w:tcBorders>
            <w:hideMark/>
          </w:tcPr>
          <w:p w:rsidR="00735613" w:rsidRDefault="00735613">
            <w:pPr>
              <w:pStyle w:val="StatementTextLevel1b"/>
              <w:rPr>
                <w:rFonts w:ascii="Calibri" w:hAnsi="Calibri" w:cs="Arial"/>
              </w:rPr>
            </w:pPr>
            <w:r>
              <w:rPr>
                <w:rFonts w:ascii="Calibri" w:hAnsi="Calibri" w:cs="Arial"/>
              </w:rPr>
              <w:t>Nature of lease</w:t>
            </w:r>
          </w:p>
        </w:tc>
        <w:tc>
          <w:tcPr>
            <w:tcW w:w="4264" w:type="dxa"/>
            <w:tcBorders>
              <w:top w:val="single" w:sz="4" w:space="0" w:color="auto"/>
              <w:left w:val="single" w:sz="4" w:space="0" w:color="auto"/>
              <w:bottom w:val="single" w:sz="4" w:space="0" w:color="auto"/>
              <w:right w:val="single" w:sz="4" w:space="0" w:color="auto"/>
            </w:tcBorders>
            <w:hideMark/>
          </w:tcPr>
          <w:p w:rsidR="00735613" w:rsidRDefault="00735613">
            <w:pPr>
              <w:pStyle w:val="StatementTextLevel1b"/>
              <w:rPr>
                <w:rFonts w:ascii="Calibri" w:hAnsi="Calibri" w:cs="Arial"/>
              </w:rPr>
            </w:pPr>
            <w:r>
              <w:rPr>
                <w:rFonts w:ascii="Calibri" w:hAnsi="Calibri" w:cs="Arial"/>
              </w:rPr>
              <w:t>General description of leasing arrangement</w:t>
            </w:r>
          </w:p>
        </w:tc>
      </w:tr>
      <w:tr w:rsidR="00735613">
        <w:tc>
          <w:tcPr>
            <w:tcW w:w="4264" w:type="dxa"/>
            <w:tcBorders>
              <w:top w:val="single" w:sz="4" w:space="0" w:color="auto"/>
              <w:left w:val="single" w:sz="4" w:space="0" w:color="auto"/>
              <w:bottom w:val="single" w:sz="4" w:space="0" w:color="auto"/>
              <w:right w:val="single" w:sz="4" w:space="0" w:color="auto"/>
            </w:tcBorders>
            <w:hideMark/>
          </w:tcPr>
          <w:p w:rsidR="00735613" w:rsidRDefault="00735613">
            <w:pPr>
              <w:rPr>
                <w:rFonts w:cs="Arial"/>
                <w:szCs w:val="18"/>
              </w:rPr>
            </w:pPr>
            <w:r>
              <w:rPr>
                <w:rFonts w:cs="Arial"/>
                <w:szCs w:val="18"/>
              </w:rPr>
              <w:t>Leases for office accommodation</w:t>
            </w:r>
          </w:p>
        </w:tc>
        <w:tc>
          <w:tcPr>
            <w:tcW w:w="4264" w:type="dxa"/>
            <w:tcBorders>
              <w:top w:val="single" w:sz="4" w:space="0" w:color="auto"/>
              <w:left w:val="single" w:sz="4" w:space="0" w:color="auto"/>
              <w:bottom w:val="single" w:sz="4" w:space="0" w:color="auto"/>
              <w:right w:val="single" w:sz="4" w:space="0" w:color="auto"/>
            </w:tcBorders>
            <w:hideMark/>
          </w:tcPr>
          <w:p w:rsidR="00735613" w:rsidRDefault="00735613" w:rsidP="00735613">
            <w:pPr>
              <w:rPr>
                <w:rFonts w:cs="Arial"/>
                <w:szCs w:val="18"/>
              </w:rPr>
            </w:pPr>
            <w:r>
              <w:rPr>
                <w:rFonts w:cs="Arial"/>
                <w:szCs w:val="18"/>
              </w:rPr>
              <w:t>Lease payments are subject to periodic market value or indexed increases.</w:t>
            </w:r>
          </w:p>
        </w:tc>
      </w:tr>
      <w:tr w:rsidR="00735613">
        <w:tc>
          <w:tcPr>
            <w:tcW w:w="4264" w:type="dxa"/>
            <w:tcBorders>
              <w:top w:val="single" w:sz="4" w:space="0" w:color="auto"/>
              <w:left w:val="single" w:sz="4" w:space="0" w:color="auto"/>
              <w:bottom w:val="single" w:sz="4" w:space="0" w:color="auto"/>
              <w:right w:val="single" w:sz="4" w:space="0" w:color="auto"/>
            </w:tcBorders>
            <w:hideMark/>
          </w:tcPr>
          <w:p w:rsidR="00735613" w:rsidRDefault="00735613">
            <w:pPr>
              <w:rPr>
                <w:rFonts w:cs="Arial"/>
                <w:szCs w:val="18"/>
              </w:rPr>
            </w:pPr>
            <w:r>
              <w:rPr>
                <w:rFonts w:cs="Arial"/>
                <w:szCs w:val="18"/>
              </w:rPr>
              <w:t>Sub lease revenue for office accommodation</w:t>
            </w:r>
          </w:p>
        </w:tc>
        <w:tc>
          <w:tcPr>
            <w:tcW w:w="4264" w:type="dxa"/>
            <w:tcBorders>
              <w:top w:val="single" w:sz="4" w:space="0" w:color="auto"/>
              <w:left w:val="single" w:sz="4" w:space="0" w:color="auto"/>
              <w:bottom w:val="single" w:sz="4" w:space="0" w:color="auto"/>
              <w:right w:val="single" w:sz="4" w:space="0" w:color="auto"/>
            </w:tcBorders>
            <w:hideMark/>
          </w:tcPr>
          <w:p w:rsidR="00735613" w:rsidRDefault="00735613" w:rsidP="00735613">
            <w:pPr>
              <w:rPr>
                <w:rFonts w:cs="Arial"/>
                <w:szCs w:val="18"/>
              </w:rPr>
            </w:pPr>
            <w:r>
              <w:rPr>
                <w:rFonts w:cs="Arial"/>
                <w:szCs w:val="18"/>
              </w:rPr>
              <w:t>Vacant office space is sub leased where possible. The total of future minimum lease payments expected to be received over the next five years is $11.110 million    (2014: $10.285 million) including GST.</w:t>
            </w:r>
          </w:p>
        </w:tc>
      </w:tr>
      <w:tr w:rsidR="00735613">
        <w:tc>
          <w:tcPr>
            <w:tcW w:w="4264" w:type="dxa"/>
            <w:tcBorders>
              <w:top w:val="single" w:sz="4" w:space="0" w:color="auto"/>
              <w:left w:val="single" w:sz="4" w:space="0" w:color="auto"/>
              <w:bottom w:val="single" w:sz="4" w:space="0" w:color="auto"/>
              <w:right w:val="single" w:sz="4" w:space="0" w:color="auto"/>
            </w:tcBorders>
            <w:hideMark/>
          </w:tcPr>
          <w:p w:rsidR="00735613" w:rsidRDefault="00735613">
            <w:pPr>
              <w:rPr>
                <w:rFonts w:cs="Arial"/>
                <w:szCs w:val="18"/>
              </w:rPr>
            </w:pPr>
            <w:r>
              <w:rPr>
                <w:rFonts w:cs="Arial"/>
                <w:szCs w:val="18"/>
              </w:rPr>
              <w:t>Agreement for provision of motor vehicles to senior executive officers</w:t>
            </w:r>
          </w:p>
        </w:tc>
        <w:tc>
          <w:tcPr>
            <w:tcW w:w="4264" w:type="dxa"/>
            <w:tcBorders>
              <w:top w:val="single" w:sz="4" w:space="0" w:color="auto"/>
              <w:left w:val="single" w:sz="4" w:space="0" w:color="auto"/>
              <w:bottom w:val="single" w:sz="4" w:space="0" w:color="auto"/>
              <w:right w:val="single" w:sz="4" w:space="0" w:color="auto"/>
            </w:tcBorders>
            <w:hideMark/>
          </w:tcPr>
          <w:p w:rsidR="00735613" w:rsidRDefault="00735613">
            <w:pPr>
              <w:rPr>
                <w:rFonts w:cs="Arial"/>
                <w:szCs w:val="18"/>
              </w:rPr>
            </w:pPr>
            <w:r>
              <w:rPr>
                <w:rFonts w:cs="Arial"/>
                <w:szCs w:val="18"/>
              </w:rPr>
              <w:t>No contingent rentals exist. There are no renewal or purchase options available to the department.</w:t>
            </w:r>
          </w:p>
        </w:tc>
      </w:tr>
    </w:tbl>
    <w:p w:rsidR="00735613" w:rsidRDefault="00735613">
      <w:pPr>
        <w:rPr>
          <w:rFonts w:cs="Arial"/>
          <w:szCs w:val="18"/>
        </w:rPr>
      </w:pPr>
    </w:p>
    <w:p w:rsidR="00735613" w:rsidRDefault="00735613" w:rsidP="00735613">
      <w:pPr>
        <w:pStyle w:val="AdminBlankGreyShade"/>
      </w:pPr>
      <w:r>
        <w:rPr>
          <w:rStyle w:val="FootnoteReference"/>
        </w:rPr>
        <w:t>2</w:t>
      </w:r>
      <w:r>
        <w:t xml:space="preserve"> IT commitments include contracts for data services, IT software licensing and hardware maintenance agreements.</w:t>
      </w:r>
    </w:p>
    <w:p w:rsidR="00735613" w:rsidRDefault="00735613" w:rsidP="00735613">
      <w:pPr>
        <w:pStyle w:val="AdminBlankGreyShade"/>
      </w:pPr>
      <w:r>
        <w:rPr>
          <w:rStyle w:val="FootnoteReference"/>
        </w:rPr>
        <w:t>3</w:t>
      </w:r>
      <w:r>
        <w:t xml:space="preserve"> Other commitments include a range of contracts such as fees for provision of services.</w:t>
      </w:r>
    </w:p>
    <w:p w:rsidR="00735613" w:rsidRPr="003D2D21" w:rsidRDefault="00735613" w:rsidP="00735613">
      <w:pPr>
        <w:rPr>
          <w:lang w:eastAsia="en-AU"/>
        </w:rPr>
      </w:pPr>
    </w:p>
    <w:p w:rsidR="00735613" w:rsidRPr="003D2D21" w:rsidRDefault="00735613" w:rsidP="00735613">
      <w:pPr>
        <w:rPr>
          <w:lang w:eastAsia="en-AU"/>
        </w:rPr>
      </w:pPr>
    </w:p>
    <w:p w:rsidR="00735613" w:rsidRPr="003D2D21" w:rsidRDefault="00735613" w:rsidP="00735613">
      <w:pPr>
        <w:spacing w:line="240" w:lineRule="auto"/>
        <w:rPr>
          <w:lang w:eastAsia="en-AU"/>
        </w:rPr>
      </w:pPr>
    </w:p>
    <w:p w:rsidR="00735613" w:rsidRPr="003D2D21" w:rsidRDefault="00735613" w:rsidP="00735613">
      <w:pPr>
        <w:rPr>
          <w:lang w:eastAsia="en-AU"/>
        </w:rPr>
      </w:pPr>
    </w:p>
    <w:p w:rsidR="00735613" w:rsidRPr="003D2D21" w:rsidRDefault="00735613" w:rsidP="00735613">
      <w:pPr>
        <w:rPr>
          <w:lang w:eastAsia="en-AU"/>
        </w:rPr>
      </w:pPr>
    </w:p>
    <w:p w:rsidR="00735613" w:rsidRPr="003D2D21" w:rsidRDefault="00735613" w:rsidP="00735613">
      <w:pPr>
        <w:rPr>
          <w:lang w:eastAsia="en-AU"/>
        </w:rPr>
      </w:pPr>
    </w:p>
    <w:p w:rsidR="00735613" w:rsidRPr="003D2D21" w:rsidRDefault="00735613" w:rsidP="00735613">
      <w:pPr>
        <w:rPr>
          <w:lang w:eastAsia="en-AU"/>
        </w:rPr>
      </w:pPr>
    </w:p>
    <w:p w:rsidR="00735613" w:rsidRPr="003D2D21" w:rsidRDefault="00735613" w:rsidP="00735613">
      <w:pPr>
        <w:rPr>
          <w:lang w:eastAsia="en-AU"/>
        </w:rPr>
      </w:pPr>
    </w:p>
    <w:p w:rsidR="00735613" w:rsidRPr="003D2D21" w:rsidRDefault="00735613" w:rsidP="00735613">
      <w:pPr>
        <w:rPr>
          <w:lang w:eastAsia="en-AU"/>
        </w:rPr>
      </w:pPr>
    </w:p>
    <w:p w:rsidR="00735613" w:rsidRPr="003D2D21" w:rsidRDefault="00735613" w:rsidP="00735613">
      <w:pPr>
        <w:rPr>
          <w:lang w:eastAsia="en-AU"/>
        </w:rPr>
      </w:pPr>
    </w:p>
    <w:p w:rsidR="00735613" w:rsidRPr="003D2D21" w:rsidRDefault="00735613" w:rsidP="00735613">
      <w:pPr>
        <w:rPr>
          <w:lang w:eastAsia="en-AU"/>
        </w:rPr>
      </w:pPr>
    </w:p>
    <w:p w:rsidR="00735613" w:rsidRPr="003D2D21" w:rsidRDefault="00735613" w:rsidP="00735613">
      <w:pPr>
        <w:rPr>
          <w:lang w:eastAsia="en-AU"/>
        </w:rPr>
      </w:pPr>
    </w:p>
    <w:p w:rsidR="00735613" w:rsidRPr="003D2D21" w:rsidRDefault="00735613" w:rsidP="00735613">
      <w:pPr>
        <w:rPr>
          <w:lang w:eastAsia="en-AU"/>
        </w:rPr>
      </w:pPr>
    </w:p>
    <w:p w:rsidR="00735613" w:rsidRPr="003D2D21" w:rsidRDefault="00735613" w:rsidP="00735613">
      <w:pPr>
        <w:rPr>
          <w:lang w:eastAsia="en-AU"/>
        </w:rPr>
      </w:pPr>
    </w:p>
    <w:p w:rsidR="00735613" w:rsidRPr="003D2D21" w:rsidRDefault="00735613" w:rsidP="00735613">
      <w:pPr>
        <w:rPr>
          <w:lang w:eastAsia="en-AU"/>
        </w:rPr>
      </w:pPr>
    </w:p>
    <w:p w:rsidR="00735613" w:rsidRPr="003D2D21" w:rsidRDefault="00735613" w:rsidP="00735613">
      <w:pPr>
        <w:rPr>
          <w:lang w:eastAsia="en-AU"/>
        </w:rPr>
      </w:pPr>
    </w:p>
    <w:p w:rsidR="00735613" w:rsidRPr="003D2D21" w:rsidRDefault="00735613" w:rsidP="00735613">
      <w:pPr>
        <w:rPr>
          <w:lang w:eastAsia="en-AU"/>
        </w:rPr>
      </w:pPr>
    </w:p>
    <w:p w:rsidR="00735613" w:rsidRPr="003D2D21" w:rsidRDefault="00735613" w:rsidP="00735613">
      <w:pPr>
        <w:rPr>
          <w:lang w:eastAsia="en-AU"/>
        </w:rPr>
      </w:pPr>
    </w:p>
    <w:p w:rsidR="00735613" w:rsidRPr="003D2D21" w:rsidRDefault="00735613" w:rsidP="00735613">
      <w:pPr>
        <w:rPr>
          <w:lang w:eastAsia="en-AU"/>
        </w:rPr>
      </w:pPr>
    </w:p>
    <w:p w:rsidR="00735613" w:rsidRPr="003D2D21" w:rsidRDefault="00735613" w:rsidP="00735613">
      <w:pPr>
        <w:rPr>
          <w:lang w:eastAsia="en-AU"/>
        </w:rPr>
      </w:pPr>
    </w:p>
    <w:p w:rsidR="00735613" w:rsidRPr="003D2D21" w:rsidRDefault="00735613" w:rsidP="00735613">
      <w:pPr>
        <w:rPr>
          <w:lang w:eastAsia="en-AU"/>
        </w:rPr>
      </w:pPr>
    </w:p>
    <w:p w:rsidR="00735613" w:rsidRPr="003D2D21" w:rsidRDefault="00735613" w:rsidP="00735613">
      <w:pPr>
        <w:rPr>
          <w:lang w:eastAsia="en-AU"/>
        </w:rPr>
      </w:pPr>
    </w:p>
    <w:p w:rsidR="00735613" w:rsidRPr="003D2D21" w:rsidRDefault="00735613" w:rsidP="00735613">
      <w:pPr>
        <w:rPr>
          <w:lang w:eastAsia="en-AU"/>
        </w:rPr>
      </w:pPr>
    </w:p>
    <w:p w:rsidR="00735613" w:rsidRPr="003D2D21" w:rsidRDefault="00735613" w:rsidP="00735613">
      <w:pPr>
        <w:rPr>
          <w:lang w:eastAsia="en-AU"/>
        </w:rPr>
      </w:pPr>
    </w:p>
    <w:p w:rsidR="00735613" w:rsidRDefault="00735613" w:rsidP="00735613">
      <w:pPr>
        <w:rPr>
          <w:lang w:eastAsia="en-AU"/>
        </w:rPr>
      </w:pPr>
    </w:p>
    <w:p w:rsidR="00735613" w:rsidRDefault="00735613" w:rsidP="00735613">
      <w:pPr>
        <w:rPr>
          <w:lang w:eastAsia="en-AU"/>
        </w:rPr>
      </w:pPr>
    </w:p>
    <w:p w:rsidR="00735613" w:rsidRPr="003D2D21" w:rsidRDefault="00735613" w:rsidP="00735613">
      <w:pPr>
        <w:rPr>
          <w:lang w:eastAsia="en-AU"/>
        </w:rPr>
        <w:sectPr w:rsidR="00735613" w:rsidRPr="003D2D21">
          <w:headerReference w:type="default" r:id="rId19"/>
          <w:footerReference w:type="default" r:id="rId20"/>
          <w:type w:val="continuous"/>
          <w:pgSz w:w="11906" w:h="16838"/>
          <w:pgMar w:top="1134" w:right="1134" w:bottom="1134" w:left="1134" w:header="958" w:footer="737" w:gutter="0"/>
          <w:cols w:space="720"/>
        </w:sectPr>
      </w:pPr>
    </w:p>
    <w:p w:rsidR="00735613" w:rsidRDefault="00735613" w:rsidP="00735613">
      <w:pPr>
        <w:rPr>
          <w:lang w:eastAsia="en-AU"/>
        </w:rPr>
      </w:pPr>
      <w:bookmarkStart w:id="47" w:name="RANGE!D7:G16"/>
      <w:bookmarkStart w:id="48" w:name="RANGE!D6:D19"/>
      <w:bookmarkStart w:id="49" w:name="RANGE!D6:G19"/>
      <w:bookmarkEnd w:id="47"/>
      <w:bookmarkEnd w:id="48"/>
      <w:bookmarkEnd w:id="49"/>
    </w:p>
    <w:tbl>
      <w:tblPr>
        <w:tblW w:w="9087" w:type="dxa"/>
        <w:tblInd w:w="80" w:type="dxa"/>
        <w:tblLayout w:type="fixed"/>
        <w:tblLook w:val="04A0" w:firstRow="1" w:lastRow="0" w:firstColumn="1" w:lastColumn="0" w:noHBand="0" w:noVBand="1"/>
      </w:tblPr>
      <w:tblGrid>
        <w:gridCol w:w="5115"/>
        <w:gridCol w:w="1245"/>
        <w:gridCol w:w="1247"/>
        <w:gridCol w:w="239"/>
        <w:gridCol w:w="1241"/>
      </w:tblGrid>
      <w:tr w:rsidR="00735613" w:rsidTr="00735613">
        <w:trPr>
          <w:trHeight w:val="264"/>
        </w:trPr>
        <w:tc>
          <w:tcPr>
            <w:tcW w:w="5057"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bookmarkStart w:id="50" w:name="Note_APLTABLE1" w:colFirst="0" w:colLast="0"/>
            <w:r>
              <w:rPr>
                <w:rFonts w:ascii="Arial" w:hAnsi="Arial" w:cs="Arial"/>
                <w:sz w:val="16"/>
                <w:szCs w:val="16"/>
              </w:rPr>
              <w:t> </w:t>
            </w:r>
          </w:p>
        </w:tc>
        <w:tc>
          <w:tcPr>
            <w:tcW w:w="12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3" w:type="dxa"/>
            <w:tcBorders>
              <w:top w:val="nil"/>
              <w:left w:val="nil"/>
              <w:bottom w:val="single" w:sz="4" w:space="0" w:color="D9D9D9"/>
              <w:right w:val="single" w:sz="4" w:space="0" w:color="D9D9D9"/>
            </w:tcBorders>
            <w:shd w:val="clear" w:color="000000" w:fill="D9D9D9"/>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2014</w:t>
            </w:r>
          </w:p>
        </w:tc>
      </w:tr>
      <w:bookmarkEnd w:id="50"/>
      <w:tr w:rsidR="00735613" w:rsidTr="00735613">
        <w:trPr>
          <w:trHeight w:val="264"/>
        </w:trPr>
        <w:tc>
          <w:tcPr>
            <w:tcW w:w="5057"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1" w:type="dxa"/>
            <w:tcBorders>
              <w:top w:val="nil"/>
              <w:left w:val="nil"/>
              <w:bottom w:val="nil"/>
              <w:right w:val="single" w:sz="4" w:space="0" w:color="D9D9D9"/>
            </w:tcBorders>
            <w:shd w:val="clear" w:color="000000" w:fill="D9D9D9"/>
            <w:vAlign w:val="bottom"/>
            <w:hideMark/>
          </w:tcPr>
          <w:p w:rsidR="00735613" w:rsidRDefault="00735613">
            <w:pPr>
              <w:jc w:val="center"/>
              <w:rPr>
                <w:rFonts w:cs="Arial"/>
                <w:b/>
                <w:bCs/>
                <w:szCs w:val="18"/>
              </w:rPr>
            </w:pPr>
            <w:r>
              <w:rPr>
                <w:rFonts w:cs="Arial"/>
                <w:b/>
                <w:bCs/>
                <w:szCs w:val="18"/>
              </w:rPr>
              <w:t>Notes</w:t>
            </w:r>
          </w:p>
        </w:tc>
        <w:tc>
          <w:tcPr>
            <w:tcW w:w="1233" w:type="dxa"/>
            <w:tcBorders>
              <w:top w:val="nil"/>
              <w:left w:val="nil"/>
              <w:bottom w:val="single" w:sz="4" w:space="0" w:color="D9D9D9"/>
              <w:right w:val="single" w:sz="4" w:space="0" w:color="D9D9D9"/>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NET COST OF SERVICES</w:t>
            </w:r>
          </w:p>
        </w:tc>
        <w:tc>
          <w:tcPr>
            <w:tcW w:w="1231" w:type="dxa"/>
            <w:tcBorders>
              <w:top w:val="nil"/>
              <w:left w:val="nil"/>
              <w:bottom w:val="nil"/>
              <w:right w:val="nil"/>
            </w:tcBorders>
            <w:shd w:val="clear" w:color="000000" w:fill="D9D9D9"/>
            <w:vAlign w:val="bottom"/>
            <w:hideMark/>
          </w:tcPr>
          <w:p w:rsidR="00735613" w:rsidRDefault="00735613">
            <w:pPr>
              <w:jc w:val="center"/>
              <w:rPr>
                <w:rFonts w:cs="Arial"/>
                <w:b/>
                <w:bCs/>
                <w:szCs w:val="18"/>
              </w:rPr>
            </w:pPr>
            <w:r>
              <w:rPr>
                <w:rFonts w:cs="Arial"/>
                <w:b/>
                <w:bCs/>
                <w:szCs w:val="18"/>
              </w:rPr>
              <w:t> </w:t>
            </w:r>
          </w:p>
        </w:tc>
        <w:tc>
          <w:tcPr>
            <w:tcW w:w="1233"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EXPENSES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Supplier expenses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18A</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338,577</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168,607</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Subsidies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18B</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144,309</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Personal benefits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18C</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3,535,096</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4,466,808</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xml:space="preserve">Grants </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18D</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24,410,096</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16,564,229</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Finance costs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18E</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801,980</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592,890</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Write-down and impairment of assets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18F</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26,237</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60,940</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Payment to Corporate Commonwealth Entities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18G</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13,370</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5,360</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Fair value losses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18H</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702,638</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860,240</w:t>
            </w:r>
          </w:p>
        </w:tc>
      </w:tr>
      <w:tr w:rsidR="00735613" w:rsidTr="00735613">
        <w:trPr>
          <w:trHeight w:val="264"/>
        </w:trPr>
        <w:tc>
          <w:tcPr>
            <w:tcW w:w="5057" w:type="dxa"/>
            <w:tcBorders>
              <w:top w:val="nil"/>
              <w:left w:val="nil"/>
              <w:bottom w:val="single" w:sz="4" w:space="0" w:color="D9D9D9"/>
              <w:right w:val="single" w:sz="12" w:space="0" w:color="D9D9D9"/>
            </w:tcBorders>
            <w:shd w:val="clear" w:color="000000" w:fill="D9D9D9"/>
            <w:vAlign w:val="bottom"/>
            <w:hideMark/>
          </w:tcPr>
          <w:p w:rsidR="00735613" w:rsidRDefault="00735613">
            <w:pPr>
              <w:rPr>
                <w:rFonts w:cs="Arial"/>
                <w:szCs w:val="18"/>
              </w:rPr>
            </w:pPr>
            <w:r>
              <w:rPr>
                <w:rFonts w:cs="Arial"/>
                <w:szCs w:val="18"/>
              </w:rPr>
              <w:t>Other Expenses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18I</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57</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i/>
                <w:iCs/>
                <w:szCs w:val="18"/>
              </w:rPr>
            </w:pPr>
            <w:r>
              <w:rPr>
                <w:rFonts w:cs="Arial"/>
                <w:b/>
                <w:bCs/>
                <w:i/>
                <w:iCs/>
                <w:szCs w:val="18"/>
              </w:rPr>
              <w:t>Total expenses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29,972,360</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22,719,074</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INCOME</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Revenue</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Taxation revenue</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Other taxes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19A</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8,576</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6,538</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Total taxation revenue</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8,576</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6,538</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Non-taxation revenue</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Interest</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19B</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583,134</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506,840</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Other revenue</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19C</w:t>
            </w:r>
          </w:p>
        </w:tc>
        <w:tc>
          <w:tcPr>
            <w:tcW w:w="1233"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291,185</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283,072</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Total non-taxation revenue</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874,319</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789,912</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i/>
                <w:iCs/>
                <w:szCs w:val="18"/>
              </w:rPr>
            </w:pPr>
            <w:r>
              <w:rPr>
                <w:rFonts w:cs="Arial"/>
                <w:b/>
                <w:bCs/>
                <w:i/>
                <w:iCs/>
                <w:szCs w:val="18"/>
              </w:rPr>
              <w:t xml:space="preserve">Total revenue </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882,895</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796,450</w:t>
            </w:r>
          </w:p>
        </w:tc>
      </w:tr>
      <w:tr w:rsidR="00735613" w:rsidTr="00735613">
        <w:trPr>
          <w:trHeight w:val="264"/>
        </w:trPr>
        <w:tc>
          <w:tcPr>
            <w:tcW w:w="5057"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Gains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xml:space="preserve">Fair value gains </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19D</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96,221</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Reversals of previous asset write-downs and impairment</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19E</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1,200,266</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9,331</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i/>
                <w:iCs/>
                <w:szCs w:val="18"/>
              </w:rPr>
            </w:pPr>
            <w:r>
              <w:rPr>
                <w:rFonts w:cs="Arial"/>
                <w:b/>
                <w:bCs/>
                <w:i/>
                <w:iCs/>
                <w:szCs w:val="18"/>
              </w:rPr>
              <w:t xml:space="preserve">Total gains </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1,200,266</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105,552</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Total income</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2,083,161</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902,002</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xml:space="preserve">Net cost of (contribution by) services </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27,889,199</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21,817,072</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xml:space="preserve">Surplus (Deficit) </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(27,889,199)</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(21,817,072)</w:t>
            </w:r>
          </w:p>
        </w:tc>
      </w:tr>
      <w:tr w:rsidR="00735613" w:rsidTr="00735613">
        <w:trPr>
          <w:trHeight w:val="264"/>
        </w:trPr>
        <w:tc>
          <w:tcPr>
            <w:tcW w:w="5057"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OTHER COMPREHENSIVE INCOME</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480"/>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Items not subject to subsequent reclassification to net cost of services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Changes in asset revaluation surplus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904</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142,920</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Total other comprehensive income (loss)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904</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142,920</w:t>
            </w:r>
          </w:p>
        </w:tc>
      </w:tr>
      <w:tr w:rsidR="00735613" w:rsidTr="00735613">
        <w:trPr>
          <w:trHeight w:val="264"/>
        </w:trPr>
        <w:tc>
          <w:tcPr>
            <w:tcW w:w="5057" w:type="dxa"/>
            <w:tcBorders>
              <w:top w:val="nil"/>
              <w:left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1" w:type="dxa"/>
            <w:tcBorders>
              <w:top w:val="nil"/>
              <w:left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5057" w:type="dxa"/>
            <w:tcBorders>
              <w:top w:val="nil"/>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comprehensive income (loss)</w:t>
            </w:r>
          </w:p>
        </w:tc>
        <w:tc>
          <w:tcPr>
            <w:tcW w:w="1231" w:type="dxa"/>
            <w:tcBorders>
              <w:top w:val="nil"/>
              <w:left w:val="nil"/>
              <w:bottom w:val="single" w:sz="24" w:space="0" w:color="D8D8D8"/>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3"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(27,888,295)</w:t>
            </w:r>
          </w:p>
        </w:tc>
        <w:tc>
          <w:tcPr>
            <w:tcW w:w="236" w:type="dxa"/>
            <w:tcBorders>
              <w:top w:val="single" w:sz="4" w:space="0" w:color="D9D9D9"/>
              <w:left w:val="nil"/>
              <w:bottom w:val="single" w:sz="24" w:space="0" w:color="D8D8D8"/>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(21,674,152)</w:t>
            </w:r>
          </w:p>
        </w:tc>
      </w:tr>
    </w:tbl>
    <w:p w:rsidR="00735613" w:rsidRDefault="00735613">
      <w:pPr>
        <w:spacing w:line="240" w:lineRule="auto"/>
        <w:sectPr w:rsidR="00735613">
          <w:headerReference w:type="default" r:id="rId21"/>
          <w:pgSz w:w="11906" w:h="16838"/>
          <w:pgMar w:top="1134" w:right="1134" w:bottom="1134" w:left="1134" w:header="958" w:footer="737" w:gutter="0"/>
          <w:cols w:space="720"/>
        </w:sectPr>
      </w:pPr>
      <w:bookmarkStart w:id="51" w:name="RANGE!D7:H48"/>
      <w:bookmarkStart w:id="52" w:name="RANGE!D7:H47"/>
      <w:bookmarkStart w:id="53" w:name="RANGE!D7:H46"/>
      <w:bookmarkStart w:id="54" w:name="RANGE!D7:H54"/>
      <w:bookmarkEnd w:id="51"/>
      <w:bookmarkEnd w:id="52"/>
      <w:bookmarkEnd w:id="53"/>
      <w:bookmarkEnd w:id="54"/>
    </w:p>
    <w:tbl>
      <w:tblPr>
        <w:tblW w:w="9087" w:type="dxa"/>
        <w:tblInd w:w="80" w:type="dxa"/>
        <w:tblLayout w:type="fixed"/>
        <w:tblLook w:val="04A0" w:firstRow="1" w:lastRow="0" w:firstColumn="1" w:lastColumn="0" w:noHBand="0" w:noVBand="1"/>
      </w:tblPr>
      <w:tblGrid>
        <w:gridCol w:w="5115"/>
        <w:gridCol w:w="1245"/>
        <w:gridCol w:w="1247"/>
        <w:gridCol w:w="239"/>
        <w:gridCol w:w="1241"/>
      </w:tblGrid>
      <w:tr w:rsidR="00735613" w:rsidTr="00735613">
        <w:trPr>
          <w:trHeight w:val="264"/>
        </w:trPr>
        <w:tc>
          <w:tcPr>
            <w:tcW w:w="5057"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bookmarkStart w:id="55" w:name="Note_ABSTABLE1" w:colFirst="0" w:colLast="0"/>
            <w:r>
              <w:rPr>
                <w:rFonts w:ascii="Arial" w:hAnsi="Arial" w:cs="Arial"/>
                <w:sz w:val="16"/>
                <w:szCs w:val="16"/>
              </w:rPr>
              <w:t> </w:t>
            </w:r>
          </w:p>
        </w:tc>
        <w:tc>
          <w:tcPr>
            <w:tcW w:w="1231"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3"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2014</w:t>
            </w:r>
          </w:p>
        </w:tc>
      </w:tr>
      <w:bookmarkEnd w:id="55"/>
      <w:tr w:rsidR="00735613" w:rsidTr="00735613">
        <w:trPr>
          <w:trHeight w:val="264"/>
        </w:trPr>
        <w:tc>
          <w:tcPr>
            <w:tcW w:w="5057"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1" w:type="dxa"/>
            <w:tcBorders>
              <w:top w:val="nil"/>
              <w:left w:val="nil"/>
              <w:bottom w:val="nil"/>
              <w:right w:val="nil"/>
            </w:tcBorders>
            <w:shd w:val="clear" w:color="000000" w:fill="D9D9D9"/>
            <w:vAlign w:val="bottom"/>
            <w:hideMark/>
          </w:tcPr>
          <w:p w:rsidR="00735613" w:rsidRDefault="00735613">
            <w:pPr>
              <w:jc w:val="center"/>
              <w:rPr>
                <w:rFonts w:cs="Arial"/>
                <w:b/>
                <w:bCs/>
                <w:szCs w:val="18"/>
              </w:rPr>
            </w:pPr>
            <w:r>
              <w:rPr>
                <w:rFonts w:cs="Arial"/>
                <w:b/>
                <w:bCs/>
                <w:szCs w:val="18"/>
              </w:rPr>
              <w:t>Notes</w:t>
            </w:r>
          </w:p>
        </w:tc>
        <w:tc>
          <w:tcPr>
            <w:tcW w:w="1233"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ASSETS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Financial assets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Cash and cash equivalents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21A</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26,528</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91,293</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Receivables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21B</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30,927,974</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25,960,127</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Other investments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21C</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2,149,930</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2,149,026</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Total financial assets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33,104,432</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28,200,446</w:t>
            </w:r>
          </w:p>
        </w:tc>
      </w:tr>
      <w:tr w:rsidR="00735613" w:rsidTr="00735613">
        <w:trPr>
          <w:trHeight w:val="264"/>
        </w:trPr>
        <w:tc>
          <w:tcPr>
            <w:tcW w:w="5057"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Non-financial assets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Other non-financial assets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22A</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523</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Total non-financial assets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523</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Total assets administered on behalf of Government</w:t>
            </w:r>
          </w:p>
        </w:tc>
        <w:tc>
          <w:tcPr>
            <w:tcW w:w="1231" w:type="dxa"/>
            <w:tcBorders>
              <w:top w:val="nil"/>
              <w:left w:val="nil"/>
              <w:bottom w:val="single" w:sz="4" w:space="0" w:color="D9D9D9"/>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33,104,432</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28,200,969</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LIABILITIES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Payables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Suppliers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23A</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54,235</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36,884</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Personal benefits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23B</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120,937</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Grants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23C</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36,246</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24,434</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Other payables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23D</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17,701</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8,692</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Total payables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108,182</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190,947</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Provisions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Provision of personal benefits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24A</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801,010</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Provision for grants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24B</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6,068,013</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6,867,769</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Total provisions</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6,068,013</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7,668,779</w:t>
            </w:r>
          </w:p>
        </w:tc>
      </w:tr>
      <w:tr w:rsidR="00735613" w:rsidTr="00735613">
        <w:trPr>
          <w:trHeight w:val="264"/>
        </w:trPr>
        <w:tc>
          <w:tcPr>
            <w:tcW w:w="505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231"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057"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Total liabilities administered on behalf of Government</w:t>
            </w:r>
          </w:p>
        </w:tc>
        <w:tc>
          <w:tcPr>
            <w:tcW w:w="1231" w:type="dxa"/>
            <w:tcBorders>
              <w:top w:val="nil"/>
              <w:left w:val="nil"/>
              <w:bottom w:val="single" w:sz="4" w:space="0" w:color="D9D9D9"/>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6,176,195</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7,859,726</w:t>
            </w:r>
          </w:p>
        </w:tc>
      </w:tr>
      <w:tr w:rsidR="00735613" w:rsidTr="00735613">
        <w:trPr>
          <w:trHeight w:val="264"/>
        </w:trPr>
        <w:tc>
          <w:tcPr>
            <w:tcW w:w="5057" w:type="dxa"/>
            <w:tcBorders>
              <w:top w:val="nil"/>
              <w:left w:val="nil"/>
              <w:right w:val="nil"/>
            </w:tcBorders>
            <w:shd w:val="clear" w:color="000000" w:fill="D9D9D9"/>
            <w:vAlign w:val="bottom"/>
            <w:hideMark/>
          </w:tcPr>
          <w:p w:rsidR="00735613" w:rsidRDefault="00735613">
            <w:pPr>
              <w:rPr>
                <w:rFonts w:cs="Arial"/>
                <w:szCs w:val="18"/>
              </w:rPr>
            </w:pPr>
            <w:r>
              <w:rPr>
                <w:rFonts w:cs="Arial"/>
                <w:szCs w:val="18"/>
              </w:rPr>
              <w:t> </w:t>
            </w:r>
          </w:p>
        </w:tc>
        <w:tc>
          <w:tcPr>
            <w:tcW w:w="1231" w:type="dxa"/>
            <w:tcBorders>
              <w:top w:val="nil"/>
              <w:left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76"/>
        </w:trPr>
        <w:tc>
          <w:tcPr>
            <w:tcW w:w="5057" w:type="dxa"/>
            <w:tcBorders>
              <w:top w:val="nil"/>
              <w:left w:val="nil"/>
              <w:bottom w:val="single" w:sz="24" w:space="0" w:color="D8D8D8"/>
              <w:right w:val="nil"/>
            </w:tcBorders>
            <w:shd w:val="clear" w:color="000000" w:fill="D9D9D9"/>
            <w:vAlign w:val="bottom"/>
            <w:hideMark/>
          </w:tcPr>
          <w:p w:rsidR="00735613" w:rsidRDefault="00735613">
            <w:pPr>
              <w:rPr>
                <w:rFonts w:cs="Arial"/>
                <w:b/>
                <w:bCs/>
                <w:szCs w:val="18"/>
              </w:rPr>
            </w:pPr>
            <w:r>
              <w:rPr>
                <w:rFonts w:cs="Arial"/>
                <w:b/>
                <w:bCs/>
                <w:szCs w:val="18"/>
              </w:rPr>
              <w:t>Net assets (liabilities)</w:t>
            </w:r>
          </w:p>
        </w:tc>
        <w:tc>
          <w:tcPr>
            <w:tcW w:w="1231" w:type="dxa"/>
            <w:tcBorders>
              <w:top w:val="nil"/>
              <w:left w:val="nil"/>
              <w:bottom w:val="single" w:sz="24" w:space="0" w:color="D8D8D8"/>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26,928,237</w:t>
            </w:r>
          </w:p>
        </w:tc>
        <w:tc>
          <w:tcPr>
            <w:tcW w:w="236" w:type="dxa"/>
            <w:tcBorders>
              <w:top w:val="single" w:sz="4" w:space="0" w:color="D9D9D9"/>
              <w:left w:val="nil"/>
              <w:bottom w:val="single" w:sz="24" w:space="0" w:color="D8D8D8"/>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7"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20,341,243</w:t>
            </w:r>
          </w:p>
        </w:tc>
      </w:tr>
    </w:tbl>
    <w:p w:rsidR="00735613" w:rsidRDefault="00735613">
      <w:pPr>
        <w:spacing w:line="240" w:lineRule="auto"/>
      </w:pPr>
      <w:bookmarkStart w:id="56" w:name="RANGE!D7:H38"/>
      <w:bookmarkStart w:id="57" w:name="RANGE!D6:H80"/>
      <w:bookmarkStart w:id="58" w:name="RANGE!D6:H64"/>
      <w:bookmarkStart w:id="59" w:name="RANGE!D6:H50"/>
      <w:bookmarkStart w:id="60" w:name="RANGE!D6:H52"/>
      <w:bookmarkStart w:id="61" w:name="RANGE!D7:H53"/>
      <w:bookmarkStart w:id="62" w:name="RANGE!D7:H52"/>
      <w:bookmarkStart w:id="63" w:name="RANGE!D7:H33"/>
      <w:bookmarkStart w:id="64" w:name="RANGE!D7:H37"/>
      <w:bookmarkEnd w:id="56"/>
      <w:bookmarkEnd w:id="57"/>
      <w:bookmarkEnd w:id="58"/>
      <w:bookmarkEnd w:id="59"/>
      <w:bookmarkEnd w:id="60"/>
      <w:bookmarkEnd w:id="61"/>
      <w:bookmarkEnd w:id="62"/>
      <w:bookmarkEnd w:id="63"/>
      <w:bookmarkEnd w:id="64"/>
    </w:p>
    <w:p w:rsidR="00735613" w:rsidRDefault="00735613">
      <w:pPr>
        <w:spacing w:line="240" w:lineRule="auto"/>
      </w:pPr>
    </w:p>
    <w:p w:rsidR="00735613" w:rsidRDefault="00735613">
      <w:pPr>
        <w:spacing w:line="240" w:lineRule="auto"/>
        <w:sectPr w:rsidR="00735613">
          <w:headerReference w:type="default" r:id="rId22"/>
          <w:pgSz w:w="11906" w:h="16838"/>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6119"/>
        <w:gridCol w:w="1527"/>
        <w:gridCol w:w="239"/>
        <w:gridCol w:w="1202"/>
      </w:tblGrid>
      <w:tr w:rsidR="00735613" w:rsidTr="00735613">
        <w:trPr>
          <w:trHeight w:val="276"/>
        </w:trPr>
        <w:tc>
          <w:tcPr>
            <w:tcW w:w="6053"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bookmarkStart w:id="65" w:name="Note_AEQTABLE1" w:colFirst="0" w:colLast="0"/>
            <w:r>
              <w:rPr>
                <w:rFonts w:ascii="Arial" w:hAnsi="Arial" w:cs="Arial"/>
                <w:sz w:val="16"/>
                <w:szCs w:val="16"/>
              </w:rPr>
              <w:t> </w:t>
            </w:r>
          </w:p>
        </w:tc>
        <w:tc>
          <w:tcPr>
            <w:tcW w:w="1510"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2014</w:t>
            </w:r>
          </w:p>
        </w:tc>
      </w:tr>
      <w:bookmarkEnd w:id="65"/>
      <w:tr w:rsidR="00735613" w:rsidTr="00735613">
        <w:trPr>
          <w:trHeight w:val="276"/>
        </w:trPr>
        <w:tc>
          <w:tcPr>
            <w:tcW w:w="6053"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510"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$'000</w:t>
            </w:r>
          </w:p>
        </w:tc>
      </w:tr>
      <w:tr w:rsidR="00735613" w:rsidTr="00735613">
        <w:trPr>
          <w:trHeight w:val="276"/>
        </w:trPr>
        <w:tc>
          <w:tcPr>
            <w:tcW w:w="6053"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Opening assets less liabilities as at 1 July</w:t>
            </w:r>
          </w:p>
        </w:tc>
        <w:tc>
          <w:tcPr>
            <w:tcW w:w="1510"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20,341,243</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76"/>
        </w:trPr>
        <w:tc>
          <w:tcPr>
            <w:tcW w:w="6053"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Adjustment for errors</w:t>
            </w:r>
          </w:p>
        </w:tc>
        <w:tc>
          <w:tcPr>
            <w:tcW w:w="1510"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r>
      <w:tr w:rsidR="00735613" w:rsidTr="00735613">
        <w:trPr>
          <w:trHeight w:val="276"/>
        </w:trPr>
        <w:tc>
          <w:tcPr>
            <w:tcW w:w="6053"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Opening balance adjustment - retained earnings</w:t>
            </w:r>
          </w:p>
        </w:tc>
        <w:tc>
          <w:tcPr>
            <w:tcW w:w="1510"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c>
          <w:tcPr>
            <w:tcW w:w="23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(34,117)</w:t>
            </w:r>
          </w:p>
        </w:tc>
      </w:tr>
      <w:tr w:rsidR="00735613" w:rsidTr="00735613">
        <w:trPr>
          <w:trHeight w:val="276"/>
        </w:trPr>
        <w:tc>
          <w:tcPr>
            <w:tcW w:w="6053"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Adjusted opening assets less liabilities</w:t>
            </w:r>
          </w:p>
        </w:tc>
        <w:tc>
          <w:tcPr>
            <w:tcW w:w="1510"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20,341,243</w:t>
            </w:r>
          </w:p>
        </w:tc>
        <w:tc>
          <w:tcPr>
            <w:tcW w:w="236" w:type="dxa"/>
            <w:tcBorders>
              <w:top w:val="nil"/>
              <w:left w:val="nil"/>
              <w:bottom w:val="nil"/>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1189"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(34,117)</w:t>
            </w:r>
          </w:p>
        </w:tc>
      </w:tr>
      <w:tr w:rsidR="00735613" w:rsidTr="00735613">
        <w:trPr>
          <w:trHeight w:val="276"/>
        </w:trPr>
        <w:tc>
          <w:tcPr>
            <w:tcW w:w="6053"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Net cost of (contribution by) services</w:t>
            </w:r>
          </w:p>
        </w:tc>
        <w:tc>
          <w:tcPr>
            <w:tcW w:w="1510" w:type="dxa"/>
            <w:tcBorders>
              <w:top w:val="nil"/>
              <w:left w:val="nil"/>
              <w:bottom w:val="nil"/>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nil"/>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76"/>
        </w:trPr>
        <w:tc>
          <w:tcPr>
            <w:tcW w:w="6053"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Income</w:t>
            </w:r>
          </w:p>
        </w:tc>
        <w:tc>
          <w:tcPr>
            <w:tcW w:w="1510"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2,083,161</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902,002</w:t>
            </w:r>
          </w:p>
        </w:tc>
      </w:tr>
      <w:tr w:rsidR="00735613" w:rsidTr="00735613">
        <w:trPr>
          <w:trHeight w:val="276"/>
        </w:trPr>
        <w:tc>
          <w:tcPr>
            <w:tcW w:w="6053"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Expenses</w:t>
            </w:r>
          </w:p>
        </w:tc>
        <w:tc>
          <w:tcPr>
            <w:tcW w:w="1510" w:type="dxa"/>
            <w:tcBorders>
              <w:top w:val="nil"/>
              <w:left w:val="nil"/>
              <w:bottom w:val="nil"/>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76"/>
        </w:trPr>
        <w:tc>
          <w:tcPr>
            <w:tcW w:w="6053" w:type="dxa"/>
            <w:tcBorders>
              <w:top w:val="nil"/>
              <w:left w:val="nil"/>
              <w:bottom w:val="nil"/>
              <w:right w:val="nil"/>
            </w:tcBorders>
            <w:shd w:val="clear" w:color="000000" w:fill="D9D9D9"/>
            <w:noWrap/>
            <w:vAlign w:val="bottom"/>
            <w:hideMark/>
          </w:tcPr>
          <w:p w:rsidR="00735613" w:rsidRDefault="00735613">
            <w:pPr>
              <w:ind w:firstLineChars="200" w:firstLine="360"/>
              <w:rPr>
                <w:rFonts w:cs="Arial"/>
                <w:szCs w:val="18"/>
              </w:rPr>
            </w:pPr>
            <w:r>
              <w:rPr>
                <w:rFonts w:cs="Arial"/>
                <w:szCs w:val="18"/>
              </w:rPr>
              <w:t>Payments to Non-corporate Commonwealth Entities</w:t>
            </w:r>
          </w:p>
        </w:tc>
        <w:tc>
          <w:tcPr>
            <w:tcW w:w="1510"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(29,958,990)</w:t>
            </w:r>
          </w:p>
        </w:tc>
        <w:tc>
          <w:tcPr>
            <w:tcW w:w="236" w:type="dxa"/>
            <w:tcBorders>
              <w:top w:val="nil"/>
              <w:left w:val="nil"/>
              <w:bottom w:val="nil"/>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(22,713,714)</w:t>
            </w:r>
          </w:p>
        </w:tc>
      </w:tr>
      <w:tr w:rsidR="00735613" w:rsidTr="00735613">
        <w:trPr>
          <w:trHeight w:val="276"/>
        </w:trPr>
        <w:tc>
          <w:tcPr>
            <w:tcW w:w="6053" w:type="dxa"/>
            <w:tcBorders>
              <w:top w:val="nil"/>
              <w:left w:val="nil"/>
              <w:bottom w:val="nil"/>
              <w:right w:val="nil"/>
            </w:tcBorders>
            <w:shd w:val="clear" w:color="000000" w:fill="D9D9D9"/>
            <w:noWrap/>
            <w:vAlign w:val="bottom"/>
            <w:hideMark/>
          </w:tcPr>
          <w:p w:rsidR="00735613" w:rsidRDefault="00735613">
            <w:pPr>
              <w:ind w:firstLineChars="200" w:firstLine="360"/>
              <w:rPr>
                <w:rFonts w:cs="Arial"/>
                <w:szCs w:val="18"/>
              </w:rPr>
            </w:pPr>
            <w:r>
              <w:rPr>
                <w:rFonts w:cs="Arial"/>
                <w:szCs w:val="18"/>
              </w:rPr>
              <w:t>Payments to Corporate Commonwealth Entities</w:t>
            </w:r>
          </w:p>
        </w:tc>
        <w:tc>
          <w:tcPr>
            <w:tcW w:w="1510"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(13,370)</w:t>
            </w:r>
          </w:p>
        </w:tc>
        <w:tc>
          <w:tcPr>
            <w:tcW w:w="236" w:type="dxa"/>
            <w:tcBorders>
              <w:top w:val="nil"/>
              <w:left w:val="nil"/>
              <w:bottom w:val="nil"/>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(5,360)</w:t>
            </w:r>
          </w:p>
        </w:tc>
      </w:tr>
      <w:tr w:rsidR="00735613" w:rsidTr="00735613">
        <w:trPr>
          <w:trHeight w:val="276"/>
        </w:trPr>
        <w:tc>
          <w:tcPr>
            <w:tcW w:w="6053"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Other comprehensive income</w:t>
            </w:r>
          </w:p>
        </w:tc>
        <w:tc>
          <w:tcPr>
            <w:tcW w:w="1510" w:type="dxa"/>
            <w:tcBorders>
              <w:top w:val="nil"/>
              <w:left w:val="nil"/>
              <w:bottom w:val="nil"/>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nil"/>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76"/>
        </w:trPr>
        <w:tc>
          <w:tcPr>
            <w:tcW w:w="6053" w:type="dxa"/>
            <w:tcBorders>
              <w:top w:val="nil"/>
              <w:left w:val="nil"/>
              <w:bottom w:val="nil"/>
              <w:right w:val="nil"/>
            </w:tcBorders>
            <w:shd w:val="clear" w:color="000000" w:fill="D9D9D9"/>
            <w:noWrap/>
            <w:vAlign w:val="bottom"/>
            <w:hideMark/>
          </w:tcPr>
          <w:p w:rsidR="00735613" w:rsidRDefault="00735613">
            <w:pPr>
              <w:ind w:firstLineChars="200" w:firstLine="360"/>
              <w:rPr>
                <w:rFonts w:cs="Arial"/>
                <w:szCs w:val="18"/>
              </w:rPr>
            </w:pPr>
            <w:r>
              <w:rPr>
                <w:rFonts w:cs="Arial"/>
                <w:szCs w:val="18"/>
              </w:rPr>
              <w:t>Revaluations transferred to (from) reserves</w:t>
            </w:r>
          </w:p>
        </w:tc>
        <w:tc>
          <w:tcPr>
            <w:tcW w:w="1510"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904 </w:t>
            </w:r>
          </w:p>
        </w:tc>
        <w:tc>
          <w:tcPr>
            <w:tcW w:w="23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142,920 </w:t>
            </w:r>
          </w:p>
        </w:tc>
      </w:tr>
      <w:tr w:rsidR="00735613" w:rsidTr="00735613">
        <w:trPr>
          <w:trHeight w:val="276"/>
        </w:trPr>
        <w:tc>
          <w:tcPr>
            <w:tcW w:w="6053"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Transfers (to) from the Australian Government:</w:t>
            </w:r>
          </w:p>
        </w:tc>
        <w:tc>
          <w:tcPr>
            <w:tcW w:w="1510"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6053"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Appropriation transfers from Official Public Account</w:t>
            </w:r>
          </w:p>
        </w:tc>
        <w:tc>
          <w:tcPr>
            <w:tcW w:w="1510"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6053"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Annual appropriations</w:t>
            </w:r>
          </w:p>
        </w:tc>
        <w:tc>
          <w:tcPr>
            <w:tcW w:w="1510"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6053" w:type="dxa"/>
            <w:tcBorders>
              <w:top w:val="nil"/>
              <w:left w:val="nil"/>
              <w:bottom w:val="nil"/>
              <w:right w:val="nil"/>
            </w:tcBorders>
            <w:shd w:val="clear" w:color="000000" w:fill="D9D9D9"/>
            <w:noWrap/>
            <w:vAlign w:val="bottom"/>
            <w:hideMark/>
          </w:tcPr>
          <w:p w:rsidR="00735613" w:rsidRDefault="00735613">
            <w:pPr>
              <w:ind w:firstLineChars="200" w:firstLine="360"/>
              <w:rPr>
                <w:rFonts w:cs="Arial"/>
                <w:szCs w:val="18"/>
              </w:rPr>
            </w:pPr>
            <w:r>
              <w:rPr>
                <w:rFonts w:cs="Arial"/>
                <w:szCs w:val="18"/>
              </w:rPr>
              <w:t>Payments to Non-corporate Commonwealth Entities</w:t>
            </w:r>
          </w:p>
        </w:tc>
        <w:tc>
          <w:tcPr>
            <w:tcW w:w="1510"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1,179,383 </w:t>
            </w:r>
          </w:p>
        </w:tc>
        <w:tc>
          <w:tcPr>
            <w:tcW w:w="23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772,733 </w:t>
            </w:r>
          </w:p>
        </w:tc>
      </w:tr>
      <w:tr w:rsidR="00735613" w:rsidTr="00735613">
        <w:trPr>
          <w:trHeight w:val="276"/>
        </w:trPr>
        <w:tc>
          <w:tcPr>
            <w:tcW w:w="6053" w:type="dxa"/>
            <w:tcBorders>
              <w:top w:val="nil"/>
              <w:left w:val="nil"/>
              <w:bottom w:val="nil"/>
              <w:right w:val="nil"/>
            </w:tcBorders>
            <w:shd w:val="clear" w:color="000000" w:fill="D9D9D9"/>
            <w:noWrap/>
            <w:vAlign w:val="bottom"/>
            <w:hideMark/>
          </w:tcPr>
          <w:p w:rsidR="00735613" w:rsidRDefault="00735613">
            <w:pPr>
              <w:ind w:firstLineChars="200" w:firstLine="360"/>
              <w:rPr>
                <w:rFonts w:cs="Arial"/>
                <w:szCs w:val="18"/>
              </w:rPr>
            </w:pPr>
            <w:r>
              <w:rPr>
                <w:rFonts w:cs="Arial"/>
                <w:szCs w:val="18"/>
              </w:rPr>
              <w:t>Payments to Corporate Commonwealth Entities</w:t>
            </w:r>
          </w:p>
        </w:tc>
        <w:tc>
          <w:tcPr>
            <w:tcW w:w="1510"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13,370 </w:t>
            </w:r>
          </w:p>
        </w:tc>
        <w:tc>
          <w:tcPr>
            <w:tcW w:w="23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5,360 </w:t>
            </w:r>
          </w:p>
        </w:tc>
      </w:tr>
      <w:tr w:rsidR="00735613" w:rsidTr="00735613">
        <w:trPr>
          <w:trHeight w:val="276"/>
        </w:trPr>
        <w:tc>
          <w:tcPr>
            <w:tcW w:w="6053"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 xml:space="preserve">Special appropriations (limited) </w:t>
            </w:r>
          </w:p>
        </w:tc>
        <w:tc>
          <w:tcPr>
            <w:tcW w:w="1510"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w:t>
            </w:r>
          </w:p>
        </w:tc>
      </w:tr>
      <w:tr w:rsidR="00735613" w:rsidTr="00735613">
        <w:trPr>
          <w:trHeight w:val="276"/>
        </w:trPr>
        <w:tc>
          <w:tcPr>
            <w:tcW w:w="6053" w:type="dxa"/>
            <w:tcBorders>
              <w:top w:val="nil"/>
              <w:left w:val="nil"/>
              <w:bottom w:val="nil"/>
              <w:right w:val="nil"/>
            </w:tcBorders>
            <w:shd w:val="clear" w:color="000000" w:fill="D9D9D9"/>
            <w:noWrap/>
            <w:vAlign w:val="bottom"/>
            <w:hideMark/>
          </w:tcPr>
          <w:p w:rsidR="00735613" w:rsidRDefault="00735613">
            <w:pPr>
              <w:ind w:firstLineChars="200" w:firstLine="360"/>
              <w:rPr>
                <w:rFonts w:cs="Arial"/>
                <w:szCs w:val="18"/>
              </w:rPr>
            </w:pPr>
            <w:r>
              <w:rPr>
                <w:rFonts w:cs="Arial"/>
                <w:szCs w:val="18"/>
              </w:rPr>
              <w:t>Payments to Non-corporate Commonwealth Entities</w:t>
            </w:r>
          </w:p>
        </w:tc>
        <w:tc>
          <w:tcPr>
            <w:tcW w:w="1510"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76"/>
        </w:trPr>
        <w:tc>
          <w:tcPr>
            <w:tcW w:w="6053"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 xml:space="preserve">Special appropriations (unlimited) </w:t>
            </w:r>
          </w:p>
        </w:tc>
        <w:tc>
          <w:tcPr>
            <w:tcW w:w="1510"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w:t>
            </w:r>
          </w:p>
        </w:tc>
      </w:tr>
      <w:tr w:rsidR="00735613" w:rsidTr="00735613">
        <w:trPr>
          <w:trHeight w:val="276"/>
        </w:trPr>
        <w:tc>
          <w:tcPr>
            <w:tcW w:w="6053" w:type="dxa"/>
            <w:tcBorders>
              <w:top w:val="nil"/>
              <w:left w:val="nil"/>
              <w:bottom w:val="nil"/>
              <w:right w:val="nil"/>
            </w:tcBorders>
            <w:shd w:val="clear" w:color="000000" w:fill="D9D9D9"/>
            <w:noWrap/>
            <w:vAlign w:val="bottom"/>
            <w:hideMark/>
          </w:tcPr>
          <w:p w:rsidR="00735613" w:rsidRDefault="00735613">
            <w:pPr>
              <w:ind w:firstLineChars="200" w:firstLine="360"/>
              <w:rPr>
                <w:rFonts w:cs="Arial"/>
                <w:szCs w:val="18"/>
              </w:rPr>
            </w:pPr>
            <w:r>
              <w:rPr>
                <w:rFonts w:cs="Arial"/>
                <w:szCs w:val="18"/>
              </w:rPr>
              <w:t>Payments to Non-corporate Commonwealth Entities</w:t>
            </w:r>
          </w:p>
        </w:tc>
        <w:tc>
          <w:tcPr>
            <w:tcW w:w="1510"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34,755,501 </w:t>
            </w:r>
          </w:p>
        </w:tc>
        <w:tc>
          <w:tcPr>
            <w:tcW w:w="23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25,191,293 </w:t>
            </w:r>
          </w:p>
        </w:tc>
      </w:tr>
      <w:tr w:rsidR="00735613" w:rsidTr="00735613">
        <w:trPr>
          <w:trHeight w:val="276"/>
        </w:trPr>
        <w:tc>
          <w:tcPr>
            <w:tcW w:w="6053"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Special accounts</w:t>
            </w:r>
          </w:p>
        </w:tc>
        <w:tc>
          <w:tcPr>
            <w:tcW w:w="1510"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76"/>
        </w:trPr>
        <w:tc>
          <w:tcPr>
            <w:tcW w:w="6053"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Appropriation transfers to Official Public Account</w:t>
            </w:r>
          </w:p>
        </w:tc>
        <w:tc>
          <w:tcPr>
            <w:tcW w:w="1510"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w:t>
            </w:r>
          </w:p>
        </w:tc>
      </w:tr>
      <w:tr w:rsidR="00735613" w:rsidTr="00735613">
        <w:trPr>
          <w:trHeight w:val="276"/>
        </w:trPr>
        <w:tc>
          <w:tcPr>
            <w:tcW w:w="6053" w:type="dxa"/>
            <w:tcBorders>
              <w:top w:val="nil"/>
              <w:left w:val="nil"/>
              <w:bottom w:val="nil"/>
              <w:right w:val="nil"/>
            </w:tcBorders>
            <w:shd w:val="clear" w:color="000000" w:fill="D9D9D9"/>
            <w:noWrap/>
            <w:vAlign w:val="bottom"/>
            <w:hideMark/>
          </w:tcPr>
          <w:p w:rsidR="00735613" w:rsidRDefault="00735613">
            <w:pPr>
              <w:ind w:firstLineChars="200" w:firstLine="360"/>
              <w:rPr>
                <w:rFonts w:cs="Arial"/>
                <w:szCs w:val="18"/>
              </w:rPr>
            </w:pPr>
            <w:r>
              <w:rPr>
                <w:rFonts w:cs="Arial"/>
                <w:szCs w:val="18"/>
              </w:rPr>
              <w:t>Transfers to OPA</w:t>
            </w:r>
          </w:p>
        </w:tc>
        <w:tc>
          <w:tcPr>
            <w:tcW w:w="1510"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(1,989,547)</w:t>
            </w:r>
          </w:p>
        </w:tc>
        <w:tc>
          <w:tcPr>
            <w:tcW w:w="23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(1,219,627)</w:t>
            </w:r>
          </w:p>
        </w:tc>
      </w:tr>
      <w:tr w:rsidR="00735613" w:rsidTr="00735613">
        <w:trPr>
          <w:trHeight w:val="276"/>
        </w:trPr>
        <w:tc>
          <w:tcPr>
            <w:tcW w:w="6053" w:type="dxa"/>
            <w:tcBorders>
              <w:top w:val="nil"/>
              <w:left w:val="nil"/>
              <w:bottom w:val="nil"/>
              <w:right w:val="nil"/>
            </w:tcBorders>
            <w:shd w:val="clear" w:color="000000" w:fill="D9D9D9"/>
            <w:noWrap/>
            <w:vAlign w:val="bottom"/>
            <w:hideMark/>
          </w:tcPr>
          <w:p w:rsidR="00735613" w:rsidRDefault="00735613">
            <w:pPr>
              <w:ind w:firstLineChars="200" w:firstLine="360"/>
              <w:rPr>
                <w:rFonts w:cs="Arial"/>
                <w:szCs w:val="18"/>
              </w:rPr>
            </w:pPr>
            <w:r>
              <w:rPr>
                <w:rFonts w:cs="Arial"/>
                <w:szCs w:val="18"/>
              </w:rPr>
              <w:t>Transfers to OPA (withholdings)</w:t>
            </w:r>
          </w:p>
        </w:tc>
        <w:tc>
          <w:tcPr>
            <w:tcW w:w="1510"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(12,139)</w:t>
            </w:r>
          </w:p>
        </w:tc>
        <w:tc>
          <w:tcPr>
            <w:tcW w:w="23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(8,300)</w:t>
            </w:r>
          </w:p>
        </w:tc>
      </w:tr>
      <w:tr w:rsidR="00735613" w:rsidTr="00735613">
        <w:trPr>
          <w:trHeight w:val="276"/>
        </w:trPr>
        <w:tc>
          <w:tcPr>
            <w:tcW w:w="6053"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 xml:space="preserve">Restructuring </w:t>
            </w:r>
          </w:p>
        </w:tc>
        <w:tc>
          <w:tcPr>
            <w:tcW w:w="1510"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528,753 </w:t>
            </w:r>
          </w:p>
        </w:tc>
        <w:tc>
          <w:tcPr>
            <w:tcW w:w="23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17,308,053 </w:t>
            </w:r>
          </w:p>
        </w:tc>
      </w:tr>
      <w:tr w:rsidR="00735613" w:rsidTr="00735613">
        <w:trPr>
          <w:trHeight w:val="276"/>
        </w:trPr>
        <w:tc>
          <w:tcPr>
            <w:tcW w:w="6053" w:type="dxa"/>
            <w:tcBorders>
              <w:top w:val="nil"/>
              <w:left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Other movements</w:t>
            </w:r>
          </w:p>
        </w:tc>
        <w:tc>
          <w:tcPr>
            <w:tcW w:w="1510"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(32)</w:t>
            </w:r>
          </w:p>
        </w:tc>
        <w:tc>
          <w:tcPr>
            <w:tcW w:w="236" w:type="dxa"/>
            <w:tcBorders>
              <w:top w:val="nil"/>
              <w:left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89"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88"/>
        </w:trPr>
        <w:tc>
          <w:tcPr>
            <w:tcW w:w="6053" w:type="dxa"/>
            <w:tcBorders>
              <w:top w:val="nil"/>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Closing assets less liabilities as at 30 June</w:t>
            </w:r>
          </w:p>
        </w:tc>
        <w:tc>
          <w:tcPr>
            <w:tcW w:w="1510"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26,928,237</w:t>
            </w:r>
          </w:p>
        </w:tc>
        <w:tc>
          <w:tcPr>
            <w:tcW w:w="236" w:type="dxa"/>
            <w:tcBorders>
              <w:top w:val="nil"/>
              <w:left w:val="nil"/>
              <w:bottom w:val="single" w:sz="24" w:space="0" w:color="D8D8D8"/>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1189"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20,341,243</w:t>
            </w:r>
          </w:p>
        </w:tc>
      </w:tr>
    </w:tbl>
    <w:p w:rsidR="00735613" w:rsidRDefault="00735613">
      <w:pPr>
        <w:spacing w:line="240" w:lineRule="auto"/>
      </w:pPr>
      <w:bookmarkStart w:id="66" w:name="RANGE!E7:H35"/>
      <w:bookmarkStart w:id="67" w:name="RANGE!E7:H27"/>
      <w:bookmarkStart w:id="68" w:name="RANGE!D6:H56"/>
      <w:bookmarkStart w:id="69" w:name="RANGE!D6:H37"/>
      <w:bookmarkStart w:id="70" w:name="RANGE!D6:H36"/>
      <w:bookmarkStart w:id="71" w:name="RANGE!E7:H31"/>
      <w:bookmarkStart w:id="72" w:name="RANGE!E6:H30"/>
      <w:bookmarkStart w:id="73" w:name="RANGE!E6:H34"/>
      <w:bookmarkStart w:id="74" w:name="RANGE!E6:M33"/>
      <w:bookmarkStart w:id="75" w:name="RANGE!E6:M36"/>
      <w:bookmarkEnd w:id="66"/>
      <w:bookmarkEnd w:id="67"/>
      <w:bookmarkEnd w:id="68"/>
      <w:bookmarkEnd w:id="69"/>
      <w:bookmarkEnd w:id="70"/>
      <w:bookmarkEnd w:id="71"/>
      <w:bookmarkEnd w:id="72"/>
      <w:bookmarkEnd w:id="73"/>
      <w:bookmarkEnd w:id="74"/>
      <w:bookmarkEnd w:id="75"/>
    </w:p>
    <w:p w:rsidR="00735613" w:rsidRDefault="00735613">
      <w:pPr>
        <w:spacing w:line="240" w:lineRule="auto"/>
        <w:sectPr w:rsidR="00735613">
          <w:headerReference w:type="default" r:id="rId23"/>
          <w:pgSz w:w="11906" w:h="16838"/>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4990"/>
        <w:gridCol w:w="1222"/>
        <w:gridCol w:w="1224"/>
        <w:gridCol w:w="436"/>
        <w:gridCol w:w="1215"/>
      </w:tblGrid>
      <w:tr w:rsidR="00735613" w:rsidTr="00735613">
        <w:trPr>
          <w:trHeight w:val="264"/>
        </w:trPr>
        <w:tc>
          <w:tcPr>
            <w:tcW w:w="493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bookmarkStart w:id="76" w:name="Note_ACFTABLE1" w:colFirst="0" w:colLast="0"/>
            <w:r>
              <w:rPr>
                <w:rFonts w:ascii="Arial" w:hAnsi="Arial" w:cs="Arial"/>
                <w:sz w:val="16"/>
                <w:szCs w:val="16"/>
              </w:rPr>
              <w:t> </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ascii="Arial" w:hAnsi="Arial" w:cs="Arial"/>
                <w:b/>
                <w:bCs/>
                <w:szCs w:val="18"/>
              </w:rPr>
            </w:pPr>
            <w:r>
              <w:rPr>
                <w:rFonts w:ascii="Arial" w:hAnsi="Arial" w:cs="Arial"/>
                <w:b/>
                <w:bCs/>
                <w:szCs w:val="18"/>
              </w:rPr>
              <w:t> </w:t>
            </w:r>
          </w:p>
        </w:tc>
        <w:tc>
          <w:tcPr>
            <w:tcW w:w="1211" w:type="dxa"/>
            <w:tcBorders>
              <w:top w:val="nil"/>
              <w:left w:val="nil"/>
              <w:bottom w:val="single" w:sz="4" w:space="0" w:color="D9D9D9"/>
              <w:right w:val="single" w:sz="4" w:space="0" w:color="D9D9D9"/>
            </w:tcBorders>
            <w:shd w:val="clear" w:color="000000" w:fill="D9D9D9"/>
            <w:vAlign w:val="bottom"/>
            <w:hideMark/>
          </w:tcPr>
          <w:p w:rsidR="00735613" w:rsidRDefault="00735613">
            <w:pPr>
              <w:jc w:val="right"/>
              <w:rPr>
                <w:rFonts w:cs="Arial"/>
                <w:b/>
                <w:bCs/>
                <w:szCs w:val="18"/>
              </w:rPr>
            </w:pPr>
            <w:r>
              <w:rPr>
                <w:rFonts w:cs="Arial"/>
                <w:b/>
                <w:bCs/>
                <w:szCs w:val="18"/>
              </w:rPr>
              <w:t>2015</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2014</w:t>
            </w:r>
          </w:p>
        </w:tc>
      </w:tr>
      <w:bookmarkEnd w:id="76"/>
      <w:tr w:rsidR="00735613" w:rsidTr="00735613">
        <w:trPr>
          <w:trHeight w:val="264"/>
        </w:trPr>
        <w:tc>
          <w:tcPr>
            <w:tcW w:w="493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b/>
                <w:bCs/>
                <w:szCs w:val="18"/>
              </w:rPr>
            </w:pPr>
            <w:r>
              <w:rPr>
                <w:rFonts w:cs="Arial"/>
                <w:b/>
                <w:bCs/>
                <w:szCs w:val="18"/>
              </w:rPr>
              <w:t>Notes</w:t>
            </w:r>
          </w:p>
        </w:tc>
        <w:tc>
          <w:tcPr>
            <w:tcW w:w="1211" w:type="dxa"/>
            <w:tcBorders>
              <w:top w:val="nil"/>
              <w:left w:val="nil"/>
              <w:bottom w:val="single" w:sz="4" w:space="0" w:color="D9D9D9"/>
              <w:right w:val="single" w:sz="4" w:space="0" w:color="D9D9D9"/>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OPERATING ACTIVITIES</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ascii="Arial" w:hAnsi="Arial" w:cs="Arial"/>
                <w:b/>
                <w:bCs/>
                <w:szCs w:val="18"/>
              </w:rPr>
            </w:pPr>
            <w:r>
              <w:rPr>
                <w:rFonts w:ascii="Arial" w:hAnsi="Arial" w:cs="Arial"/>
                <w:b/>
                <w:bCs/>
                <w:szCs w:val="18"/>
              </w:rPr>
              <w:t> </w:t>
            </w:r>
          </w:p>
        </w:tc>
        <w:tc>
          <w:tcPr>
            <w:tcW w:w="121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Cash received</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Interest</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337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1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Net GST received</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1,048,886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22,923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Levies</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8,576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6,538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Other</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317,296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270,683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Total cash received</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1,375,095</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300,145</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Cash used</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Suppliers</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1,359,700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740,079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Subsidies</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144,309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Personal benefits</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3,601,627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4,327,568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Grants</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24,254,785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16,358,593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Payments to Corporate Commonwealth Entities</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13,370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5,360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Total cash used</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29,373,791</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21,431,600</w:t>
            </w:r>
          </w:p>
        </w:tc>
      </w:tr>
      <w:tr w:rsidR="00735613" w:rsidTr="00735613">
        <w:trPr>
          <w:trHeight w:val="264"/>
        </w:trPr>
        <w:tc>
          <w:tcPr>
            <w:tcW w:w="4934" w:type="dxa"/>
            <w:tcBorders>
              <w:top w:val="nil"/>
              <w:left w:val="nil"/>
              <w:bottom w:val="single" w:sz="4" w:space="0" w:color="D9D9D9"/>
              <w:right w:val="nil"/>
            </w:tcBorders>
            <w:shd w:val="clear" w:color="000000" w:fill="D9D9D9"/>
            <w:vAlign w:val="bottom"/>
            <w:hideMark/>
          </w:tcPr>
          <w:p w:rsidR="00735613" w:rsidRDefault="00735613">
            <w:pPr>
              <w:rPr>
                <w:rFonts w:cs="Arial"/>
                <w:b/>
                <w:bCs/>
                <w:i/>
                <w:iCs/>
                <w:szCs w:val="18"/>
              </w:rPr>
            </w:pPr>
            <w:r>
              <w:rPr>
                <w:rFonts w:cs="Arial"/>
                <w:b/>
                <w:bCs/>
                <w:i/>
                <w:iCs/>
                <w:szCs w:val="18"/>
              </w:rPr>
              <w:t>Net cash from (used by) operating activities</w:t>
            </w:r>
          </w:p>
        </w:tc>
        <w:tc>
          <w:tcPr>
            <w:tcW w:w="1209" w:type="dxa"/>
            <w:tcBorders>
              <w:top w:val="nil"/>
              <w:left w:val="nil"/>
              <w:bottom w:val="single" w:sz="4" w:space="0" w:color="D9D9D9"/>
              <w:right w:val="nil"/>
            </w:tcBorders>
            <w:shd w:val="clear" w:color="000000" w:fill="D9D9D9"/>
            <w:noWrap/>
            <w:vAlign w:val="bottom"/>
            <w:hideMark/>
          </w:tcPr>
          <w:p w:rsidR="00735613" w:rsidRDefault="00735613">
            <w:pPr>
              <w:jc w:val="center"/>
              <w:rPr>
                <w:rFonts w:cs="Arial"/>
                <w:szCs w:val="18"/>
              </w:rPr>
            </w:pPr>
            <w:r>
              <w:rPr>
                <w:rFonts w:cs="Arial"/>
                <w:szCs w:val="18"/>
              </w:rPr>
              <w:t xml:space="preserve"> 25 </w:t>
            </w:r>
          </w:p>
        </w:tc>
        <w:tc>
          <w:tcPr>
            <w:tcW w:w="1211"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(27,998,696)</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(21,131,455)</w:t>
            </w:r>
          </w:p>
        </w:tc>
      </w:tr>
      <w:tr w:rsidR="00735613" w:rsidTr="00735613">
        <w:trPr>
          <w:trHeight w:val="264"/>
        </w:trPr>
        <w:tc>
          <w:tcPr>
            <w:tcW w:w="493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INVESTING ACTIVITIES</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Cash received</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Repayments of advances and loans</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1,924,200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1,213,350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Total cash received</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1,924,200</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1,213,350</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Cash used</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Loans made</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7,920,396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4,880,788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Total cash used</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7,920,396</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4,880,788</w:t>
            </w:r>
          </w:p>
        </w:tc>
      </w:tr>
      <w:tr w:rsidR="00735613" w:rsidTr="00735613">
        <w:trPr>
          <w:trHeight w:val="264"/>
        </w:trPr>
        <w:tc>
          <w:tcPr>
            <w:tcW w:w="4934" w:type="dxa"/>
            <w:tcBorders>
              <w:top w:val="nil"/>
              <w:left w:val="nil"/>
              <w:bottom w:val="single" w:sz="4" w:space="0" w:color="D9D9D9"/>
              <w:right w:val="nil"/>
            </w:tcBorders>
            <w:shd w:val="clear" w:color="000000" w:fill="D9D9D9"/>
            <w:vAlign w:val="bottom"/>
            <w:hideMark/>
          </w:tcPr>
          <w:p w:rsidR="00735613" w:rsidRDefault="00735613">
            <w:pPr>
              <w:rPr>
                <w:rFonts w:cs="Arial"/>
                <w:b/>
                <w:bCs/>
                <w:i/>
                <w:iCs/>
                <w:szCs w:val="18"/>
              </w:rPr>
            </w:pPr>
            <w:r>
              <w:rPr>
                <w:rFonts w:cs="Arial"/>
                <w:b/>
                <w:bCs/>
                <w:i/>
                <w:iCs/>
                <w:szCs w:val="18"/>
              </w:rPr>
              <w:t>Net cash from (used by) investing activities</w:t>
            </w:r>
          </w:p>
        </w:tc>
        <w:tc>
          <w:tcPr>
            <w:tcW w:w="1209" w:type="dxa"/>
            <w:tcBorders>
              <w:top w:val="nil"/>
              <w:left w:val="nil"/>
              <w:bottom w:val="single" w:sz="4" w:space="0" w:color="D9D9D9"/>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(5,996,196)</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(3,667,438)</w:t>
            </w:r>
          </w:p>
        </w:tc>
      </w:tr>
      <w:tr w:rsidR="00735613" w:rsidTr="00735613">
        <w:trPr>
          <w:trHeight w:val="264"/>
        </w:trPr>
        <w:tc>
          <w:tcPr>
            <w:tcW w:w="493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4934"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Net increase (decrease) in cash held</w:t>
            </w:r>
          </w:p>
        </w:tc>
        <w:tc>
          <w:tcPr>
            <w:tcW w:w="1209" w:type="dxa"/>
            <w:tcBorders>
              <w:top w:val="nil"/>
              <w:left w:val="nil"/>
              <w:bottom w:val="single" w:sz="4" w:space="0" w:color="D9D9D9"/>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(33,994,892)</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(24,798,893)</w:t>
            </w:r>
          </w:p>
        </w:tc>
      </w:tr>
      <w:tr w:rsidR="00735613" w:rsidTr="00735613">
        <w:trPr>
          <w:trHeight w:val="264"/>
        </w:trPr>
        <w:tc>
          <w:tcPr>
            <w:tcW w:w="493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4934"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Cash and cash equivalents at the beginning of the reporting period</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493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xml:space="preserve">Cash from the Official Public Account </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4934"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Appropriations</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35,948,329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25,966,863 </w:t>
            </w:r>
          </w:p>
        </w:tc>
      </w:tr>
      <w:tr w:rsidR="00735613" w:rsidTr="00735613">
        <w:trPr>
          <w:trHeight w:val="264"/>
        </w:trPr>
        <w:tc>
          <w:tcPr>
            <w:tcW w:w="4934"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GST appropriations</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84,848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145,380 </w:t>
            </w:r>
          </w:p>
        </w:tc>
      </w:tr>
      <w:tr w:rsidR="00735613" w:rsidTr="00735613">
        <w:trPr>
          <w:trHeight w:val="264"/>
        </w:trPr>
        <w:tc>
          <w:tcPr>
            <w:tcW w:w="4934"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Special accounts</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239,710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301,424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xml:space="preserve">Total cash from the official public account </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36,272,887</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26,413,667</w:t>
            </w:r>
          </w:p>
        </w:tc>
      </w:tr>
      <w:tr w:rsidR="00735613" w:rsidTr="00735613">
        <w:trPr>
          <w:trHeight w:val="264"/>
        </w:trPr>
        <w:tc>
          <w:tcPr>
            <w:tcW w:w="493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xml:space="preserve">Cash to the Official Public Account </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4934"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Appropriations</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(2,026,805)</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(1,225,405)</w:t>
            </w:r>
          </w:p>
        </w:tc>
      </w:tr>
      <w:tr w:rsidR="00735613" w:rsidTr="00735613">
        <w:trPr>
          <w:trHeight w:val="264"/>
        </w:trPr>
        <w:tc>
          <w:tcPr>
            <w:tcW w:w="4934"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Return of GST appropriations</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(76,669)</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(141,487)</w:t>
            </w:r>
          </w:p>
        </w:tc>
      </w:tr>
      <w:tr w:rsidR="00735613" w:rsidTr="00735613">
        <w:trPr>
          <w:trHeight w:val="264"/>
        </w:trPr>
        <w:tc>
          <w:tcPr>
            <w:tcW w:w="4934"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Special accounts</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(174,521)</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(247,882)</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xml:space="preserve">Total cash to the official public account </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(2,277,995)</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(1,614,774)</w:t>
            </w:r>
          </w:p>
        </w:tc>
      </w:tr>
      <w:tr w:rsidR="00735613" w:rsidTr="00735613">
        <w:trPr>
          <w:trHeight w:val="264"/>
        </w:trPr>
        <w:tc>
          <w:tcPr>
            <w:tcW w:w="493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 </w:t>
            </w:r>
          </w:p>
        </w:tc>
        <w:tc>
          <w:tcPr>
            <w:tcW w:w="121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4934"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Cash and cash equivalents at the end of the reporting period</w:t>
            </w:r>
          </w:p>
        </w:tc>
        <w:tc>
          <w:tcPr>
            <w:tcW w:w="1209" w:type="dxa"/>
            <w:tcBorders>
              <w:top w:val="nil"/>
              <w:left w:val="nil"/>
              <w:bottom w:val="nil"/>
              <w:right w:val="nil"/>
            </w:tcBorders>
            <w:shd w:val="clear" w:color="000000" w:fill="D9D9D9"/>
            <w:noWrap/>
            <w:vAlign w:val="bottom"/>
            <w:hideMark/>
          </w:tcPr>
          <w:p w:rsidR="00735613" w:rsidRDefault="00735613">
            <w:pPr>
              <w:jc w:val="center"/>
              <w:rPr>
                <w:rFonts w:cs="Arial"/>
                <w:szCs w:val="18"/>
              </w:rPr>
            </w:pPr>
            <w:r>
              <w:rPr>
                <w:rFonts w:cs="Arial"/>
                <w:szCs w:val="18"/>
              </w:rPr>
              <w:t>21A</w:t>
            </w:r>
          </w:p>
        </w:tc>
        <w:tc>
          <w:tcPr>
            <w:tcW w:w="1211"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02"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7354" w:type="dxa"/>
            <w:gridSpan w:val="3"/>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 </w:t>
            </w:r>
          </w:p>
        </w:tc>
        <w:tc>
          <w:tcPr>
            <w:tcW w:w="1202"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 </w:t>
            </w:r>
          </w:p>
        </w:tc>
      </w:tr>
      <w:tr w:rsidR="00735613" w:rsidTr="00735613">
        <w:trPr>
          <w:trHeight w:val="264"/>
        </w:trPr>
        <w:tc>
          <w:tcPr>
            <w:tcW w:w="4934"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 </w:t>
            </w:r>
          </w:p>
        </w:tc>
        <w:tc>
          <w:tcPr>
            <w:tcW w:w="1209"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 </w:t>
            </w:r>
          </w:p>
        </w:tc>
        <w:tc>
          <w:tcPr>
            <w:tcW w:w="1211"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 </w:t>
            </w:r>
          </w:p>
        </w:tc>
        <w:tc>
          <w:tcPr>
            <w:tcW w:w="431"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 </w:t>
            </w:r>
          </w:p>
        </w:tc>
        <w:tc>
          <w:tcPr>
            <w:tcW w:w="1202"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 </w:t>
            </w:r>
          </w:p>
        </w:tc>
      </w:tr>
    </w:tbl>
    <w:p w:rsidR="00735613" w:rsidRDefault="00735613">
      <w:pPr>
        <w:spacing w:line="240" w:lineRule="auto"/>
      </w:pPr>
      <w:bookmarkStart w:id="77" w:name="RANGE!E7:I54"/>
      <w:bookmarkStart w:id="78" w:name="RANGE!E7:I53"/>
      <w:bookmarkStart w:id="79" w:name="RANGE!E7:I52"/>
      <w:bookmarkStart w:id="80" w:name="RANGE!E6:I51"/>
      <w:bookmarkStart w:id="81" w:name="RANGE!E6:I54"/>
      <w:bookmarkEnd w:id="77"/>
      <w:bookmarkEnd w:id="78"/>
      <w:bookmarkEnd w:id="79"/>
      <w:bookmarkEnd w:id="80"/>
      <w:bookmarkEnd w:id="81"/>
      <w:r>
        <w:br w:type="page"/>
      </w:r>
    </w:p>
    <w:p w:rsidR="00735613" w:rsidRDefault="00735613">
      <w:pPr>
        <w:spacing w:line="240" w:lineRule="auto"/>
        <w:sectPr w:rsidR="00735613">
          <w:headerReference w:type="default" r:id="rId24"/>
          <w:pgSz w:w="11906" w:h="16838"/>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bookmarkStart w:id="82" w:name="Note_ACMTABLE1" w:colFirst="0" w:colLast="0"/>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2014</w:t>
            </w:r>
          </w:p>
        </w:tc>
      </w:tr>
      <w:bookmarkEnd w:id="82"/>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BY TYPE</w:t>
            </w:r>
          </w:p>
        </w:tc>
        <w:tc>
          <w:tcPr>
            <w:tcW w:w="1235"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Commitments receivable</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Net GST recoverable on commitments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(4,487,261)</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(4,256,244)</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i/>
                <w:iCs/>
                <w:szCs w:val="18"/>
              </w:rPr>
            </w:pPr>
            <w:r>
              <w:rPr>
                <w:rFonts w:cs="Arial"/>
                <w:b/>
                <w:bCs/>
                <w:i/>
                <w:iCs/>
                <w:szCs w:val="18"/>
              </w:rPr>
              <w:t>Total commitments receivable</w:t>
            </w:r>
          </w:p>
        </w:tc>
        <w:tc>
          <w:tcPr>
            <w:tcW w:w="123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(4,487,261)</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(4,256,244)</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Commitments payable</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Other commitments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628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Goods and services</w:t>
            </w:r>
            <w:r>
              <w:rPr>
                <w:rFonts w:cs="Arial"/>
                <w:szCs w:val="18"/>
                <w:vertAlign w:val="superscript"/>
              </w:rPr>
              <w:t>1</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1,311,909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213,499 </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Grants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8,915,182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8,993,108 </w:t>
            </w:r>
          </w:p>
        </w:tc>
      </w:tr>
      <w:tr w:rsidR="00735613" w:rsidTr="00735613">
        <w:trPr>
          <w:trHeight w:val="276"/>
        </w:trPr>
        <w:tc>
          <w:tcPr>
            <w:tcW w:w="628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Legislative obligations</w:t>
            </w:r>
            <w:r>
              <w:rPr>
                <w:rFonts w:cs="Arial"/>
                <w:szCs w:val="18"/>
                <w:vertAlign w:val="superscript"/>
              </w:rPr>
              <w:t>2</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81,488,225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76,569,998 </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Other</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 </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i/>
                <w:iCs/>
                <w:szCs w:val="18"/>
              </w:rPr>
            </w:pPr>
            <w:r>
              <w:rPr>
                <w:rFonts w:cs="Arial"/>
                <w:b/>
                <w:bCs/>
                <w:i/>
                <w:iCs/>
                <w:szCs w:val="18"/>
              </w:rPr>
              <w:t>Total other commitments</w:t>
            </w:r>
          </w:p>
        </w:tc>
        <w:tc>
          <w:tcPr>
            <w:tcW w:w="123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91,715,316</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85,776,607</w:t>
            </w:r>
          </w:p>
        </w:tc>
      </w:tr>
      <w:tr w:rsidR="00735613" w:rsidTr="00735613">
        <w:trPr>
          <w:trHeight w:val="264"/>
        </w:trPr>
        <w:tc>
          <w:tcPr>
            <w:tcW w:w="6286" w:type="dxa"/>
            <w:tcBorders>
              <w:top w:val="nil"/>
              <w:left w:val="nil"/>
              <w:bottom w:val="single" w:sz="4" w:space="0" w:color="D9D9D9"/>
              <w:right w:val="nil"/>
            </w:tcBorders>
            <w:shd w:val="clear" w:color="000000" w:fill="D9D9D9"/>
            <w:vAlign w:val="bottom"/>
            <w:hideMark/>
          </w:tcPr>
          <w:p w:rsidR="00735613" w:rsidRDefault="00735613">
            <w:pPr>
              <w:rPr>
                <w:rFonts w:cs="Arial"/>
                <w:b/>
                <w:bCs/>
                <w:i/>
                <w:iCs/>
                <w:szCs w:val="18"/>
              </w:rPr>
            </w:pPr>
            <w:r>
              <w:rPr>
                <w:rFonts w:cs="Arial"/>
                <w:b/>
                <w:bCs/>
                <w:i/>
                <w:iCs/>
                <w:szCs w:val="18"/>
              </w:rPr>
              <w:t>Net commitments by type</w:t>
            </w:r>
          </w:p>
        </w:tc>
        <w:tc>
          <w:tcPr>
            <w:tcW w:w="1235"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87,228,055</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81,520,363</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BY MATURITY</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Commitments receivable</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Within 1 year</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(1,077,688)</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(996,372)</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Between 1 to 5 years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(3,409,562)</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(3,259,799)</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More than 5 years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(11)</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(73)</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i/>
                <w:iCs/>
                <w:szCs w:val="18"/>
              </w:rPr>
            </w:pPr>
            <w:r>
              <w:rPr>
                <w:rFonts w:cs="Arial"/>
                <w:b/>
                <w:bCs/>
                <w:i/>
                <w:iCs/>
                <w:szCs w:val="18"/>
              </w:rPr>
              <w:t>Total commitments receivable</w:t>
            </w:r>
          </w:p>
        </w:tc>
        <w:tc>
          <w:tcPr>
            <w:tcW w:w="123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(4,487,261)</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(4,256,244)</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Commitments payable</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Other Commitments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Within 1 year</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27,457,191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25,232,811 </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Between 1 to 5 years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64,257,002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60,541,641 </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More than 5 years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1,123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2,155 </w:t>
            </w:r>
          </w:p>
        </w:tc>
      </w:tr>
      <w:tr w:rsidR="00735613" w:rsidTr="00735613">
        <w:trPr>
          <w:trHeight w:val="264"/>
        </w:trPr>
        <w:tc>
          <w:tcPr>
            <w:tcW w:w="6286" w:type="dxa"/>
            <w:tcBorders>
              <w:top w:val="nil"/>
              <w:left w:val="nil"/>
              <w:right w:val="nil"/>
            </w:tcBorders>
            <w:shd w:val="clear" w:color="000000" w:fill="D9D9D9"/>
            <w:vAlign w:val="bottom"/>
            <w:hideMark/>
          </w:tcPr>
          <w:p w:rsidR="00735613" w:rsidRDefault="00735613">
            <w:pPr>
              <w:rPr>
                <w:rFonts w:cs="Arial"/>
                <w:b/>
                <w:bCs/>
                <w:i/>
                <w:iCs/>
                <w:szCs w:val="18"/>
              </w:rPr>
            </w:pPr>
            <w:r>
              <w:rPr>
                <w:rFonts w:cs="Arial"/>
                <w:b/>
                <w:bCs/>
                <w:i/>
                <w:iCs/>
                <w:szCs w:val="18"/>
              </w:rPr>
              <w:t>Total other commitments</w:t>
            </w:r>
          </w:p>
        </w:tc>
        <w:tc>
          <w:tcPr>
            <w:tcW w:w="123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91,715,316</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85,776,607</w:t>
            </w:r>
          </w:p>
        </w:tc>
      </w:tr>
      <w:tr w:rsidR="00735613" w:rsidTr="00735613">
        <w:trPr>
          <w:trHeight w:val="276"/>
        </w:trPr>
        <w:tc>
          <w:tcPr>
            <w:tcW w:w="6286" w:type="dxa"/>
            <w:tcBorders>
              <w:top w:val="nil"/>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Net commitments by maturity</w:t>
            </w:r>
          </w:p>
        </w:tc>
        <w:tc>
          <w:tcPr>
            <w:tcW w:w="1235" w:type="dxa"/>
            <w:tcBorders>
              <w:top w:val="nil"/>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87,228,055</w:t>
            </w:r>
          </w:p>
        </w:tc>
        <w:tc>
          <w:tcPr>
            <w:tcW w:w="236" w:type="dxa"/>
            <w:tcBorders>
              <w:top w:val="single" w:sz="4" w:space="0" w:color="D9D9D9"/>
              <w:left w:val="nil"/>
              <w:bottom w:val="single" w:sz="24" w:space="0" w:color="D8D8D8"/>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81,520,363</w:t>
            </w:r>
          </w:p>
        </w:tc>
      </w:tr>
    </w:tbl>
    <w:p w:rsidR="00735613" w:rsidRDefault="00735613">
      <w:pPr>
        <w:pStyle w:val="GreyShadeTableBreak"/>
      </w:pPr>
      <w:bookmarkStart w:id="83" w:name="RANGE!D7:G35"/>
      <w:bookmarkStart w:id="84" w:name="RANGE!D7:G36"/>
      <w:bookmarkEnd w:id="83"/>
      <w:bookmarkEnd w:id="84"/>
    </w:p>
    <w:tbl>
      <w:tblPr>
        <w:tblW w:w="9090" w:type="dxa"/>
        <w:tblInd w:w="28" w:type="dxa"/>
        <w:tblLayout w:type="fixed"/>
        <w:tblCellMar>
          <w:left w:w="0" w:type="dxa"/>
          <w:right w:w="0" w:type="dxa"/>
        </w:tblCellMar>
        <w:tblLook w:val="04A0" w:firstRow="1" w:lastRow="0" w:firstColumn="1" w:lastColumn="0" w:noHBand="0" w:noVBand="1"/>
      </w:tblPr>
      <w:tblGrid>
        <w:gridCol w:w="9090"/>
      </w:tblGrid>
      <w:tr w:rsidR="00735613">
        <w:trPr>
          <w:trHeight w:val="255"/>
        </w:trPr>
        <w:tc>
          <w:tcPr>
            <w:tcW w:w="9072" w:type="dxa"/>
            <w:shd w:val="clear" w:color="auto" w:fill="D9D9D9" w:themeFill="background1" w:themeFillShade="D9"/>
            <w:tcMar>
              <w:top w:w="0" w:type="dxa"/>
              <w:left w:w="57" w:type="dxa"/>
              <w:bottom w:w="0" w:type="dxa"/>
              <w:right w:w="57" w:type="dxa"/>
            </w:tcMar>
            <w:vAlign w:val="bottom"/>
          </w:tcPr>
          <w:p w:rsidR="00735613" w:rsidRDefault="00735613" w:rsidP="00735613">
            <w:pPr>
              <w:pStyle w:val="AdminBlankGreyShade"/>
            </w:pPr>
          </w:p>
        </w:tc>
      </w:tr>
      <w:tr w:rsidR="00735613">
        <w:trPr>
          <w:trHeight w:val="255"/>
        </w:trPr>
        <w:tc>
          <w:tcPr>
            <w:tcW w:w="9072" w:type="dxa"/>
            <w:shd w:val="clear" w:color="auto" w:fill="D9D9D9" w:themeFill="background1" w:themeFillShade="D9"/>
            <w:tcMar>
              <w:top w:w="0" w:type="dxa"/>
              <w:left w:w="57" w:type="dxa"/>
              <w:bottom w:w="0" w:type="dxa"/>
              <w:right w:w="57" w:type="dxa"/>
            </w:tcMar>
            <w:vAlign w:val="bottom"/>
            <w:hideMark/>
          </w:tcPr>
          <w:p w:rsidR="00735613" w:rsidRDefault="00735613" w:rsidP="00735613">
            <w:pPr>
              <w:pStyle w:val="AdminBlankGreyShade"/>
            </w:pPr>
            <w:r>
              <w:t>NB: All commitments are GST inclusive where relevant.</w:t>
            </w:r>
          </w:p>
          <w:p w:rsidR="00735613" w:rsidRDefault="00735613" w:rsidP="00735613">
            <w:pPr>
              <w:pStyle w:val="AdminBlankGreyShade"/>
            </w:pPr>
            <w:r>
              <w:t>The value of commitments is determined based on expected value of services contracted, but yet to be performed under the agreement.</w:t>
            </w:r>
          </w:p>
          <w:p w:rsidR="00735613" w:rsidRDefault="00735613" w:rsidP="00735613">
            <w:pPr>
              <w:pStyle w:val="AdminBlankGreyShade"/>
            </w:pPr>
            <w:r>
              <w:rPr>
                <w:vertAlign w:val="superscript"/>
              </w:rPr>
              <w:t>1</w:t>
            </w:r>
            <w:r>
              <w:t xml:space="preserve"> Goods and services contracts include amounts relating to consultancies. </w:t>
            </w:r>
          </w:p>
          <w:p w:rsidR="00735613" w:rsidRDefault="00735613" w:rsidP="00735613">
            <w:pPr>
              <w:pStyle w:val="AdminBlankGreyShade"/>
            </w:pPr>
            <w:r>
              <w:rPr>
                <w:vertAlign w:val="superscript"/>
              </w:rPr>
              <w:t>2</w:t>
            </w:r>
            <w:r>
              <w:t xml:space="preserve"> Legislative obligations relate to amounts specified in the legislation where a funding determination has not yet been made. The legislation comprises the </w:t>
            </w:r>
            <w:r>
              <w:rPr>
                <w:i/>
              </w:rPr>
              <w:t xml:space="preserve">Australian Education Act 2013 </w:t>
            </w:r>
            <w:r w:rsidRPr="00B93440">
              <w:t>and the</w:t>
            </w:r>
            <w:r>
              <w:rPr>
                <w:i/>
              </w:rPr>
              <w:t xml:space="preserve"> Higher Education Support Act 2003</w:t>
            </w:r>
            <w:r>
              <w:t xml:space="preserve">. </w:t>
            </w:r>
          </w:p>
        </w:tc>
      </w:tr>
    </w:tbl>
    <w:p w:rsidR="00735613" w:rsidRDefault="00735613">
      <w:pPr>
        <w:spacing w:line="240" w:lineRule="auto"/>
        <w:sectPr w:rsidR="00735613">
          <w:headerReference w:type="default" r:id="rId25"/>
          <w:type w:val="continuous"/>
          <w:pgSz w:w="11906" w:h="16838"/>
          <w:pgMar w:top="1134" w:right="1134" w:bottom="1134" w:left="1134" w:header="958" w:footer="737" w:gutter="0"/>
          <w:cols w:space="720"/>
        </w:sectPr>
      </w:pPr>
    </w:p>
    <w:p w:rsidR="00735613" w:rsidRDefault="00735613">
      <w:pPr>
        <w:spacing w:line="240" w:lineRule="auto"/>
      </w:pPr>
      <w:bookmarkStart w:id="85" w:name="RANGE!D7:G17"/>
      <w:bookmarkEnd w:id="85"/>
      <w:r>
        <w:br w:type="page"/>
      </w:r>
    </w:p>
    <w:p w:rsidR="00735613" w:rsidRDefault="00735613">
      <w:pPr>
        <w:spacing w:line="240" w:lineRule="auto"/>
        <w:sectPr w:rsidR="00735613">
          <w:type w:val="continuous"/>
          <w:pgSz w:w="11906" w:h="16838"/>
          <w:pgMar w:top="1134" w:right="1134" w:bottom="1134" w:left="1134" w:header="958" w:footer="737" w:gutter="0"/>
          <w:cols w:space="720"/>
        </w:sectPr>
      </w:pPr>
    </w:p>
    <w:p w:rsidR="00735613" w:rsidRDefault="00735613">
      <w:pPr>
        <w:spacing w:line="240" w:lineRule="auto"/>
      </w:pPr>
    </w:p>
    <w:sdt>
      <w:sdtPr>
        <w:rPr>
          <w:rFonts w:asciiTheme="majorHAnsi" w:eastAsiaTheme="majorEastAsia" w:hAnsiTheme="majorHAnsi" w:cstheme="majorBidi"/>
          <w:b/>
          <w:bCs/>
          <w:color w:val="365F91" w:themeColor="accent1" w:themeShade="BF"/>
          <w:sz w:val="28"/>
          <w:szCs w:val="28"/>
          <w:lang w:val="en-US" w:eastAsia="ja-JP"/>
        </w:rPr>
        <w:id w:val="457758792"/>
        <w:docPartObj>
          <w:docPartGallery w:val="Table of Contents"/>
          <w:docPartUnique/>
        </w:docPartObj>
      </w:sdtPr>
      <w:sdtEndPr>
        <w:rPr>
          <w:noProof/>
        </w:rPr>
      </w:sdtEndPr>
      <w:sdtContent>
        <w:p w:rsidR="00735613" w:rsidRDefault="00735613">
          <w:pPr>
            <w:pStyle w:val="TOC1"/>
            <w:rPr>
              <w:rFonts w:asciiTheme="minorHAnsi" w:eastAsiaTheme="minorEastAsia" w:hAnsiTheme="minorHAnsi" w:cstheme="minorBidi"/>
              <w:noProof/>
              <w:sz w:val="22"/>
              <w:szCs w:val="22"/>
              <w:lang w:eastAsia="en-AU"/>
            </w:rPr>
          </w:pPr>
          <w:r>
            <w:fldChar w:fldCharType="begin"/>
          </w:r>
          <w:r>
            <w:instrText xml:space="preserve"> TOC \o "1-1" \h \z \u </w:instrText>
          </w:r>
          <w:r>
            <w:fldChar w:fldCharType="separate"/>
          </w:r>
          <w:hyperlink w:anchor="_Toc420422370" w:history="1">
            <w:r w:rsidRPr="00781AD4">
              <w:rPr>
                <w:rStyle w:val="Hyperlink"/>
                <w:rFonts w:eastAsiaTheme="majorEastAsia" w:cstheme="minorHAnsi"/>
                <w:noProof/>
              </w:rPr>
              <w:t>Note 1:</w:t>
            </w:r>
            <w:r>
              <w:rPr>
                <w:rFonts w:asciiTheme="minorHAnsi" w:eastAsiaTheme="minorEastAsia" w:hAnsiTheme="minorHAnsi" w:cstheme="minorBidi"/>
                <w:noProof/>
                <w:sz w:val="22"/>
                <w:szCs w:val="22"/>
                <w:lang w:eastAsia="en-AU"/>
              </w:rPr>
              <w:tab/>
            </w:r>
            <w:r w:rsidRPr="00781AD4">
              <w:rPr>
                <w:rStyle w:val="Hyperlink"/>
                <w:rFonts w:eastAsiaTheme="majorEastAsia"/>
                <w:noProof/>
              </w:rPr>
              <w:t>Summary of Significant Accounting Policies</w:t>
            </w:r>
            <w:r>
              <w:rPr>
                <w:noProof/>
                <w:webHidden/>
              </w:rPr>
              <w:tab/>
            </w:r>
            <w:r>
              <w:rPr>
                <w:noProof/>
                <w:webHidden/>
              </w:rPr>
              <w:fldChar w:fldCharType="begin"/>
            </w:r>
            <w:r>
              <w:rPr>
                <w:noProof/>
                <w:webHidden/>
              </w:rPr>
              <w:instrText xml:space="preserve"> PAGEREF _Toc420422370 \h </w:instrText>
            </w:r>
            <w:r>
              <w:rPr>
                <w:noProof/>
                <w:webHidden/>
              </w:rPr>
            </w:r>
            <w:r>
              <w:rPr>
                <w:noProof/>
                <w:webHidden/>
              </w:rPr>
              <w:fldChar w:fldCharType="separate"/>
            </w:r>
            <w:r>
              <w:rPr>
                <w:noProof/>
                <w:webHidden/>
              </w:rPr>
              <w:t>16</w:t>
            </w:r>
            <w:r>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71" w:history="1">
            <w:r w:rsidR="00735613" w:rsidRPr="00781AD4">
              <w:rPr>
                <w:rStyle w:val="Hyperlink"/>
                <w:rFonts w:eastAsiaTheme="majorEastAsia" w:cstheme="minorHAnsi"/>
                <w:noProof/>
              </w:rPr>
              <w:t>Note 2:</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noProof/>
              </w:rPr>
              <w:t>Events After the Reporting Period</w:t>
            </w:r>
            <w:r w:rsidR="00735613">
              <w:rPr>
                <w:noProof/>
                <w:webHidden/>
              </w:rPr>
              <w:tab/>
            </w:r>
            <w:r w:rsidR="00735613">
              <w:rPr>
                <w:noProof/>
                <w:webHidden/>
              </w:rPr>
              <w:fldChar w:fldCharType="begin"/>
            </w:r>
            <w:r w:rsidR="00735613">
              <w:rPr>
                <w:noProof/>
                <w:webHidden/>
              </w:rPr>
              <w:instrText xml:space="preserve"> PAGEREF _Toc420422371 \h </w:instrText>
            </w:r>
            <w:r w:rsidR="00735613">
              <w:rPr>
                <w:noProof/>
                <w:webHidden/>
              </w:rPr>
            </w:r>
            <w:r w:rsidR="00735613">
              <w:rPr>
                <w:noProof/>
                <w:webHidden/>
              </w:rPr>
              <w:fldChar w:fldCharType="separate"/>
            </w:r>
            <w:r w:rsidR="00735613">
              <w:rPr>
                <w:noProof/>
                <w:webHidden/>
              </w:rPr>
              <w:t>25</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72" w:history="1">
            <w:r w:rsidR="00735613" w:rsidRPr="00781AD4">
              <w:rPr>
                <w:rStyle w:val="Hyperlink"/>
                <w:rFonts w:eastAsiaTheme="majorEastAsia" w:cstheme="minorHAnsi"/>
                <w:noProof/>
              </w:rPr>
              <w:t>Note 3:</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cstheme="minorHAnsi"/>
                <w:noProof/>
              </w:rPr>
              <w:t>Net Cash Appropriation Arrangements</w:t>
            </w:r>
            <w:r w:rsidR="00735613">
              <w:rPr>
                <w:noProof/>
                <w:webHidden/>
              </w:rPr>
              <w:tab/>
            </w:r>
            <w:r w:rsidR="00735613">
              <w:rPr>
                <w:noProof/>
                <w:webHidden/>
              </w:rPr>
              <w:fldChar w:fldCharType="begin"/>
            </w:r>
            <w:r w:rsidR="00735613">
              <w:rPr>
                <w:noProof/>
                <w:webHidden/>
              </w:rPr>
              <w:instrText xml:space="preserve"> PAGEREF _Toc420422372 \h </w:instrText>
            </w:r>
            <w:r w:rsidR="00735613">
              <w:rPr>
                <w:noProof/>
                <w:webHidden/>
              </w:rPr>
            </w:r>
            <w:r w:rsidR="00735613">
              <w:rPr>
                <w:noProof/>
                <w:webHidden/>
              </w:rPr>
              <w:fldChar w:fldCharType="separate"/>
            </w:r>
            <w:r w:rsidR="00735613">
              <w:rPr>
                <w:noProof/>
                <w:webHidden/>
              </w:rPr>
              <w:t>26</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73" w:history="1">
            <w:r w:rsidR="00735613" w:rsidRPr="00781AD4">
              <w:rPr>
                <w:rStyle w:val="Hyperlink"/>
                <w:rFonts w:eastAsiaTheme="majorEastAsia" w:cstheme="minorHAnsi"/>
                <w:noProof/>
              </w:rPr>
              <w:t>Note 4:</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cstheme="minorHAnsi"/>
                <w:noProof/>
              </w:rPr>
              <w:t>Expenses</w:t>
            </w:r>
            <w:r w:rsidR="00735613">
              <w:rPr>
                <w:noProof/>
                <w:webHidden/>
              </w:rPr>
              <w:tab/>
            </w:r>
            <w:r w:rsidR="00735613">
              <w:rPr>
                <w:noProof/>
                <w:webHidden/>
              </w:rPr>
              <w:fldChar w:fldCharType="begin"/>
            </w:r>
            <w:r w:rsidR="00735613">
              <w:rPr>
                <w:noProof/>
                <w:webHidden/>
              </w:rPr>
              <w:instrText xml:space="preserve"> PAGEREF _Toc420422373 \h </w:instrText>
            </w:r>
            <w:r w:rsidR="00735613">
              <w:rPr>
                <w:noProof/>
                <w:webHidden/>
              </w:rPr>
            </w:r>
            <w:r w:rsidR="00735613">
              <w:rPr>
                <w:noProof/>
                <w:webHidden/>
              </w:rPr>
              <w:fldChar w:fldCharType="separate"/>
            </w:r>
            <w:r w:rsidR="00735613">
              <w:rPr>
                <w:noProof/>
                <w:webHidden/>
              </w:rPr>
              <w:t>27</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74" w:history="1">
            <w:r w:rsidR="00735613" w:rsidRPr="00781AD4">
              <w:rPr>
                <w:rStyle w:val="Hyperlink"/>
                <w:rFonts w:eastAsiaTheme="majorEastAsia" w:cstheme="minorHAnsi"/>
                <w:noProof/>
              </w:rPr>
              <w:t>Note 5:</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cstheme="minorHAnsi"/>
                <w:noProof/>
              </w:rPr>
              <w:t>Income</w:t>
            </w:r>
            <w:r w:rsidR="00735613">
              <w:rPr>
                <w:noProof/>
                <w:webHidden/>
              </w:rPr>
              <w:tab/>
            </w:r>
            <w:r w:rsidR="00735613">
              <w:rPr>
                <w:noProof/>
                <w:webHidden/>
              </w:rPr>
              <w:fldChar w:fldCharType="begin"/>
            </w:r>
            <w:r w:rsidR="00735613">
              <w:rPr>
                <w:noProof/>
                <w:webHidden/>
              </w:rPr>
              <w:instrText xml:space="preserve"> PAGEREF _Toc420422374 \h </w:instrText>
            </w:r>
            <w:r w:rsidR="00735613">
              <w:rPr>
                <w:noProof/>
                <w:webHidden/>
              </w:rPr>
            </w:r>
            <w:r w:rsidR="00735613">
              <w:rPr>
                <w:noProof/>
                <w:webHidden/>
              </w:rPr>
              <w:fldChar w:fldCharType="separate"/>
            </w:r>
            <w:r w:rsidR="00735613">
              <w:rPr>
                <w:noProof/>
                <w:webHidden/>
              </w:rPr>
              <w:t>29</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75" w:history="1">
            <w:r w:rsidR="00735613" w:rsidRPr="00781AD4">
              <w:rPr>
                <w:rStyle w:val="Hyperlink"/>
                <w:rFonts w:eastAsiaTheme="majorEastAsia" w:cstheme="minorHAnsi"/>
                <w:noProof/>
              </w:rPr>
              <w:t>Note 6:</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cstheme="minorHAnsi"/>
                <w:noProof/>
              </w:rPr>
              <w:t>Fair Value Measurement</w:t>
            </w:r>
            <w:r w:rsidR="00735613">
              <w:rPr>
                <w:noProof/>
                <w:webHidden/>
              </w:rPr>
              <w:tab/>
            </w:r>
            <w:r w:rsidR="00735613">
              <w:rPr>
                <w:noProof/>
                <w:webHidden/>
              </w:rPr>
              <w:fldChar w:fldCharType="begin"/>
            </w:r>
            <w:r w:rsidR="00735613">
              <w:rPr>
                <w:noProof/>
                <w:webHidden/>
              </w:rPr>
              <w:instrText xml:space="preserve"> PAGEREF _Toc420422375 \h </w:instrText>
            </w:r>
            <w:r w:rsidR="00735613">
              <w:rPr>
                <w:noProof/>
                <w:webHidden/>
              </w:rPr>
            </w:r>
            <w:r w:rsidR="00735613">
              <w:rPr>
                <w:noProof/>
                <w:webHidden/>
              </w:rPr>
              <w:fldChar w:fldCharType="separate"/>
            </w:r>
            <w:r w:rsidR="00735613">
              <w:rPr>
                <w:noProof/>
                <w:webHidden/>
              </w:rPr>
              <w:t>30</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76" w:history="1">
            <w:r w:rsidR="00735613" w:rsidRPr="00781AD4">
              <w:rPr>
                <w:rStyle w:val="Hyperlink"/>
                <w:rFonts w:eastAsiaTheme="majorEastAsia" w:cstheme="minorHAnsi"/>
                <w:noProof/>
              </w:rPr>
              <w:t>Note 7:</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cstheme="minorHAnsi"/>
                <w:noProof/>
              </w:rPr>
              <w:t>Financial Assets</w:t>
            </w:r>
            <w:r w:rsidR="00735613">
              <w:rPr>
                <w:noProof/>
                <w:webHidden/>
              </w:rPr>
              <w:tab/>
            </w:r>
            <w:r w:rsidR="00735613">
              <w:rPr>
                <w:noProof/>
                <w:webHidden/>
              </w:rPr>
              <w:fldChar w:fldCharType="begin"/>
            </w:r>
            <w:r w:rsidR="00735613">
              <w:rPr>
                <w:noProof/>
                <w:webHidden/>
              </w:rPr>
              <w:instrText xml:space="preserve"> PAGEREF _Toc420422376 \h </w:instrText>
            </w:r>
            <w:r w:rsidR="00735613">
              <w:rPr>
                <w:noProof/>
                <w:webHidden/>
              </w:rPr>
            </w:r>
            <w:r w:rsidR="00735613">
              <w:rPr>
                <w:noProof/>
                <w:webHidden/>
              </w:rPr>
              <w:fldChar w:fldCharType="separate"/>
            </w:r>
            <w:r w:rsidR="00735613">
              <w:rPr>
                <w:noProof/>
                <w:webHidden/>
              </w:rPr>
              <w:t>32</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77" w:history="1">
            <w:r w:rsidR="00735613" w:rsidRPr="00781AD4">
              <w:rPr>
                <w:rStyle w:val="Hyperlink"/>
                <w:rFonts w:eastAsiaTheme="majorEastAsia" w:cstheme="minorHAnsi"/>
                <w:noProof/>
              </w:rPr>
              <w:t>Note 8:</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cstheme="minorHAnsi"/>
                <w:noProof/>
              </w:rPr>
              <w:t>Non-Financial Assets</w:t>
            </w:r>
            <w:r w:rsidR="00735613">
              <w:rPr>
                <w:noProof/>
                <w:webHidden/>
              </w:rPr>
              <w:tab/>
            </w:r>
            <w:r w:rsidR="00735613">
              <w:rPr>
                <w:noProof/>
                <w:webHidden/>
              </w:rPr>
              <w:fldChar w:fldCharType="begin"/>
            </w:r>
            <w:r w:rsidR="00735613">
              <w:rPr>
                <w:noProof/>
                <w:webHidden/>
              </w:rPr>
              <w:instrText xml:space="preserve"> PAGEREF _Toc420422377 \h </w:instrText>
            </w:r>
            <w:r w:rsidR="00735613">
              <w:rPr>
                <w:noProof/>
                <w:webHidden/>
              </w:rPr>
            </w:r>
            <w:r w:rsidR="00735613">
              <w:rPr>
                <w:noProof/>
                <w:webHidden/>
              </w:rPr>
              <w:fldChar w:fldCharType="separate"/>
            </w:r>
            <w:r w:rsidR="00735613">
              <w:rPr>
                <w:noProof/>
                <w:webHidden/>
              </w:rPr>
              <w:t>34</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78" w:history="1">
            <w:r w:rsidR="00735613" w:rsidRPr="00781AD4">
              <w:rPr>
                <w:rStyle w:val="Hyperlink"/>
                <w:rFonts w:eastAsiaTheme="majorEastAsia" w:cstheme="minorHAnsi"/>
                <w:noProof/>
              </w:rPr>
              <w:t>Note 9:</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cstheme="minorHAnsi"/>
                <w:noProof/>
              </w:rPr>
              <w:t>Payables</w:t>
            </w:r>
            <w:r w:rsidR="00735613">
              <w:rPr>
                <w:noProof/>
                <w:webHidden/>
              </w:rPr>
              <w:tab/>
            </w:r>
            <w:r w:rsidR="00735613">
              <w:rPr>
                <w:noProof/>
                <w:webHidden/>
              </w:rPr>
              <w:fldChar w:fldCharType="begin"/>
            </w:r>
            <w:r w:rsidR="00735613">
              <w:rPr>
                <w:noProof/>
                <w:webHidden/>
              </w:rPr>
              <w:instrText xml:space="preserve"> PAGEREF _Toc420422378 \h </w:instrText>
            </w:r>
            <w:r w:rsidR="00735613">
              <w:rPr>
                <w:noProof/>
                <w:webHidden/>
              </w:rPr>
            </w:r>
            <w:r w:rsidR="00735613">
              <w:rPr>
                <w:noProof/>
                <w:webHidden/>
              </w:rPr>
              <w:fldChar w:fldCharType="separate"/>
            </w:r>
            <w:r w:rsidR="00735613">
              <w:rPr>
                <w:noProof/>
                <w:webHidden/>
              </w:rPr>
              <w:t>41</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79" w:history="1">
            <w:r w:rsidR="00735613" w:rsidRPr="00781AD4">
              <w:rPr>
                <w:rStyle w:val="Hyperlink"/>
                <w:rFonts w:eastAsiaTheme="majorEastAsia" w:cstheme="minorHAnsi"/>
                <w:noProof/>
              </w:rPr>
              <w:t>Note 10:</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cstheme="minorHAnsi"/>
                <w:noProof/>
              </w:rPr>
              <w:t>Provisions</w:t>
            </w:r>
            <w:r w:rsidR="00735613">
              <w:rPr>
                <w:noProof/>
                <w:webHidden/>
              </w:rPr>
              <w:tab/>
            </w:r>
            <w:r w:rsidR="00735613">
              <w:rPr>
                <w:noProof/>
                <w:webHidden/>
              </w:rPr>
              <w:fldChar w:fldCharType="begin"/>
            </w:r>
            <w:r w:rsidR="00735613">
              <w:rPr>
                <w:noProof/>
                <w:webHidden/>
              </w:rPr>
              <w:instrText xml:space="preserve"> PAGEREF _Toc420422379 \h </w:instrText>
            </w:r>
            <w:r w:rsidR="00735613">
              <w:rPr>
                <w:noProof/>
                <w:webHidden/>
              </w:rPr>
            </w:r>
            <w:r w:rsidR="00735613">
              <w:rPr>
                <w:noProof/>
                <w:webHidden/>
              </w:rPr>
              <w:fldChar w:fldCharType="separate"/>
            </w:r>
            <w:r w:rsidR="00735613">
              <w:rPr>
                <w:noProof/>
                <w:webHidden/>
              </w:rPr>
              <w:t>42</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80" w:history="1">
            <w:r w:rsidR="00735613" w:rsidRPr="00781AD4">
              <w:rPr>
                <w:rStyle w:val="Hyperlink"/>
                <w:rFonts w:eastAsiaTheme="majorEastAsia" w:cstheme="minorHAnsi"/>
                <w:noProof/>
              </w:rPr>
              <w:t>Note 11:</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cstheme="minorHAnsi"/>
                <w:noProof/>
              </w:rPr>
              <w:t>Restructuring</w:t>
            </w:r>
            <w:r w:rsidR="00735613">
              <w:rPr>
                <w:noProof/>
                <w:webHidden/>
              </w:rPr>
              <w:tab/>
            </w:r>
            <w:r w:rsidR="00735613">
              <w:rPr>
                <w:noProof/>
                <w:webHidden/>
              </w:rPr>
              <w:fldChar w:fldCharType="begin"/>
            </w:r>
            <w:r w:rsidR="00735613">
              <w:rPr>
                <w:noProof/>
                <w:webHidden/>
              </w:rPr>
              <w:instrText xml:space="preserve"> PAGEREF _Toc420422380 \h </w:instrText>
            </w:r>
            <w:r w:rsidR="00735613">
              <w:rPr>
                <w:noProof/>
                <w:webHidden/>
              </w:rPr>
            </w:r>
            <w:r w:rsidR="00735613">
              <w:rPr>
                <w:noProof/>
                <w:webHidden/>
              </w:rPr>
              <w:fldChar w:fldCharType="separate"/>
            </w:r>
            <w:r w:rsidR="00735613">
              <w:rPr>
                <w:noProof/>
                <w:webHidden/>
              </w:rPr>
              <w:t>43</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81" w:history="1">
            <w:r w:rsidR="00735613" w:rsidRPr="00781AD4">
              <w:rPr>
                <w:rStyle w:val="Hyperlink"/>
                <w:rFonts w:eastAsiaTheme="majorEastAsia" w:cstheme="minorHAnsi"/>
                <w:noProof/>
              </w:rPr>
              <w:t>Note 12:</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cstheme="minorHAnsi"/>
                <w:noProof/>
              </w:rPr>
              <w:t>Cash Flow Reconciliation</w:t>
            </w:r>
            <w:r w:rsidR="00735613">
              <w:rPr>
                <w:noProof/>
                <w:webHidden/>
              </w:rPr>
              <w:tab/>
            </w:r>
            <w:r w:rsidR="00735613">
              <w:rPr>
                <w:noProof/>
                <w:webHidden/>
              </w:rPr>
              <w:fldChar w:fldCharType="begin"/>
            </w:r>
            <w:r w:rsidR="00735613">
              <w:rPr>
                <w:noProof/>
                <w:webHidden/>
              </w:rPr>
              <w:instrText xml:space="preserve"> PAGEREF _Toc420422381 \h </w:instrText>
            </w:r>
            <w:r w:rsidR="00735613">
              <w:rPr>
                <w:noProof/>
                <w:webHidden/>
              </w:rPr>
            </w:r>
            <w:r w:rsidR="00735613">
              <w:rPr>
                <w:noProof/>
                <w:webHidden/>
              </w:rPr>
              <w:fldChar w:fldCharType="separate"/>
            </w:r>
            <w:r w:rsidR="00735613">
              <w:rPr>
                <w:noProof/>
                <w:webHidden/>
              </w:rPr>
              <w:t>51</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82" w:history="1">
            <w:r w:rsidR="00735613" w:rsidRPr="00781AD4">
              <w:rPr>
                <w:rStyle w:val="Hyperlink"/>
                <w:rFonts w:eastAsiaTheme="majorEastAsia" w:cstheme="minorHAnsi"/>
                <w:noProof/>
              </w:rPr>
              <w:t>Note 13:</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cstheme="minorHAnsi"/>
                <w:noProof/>
              </w:rPr>
              <w:t>Contingent Assets and Liabilities</w:t>
            </w:r>
            <w:r w:rsidR="00735613">
              <w:rPr>
                <w:noProof/>
                <w:webHidden/>
              </w:rPr>
              <w:tab/>
            </w:r>
            <w:r w:rsidR="00735613">
              <w:rPr>
                <w:noProof/>
                <w:webHidden/>
              </w:rPr>
              <w:fldChar w:fldCharType="begin"/>
            </w:r>
            <w:r w:rsidR="00735613">
              <w:rPr>
                <w:noProof/>
                <w:webHidden/>
              </w:rPr>
              <w:instrText xml:space="preserve"> PAGEREF _Toc420422382 \h </w:instrText>
            </w:r>
            <w:r w:rsidR="00735613">
              <w:rPr>
                <w:noProof/>
                <w:webHidden/>
              </w:rPr>
            </w:r>
            <w:r w:rsidR="00735613">
              <w:rPr>
                <w:noProof/>
                <w:webHidden/>
              </w:rPr>
              <w:fldChar w:fldCharType="separate"/>
            </w:r>
            <w:r w:rsidR="00735613">
              <w:rPr>
                <w:noProof/>
                <w:webHidden/>
              </w:rPr>
              <w:t>52</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83" w:history="1">
            <w:r w:rsidR="00735613" w:rsidRPr="00781AD4">
              <w:rPr>
                <w:rStyle w:val="Hyperlink"/>
                <w:rFonts w:eastAsiaTheme="majorEastAsia" w:cstheme="minorHAnsi"/>
                <w:noProof/>
              </w:rPr>
              <w:t>Note 14:</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cstheme="minorHAnsi"/>
                <w:noProof/>
              </w:rPr>
              <w:t>Senior Management Personnel Remuneration</w:t>
            </w:r>
            <w:r w:rsidR="00735613">
              <w:rPr>
                <w:noProof/>
                <w:webHidden/>
              </w:rPr>
              <w:tab/>
            </w:r>
            <w:r w:rsidR="00735613">
              <w:rPr>
                <w:noProof/>
                <w:webHidden/>
              </w:rPr>
              <w:fldChar w:fldCharType="begin"/>
            </w:r>
            <w:r w:rsidR="00735613">
              <w:rPr>
                <w:noProof/>
                <w:webHidden/>
              </w:rPr>
              <w:instrText xml:space="preserve"> PAGEREF _Toc420422383 \h </w:instrText>
            </w:r>
            <w:r w:rsidR="00735613">
              <w:rPr>
                <w:noProof/>
                <w:webHidden/>
              </w:rPr>
            </w:r>
            <w:r w:rsidR="00735613">
              <w:rPr>
                <w:noProof/>
                <w:webHidden/>
              </w:rPr>
              <w:fldChar w:fldCharType="separate"/>
            </w:r>
            <w:r w:rsidR="00735613">
              <w:rPr>
                <w:noProof/>
                <w:webHidden/>
              </w:rPr>
              <w:t>53</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84" w:history="1">
            <w:r w:rsidR="00735613" w:rsidRPr="00781AD4">
              <w:rPr>
                <w:rStyle w:val="Hyperlink"/>
                <w:rFonts w:eastAsiaTheme="majorEastAsia" w:cstheme="minorHAnsi"/>
                <w:noProof/>
              </w:rPr>
              <w:t>Note 15:</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cstheme="minorHAnsi"/>
                <w:noProof/>
              </w:rPr>
              <w:t>Remuneration of Auditors</w:t>
            </w:r>
            <w:r w:rsidR="00735613">
              <w:rPr>
                <w:noProof/>
                <w:webHidden/>
              </w:rPr>
              <w:tab/>
            </w:r>
            <w:r w:rsidR="00735613">
              <w:rPr>
                <w:noProof/>
                <w:webHidden/>
              </w:rPr>
              <w:fldChar w:fldCharType="begin"/>
            </w:r>
            <w:r w:rsidR="00735613">
              <w:rPr>
                <w:noProof/>
                <w:webHidden/>
              </w:rPr>
              <w:instrText xml:space="preserve"> PAGEREF _Toc420422384 \h </w:instrText>
            </w:r>
            <w:r w:rsidR="00735613">
              <w:rPr>
                <w:noProof/>
                <w:webHidden/>
              </w:rPr>
            </w:r>
            <w:r w:rsidR="00735613">
              <w:rPr>
                <w:noProof/>
                <w:webHidden/>
              </w:rPr>
              <w:fldChar w:fldCharType="separate"/>
            </w:r>
            <w:r w:rsidR="00735613">
              <w:rPr>
                <w:noProof/>
                <w:webHidden/>
              </w:rPr>
              <w:t>53</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85" w:history="1">
            <w:r w:rsidR="00735613" w:rsidRPr="00781AD4">
              <w:rPr>
                <w:rStyle w:val="Hyperlink"/>
                <w:rFonts w:eastAsiaTheme="majorEastAsia" w:cstheme="minorHAnsi"/>
                <w:noProof/>
              </w:rPr>
              <w:t>Note 16:</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cstheme="minorHAnsi"/>
                <w:noProof/>
              </w:rPr>
              <w:t>Financial Instruments</w:t>
            </w:r>
            <w:r w:rsidR="00735613">
              <w:rPr>
                <w:noProof/>
                <w:webHidden/>
              </w:rPr>
              <w:tab/>
            </w:r>
            <w:r w:rsidR="00735613">
              <w:rPr>
                <w:noProof/>
                <w:webHidden/>
              </w:rPr>
              <w:fldChar w:fldCharType="begin"/>
            </w:r>
            <w:r w:rsidR="00735613">
              <w:rPr>
                <w:noProof/>
                <w:webHidden/>
              </w:rPr>
              <w:instrText xml:space="preserve"> PAGEREF _Toc420422385 \h </w:instrText>
            </w:r>
            <w:r w:rsidR="00735613">
              <w:rPr>
                <w:noProof/>
                <w:webHidden/>
              </w:rPr>
            </w:r>
            <w:r w:rsidR="00735613">
              <w:rPr>
                <w:noProof/>
                <w:webHidden/>
              </w:rPr>
              <w:fldChar w:fldCharType="separate"/>
            </w:r>
            <w:r w:rsidR="00735613">
              <w:rPr>
                <w:noProof/>
                <w:webHidden/>
              </w:rPr>
              <w:t>54</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86" w:history="1">
            <w:r w:rsidR="00735613" w:rsidRPr="00781AD4">
              <w:rPr>
                <w:rStyle w:val="Hyperlink"/>
                <w:rFonts w:eastAsiaTheme="majorEastAsia" w:cstheme="minorHAnsi"/>
                <w:noProof/>
              </w:rPr>
              <w:t>Note 17:</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cstheme="minorHAnsi"/>
                <w:noProof/>
              </w:rPr>
              <w:t>Financial Assets Reconciliation</w:t>
            </w:r>
            <w:r w:rsidR="00735613">
              <w:rPr>
                <w:noProof/>
                <w:webHidden/>
              </w:rPr>
              <w:tab/>
            </w:r>
            <w:r w:rsidR="00735613">
              <w:rPr>
                <w:noProof/>
                <w:webHidden/>
              </w:rPr>
              <w:fldChar w:fldCharType="begin"/>
            </w:r>
            <w:r w:rsidR="00735613">
              <w:rPr>
                <w:noProof/>
                <w:webHidden/>
              </w:rPr>
              <w:instrText xml:space="preserve"> PAGEREF _Toc420422386 \h </w:instrText>
            </w:r>
            <w:r w:rsidR="00735613">
              <w:rPr>
                <w:noProof/>
                <w:webHidden/>
              </w:rPr>
            </w:r>
            <w:r w:rsidR="00735613">
              <w:rPr>
                <w:noProof/>
                <w:webHidden/>
              </w:rPr>
              <w:fldChar w:fldCharType="separate"/>
            </w:r>
            <w:r w:rsidR="00735613">
              <w:rPr>
                <w:noProof/>
                <w:webHidden/>
              </w:rPr>
              <w:t>57</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87" w:history="1">
            <w:r w:rsidR="00735613" w:rsidRPr="00781AD4">
              <w:rPr>
                <w:rStyle w:val="Hyperlink"/>
                <w:rFonts w:eastAsiaTheme="majorEastAsia"/>
                <w:noProof/>
              </w:rPr>
              <w:t>Note 18:</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noProof/>
              </w:rPr>
              <w:t>Administered Expenses</w:t>
            </w:r>
            <w:r w:rsidR="00735613">
              <w:rPr>
                <w:noProof/>
                <w:webHidden/>
              </w:rPr>
              <w:tab/>
            </w:r>
            <w:r w:rsidR="00735613">
              <w:rPr>
                <w:noProof/>
                <w:webHidden/>
              </w:rPr>
              <w:fldChar w:fldCharType="begin"/>
            </w:r>
            <w:r w:rsidR="00735613">
              <w:rPr>
                <w:noProof/>
                <w:webHidden/>
              </w:rPr>
              <w:instrText xml:space="preserve"> PAGEREF _Toc420422387 \h </w:instrText>
            </w:r>
            <w:r w:rsidR="00735613">
              <w:rPr>
                <w:noProof/>
                <w:webHidden/>
              </w:rPr>
            </w:r>
            <w:r w:rsidR="00735613">
              <w:rPr>
                <w:noProof/>
                <w:webHidden/>
              </w:rPr>
              <w:fldChar w:fldCharType="separate"/>
            </w:r>
            <w:r w:rsidR="00735613">
              <w:rPr>
                <w:noProof/>
                <w:webHidden/>
              </w:rPr>
              <w:t>58</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88" w:history="1">
            <w:r w:rsidR="00735613" w:rsidRPr="00781AD4">
              <w:rPr>
                <w:rStyle w:val="Hyperlink"/>
                <w:rFonts w:eastAsiaTheme="majorEastAsia"/>
                <w:noProof/>
              </w:rPr>
              <w:t>Note 19:</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noProof/>
              </w:rPr>
              <w:t>Administered Income</w:t>
            </w:r>
            <w:r w:rsidR="00735613">
              <w:rPr>
                <w:noProof/>
                <w:webHidden/>
              </w:rPr>
              <w:tab/>
            </w:r>
            <w:r w:rsidR="00735613">
              <w:rPr>
                <w:noProof/>
                <w:webHidden/>
              </w:rPr>
              <w:fldChar w:fldCharType="begin"/>
            </w:r>
            <w:r w:rsidR="00735613">
              <w:rPr>
                <w:noProof/>
                <w:webHidden/>
              </w:rPr>
              <w:instrText xml:space="preserve"> PAGEREF _Toc420422388 \h </w:instrText>
            </w:r>
            <w:r w:rsidR="00735613">
              <w:rPr>
                <w:noProof/>
                <w:webHidden/>
              </w:rPr>
            </w:r>
            <w:r w:rsidR="00735613">
              <w:rPr>
                <w:noProof/>
                <w:webHidden/>
              </w:rPr>
              <w:fldChar w:fldCharType="separate"/>
            </w:r>
            <w:r w:rsidR="00735613">
              <w:rPr>
                <w:noProof/>
                <w:webHidden/>
              </w:rPr>
              <w:t>60</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89" w:history="1">
            <w:r w:rsidR="00735613" w:rsidRPr="00781AD4">
              <w:rPr>
                <w:rStyle w:val="Hyperlink"/>
                <w:rFonts w:eastAsiaTheme="majorEastAsia"/>
                <w:noProof/>
              </w:rPr>
              <w:t>Note 20:</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noProof/>
              </w:rPr>
              <w:t>Administered Fair Value Measurement</w:t>
            </w:r>
            <w:r w:rsidR="00735613">
              <w:rPr>
                <w:noProof/>
                <w:webHidden/>
              </w:rPr>
              <w:tab/>
            </w:r>
            <w:r w:rsidR="00735613">
              <w:rPr>
                <w:noProof/>
                <w:webHidden/>
              </w:rPr>
              <w:fldChar w:fldCharType="begin"/>
            </w:r>
            <w:r w:rsidR="00735613">
              <w:rPr>
                <w:noProof/>
                <w:webHidden/>
              </w:rPr>
              <w:instrText xml:space="preserve"> PAGEREF _Toc420422389 \h </w:instrText>
            </w:r>
            <w:r w:rsidR="00735613">
              <w:rPr>
                <w:noProof/>
                <w:webHidden/>
              </w:rPr>
            </w:r>
            <w:r w:rsidR="00735613">
              <w:rPr>
                <w:noProof/>
                <w:webHidden/>
              </w:rPr>
              <w:fldChar w:fldCharType="separate"/>
            </w:r>
            <w:r w:rsidR="00735613">
              <w:rPr>
                <w:noProof/>
                <w:webHidden/>
              </w:rPr>
              <w:t>61</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90" w:history="1">
            <w:r w:rsidR="00735613" w:rsidRPr="00781AD4">
              <w:rPr>
                <w:rStyle w:val="Hyperlink"/>
                <w:rFonts w:eastAsiaTheme="majorEastAsia"/>
                <w:noProof/>
              </w:rPr>
              <w:t>Note 21:</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noProof/>
              </w:rPr>
              <w:t>Administered Financial Assets</w:t>
            </w:r>
            <w:r w:rsidR="00735613">
              <w:rPr>
                <w:noProof/>
                <w:webHidden/>
              </w:rPr>
              <w:tab/>
            </w:r>
            <w:r w:rsidR="00735613">
              <w:rPr>
                <w:noProof/>
                <w:webHidden/>
              </w:rPr>
              <w:fldChar w:fldCharType="begin"/>
            </w:r>
            <w:r w:rsidR="00735613">
              <w:rPr>
                <w:noProof/>
                <w:webHidden/>
              </w:rPr>
              <w:instrText xml:space="preserve"> PAGEREF _Toc420422390 \h </w:instrText>
            </w:r>
            <w:r w:rsidR="00735613">
              <w:rPr>
                <w:noProof/>
                <w:webHidden/>
              </w:rPr>
            </w:r>
            <w:r w:rsidR="00735613">
              <w:rPr>
                <w:noProof/>
                <w:webHidden/>
              </w:rPr>
              <w:fldChar w:fldCharType="separate"/>
            </w:r>
            <w:r w:rsidR="00735613">
              <w:rPr>
                <w:noProof/>
                <w:webHidden/>
              </w:rPr>
              <w:t>63</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91" w:history="1">
            <w:r w:rsidR="00735613" w:rsidRPr="00781AD4">
              <w:rPr>
                <w:rStyle w:val="Hyperlink"/>
                <w:rFonts w:eastAsiaTheme="majorEastAsia"/>
                <w:noProof/>
              </w:rPr>
              <w:t>Note 22:</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noProof/>
              </w:rPr>
              <w:t>Administered Non-Financial Assets</w:t>
            </w:r>
            <w:r w:rsidR="00735613">
              <w:rPr>
                <w:noProof/>
                <w:webHidden/>
              </w:rPr>
              <w:tab/>
            </w:r>
            <w:r w:rsidR="00735613">
              <w:rPr>
                <w:noProof/>
                <w:webHidden/>
              </w:rPr>
              <w:fldChar w:fldCharType="begin"/>
            </w:r>
            <w:r w:rsidR="00735613">
              <w:rPr>
                <w:noProof/>
                <w:webHidden/>
              </w:rPr>
              <w:instrText xml:space="preserve"> PAGEREF _Toc420422391 \h </w:instrText>
            </w:r>
            <w:r w:rsidR="00735613">
              <w:rPr>
                <w:noProof/>
                <w:webHidden/>
              </w:rPr>
            </w:r>
            <w:r w:rsidR="00735613">
              <w:rPr>
                <w:noProof/>
                <w:webHidden/>
              </w:rPr>
              <w:fldChar w:fldCharType="separate"/>
            </w:r>
            <w:r w:rsidR="00735613">
              <w:rPr>
                <w:noProof/>
                <w:webHidden/>
              </w:rPr>
              <w:t>66</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92" w:history="1">
            <w:r w:rsidR="00735613" w:rsidRPr="00781AD4">
              <w:rPr>
                <w:rStyle w:val="Hyperlink"/>
                <w:rFonts w:eastAsiaTheme="majorEastAsia"/>
                <w:noProof/>
              </w:rPr>
              <w:t>Note 23:</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noProof/>
              </w:rPr>
              <w:t>Administered Payables</w:t>
            </w:r>
            <w:r w:rsidR="00735613">
              <w:rPr>
                <w:noProof/>
                <w:webHidden/>
              </w:rPr>
              <w:tab/>
            </w:r>
            <w:r w:rsidR="00735613">
              <w:rPr>
                <w:noProof/>
                <w:webHidden/>
              </w:rPr>
              <w:fldChar w:fldCharType="begin"/>
            </w:r>
            <w:r w:rsidR="00735613">
              <w:rPr>
                <w:noProof/>
                <w:webHidden/>
              </w:rPr>
              <w:instrText xml:space="preserve"> PAGEREF _Toc420422392 \h </w:instrText>
            </w:r>
            <w:r w:rsidR="00735613">
              <w:rPr>
                <w:noProof/>
                <w:webHidden/>
              </w:rPr>
            </w:r>
            <w:r w:rsidR="00735613">
              <w:rPr>
                <w:noProof/>
                <w:webHidden/>
              </w:rPr>
              <w:fldChar w:fldCharType="separate"/>
            </w:r>
            <w:r w:rsidR="00735613">
              <w:rPr>
                <w:noProof/>
                <w:webHidden/>
              </w:rPr>
              <w:t>67</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93" w:history="1">
            <w:r w:rsidR="00735613" w:rsidRPr="00781AD4">
              <w:rPr>
                <w:rStyle w:val="Hyperlink"/>
                <w:rFonts w:eastAsiaTheme="majorEastAsia"/>
                <w:noProof/>
              </w:rPr>
              <w:t>Note 24:</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noProof/>
              </w:rPr>
              <w:t>Administered Provisions</w:t>
            </w:r>
            <w:r w:rsidR="00735613">
              <w:rPr>
                <w:noProof/>
                <w:webHidden/>
              </w:rPr>
              <w:tab/>
            </w:r>
            <w:r w:rsidR="00735613">
              <w:rPr>
                <w:noProof/>
                <w:webHidden/>
              </w:rPr>
              <w:fldChar w:fldCharType="begin"/>
            </w:r>
            <w:r w:rsidR="00735613">
              <w:rPr>
                <w:noProof/>
                <w:webHidden/>
              </w:rPr>
              <w:instrText xml:space="preserve"> PAGEREF _Toc420422393 \h </w:instrText>
            </w:r>
            <w:r w:rsidR="00735613">
              <w:rPr>
                <w:noProof/>
                <w:webHidden/>
              </w:rPr>
            </w:r>
            <w:r w:rsidR="00735613">
              <w:rPr>
                <w:noProof/>
                <w:webHidden/>
              </w:rPr>
              <w:fldChar w:fldCharType="separate"/>
            </w:r>
            <w:r w:rsidR="00735613">
              <w:rPr>
                <w:noProof/>
                <w:webHidden/>
              </w:rPr>
              <w:t>69</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94" w:history="1">
            <w:r w:rsidR="00735613" w:rsidRPr="00781AD4">
              <w:rPr>
                <w:rStyle w:val="Hyperlink"/>
                <w:rFonts w:eastAsiaTheme="majorEastAsia"/>
                <w:noProof/>
              </w:rPr>
              <w:t>Note 25:</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noProof/>
              </w:rPr>
              <w:t>Administered Cash Flow Reconciliation</w:t>
            </w:r>
            <w:r w:rsidR="00735613">
              <w:rPr>
                <w:noProof/>
                <w:webHidden/>
              </w:rPr>
              <w:tab/>
            </w:r>
            <w:r w:rsidR="00735613">
              <w:rPr>
                <w:noProof/>
                <w:webHidden/>
              </w:rPr>
              <w:fldChar w:fldCharType="begin"/>
            </w:r>
            <w:r w:rsidR="00735613">
              <w:rPr>
                <w:noProof/>
                <w:webHidden/>
              </w:rPr>
              <w:instrText xml:space="preserve"> PAGEREF _Toc420422394 \h </w:instrText>
            </w:r>
            <w:r w:rsidR="00735613">
              <w:rPr>
                <w:noProof/>
                <w:webHidden/>
              </w:rPr>
            </w:r>
            <w:r w:rsidR="00735613">
              <w:rPr>
                <w:noProof/>
                <w:webHidden/>
              </w:rPr>
              <w:fldChar w:fldCharType="separate"/>
            </w:r>
            <w:r w:rsidR="00735613">
              <w:rPr>
                <w:noProof/>
                <w:webHidden/>
              </w:rPr>
              <w:t>70</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95" w:history="1">
            <w:r w:rsidR="00735613" w:rsidRPr="00781AD4">
              <w:rPr>
                <w:rStyle w:val="Hyperlink"/>
                <w:rFonts w:eastAsiaTheme="majorEastAsia"/>
                <w:noProof/>
              </w:rPr>
              <w:t>Note 26:</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noProof/>
              </w:rPr>
              <w:t>Administered Contingent Assets and Liabilities</w:t>
            </w:r>
            <w:r w:rsidR="00735613">
              <w:rPr>
                <w:noProof/>
                <w:webHidden/>
              </w:rPr>
              <w:tab/>
            </w:r>
            <w:r w:rsidR="00735613">
              <w:rPr>
                <w:noProof/>
                <w:webHidden/>
              </w:rPr>
              <w:fldChar w:fldCharType="begin"/>
            </w:r>
            <w:r w:rsidR="00735613">
              <w:rPr>
                <w:noProof/>
                <w:webHidden/>
              </w:rPr>
              <w:instrText xml:space="preserve"> PAGEREF _Toc420422395 \h </w:instrText>
            </w:r>
            <w:r w:rsidR="00735613">
              <w:rPr>
                <w:noProof/>
                <w:webHidden/>
              </w:rPr>
            </w:r>
            <w:r w:rsidR="00735613">
              <w:rPr>
                <w:noProof/>
                <w:webHidden/>
              </w:rPr>
              <w:fldChar w:fldCharType="separate"/>
            </w:r>
            <w:r w:rsidR="00735613">
              <w:rPr>
                <w:noProof/>
                <w:webHidden/>
              </w:rPr>
              <w:t>71</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96" w:history="1">
            <w:r w:rsidR="00735613" w:rsidRPr="00781AD4">
              <w:rPr>
                <w:rStyle w:val="Hyperlink"/>
                <w:rFonts w:eastAsiaTheme="majorEastAsia"/>
                <w:noProof/>
              </w:rPr>
              <w:t>Note 27:</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noProof/>
              </w:rPr>
              <w:t>Administered Financial Instruments</w:t>
            </w:r>
            <w:r w:rsidR="00735613">
              <w:rPr>
                <w:noProof/>
                <w:webHidden/>
              </w:rPr>
              <w:tab/>
            </w:r>
            <w:r w:rsidR="00735613">
              <w:rPr>
                <w:noProof/>
                <w:webHidden/>
              </w:rPr>
              <w:fldChar w:fldCharType="begin"/>
            </w:r>
            <w:r w:rsidR="00735613">
              <w:rPr>
                <w:noProof/>
                <w:webHidden/>
              </w:rPr>
              <w:instrText xml:space="preserve"> PAGEREF _Toc420422396 \h </w:instrText>
            </w:r>
            <w:r w:rsidR="00735613">
              <w:rPr>
                <w:noProof/>
                <w:webHidden/>
              </w:rPr>
            </w:r>
            <w:r w:rsidR="00735613">
              <w:rPr>
                <w:noProof/>
                <w:webHidden/>
              </w:rPr>
              <w:fldChar w:fldCharType="separate"/>
            </w:r>
            <w:r w:rsidR="00735613">
              <w:rPr>
                <w:noProof/>
                <w:webHidden/>
              </w:rPr>
              <w:t>72</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97" w:history="1">
            <w:r w:rsidR="00735613" w:rsidRPr="00781AD4">
              <w:rPr>
                <w:rStyle w:val="Hyperlink"/>
                <w:rFonts w:eastAsiaTheme="majorEastAsia"/>
                <w:noProof/>
              </w:rPr>
              <w:t>Note 28:</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noProof/>
              </w:rPr>
              <w:t>Administered Financial Assets Reconciliation</w:t>
            </w:r>
            <w:r w:rsidR="00735613">
              <w:rPr>
                <w:noProof/>
                <w:webHidden/>
              </w:rPr>
              <w:tab/>
            </w:r>
            <w:r w:rsidR="00735613">
              <w:rPr>
                <w:noProof/>
                <w:webHidden/>
              </w:rPr>
              <w:fldChar w:fldCharType="begin"/>
            </w:r>
            <w:r w:rsidR="00735613">
              <w:rPr>
                <w:noProof/>
                <w:webHidden/>
              </w:rPr>
              <w:instrText xml:space="preserve"> PAGEREF _Toc420422397 \h </w:instrText>
            </w:r>
            <w:r w:rsidR="00735613">
              <w:rPr>
                <w:noProof/>
                <w:webHidden/>
              </w:rPr>
            </w:r>
            <w:r w:rsidR="00735613">
              <w:rPr>
                <w:noProof/>
                <w:webHidden/>
              </w:rPr>
              <w:fldChar w:fldCharType="separate"/>
            </w:r>
            <w:r w:rsidR="00735613">
              <w:rPr>
                <w:noProof/>
                <w:webHidden/>
              </w:rPr>
              <w:t>75</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98" w:history="1">
            <w:r w:rsidR="00735613" w:rsidRPr="00781AD4">
              <w:rPr>
                <w:rStyle w:val="Hyperlink"/>
                <w:rFonts w:eastAsiaTheme="majorEastAsia" w:cstheme="minorHAnsi"/>
                <w:noProof/>
              </w:rPr>
              <w:t>Note 29:</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noProof/>
              </w:rPr>
              <w:t>Appropriations</w:t>
            </w:r>
            <w:r w:rsidR="00735613">
              <w:rPr>
                <w:noProof/>
                <w:webHidden/>
              </w:rPr>
              <w:tab/>
            </w:r>
            <w:r w:rsidR="00735613">
              <w:rPr>
                <w:noProof/>
                <w:webHidden/>
              </w:rPr>
              <w:fldChar w:fldCharType="begin"/>
            </w:r>
            <w:r w:rsidR="00735613">
              <w:rPr>
                <w:noProof/>
                <w:webHidden/>
              </w:rPr>
              <w:instrText xml:space="preserve"> PAGEREF _Toc420422398 \h </w:instrText>
            </w:r>
            <w:r w:rsidR="00735613">
              <w:rPr>
                <w:noProof/>
                <w:webHidden/>
              </w:rPr>
            </w:r>
            <w:r w:rsidR="00735613">
              <w:rPr>
                <w:noProof/>
                <w:webHidden/>
              </w:rPr>
              <w:fldChar w:fldCharType="separate"/>
            </w:r>
            <w:r w:rsidR="00735613">
              <w:rPr>
                <w:noProof/>
                <w:webHidden/>
              </w:rPr>
              <w:t>76</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399" w:history="1">
            <w:r w:rsidR="00735613" w:rsidRPr="00781AD4">
              <w:rPr>
                <w:rStyle w:val="Hyperlink"/>
                <w:rFonts w:eastAsiaTheme="majorEastAsia" w:cstheme="minorHAnsi"/>
                <w:noProof/>
              </w:rPr>
              <w:t>Note 30:</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noProof/>
              </w:rPr>
              <w:t>Special Accounts</w:t>
            </w:r>
            <w:r w:rsidR="00735613">
              <w:rPr>
                <w:noProof/>
                <w:webHidden/>
              </w:rPr>
              <w:tab/>
            </w:r>
            <w:r w:rsidR="00735613">
              <w:rPr>
                <w:noProof/>
                <w:webHidden/>
              </w:rPr>
              <w:fldChar w:fldCharType="begin"/>
            </w:r>
            <w:r w:rsidR="00735613">
              <w:rPr>
                <w:noProof/>
                <w:webHidden/>
              </w:rPr>
              <w:instrText xml:space="preserve"> PAGEREF _Toc420422399 \h </w:instrText>
            </w:r>
            <w:r w:rsidR="00735613">
              <w:rPr>
                <w:noProof/>
                <w:webHidden/>
              </w:rPr>
            </w:r>
            <w:r w:rsidR="00735613">
              <w:rPr>
                <w:noProof/>
                <w:webHidden/>
              </w:rPr>
              <w:fldChar w:fldCharType="separate"/>
            </w:r>
            <w:r w:rsidR="00735613">
              <w:rPr>
                <w:noProof/>
                <w:webHidden/>
              </w:rPr>
              <w:t>82</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400" w:history="1">
            <w:r w:rsidR="00735613" w:rsidRPr="00781AD4">
              <w:rPr>
                <w:rStyle w:val="Hyperlink"/>
                <w:rFonts w:eastAsiaTheme="majorEastAsia" w:cstheme="minorHAnsi"/>
                <w:noProof/>
              </w:rPr>
              <w:t>Note 31:</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cstheme="minorHAnsi"/>
                <w:noProof/>
              </w:rPr>
              <w:t>Reporting of Outcomes</w:t>
            </w:r>
            <w:r w:rsidR="00735613">
              <w:rPr>
                <w:noProof/>
                <w:webHidden/>
              </w:rPr>
              <w:tab/>
            </w:r>
            <w:r w:rsidR="00735613">
              <w:rPr>
                <w:noProof/>
                <w:webHidden/>
              </w:rPr>
              <w:fldChar w:fldCharType="begin"/>
            </w:r>
            <w:r w:rsidR="00735613">
              <w:rPr>
                <w:noProof/>
                <w:webHidden/>
              </w:rPr>
              <w:instrText xml:space="preserve"> PAGEREF _Toc420422400 \h </w:instrText>
            </w:r>
            <w:r w:rsidR="00735613">
              <w:rPr>
                <w:noProof/>
                <w:webHidden/>
              </w:rPr>
            </w:r>
            <w:r w:rsidR="00735613">
              <w:rPr>
                <w:noProof/>
                <w:webHidden/>
              </w:rPr>
              <w:fldChar w:fldCharType="separate"/>
            </w:r>
            <w:r w:rsidR="00735613">
              <w:rPr>
                <w:noProof/>
                <w:webHidden/>
              </w:rPr>
              <w:t>85</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401" w:history="1">
            <w:r w:rsidR="00735613" w:rsidRPr="00781AD4">
              <w:rPr>
                <w:rStyle w:val="Hyperlink"/>
                <w:rFonts w:eastAsiaTheme="majorEastAsia" w:cstheme="minorHAnsi"/>
                <w:noProof/>
              </w:rPr>
              <w:t>Note 32:</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noProof/>
              </w:rPr>
              <w:t>Cost Recovery Note</w:t>
            </w:r>
            <w:r w:rsidR="00735613">
              <w:rPr>
                <w:noProof/>
                <w:webHidden/>
              </w:rPr>
              <w:tab/>
            </w:r>
            <w:r w:rsidR="00735613">
              <w:rPr>
                <w:noProof/>
                <w:webHidden/>
              </w:rPr>
              <w:fldChar w:fldCharType="begin"/>
            </w:r>
            <w:r w:rsidR="00735613">
              <w:rPr>
                <w:noProof/>
                <w:webHidden/>
              </w:rPr>
              <w:instrText xml:space="preserve"> PAGEREF _Toc420422401 \h </w:instrText>
            </w:r>
            <w:r w:rsidR="00735613">
              <w:rPr>
                <w:noProof/>
                <w:webHidden/>
              </w:rPr>
            </w:r>
            <w:r w:rsidR="00735613">
              <w:rPr>
                <w:noProof/>
                <w:webHidden/>
              </w:rPr>
              <w:fldChar w:fldCharType="separate"/>
            </w:r>
            <w:r w:rsidR="00735613">
              <w:rPr>
                <w:noProof/>
                <w:webHidden/>
              </w:rPr>
              <w:t>88</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402" w:history="1">
            <w:r w:rsidR="00735613" w:rsidRPr="00781AD4">
              <w:rPr>
                <w:rStyle w:val="Hyperlink"/>
                <w:rFonts w:eastAsiaTheme="majorEastAsia" w:cstheme="minorHAnsi"/>
                <w:noProof/>
              </w:rPr>
              <w:t>Note 33:</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cstheme="minorHAnsi"/>
                <w:noProof/>
              </w:rPr>
              <w:t>Compliance with Statutory Conditions for Payments from the Consolidated Revenue Fund</w:t>
            </w:r>
            <w:r w:rsidR="00735613">
              <w:rPr>
                <w:noProof/>
                <w:webHidden/>
              </w:rPr>
              <w:tab/>
            </w:r>
            <w:r w:rsidR="00735613">
              <w:rPr>
                <w:noProof/>
                <w:webHidden/>
              </w:rPr>
              <w:fldChar w:fldCharType="begin"/>
            </w:r>
            <w:r w:rsidR="00735613">
              <w:rPr>
                <w:noProof/>
                <w:webHidden/>
              </w:rPr>
              <w:instrText xml:space="preserve"> PAGEREF _Toc420422402 \h </w:instrText>
            </w:r>
            <w:r w:rsidR="00735613">
              <w:rPr>
                <w:noProof/>
                <w:webHidden/>
              </w:rPr>
            </w:r>
            <w:r w:rsidR="00735613">
              <w:rPr>
                <w:noProof/>
                <w:webHidden/>
              </w:rPr>
              <w:fldChar w:fldCharType="separate"/>
            </w:r>
            <w:r w:rsidR="00735613">
              <w:rPr>
                <w:noProof/>
                <w:webHidden/>
              </w:rPr>
              <w:t>89</w:t>
            </w:r>
            <w:r w:rsidR="00735613">
              <w:rPr>
                <w:noProof/>
                <w:webHidden/>
              </w:rPr>
              <w:fldChar w:fldCharType="end"/>
            </w:r>
          </w:hyperlink>
        </w:p>
        <w:p w:rsidR="00735613" w:rsidRDefault="00DF4B99">
          <w:pPr>
            <w:pStyle w:val="TOC1"/>
            <w:rPr>
              <w:rFonts w:asciiTheme="minorHAnsi" w:eastAsiaTheme="minorEastAsia" w:hAnsiTheme="minorHAnsi" w:cstheme="minorBidi"/>
              <w:noProof/>
              <w:sz w:val="22"/>
              <w:szCs w:val="22"/>
              <w:lang w:eastAsia="en-AU"/>
            </w:rPr>
          </w:pPr>
          <w:hyperlink w:anchor="_Toc420422403" w:history="1">
            <w:r w:rsidR="00735613" w:rsidRPr="00781AD4">
              <w:rPr>
                <w:rStyle w:val="Hyperlink"/>
                <w:rFonts w:eastAsiaTheme="majorEastAsia" w:cstheme="minorHAnsi"/>
                <w:noProof/>
              </w:rPr>
              <w:t>Note 34:</w:t>
            </w:r>
            <w:r w:rsidR="00735613">
              <w:rPr>
                <w:rFonts w:asciiTheme="minorHAnsi" w:eastAsiaTheme="minorEastAsia" w:hAnsiTheme="minorHAnsi" w:cstheme="minorBidi"/>
                <w:noProof/>
                <w:sz w:val="22"/>
                <w:szCs w:val="22"/>
                <w:lang w:eastAsia="en-AU"/>
              </w:rPr>
              <w:tab/>
            </w:r>
            <w:r w:rsidR="00735613" w:rsidRPr="00781AD4">
              <w:rPr>
                <w:rStyle w:val="Hyperlink"/>
                <w:rFonts w:eastAsiaTheme="majorEastAsia" w:cstheme="minorHAnsi"/>
                <w:noProof/>
              </w:rPr>
              <w:t>Budgetary Reports and Explanations of Major Variances</w:t>
            </w:r>
            <w:r w:rsidR="00735613">
              <w:rPr>
                <w:noProof/>
                <w:webHidden/>
              </w:rPr>
              <w:tab/>
            </w:r>
            <w:r w:rsidR="00735613">
              <w:rPr>
                <w:noProof/>
                <w:webHidden/>
              </w:rPr>
              <w:fldChar w:fldCharType="begin"/>
            </w:r>
            <w:r w:rsidR="00735613">
              <w:rPr>
                <w:noProof/>
                <w:webHidden/>
              </w:rPr>
              <w:instrText xml:space="preserve"> PAGEREF _Toc420422403 \h </w:instrText>
            </w:r>
            <w:r w:rsidR="00735613">
              <w:rPr>
                <w:noProof/>
                <w:webHidden/>
              </w:rPr>
            </w:r>
            <w:r w:rsidR="00735613">
              <w:rPr>
                <w:noProof/>
                <w:webHidden/>
              </w:rPr>
              <w:fldChar w:fldCharType="separate"/>
            </w:r>
            <w:r w:rsidR="00735613">
              <w:rPr>
                <w:noProof/>
                <w:webHidden/>
              </w:rPr>
              <w:t>90</w:t>
            </w:r>
            <w:r w:rsidR="00735613">
              <w:rPr>
                <w:noProof/>
                <w:webHidden/>
              </w:rPr>
              <w:fldChar w:fldCharType="end"/>
            </w:r>
          </w:hyperlink>
        </w:p>
        <w:p w:rsidR="00735613" w:rsidRDefault="00735613" w:rsidP="00735613">
          <w:pPr>
            <w:pStyle w:val="TOCHeading"/>
          </w:pPr>
          <w:r>
            <w:fldChar w:fldCharType="end"/>
          </w:r>
        </w:p>
      </w:sdtContent>
    </w:sdt>
    <w:p w:rsidR="00735613" w:rsidRDefault="00735613">
      <w:pPr>
        <w:spacing w:line="240" w:lineRule="auto"/>
      </w:pPr>
    </w:p>
    <w:p w:rsidR="00735613" w:rsidRDefault="00735613">
      <w:pPr>
        <w:spacing w:line="240" w:lineRule="auto"/>
        <w:sectPr w:rsidR="00735613">
          <w:headerReference w:type="default" r:id="rId26"/>
          <w:footerReference w:type="default" r:id="rId27"/>
          <w:pgSz w:w="11906" w:h="16838"/>
          <w:pgMar w:top="1134" w:right="1134" w:bottom="1134" w:left="1134" w:header="958" w:footer="737" w:gutter="0"/>
          <w:cols w:space="720"/>
        </w:sectPr>
      </w:pPr>
    </w:p>
    <w:p w:rsidR="00735613" w:rsidRDefault="00735613"/>
    <w:p w:rsidR="00735613" w:rsidRDefault="00735613" w:rsidP="00735613">
      <w:pPr>
        <w:pStyle w:val="NotesHeading-Level1"/>
        <w:numPr>
          <w:ilvl w:val="0"/>
          <w:numId w:val="9"/>
        </w:numPr>
      </w:pPr>
      <w:r>
        <w:br w:type="page"/>
      </w:r>
      <w:bookmarkStart w:id="86" w:name="_Toc420422370"/>
      <w:r>
        <w:t>Summary of Significant Accounting Policies</w:t>
      </w:r>
      <w:bookmarkEnd w:id="86"/>
    </w:p>
    <w:p w:rsidR="00735613" w:rsidRDefault="00735613">
      <w:pPr>
        <w:spacing w:line="240" w:lineRule="auto"/>
        <w:rPr>
          <w:rFonts w:asciiTheme="minorHAnsi" w:hAnsiTheme="minorHAnsi" w:cstheme="minorHAnsi"/>
          <w:sz w:val="20"/>
          <w:lang w:eastAsia="en-AU"/>
        </w:rPr>
      </w:pPr>
    </w:p>
    <w:p w:rsidR="00735613" w:rsidRDefault="00735613" w:rsidP="00735613">
      <w:pPr>
        <w:pStyle w:val="SAPHeading-Level2"/>
        <w:numPr>
          <w:ilvl w:val="1"/>
          <w:numId w:val="15"/>
        </w:numPr>
      </w:pPr>
      <w:r>
        <w:t xml:space="preserve">Objectives of the Department of Education and Training </w:t>
      </w:r>
    </w:p>
    <w:p w:rsidR="00735613" w:rsidRPr="00075D25" w:rsidRDefault="00735613" w:rsidP="00735613">
      <w:pPr>
        <w:pStyle w:val="NotesText0"/>
      </w:pPr>
      <w:r w:rsidRPr="00075D25">
        <w:t xml:space="preserve">The Department of Education </w:t>
      </w:r>
      <w:r>
        <w:t xml:space="preserve">and Training </w:t>
      </w:r>
      <w:r w:rsidRPr="00075D25">
        <w:t>(the department) is an Australia</w:t>
      </w:r>
      <w:r>
        <w:t xml:space="preserve">n Government controlled </w:t>
      </w:r>
      <w:r w:rsidRPr="00075D25">
        <w:t>not-for-profit entity.</w:t>
      </w:r>
    </w:p>
    <w:p w:rsidR="00735613" w:rsidRPr="00075D25" w:rsidRDefault="00735613" w:rsidP="00735613">
      <w:pPr>
        <w:pStyle w:val="NotesText0"/>
      </w:pPr>
      <w:r w:rsidRPr="00075D25">
        <w:t>The department provides advice to the Government and administers program</w:t>
      </w:r>
      <w:r>
        <w:t>me</w:t>
      </w:r>
      <w:r w:rsidRPr="00075D25">
        <w:t>s to achieve the Government’s objectives for education</w:t>
      </w:r>
      <w:r>
        <w:t xml:space="preserve"> and training</w:t>
      </w:r>
      <w:r w:rsidRPr="00075D25">
        <w:t>. The department works in partnership with the states and territories, non-government authorities, providers and industry.</w:t>
      </w:r>
    </w:p>
    <w:p w:rsidR="00735613" w:rsidRPr="00075D25" w:rsidRDefault="00735613" w:rsidP="00735613">
      <w:pPr>
        <w:pStyle w:val="NotesText0"/>
      </w:pPr>
      <w:r>
        <w:t>For the financial year ended 30 June 2015, t</w:t>
      </w:r>
      <w:r w:rsidRPr="00075D25">
        <w:t xml:space="preserve">he department </w:t>
      </w:r>
      <w:r>
        <w:t xml:space="preserve">was </w:t>
      </w:r>
      <w:r w:rsidRPr="00075D25">
        <w:t>structured to meet the following outcomes:</w:t>
      </w:r>
    </w:p>
    <w:p w:rsidR="00735613" w:rsidRPr="00075D25" w:rsidRDefault="00735613" w:rsidP="00735613">
      <w:pPr>
        <w:pStyle w:val="NotesText0"/>
      </w:pPr>
      <w:r w:rsidRPr="00075D25">
        <w:t>Outcome 1: Early Childhood and Care</w:t>
      </w:r>
    </w:p>
    <w:p w:rsidR="00735613" w:rsidRPr="00075D25" w:rsidRDefault="00735613" w:rsidP="00735613">
      <w:pPr>
        <w:pStyle w:val="NotesText0"/>
      </w:pPr>
      <w:r w:rsidRPr="00075D25">
        <w:t>Outcome 2: School</w:t>
      </w:r>
      <w:r>
        <w:t>s e</w:t>
      </w:r>
      <w:r w:rsidRPr="00075D25">
        <w:t>ducation</w:t>
      </w:r>
      <w:r>
        <w:t xml:space="preserve"> and youth</w:t>
      </w:r>
    </w:p>
    <w:p w:rsidR="00735613" w:rsidRPr="00075D25" w:rsidRDefault="00735613" w:rsidP="00735613">
      <w:pPr>
        <w:pStyle w:val="NotesText0"/>
      </w:pPr>
      <w:r w:rsidRPr="00075D25">
        <w:t>Outcom</w:t>
      </w:r>
      <w:r>
        <w:t xml:space="preserve">e 3: Higher Education, Research, </w:t>
      </w:r>
      <w:r w:rsidRPr="00075D25">
        <w:t>International</w:t>
      </w:r>
      <w:r>
        <w:t>, Skills and Training</w:t>
      </w:r>
    </w:p>
    <w:p w:rsidR="00735613" w:rsidRPr="00075D25" w:rsidRDefault="00735613" w:rsidP="00735613">
      <w:pPr>
        <w:pStyle w:val="NotesText0"/>
      </w:pPr>
      <w:r w:rsidRPr="00075D25">
        <w:t>The department</w:t>
      </w:r>
      <w:r>
        <w:t xml:space="preserve">’s responsibilities changed as a result of the Administrative Arrangement Orders (AAO) that took effect on </w:t>
      </w:r>
      <w:r>
        <w:br/>
        <w:t xml:space="preserve">23 December 2014.  Responsibility for skills and training transferred from the former Department of Industry.  Skills and training objectives and programmes are reported under Outcome 3.  Responsibility for child care and early childhood development transferred to the Department of Social Services.  The transfer of function encompassed programme 1.1 (except for the Australian Early Development Census), programme 1.2, programme 1.3 and programme 1.4 (except for preschool education elements).  </w:t>
      </w:r>
    </w:p>
    <w:p w:rsidR="00735613" w:rsidRPr="00075D25" w:rsidRDefault="00735613" w:rsidP="00735613">
      <w:pPr>
        <w:pStyle w:val="NotesText0"/>
      </w:pPr>
      <w:r w:rsidRPr="00075D25">
        <w:t>The continued existence of the department in its present form and with its present program</w:t>
      </w:r>
      <w:r>
        <w:t>me</w:t>
      </w:r>
      <w:r w:rsidRPr="00075D25">
        <w:t>s is dependent on Government policy and on continuing funding by Parliament for the department’s administration and program</w:t>
      </w:r>
      <w:r>
        <w:t>me</w:t>
      </w:r>
      <w:r w:rsidRPr="00075D25">
        <w:t>s.</w:t>
      </w:r>
    </w:p>
    <w:p w:rsidR="00735613" w:rsidRDefault="00735613" w:rsidP="00735613">
      <w:pPr>
        <w:pStyle w:val="NotesText0"/>
      </w:pPr>
      <w:r w:rsidRPr="00075D25">
        <w:t>The department’s activities contributing toward these outcomes are classified as either departmental or administered.  Departmental activities involve the use of assets, liabilities, income and expenses controlled or incurred by the department in its own right.  Administered activities involve the management or oversight by the department, on behalf of the Government, of items controlled or incurred by the Government.</w:t>
      </w:r>
      <w:r>
        <w:tab/>
      </w:r>
    </w:p>
    <w:p w:rsidR="00735613" w:rsidRDefault="00735613" w:rsidP="00735613">
      <w:pPr>
        <w:pStyle w:val="SAPHeading-Level2"/>
        <w:numPr>
          <w:ilvl w:val="1"/>
          <w:numId w:val="15"/>
        </w:numPr>
      </w:pPr>
      <w:r>
        <w:t>Basis of Preparation of the Financial Statements</w:t>
      </w:r>
    </w:p>
    <w:p w:rsidR="00735613" w:rsidRPr="00075D25" w:rsidRDefault="00735613" w:rsidP="00735613">
      <w:pPr>
        <w:pStyle w:val="NotesText0"/>
      </w:pPr>
      <w:r w:rsidRPr="00075D25">
        <w:t>The financial statements are general purpose financial statements and are required by section 4</w:t>
      </w:r>
      <w:r>
        <w:t>2</w:t>
      </w:r>
      <w:r w:rsidRPr="00075D25">
        <w:t xml:space="preserve"> of the</w:t>
      </w:r>
      <w:r w:rsidRPr="00075D25">
        <w:rPr>
          <w:bCs/>
        </w:rPr>
        <w:t xml:space="preserve"> </w:t>
      </w:r>
      <w:r>
        <w:rPr>
          <w:bCs/>
          <w:i/>
        </w:rPr>
        <w:t>Public Governance, Performance and Accountability Act 2013(PGPA Act)</w:t>
      </w:r>
      <w:r w:rsidRPr="00075D25">
        <w:t>.</w:t>
      </w:r>
    </w:p>
    <w:p w:rsidR="00735613" w:rsidRPr="00075D25" w:rsidRDefault="00735613" w:rsidP="00735613">
      <w:pPr>
        <w:pStyle w:val="NotesText0"/>
      </w:pPr>
      <w:r w:rsidRPr="00075D25">
        <w:t>The financial statements have been prepared in accordance with:</w:t>
      </w:r>
    </w:p>
    <w:p w:rsidR="00735613" w:rsidRPr="008104A5" w:rsidRDefault="00735613" w:rsidP="00735613">
      <w:pPr>
        <w:pStyle w:val="NotesText0"/>
        <w:numPr>
          <w:ilvl w:val="0"/>
          <w:numId w:val="27"/>
        </w:numPr>
      </w:pPr>
      <w:r w:rsidRPr="00F03562">
        <w:rPr>
          <w:i/>
        </w:rPr>
        <w:t>PGPA</w:t>
      </w:r>
      <w:r>
        <w:rPr>
          <w:i/>
        </w:rPr>
        <w:t xml:space="preserve"> </w:t>
      </w:r>
      <w:r w:rsidRPr="007D3EBD">
        <w:t>Act</w:t>
      </w:r>
      <w:r w:rsidRPr="00F03562">
        <w:rPr>
          <w:i/>
        </w:rPr>
        <w:t xml:space="preserve"> (Financial Reporting Rule) 2015</w:t>
      </w:r>
      <w:r>
        <w:t xml:space="preserve"> (FRR) for reporting</w:t>
      </w:r>
      <w:r w:rsidRPr="008104A5">
        <w:t xml:space="preserve"> periods </w:t>
      </w:r>
      <w:r>
        <w:t>commencing 1 July 2014; and</w:t>
      </w:r>
    </w:p>
    <w:p w:rsidR="00735613" w:rsidRPr="008104A5" w:rsidRDefault="00735613" w:rsidP="00735613">
      <w:pPr>
        <w:pStyle w:val="NotesText0"/>
        <w:numPr>
          <w:ilvl w:val="0"/>
          <w:numId w:val="27"/>
        </w:numPr>
      </w:pPr>
      <w:r w:rsidRPr="008104A5">
        <w:t>Australian Accounting Standards and Interpretations issued by the Australian Accounting Standards Board (AASB) that apply for the reporting period.</w:t>
      </w:r>
    </w:p>
    <w:p w:rsidR="00735613" w:rsidRPr="00075D25" w:rsidRDefault="00735613" w:rsidP="00735613">
      <w:pPr>
        <w:pStyle w:val="NotesText0"/>
      </w:pPr>
      <w:r w:rsidRPr="00075D25">
        <w:t xml:space="preserve">The financial statements have been prepared on an accrual basis and are in accordance with the historical cost convention, except for certain assets </w:t>
      </w:r>
      <w:r>
        <w:t xml:space="preserve">and liabilities at fair value. </w:t>
      </w:r>
      <w:r w:rsidRPr="00075D25">
        <w:t>Except where stated, no allowance is made for the effect of changing prices on the results or the financial position.</w:t>
      </w:r>
    </w:p>
    <w:p w:rsidR="00735613" w:rsidRPr="00075D25" w:rsidRDefault="00735613" w:rsidP="00735613">
      <w:pPr>
        <w:pStyle w:val="NotesText0"/>
      </w:pPr>
      <w:r w:rsidRPr="00075D25">
        <w:t>The financial statements are presented in Australian dollars and values are rounded to the nearest thousand dollars unless otherwise specified.</w:t>
      </w:r>
    </w:p>
    <w:p w:rsidR="00735613" w:rsidRDefault="00735613" w:rsidP="00735613">
      <w:pPr>
        <w:pStyle w:val="SAPHeading-Level2"/>
        <w:numPr>
          <w:ilvl w:val="1"/>
          <w:numId w:val="15"/>
        </w:numPr>
      </w:pPr>
      <w:r>
        <w:t xml:space="preserve">Significant Accounting Judgements and Estimates </w:t>
      </w:r>
    </w:p>
    <w:p w:rsidR="00735613" w:rsidRPr="00075D25" w:rsidRDefault="00735613" w:rsidP="00735613">
      <w:pPr>
        <w:pStyle w:val="NotesText0"/>
      </w:pPr>
      <w:r w:rsidRPr="00075D25">
        <w:t xml:space="preserve">In the process of applying the accounting policies listed in this note, the department has not identified accounting assumptions or estimates that have a significant risk of causing a material adjustment to carrying amounts of assets and liabilities within the next reporting period. </w:t>
      </w:r>
    </w:p>
    <w:p w:rsidR="00735613" w:rsidRPr="00075D25" w:rsidRDefault="00735613" w:rsidP="00735613">
      <w:pPr>
        <w:pStyle w:val="NotesText0"/>
      </w:pPr>
      <w:r w:rsidRPr="00075D25">
        <w:t>During the 201</w:t>
      </w:r>
      <w:r>
        <w:t>4–15</w:t>
      </w:r>
      <w:r w:rsidRPr="00075D25">
        <w:t xml:space="preserve"> financial year the department made the following judgements that had a significant impact on the amounts recorded in the financial statements.</w:t>
      </w:r>
    </w:p>
    <w:p w:rsidR="00735613" w:rsidRPr="00894761" w:rsidRDefault="00735613" w:rsidP="00735613">
      <w:pPr>
        <w:pStyle w:val="GreyShadeTableBreak"/>
        <w:spacing w:before="100" w:after="100" w:line="240" w:lineRule="auto"/>
        <w:rPr>
          <w:u w:val="single"/>
        </w:rPr>
      </w:pPr>
      <w:bookmarkStart w:id="87" w:name="_Toc419266935"/>
      <w:r w:rsidRPr="00894761">
        <w:rPr>
          <w:u w:val="single"/>
        </w:rPr>
        <w:t>Higher Education Loan Program</w:t>
      </w:r>
      <w:bookmarkEnd w:id="87"/>
    </w:p>
    <w:p w:rsidR="00735613" w:rsidRPr="00894761" w:rsidRDefault="00735613" w:rsidP="00735613">
      <w:pPr>
        <w:pStyle w:val="GreyShadeTableBreak"/>
        <w:spacing w:before="100" w:after="100" w:line="240" w:lineRule="auto"/>
      </w:pPr>
      <w:r w:rsidRPr="00894761">
        <w:t xml:space="preserve">The value of the Higher Education Loan Program (HELP) receivable is calculated each year by actuarial assessment. The two main measures impacting on the calculation of the HELP asset are the face value of the debt not expected to be repaid and the fair value of the remaining receivable, calculated as the present value of projected future cash flows.    </w:t>
      </w:r>
    </w:p>
    <w:p w:rsidR="00735613" w:rsidRPr="00894761" w:rsidDel="008B4962" w:rsidRDefault="00735613" w:rsidP="00735613">
      <w:pPr>
        <w:pStyle w:val="GreyShadeTableBreak"/>
        <w:spacing w:before="100" w:after="100" w:line="240" w:lineRule="auto"/>
        <w:rPr>
          <w:u w:val="single"/>
        </w:rPr>
      </w:pPr>
      <w:bookmarkStart w:id="88" w:name="_Toc419266936"/>
      <w:r w:rsidRPr="00894761" w:rsidDel="008B4962">
        <w:rPr>
          <w:u w:val="single"/>
        </w:rPr>
        <w:t>Unfunded University Superannuation</w:t>
      </w:r>
      <w:bookmarkEnd w:id="88"/>
    </w:p>
    <w:p w:rsidR="00735613" w:rsidRPr="00894761" w:rsidDel="008B4962" w:rsidRDefault="00735613" w:rsidP="00735613">
      <w:pPr>
        <w:pStyle w:val="GreyShadeTableBreak"/>
        <w:spacing w:before="100" w:after="100" w:line="240" w:lineRule="auto"/>
      </w:pPr>
      <w:r>
        <w:t>The fair value of the p</w:t>
      </w:r>
      <w:r w:rsidRPr="00894761" w:rsidDel="008B4962">
        <w:t xml:space="preserve">rovision for </w:t>
      </w:r>
      <w:r>
        <w:t>Higher Education Superannuation in 2014–15</w:t>
      </w:r>
      <w:r w:rsidRPr="00894761" w:rsidDel="008B4962">
        <w:t xml:space="preserve"> $</w:t>
      </w:r>
      <w:r w:rsidRPr="00894761">
        <w:t>6.068</w:t>
      </w:r>
      <w:r w:rsidRPr="00894761" w:rsidDel="008B4962">
        <w:t xml:space="preserve"> billion (2014 $6.</w:t>
      </w:r>
      <w:r w:rsidRPr="00894761">
        <w:t>868</w:t>
      </w:r>
      <w:r w:rsidRPr="00894761" w:rsidDel="008B4962">
        <w:t xml:space="preserve"> billion) is calculated annually by actuarial assessment. The provision is valued in accordance with the requirements of </w:t>
      </w:r>
      <w:r w:rsidRPr="00803335" w:rsidDel="008B4962">
        <w:rPr>
          <w:i/>
        </w:rPr>
        <w:t>AASB119, Employee Benefits</w:t>
      </w:r>
      <w:r w:rsidRPr="00894761" w:rsidDel="008B4962">
        <w:t xml:space="preserve">.  The discount rate used is based on the yields available on government bonds. The prevailing rate as at 30 June 2015 is </w:t>
      </w:r>
      <w:r w:rsidRPr="00894761">
        <w:t>3.7</w:t>
      </w:r>
      <w:r w:rsidRPr="00894761" w:rsidDel="008B4962">
        <w:t>% (2014 4.1%).</w:t>
      </w:r>
    </w:p>
    <w:p w:rsidR="00735613" w:rsidRDefault="00735613" w:rsidP="00735613">
      <w:pPr>
        <w:pStyle w:val="SAPHeading-Level2"/>
        <w:numPr>
          <w:ilvl w:val="1"/>
          <w:numId w:val="15"/>
        </w:numPr>
      </w:pPr>
      <w:r>
        <w:br w:type="page"/>
      </w:r>
    </w:p>
    <w:p w:rsidR="00735613" w:rsidRDefault="00735613" w:rsidP="00735613">
      <w:pPr>
        <w:pStyle w:val="SAPHeading-Level2"/>
        <w:numPr>
          <w:ilvl w:val="1"/>
          <w:numId w:val="15"/>
        </w:numPr>
      </w:pPr>
      <w:r>
        <w:t>New Australian Accounting Standards</w:t>
      </w:r>
    </w:p>
    <w:p w:rsidR="00735613" w:rsidRPr="008104A5" w:rsidRDefault="00735613" w:rsidP="00735613">
      <w:pPr>
        <w:pStyle w:val="NotesText0"/>
        <w:rPr>
          <w:i/>
        </w:rPr>
      </w:pPr>
      <w:r w:rsidRPr="008104A5">
        <w:rPr>
          <w:i/>
        </w:rPr>
        <w:t>Adoption of New Australian Accounting Standard Requirements</w:t>
      </w:r>
    </w:p>
    <w:p w:rsidR="00735613" w:rsidRPr="00B80AD3" w:rsidRDefault="00735613" w:rsidP="00735613">
      <w:pPr>
        <w:rPr>
          <w:szCs w:val="18"/>
        </w:rPr>
      </w:pPr>
      <w:r w:rsidRPr="00B80AD3">
        <w:rPr>
          <w:szCs w:val="18"/>
        </w:rPr>
        <w:t>The following new standard was issued by the Australian Accounting Standards Board prior to the signing of the statement by the Chief Executive and Chief Finance Officer and had a material effect on the department’s financial statements:</w:t>
      </w:r>
    </w:p>
    <w:tbl>
      <w:tblPr>
        <w:tblW w:w="9087" w:type="dxa"/>
        <w:tblInd w:w="93" w:type="dxa"/>
        <w:tblCellMar>
          <w:left w:w="0" w:type="dxa"/>
          <w:right w:w="0" w:type="dxa"/>
        </w:tblCellMar>
        <w:tblLook w:val="04A0" w:firstRow="1" w:lastRow="0" w:firstColumn="1" w:lastColumn="0" w:noHBand="0" w:noVBand="1"/>
      </w:tblPr>
      <w:tblGrid>
        <w:gridCol w:w="1575"/>
        <w:gridCol w:w="7512"/>
      </w:tblGrid>
      <w:tr w:rsidR="00735613" w:rsidTr="00735613">
        <w:trPr>
          <w:trHeight w:val="414"/>
        </w:trPr>
        <w:tc>
          <w:tcPr>
            <w:tcW w:w="1575" w:type="dxa"/>
            <w:noWrap/>
            <w:tcMar>
              <w:top w:w="0" w:type="dxa"/>
              <w:left w:w="108" w:type="dxa"/>
              <w:bottom w:w="0" w:type="dxa"/>
              <w:right w:w="108" w:type="dxa"/>
            </w:tcMar>
            <w:hideMark/>
          </w:tcPr>
          <w:p w:rsidR="00735613" w:rsidRPr="00803335" w:rsidRDefault="00735613" w:rsidP="00735613">
            <w:pPr>
              <w:rPr>
                <w:rFonts w:eastAsiaTheme="minorHAnsi" w:cs="Calibri"/>
                <w:color w:val="000000"/>
                <w:szCs w:val="18"/>
              </w:rPr>
            </w:pPr>
            <w:r w:rsidRPr="00803335">
              <w:rPr>
                <w:color w:val="000000"/>
                <w:szCs w:val="18"/>
              </w:rPr>
              <w:t>AASB 1055</w:t>
            </w:r>
          </w:p>
        </w:tc>
        <w:tc>
          <w:tcPr>
            <w:tcW w:w="7512" w:type="dxa"/>
            <w:tcMar>
              <w:top w:w="0" w:type="dxa"/>
              <w:left w:w="108" w:type="dxa"/>
              <w:bottom w:w="0" w:type="dxa"/>
              <w:right w:w="108" w:type="dxa"/>
            </w:tcMar>
            <w:hideMark/>
          </w:tcPr>
          <w:p w:rsidR="00735613" w:rsidRPr="00803335" w:rsidRDefault="00735613" w:rsidP="00735613">
            <w:pPr>
              <w:rPr>
                <w:color w:val="000000"/>
                <w:szCs w:val="18"/>
              </w:rPr>
            </w:pPr>
            <w:r w:rsidRPr="00803335">
              <w:rPr>
                <w:color w:val="000000"/>
                <w:szCs w:val="18"/>
              </w:rPr>
              <w:t>Budgetary Reporting - March 2013 (Principal)</w:t>
            </w:r>
            <w:r>
              <w:rPr>
                <w:color w:val="000000"/>
                <w:szCs w:val="18"/>
              </w:rPr>
              <w:t xml:space="preserve"> </w:t>
            </w:r>
            <w:r w:rsidRPr="00803335">
              <w:rPr>
                <w:color w:val="000000"/>
                <w:szCs w:val="18"/>
              </w:rPr>
              <w:t>–</w:t>
            </w:r>
            <w:r>
              <w:rPr>
                <w:color w:val="000000"/>
                <w:szCs w:val="18"/>
              </w:rPr>
              <w:t xml:space="preserve"> </w:t>
            </w:r>
            <w:r w:rsidRPr="00803335">
              <w:rPr>
                <w:color w:val="000000"/>
                <w:szCs w:val="18"/>
              </w:rPr>
              <w:t>requires reporting of budgetary information by not-for-profit entities within the General Government Sector (however comparative information is not required. In particular:</w:t>
            </w:r>
          </w:p>
          <w:p w:rsidR="00735613" w:rsidRPr="00803335" w:rsidRDefault="00735613" w:rsidP="00735613">
            <w:pPr>
              <w:pStyle w:val="ListParagraph"/>
              <w:numPr>
                <w:ilvl w:val="0"/>
                <w:numId w:val="33"/>
              </w:numPr>
              <w:rPr>
                <w:rFonts w:eastAsiaTheme="minorHAnsi" w:cs="Calibri"/>
                <w:color w:val="000000"/>
                <w:szCs w:val="18"/>
              </w:rPr>
            </w:pPr>
            <w:r w:rsidRPr="00803335">
              <w:rPr>
                <w:color w:val="000000"/>
                <w:szCs w:val="18"/>
              </w:rPr>
              <w:t>original budget presented to Parliament;</w:t>
            </w:r>
          </w:p>
          <w:p w:rsidR="00735613" w:rsidRPr="00803335" w:rsidRDefault="00735613" w:rsidP="00735613">
            <w:pPr>
              <w:pStyle w:val="ListParagraph"/>
              <w:numPr>
                <w:ilvl w:val="0"/>
                <w:numId w:val="33"/>
              </w:numPr>
              <w:rPr>
                <w:rFonts w:eastAsiaTheme="minorHAnsi" w:cs="Calibri"/>
                <w:color w:val="000000"/>
                <w:szCs w:val="18"/>
              </w:rPr>
            </w:pPr>
            <w:r w:rsidRPr="00803335">
              <w:rPr>
                <w:color w:val="000000"/>
                <w:szCs w:val="18"/>
              </w:rPr>
              <w:t>variance of actuals from budget; and</w:t>
            </w:r>
          </w:p>
          <w:p w:rsidR="00735613" w:rsidRPr="00803335" w:rsidRDefault="00735613" w:rsidP="00735613">
            <w:pPr>
              <w:pStyle w:val="ListParagraph"/>
              <w:numPr>
                <w:ilvl w:val="0"/>
                <w:numId w:val="33"/>
              </w:numPr>
              <w:rPr>
                <w:rFonts w:eastAsiaTheme="minorHAnsi" w:cs="Calibri"/>
                <w:color w:val="000000"/>
                <w:szCs w:val="18"/>
              </w:rPr>
            </w:pPr>
            <w:proofErr w:type="gramStart"/>
            <w:r w:rsidRPr="00803335">
              <w:rPr>
                <w:color w:val="000000"/>
                <w:szCs w:val="18"/>
              </w:rPr>
              <w:t>explanations</w:t>
            </w:r>
            <w:proofErr w:type="gramEnd"/>
            <w:r w:rsidRPr="00803335">
              <w:rPr>
                <w:color w:val="000000"/>
                <w:szCs w:val="18"/>
              </w:rPr>
              <w:t xml:space="preserve"> of significant variances. </w:t>
            </w:r>
          </w:p>
        </w:tc>
      </w:tr>
    </w:tbl>
    <w:p w:rsidR="00735613" w:rsidRDefault="00735613" w:rsidP="00735613">
      <w:pPr>
        <w:rPr>
          <w:szCs w:val="18"/>
        </w:rPr>
      </w:pPr>
      <w:r>
        <w:rPr>
          <w:szCs w:val="18"/>
        </w:rPr>
        <w:t xml:space="preserve">In addition to the above accounting standard applied for the first time, the department has early adopted AASB 2015-7 </w:t>
      </w:r>
      <w:r>
        <w:rPr>
          <w:i/>
          <w:iCs/>
          <w:szCs w:val="18"/>
        </w:rPr>
        <w:t>Amendments to Australian Accounting Standards – Fair Value Disclosures of Not-for-Profit Public Sector Entities</w:t>
      </w:r>
      <w:r>
        <w:rPr>
          <w:szCs w:val="18"/>
        </w:rPr>
        <w:t xml:space="preserve">. AASB 2015-7 amends AASB 13 </w:t>
      </w:r>
      <w:r>
        <w:rPr>
          <w:i/>
          <w:iCs/>
          <w:szCs w:val="18"/>
        </w:rPr>
        <w:t xml:space="preserve">Fair Value Measurement </w:t>
      </w:r>
      <w:r>
        <w:rPr>
          <w:szCs w:val="18"/>
        </w:rPr>
        <w:t>to provide disclosure relief to not-for-profit public sector entities from certain disclosures about the fair value measurements of property, plant and equipment held for their current service potential rather than to generate net cash inflows. This includes relief from disclosures of quantitative information about the significant unobservable inputs used in fair value measurements and of the sensitivity of certain fair value measurements to changes in unobservable inputs.</w:t>
      </w:r>
    </w:p>
    <w:p w:rsidR="00735613" w:rsidRDefault="00735613" w:rsidP="00735613">
      <w:pPr>
        <w:rPr>
          <w:szCs w:val="18"/>
        </w:rPr>
      </w:pPr>
    </w:p>
    <w:p w:rsidR="00735613" w:rsidRDefault="00735613" w:rsidP="00735613">
      <w:r>
        <w:rPr>
          <w:szCs w:val="18"/>
        </w:rPr>
        <w:t>All other new, revised or amending Standards or Interpretations that were issued prior to the sign-off date and are applicable to the current reporting period did not have a material effect, and are not expected to have a future material effect, on the department’s financial statements.</w:t>
      </w:r>
    </w:p>
    <w:p w:rsidR="00735613" w:rsidRPr="008104A5" w:rsidRDefault="00735613" w:rsidP="00735613">
      <w:pPr>
        <w:pStyle w:val="NotesText0"/>
        <w:rPr>
          <w:i/>
        </w:rPr>
      </w:pPr>
      <w:r w:rsidRPr="008104A5">
        <w:rPr>
          <w:i/>
        </w:rPr>
        <w:t>Future Australian Accounting Standard Requirements</w:t>
      </w:r>
    </w:p>
    <w:p w:rsidR="00735613" w:rsidRPr="00AE681F" w:rsidRDefault="00735613" w:rsidP="00735613">
      <w:pPr>
        <w:pStyle w:val="NotesText0"/>
      </w:pPr>
      <w:r w:rsidRPr="00AE681F">
        <w:t>The following new standards, revised standards, interpretations and amending standards were issued by the Australian Accounting Standards Board prior to the sign-off date and apply to the future reporting period, they are expected to have a financial impact on the department for future reporting periods:</w:t>
      </w:r>
    </w:p>
    <w:tbl>
      <w:tblPr>
        <w:tblW w:w="9087" w:type="dxa"/>
        <w:tblInd w:w="93" w:type="dxa"/>
        <w:tblCellMar>
          <w:left w:w="0" w:type="dxa"/>
          <w:right w:w="0" w:type="dxa"/>
        </w:tblCellMar>
        <w:tblLook w:val="04A0" w:firstRow="1" w:lastRow="0" w:firstColumn="1" w:lastColumn="0" w:noHBand="0" w:noVBand="1"/>
      </w:tblPr>
      <w:tblGrid>
        <w:gridCol w:w="1575"/>
        <w:gridCol w:w="7512"/>
      </w:tblGrid>
      <w:tr w:rsidR="00735613" w:rsidTr="00735613">
        <w:trPr>
          <w:trHeight w:val="414"/>
        </w:trPr>
        <w:tc>
          <w:tcPr>
            <w:tcW w:w="1575" w:type="dxa"/>
            <w:noWrap/>
            <w:tcMar>
              <w:top w:w="0" w:type="dxa"/>
              <w:left w:w="108" w:type="dxa"/>
              <w:bottom w:w="0" w:type="dxa"/>
              <w:right w:w="108" w:type="dxa"/>
            </w:tcMar>
          </w:tcPr>
          <w:p w:rsidR="00735613" w:rsidRPr="00803335" w:rsidRDefault="00735613" w:rsidP="00735613">
            <w:pPr>
              <w:rPr>
                <w:color w:val="000000"/>
                <w:szCs w:val="18"/>
              </w:rPr>
            </w:pPr>
            <w:r w:rsidRPr="00803335">
              <w:rPr>
                <w:color w:val="000000"/>
                <w:szCs w:val="18"/>
              </w:rPr>
              <w:t>AASB 15</w:t>
            </w:r>
          </w:p>
        </w:tc>
        <w:tc>
          <w:tcPr>
            <w:tcW w:w="7512" w:type="dxa"/>
            <w:tcMar>
              <w:top w:w="0" w:type="dxa"/>
              <w:left w:w="108" w:type="dxa"/>
              <w:bottom w:w="0" w:type="dxa"/>
              <w:right w:w="108" w:type="dxa"/>
            </w:tcMar>
          </w:tcPr>
          <w:p w:rsidR="00735613" w:rsidRPr="00803335" w:rsidRDefault="00735613" w:rsidP="00735613">
            <w:pPr>
              <w:rPr>
                <w:rFonts w:cs="Calibri"/>
                <w:color w:val="000000"/>
                <w:szCs w:val="18"/>
              </w:rPr>
            </w:pPr>
            <w:r w:rsidRPr="00803335">
              <w:rPr>
                <w:rFonts w:cs="Calibri"/>
                <w:color w:val="000000"/>
                <w:szCs w:val="18"/>
              </w:rPr>
              <w:t>Revenue from Contracts with Customers – specifies the accounting treatment for all revenue arising from contracts with customers. The department is yet to undertake a detailed assessment of the impact of AASB15 however this is not expected to have a material impact.</w:t>
            </w:r>
          </w:p>
        </w:tc>
      </w:tr>
      <w:tr w:rsidR="00735613" w:rsidRPr="00EF3318" w:rsidTr="00735613">
        <w:tblPrEx>
          <w:tblCellMar>
            <w:left w:w="108" w:type="dxa"/>
            <w:right w:w="108" w:type="dxa"/>
          </w:tblCellMar>
        </w:tblPrEx>
        <w:trPr>
          <w:trHeight w:val="410"/>
        </w:trPr>
        <w:tc>
          <w:tcPr>
            <w:tcW w:w="1575" w:type="dxa"/>
            <w:noWrap/>
          </w:tcPr>
          <w:p w:rsidR="00735613" w:rsidRPr="00803335" w:rsidRDefault="00735613" w:rsidP="00735613">
            <w:pPr>
              <w:rPr>
                <w:rFonts w:asciiTheme="minorHAnsi" w:hAnsiTheme="minorHAnsi" w:cstheme="minorHAnsi"/>
                <w:color w:val="000000"/>
                <w:szCs w:val="18"/>
              </w:rPr>
            </w:pPr>
            <w:r w:rsidRPr="00803335">
              <w:rPr>
                <w:rFonts w:asciiTheme="minorHAnsi" w:hAnsiTheme="minorHAnsi" w:cstheme="minorHAnsi"/>
                <w:color w:val="000000"/>
                <w:szCs w:val="18"/>
              </w:rPr>
              <w:t>AASB 9</w:t>
            </w:r>
          </w:p>
          <w:p w:rsidR="00735613" w:rsidRPr="00803335" w:rsidRDefault="00735613" w:rsidP="00735613">
            <w:pPr>
              <w:rPr>
                <w:rFonts w:asciiTheme="minorHAnsi" w:hAnsiTheme="minorHAnsi" w:cstheme="minorHAnsi"/>
                <w:color w:val="000000"/>
                <w:szCs w:val="18"/>
              </w:rPr>
            </w:pPr>
          </w:p>
          <w:p w:rsidR="00735613" w:rsidRPr="00803335" w:rsidRDefault="00735613" w:rsidP="00735613">
            <w:pPr>
              <w:rPr>
                <w:rFonts w:asciiTheme="minorHAnsi" w:hAnsiTheme="minorHAnsi" w:cstheme="minorHAnsi"/>
                <w:color w:val="000000"/>
                <w:szCs w:val="18"/>
              </w:rPr>
            </w:pPr>
          </w:p>
        </w:tc>
        <w:tc>
          <w:tcPr>
            <w:tcW w:w="7512" w:type="dxa"/>
          </w:tcPr>
          <w:p w:rsidR="00735613" w:rsidRPr="00803335" w:rsidRDefault="00735613" w:rsidP="00735613">
            <w:pPr>
              <w:rPr>
                <w:rFonts w:asciiTheme="minorHAnsi" w:hAnsiTheme="minorHAnsi" w:cstheme="minorHAnsi"/>
                <w:color w:val="000000"/>
                <w:szCs w:val="18"/>
              </w:rPr>
            </w:pPr>
            <w:r>
              <w:rPr>
                <w:rFonts w:asciiTheme="minorHAnsi" w:hAnsiTheme="minorHAnsi" w:cstheme="minorHAnsi"/>
                <w:color w:val="000000"/>
                <w:szCs w:val="18"/>
              </w:rPr>
              <w:t xml:space="preserve">Financial Instruments </w:t>
            </w:r>
            <w:r w:rsidRPr="00803335">
              <w:rPr>
                <w:rFonts w:asciiTheme="minorHAnsi" w:hAnsiTheme="minorHAnsi" w:cstheme="minorHAnsi"/>
                <w:color w:val="000000"/>
                <w:szCs w:val="18"/>
              </w:rPr>
              <w:t>–</w:t>
            </w:r>
            <w:r>
              <w:rPr>
                <w:rFonts w:asciiTheme="minorHAnsi" w:hAnsiTheme="minorHAnsi" w:cstheme="minorHAnsi"/>
                <w:color w:val="000000"/>
                <w:szCs w:val="18"/>
              </w:rPr>
              <w:t xml:space="preserve"> </w:t>
            </w:r>
            <w:r w:rsidRPr="00803335">
              <w:rPr>
                <w:rFonts w:asciiTheme="minorHAnsi" w:hAnsiTheme="minorHAnsi" w:cstheme="minorHAnsi"/>
                <w:color w:val="000000"/>
                <w:szCs w:val="18"/>
              </w:rPr>
              <w:t>Applies from 1 January 2017 to all entities.  Potential impact on measurement of post initial recognition and recognition of gains and losses from financial instruments is yet to be assessed.</w:t>
            </w:r>
          </w:p>
        </w:tc>
      </w:tr>
      <w:tr w:rsidR="00735613" w:rsidRPr="00EF3318" w:rsidTr="00735613">
        <w:tblPrEx>
          <w:tblCellMar>
            <w:left w:w="108" w:type="dxa"/>
            <w:right w:w="108" w:type="dxa"/>
          </w:tblCellMar>
        </w:tblPrEx>
        <w:trPr>
          <w:trHeight w:val="410"/>
        </w:trPr>
        <w:tc>
          <w:tcPr>
            <w:tcW w:w="1575" w:type="dxa"/>
            <w:noWrap/>
          </w:tcPr>
          <w:p w:rsidR="00735613" w:rsidRPr="00803335" w:rsidRDefault="00735613" w:rsidP="00735613">
            <w:pPr>
              <w:rPr>
                <w:rFonts w:asciiTheme="minorHAnsi" w:hAnsiTheme="minorHAnsi" w:cstheme="minorHAnsi"/>
                <w:color w:val="000000"/>
                <w:szCs w:val="18"/>
              </w:rPr>
            </w:pPr>
            <w:r w:rsidRPr="00803335">
              <w:rPr>
                <w:rFonts w:asciiTheme="minorHAnsi" w:hAnsiTheme="minorHAnsi" w:cstheme="minorHAnsi"/>
                <w:color w:val="000000"/>
                <w:szCs w:val="18"/>
              </w:rPr>
              <w:t>AASB 2010-7</w:t>
            </w:r>
          </w:p>
          <w:p w:rsidR="00735613" w:rsidRPr="00803335" w:rsidRDefault="00735613" w:rsidP="00735613">
            <w:pPr>
              <w:rPr>
                <w:rFonts w:asciiTheme="minorHAnsi" w:hAnsiTheme="minorHAnsi" w:cstheme="minorHAnsi"/>
                <w:color w:val="000000"/>
                <w:szCs w:val="18"/>
              </w:rPr>
            </w:pPr>
          </w:p>
          <w:p w:rsidR="00735613" w:rsidRPr="00803335" w:rsidRDefault="00735613" w:rsidP="00735613">
            <w:pPr>
              <w:rPr>
                <w:rFonts w:asciiTheme="minorHAnsi" w:hAnsiTheme="minorHAnsi" w:cstheme="minorHAnsi"/>
                <w:color w:val="000000"/>
                <w:szCs w:val="18"/>
              </w:rPr>
            </w:pPr>
          </w:p>
        </w:tc>
        <w:tc>
          <w:tcPr>
            <w:tcW w:w="7512" w:type="dxa"/>
          </w:tcPr>
          <w:p w:rsidR="00735613" w:rsidRPr="00803335" w:rsidRDefault="00735613" w:rsidP="00735613">
            <w:pPr>
              <w:rPr>
                <w:rFonts w:asciiTheme="minorHAnsi" w:hAnsiTheme="minorHAnsi" w:cstheme="minorHAnsi"/>
                <w:color w:val="000000"/>
                <w:szCs w:val="18"/>
              </w:rPr>
            </w:pPr>
            <w:r w:rsidRPr="00803335">
              <w:rPr>
                <w:rFonts w:asciiTheme="minorHAnsi" w:hAnsiTheme="minorHAnsi" w:cstheme="minorHAnsi"/>
                <w:color w:val="000000"/>
                <w:szCs w:val="18"/>
              </w:rPr>
              <w:t>Amendments to Australian Accounting Standards arising from AASB 9</w:t>
            </w:r>
            <w:r>
              <w:rPr>
                <w:rFonts w:asciiTheme="minorHAnsi" w:hAnsiTheme="minorHAnsi" w:cstheme="minorHAnsi"/>
                <w:color w:val="000000"/>
                <w:szCs w:val="18"/>
              </w:rPr>
              <w:t xml:space="preserve"> - o</w:t>
            </w:r>
            <w:r w:rsidRPr="00803335">
              <w:rPr>
                <w:rFonts w:asciiTheme="minorHAnsi" w:hAnsiTheme="minorHAnsi" w:cstheme="minorHAnsi"/>
                <w:color w:val="000000"/>
                <w:szCs w:val="18"/>
              </w:rPr>
              <w:t>perative from 1 January 2018.</w:t>
            </w:r>
          </w:p>
        </w:tc>
      </w:tr>
    </w:tbl>
    <w:p w:rsidR="00735613" w:rsidRDefault="00735613" w:rsidP="00735613">
      <w:pPr>
        <w:pStyle w:val="SAPHeading-Level2"/>
        <w:numPr>
          <w:ilvl w:val="1"/>
          <w:numId w:val="15"/>
        </w:numPr>
      </w:pPr>
      <w:r>
        <w:t>Revenue</w:t>
      </w:r>
    </w:p>
    <w:p w:rsidR="00735613" w:rsidRDefault="00735613" w:rsidP="00735613">
      <w:pPr>
        <w:pStyle w:val="AdminBlankGreyShade"/>
      </w:pPr>
      <w:r>
        <w:t>Revenue from rendering of services is recognised by reference to the stage of completion of contracts at the reporting date. The revenue is recognised when:</w:t>
      </w:r>
    </w:p>
    <w:p w:rsidR="00735613" w:rsidRPr="008104A5" w:rsidRDefault="00735613" w:rsidP="00735613">
      <w:pPr>
        <w:pStyle w:val="BulletKPMG"/>
        <w:numPr>
          <w:ilvl w:val="0"/>
          <w:numId w:val="16"/>
        </w:numPr>
        <w:rPr>
          <w:rFonts w:asciiTheme="minorHAnsi" w:hAnsiTheme="minorHAnsi" w:cstheme="minorHAnsi"/>
          <w:sz w:val="18"/>
          <w:szCs w:val="18"/>
          <w:lang w:val="en-AU"/>
        </w:rPr>
      </w:pPr>
      <w:r w:rsidRPr="008104A5">
        <w:rPr>
          <w:rFonts w:asciiTheme="minorHAnsi" w:hAnsiTheme="minorHAnsi" w:cstheme="minorHAnsi"/>
          <w:sz w:val="18"/>
          <w:szCs w:val="18"/>
          <w:lang w:val="en-AU"/>
        </w:rPr>
        <w:t>the amount of revenue, stage of completion and transaction costs incurred can be reliably measured</w:t>
      </w:r>
      <w:r>
        <w:rPr>
          <w:rFonts w:asciiTheme="minorHAnsi" w:hAnsiTheme="minorHAnsi" w:cstheme="minorHAnsi"/>
          <w:sz w:val="18"/>
          <w:szCs w:val="18"/>
          <w:lang w:val="en-AU"/>
        </w:rPr>
        <w:t>; and</w:t>
      </w:r>
    </w:p>
    <w:p w:rsidR="00735613" w:rsidRPr="008104A5" w:rsidRDefault="00735613" w:rsidP="00735613">
      <w:pPr>
        <w:pStyle w:val="BulletKPMG"/>
        <w:numPr>
          <w:ilvl w:val="0"/>
          <w:numId w:val="16"/>
        </w:numPr>
        <w:rPr>
          <w:rFonts w:asciiTheme="minorHAnsi" w:hAnsiTheme="minorHAnsi" w:cstheme="minorHAnsi"/>
          <w:sz w:val="18"/>
          <w:szCs w:val="18"/>
          <w:lang w:val="en-AU"/>
        </w:rPr>
      </w:pPr>
      <w:proofErr w:type="gramStart"/>
      <w:r w:rsidRPr="008104A5">
        <w:rPr>
          <w:rFonts w:asciiTheme="minorHAnsi" w:hAnsiTheme="minorHAnsi" w:cstheme="minorHAnsi"/>
          <w:sz w:val="18"/>
          <w:szCs w:val="18"/>
          <w:lang w:val="en-AU"/>
        </w:rPr>
        <w:t>the</w:t>
      </w:r>
      <w:proofErr w:type="gramEnd"/>
      <w:r w:rsidRPr="008104A5">
        <w:rPr>
          <w:rFonts w:asciiTheme="minorHAnsi" w:hAnsiTheme="minorHAnsi" w:cstheme="minorHAnsi"/>
          <w:sz w:val="18"/>
          <w:szCs w:val="18"/>
          <w:lang w:val="en-AU"/>
        </w:rPr>
        <w:t xml:space="preserve"> probable economic benefits associated with the transaction will flow to the department.</w:t>
      </w:r>
    </w:p>
    <w:p w:rsidR="00735613" w:rsidRPr="00075D25" w:rsidRDefault="00735613" w:rsidP="00735613">
      <w:pPr>
        <w:pStyle w:val="NotesText0"/>
      </w:pPr>
      <w:r w:rsidRPr="00075D25">
        <w:t>The stage of completion of contracts at the reporting date is determined by reference to the proportion that costs incurred to date bear to the estimated total costs of the transaction.</w:t>
      </w:r>
    </w:p>
    <w:p w:rsidR="00735613" w:rsidRPr="008104A5" w:rsidRDefault="00735613" w:rsidP="00735613">
      <w:pPr>
        <w:pStyle w:val="NotesText0"/>
        <w:rPr>
          <w:i/>
        </w:rPr>
      </w:pPr>
      <w:r w:rsidRPr="008104A5">
        <w:rPr>
          <w:i/>
        </w:rPr>
        <w:t>Revenue from Government</w:t>
      </w:r>
    </w:p>
    <w:p w:rsidR="00735613" w:rsidRPr="00075D25" w:rsidRDefault="00735613" w:rsidP="00735613">
      <w:pPr>
        <w:pStyle w:val="NotesText0"/>
      </w:pPr>
      <w:r w:rsidRPr="00075D25">
        <w:t>Amounts appropriated for departmental appropriations for the year (adjusted for any formal additions and reductions) are recognised as Revenue from Government when the department gains control of the appropriation, except for certain amounts that relate to activities that are reciprocal in nature, in which case revenue is recognised only when it has been earned.</w:t>
      </w:r>
    </w:p>
    <w:p w:rsidR="00735613" w:rsidRPr="00075D25" w:rsidRDefault="00735613" w:rsidP="00735613">
      <w:pPr>
        <w:pStyle w:val="NotesText0"/>
      </w:pPr>
      <w:r w:rsidRPr="00075D25">
        <w:t>Appropriations receivable are recognised at their nominal amounts.</w:t>
      </w:r>
    </w:p>
    <w:p w:rsidR="00735613" w:rsidRDefault="00735613" w:rsidP="00735613">
      <w:pPr>
        <w:pStyle w:val="SAPHeading-Level2"/>
        <w:numPr>
          <w:ilvl w:val="1"/>
          <w:numId w:val="15"/>
        </w:numPr>
      </w:pPr>
      <w:r>
        <w:br w:type="page"/>
        <w:t>Gains</w:t>
      </w:r>
    </w:p>
    <w:p w:rsidR="00735613" w:rsidRPr="00BC79B6" w:rsidRDefault="00735613" w:rsidP="00735613">
      <w:pPr>
        <w:pStyle w:val="NotesText0"/>
        <w:rPr>
          <w:i/>
        </w:rPr>
      </w:pPr>
      <w:r w:rsidRPr="00BC79B6">
        <w:rPr>
          <w:i/>
        </w:rPr>
        <w:t>Resources received free of charge</w:t>
      </w:r>
    </w:p>
    <w:p w:rsidR="00735613" w:rsidRPr="00075D25" w:rsidRDefault="00735613" w:rsidP="00735613">
      <w:pPr>
        <w:pStyle w:val="NotesText0"/>
      </w:pPr>
      <w:r w:rsidRPr="00075D25">
        <w:t>Resources received free of charge are recognised as gains when, and only when, a fair value can be reliably determined and the services would have been purchased if they had not been donated. Use of those resources is recognised as an expense.</w:t>
      </w:r>
    </w:p>
    <w:p w:rsidR="00735613" w:rsidRPr="00075D25" w:rsidRDefault="00735613" w:rsidP="00735613">
      <w:pPr>
        <w:pStyle w:val="NotesText0"/>
      </w:pPr>
      <w:r w:rsidRPr="00075D25">
        <w:t>Resources received free of charge are recorded as either revenue or gains depending on their nature.</w:t>
      </w:r>
    </w:p>
    <w:p w:rsidR="00735613" w:rsidRPr="00075D25" w:rsidRDefault="00735613" w:rsidP="00735613">
      <w:pPr>
        <w:pStyle w:val="NotesText0"/>
      </w:pPr>
      <w:r w:rsidRPr="00075D25">
        <w:t>Contributions of assets at no cost of acquisition or for nominal consideration are recognised as gains at their fair value when the asset qualifies for recognition, unless received from another Government entity as a consequence of a restructuring of administrative</w:t>
      </w:r>
      <w:r>
        <w:t xml:space="preserve"> arrangements (Refer to Note 1.8</w:t>
      </w:r>
      <w:r w:rsidRPr="00075D25">
        <w:t>).</w:t>
      </w:r>
    </w:p>
    <w:p w:rsidR="00735613" w:rsidRPr="00BC79B6" w:rsidRDefault="00735613" w:rsidP="00735613">
      <w:pPr>
        <w:pStyle w:val="NotesText0"/>
        <w:rPr>
          <w:i/>
        </w:rPr>
      </w:pPr>
      <w:r w:rsidRPr="00BC79B6">
        <w:rPr>
          <w:i/>
        </w:rPr>
        <w:t>Sale of assets</w:t>
      </w:r>
    </w:p>
    <w:p w:rsidR="00735613" w:rsidRPr="00075D25" w:rsidRDefault="00735613" w:rsidP="00735613">
      <w:pPr>
        <w:pStyle w:val="NotesText0"/>
      </w:pPr>
      <w:r w:rsidRPr="00075D25">
        <w:t>Gains from disposal of assets are recognised when control of the asset has passed to the buyer.</w:t>
      </w:r>
    </w:p>
    <w:p w:rsidR="00735613" w:rsidRDefault="00735613" w:rsidP="00735613">
      <w:pPr>
        <w:pStyle w:val="SAPHeading-Level2"/>
        <w:numPr>
          <w:ilvl w:val="1"/>
          <w:numId w:val="15"/>
        </w:numPr>
      </w:pPr>
      <w:r>
        <w:t>Transactions with the Government as Owner</w:t>
      </w:r>
    </w:p>
    <w:p w:rsidR="00735613" w:rsidRPr="00BC79B6" w:rsidRDefault="00735613" w:rsidP="00735613">
      <w:pPr>
        <w:pStyle w:val="NotesText0"/>
        <w:rPr>
          <w:i/>
        </w:rPr>
      </w:pPr>
      <w:r w:rsidRPr="00BC79B6">
        <w:rPr>
          <w:i/>
        </w:rPr>
        <w:t>Equity injections</w:t>
      </w:r>
    </w:p>
    <w:p w:rsidR="00735613" w:rsidRPr="00075D25" w:rsidRDefault="00735613" w:rsidP="00735613">
      <w:pPr>
        <w:pStyle w:val="NotesText0"/>
      </w:pPr>
      <w:r w:rsidRPr="00075D25">
        <w:t>Amounts appropriated which are designated as ‘equity injections’ for a year (less any formal reductions) and Departmental Capital Budgets (DCBs) are recognised directly in contributed equity in that year.</w:t>
      </w:r>
    </w:p>
    <w:p w:rsidR="00735613" w:rsidRPr="00BC79B6" w:rsidRDefault="00735613" w:rsidP="00735613">
      <w:pPr>
        <w:pStyle w:val="NotesText0"/>
        <w:rPr>
          <w:i/>
        </w:rPr>
      </w:pPr>
      <w:r w:rsidRPr="00BC79B6">
        <w:rPr>
          <w:i/>
        </w:rPr>
        <w:t>Restructuring of administrative arrangements</w:t>
      </w:r>
    </w:p>
    <w:p w:rsidR="00735613" w:rsidRPr="00075D25" w:rsidRDefault="00735613" w:rsidP="00735613">
      <w:pPr>
        <w:pStyle w:val="NotesText0"/>
      </w:pPr>
      <w:r>
        <w:t xml:space="preserve">Net assets received from, or relinquished to, </w:t>
      </w:r>
      <w:r w:rsidRPr="00075D25">
        <w:t>another Australian Government entity under a restructuring of administrative arrangements are adjusted at their book value directly against contributed equity.</w:t>
      </w:r>
    </w:p>
    <w:p w:rsidR="00735613" w:rsidRPr="00075D25" w:rsidRDefault="00735613" w:rsidP="00735613">
      <w:pPr>
        <w:pStyle w:val="NotesText0"/>
      </w:pPr>
    </w:p>
    <w:p w:rsidR="00735613" w:rsidRDefault="00735613" w:rsidP="00735613">
      <w:pPr>
        <w:pStyle w:val="SAPHeading-Level2"/>
        <w:numPr>
          <w:ilvl w:val="1"/>
          <w:numId w:val="15"/>
        </w:numPr>
      </w:pPr>
      <w:r>
        <w:t>Employee Benefits</w:t>
      </w:r>
    </w:p>
    <w:p w:rsidR="00735613" w:rsidRPr="00075D25" w:rsidRDefault="00735613" w:rsidP="00735613">
      <w:pPr>
        <w:pStyle w:val="NotesText0"/>
      </w:pPr>
      <w:r w:rsidRPr="00075D25">
        <w:t xml:space="preserve">Liabilities for ‘short-term employee benefits’ (as defined in </w:t>
      </w:r>
      <w:r w:rsidRPr="00BC79B6">
        <w:rPr>
          <w:i/>
        </w:rPr>
        <w:t>AASB 119</w:t>
      </w:r>
      <w:r w:rsidRPr="00BC79B6">
        <w:rPr>
          <w:bCs/>
          <w:i/>
        </w:rPr>
        <w:t xml:space="preserve"> </w:t>
      </w:r>
      <w:r w:rsidRPr="00BC79B6">
        <w:rPr>
          <w:i/>
        </w:rPr>
        <w:t>Employee Benefits</w:t>
      </w:r>
      <w:r w:rsidRPr="00075D25">
        <w:t>) and termination benefits due within twelve months of the end of reporting period are measured at their nominal amounts.</w:t>
      </w:r>
    </w:p>
    <w:p w:rsidR="00735613" w:rsidRPr="00075D25" w:rsidRDefault="00735613" w:rsidP="00735613">
      <w:pPr>
        <w:pStyle w:val="NotesText0"/>
      </w:pPr>
      <w:r w:rsidRPr="00075D25">
        <w:t>The nominal amount is calculated with regard to the rates expected to be paid on settlement of the liability.</w:t>
      </w:r>
    </w:p>
    <w:p w:rsidR="00735613" w:rsidRPr="00075D25" w:rsidRDefault="00735613" w:rsidP="00735613">
      <w:pPr>
        <w:pStyle w:val="NotesText0"/>
      </w:pPr>
      <w:r w:rsidRPr="00075D25">
        <w:t>Other long-term employee benefits are measured at net total of the present value of the defined benefit obligation at the end of the reporting period minus the fair value at the end of the reporting period of plan assets (if any) out of which the obligations are to be settled directly.</w:t>
      </w:r>
    </w:p>
    <w:p w:rsidR="00735613" w:rsidRPr="00BC79B6" w:rsidRDefault="00735613" w:rsidP="00735613">
      <w:pPr>
        <w:pStyle w:val="NotesText0"/>
        <w:rPr>
          <w:i/>
        </w:rPr>
      </w:pPr>
      <w:r w:rsidRPr="00BC79B6">
        <w:rPr>
          <w:i/>
        </w:rPr>
        <w:t>Leave</w:t>
      </w:r>
    </w:p>
    <w:p w:rsidR="00735613" w:rsidRPr="00075D25" w:rsidRDefault="00735613" w:rsidP="00735613">
      <w:pPr>
        <w:pStyle w:val="NotesText0"/>
      </w:pPr>
      <w:r w:rsidRPr="00075D25">
        <w:t>The liability for employee benefits includes provision for annual</w:t>
      </w:r>
      <w:r>
        <w:t xml:space="preserve"> leave and long service leave. </w:t>
      </w:r>
      <w:r w:rsidRPr="00075D25">
        <w:t xml:space="preserve">No provision has been made for sick leave as all sick </w:t>
      </w:r>
      <w:proofErr w:type="gramStart"/>
      <w:r w:rsidRPr="00075D25">
        <w:t>leave</w:t>
      </w:r>
      <w:proofErr w:type="gramEnd"/>
      <w:r w:rsidRPr="00075D25">
        <w:t xml:space="preserve"> is non-vesting and the average sick leave taken in future years by employees of the department is estimated to be less than the annual entitlement for sick leave.</w:t>
      </w:r>
    </w:p>
    <w:p w:rsidR="00735613" w:rsidRPr="00075D25" w:rsidRDefault="00735613" w:rsidP="00735613">
      <w:pPr>
        <w:pStyle w:val="NotesText0"/>
      </w:pPr>
      <w:r w:rsidRPr="00075D25">
        <w:t>The leave liabilities are calculated on the basis of employees’ remuneration at the estimated salary rates that will be applied at the time the leave is taken, including the department’s employer superannuation contribution rates, to the extent that the leave is likely to be taken during service rather than paid out on termination.</w:t>
      </w:r>
    </w:p>
    <w:p w:rsidR="00735613" w:rsidRPr="00075D25" w:rsidRDefault="00735613" w:rsidP="00735613">
      <w:pPr>
        <w:pStyle w:val="NotesText0"/>
      </w:pPr>
      <w:r w:rsidRPr="00075D25">
        <w:t xml:space="preserve">The liability for long service leave has been determined by reference to work conducted by an </w:t>
      </w:r>
      <w:r>
        <w:t>actuary as at</w:t>
      </w:r>
      <w:r w:rsidRPr="00075D25">
        <w:t xml:space="preserve"> 30 June 201</w:t>
      </w:r>
      <w:r>
        <w:t xml:space="preserve">5. </w:t>
      </w:r>
      <w:r w:rsidRPr="00075D25">
        <w:t>The estimate of the present value of the liability takes into account attrition rates and pay increases through promotion and inflation.</w:t>
      </w:r>
    </w:p>
    <w:p w:rsidR="00735613" w:rsidRPr="00BC79B6" w:rsidRDefault="00735613" w:rsidP="00735613">
      <w:pPr>
        <w:pStyle w:val="NotesText0"/>
        <w:rPr>
          <w:i/>
        </w:rPr>
      </w:pPr>
      <w:r w:rsidRPr="00BC79B6">
        <w:rPr>
          <w:i/>
        </w:rPr>
        <w:t>Separation and redundancy</w:t>
      </w:r>
    </w:p>
    <w:p w:rsidR="00735613" w:rsidRPr="00075D25" w:rsidRDefault="00735613" w:rsidP="00735613">
      <w:pPr>
        <w:pStyle w:val="NotesText0"/>
      </w:pPr>
      <w:r w:rsidRPr="00075D25">
        <w:t>Provision is made for separation and redundancy benefit payments.</w:t>
      </w:r>
      <w:r>
        <w:t xml:space="preserve"> </w:t>
      </w:r>
      <w:r w:rsidRPr="00075D25">
        <w:t>The department recognises a provision for termination when it has developed a detailed formal plan for the terminations and has informed those employees affected that it will carry out the terminations.</w:t>
      </w:r>
    </w:p>
    <w:p w:rsidR="00735613" w:rsidRPr="00BC79B6" w:rsidRDefault="00735613" w:rsidP="00735613">
      <w:pPr>
        <w:pStyle w:val="NotesText0"/>
        <w:rPr>
          <w:i/>
        </w:rPr>
      </w:pPr>
      <w:r w:rsidRPr="00BC79B6">
        <w:rPr>
          <w:i/>
        </w:rPr>
        <w:t>Superannuation</w:t>
      </w:r>
    </w:p>
    <w:p w:rsidR="00735613" w:rsidRPr="00075D25" w:rsidRDefault="00735613" w:rsidP="00735613">
      <w:pPr>
        <w:pStyle w:val="NotesText0"/>
      </w:pPr>
      <w:r w:rsidRPr="00075D25">
        <w:t>Staff of the department are members of the Commonwealth Superannuation Scheme (CSS), the Public Sector Superannuation Scheme (PSS), the PSS accumulation plan (PSSap)</w:t>
      </w:r>
      <w:proofErr w:type="gramStart"/>
      <w:r>
        <w:t xml:space="preserve">, </w:t>
      </w:r>
      <w:r w:rsidRPr="00075D25">
        <w:t xml:space="preserve"> the</w:t>
      </w:r>
      <w:proofErr w:type="gramEnd"/>
      <w:r w:rsidRPr="00075D25">
        <w:t xml:space="preserve"> Australian Government Employees Superannuation Trust (AGEST)</w:t>
      </w:r>
      <w:r>
        <w:t xml:space="preserve"> or other elected defined contribution schemes.</w:t>
      </w:r>
    </w:p>
    <w:p w:rsidR="00735613" w:rsidRPr="00075D25" w:rsidRDefault="00735613" w:rsidP="00735613">
      <w:pPr>
        <w:pStyle w:val="NotesText0"/>
      </w:pPr>
      <w:r w:rsidRPr="00075D25">
        <w:t xml:space="preserve">The CSS, PSS and AGEST are defined benefit schemes </w:t>
      </w:r>
      <w:r>
        <w:t xml:space="preserve">for the Australian Government. </w:t>
      </w:r>
      <w:r w:rsidRPr="00075D25">
        <w:t>The PSSap is a defined contribution scheme.</w:t>
      </w:r>
    </w:p>
    <w:p w:rsidR="00735613" w:rsidRPr="00075D25" w:rsidRDefault="00735613" w:rsidP="00735613">
      <w:pPr>
        <w:pStyle w:val="NotesText0"/>
      </w:pPr>
      <w:r w:rsidRPr="00075D25">
        <w:t>The liability for defined benefits is recognised in the financial statements of the Australian Government and is settled by the Australian Government in due course.</w:t>
      </w:r>
      <w:r>
        <w:t xml:space="preserve"> </w:t>
      </w:r>
      <w:r w:rsidRPr="00075D25">
        <w:t>This liability is reported by the Department of Finance’s administered schedules and notes.</w:t>
      </w:r>
    </w:p>
    <w:p w:rsidR="00735613" w:rsidRPr="00075D25" w:rsidRDefault="00735613" w:rsidP="00735613">
      <w:pPr>
        <w:pStyle w:val="NotesText0"/>
      </w:pPr>
      <w:r w:rsidRPr="00075D25">
        <w:t>The department makes employer contributions to the employee’s superannuation scheme at rates determined by an actuary to be sufficient to meet the c</w:t>
      </w:r>
      <w:r>
        <w:t xml:space="preserve">urrent cost to the Government. </w:t>
      </w:r>
      <w:r w:rsidRPr="00075D25">
        <w:t>The department accounts for the contributions as if they were contributions to defined contribution plans.</w:t>
      </w:r>
    </w:p>
    <w:p w:rsidR="00735613" w:rsidRPr="00075D25" w:rsidRDefault="00735613" w:rsidP="00735613">
      <w:pPr>
        <w:pStyle w:val="NotesText0"/>
      </w:pPr>
      <w:r w:rsidRPr="00075D25">
        <w:t>The liability for superannuation recognised as at 30 June represents outstanding contributions for the final fortnight of the year.</w:t>
      </w:r>
    </w:p>
    <w:p w:rsidR="00735613" w:rsidRDefault="00735613" w:rsidP="00735613">
      <w:pPr>
        <w:pStyle w:val="SAPHeading-Level2"/>
        <w:numPr>
          <w:ilvl w:val="1"/>
          <w:numId w:val="15"/>
        </w:numPr>
      </w:pPr>
      <w:r>
        <w:t>Leases</w:t>
      </w:r>
    </w:p>
    <w:p w:rsidR="00735613" w:rsidRPr="00075D25" w:rsidRDefault="00735613" w:rsidP="00735613">
      <w:pPr>
        <w:pStyle w:val="NotesText0"/>
      </w:pPr>
      <w:r w:rsidRPr="00075D25">
        <w:t xml:space="preserve">A distinction is made between finance leases and operating leases. </w:t>
      </w:r>
      <w:r>
        <w:t>Finance leases effectively transfer from the lessor to the lessee substantially all the risk and rewards incidental to ownership of leased assets. An operating lease is a lease that is not a finance lease. In operating leases, the lessor effectively retains substantially all such risk and benefits.</w:t>
      </w:r>
    </w:p>
    <w:p w:rsidR="00735613" w:rsidRPr="00075D25" w:rsidRDefault="00735613" w:rsidP="00735613">
      <w:pPr>
        <w:pStyle w:val="NotesText0"/>
      </w:pPr>
      <w:r w:rsidRPr="00075D25">
        <w:t>Where an asset is acquired by means of a finance lease, the asset is capitalised at either the fair value of the lease</w:t>
      </w:r>
      <w:r>
        <w:t>d</w:t>
      </w:r>
      <w:r w:rsidRPr="00075D25">
        <w:t xml:space="preserve"> property or, if lower, the present value of minimum lease payments at the inception of the contract and a liability is recognised at the same time and for the same amount. </w:t>
      </w:r>
    </w:p>
    <w:p w:rsidR="00735613" w:rsidRPr="00075D25" w:rsidRDefault="00735613" w:rsidP="00735613">
      <w:pPr>
        <w:pStyle w:val="NotesText0"/>
      </w:pPr>
      <w:r w:rsidRPr="00075D25">
        <w:t>The discount rate used is the intere</w:t>
      </w:r>
      <w:r>
        <w:t xml:space="preserve">st rate implicit in the lease. </w:t>
      </w:r>
      <w:r w:rsidRPr="00075D25">
        <w:t>Leased assets are amortised</w:t>
      </w:r>
      <w:r>
        <w:t xml:space="preserve"> over the period of the lease. </w:t>
      </w:r>
      <w:r w:rsidRPr="00075D25">
        <w:t>Lease payments are allocated between the principal component and the interest expense.</w:t>
      </w:r>
    </w:p>
    <w:p w:rsidR="00735613" w:rsidRPr="00075D25" w:rsidRDefault="00735613" w:rsidP="00735613">
      <w:pPr>
        <w:pStyle w:val="NotesText0"/>
      </w:pPr>
      <w:r w:rsidRPr="00075D25">
        <w:t xml:space="preserve">Operating lease payments are expensed on a straight-line basis which is representative of the pattern of benefits derived from the leased assets. </w:t>
      </w:r>
    </w:p>
    <w:p w:rsidR="00735613" w:rsidRPr="00BC79B6" w:rsidRDefault="00735613" w:rsidP="00735613">
      <w:pPr>
        <w:pStyle w:val="NotesText0"/>
        <w:rPr>
          <w:i/>
        </w:rPr>
      </w:pPr>
      <w:r w:rsidRPr="00BC79B6">
        <w:rPr>
          <w:i/>
        </w:rPr>
        <w:t>Lease incentives</w:t>
      </w:r>
    </w:p>
    <w:p w:rsidR="00735613" w:rsidRPr="00075D25" w:rsidRDefault="00735613" w:rsidP="00735613">
      <w:pPr>
        <w:pStyle w:val="NotesText0"/>
      </w:pPr>
      <w:r w:rsidRPr="00075D25">
        <w:t>Lease incentives taking the form of ‘free’ leasehold improvements and rent free holidays are recognised as liabilities. These liabilities are reduced by allocating lease payments between rental expense and reduction of the liability.</w:t>
      </w:r>
    </w:p>
    <w:p w:rsidR="00735613" w:rsidRPr="00087BB8" w:rsidRDefault="00735613" w:rsidP="00735613">
      <w:pPr>
        <w:pStyle w:val="SAPHeading-Level2"/>
        <w:numPr>
          <w:ilvl w:val="1"/>
          <w:numId w:val="15"/>
        </w:numPr>
      </w:pPr>
      <w:r w:rsidRPr="00AE0348">
        <w:t>Fair Value Measurement</w:t>
      </w:r>
    </w:p>
    <w:p w:rsidR="00735613" w:rsidRPr="00075D25" w:rsidRDefault="00735613" w:rsidP="00735613">
      <w:pPr>
        <w:pStyle w:val="NotesText0"/>
      </w:pPr>
      <w:r w:rsidRPr="00087BB8">
        <w:t xml:space="preserve">The department </w:t>
      </w:r>
      <w:r>
        <w:t xml:space="preserve">deems </w:t>
      </w:r>
      <w:r w:rsidRPr="00087BB8">
        <w:t>transfers between levels of the fair value hierarchy to have occurred at reporting date.</w:t>
      </w:r>
    </w:p>
    <w:p w:rsidR="00735613" w:rsidRDefault="00735613" w:rsidP="00735613">
      <w:pPr>
        <w:pStyle w:val="SAPHeading-Level2"/>
        <w:numPr>
          <w:ilvl w:val="1"/>
          <w:numId w:val="15"/>
        </w:numPr>
      </w:pPr>
      <w:r>
        <w:t xml:space="preserve">Cash </w:t>
      </w:r>
    </w:p>
    <w:p w:rsidR="00735613" w:rsidRDefault="00735613" w:rsidP="00735613">
      <w:pPr>
        <w:pStyle w:val="AdminBlankGreyShade"/>
      </w:pPr>
      <w:r>
        <w:t>Cash is recognised at its nominal amount.  Cash and cash equivalents include:</w:t>
      </w:r>
    </w:p>
    <w:p w:rsidR="00735613" w:rsidRPr="00BC79B6" w:rsidRDefault="00735613" w:rsidP="00735613">
      <w:pPr>
        <w:pStyle w:val="BulletKPMG"/>
        <w:numPr>
          <w:ilvl w:val="0"/>
          <w:numId w:val="16"/>
        </w:numPr>
        <w:rPr>
          <w:rFonts w:asciiTheme="minorHAnsi" w:hAnsiTheme="minorHAnsi" w:cstheme="minorHAnsi"/>
          <w:sz w:val="18"/>
          <w:szCs w:val="18"/>
          <w:lang w:val="en-AU"/>
        </w:rPr>
      </w:pPr>
      <w:r w:rsidRPr="00BC79B6">
        <w:rPr>
          <w:rFonts w:asciiTheme="minorHAnsi" w:hAnsiTheme="minorHAnsi" w:cstheme="minorHAnsi"/>
          <w:sz w:val="18"/>
          <w:szCs w:val="18"/>
          <w:lang w:val="en-AU"/>
        </w:rPr>
        <w:t>cash on hand</w:t>
      </w:r>
    </w:p>
    <w:p w:rsidR="00735613" w:rsidRPr="00BC79B6" w:rsidRDefault="00735613" w:rsidP="00735613">
      <w:pPr>
        <w:pStyle w:val="BulletKPMG"/>
        <w:numPr>
          <w:ilvl w:val="0"/>
          <w:numId w:val="16"/>
        </w:numPr>
        <w:rPr>
          <w:rFonts w:asciiTheme="minorHAnsi" w:hAnsiTheme="minorHAnsi" w:cstheme="minorHAnsi"/>
          <w:sz w:val="18"/>
          <w:szCs w:val="18"/>
          <w:lang w:val="en-AU"/>
        </w:rPr>
      </w:pPr>
      <w:r w:rsidRPr="00BC79B6">
        <w:rPr>
          <w:rFonts w:asciiTheme="minorHAnsi" w:hAnsiTheme="minorHAnsi" w:cstheme="minorHAnsi"/>
          <w:sz w:val="18"/>
          <w:szCs w:val="18"/>
          <w:lang w:val="en-AU"/>
        </w:rPr>
        <w:t>cash held by outsiders</w:t>
      </w:r>
    </w:p>
    <w:p w:rsidR="00735613" w:rsidRPr="00BC79B6" w:rsidRDefault="00735613" w:rsidP="00735613">
      <w:pPr>
        <w:pStyle w:val="BulletKPMG"/>
        <w:numPr>
          <w:ilvl w:val="0"/>
          <w:numId w:val="16"/>
        </w:numPr>
        <w:rPr>
          <w:rFonts w:asciiTheme="minorHAnsi" w:hAnsiTheme="minorHAnsi" w:cstheme="minorHAnsi"/>
          <w:sz w:val="18"/>
          <w:szCs w:val="18"/>
          <w:lang w:val="en-AU"/>
        </w:rPr>
      </w:pPr>
      <w:proofErr w:type="gramStart"/>
      <w:r w:rsidRPr="00BC79B6">
        <w:rPr>
          <w:rFonts w:asciiTheme="minorHAnsi" w:hAnsiTheme="minorHAnsi" w:cstheme="minorHAnsi"/>
          <w:sz w:val="18"/>
          <w:szCs w:val="18"/>
          <w:lang w:val="en-AU"/>
        </w:rPr>
        <w:t>cash</w:t>
      </w:r>
      <w:proofErr w:type="gramEnd"/>
      <w:r w:rsidRPr="00BC79B6">
        <w:rPr>
          <w:rFonts w:asciiTheme="minorHAnsi" w:hAnsiTheme="minorHAnsi" w:cstheme="minorHAnsi"/>
          <w:sz w:val="18"/>
          <w:szCs w:val="18"/>
          <w:lang w:val="en-AU"/>
        </w:rPr>
        <w:t xml:space="preserve"> in special accounts. </w:t>
      </w:r>
    </w:p>
    <w:p w:rsidR="00735613" w:rsidRDefault="00735613" w:rsidP="00735613">
      <w:pPr>
        <w:pStyle w:val="SAPHeading-Level2"/>
        <w:numPr>
          <w:ilvl w:val="1"/>
          <w:numId w:val="15"/>
        </w:numPr>
      </w:pPr>
      <w:r>
        <w:t>Financial Assets</w:t>
      </w:r>
    </w:p>
    <w:p w:rsidR="00735613" w:rsidRDefault="00735613" w:rsidP="00735613">
      <w:pPr>
        <w:pStyle w:val="AdminBlankGreyShade"/>
      </w:pPr>
      <w:r>
        <w:t>The department classifies its financial assets in the following categories:</w:t>
      </w:r>
    </w:p>
    <w:p w:rsidR="00735613" w:rsidRPr="008B4962" w:rsidRDefault="00735613" w:rsidP="00735613">
      <w:pPr>
        <w:pStyle w:val="BulletKPMG"/>
        <w:numPr>
          <w:ilvl w:val="0"/>
          <w:numId w:val="16"/>
        </w:numPr>
        <w:rPr>
          <w:rFonts w:asciiTheme="minorHAnsi" w:hAnsiTheme="minorHAnsi" w:cstheme="minorHAnsi"/>
          <w:sz w:val="18"/>
          <w:szCs w:val="18"/>
        </w:rPr>
      </w:pPr>
      <w:r w:rsidRPr="00BC79B6">
        <w:rPr>
          <w:rFonts w:asciiTheme="minorHAnsi" w:hAnsiTheme="minorHAnsi" w:cstheme="minorHAnsi"/>
          <w:sz w:val="18"/>
          <w:szCs w:val="18"/>
          <w:lang w:val="en-AU"/>
        </w:rPr>
        <w:t>loans and receivables</w:t>
      </w:r>
    </w:p>
    <w:p w:rsidR="00735613" w:rsidRPr="00BC79B6" w:rsidRDefault="00735613" w:rsidP="00735613">
      <w:pPr>
        <w:pStyle w:val="BulletKPMG"/>
        <w:numPr>
          <w:ilvl w:val="0"/>
          <w:numId w:val="16"/>
        </w:numPr>
        <w:rPr>
          <w:rFonts w:asciiTheme="minorHAnsi" w:hAnsiTheme="minorHAnsi" w:cstheme="minorHAnsi"/>
          <w:sz w:val="18"/>
          <w:szCs w:val="18"/>
        </w:rPr>
      </w:pPr>
      <w:r>
        <w:rPr>
          <w:rFonts w:asciiTheme="minorHAnsi" w:hAnsiTheme="minorHAnsi" w:cstheme="minorHAnsi"/>
          <w:sz w:val="18"/>
          <w:szCs w:val="18"/>
          <w:lang w:val="en-AU"/>
        </w:rPr>
        <w:t>Accrued revenue</w:t>
      </w:r>
      <w:r w:rsidRPr="00BC79B6">
        <w:rPr>
          <w:rFonts w:asciiTheme="minorHAnsi" w:hAnsiTheme="minorHAnsi" w:cstheme="minorHAnsi"/>
          <w:sz w:val="18"/>
          <w:szCs w:val="18"/>
          <w:lang w:val="en-AU"/>
        </w:rPr>
        <w:t>.</w:t>
      </w:r>
    </w:p>
    <w:p w:rsidR="00735613" w:rsidRPr="003055FE" w:rsidRDefault="00735613" w:rsidP="00735613">
      <w:pPr>
        <w:pStyle w:val="NotesText0"/>
      </w:pPr>
      <w:r w:rsidRPr="003055FE">
        <w:t>Trade receivables are classified as ‘loans and receivables’ and recorded at face value less any impairment.  Trade receivables are recognised where the department becomes party to a contract and has a legal right to receive cash.  Trade receivables are derecognised on payment.</w:t>
      </w:r>
    </w:p>
    <w:p w:rsidR="00735613" w:rsidRPr="00BC79B6" w:rsidRDefault="00735613" w:rsidP="00735613">
      <w:pPr>
        <w:pStyle w:val="NotesText0"/>
        <w:rPr>
          <w:i/>
        </w:rPr>
      </w:pPr>
      <w:r w:rsidRPr="00BC79B6">
        <w:rPr>
          <w:i/>
        </w:rPr>
        <w:t>Impairment of financial assets</w:t>
      </w:r>
    </w:p>
    <w:p w:rsidR="00735613" w:rsidRDefault="00735613" w:rsidP="00735613">
      <w:pPr>
        <w:pStyle w:val="NotesText0"/>
      </w:pPr>
      <w:r w:rsidRPr="00075D25">
        <w:t>Financial assets are assessed for impairment at the end of the reporting period.</w:t>
      </w:r>
      <w:r>
        <w:t xml:space="preserve"> </w:t>
      </w:r>
    </w:p>
    <w:p w:rsidR="00735613" w:rsidRDefault="00735613" w:rsidP="00735613">
      <w:pPr>
        <w:pStyle w:val="SAPHeading-Level2"/>
        <w:numPr>
          <w:ilvl w:val="1"/>
          <w:numId w:val="15"/>
        </w:numPr>
      </w:pPr>
      <w:r>
        <w:t>Financial Liabilities</w:t>
      </w:r>
    </w:p>
    <w:p w:rsidR="00735613" w:rsidRPr="00075D25" w:rsidRDefault="00735613" w:rsidP="00735613">
      <w:pPr>
        <w:pStyle w:val="NotesText0"/>
      </w:pPr>
      <w:r w:rsidRPr="00075D25">
        <w:t>Supplier and other payables are recognised at amortised cost. Liabilities are recognised to the extent that the goods or services have been received (and irrespective of having been invoiced).</w:t>
      </w:r>
      <w:r>
        <w:t xml:space="preserve"> Supplier and other payables are derecognised on payment.</w:t>
      </w:r>
    </w:p>
    <w:p w:rsidR="00735613" w:rsidRDefault="00735613" w:rsidP="00735613">
      <w:pPr>
        <w:pStyle w:val="SAPHeading-Level2"/>
        <w:numPr>
          <w:ilvl w:val="1"/>
          <w:numId w:val="15"/>
        </w:numPr>
      </w:pPr>
      <w:r>
        <w:t>Contingent Liabilities and Contingent Assets</w:t>
      </w:r>
    </w:p>
    <w:p w:rsidR="00735613" w:rsidRPr="00075D25" w:rsidRDefault="00735613" w:rsidP="00735613">
      <w:pPr>
        <w:pStyle w:val="NotesText0"/>
      </w:pPr>
      <w:r w:rsidRPr="00075D25">
        <w:t>Contingent liabilities and contingent assets are not recognised in the statement of financial position but are reported in the</w:t>
      </w:r>
      <w:r>
        <w:t xml:space="preserve"> notes. </w:t>
      </w:r>
      <w:r w:rsidRPr="00075D25">
        <w:t>They may arise from uncertainty as to the existence of a liability or asset or represent an asset or liability in respect of which the amount cannot be reliably measured. Contingent assets are disclosed when settlement is probable but not virtually certain and contingent liabilities are disclosed when settlement is greater than remote.</w:t>
      </w:r>
    </w:p>
    <w:p w:rsidR="00735613" w:rsidRPr="00B855E8" w:rsidRDefault="00735613" w:rsidP="00735613">
      <w:pPr>
        <w:pStyle w:val="NotesText0"/>
      </w:pPr>
      <w:r w:rsidRPr="00B855E8">
        <w:t>Indemnities</w:t>
      </w:r>
    </w:p>
    <w:p w:rsidR="00735613" w:rsidRPr="00075D25" w:rsidRDefault="00735613" w:rsidP="00735613">
      <w:pPr>
        <w:pStyle w:val="NotesText0"/>
      </w:pPr>
      <w:r w:rsidRPr="00075D25">
        <w:t>The maximum amounts payable under the indemnities given is disclosed in the</w:t>
      </w:r>
      <w:r>
        <w:t xml:space="preserve"> notes</w:t>
      </w:r>
      <w:r w:rsidRPr="00075D25">
        <w:t>. At the time of completion of the financial statements, there was no reason to believe that the indemnities would be called upon, and no recognition of any liability was therefore required.</w:t>
      </w:r>
    </w:p>
    <w:p w:rsidR="00735613" w:rsidRDefault="00735613" w:rsidP="00735613">
      <w:pPr>
        <w:pStyle w:val="SAPHeading-Level2"/>
        <w:numPr>
          <w:ilvl w:val="1"/>
          <w:numId w:val="15"/>
        </w:numPr>
      </w:pPr>
      <w:r>
        <w:t xml:space="preserve">Acquisition of Assets </w:t>
      </w:r>
    </w:p>
    <w:p w:rsidR="00735613" w:rsidRPr="00075D25" w:rsidRDefault="00735613" w:rsidP="00735613">
      <w:pPr>
        <w:pStyle w:val="NotesText0"/>
      </w:pPr>
      <w:r w:rsidRPr="00075D25">
        <w:t>The cost of acquisition includes the fair value of assets transferred in exchan</w:t>
      </w:r>
      <w:r>
        <w:t xml:space="preserve">ge and liabilities undertaken. </w:t>
      </w:r>
      <w:r w:rsidRPr="00075D25">
        <w:t>Financial assets are initially measured at their fair value plus transaction costs where appropriate.</w:t>
      </w:r>
    </w:p>
    <w:p w:rsidR="00735613" w:rsidRPr="00075D25" w:rsidRDefault="00735613" w:rsidP="00735613">
      <w:pPr>
        <w:pStyle w:val="NotesText0"/>
      </w:pPr>
      <w:r w:rsidRPr="00075D25">
        <w:t>Assets acquired at no cost, or for nominal consideration, are initially recognised as assets and income at their fair value at the date of acquisition, unless acquired as a consequence of restructuring of administrative arrangements.</w:t>
      </w:r>
      <w:r>
        <w:t xml:space="preserve"> </w:t>
      </w:r>
      <w:r w:rsidRPr="00075D25">
        <w:t>In the latter case, assets are initially recognised as contributions by owners at the amounts at which they were recognised in the transferor’s accounts immediately prior to the restructuring.</w:t>
      </w:r>
      <w:r w:rsidRPr="00075D25">
        <w:tab/>
      </w:r>
    </w:p>
    <w:p w:rsidR="00735613" w:rsidRDefault="00735613" w:rsidP="00735613">
      <w:pPr>
        <w:pStyle w:val="SAPHeading-Level2"/>
        <w:numPr>
          <w:ilvl w:val="1"/>
          <w:numId w:val="15"/>
        </w:numPr>
      </w:pPr>
      <w:r>
        <w:t>Infrastructure, Plant and Equipment including Land and Buildings</w:t>
      </w:r>
    </w:p>
    <w:p w:rsidR="00735613" w:rsidRPr="00BC79B6" w:rsidRDefault="00735613" w:rsidP="00735613">
      <w:pPr>
        <w:pStyle w:val="NotesText0"/>
        <w:rPr>
          <w:i/>
        </w:rPr>
      </w:pPr>
      <w:r w:rsidRPr="00BC79B6">
        <w:rPr>
          <w:i/>
        </w:rPr>
        <w:t>Asset recognition threshold</w:t>
      </w:r>
    </w:p>
    <w:p w:rsidR="00735613" w:rsidRPr="00075D25" w:rsidRDefault="00735613" w:rsidP="00735613">
      <w:pPr>
        <w:pStyle w:val="NotesText0"/>
      </w:pPr>
      <w:r w:rsidRPr="00075D25">
        <w:t xml:space="preserve">Purchases of </w:t>
      </w:r>
      <w:r>
        <w:t xml:space="preserve">non-financial assets </w:t>
      </w:r>
      <w:r w:rsidRPr="00075D25">
        <w:t xml:space="preserve">are recognised initially at cost in the statement of financial position, except for purchases costing less than $2,000, (or $50,000 for leasehold improvements) which are expensed in the year of acquisition (other than where they form part of a group of similar items which are significant in total). </w:t>
      </w:r>
      <w:r w:rsidRPr="00075D25">
        <w:tab/>
      </w:r>
    </w:p>
    <w:p w:rsidR="00735613" w:rsidRPr="00075D25" w:rsidRDefault="00735613" w:rsidP="00735613">
      <w:pPr>
        <w:pStyle w:val="NotesText0"/>
      </w:pPr>
      <w:r w:rsidRPr="00075D25">
        <w:t>The initial cost of an asset includes an estimate of the cost of dismantling and removing the item and restoring the site on which it is located. This is particularly relevant to the restoration obligation provisions in property leases taken up by the department where there exists an obligation to restore the prope</w:t>
      </w:r>
      <w:r>
        <w:t xml:space="preserve">rty to its original condition. </w:t>
      </w:r>
      <w:r w:rsidRPr="00075D25">
        <w:t>These costs are included in the value of the department's leasehold improvements with a corresponding provision for the ‘restoration obligations’ recognised.</w:t>
      </w:r>
    </w:p>
    <w:p w:rsidR="00735613" w:rsidRPr="00BC79B6" w:rsidRDefault="00735613" w:rsidP="00735613">
      <w:pPr>
        <w:pStyle w:val="NotesText0"/>
        <w:rPr>
          <w:i/>
        </w:rPr>
      </w:pPr>
      <w:r w:rsidRPr="00BC79B6">
        <w:rPr>
          <w:i/>
        </w:rPr>
        <w:t>Revaluations</w:t>
      </w:r>
    </w:p>
    <w:p w:rsidR="00735613" w:rsidRPr="00075D25" w:rsidRDefault="00735613" w:rsidP="00735613">
      <w:pPr>
        <w:pStyle w:val="NotesText0"/>
      </w:pPr>
      <w:r w:rsidRPr="00075D25">
        <w:t>Fair values for each class of asset are determined as shown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3"/>
        <w:gridCol w:w="4581"/>
      </w:tblGrid>
      <w:tr w:rsidR="00735613" w:rsidRPr="00075D25" w:rsidTr="00735613">
        <w:tc>
          <w:tcPr>
            <w:tcW w:w="4473" w:type="dxa"/>
            <w:tcBorders>
              <w:top w:val="single" w:sz="4" w:space="0" w:color="auto"/>
              <w:left w:val="single" w:sz="4" w:space="0" w:color="auto"/>
              <w:bottom w:val="single" w:sz="4" w:space="0" w:color="auto"/>
              <w:right w:val="single" w:sz="4" w:space="0" w:color="auto"/>
            </w:tcBorders>
            <w:hideMark/>
          </w:tcPr>
          <w:p w:rsidR="00735613" w:rsidRPr="00075D25" w:rsidRDefault="00735613" w:rsidP="00735613">
            <w:pPr>
              <w:pStyle w:val="NotesText0"/>
            </w:pPr>
            <w:r w:rsidRPr="00075D25">
              <w:t>Asset Class</w:t>
            </w:r>
          </w:p>
        </w:tc>
        <w:tc>
          <w:tcPr>
            <w:tcW w:w="4581" w:type="dxa"/>
            <w:tcBorders>
              <w:top w:val="single" w:sz="4" w:space="0" w:color="auto"/>
              <w:left w:val="single" w:sz="4" w:space="0" w:color="auto"/>
              <w:bottom w:val="single" w:sz="4" w:space="0" w:color="auto"/>
              <w:right w:val="single" w:sz="4" w:space="0" w:color="auto"/>
            </w:tcBorders>
            <w:hideMark/>
          </w:tcPr>
          <w:p w:rsidR="00735613" w:rsidRPr="00075D25" w:rsidRDefault="00735613" w:rsidP="00735613">
            <w:pPr>
              <w:pStyle w:val="NotesText0"/>
            </w:pPr>
            <w:r w:rsidRPr="00075D25">
              <w:t>Fair value measurement</w:t>
            </w:r>
          </w:p>
        </w:tc>
      </w:tr>
      <w:tr w:rsidR="00735613" w:rsidRPr="00075D25" w:rsidTr="00735613">
        <w:tc>
          <w:tcPr>
            <w:tcW w:w="4473" w:type="dxa"/>
            <w:tcBorders>
              <w:top w:val="single" w:sz="4" w:space="0" w:color="auto"/>
              <w:left w:val="single" w:sz="4" w:space="0" w:color="auto"/>
              <w:bottom w:val="single" w:sz="4" w:space="0" w:color="auto"/>
              <w:right w:val="single" w:sz="4" w:space="0" w:color="auto"/>
            </w:tcBorders>
            <w:hideMark/>
          </w:tcPr>
          <w:p w:rsidR="00735613" w:rsidRPr="00075D25" w:rsidRDefault="00735613" w:rsidP="00735613">
            <w:pPr>
              <w:pStyle w:val="NotesText0"/>
            </w:pPr>
            <w:r w:rsidRPr="00075D25">
              <w:t>Land</w:t>
            </w:r>
          </w:p>
        </w:tc>
        <w:tc>
          <w:tcPr>
            <w:tcW w:w="4581" w:type="dxa"/>
            <w:tcBorders>
              <w:top w:val="single" w:sz="4" w:space="0" w:color="auto"/>
              <w:left w:val="single" w:sz="4" w:space="0" w:color="auto"/>
              <w:bottom w:val="single" w:sz="4" w:space="0" w:color="auto"/>
              <w:right w:val="single" w:sz="4" w:space="0" w:color="auto"/>
            </w:tcBorders>
            <w:hideMark/>
          </w:tcPr>
          <w:p w:rsidR="00735613" w:rsidRPr="00075D25" w:rsidRDefault="00735613" w:rsidP="00735613">
            <w:pPr>
              <w:pStyle w:val="NotesText0"/>
            </w:pPr>
            <w:r w:rsidRPr="00075D25">
              <w:t>Market selling price</w:t>
            </w:r>
          </w:p>
        </w:tc>
      </w:tr>
      <w:tr w:rsidR="00735613" w:rsidRPr="00075D25" w:rsidTr="00735613">
        <w:tc>
          <w:tcPr>
            <w:tcW w:w="4473" w:type="dxa"/>
            <w:tcBorders>
              <w:top w:val="single" w:sz="4" w:space="0" w:color="auto"/>
              <w:left w:val="single" w:sz="4" w:space="0" w:color="auto"/>
              <w:bottom w:val="single" w:sz="4" w:space="0" w:color="auto"/>
              <w:right w:val="single" w:sz="4" w:space="0" w:color="auto"/>
            </w:tcBorders>
            <w:hideMark/>
          </w:tcPr>
          <w:p w:rsidR="00735613" w:rsidRPr="00075D25" w:rsidRDefault="00735613" w:rsidP="00735613">
            <w:pPr>
              <w:pStyle w:val="NotesText0"/>
            </w:pPr>
            <w:r w:rsidRPr="00075D25">
              <w:t>Buildings excluding leasehold improvements</w:t>
            </w:r>
          </w:p>
        </w:tc>
        <w:tc>
          <w:tcPr>
            <w:tcW w:w="4581" w:type="dxa"/>
            <w:tcBorders>
              <w:top w:val="single" w:sz="4" w:space="0" w:color="auto"/>
              <w:left w:val="single" w:sz="4" w:space="0" w:color="auto"/>
              <w:bottom w:val="single" w:sz="4" w:space="0" w:color="auto"/>
              <w:right w:val="single" w:sz="4" w:space="0" w:color="auto"/>
            </w:tcBorders>
            <w:hideMark/>
          </w:tcPr>
          <w:p w:rsidR="00735613" w:rsidRPr="00075D25" w:rsidRDefault="00735613" w:rsidP="00735613">
            <w:pPr>
              <w:pStyle w:val="NotesText0"/>
            </w:pPr>
            <w:r w:rsidRPr="00075D25">
              <w:t>Market selling price</w:t>
            </w:r>
          </w:p>
        </w:tc>
      </w:tr>
      <w:tr w:rsidR="00735613" w:rsidRPr="00075D25" w:rsidTr="00735613">
        <w:tc>
          <w:tcPr>
            <w:tcW w:w="4473" w:type="dxa"/>
            <w:tcBorders>
              <w:top w:val="single" w:sz="4" w:space="0" w:color="auto"/>
              <w:left w:val="single" w:sz="4" w:space="0" w:color="auto"/>
              <w:bottom w:val="single" w:sz="4" w:space="0" w:color="auto"/>
              <w:right w:val="single" w:sz="4" w:space="0" w:color="auto"/>
            </w:tcBorders>
            <w:hideMark/>
          </w:tcPr>
          <w:p w:rsidR="00735613" w:rsidRPr="00075D25" w:rsidRDefault="00735613" w:rsidP="00735613">
            <w:pPr>
              <w:pStyle w:val="NotesText0"/>
            </w:pPr>
            <w:r w:rsidRPr="00075D25">
              <w:t>Buildings – Leasehold improvements</w:t>
            </w:r>
          </w:p>
        </w:tc>
        <w:tc>
          <w:tcPr>
            <w:tcW w:w="4581" w:type="dxa"/>
            <w:tcBorders>
              <w:top w:val="single" w:sz="4" w:space="0" w:color="auto"/>
              <w:left w:val="single" w:sz="4" w:space="0" w:color="auto"/>
              <w:bottom w:val="single" w:sz="4" w:space="0" w:color="auto"/>
              <w:right w:val="single" w:sz="4" w:space="0" w:color="auto"/>
            </w:tcBorders>
            <w:hideMark/>
          </w:tcPr>
          <w:p w:rsidR="00735613" w:rsidRPr="00075D25" w:rsidRDefault="00735613" w:rsidP="00735613">
            <w:pPr>
              <w:pStyle w:val="NotesText0"/>
            </w:pPr>
            <w:r w:rsidRPr="00075D25">
              <w:t>Depreciated replacement cost</w:t>
            </w:r>
          </w:p>
        </w:tc>
      </w:tr>
      <w:tr w:rsidR="00735613" w:rsidRPr="00075D25" w:rsidTr="00735613">
        <w:tc>
          <w:tcPr>
            <w:tcW w:w="4473" w:type="dxa"/>
            <w:tcBorders>
              <w:top w:val="single" w:sz="4" w:space="0" w:color="auto"/>
              <w:left w:val="single" w:sz="4" w:space="0" w:color="auto"/>
              <w:bottom w:val="single" w:sz="4" w:space="0" w:color="auto"/>
              <w:right w:val="single" w:sz="4" w:space="0" w:color="auto"/>
            </w:tcBorders>
            <w:hideMark/>
          </w:tcPr>
          <w:p w:rsidR="00735613" w:rsidRPr="00075D25" w:rsidRDefault="00735613" w:rsidP="00735613">
            <w:pPr>
              <w:pStyle w:val="NotesText0"/>
            </w:pPr>
            <w:r w:rsidRPr="00075D25">
              <w:t>Infrastructure, plant and equipment</w:t>
            </w:r>
          </w:p>
        </w:tc>
        <w:tc>
          <w:tcPr>
            <w:tcW w:w="4581" w:type="dxa"/>
            <w:tcBorders>
              <w:top w:val="single" w:sz="4" w:space="0" w:color="auto"/>
              <w:left w:val="single" w:sz="4" w:space="0" w:color="auto"/>
              <w:bottom w:val="single" w:sz="4" w:space="0" w:color="auto"/>
              <w:right w:val="single" w:sz="4" w:space="0" w:color="auto"/>
            </w:tcBorders>
            <w:hideMark/>
          </w:tcPr>
          <w:p w:rsidR="00735613" w:rsidRPr="00075D25" w:rsidRDefault="00735613" w:rsidP="00735613">
            <w:pPr>
              <w:pStyle w:val="NotesText0"/>
            </w:pPr>
            <w:r w:rsidRPr="00075D25">
              <w:t>Market selling price</w:t>
            </w:r>
          </w:p>
        </w:tc>
      </w:tr>
    </w:tbl>
    <w:p w:rsidR="00735613" w:rsidRPr="00075D25" w:rsidRDefault="00735613" w:rsidP="00735613">
      <w:pPr>
        <w:pStyle w:val="NotesText0"/>
      </w:pPr>
      <w:r w:rsidRPr="00075D25">
        <w:t xml:space="preserve">Following initial recognition at cost, infrastructure, plant and equipment are carried at fair value less accumulated depreciation and accumulated impairment losses. Valuations are conducted with sufficient frequency to ensure that the carrying amounts of assets do not differ materially from the assets’ fair values as at the reporting date. The regularity of independent valuations depends upon the volatility of movements in market values for the relevant assets. </w:t>
      </w:r>
    </w:p>
    <w:p w:rsidR="00735613" w:rsidRPr="00075D25" w:rsidRDefault="00735613" w:rsidP="00735613">
      <w:pPr>
        <w:pStyle w:val="NotesText0"/>
      </w:pPr>
      <w:r w:rsidRPr="00075D25">
        <w:t>Revaluation adjustments are made on a class basis.  Any revaluation increment is credited to equity under the heading of asset revaluation reserve except to the extent that it reverses a previous revaluation decrement of the same asset class that was previously recognised in the surplus/deficit.  Revaluation decrements for a class of assets are recognised directly in the surplus/deficit except to the extent that they reverse a previous revaluation increment for that class.</w:t>
      </w:r>
    </w:p>
    <w:p w:rsidR="00735613" w:rsidRPr="00075D25" w:rsidRDefault="00735613" w:rsidP="00735613">
      <w:pPr>
        <w:pStyle w:val="NotesText0"/>
      </w:pPr>
      <w:r w:rsidRPr="00075D25">
        <w:t>Any accumulated depreciation as at the revaluation date is eliminated against the gross carrying amount of the asset and the asset restated to the revalued amount.</w:t>
      </w:r>
    </w:p>
    <w:p w:rsidR="00735613" w:rsidRPr="00BC79B6" w:rsidRDefault="00735613" w:rsidP="00735613">
      <w:pPr>
        <w:pStyle w:val="NotesText0"/>
        <w:rPr>
          <w:i/>
        </w:rPr>
      </w:pPr>
      <w:r w:rsidRPr="00BC79B6">
        <w:rPr>
          <w:i/>
        </w:rPr>
        <w:t>Depreciation</w:t>
      </w:r>
    </w:p>
    <w:p w:rsidR="00735613" w:rsidRPr="00075D25" w:rsidRDefault="00735613" w:rsidP="00735613">
      <w:pPr>
        <w:pStyle w:val="NotesText0"/>
      </w:pPr>
      <w:r w:rsidRPr="00075D25">
        <w:t xml:space="preserve">Depreciable infrastructure, plant and equipment assets are written-off to their estimated residual values over their estimated useful lives to the department using, in all cases, the straight-line method of depreciation. </w:t>
      </w:r>
      <w:r w:rsidRPr="00075D25">
        <w:tab/>
      </w:r>
    </w:p>
    <w:p w:rsidR="00735613" w:rsidRPr="00075D25" w:rsidRDefault="00735613" w:rsidP="00735613">
      <w:pPr>
        <w:pStyle w:val="NotesText0"/>
      </w:pPr>
      <w:r w:rsidRPr="00075D25">
        <w:t>Depreciation rates (useful lives), residual values and methods are reviewed at each reporting date and necessary adjustments are recognised in the current, or current and future reporting periods, as appropriate.</w:t>
      </w:r>
    </w:p>
    <w:p w:rsidR="00735613" w:rsidRPr="00075D25" w:rsidRDefault="00735613" w:rsidP="00735613">
      <w:pPr>
        <w:pStyle w:val="NotesText0"/>
      </w:pPr>
      <w:r w:rsidRPr="00075D25">
        <w:t>Depreciation rates applying to each class of depreciable asset are based on the following useful lives:</w:t>
      </w:r>
    </w:p>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2820"/>
      </w:tblGrid>
      <w:tr w:rsidR="00735613" w:rsidRPr="00BC79B6" w:rsidTr="00735613">
        <w:tc>
          <w:tcPr>
            <w:tcW w:w="6300" w:type="dxa"/>
            <w:tcBorders>
              <w:top w:val="single" w:sz="4" w:space="0" w:color="auto"/>
              <w:left w:val="single" w:sz="4" w:space="0" w:color="auto"/>
              <w:bottom w:val="single" w:sz="4" w:space="0" w:color="auto"/>
              <w:right w:val="single" w:sz="4" w:space="0" w:color="auto"/>
            </w:tcBorders>
            <w:hideMark/>
          </w:tcPr>
          <w:p w:rsidR="00735613" w:rsidRPr="00BC79B6" w:rsidRDefault="00735613" w:rsidP="00735613">
            <w:pPr>
              <w:pStyle w:val="NotesText0"/>
              <w:rPr>
                <w:b/>
              </w:rPr>
            </w:pPr>
            <w:r w:rsidRPr="00BC79B6">
              <w:rPr>
                <w:b/>
              </w:rPr>
              <w:t>Asset Class</w:t>
            </w:r>
          </w:p>
        </w:tc>
        <w:tc>
          <w:tcPr>
            <w:tcW w:w="2820" w:type="dxa"/>
            <w:tcBorders>
              <w:top w:val="single" w:sz="4" w:space="0" w:color="auto"/>
              <w:left w:val="single" w:sz="4" w:space="0" w:color="auto"/>
              <w:bottom w:val="single" w:sz="4" w:space="0" w:color="auto"/>
              <w:right w:val="single" w:sz="4" w:space="0" w:color="auto"/>
            </w:tcBorders>
            <w:vAlign w:val="center"/>
            <w:hideMark/>
          </w:tcPr>
          <w:p w:rsidR="00735613" w:rsidRPr="00BC79B6" w:rsidRDefault="00735613" w:rsidP="00735613">
            <w:pPr>
              <w:pStyle w:val="NotesText0"/>
              <w:rPr>
                <w:b/>
              </w:rPr>
            </w:pPr>
            <w:r>
              <w:rPr>
                <w:b/>
              </w:rPr>
              <w:t>2015</w:t>
            </w:r>
          </w:p>
        </w:tc>
      </w:tr>
      <w:tr w:rsidR="00735613" w:rsidRPr="00075D25" w:rsidTr="00735613">
        <w:tc>
          <w:tcPr>
            <w:tcW w:w="6300" w:type="dxa"/>
            <w:tcBorders>
              <w:top w:val="single" w:sz="4" w:space="0" w:color="auto"/>
              <w:left w:val="single" w:sz="4" w:space="0" w:color="auto"/>
              <w:bottom w:val="single" w:sz="4" w:space="0" w:color="auto"/>
              <w:right w:val="single" w:sz="4" w:space="0" w:color="auto"/>
            </w:tcBorders>
            <w:hideMark/>
          </w:tcPr>
          <w:p w:rsidR="00735613" w:rsidRPr="00075D25" w:rsidRDefault="00735613" w:rsidP="00735613">
            <w:pPr>
              <w:pStyle w:val="NotesText0"/>
            </w:pPr>
            <w:r w:rsidRPr="00075D25">
              <w:t>Buildings on freehold land</w:t>
            </w:r>
          </w:p>
        </w:tc>
        <w:tc>
          <w:tcPr>
            <w:tcW w:w="2820" w:type="dxa"/>
            <w:tcBorders>
              <w:top w:val="single" w:sz="4" w:space="0" w:color="auto"/>
              <w:left w:val="single" w:sz="4" w:space="0" w:color="auto"/>
              <w:bottom w:val="single" w:sz="4" w:space="0" w:color="auto"/>
              <w:right w:val="single" w:sz="4" w:space="0" w:color="auto"/>
            </w:tcBorders>
            <w:hideMark/>
          </w:tcPr>
          <w:p w:rsidR="00735613" w:rsidRPr="00075D25" w:rsidRDefault="00735613" w:rsidP="00735613">
            <w:pPr>
              <w:pStyle w:val="NotesText0"/>
            </w:pPr>
            <w:r w:rsidRPr="00075D25">
              <w:t>37-51 years</w:t>
            </w:r>
          </w:p>
        </w:tc>
      </w:tr>
      <w:tr w:rsidR="00735613" w:rsidRPr="00075D25" w:rsidTr="00735613">
        <w:tc>
          <w:tcPr>
            <w:tcW w:w="6300" w:type="dxa"/>
            <w:tcBorders>
              <w:top w:val="single" w:sz="4" w:space="0" w:color="auto"/>
              <w:left w:val="single" w:sz="4" w:space="0" w:color="auto"/>
              <w:bottom w:val="single" w:sz="4" w:space="0" w:color="auto"/>
              <w:right w:val="single" w:sz="4" w:space="0" w:color="auto"/>
            </w:tcBorders>
            <w:hideMark/>
          </w:tcPr>
          <w:p w:rsidR="00735613" w:rsidRPr="00075D25" w:rsidRDefault="00735613" w:rsidP="00735613">
            <w:pPr>
              <w:pStyle w:val="NotesText0"/>
            </w:pPr>
            <w:r w:rsidRPr="00075D25">
              <w:t>Buildings – leasehold improvements</w:t>
            </w:r>
          </w:p>
        </w:tc>
        <w:tc>
          <w:tcPr>
            <w:tcW w:w="2820" w:type="dxa"/>
            <w:tcBorders>
              <w:top w:val="single" w:sz="4" w:space="0" w:color="auto"/>
              <w:left w:val="single" w:sz="4" w:space="0" w:color="auto"/>
              <w:bottom w:val="single" w:sz="4" w:space="0" w:color="auto"/>
              <w:right w:val="single" w:sz="4" w:space="0" w:color="auto"/>
            </w:tcBorders>
            <w:hideMark/>
          </w:tcPr>
          <w:p w:rsidR="00735613" w:rsidRPr="00075D25" w:rsidRDefault="00735613" w:rsidP="00735613">
            <w:pPr>
              <w:pStyle w:val="NotesText0"/>
            </w:pPr>
            <w:r w:rsidRPr="00075D25">
              <w:t>Lease term</w:t>
            </w:r>
          </w:p>
        </w:tc>
      </w:tr>
      <w:tr w:rsidR="00735613" w:rsidRPr="00075D25" w:rsidTr="00735613">
        <w:tc>
          <w:tcPr>
            <w:tcW w:w="6300" w:type="dxa"/>
            <w:tcBorders>
              <w:top w:val="single" w:sz="4" w:space="0" w:color="auto"/>
              <w:left w:val="single" w:sz="4" w:space="0" w:color="auto"/>
              <w:bottom w:val="single" w:sz="4" w:space="0" w:color="auto"/>
              <w:right w:val="single" w:sz="4" w:space="0" w:color="auto"/>
            </w:tcBorders>
            <w:hideMark/>
          </w:tcPr>
          <w:p w:rsidR="00735613" w:rsidRPr="00075D25" w:rsidRDefault="00735613" w:rsidP="00735613">
            <w:pPr>
              <w:pStyle w:val="NotesText0"/>
            </w:pPr>
            <w:r w:rsidRPr="00075D25">
              <w:t>Infrastructure, plant and equipment</w:t>
            </w:r>
          </w:p>
        </w:tc>
        <w:tc>
          <w:tcPr>
            <w:tcW w:w="2820" w:type="dxa"/>
            <w:tcBorders>
              <w:top w:val="single" w:sz="4" w:space="0" w:color="auto"/>
              <w:left w:val="single" w:sz="4" w:space="0" w:color="auto"/>
              <w:bottom w:val="single" w:sz="4" w:space="0" w:color="auto"/>
              <w:right w:val="single" w:sz="4" w:space="0" w:color="auto"/>
            </w:tcBorders>
            <w:hideMark/>
          </w:tcPr>
          <w:p w:rsidR="00735613" w:rsidRPr="00075D25" w:rsidRDefault="00735613" w:rsidP="00735613">
            <w:pPr>
              <w:pStyle w:val="NotesText0"/>
            </w:pPr>
            <w:r w:rsidRPr="00075D25">
              <w:t>3-25 years</w:t>
            </w:r>
          </w:p>
        </w:tc>
      </w:tr>
    </w:tbl>
    <w:p w:rsidR="00735613" w:rsidRPr="00BC79B6" w:rsidRDefault="00735613" w:rsidP="00735613">
      <w:pPr>
        <w:pStyle w:val="NotesText0"/>
        <w:rPr>
          <w:i/>
        </w:rPr>
      </w:pPr>
      <w:r w:rsidRPr="00BC79B6">
        <w:rPr>
          <w:i/>
        </w:rPr>
        <w:t>Impairment</w:t>
      </w:r>
    </w:p>
    <w:p w:rsidR="00735613" w:rsidRPr="00075D25" w:rsidRDefault="00735613" w:rsidP="00735613">
      <w:pPr>
        <w:pStyle w:val="NotesText0"/>
      </w:pPr>
      <w:r w:rsidRPr="00075D25">
        <w:t xml:space="preserve">All assets were assessed for impairment at 30 June </w:t>
      </w:r>
      <w:r w:rsidR="00DF4B99">
        <w:fldChar w:fldCharType="begin"/>
      </w:r>
      <w:r w:rsidR="00DF4B99">
        <w:instrText xml:space="preserve"> DOCPROPERTY  crYear  \* MERGEFORMAT </w:instrText>
      </w:r>
      <w:r w:rsidR="00DF4B99">
        <w:fldChar w:fldCharType="separate"/>
      </w:r>
      <w:r>
        <w:t>2015</w:t>
      </w:r>
      <w:r w:rsidR="00DF4B99">
        <w:fldChar w:fldCharType="end"/>
      </w:r>
      <w:r w:rsidRPr="00075D25">
        <w:t>.  Where indications of impairment exist, the asset’s recoverable amount is estimated and an impairment adjustment made if the asset’s recoverable amount is less than its carrying amount.</w:t>
      </w:r>
    </w:p>
    <w:p w:rsidR="00735613" w:rsidRPr="00BC79B6" w:rsidRDefault="00735613" w:rsidP="00735613">
      <w:pPr>
        <w:pStyle w:val="NotesText0"/>
        <w:rPr>
          <w:i/>
        </w:rPr>
      </w:pPr>
      <w:r w:rsidRPr="00BC79B6">
        <w:rPr>
          <w:i/>
        </w:rPr>
        <w:t>Derecognition</w:t>
      </w:r>
    </w:p>
    <w:p w:rsidR="00735613" w:rsidRPr="00075D25" w:rsidRDefault="00735613" w:rsidP="00735613">
      <w:pPr>
        <w:pStyle w:val="NotesText0"/>
      </w:pPr>
      <w:r w:rsidRPr="00075D25">
        <w:t>An item of infrastructure, plant and equipment is derecognised upon disposal or when no further future economic benefits are expected from its use or disposal.</w:t>
      </w:r>
    </w:p>
    <w:p w:rsidR="00735613" w:rsidRDefault="00735613" w:rsidP="00735613">
      <w:pPr>
        <w:pStyle w:val="NotesText0"/>
        <w:rPr>
          <w:i/>
        </w:rPr>
      </w:pPr>
      <w:r>
        <w:rPr>
          <w:i/>
        </w:rPr>
        <w:br w:type="page"/>
      </w:r>
    </w:p>
    <w:p w:rsidR="00735613" w:rsidRPr="00BC79B6" w:rsidRDefault="00735613" w:rsidP="00735613">
      <w:pPr>
        <w:pStyle w:val="NotesText0"/>
        <w:rPr>
          <w:i/>
        </w:rPr>
      </w:pPr>
      <w:r w:rsidRPr="00BC79B6">
        <w:rPr>
          <w:i/>
        </w:rPr>
        <w:t>Assets not previously recognised</w:t>
      </w:r>
    </w:p>
    <w:p w:rsidR="00735613" w:rsidRPr="00075D25" w:rsidRDefault="00735613" w:rsidP="00735613">
      <w:pPr>
        <w:pStyle w:val="NotesText0"/>
      </w:pPr>
      <w:r>
        <w:t>Assets were</w:t>
      </w:r>
      <w:r w:rsidRPr="00075D25">
        <w:t xml:space="preserve"> brought to account as part of </w:t>
      </w:r>
      <w:r>
        <w:t xml:space="preserve">infrastructure, plant &amp; equipment and intangibles </w:t>
      </w:r>
      <w:r w:rsidRPr="00075D25">
        <w:t>for the first time as at</w:t>
      </w:r>
      <w:r>
        <w:t xml:space="preserve"> </w:t>
      </w:r>
      <w:r w:rsidRPr="00075D25">
        <w:t>30 June 201</w:t>
      </w:r>
      <w:r>
        <w:t>5</w:t>
      </w:r>
      <w:r w:rsidRPr="00075D25">
        <w:t xml:space="preserve">.  </w:t>
      </w:r>
    </w:p>
    <w:p w:rsidR="00735613" w:rsidRDefault="00735613" w:rsidP="00735613">
      <w:pPr>
        <w:pStyle w:val="SAPHeading-Level2"/>
        <w:numPr>
          <w:ilvl w:val="1"/>
          <w:numId w:val="15"/>
        </w:numPr>
      </w:pPr>
      <w:r>
        <w:t xml:space="preserve">Intangibles </w:t>
      </w:r>
    </w:p>
    <w:p w:rsidR="00735613" w:rsidRPr="00075D25" w:rsidRDefault="00735613" w:rsidP="00735613">
      <w:pPr>
        <w:pStyle w:val="NotesText0"/>
      </w:pPr>
      <w:r w:rsidRPr="00075D25">
        <w:t xml:space="preserve">The department’s intangibles comprise purchased and internally developed software for internal use. These assets are carried at cost less accumulated amortisation and </w:t>
      </w:r>
      <w:r>
        <w:t xml:space="preserve">accumulated impairment losses. </w:t>
      </w:r>
      <w:r w:rsidRPr="00075D25">
        <w:t>Purchases costing less than $200,000 are expensed in the year of acquisition (other than where they form part of a group of similar items which are significant in total).</w:t>
      </w:r>
    </w:p>
    <w:p w:rsidR="00735613" w:rsidRPr="00075D25" w:rsidRDefault="00735613" w:rsidP="00735613">
      <w:pPr>
        <w:pStyle w:val="NotesText0"/>
      </w:pPr>
      <w:r w:rsidRPr="00075D25">
        <w:t>Software is amortised on a straight-line basis over its anticipated useful life.  The useful lives of the department’s software are 2</w:t>
      </w:r>
      <w:r>
        <w:t>–</w:t>
      </w:r>
      <w:r w:rsidRPr="00075D25">
        <w:t>15 years.</w:t>
      </w:r>
      <w:r w:rsidRPr="00075D25">
        <w:tab/>
      </w:r>
    </w:p>
    <w:p w:rsidR="00735613" w:rsidRPr="00075D25" w:rsidRDefault="00735613" w:rsidP="00735613">
      <w:pPr>
        <w:pStyle w:val="NotesText0"/>
      </w:pPr>
      <w:r w:rsidRPr="00075D25">
        <w:t xml:space="preserve">All software assets were assessed for indications of impairment as at 30 June </w:t>
      </w:r>
      <w:r w:rsidR="00DF4B99">
        <w:fldChar w:fldCharType="begin"/>
      </w:r>
      <w:r w:rsidR="00DF4B99">
        <w:instrText xml:space="preserve"> DOCPROPERTY  crYear  \* MERGEFORMAT </w:instrText>
      </w:r>
      <w:r w:rsidR="00DF4B99">
        <w:fldChar w:fldCharType="separate"/>
      </w:r>
      <w:r>
        <w:t>2015</w:t>
      </w:r>
      <w:r w:rsidR="00DF4B99">
        <w:fldChar w:fldCharType="end"/>
      </w:r>
      <w:r w:rsidRPr="00075D25">
        <w:t>.</w:t>
      </w:r>
    </w:p>
    <w:p w:rsidR="00735613" w:rsidRDefault="00735613" w:rsidP="00735613">
      <w:pPr>
        <w:pStyle w:val="SAPHeading-Level2"/>
        <w:numPr>
          <w:ilvl w:val="1"/>
          <w:numId w:val="15"/>
        </w:numPr>
      </w:pPr>
      <w:r>
        <w:t>Taxation</w:t>
      </w:r>
    </w:p>
    <w:p w:rsidR="00735613" w:rsidRPr="00075D25" w:rsidRDefault="00735613" w:rsidP="00735613">
      <w:pPr>
        <w:pStyle w:val="NotesText0"/>
      </w:pPr>
      <w:r w:rsidRPr="00075D25">
        <w:t>The department is exempt from all forms of taxation except Fringe Benefits Tax (FBT) and the Goods and Services Tax (GST).</w:t>
      </w:r>
    </w:p>
    <w:p w:rsidR="00735613" w:rsidRPr="00075D25" w:rsidRDefault="00735613" w:rsidP="00735613">
      <w:pPr>
        <w:pStyle w:val="NotesText0"/>
      </w:pPr>
      <w:r w:rsidRPr="00075D25">
        <w:t>Revenues, expenses and assets are recognised net of GST except:</w:t>
      </w:r>
      <w:r w:rsidRPr="00075D25">
        <w:tab/>
      </w:r>
    </w:p>
    <w:p w:rsidR="00735613" w:rsidRPr="00BC79B6" w:rsidRDefault="00735613" w:rsidP="00735613">
      <w:pPr>
        <w:pStyle w:val="BulletKPMG"/>
        <w:numPr>
          <w:ilvl w:val="0"/>
          <w:numId w:val="16"/>
        </w:numPr>
        <w:rPr>
          <w:rFonts w:asciiTheme="minorHAnsi" w:hAnsiTheme="minorHAnsi" w:cstheme="minorHAnsi"/>
          <w:sz w:val="18"/>
          <w:szCs w:val="18"/>
          <w:lang w:val="en-AU"/>
        </w:rPr>
      </w:pPr>
      <w:r w:rsidRPr="00BC79B6">
        <w:rPr>
          <w:rFonts w:asciiTheme="minorHAnsi" w:hAnsiTheme="minorHAnsi" w:cstheme="minorHAnsi"/>
          <w:sz w:val="18"/>
          <w:szCs w:val="18"/>
          <w:lang w:val="en-AU"/>
        </w:rPr>
        <w:t>where the amount of GST incurred is not recoverable from the Australian Taxation Office</w:t>
      </w:r>
    </w:p>
    <w:p w:rsidR="00735613" w:rsidRPr="00BC79B6" w:rsidRDefault="00735613" w:rsidP="00735613">
      <w:pPr>
        <w:pStyle w:val="BulletKPMG"/>
        <w:numPr>
          <w:ilvl w:val="0"/>
          <w:numId w:val="16"/>
        </w:numPr>
        <w:rPr>
          <w:rFonts w:asciiTheme="minorHAnsi" w:hAnsiTheme="minorHAnsi" w:cstheme="minorHAnsi"/>
          <w:sz w:val="18"/>
          <w:szCs w:val="18"/>
          <w:lang w:val="en-AU"/>
        </w:rPr>
      </w:pPr>
      <w:proofErr w:type="gramStart"/>
      <w:r w:rsidRPr="00BC79B6">
        <w:rPr>
          <w:rFonts w:asciiTheme="minorHAnsi" w:hAnsiTheme="minorHAnsi" w:cstheme="minorHAnsi"/>
          <w:sz w:val="18"/>
          <w:szCs w:val="18"/>
          <w:lang w:val="en-AU"/>
        </w:rPr>
        <w:t>for</w:t>
      </w:r>
      <w:proofErr w:type="gramEnd"/>
      <w:r w:rsidRPr="00BC79B6">
        <w:rPr>
          <w:rFonts w:asciiTheme="minorHAnsi" w:hAnsiTheme="minorHAnsi" w:cstheme="minorHAnsi"/>
          <w:sz w:val="18"/>
          <w:szCs w:val="18"/>
          <w:lang w:val="en-AU"/>
        </w:rPr>
        <w:t xml:space="preserve"> receivables and payables.</w:t>
      </w:r>
    </w:p>
    <w:p w:rsidR="00735613" w:rsidRDefault="00735613" w:rsidP="00735613">
      <w:pPr>
        <w:pStyle w:val="SAPHeading-Level2"/>
        <w:numPr>
          <w:ilvl w:val="1"/>
          <w:numId w:val="15"/>
        </w:numPr>
      </w:pPr>
      <w:r>
        <w:t>Shared Services arrangements</w:t>
      </w:r>
    </w:p>
    <w:p w:rsidR="00735613" w:rsidRDefault="00735613" w:rsidP="00735613">
      <w:pPr>
        <w:pStyle w:val="NotesText0"/>
      </w:pPr>
      <w:r w:rsidRPr="005556A7">
        <w:t>Following</w:t>
      </w:r>
      <w:r>
        <w:t xml:space="preserve"> the Administrative Arrangement Order of 18 September 2013 which abolished</w:t>
      </w:r>
      <w:r w:rsidRPr="005556A7">
        <w:t xml:space="preserve"> the Department of Education, Emp</w:t>
      </w:r>
      <w:r>
        <w:t xml:space="preserve">loyment and Workplace Relations, </w:t>
      </w:r>
      <w:r w:rsidRPr="005556A7">
        <w:t>the Departments’ of Education</w:t>
      </w:r>
      <w:r>
        <w:t xml:space="preserve"> and Training (Education)</w:t>
      </w:r>
      <w:r w:rsidRPr="005556A7">
        <w:t xml:space="preserve"> and Employment </w:t>
      </w:r>
      <w:r>
        <w:t xml:space="preserve">(Employment) established </w:t>
      </w:r>
      <w:r w:rsidRPr="005556A7">
        <w:t>a Shared Services Centre (SSC) to support corporate services across the two agencies</w:t>
      </w:r>
      <w:r>
        <w:t xml:space="preserve">, Education and Employment, </w:t>
      </w:r>
      <w:r w:rsidRPr="005556A7">
        <w:t xml:space="preserve">and other customers.  </w:t>
      </w:r>
      <w:r>
        <w:t xml:space="preserve">The SSC </w:t>
      </w:r>
      <w:r w:rsidRPr="005556A7">
        <w:t>commence</w:t>
      </w:r>
      <w:r>
        <w:t>d</w:t>
      </w:r>
      <w:r w:rsidRPr="005556A7">
        <w:t xml:space="preserve"> operations on 1 July 2014.  The SSC provides operational, transactional, </w:t>
      </w:r>
      <w:proofErr w:type="gramStart"/>
      <w:r w:rsidRPr="005556A7">
        <w:t>advi</w:t>
      </w:r>
      <w:r>
        <w:t>sory</w:t>
      </w:r>
      <w:proofErr w:type="gramEnd"/>
      <w:r>
        <w:t xml:space="preserve"> and support functions for i</w:t>
      </w:r>
      <w:r w:rsidRPr="005556A7">
        <w:t>nforma</w:t>
      </w:r>
      <w:r>
        <w:t>tion technology and a range of corporate s</w:t>
      </w:r>
      <w:r w:rsidRPr="005556A7">
        <w:t>ervices</w:t>
      </w:r>
      <w:r>
        <w:t xml:space="preserve">. </w:t>
      </w:r>
    </w:p>
    <w:p w:rsidR="00735613" w:rsidRDefault="00735613" w:rsidP="00735613">
      <w:pPr>
        <w:pStyle w:val="NotesText0"/>
      </w:pPr>
      <w:r>
        <w:t xml:space="preserve">The SSC is classed as a joint operating arrangement under </w:t>
      </w:r>
      <w:r>
        <w:rPr>
          <w:i/>
        </w:rPr>
        <w:t xml:space="preserve">AASB 11 – Joint Arrangements, </w:t>
      </w:r>
      <w:r>
        <w:t xml:space="preserve">whereby Education and Employment have joint control of the arrangement with rights to the revenue, expenses, assets and obligations for the liabilities relating to the SSC. The rights and obligations, as well as the contributions by the partner agencies are underpinned by a Heads of Agreement between the two partner departments.  The financial statements of both departments recognise their interest in the SSC on the face of the financial statements.  </w:t>
      </w:r>
    </w:p>
    <w:p w:rsidR="00735613" w:rsidRPr="005556A7" w:rsidRDefault="00735613" w:rsidP="00735613">
      <w:pPr>
        <w:pStyle w:val="NotesText0"/>
      </w:pPr>
      <w:r>
        <w:t xml:space="preserve">The partner’s ownership is 50:50 with the exception of property related items which are allocated based on occupancy at an agreed date.  The resultant ownership percentage for Education in 2014–15 is 48 per cent. </w:t>
      </w:r>
    </w:p>
    <w:p w:rsidR="00735613" w:rsidRPr="005556A7" w:rsidRDefault="00735613" w:rsidP="00735613">
      <w:pPr>
        <w:pStyle w:val="NotesText0"/>
      </w:pPr>
    </w:p>
    <w:p w:rsidR="00735613" w:rsidRDefault="00735613" w:rsidP="00735613">
      <w:pPr>
        <w:pStyle w:val="ReferenceText"/>
      </w:pPr>
      <w:r>
        <w:br w:type="page"/>
      </w:r>
    </w:p>
    <w:tbl>
      <w:tblPr>
        <w:tblW w:w="0" w:type="auto"/>
        <w:tblLook w:val="01E0" w:firstRow="1" w:lastRow="1" w:firstColumn="1" w:lastColumn="1" w:noHBand="0" w:noVBand="0"/>
      </w:tblPr>
      <w:tblGrid>
        <w:gridCol w:w="9854"/>
      </w:tblGrid>
      <w:tr w:rsidR="00735613" w:rsidTr="00735613">
        <w:tc>
          <w:tcPr>
            <w:tcW w:w="9854" w:type="dxa"/>
            <w:shd w:val="clear" w:color="auto" w:fill="CCCCCC"/>
            <w:hideMark/>
          </w:tcPr>
          <w:p w:rsidR="00735613" w:rsidRPr="006557EB" w:rsidRDefault="00735613" w:rsidP="00735613">
            <w:pPr>
              <w:pStyle w:val="SAPHeading-Level2"/>
              <w:numPr>
                <w:ilvl w:val="1"/>
                <w:numId w:val="15"/>
              </w:numPr>
              <w:rPr>
                <w:sz w:val="18"/>
                <w:szCs w:val="18"/>
              </w:rPr>
            </w:pPr>
            <w:r w:rsidRPr="006557EB">
              <w:rPr>
                <w:sz w:val="18"/>
                <w:szCs w:val="18"/>
              </w:rPr>
              <w:t>Reporting of Administered Activities</w:t>
            </w:r>
          </w:p>
          <w:p w:rsidR="00735613" w:rsidRPr="006557EB" w:rsidRDefault="00735613" w:rsidP="00735613">
            <w:pPr>
              <w:pStyle w:val="StyleNotesTextBold1"/>
              <w:rPr>
                <w:sz w:val="18"/>
                <w:szCs w:val="18"/>
              </w:rPr>
            </w:pPr>
            <w:r w:rsidRPr="006557EB">
              <w:rPr>
                <w:sz w:val="18"/>
                <w:szCs w:val="18"/>
              </w:rPr>
              <w:t>Administered revenues, expenses, assets, liabilities and cash flows are disclosed in the Schedule of Administered Items and related notes.</w:t>
            </w:r>
          </w:p>
          <w:p w:rsidR="00735613" w:rsidRPr="006557EB" w:rsidRDefault="00735613" w:rsidP="00735613">
            <w:pPr>
              <w:pStyle w:val="StyleNotesTextBold1"/>
              <w:rPr>
                <w:sz w:val="18"/>
                <w:szCs w:val="18"/>
              </w:rPr>
            </w:pPr>
            <w:r w:rsidRPr="006557EB">
              <w:rPr>
                <w:sz w:val="18"/>
                <w:szCs w:val="18"/>
              </w:rPr>
              <w:t>Except where otherwise stated below, administered items are accounted for on the same basis and using the same policies as for departmental items, including the application of Australian Accounting Standards.</w:t>
            </w:r>
          </w:p>
          <w:p w:rsidR="00735613" w:rsidRPr="006557EB" w:rsidRDefault="00735613" w:rsidP="00735613">
            <w:pPr>
              <w:pStyle w:val="StyleNotesTextBold1"/>
              <w:rPr>
                <w:i/>
                <w:sz w:val="18"/>
                <w:szCs w:val="18"/>
              </w:rPr>
            </w:pPr>
            <w:r w:rsidRPr="006557EB">
              <w:rPr>
                <w:i/>
                <w:sz w:val="18"/>
                <w:szCs w:val="18"/>
              </w:rPr>
              <w:t>Administered cash transfers to and from the Official Public Account</w:t>
            </w:r>
          </w:p>
          <w:p w:rsidR="00735613" w:rsidRPr="006557EB" w:rsidRDefault="00735613" w:rsidP="00735613">
            <w:pPr>
              <w:pStyle w:val="StyleNotesTextBold1"/>
              <w:rPr>
                <w:sz w:val="18"/>
                <w:szCs w:val="18"/>
              </w:rPr>
            </w:pPr>
            <w:r w:rsidRPr="006557EB">
              <w:rPr>
                <w:sz w:val="18"/>
                <w:szCs w:val="18"/>
              </w:rPr>
              <w:t>Revenue collected by the department for use by the Government rather than the department is administered revenue. Collections are transferred to the Official Public Account (OPA) maintained by the Department of Finance. Conversely, cash is drawn from the OPA to make payments under Parliamentary appropriation on behalf of Government. These transfers to and from the OPA are adjustments to the administered cash held by the department on behalf of the Government and reported as such in the schedule of administered cash flows and in the administered reconciliation schedule.</w:t>
            </w:r>
          </w:p>
          <w:p w:rsidR="00735613" w:rsidRPr="006557EB" w:rsidRDefault="00735613" w:rsidP="00735613">
            <w:pPr>
              <w:pStyle w:val="StyleNotesTextBold1"/>
              <w:rPr>
                <w:i/>
                <w:sz w:val="18"/>
                <w:szCs w:val="18"/>
              </w:rPr>
            </w:pPr>
            <w:r w:rsidRPr="006557EB">
              <w:rPr>
                <w:i/>
                <w:sz w:val="18"/>
                <w:szCs w:val="18"/>
              </w:rPr>
              <w:t>Revenue</w:t>
            </w:r>
          </w:p>
          <w:p w:rsidR="00735613" w:rsidRPr="006557EB" w:rsidRDefault="00735613" w:rsidP="00735613">
            <w:pPr>
              <w:pStyle w:val="StyleNotesTextBold1"/>
              <w:rPr>
                <w:sz w:val="18"/>
                <w:szCs w:val="18"/>
              </w:rPr>
            </w:pPr>
            <w:r w:rsidRPr="006557EB">
              <w:rPr>
                <w:sz w:val="18"/>
                <w:szCs w:val="18"/>
              </w:rPr>
              <w:t>All administered revenues are revenues relating to the course of ordinary activities performed by the department on behalf of the Australian Government. As such, administered appropriations are not revenues of the individual entity that oversees distribution or expenditure of funds as directed.</w:t>
            </w:r>
          </w:p>
          <w:p w:rsidR="00735613" w:rsidRPr="006557EB" w:rsidRDefault="00735613" w:rsidP="00735613">
            <w:pPr>
              <w:pStyle w:val="StyleNotesTextBold1"/>
              <w:rPr>
                <w:sz w:val="18"/>
                <w:szCs w:val="18"/>
              </w:rPr>
            </w:pPr>
            <w:r w:rsidRPr="006557EB">
              <w:rPr>
                <w:sz w:val="18"/>
                <w:szCs w:val="18"/>
              </w:rPr>
              <w:t>Administered fee revenue is recognised when the service is provided.  Collectability of the debt is reviewed at balance date.  Impairment allowances are made when collectability of the debt is judged to be less, rather than more, likely.</w:t>
            </w:r>
          </w:p>
          <w:p w:rsidR="00735613" w:rsidRPr="006557EB" w:rsidRDefault="00735613" w:rsidP="00735613">
            <w:pPr>
              <w:pStyle w:val="StyleNotesTextBold1"/>
              <w:rPr>
                <w:i/>
                <w:sz w:val="18"/>
                <w:szCs w:val="18"/>
              </w:rPr>
            </w:pPr>
            <w:r w:rsidRPr="006557EB">
              <w:rPr>
                <w:i/>
                <w:sz w:val="18"/>
                <w:szCs w:val="18"/>
              </w:rPr>
              <w:t>Gains and losses</w:t>
            </w:r>
          </w:p>
          <w:p w:rsidR="00735613" w:rsidRPr="006557EB" w:rsidRDefault="00735613" w:rsidP="00735613">
            <w:pPr>
              <w:pStyle w:val="StyleNotesTextBold1"/>
              <w:rPr>
                <w:sz w:val="18"/>
                <w:szCs w:val="18"/>
              </w:rPr>
            </w:pPr>
            <w:r w:rsidRPr="006557EB">
              <w:rPr>
                <w:sz w:val="18"/>
                <w:szCs w:val="18"/>
              </w:rPr>
              <w:t>Administered gains or losses under the Higher Education Loan Program (HELP) and Unfunded University Superannuation are recognised at 30 June each year based on an actuarial assessment of the fair value.</w:t>
            </w:r>
          </w:p>
          <w:p w:rsidR="00735613" w:rsidRPr="006557EB" w:rsidRDefault="00735613" w:rsidP="00735613">
            <w:pPr>
              <w:pStyle w:val="StyleNotesTextBold1"/>
              <w:rPr>
                <w:i/>
                <w:sz w:val="18"/>
                <w:szCs w:val="18"/>
              </w:rPr>
            </w:pPr>
            <w:r w:rsidRPr="006557EB">
              <w:rPr>
                <w:i/>
                <w:sz w:val="18"/>
                <w:szCs w:val="18"/>
              </w:rPr>
              <w:t>Loans and receivables</w:t>
            </w:r>
          </w:p>
          <w:p w:rsidR="00735613" w:rsidRPr="006557EB" w:rsidRDefault="00735613" w:rsidP="00735613">
            <w:pPr>
              <w:pStyle w:val="StyleNotesTextBold1"/>
              <w:rPr>
                <w:sz w:val="18"/>
                <w:szCs w:val="18"/>
              </w:rPr>
            </w:pPr>
            <w:r w:rsidRPr="006557EB">
              <w:rPr>
                <w:sz w:val="18"/>
                <w:szCs w:val="18"/>
              </w:rPr>
              <w:t xml:space="preserve">Where loans and receivables are not subject to concessional treatment, they are carried at amortised cost using the effective interest method.  Gains and losses due to </w:t>
            </w:r>
            <w:proofErr w:type="gramStart"/>
            <w:r w:rsidRPr="006557EB">
              <w:rPr>
                <w:sz w:val="18"/>
                <w:szCs w:val="18"/>
              </w:rPr>
              <w:t>impairment,</w:t>
            </w:r>
            <w:proofErr w:type="gramEnd"/>
            <w:r w:rsidRPr="006557EB">
              <w:rPr>
                <w:sz w:val="18"/>
                <w:szCs w:val="18"/>
              </w:rPr>
              <w:t xml:space="preserve"> derecognition and amortisation are recognised through profit or loss.  </w:t>
            </w:r>
          </w:p>
          <w:p w:rsidR="00735613" w:rsidRPr="006557EB" w:rsidRDefault="00735613" w:rsidP="00735613">
            <w:pPr>
              <w:pStyle w:val="StyleNotesTextBold1"/>
              <w:rPr>
                <w:sz w:val="18"/>
                <w:szCs w:val="18"/>
              </w:rPr>
            </w:pPr>
            <w:r w:rsidRPr="006557EB">
              <w:rPr>
                <w:sz w:val="18"/>
                <w:szCs w:val="18"/>
              </w:rPr>
              <w:t xml:space="preserve">The HELP scheme is administered under the </w:t>
            </w:r>
            <w:r w:rsidRPr="006557EB">
              <w:rPr>
                <w:i/>
                <w:sz w:val="18"/>
                <w:szCs w:val="18"/>
              </w:rPr>
              <w:t>Higher Education Support Act 2003</w:t>
            </w:r>
            <w:r w:rsidRPr="006557EB">
              <w:rPr>
                <w:sz w:val="18"/>
                <w:szCs w:val="18"/>
              </w:rPr>
              <w:t>. HELP consists of HECS-HELP, FEE-HELP, OS-HELP and VET FEE-HELP, and any resulting debts are called a HELP debt.</w:t>
            </w:r>
          </w:p>
          <w:p w:rsidR="00735613" w:rsidRPr="006557EB" w:rsidRDefault="00735613" w:rsidP="00735613">
            <w:pPr>
              <w:pStyle w:val="StyleNotesTextBold1"/>
              <w:rPr>
                <w:sz w:val="18"/>
                <w:szCs w:val="18"/>
              </w:rPr>
            </w:pPr>
            <w:r w:rsidRPr="006557EB">
              <w:rPr>
                <w:sz w:val="18"/>
                <w:szCs w:val="18"/>
              </w:rPr>
              <w:t>The HELP debts are reflected as a receivable in the Schedule of Administered Items.  The Australian Taxation Office (ATO) collects repayments of debts through the PAYG income tax system and voluntary repayments.</w:t>
            </w:r>
          </w:p>
          <w:p w:rsidR="00735613" w:rsidRPr="006557EB" w:rsidRDefault="00735613" w:rsidP="00735613">
            <w:pPr>
              <w:pStyle w:val="StyleNotesTextBold1"/>
              <w:rPr>
                <w:sz w:val="18"/>
                <w:szCs w:val="18"/>
              </w:rPr>
            </w:pPr>
            <w:r w:rsidRPr="006557EB">
              <w:rPr>
                <w:sz w:val="18"/>
                <w:szCs w:val="18"/>
              </w:rPr>
              <w:t xml:space="preserve">The department has recorded the total accumulated HECS and / or HELP debt in its financial statements at fair value in accordance with </w:t>
            </w:r>
            <w:r w:rsidRPr="006557EB">
              <w:rPr>
                <w:i/>
                <w:sz w:val="18"/>
                <w:szCs w:val="18"/>
              </w:rPr>
              <w:t>AASB 139 Financial Instruments: Recognition and Measurement</w:t>
            </w:r>
            <w:r w:rsidRPr="006557EB">
              <w:rPr>
                <w:sz w:val="18"/>
                <w:szCs w:val="18"/>
              </w:rPr>
              <w:t>. This varies from the debt level shown in the ATO certificate.</w:t>
            </w:r>
          </w:p>
          <w:p w:rsidR="00735613" w:rsidRPr="006557EB" w:rsidRDefault="00735613" w:rsidP="00735613">
            <w:pPr>
              <w:pStyle w:val="StyleNotesTextBold1"/>
              <w:rPr>
                <w:sz w:val="18"/>
                <w:szCs w:val="18"/>
              </w:rPr>
            </w:pPr>
            <w:r w:rsidRPr="006557EB">
              <w:rPr>
                <w:sz w:val="18"/>
                <w:szCs w:val="18"/>
              </w:rPr>
              <w:t xml:space="preserve">Administered receivables, including those relating to personal benefit </w:t>
            </w:r>
            <w:proofErr w:type="gramStart"/>
            <w:r w:rsidRPr="006557EB">
              <w:rPr>
                <w:sz w:val="18"/>
                <w:szCs w:val="18"/>
              </w:rPr>
              <w:t>overpayments,</w:t>
            </w:r>
            <w:proofErr w:type="gramEnd"/>
            <w:r w:rsidRPr="006557EB">
              <w:rPr>
                <w:sz w:val="18"/>
                <w:szCs w:val="18"/>
              </w:rPr>
              <w:t xml:space="preserve"> represent debts owed to the department by past and present customers. All debts known to be irrecoverable are excluded from the value of administered receivables. </w:t>
            </w:r>
          </w:p>
        </w:tc>
      </w:tr>
    </w:tbl>
    <w:p w:rsidR="00735613" w:rsidRDefault="00735613">
      <w:r>
        <w:rPr>
          <w:bCs/>
        </w:rPr>
        <w:br w:type="page"/>
      </w:r>
    </w:p>
    <w:tbl>
      <w:tblPr>
        <w:tblW w:w="0" w:type="auto"/>
        <w:tblLook w:val="01E0" w:firstRow="1" w:lastRow="1" w:firstColumn="1" w:lastColumn="1" w:noHBand="0" w:noVBand="0"/>
      </w:tblPr>
      <w:tblGrid>
        <w:gridCol w:w="9854"/>
      </w:tblGrid>
      <w:tr w:rsidR="00735613" w:rsidTr="00735613">
        <w:tc>
          <w:tcPr>
            <w:tcW w:w="9854" w:type="dxa"/>
            <w:shd w:val="clear" w:color="auto" w:fill="CCCCCC"/>
            <w:hideMark/>
          </w:tcPr>
          <w:p w:rsidR="00735613" w:rsidRPr="006557EB" w:rsidRDefault="00735613" w:rsidP="00735613">
            <w:pPr>
              <w:pStyle w:val="StyleNotesTextBold1"/>
              <w:rPr>
                <w:sz w:val="18"/>
                <w:szCs w:val="18"/>
              </w:rPr>
            </w:pPr>
            <w:r w:rsidRPr="006557EB">
              <w:rPr>
                <w:sz w:val="18"/>
                <w:szCs w:val="18"/>
              </w:rPr>
              <w:t>Independent valuations are conducted with sufficient frequency to ensure that the carrying amounts of impairment allowances for doubtful debts does not differ materially from the fair value as at the reporting date. The regularity of independent valuations depends upon the volatility of movements in the programs.</w:t>
            </w:r>
          </w:p>
          <w:p w:rsidR="00735613" w:rsidRPr="006D5089" w:rsidRDefault="00735613" w:rsidP="00735613">
            <w:pPr>
              <w:pStyle w:val="StyleNotesTextBold1"/>
              <w:rPr>
                <w:i/>
                <w:sz w:val="18"/>
                <w:szCs w:val="18"/>
              </w:rPr>
            </w:pPr>
            <w:r w:rsidRPr="006D5089">
              <w:rPr>
                <w:i/>
                <w:sz w:val="18"/>
                <w:szCs w:val="18"/>
              </w:rPr>
              <w:t>Administered investments</w:t>
            </w:r>
          </w:p>
          <w:p w:rsidR="00735613" w:rsidRPr="006557EB" w:rsidRDefault="00735613" w:rsidP="00735613">
            <w:pPr>
              <w:pStyle w:val="StyleNotesTextBold1"/>
              <w:rPr>
                <w:sz w:val="18"/>
                <w:szCs w:val="18"/>
              </w:rPr>
            </w:pPr>
            <w:r w:rsidRPr="006557EB">
              <w:rPr>
                <w:sz w:val="18"/>
                <w:szCs w:val="18"/>
              </w:rPr>
              <w:t>Administered investments in subsidiaries, joint ventures and associates are not consolidated because their consolidation is relevant only at the Whole of Government level.</w:t>
            </w:r>
          </w:p>
          <w:p w:rsidR="00735613" w:rsidRPr="006557EB" w:rsidRDefault="00735613" w:rsidP="00735613">
            <w:pPr>
              <w:pStyle w:val="StyleNotesTextBold1"/>
              <w:rPr>
                <w:sz w:val="18"/>
                <w:szCs w:val="18"/>
              </w:rPr>
            </w:pPr>
            <w:r w:rsidRPr="006557EB">
              <w:rPr>
                <w:sz w:val="18"/>
                <w:szCs w:val="18"/>
              </w:rPr>
              <w:t xml:space="preserve">Administered investments other than those held for sale are classified as available–for–sale and are measured at their fair value as at 30 June </w:t>
            </w:r>
            <w:r w:rsidRPr="006557EB">
              <w:rPr>
                <w:sz w:val="18"/>
                <w:szCs w:val="18"/>
              </w:rPr>
              <w:fldChar w:fldCharType="begin"/>
            </w:r>
            <w:r w:rsidRPr="006557EB">
              <w:rPr>
                <w:sz w:val="18"/>
                <w:szCs w:val="18"/>
              </w:rPr>
              <w:instrText xml:space="preserve"> DOCPROPERTY  crYear  \* MERGEFORMAT </w:instrText>
            </w:r>
            <w:r w:rsidRPr="006557EB">
              <w:rPr>
                <w:sz w:val="18"/>
                <w:szCs w:val="18"/>
              </w:rPr>
              <w:fldChar w:fldCharType="separate"/>
            </w:r>
            <w:r w:rsidRPr="006557EB">
              <w:rPr>
                <w:sz w:val="18"/>
                <w:szCs w:val="18"/>
              </w:rPr>
              <w:t>2015</w:t>
            </w:r>
            <w:r w:rsidRPr="006557EB">
              <w:rPr>
                <w:sz w:val="18"/>
                <w:szCs w:val="18"/>
              </w:rPr>
              <w:fldChar w:fldCharType="end"/>
            </w:r>
            <w:r w:rsidRPr="006557EB">
              <w:rPr>
                <w:sz w:val="18"/>
                <w:szCs w:val="18"/>
              </w:rPr>
              <w:t xml:space="preserve">.  Fair value has been taken to be the Australian Government's proportional interest in the net assets of the entities as at the end of the reporting period.  </w:t>
            </w:r>
          </w:p>
          <w:p w:rsidR="00735613" w:rsidRPr="006D5089" w:rsidRDefault="00735613" w:rsidP="00735613">
            <w:pPr>
              <w:pStyle w:val="StyleNotesTextBold1"/>
              <w:rPr>
                <w:i/>
                <w:sz w:val="18"/>
                <w:szCs w:val="18"/>
              </w:rPr>
            </w:pPr>
            <w:r w:rsidRPr="006D5089">
              <w:rPr>
                <w:i/>
                <w:sz w:val="18"/>
                <w:szCs w:val="18"/>
              </w:rPr>
              <w:t>Grants and subsidies</w:t>
            </w:r>
          </w:p>
          <w:p w:rsidR="00735613" w:rsidRPr="006557EB" w:rsidRDefault="00735613" w:rsidP="00735613">
            <w:pPr>
              <w:pStyle w:val="StyleNotesTextBold1"/>
              <w:rPr>
                <w:sz w:val="18"/>
                <w:szCs w:val="18"/>
              </w:rPr>
            </w:pPr>
            <w:r w:rsidRPr="006557EB">
              <w:rPr>
                <w:sz w:val="18"/>
                <w:szCs w:val="18"/>
              </w:rPr>
              <w:t>The department administers a number of grant and subsidy schemes on behalf of the Government.</w:t>
            </w:r>
          </w:p>
          <w:p w:rsidR="00735613" w:rsidRPr="006557EB" w:rsidRDefault="00735613" w:rsidP="00735613">
            <w:pPr>
              <w:pStyle w:val="StyleNotesTextBold1"/>
              <w:rPr>
                <w:sz w:val="18"/>
                <w:szCs w:val="18"/>
              </w:rPr>
            </w:pPr>
            <w:r w:rsidRPr="006557EB">
              <w:rPr>
                <w:sz w:val="18"/>
                <w:szCs w:val="18"/>
              </w:rPr>
              <w:t>Grant and subsidy liabilities are recognised to the extent that (i) the services required to be performed by the grantee have been performed or (ii) the grant eligibility criteria have been satisfied, but payments due have not been made. A commitment is recorded when the Government enters into an agreement to make these grants but services have not been performed or criteria satisfied.</w:t>
            </w:r>
          </w:p>
          <w:p w:rsidR="00735613" w:rsidRPr="006557EB" w:rsidRDefault="00735613" w:rsidP="00735613">
            <w:pPr>
              <w:pStyle w:val="StyleNotesTextBold1"/>
              <w:rPr>
                <w:sz w:val="18"/>
                <w:szCs w:val="18"/>
              </w:rPr>
            </w:pPr>
            <w:r w:rsidRPr="006557EB">
              <w:rPr>
                <w:sz w:val="18"/>
                <w:szCs w:val="18"/>
              </w:rPr>
              <w:t xml:space="preserve">Under the Federal Financial Framework </w:t>
            </w:r>
            <w:r>
              <w:rPr>
                <w:sz w:val="18"/>
                <w:szCs w:val="18"/>
              </w:rPr>
              <w:t>agreed</w:t>
            </w:r>
            <w:r w:rsidRPr="006557EB">
              <w:rPr>
                <w:sz w:val="18"/>
                <w:szCs w:val="18"/>
              </w:rPr>
              <w:t xml:space="preserve"> with Council of Australian Governments (COAG), which came into effect on 1 January 2009, the Department of the Treasury is accountable for the payment of grants under the National Partnership Agreements to the States and Territories. The department reports payments made to and through state and state and territory governments as </w:t>
            </w:r>
            <w:r>
              <w:rPr>
                <w:sz w:val="18"/>
                <w:szCs w:val="18"/>
              </w:rPr>
              <w:t xml:space="preserve">grants to state and territory governments </w:t>
            </w:r>
            <w:r w:rsidRPr="006557EB">
              <w:rPr>
                <w:sz w:val="18"/>
                <w:szCs w:val="18"/>
              </w:rPr>
              <w:t>(Note 1</w:t>
            </w:r>
            <w:r>
              <w:rPr>
                <w:sz w:val="18"/>
                <w:szCs w:val="18"/>
              </w:rPr>
              <w:t>8</w:t>
            </w:r>
            <w:r w:rsidRPr="006557EB">
              <w:rPr>
                <w:sz w:val="18"/>
                <w:szCs w:val="18"/>
              </w:rPr>
              <w:t xml:space="preserve">D). </w:t>
            </w:r>
          </w:p>
          <w:p w:rsidR="00735613" w:rsidRPr="006557EB" w:rsidRDefault="00735613" w:rsidP="00735613">
            <w:pPr>
              <w:pStyle w:val="StyleNotesTextBold1"/>
              <w:rPr>
                <w:sz w:val="18"/>
                <w:szCs w:val="18"/>
              </w:rPr>
            </w:pPr>
            <w:r w:rsidRPr="006557EB">
              <w:rPr>
                <w:sz w:val="18"/>
                <w:szCs w:val="18"/>
              </w:rPr>
              <w:t xml:space="preserve">The Australian Government continues to have regard to developments in case law, including the High Court’s most recent decision on Commonwealth expenditure in </w:t>
            </w:r>
            <w:r>
              <w:rPr>
                <w:i/>
                <w:sz w:val="18"/>
                <w:szCs w:val="18"/>
              </w:rPr>
              <w:t>Williams v Commonwealth [</w:t>
            </w:r>
            <w:r w:rsidRPr="006D5089">
              <w:rPr>
                <w:i/>
                <w:sz w:val="18"/>
                <w:szCs w:val="18"/>
              </w:rPr>
              <w:t>201</w:t>
            </w:r>
            <w:r>
              <w:rPr>
                <w:i/>
                <w:sz w:val="18"/>
                <w:szCs w:val="18"/>
              </w:rPr>
              <w:t>4]</w:t>
            </w:r>
            <w:r w:rsidRPr="006557EB">
              <w:rPr>
                <w:sz w:val="18"/>
                <w:szCs w:val="18"/>
              </w:rPr>
              <w:t xml:space="preserve"> </w:t>
            </w:r>
            <w:r w:rsidRPr="00BC33BA">
              <w:rPr>
                <w:i/>
                <w:sz w:val="18"/>
                <w:szCs w:val="18"/>
              </w:rPr>
              <w:t>HCA 23</w:t>
            </w:r>
            <w:r w:rsidRPr="006557EB">
              <w:rPr>
                <w:sz w:val="18"/>
                <w:szCs w:val="18"/>
              </w:rPr>
              <w:t xml:space="preserve">, as they contribute to the larger body of law relevant to the development of Commonwealth </w:t>
            </w:r>
            <w:r>
              <w:rPr>
                <w:sz w:val="18"/>
                <w:szCs w:val="18"/>
              </w:rPr>
              <w:t>programmes</w:t>
            </w:r>
            <w:r w:rsidRPr="006557EB">
              <w:rPr>
                <w:sz w:val="18"/>
                <w:szCs w:val="18"/>
              </w:rPr>
              <w:t>. In accordance with its general practice, the Government will continue to monitor and assess risk and decide on any appropriate actions to respond to risks of expenditure not being consistent with constitutional or other legal requirements.</w:t>
            </w:r>
          </w:p>
          <w:p w:rsidR="00735613" w:rsidRPr="00E90245" w:rsidRDefault="00735613" w:rsidP="00735613">
            <w:pPr>
              <w:pStyle w:val="StyleNotesTextBold1"/>
              <w:rPr>
                <w:i/>
                <w:sz w:val="18"/>
                <w:szCs w:val="18"/>
              </w:rPr>
            </w:pPr>
            <w:r w:rsidRPr="00E90245">
              <w:rPr>
                <w:i/>
                <w:sz w:val="18"/>
                <w:szCs w:val="18"/>
              </w:rPr>
              <w:t>Unfunded Superannuation Provision for Australian Universities</w:t>
            </w:r>
          </w:p>
          <w:p w:rsidR="00735613" w:rsidRPr="00E90245" w:rsidRDefault="00735613" w:rsidP="00735613">
            <w:pPr>
              <w:pStyle w:val="StyleNotesTextBold1"/>
              <w:rPr>
                <w:sz w:val="18"/>
                <w:szCs w:val="18"/>
              </w:rPr>
            </w:pPr>
            <w:r w:rsidRPr="00E90245">
              <w:rPr>
                <w:sz w:val="18"/>
                <w:szCs w:val="18"/>
              </w:rPr>
              <w:t>Historically, funding responsibility for universities has varied from time to time between the Commonwealth and the States.</w:t>
            </w:r>
          </w:p>
          <w:p w:rsidR="00735613" w:rsidRPr="00E90245" w:rsidRDefault="00735613" w:rsidP="00735613">
            <w:pPr>
              <w:pStyle w:val="StyleNotesTextBold1"/>
              <w:rPr>
                <w:sz w:val="18"/>
                <w:szCs w:val="18"/>
              </w:rPr>
            </w:pPr>
            <w:r w:rsidRPr="00E90245">
              <w:rPr>
                <w:sz w:val="18"/>
                <w:szCs w:val="18"/>
              </w:rPr>
              <w:t>A number of universities have employees or former employees who are members of old State-based superannuation schemes which are unfunded or partly funded. Accordingly, there are cost sharing arrangements for these schemes in place between the Commonwealth and the States.</w:t>
            </w:r>
          </w:p>
          <w:p w:rsidR="00735613" w:rsidRPr="00E90245" w:rsidRDefault="00735613" w:rsidP="00735613">
            <w:pPr>
              <w:pStyle w:val="StyleNotesTextBold1"/>
              <w:rPr>
                <w:sz w:val="18"/>
                <w:szCs w:val="18"/>
              </w:rPr>
            </w:pPr>
            <w:r w:rsidRPr="00E90245">
              <w:rPr>
                <w:sz w:val="18"/>
                <w:szCs w:val="18"/>
              </w:rPr>
              <w:t>The Commonwealth recognises the amount payable to eligible universities in Victoria, South Australia, Western Australia, Tasmania, Northern Territory and the Australian Capital Territory for these entitlements in full. The Commonwealth is then reimbursed by the States for their share of the costs.</w:t>
            </w:r>
          </w:p>
          <w:p w:rsidR="00735613" w:rsidRPr="00E90245" w:rsidRDefault="00735613" w:rsidP="00735613">
            <w:pPr>
              <w:pStyle w:val="StyleNotesTextBold1"/>
              <w:rPr>
                <w:sz w:val="18"/>
                <w:szCs w:val="18"/>
              </w:rPr>
            </w:pPr>
            <w:r w:rsidRPr="00E90245">
              <w:rPr>
                <w:sz w:val="18"/>
                <w:szCs w:val="18"/>
              </w:rPr>
              <w:t>For universities in NSW</w:t>
            </w:r>
            <w:r>
              <w:rPr>
                <w:sz w:val="18"/>
                <w:szCs w:val="18"/>
              </w:rPr>
              <w:t>,</w:t>
            </w:r>
            <w:r w:rsidRPr="00E90245">
              <w:rPr>
                <w:sz w:val="18"/>
                <w:szCs w:val="18"/>
              </w:rPr>
              <w:t xml:space="preserve"> different cost share arrangements were introduced in 2014.  The Commonwealth recognises a liability for 78 per cent of the amount payable to NSW universities and the NSW State governmen</w:t>
            </w:r>
            <w:r>
              <w:rPr>
                <w:sz w:val="18"/>
                <w:szCs w:val="18"/>
              </w:rPr>
              <w:t>t recognises a liability for 22</w:t>
            </w:r>
            <w:r w:rsidRPr="00E90245">
              <w:rPr>
                <w:sz w:val="18"/>
                <w:szCs w:val="18"/>
              </w:rPr>
              <w:t xml:space="preserve"> per cent of the amount payable to NSW universities.  Consequently there is no reimbursement from NSW.</w:t>
            </w:r>
          </w:p>
          <w:p w:rsidR="00735613" w:rsidRPr="00E90245" w:rsidRDefault="00735613" w:rsidP="00735613">
            <w:pPr>
              <w:pStyle w:val="StyleNotesTextBold1"/>
              <w:rPr>
                <w:sz w:val="18"/>
                <w:szCs w:val="18"/>
              </w:rPr>
            </w:pPr>
            <w:r w:rsidRPr="00E90245">
              <w:rPr>
                <w:sz w:val="18"/>
                <w:szCs w:val="18"/>
              </w:rPr>
              <w:t>The Department recognises two items in its Financial Statements that relate to the Unfunded Superannuation for Australian Universities – a liability and a receivable.</w:t>
            </w:r>
          </w:p>
          <w:p w:rsidR="00735613" w:rsidRPr="00E90245" w:rsidRDefault="00735613" w:rsidP="00735613">
            <w:pPr>
              <w:pStyle w:val="StyleNotesTextBold1"/>
              <w:rPr>
                <w:sz w:val="18"/>
                <w:szCs w:val="18"/>
              </w:rPr>
            </w:pPr>
            <w:r w:rsidRPr="00E90245">
              <w:rPr>
                <w:sz w:val="18"/>
                <w:szCs w:val="18"/>
              </w:rPr>
              <w:t>The liability comprises a provision for:</w:t>
            </w:r>
          </w:p>
          <w:p w:rsidR="00735613" w:rsidRPr="00E90245" w:rsidRDefault="00735613" w:rsidP="00735613">
            <w:pPr>
              <w:pStyle w:val="StyleNotesTextBold1"/>
              <w:numPr>
                <w:ilvl w:val="0"/>
                <w:numId w:val="34"/>
              </w:numPr>
              <w:rPr>
                <w:sz w:val="18"/>
                <w:szCs w:val="18"/>
              </w:rPr>
            </w:pPr>
            <w:r w:rsidRPr="00E90245">
              <w:rPr>
                <w:sz w:val="18"/>
                <w:szCs w:val="18"/>
              </w:rPr>
              <w:t>the total amount of funding expected to be paid by the Commonwealth to  universities in Victoria, South Australia, Western Australia, Tasmania, Northern Territory and the Australian Capital Territory; and</w:t>
            </w:r>
          </w:p>
          <w:p w:rsidR="00735613" w:rsidRPr="00E90245" w:rsidRDefault="00735613" w:rsidP="00735613">
            <w:pPr>
              <w:pStyle w:val="StyleNotesTextBold1"/>
              <w:numPr>
                <w:ilvl w:val="0"/>
                <w:numId w:val="34"/>
              </w:numPr>
              <w:rPr>
                <w:sz w:val="18"/>
                <w:szCs w:val="18"/>
              </w:rPr>
            </w:pPr>
            <w:r w:rsidRPr="00E90245">
              <w:rPr>
                <w:sz w:val="18"/>
                <w:szCs w:val="18"/>
              </w:rPr>
              <w:t>78 per cent of the funding expected to be paid to universities in NSW</w:t>
            </w:r>
            <w:r>
              <w:rPr>
                <w:sz w:val="18"/>
                <w:szCs w:val="18"/>
              </w:rPr>
              <w:t>.</w:t>
            </w:r>
          </w:p>
          <w:p w:rsidR="00735613" w:rsidRPr="00E90245" w:rsidRDefault="00735613" w:rsidP="00735613">
            <w:pPr>
              <w:pStyle w:val="StyleNotesTextBold1"/>
              <w:rPr>
                <w:sz w:val="18"/>
                <w:szCs w:val="18"/>
              </w:rPr>
            </w:pPr>
            <w:r>
              <w:rPr>
                <w:sz w:val="18"/>
                <w:szCs w:val="18"/>
              </w:rPr>
              <w:t xml:space="preserve">The provision is an estimate of the </w:t>
            </w:r>
            <w:r w:rsidRPr="00E90245">
              <w:rPr>
                <w:sz w:val="18"/>
                <w:szCs w:val="18"/>
              </w:rPr>
              <w:t xml:space="preserve">outstanding employer contribution obligations to the various old </w:t>
            </w:r>
            <w:proofErr w:type="gramStart"/>
            <w:r w:rsidRPr="00E90245">
              <w:rPr>
                <w:sz w:val="18"/>
                <w:szCs w:val="18"/>
              </w:rPr>
              <w:t>State</w:t>
            </w:r>
            <w:proofErr w:type="gramEnd"/>
            <w:r w:rsidRPr="00E90245">
              <w:rPr>
                <w:sz w:val="18"/>
                <w:szCs w:val="18"/>
              </w:rPr>
              <w:t xml:space="preserve"> based superannuation schemes to which some of their former employees belong.</w:t>
            </w:r>
          </w:p>
          <w:p w:rsidR="00735613" w:rsidRPr="00E90245" w:rsidRDefault="00735613" w:rsidP="00735613">
            <w:pPr>
              <w:pStyle w:val="StyleNotesTextBold1"/>
              <w:rPr>
                <w:sz w:val="18"/>
                <w:szCs w:val="18"/>
              </w:rPr>
            </w:pPr>
            <w:r w:rsidRPr="00E90245">
              <w:rPr>
                <w:sz w:val="18"/>
                <w:szCs w:val="18"/>
              </w:rPr>
              <w:t xml:space="preserve">The provision is recognised in accordance with </w:t>
            </w:r>
            <w:r w:rsidRPr="00DE24EE">
              <w:rPr>
                <w:i/>
                <w:sz w:val="18"/>
                <w:szCs w:val="18"/>
              </w:rPr>
              <w:t>AASB 137 Provisions, Contingent Liabilities and Contingent Assets</w:t>
            </w:r>
            <w:r w:rsidRPr="00E90245">
              <w:rPr>
                <w:sz w:val="18"/>
                <w:szCs w:val="18"/>
              </w:rPr>
              <w:t>, which requires the recognition of a provision where it is probable that a future sacrifice of economic benefit will be required and where the provision can be measured reliably, as a best estimate of the expenditure required to settle the present obligation at reporting date.</w:t>
            </w:r>
          </w:p>
          <w:p w:rsidR="00735613" w:rsidRPr="00E90245" w:rsidRDefault="00735613" w:rsidP="00735613">
            <w:pPr>
              <w:pStyle w:val="StyleNotesTextBold1"/>
              <w:rPr>
                <w:sz w:val="18"/>
                <w:szCs w:val="18"/>
              </w:rPr>
            </w:pPr>
            <w:r w:rsidRPr="00E90245">
              <w:rPr>
                <w:sz w:val="18"/>
                <w:szCs w:val="18"/>
              </w:rPr>
              <w:t>The receivable comprises the contributions due and payable by the States Governments of Victoria, South Australia, Western Australia and Tasmania to the Commonwealth under the cost sharing arrangement – representing each State’s share of the outstanding superannuation entitlement as at reporting date.</w:t>
            </w:r>
          </w:p>
          <w:p w:rsidR="00735613" w:rsidRPr="00E90245" w:rsidRDefault="00735613" w:rsidP="00735613">
            <w:pPr>
              <w:pStyle w:val="StyleNotesTextBold1"/>
              <w:rPr>
                <w:sz w:val="18"/>
                <w:szCs w:val="18"/>
              </w:rPr>
            </w:pPr>
            <w:r w:rsidRPr="00E90245">
              <w:rPr>
                <w:sz w:val="18"/>
                <w:szCs w:val="18"/>
              </w:rPr>
              <w:t xml:space="preserve">The Australian Government Actuary (AGA) provides an estimate of both the liability and receivable, based on data and calculations provided by each university’s respective actuary. Both the AGA and the Department apply the provisions of </w:t>
            </w:r>
            <w:r w:rsidRPr="00E90245">
              <w:rPr>
                <w:i/>
                <w:iCs/>
                <w:sz w:val="18"/>
                <w:szCs w:val="18"/>
              </w:rPr>
              <w:t>AASB 119 Employee Benefits</w:t>
            </w:r>
            <w:r w:rsidRPr="00E90245">
              <w:rPr>
                <w:sz w:val="18"/>
                <w:szCs w:val="18"/>
              </w:rPr>
              <w:t xml:space="preserve"> in measuring the liability at reporting date. In accordance with the generally accepted accounting principles, the Financial Statements have recognised a liability for the total unfunded university superannuation of $6.068 billion. A gross receivable, representing the estimated reimbursement from the Victoria, South Australia, Western Australia and Tasmania States of $382 million. </w:t>
            </w:r>
          </w:p>
          <w:p w:rsidR="00735613" w:rsidRPr="006D5089" w:rsidRDefault="00735613" w:rsidP="00735613">
            <w:pPr>
              <w:pStyle w:val="StyleNotesTextBold1"/>
              <w:rPr>
                <w:i/>
                <w:sz w:val="18"/>
                <w:szCs w:val="18"/>
              </w:rPr>
            </w:pPr>
            <w:r w:rsidRPr="006D5089">
              <w:rPr>
                <w:i/>
                <w:sz w:val="18"/>
                <w:szCs w:val="18"/>
              </w:rPr>
              <w:t>Personal Benefits</w:t>
            </w:r>
          </w:p>
          <w:p w:rsidR="00735613" w:rsidRPr="00207FCB" w:rsidRDefault="00735613" w:rsidP="00735613">
            <w:pPr>
              <w:pStyle w:val="StyleNotesTextBold1"/>
              <w:rPr>
                <w:sz w:val="18"/>
                <w:szCs w:val="18"/>
              </w:rPr>
            </w:pPr>
            <w:r w:rsidRPr="00207FCB">
              <w:rPr>
                <w:sz w:val="18"/>
                <w:szCs w:val="18"/>
              </w:rPr>
              <w:t xml:space="preserve">The department administers a number of personal benefit programmes on behalf of the government that provide entitlements to individuals. Payments are determined in accordance with provisions under social security law and other legislation. </w:t>
            </w:r>
          </w:p>
          <w:p w:rsidR="00735613" w:rsidRDefault="00735613" w:rsidP="00735613">
            <w:pPr>
              <w:pStyle w:val="StyleNotesTextBold1"/>
              <w:rPr>
                <w:sz w:val="18"/>
                <w:szCs w:val="18"/>
              </w:rPr>
            </w:pPr>
            <w:r w:rsidRPr="00207FCB">
              <w:rPr>
                <w:sz w:val="18"/>
                <w:szCs w:val="18"/>
              </w:rPr>
              <w:t xml:space="preserve">The department made payments in accordance with family assistance law (comprising the </w:t>
            </w:r>
            <w:r w:rsidRPr="00A57066">
              <w:rPr>
                <w:i/>
                <w:sz w:val="18"/>
                <w:szCs w:val="18"/>
              </w:rPr>
              <w:t>A New Tax System (Family Assistance) Act 1999</w:t>
            </w:r>
            <w:r w:rsidRPr="00207FCB">
              <w:rPr>
                <w:sz w:val="18"/>
                <w:szCs w:val="18"/>
              </w:rPr>
              <w:t xml:space="preserve"> and </w:t>
            </w:r>
            <w:r w:rsidRPr="00A57066">
              <w:rPr>
                <w:i/>
                <w:sz w:val="18"/>
                <w:szCs w:val="18"/>
              </w:rPr>
              <w:t xml:space="preserve">A New Tax System (Family Assistance) (Administration) Act 1999 </w:t>
            </w:r>
            <w:r w:rsidRPr="00207FCB">
              <w:rPr>
                <w:sz w:val="18"/>
                <w:szCs w:val="18"/>
              </w:rPr>
              <w:t>as well as associated legislation and other legislative Disallowable Instruments for the period 1 July 2014 to 23 December 2014. Responsibility for these payments then transferred to the Department of Social Services following the change to the Administrative Arrangement Orders. These payments are assessed and determined by officers of the Department of Human Services (DHS) under delegation from the department.</w:t>
            </w:r>
          </w:p>
          <w:p w:rsidR="00735613" w:rsidRPr="00A57066" w:rsidRDefault="00735613" w:rsidP="00735613">
            <w:pPr>
              <w:pStyle w:val="StyleNotesTextBold1"/>
              <w:rPr>
                <w:sz w:val="18"/>
                <w:szCs w:val="18"/>
              </w:rPr>
            </w:pPr>
            <w:r w:rsidRPr="00A57066">
              <w:rPr>
                <w:sz w:val="18"/>
                <w:szCs w:val="18"/>
              </w:rPr>
              <w:t xml:space="preserve">The </w:t>
            </w:r>
            <w:r w:rsidRPr="00A57066">
              <w:rPr>
                <w:i/>
                <w:sz w:val="18"/>
                <w:szCs w:val="18"/>
              </w:rPr>
              <w:t>A New Tax System (Family Assistance) (Administration) Act 1999</w:t>
            </w:r>
            <w:r w:rsidRPr="00A57066">
              <w:rPr>
                <w:sz w:val="18"/>
                <w:szCs w:val="18"/>
              </w:rPr>
              <w:t xml:space="preserve"> impose</w:t>
            </w:r>
            <w:r>
              <w:rPr>
                <w:sz w:val="18"/>
                <w:szCs w:val="18"/>
              </w:rPr>
              <w:t>s</w:t>
            </w:r>
            <w:r w:rsidRPr="00A57066">
              <w:rPr>
                <w:sz w:val="18"/>
                <w:szCs w:val="18"/>
              </w:rPr>
              <w:t xml:space="preserve"> an obligation on recipients and customers to disclose to DHS information about financial and personal circumstances that affect entitlement to payment. This is a necessary part of DHS's administration, which acknowledges that, at the time certain information is required, only the recipient or customer is in a position to provide that information.</w:t>
            </w:r>
          </w:p>
          <w:p w:rsidR="00735613" w:rsidRPr="00A57066" w:rsidRDefault="00735613" w:rsidP="00735613">
            <w:pPr>
              <w:pStyle w:val="StyleNotesTextBold1"/>
              <w:rPr>
                <w:sz w:val="18"/>
                <w:szCs w:val="18"/>
              </w:rPr>
            </w:pPr>
            <w:r w:rsidRPr="00A57066">
              <w:rPr>
                <w:sz w:val="18"/>
                <w:szCs w:val="18"/>
              </w:rPr>
              <w:t>Unreported changes in circumstances can lead to incorrect payment, even if no deliberate fraud is intended. However, risks associated with relying on voluntary disclosure by recipients and customers are mitigated by a comprehensive portfolio risk management plan, underpinned by compliance strategies, which have been built up over many years. The compliance framework has been designed to meet the requirements of social security legislation.</w:t>
            </w:r>
          </w:p>
          <w:p w:rsidR="00735613" w:rsidRDefault="00735613" w:rsidP="00735613">
            <w:pPr>
              <w:pStyle w:val="StyleNotesTextBold1"/>
              <w:rPr>
                <w:sz w:val="18"/>
                <w:szCs w:val="18"/>
              </w:rPr>
            </w:pPr>
            <w:r w:rsidRPr="00A57066">
              <w:rPr>
                <w:sz w:val="18"/>
                <w:szCs w:val="18"/>
              </w:rPr>
              <w:t>The compliance framework does not rely solely on information provided by recipients and customers to determine their entitlement. A comprehensive risk management strategy minimises the potential for incorrect payment by subjecting recipients and customers to a variety of review processes. If debts are identified, DHS seeks recovery in a lump sum or by instalments. While the risk management strategy is principally directed at minimising debts, the detection of underpayments will also result in an adjustment to their level of entitlement.</w:t>
            </w:r>
          </w:p>
          <w:p w:rsidR="00735613" w:rsidRDefault="00735613" w:rsidP="00735613">
            <w:pPr>
              <w:pStyle w:val="StyleNotesTextBold1"/>
              <w:rPr>
                <w:sz w:val="18"/>
                <w:szCs w:val="18"/>
              </w:rPr>
            </w:pPr>
            <w:r w:rsidRPr="00A57066">
              <w:rPr>
                <w:sz w:val="18"/>
                <w:szCs w:val="18"/>
              </w:rPr>
              <w:t>The department implemented a more sophisticated results-oriented approach to compliance in 2013–14. Compliance operations were strengthened, including data interrogation and analysis capacity, to assist in targeting, leveraging resources available in our state network to create a virtual task force and prioritising the department’s compliance effort to high value compliance work based on risk categories. This had led to increasing imposition of penalties and sanctions, where justified.</w:t>
            </w:r>
          </w:p>
          <w:p w:rsidR="00735613" w:rsidRPr="006D5089" w:rsidRDefault="00735613" w:rsidP="00735613">
            <w:pPr>
              <w:pStyle w:val="StyleNotesTextBold1"/>
              <w:rPr>
                <w:i/>
                <w:sz w:val="18"/>
                <w:szCs w:val="18"/>
              </w:rPr>
            </w:pPr>
            <w:r w:rsidRPr="006D5089">
              <w:rPr>
                <w:i/>
                <w:sz w:val="18"/>
                <w:szCs w:val="18"/>
              </w:rPr>
              <w:t xml:space="preserve">Payments to </w:t>
            </w:r>
            <w:r>
              <w:rPr>
                <w:i/>
                <w:sz w:val="18"/>
                <w:szCs w:val="18"/>
              </w:rPr>
              <w:t>C</w:t>
            </w:r>
            <w:r w:rsidRPr="00A37AB0">
              <w:rPr>
                <w:i/>
                <w:sz w:val="18"/>
                <w:szCs w:val="18"/>
              </w:rPr>
              <w:t>orporate Commonwealth Entities</w:t>
            </w:r>
          </w:p>
          <w:p w:rsidR="00735613" w:rsidRPr="006557EB" w:rsidRDefault="00735613" w:rsidP="00735613">
            <w:pPr>
              <w:pStyle w:val="StyleNotesTextBold1"/>
              <w:rPr>
                <w:sz w:val="18"/>
                <w:szCs w:val="18"/>
              </w:rPr>
            </w:pPr>
            <w:r w:rsidRPr="006557EB">
              <w:rPr>
                <w:sz w:val="18"/>
                <w:szCs w:val="18"/>
              </w:rPr>
              <w:t>Payments to the Australian Institute of Aboriginal and Torres Strait Islander Studies from amounts appropriated for that purpose are classified as administered expenses of the relevant portfolio department.  The appropriation to the department is disclosed in Table A and Table D of the appropriation note</w:t>
            </w:r>
            <w:r>
              <w:rPr>
                <w:sz w:val="18"/>
                <w:szCs w:val="18"/>
              </w:rPr>
              <w:t xml:space="preserve"> (Note 29)</w:t>
            </w:r>
            <w:r w:rsidRPr="006557EB">
              <w:rPr>
                <w:sz w:val="18"/>
                <w:szCs w:val="18"/>
              </w:rPr>
              <w:t>.</w:t>
            </w:r>
          </w:p>
        </w:tc>
      </w:tr>
    </w:tbl>
    <w:p w:rsidR="00735613" w:rsidRDefault="00735613">
      <w:pPr>
        <w:spacing w:line="240" w:lineRule="auto"/>
        <w:rPr>
          <w:rFonts w:asciiTheme="minorHAnsi" w:hAnsiTheme="minorHAnsi"/>
          <w:b/>
          <w:sz w:val="20"/>
        </w:rPr>
      </w:pPr>
      <w:bookmarkStart w:id="89" w:name="_Toc420422371"/>
      <w:r>
        <w:br w:type="page"/>
      </w:r>
    </w:p>
    <w:p w:rsidR="00735613" w:rsidRDefault="00735613" w:rsidP="00735613">
      <w:pPr>
        <w:pStyle w:val="NotesHeading-Level1"/>
        <w:numPr>
          <w:ilvl w:val="0"/>
          <w:numId w:val="9"/>
        </w:numPr>
      </w:pPr>
      <w:r>
        <w:t>Events After the Reporting Period</w:t>
      </w:r>
      <w:bookmarkEnd w:id="89"/>
    </w:p>
    <w:p w:rsidR="00735613" w:rsidRDefault="00735613">
      <w:pPr>
        <w:spacing w:line="240" w:lineRule="auto"/>
      </w:pPr>
    </w:p>
    <w:p w:rsidR="00735613" w:rsidRPr="006D5089" w:rsidRDefault="00735613">
      <w:pPr>
        <w:spacing w:line="240" w:lineRule="auto"/>
        <w:rPr>
          <w:rFonts w:asciiTheme="minorHAnsi" w:hAnsiTheme="minorHAnsi" w:cs="Arial"/>
          <w:szCs w:val="18"/>
          <w:lang w:eastAsia="en-AU"/>
        </w:rPr>
      </w:pPr>
      <w:r w:rsidRPr="006D5089">
        <w:rPr>
          <w:rFonts w:asciiTheme="minorHAnsi" w:hAnsiTheme="minorHAnsi" w:cs="Arial"/>
          <w:szCs w:val="18"/>
          <w:lang w:eastAsia="en-AU"/>
        </w:rPr>
        <w:t xml:space="preserve">There have been no events after balance </w:t>
      </w:r>
      <w:proofErr w:type="gramStart"/>
      <w:r w:rsidRPr="006D5089">
        <w:rPr>
          <w:rFonts w:asciiTheme="minorHAnsi" w:hAnsiTheme="minorHAnsi" w:cs="Arial"/>
          <w:szCs w:val="18"/>
          <w:lang w:eastAsia="en-AU"/>
        </w:rPr>
        <w:t>date that have</w:t>
      </w:r>
      <w:proofErr w:type="gramEnd"/>
      <w:r w:rsidRPr="006D5089">
        <w:rPr>
          <w:rFonts w:asciiTheme="minorHAnsi" w:hAnsiTheme="minorHAnsi" w:cs="Arial"/>
          <w:szCs w:val="18"/>
          <w:lang w:eastAsia="en-AU"/>
        </w:rPr>
        <w:t xml:space="preserve"> the potential to significantly affect the ongoing structure and financial activities of the department.</w:t>
      </w:r>
      <w:r w:rsidRPr="006D5089">
        <w:rPr>
          <w:rFonts w:cs="Arial"/>
          <w:b/>
          <w:szCs w:val="18"/>
          <w:lang w:eastAsia="en-AU"/>
        </w:rPr>
        <w:br w:type="page"/>
      </w:r>
    </w:p>
    <w:p w:rsidR="00735613" w:rsidRDefault="00735613" w:rsidP="00735613">
      <w:pPr>
        <w:pStyle w:val="NotesHeading-Level1"/>
        <w:numPr>
          <w:ilvl w:val="0"/>
          <w:numId w:val="9"/>
        </w:numPr>
        <w:rPr>
          <w:rFonts w:cstheme="minorHAnsi"/>
        </w:rPr>
      </w:pPr>
      <w:bookmarkStart w:id="90" w:name="_Toc420422372"/>
      <w:r>
        <w:rPr>
          <w:rFonts w:cstheme="minorHAnsi"/>
        </w:rPr>
        <w:t>Net Cash Appropriation Arrangements</w:t>
      </w:r>
      <w:bookmarkEnd w:id="90"/>
    </w:p>
    <w:tbl>
      <w:tblPr>
        <w:tblW w:w="9087" w:type="dxa"/>
        <w:tblInd w:w="80" w:type="dxa"/>
        <w:tblLayout w:type="fixed"/>
        <w:tblLook w:val="04A0" w:firstRow="1" w:lastRow="0" w:firstColumn="1" w:lastColumn="0" w:noHBand="0" w:noVBand="1"/>
      </w:tblPr>
      <w:tblGrid>
        <w:gridCol w:w="6749"/>
        <w:gridCol w:w="1052"/>
        <w:gridCol w:w="239"/>
        <w:gridCol w:w="1047"/>
      </w:tblGrid>
      <w:tr w:rsidR="00735613" w:rsidTr="00735613">
        <w:trPr>
          <w:trHeight w:val="240"/>
        </w:trPr>
        <w:tc>
          <w:tcPr>
            <w:tcW w:w="667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bookmarkStart w:id="91" w:name="Note_NCATABLE1" w:colFirst="0" w:colLast="0"/>
            <w:r>
              <w:rPr>
                <w:rFonts w:ascii="Arial" w:hAnsi="Arial" w:cs="Arial"/>
                <w:szCs w:val="18"/>
              </w:rPr>
              <w:t> </w:t>
            </w:r>
          </w:p>
        </w:tc>
        <w:tc>
          <w:tcPr>
            <w:tcW w:w="1040"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035"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2014</w:t>
            </w:r>
          </w:p>
        </w:tc>
      </w:tr>
      <w:bookmarkEnd w:id="91"/>
      <w:tr w:rsidR="00735613" w:rsidTr="00735613">
        <w:trPr>
          <w:trHeight w:val="240"/>
        </w:trPr>
        <w:tc>
          <w:tcPr>
            <w:tcW w:w="667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040"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035"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$'000</w:t>
            </w:r>
          </w:p>
        </w:tc>
      </w:tr>
      <w:tr w:rsidR="00735613" w:rsidTr="00735613">
        <w:trPr>
          <w:trHeight w:val="516"/>
        </w:trPr>
        <w:tc>
          <w:tcPr>
            <w:tcW w:w="6671"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comprehensive income (loss) less depreciation/amortisation expenses previously funded through revenue appropriations</w:t>
            </w:r>
            <w:r>
              <w:rPr>
                <w:rFonts w:ascii="Arial" w:hAnsi="Arial" w:cs="Arial"/>
                <w:b/>
                <w:bCs/>
                <w:szCs w:val="18"/>
                <w:vertAlign w:val="superscript"/>
              </w:rPr>
              <w:t>1</w:t>
            </w:r>
          </w:p>
        </w:tc>
        <w:tc>
          <w:tcPr>
            <w:tcW w:w="104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3,328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03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(1,797)</w:t>
            </w:r>
          </w:p>
        </w:tc>
      </w:tr>
      <w:tr w:rsidR="00735613" w:rsidTr="00735613">
        <w:trPr>
          <w:trHeight w:val="480"/>
        </w:trPr>
        <w:tc>
          <w:tcPr>
            <w:tcW w:w="6671"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Plus: depreciation/amortisation expenses previously funded through revenue appropriation</w:t>
            </w:r>
          </w:p>
        </w:tc>
        <w:tc>
          <w:tcPr>
            <w:tcW w:w="104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(26,918)</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03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(20,308)</w:t>
            </w:r>
          </w:p>
        </w:tc>
      </w:tr>
      <w:tr w:rsidR="00735613" w:rsidTr="00735613">
        <w:trPr>
          <w:trHeight w:val="276"/>
        </w:trPr>
        <w:tc>
          <w:tcPr>
            <w:tcW w:w="6671"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comprehensive income (loss) - as per the Statement of Comprehensive Income</w:t>
            </w:r>
          </w:p>
        </w:tc>
        <w:tc>
          <w:tcPr>
            <w:tcW w:w="1040"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(23,590)</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0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(22,105)</w:t>
            </w:r>
          </w:p>
        </w:tc>
      </w:tr>
    </w:tbl>
    <w:p w:rsidR="00735613" w:rsidRDefault="00735613" w:rsidP="00735613">
      <w:bookmarkStart w:id="92" w:name="RANGE!D7:D11"/>
      <w:bookmarkStart w:id="93" w:name="RANGE!D6:D11"/>
      <w:bookmarkEnd w:id="92"/>
      <w:bookmarkEnd w:id="93"/>
    </w:p>
    <w:p w:rsidR="00735613" w:rsidRDefault="00735613" w:rsidP="00735613">
      <w:pPr>
        <w:pStyle w:val="AdminBlankGreyShade"/>
      </w:pPr>
      <w:r w:rsidRPr="00073531">
        <w:rPr>
          <w:vertAlign w:val="superscript"/>
        </w:rPr>
        <w:t>1</w:t>
      </w:r>
      <w:r>
        <w:t xml:space="preserve"> From 2010–11, the Government introduced net cash appropriation arrangements, where revenue appropriations for depreciation/amortisation expenses ceased. Entities now receive a separate capital budget provided through equity appropriations. Capital budgets are to be appropriated in the period when cash payment for capital expenditure is required.</w:t>
      </w:r>
    </w:p>
    <w:p w:rsidR="00735613" w:rsidRDefault="00735613">
      <w:pPr>
        <w:spacing w:line="240" w:lineRule="auto"/>
        <w:rPr>
          <w:rFonts w:asciiTheme="minorHAnsi" w:hAnsiTheme="minorHAnsi" w:cs="Arial"/>
          <w:szCs w:val="18"/>
          <w:lang w:eastAsia="en-AU"/>
        </w:rPr>
      </w:pPr>
      <w:r>
        <w:rPr>
          <w:rFonts w:asciiTheme="minorHAnsi" w:hAnsiTheme="minorHAnsi" w:cs="Arial"/>
          <w:szCs w:val="18"/>
          <w:lang w:eastAsia="en-AU"/>
        </w:rPr>
        <w:br w:type="page"/>
      </w:r>
    </w:p>
    <w:p w:rsidR="00735613" w:rsidRDefault="00735613" w:rsidP="00735613">
      <w:pPr>
        <w:pStyle w:val="NotesHeading-Level1"/>
        <w:numPr>
          <w:ilvl w:val="0"/>
          <w:numId w:val="9"/>
        </w:numPr>
        <w:rPr>
          <w:rFonts w:cstheme="minorHAnsi"/>
        </w:rPr>
      </w:pPr>
      <w:bookmarkStart w:id="94" w:name="_Toc420422373"/>
      <w:r>
        <w:rPr>
          <w:rFonts w:cstheme="minorHAnsi"/>
        </w:rPr>
        <w:t>Expenses</w:t>
      </w:r>
      <w:bookmarkEnd w:id="94"/>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40"/>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bookmarkStart w:id="95" w:name="Note_EEXTABLE1" w:colFirst="0" w:colLast="0"/>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2014</w:t>
            </w:r>
          </w:p>
        </w:tc>
      </w:tr>
      <w:bookmarkEnd w:id="95"/>
      <w:tr w:rsidR="00735613" w:rsidTr="00735613">
        <w:trPr>
          <w:trHeight w:val="240"/>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$'000</w:t>
            </w:r>
          </w:p>
        </w:tc>
      </w:tr>
      <w:tr w:rsidR="00735613" w:rsidTr="00735613">
        <w:trPr>
          <w:trHeight w:val="240"/>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r>
              <w:rPr>
                <w:rFonts w:cs="Arial"/>
                <w:b/>
                <w:bCs/>
                <w:szCs w:val="18"/>
                <w:u w:val="single"/>
              </w:rPr>
              <w:t>Note 4A: Employee benefits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40"/>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40"/>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Wages and salaries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136,438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100,302</w:t>
            </w:r>
          </w:p>
        </w:tc>
      </w:tr>
      <w:tr w:rsidR="00735613" w:rsidTr="00735613">
        <w:trPr>
          <w:trHeight w:val="240"/>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Superannuation:</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40"/>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Defined contribution plans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10,538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6,935</w:t>
            </w:r>
          </w:p>
        </w:tc>
      </w:tr>
      <w:tr w:rsidR="00735613" w:rsidTr="00735613">
        <w:trPr>
          <w:trHeight w:val="240"/>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Defined benefit plans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18,586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16,772</w:t>
            </w:r>
          </w:p>
        </w:tc>
      </w:tr>
      <w:tr w:rsidR="00735613" w:rsidTr="00735613">
        <w:trPr>
          <w:trHeight w:val="240"/>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Leave and other entitlements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27,545</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19,169</w:t>
            </w:r>
          </w:p>
        </w:tc>
      </w:tr>
      <w:tr w:rsidR="00735613" w:rsidTr="00735613">
        <w:trPr>
          <w:trHeight w:val="240"/>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Separations and redundancies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11,518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9,502</w:t>
            </w:r>
          </w:p>
        </w:tc>
      </w:tr>
      <w:tr w:rsidR="00735613" w:rsidTr="00735613">
        <w:trPr>
          <w:trHeight w:val="240"/>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Other employee expenses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1,936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1,942</w:t>
            </w:r>
          </w:p>
        </w:tc>
      </w:tr>
      <w:tr w:rsidR="00735613" w:rsidTr="00735613">
        <w:trPr>
          <w:trHeight w:val="240"/>
        </w:trPr>
        <w:tc>
          <w:tcPr>
            <w:tcW w:w="6286" w:type="dxa"/>
            <w:tcBorders>
              <w:top w:val="nil"/>
              <w:left w:val="nil"/>
              <w:bottom w:val="nil"/>
              <w:right w:val="nil"/>
            </w:tcBorders>
            <w:shd w:val="clear" w:color="FFFFFF" w:fill="FFFFFF"/>
            <w:noWrap/>
            <w:vAlign w:val="bottom"/>
            <w:hideMark/>
          </w:tcPr>
          <w:p w:rsidR="00735613" w:rsidRDefault="00735613">
            <w:pPr>
              <w:rPr>
                <w:rFonts w:cs="Arial"/>
                <w:b/>
                <w:bCs/>
                <w:i/>
                <w:iCs/>
                <w:szCs w:val="18"/>
              </w:rPr>
            </w:pPr>
            <w:r>
              <w:rPr>
                <w:rFonts w:cs="Arial"/>
                <w:b/>
                <w:bCs/>
                <w:i/>
                <w:iCs/>
                <w:szCs w:val="18"/>
              </w:rPr>
              <w:t>Total employee benefits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206,561</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154,622</w:t>
            </w:r>
          </w:p>
        </w:tc>
      </w:tr>
    </w:tbl>
    <w:p w:rsidR="00735613" w:rsidRDefault="00735613">
      <w:bookmarkStart w:id="96" w:name="RANGE!D6:D16"/>
      <w:bookmarkStart w:id="97" w:name="RANGE!D6:G16"/>
      <w:bookmarkEnd w:id="96"/>
      <w:bookmarkEnd w:id="97"/>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98" w:name="RANGE!D7:D32"/>
            <w:bookmarkStart w:id="99" w:name="Note_SXPTABLE1" w:colFirst="0" w:colLast="0"/>
            <w:r>
              <w:rPr>
                <w:rFonts w:cs="Arial"/>
                <w:b/>
                <w:bCs/>
                <w:szCs w:val="18"/>
                <w:u w:val="single"/>
              </w:rPr>
              <w:t>Note 4B: Supplier expenses</w:t>
            </w:r>
            <w:bookmarkEnd w:id="98"/>
          </w:p>
        </w:tc>
        <w:tc>
          <w:tcPr>
            <w:tcW w:w="1235"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 </w:t>
            </w:r>
          </w:p>
        </w:tc>
      </w:tr>
      <w:bookmarkEnd w:id="99"/>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Goods and services supplied or rendered</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Consultants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9,829</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5,375</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Contractors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9,660</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3,955</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Travel</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3,011</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2,351</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IT services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15,378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17,115</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Property</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6,782</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5,393</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Resources received free of charge</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5,464</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10,412</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Other</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15,361</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6,959</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goods and services supplied or rendered</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65,485</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51,560</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Goods and services are made up of:</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 xml:space="preserve">Provision of goods – related parties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72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Provision of goods – external parties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1,657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3,280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Rendering of services – related parties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13,143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11,502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Rendering of services - external parties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50,613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36,778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goods and services supplied or rendered</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65,485</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51,560</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Other supplier expenses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Operating lease rentals – external parties: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Minimum lease repayments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32,950</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15,685</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Contingent rentals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443</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226</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Workers compensation expenses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2,301</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1,437</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other supplier expenses</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35,694</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17,348</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supplier expenses</w:t>
            </w:r>
          </w:p>
        </w:tc>
        <w:tc>
          <w:tcPr>
            <w:tcW w:w="1235" w:type="dxa"/>
            <w:tcBorders>
              <w:top w:val="nil"/>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101,179</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68,908</w:t>
            </w:r>
          </w:p>
        </w:tc>
      </w:tr>
    </w:tbl>
    <w:p w:rsidR="00735613" w:rsidRDefault="00735613">
      <w:pPr>
        <w:spacing w:line="240" w:lineRule="auto"/>
      </w:pPr>
      <w:bookmarkStart w:id="100" w:name="RANGE!D7:G32"/>
      <w:bookmarkStart w:id="101" w:name="RANGE!D6:G35"/>
      <w:bookmarkStart w:id="102" w:name="RANGE!D6:D34"/>
      <w:bookmarkStart w:id="103" w:name="RANGE!D6:G34"/>
      <w:bookmarkStart w:id="104" w:name="RANGE!D7:G14"/>
      <w:bookmarkStart w:id="105" w:name="RANGE!D6:D15"/>
      <w:bookmarkStart w:id="106" w:name="RANGE!D6:G15"/>
      <w:bookmarkEnd w:id="100"/>
      <w:bookmarkEnd w:id="101"/>
      <w:bookmarkEnd w:id="102"/>
      <w:bookmarkEnd w:id="103"/>
      <w:bookmarkEnd w:id="104"/>
      <w:bookmarkEnd w:id="105"/>
      <w:bookmarkEnd w:id="106"/>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107" w:name="Note_GRXTABLE1" w:colFirst="0" w:colLast="0"/>
            <w:r>
              <w:rPr>
                <w:rFonts w:cs="Arial"/>
                <w:b/>
                <w:bCs/>
                <w:szCs w:val="18"/>
                <w:u w:val="single"/>
              </w:rPr>
              <w:t>Note 4C: Grants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bookmarkEnd w:id="107"/>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Other</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257</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grants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257</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r>
    </w:tbl>
    <w:p w:rsidR="00735613" w:rsidRDefault="00735613">
      <w:bookmarkStart w:id="108" w:name="RANGE!D6:D20"/>
      <w:bookmarkStart w:id="109" w:name="RANGE!D6:G20"/>
      <w:bookmarkEnd w:id="108"/>
      <w:bookmarkEnd w:id="109"/>
    </w:p>
    <w:p w:rsidR="00735613" w:rsidRDefault="00735613"/>
    <w:p w:rsidR="00735613" w:rsidRDefault="00735613"/>
    <w:p w:rsidR="00735613" w:rsidRDefault="00735613"/>
    <w:p w:rsidR="00735613" w:rsidRDefault="00735613"/>
    <w:p w:rsidR="00735613" w:rsidRDefault="00735613"/>
    <w:p w:rsidR="00735613" w:rsidRDefault="00735613"/>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bookmarkStart w:id="110" w:name="Note_DAATABLE1" w:colFirst="0" w:colLast="0"/>
            <w:r>
              <w:rPr>
                <w:rFonts w:cs="Arial"/>
                <w:szCs w:val="18"/>
              </w:rPr>
              <w:t> </w:t>
            </w:r>
          </w:p>
        </w:tc>
        <w:tc>
          <w:tcPr>
            <w:tcW w:w="1235"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2014</w:t>
            </w:r>
          </w:p>
        </w:tc>
      </w:tr>
      <w:bookmarkEnd w:id="110"/>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r>
              <w:rPr>
                <w:rFonts w:cs="Arial"/>
                <w:b/>
                <w:bCs/>
                <w:szCs w:val="18"/>
                <w:u w:val="single"/>
              </w:rPr>
              <w:t>Note 4D: Depreciation and amortisation</w:t>
            </w:r>
          </w:p>
        </w:tc>
        <w:tc>
          <w:tcPr>
            <w:tcW w:w="1235"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Depreciation</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Infrastructure, plant and equipment</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3,928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3,006</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Buildings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23</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62</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Leasehold improvements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6,984</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5,448</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depreciation</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10,935</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8,516</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Amortisation</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Intangibles: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Computer software</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15,983</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11,792</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amortisation</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15,983</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11,792</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depreciation and amortisation</w:t>
            </w:r>
          </w:p>
        </w:tc>
        <w:tc>
          <w:tcPr>
            <w:tcW w:w="1235" w:type="dxa"/>
            <w:tcBorders>
              <w:top w:val="nil"/>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26,918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20,308</w:t>
            </w:r>
          </w:p>
        </w:tc>
      </w:tr>
    </w:tbl>
    <w:p w:rsidR="00735613" w:rsidRDefault="00735613"/>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111" w:name="Note_FCETABLE1" w:colFirst="0" w:colLast="0"/>
            <w:r>
              <w:rPr>
                <w:rFonts w:cs="Arial"/>
                <w:b/>
                <w:bCs/>
                <w:szCs w:val="18"/>
                <w:u w:val="single"/>
              </w:rPr>
              <w:t>Note 4E: Finance costs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bookmarkEnd w:id="111"/>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Unwinding of discount on provision for restoration obligations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10</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Discount on surplus lease space</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41</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finance costs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51</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r>
    </w:tbl>
    <w:p w:rsidR="00735613" w:rsidRDefault="00735613">
      <w:bookmarkStart w:id="112" w:name="RANGE!D9:G13"/>
      <w:bookmarkEnd w:id="112"/>
    </w:p>
    <w:p w:rsidR="00735613" w:rsidRDefault="00735613"/>
    <w:p w:rsidR="00735613" w:rsidRDefault="00735613">
      <w:bookmarkStart w:id="113" w:name="RANGE!D7:G10"/>
      <w:bookmarkStart w:id="114" w:name="RANGE!D6:G8"/>
      <w:bookmarkStart w:id="115" w:name="RANGE!D6:D13"/>
      <w:bookmarkStart w:id="116" w:name="RANGE!D6:G13"/>
      <w:bookmarkEnd w:id="113"/>
      <w:bookmarkEnd w:id="114"/>
      <w:bookmarkEnd w:id="115"/>
      <w:bookmarkEnd w:id="116"/>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117" w:name="Note_WDATABLE1" w:colFirst="0" w:colLast="0"/>
            <w:r>
              <w:rPr>
                <w:rFonts w:cs="Arial"/>
                <w:b/>
                <w:bCs/>
                <w:szCs w:val="18"/>
                <w:u w:val="single"/>
              </w:rPr>
              <w:t>Note 4F: Write-down and impairment of assets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bookmarkEnd w:id="117"/>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Write-off of receivables - goods and services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47</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97</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Impairment of receivables - goods and services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9</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Impairment  of intangibles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2,532</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33</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Impairment of leasehold improvements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264</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479</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Write-off of non-financial assets – infrastructure, plant  and equipment</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22</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57</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Write-off of non-financial assets – land and buildings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227</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write-down and impairment of assets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2,866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902</w:t>
            </w:r>
          </w:p>
        </w:tc>
      </w:tr>
    </w:tbl>
    <w:p w:rsidR="00735613" w:rsidRDefault="00735613">
      <w:pPr>
        <w:spacing w:line="240" w:lineRule="auto"/>
      </w:pPr>
      <w:bookmarkStart w:id="118" w:name="RANGE!D7:G18"/>
      <w:bookmarkStart w:id="119" w:name="RANGE!D6:D17"/>
      <w:bookmarkStart w:id="120" w:name="RANGE!D6:G17"/>
      <w:bookmarkStart w:id="121" w:name="RANGE!D6:D10"/>
      <w:bookmarkStart w:id="122" w:name="RANGE!D6:G10"/>
      <w:bookmarkEnd w:id="118"/>
      <w:bookmarkEnd w:id="119"/>
      <w:bookmarkEnd w:id="120"/>
      <w:bookmarkEnd w:id="121"/>
      <w:bookmarkEnd w:id="122"/>
    </w:p>
    <w:p w:rsidR="00735613" w:rsidRDefault="00735613">
      <w:pPr>
        <w:spacing w:line="240" w:lineRule="auto"/>
      </w:pPr>
      <w:bookmarkStart w:id="123" w:name="RANGE!D6:G37"/>
      <w:bookmarkStart w:id="124" w:name="RANGE!D6:D38"/>
      <w:bookmarkStart w:id="125" w:name="RANGE!D6:G38"/>
      <w:bookmarkEnd w:id="123"/>
      <w:bookmarkEnd w:id="124"/>
      <w:bookmarkEnd w:id="125"/>
    </w:p>
    <w:tbl>
      <w:tblPr>
        <w:tblW w:w="9087" w:type="dxa"/>
        <w:tblInd w:w="80" w:type="dxa"/>
        <w:tblLayout w:type="fixed"/>
        <w:tblLook w:val="04A0" w:firstRow="1" w:lastRow="0" w:firstColumn="1" w:lastColumn="0" w:noHBand="0" w:noVBand="1"/>
      </w:tblPr>
      <w:tblGrid>
        <w:gridCol w:w="6363"/>
        <w:gridCol w:w="1246"/>
        <w:gridCol w:w="239"/>
        <w:gridCol w:w="1239"/>
      </w:tblGrid>
      <w:tr w:rsidR="00735613" w:rsidTr="00735613">
        <w:trPr>
          <w:trHeight w:val="264"/>
        </w:trPr>
        <w:tc>
          <w:tcPr>
            <w:tcW w:w="6291"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126" w:name="Note_LSATABLE1" w:colFirst="0" w:colLast="0"/>
            <w:r>
              <w:rPr>
                <w:rFonts w:cs="Arial"/>
                <w:b/>
                <w:bCs/>
                <w:szCs w:val="18"/>
                <w:u w:val="single"/>
              </w:rPr>
              <w:t>Note 4G: Losses from asset sales</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bookmarkEnd w:id="126"/>
      <w:tr w:rsidR="00735613" w:rsidTr="00735613">
        <w:trPr>
          <w:trHeight w:val="264"/>
        </w:trPr>
        <w:tc>
          <w:tcPr>
            <w:tcW w:w="6291"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91"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Infrastructure, plant and equipment</w:t>
            </w:r>
          </w:p>
        </w:tc>
        <w:tc>
          <w:tcPr>
            <w:tcW w:w="123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9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Proceeds from sale</w:t>
            </w:r>
          </w:p>
        </w:tc>
        <w:tc>
          <w:tcPr>
            <w:tcW w:w="123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(23)</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(4)</w:t>
            </w:r>
          </w:p>
        </w:tc>
      </w:tr>
      <w:tr w:rsidR="00735613" w:rsidTr="00735613">
        <w:trPr>
          <w:trHeight w:val="264"/>
        </w:trPr>
        <w:tc>
          <w:tcPr>
            <w:tcW w:w="629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Carrying value of assets sold</w:t>
            </w:r>
          </w:p>
        </w:tc>
        <w:tc>
          <w:tcPr>
            <w:tcW w:w="123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23</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318</w:t>
            </w:r>
          </w:p>
        </w:tc>
      </w:tr>
      <w:tr w:rsidR="00735613" w:rsidTr="00735613">
        <w:trPr>
          <w:trHeight w:val="264"/>
        </w:trPr>
        <w:tc>
          <w:tcPr>
            <w:tcW w:w="6291"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Net loss from infrastructure, plant and equipment</w:t>
            </w:r>
          </w:p>
        </w:tc>
        <w:tc>
          <w:tcPr>
            <w:tcW w:w="1232"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314</w:t>
            </w:r>
          </w:p>
        </w:tc>
      </w:tr>
      <w:tr w:rsidR="00735613" w:rsidTr="00735613">
        <w:trPr>
          <w:trHeight w:val="276"/>
        </w:trPr>
        <w:tc>
          <w:tcPr>
            <w:tcW w:w="6291"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losses from asset sales</w:t>
            </w:r>
          </w:p>
        </w:tc>
        <w:tc>
          <w:tcPr>
            <w:tcW w:w="1232" w:type="dxa"/>
            <w:tcBorders>
              <w:top w:val="nil"/>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5" w:type="dxa"/>
            <w:tcBorders>
              <w:top w:val="nil"/>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314</w:t>
            </w:r>
          </w:p>
        </w:tc>
      </w:tr>
    </w:tbl>
    <w:p w:rsidR="00735613" w:rsidRDefault="00735613">
      <w:pPr>
        <w:spacing w:line="240" w:lineRule="auto"/>
      </w:pPr>
      <w:r>
        <w:br w:type="page"/>
      </w:r>
    </w:p>
    <w:p w:rsidR="00735613" w:rsidRDefault="00735613">
      <w:pPr>
        <w:spacing w:line="240" w:lineRule="auto"/>
      </w:pPr>
    </w:p>
    <w:p w:rsidR="00735613" w:rsidRDefault="00735613" w:rsidP="00735613">
      <w:pPr>
        <w:pStyle w:val="NotesHeading-Level1"/>
        <w:numPr>
          <w:ilvl w:val="0"/>
          <w:numId w:val="9"/>
        </w:numPr>
        <w:rPr>
          <w:rFonts w:cstheme="minorHAnsi"/>
        </w:rPr>
      </w:pPr>
      <w:bookmarkStart w:id="127" w:name="_Toc420422374"/>
      <w:r>
        <w:rPr>
          <w:rFonts w:cstheme="minorHAnsi"/>
        </w:rPr>
        <w:t>Income</w:t>
      </w:r>
      <w:bookmarkEnd w:id="127"/>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bookmarkStart w:id="128" w:name="Note_GASTABLE1" w:colFirst="0" w:colLast="0"/>
            <w:r>
              <w:rPr>
                <w:rFonts w:cs="Arial"/>
                <w:b/>
                <w:bCs/>
                <w:szCs w:val="18"/>
              </w:rPr>
              <w:t> </w:t>
            </w:r>
          </w:p>
        </w:tc>
        <w:tc>
          <w:tcPr>
            <w:tcW w:w="1235"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2014</w:t>
            </w:r>
          </w:p>
        </w:tc>
      </w:tr>
      <w:bookmarkEnd w:id="128"/>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OWN-SOURCE REVENUE</w:t>
            </w:r>
          </w:p>
        </w:tc>
        <w:tc>
          <w:tcPr>
            <w:tcW w:w="1235"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r>
              <w:rPr>
                <w:rFonts w:cs="Arial"/>
                <w:b/>
                <w:bCs/>
                <w:szCs w:val="18"/>
                <w:u w:val="single"/>
              </w:rPr>
              <w:t>Note 5A: Sale of goods and rendering of services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Provision of goods - external parties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444</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193</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Rendering of services - related entities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26,260</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16,014</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Rendering of services - external parties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3,681</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1,860</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sale of goods and rendering of services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30,385</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18,067</w:t>
            </w:r>
          </w:p>
        </w:tc>
      </w:tr>
    </w:tbl>
    <w:p w:rsidR="00735613" w:rsidRDefault="00735613">
      <w:bookmarkStart w:id="129" w:name="RANGE!D6:D12"/>
      <w:bookmarkStart w:id="130" w:name="RANGE!D6:G12"/>
      <w:bookmarkEnd w:id="129"/>
      <w:bookmarkEnd w:id="130"/>
    </w:p>
    <w:tbl>
      <w:tblPr>
        <w:tblW w:w="9087" w:type="dxa"/>
        <w:tblInd w:w="80" w:type="dxa"/>
        <w:tblLayout w:type="fixed"/>
        <w:tblLook w:val="04A0" w:firstRow="1" w:lastRow="0" w:firstColumn="1" w:lastColumn="0" w:noHBand="0" w:noVBand="1"/>
      </w:tblPr>
      <w:tblGrid>
        <w:gridCol w:w="6346"/>
        <w:gridCol w:w="1252"/>
        <w:gridCol w:w="239"/>
        <w:gridCol w:w="1250"/>
      </w:tblGrid>
      <w:tr w:rsidR="00735613" w:rsidTr="00735613">
        <w:trPr>
          <w:trHeight w:val="255"/>
        </w:trPr>
        <w:tc>
          <w:tcPr>
            <w:tcW w:w="6346" w:type="dxa"/>
            <w:tcBorders>
              <w:top w:val="nil"/>
              <w:left w:val="nil"/>
              <w:bottom w:val="nil"/>
              <w:right w:val="nil"/>
            </w:tcBorders>
            <w:shd w:val="clear" w:color="FFFFFF" w:fill="FFFFFF"/>
            <w:noWrap/>
            <w:vAlign w:val="bottom"/>
            <w:hideMark/>
          </w:tcPr>
          <w:p w:rsidR="00735613" w:rsidRDefault="00735613">
            <w:pPr>
              <w:rPr>
                <w:rFonts w:cs="Calibri"/>
                <w:b/>
                <w:bCs/>
                <w:szCs w:val="18"/>
              </w:rPr>
            </w:pPr>
            <w:r>
              <w:rPr>
                <w:rFonts w:cs="Calibri"/>
                <w:b/>
                <w:bCs/>
                <w:szCs w:val="18"/>
              </w:rPr>
              <w:t>GAINS</w:t>
            </w:r>
          </w:p>
        </w:tc>
        <w:tc>
          <w:tcPr>
            <w:tcW w:w="1252" w:type="dxa"/>
            <w:tcBorders>
              <w:top w:val="nil"/>
              <w:left w:val="nil"/>
              <w:bottom w:val="nil"/>
              <w:right w:val="nil"/>
            </w:tcBorders>
            <w:shd w:val="clear" w:color="FFFFFF" w:fill="FFFFFF"/>
            <w:noWrap/>
            <w:vAlign w:val="bottom"/>
          </w:tcPr>
          <w:p w:rsidR="00735613" w:rsidRDefault="00735613">
            <w:pPr>
              <w:jc w:val="right"/>
              <w:rPr>
                <w:rFonts w:cs="Calibri"/>
                <w:b/>
                <w:bCs/>
                <w:szCs w:val="18"/>
              </w:rPr>
            </w:pPr>
          </w:p>
        </w:tc>
        <w:tc>
          <w:tcPr>
            <w:tcW w:w="239" w:type="dxa"/>
            <w:tcBorders>
              <w:top w:val="nil"/>
              <w:left w:val="nil"/>
              <w:bottom w:val="nil"/>
              <w:right w:val="nil"/>
            </w:tcBorders>
            <w:shd w:val="clear" w:color="FFFFFF" w:fill="FFFFFF"/>
            <w:noWrap/>
            <w:vAlign w:val="bottom"/>
          </w:tcPr>
          <w:p w:rsidR="00735613" w:rsidRDefault="00735613">
            <w:pPr>
              <w:rPr>
                <w:rFonts w:cs="Calibri"/>
                <w:szCs w:val="18"/>
              </w:rPr>
            </w:pPr>
          </w:p>
        </w:tc>
        <w:tc>
          <w:tcPr>
            <w:tcW w:w="1250" w:type="dxa"/>
            <w:tcBorders>
              <w:top w:val="nil"/>
              <w:left w:val="nil"/>
              <w:bottom w:val="nil"/>
              <w:right w:val="nil"/>
            </w:tcBorders>
            <w:shd w:val="clear" w:color="FFFFFF" w:fill="FFFFFF"/>
            <w:noWrap/>
            <w:vAlign w:val="bottom"/>
          </w:tcPr>
          <w:p w:rsidR="00735613" w:rsidRDefault="00735613">
            <w:pPr>
              <w:jc w:val="right"/>
              <w:rPr>
                <w:rFonts w:cs="Calibri"/>
                <w:szCs w:val="18"/>
              </w:rPr>
            </w:pPr>
          </w:p>
        </w:tc>
      </w:tr>
      <w:tr w:rsidR="00735613" w:rsidTr="00735613">
        <w:trPr>
          <w:trHeight w:val="255"/>
        </w:trPr>
        <w:tc>
          <w:tcPr>
            <w:tcW w:w="634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2"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239"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55"/>
        </w:trPr>
        <w:tc>
          <w:tcPr>
            <w:tcW w:w="6346" w:type="dxa"/>
            <w:tcBorders>
              <w:top w:val="nil"/>
              <w:left w:val="nil"/>
              <w:bottom w:val="nil"/>
              <w:right w:val="nil"/>
            </w:tcBorders>
            <w:shd w:val="clear" w:color="FFFFFF" w:fill="FFFFFF"/>
            <w:noWrap/>
            <w:vAlign w:val="bottom"/>
            <w:hideMark/>
          </w:tcPr>
          <w:p w:rsidR="00735613" w:rsidRDefault="00735613">
            <w:pPr>
              <w:rPr>
                <w:rFonts w:cs="Calibri"/>
                <w:b/>
                <w:bCs/>
                <w:szCs w:val="18"/>
                <w:u w:val="single"/>
              </w:rPr>
            </w:pPr>
            <w:r>
              <w:rPr>
                <w:rFonts w:cs="Calibri"/>
                <w:b/>
                <w:bCs/>
                <w:szCs w:val="18"/>
                <w:u w:val="single"/>
              </w:rPr>
              <w:t>Note 5B: Sale of Assets</w:t>
            </w:r>
          </w:p>
        </w:tc>
        <w:tc>
          <w:tcPr>
            <w:tcW w:w="1252"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239"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0"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r>
      <w:tr w:rsidR="00735613" w:rsidTr="00735613">
        <w:trPr>
          <w:trHeight w:val="255"/>
        </w:trPr>
        <w:tc>
          <w:tcPr>
            <w:tcW w:w="634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 </w:t>
            </w:r>
          </w:p>
        </w:tc>
        <w:tc>
          <w:tcPr>
            <w:tcW w:w="1252"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239"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0"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r>
      <w:tr w:rsidR="00735613" w:rsidTr="00735613">
        <w:trPr>
          <w:trHeight w:val="255"/>
        </w:trPr>
        <w:tc>
          <w:tcPr>
            <w:tcW w:w="634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Land and buildings</w:t>
            </w:r>
          </w:p>
        </w:tc>
        <w:tc>
          <w:tcPr>
            <w:tcW w:w="1252"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239"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0" w:type="dxa"/>
            <w:tcBorders>
              <w:top w:val="nil"/>
              <w:left w:val="nil"/>
              <w:bottom w:val="nil"/>
              <w:right w:val="nil"/>
            </w:tcBorders>
            <w:shd w:val="clear" w:color="FFFFFF" w:fill="FFFFFF"/>
            <w:noWrap/>
            <w:vAlign w:val="bottom"/>
            <w:hideMark/>
          </w:tcPr>
          <w:p w:rsidR="00735613" w:rsidRDefault="00735613">
            <w:pPr>
              <w:jc w:val="right"/>
              <w:rPr>
                <w:rFonts w:ascii="Arial" w:hAnsi="Arial" w:cs="Arial"/>
                <w:szCs w:val="18"/>
              </w:rPr>
            </w:pPr>
            <w:r>
              <w:rPr>
                <w:rFonts w:ascii="Arial" w:hAnsi="Arial" w:cs="Arial"/>
                <w:szCs w:val="18"/>
              </w:rPr>
              <w:t> </w:t>
            </w:r>
          </w:p>
        </w:tc>
      </w:tr>
      <w:tr w:rsidR="00735613" w:rsidTr="00735613">
        <w:trPr>
          <w:trHeight w:val="255"/>
        </w:trPr>
        <w:tc>
          <w:tcPr>
            <w:tcW w:w="6346" w:type="dxa"/>
            <w:tcBorders>
              <w:top w:val="nil"/>
              <w:left w:val="nil"/>
              <w:bottom w:val="nil"/>
              <w:right w:val="nil"/>
            </w:tcBorders>
            <w:shd w:val="clear" w:color="FFFFFF" w:fill="FFFFFF"/>
            <w:noWrap/>
            <w:vAlign w:val="bottom"/>
            <w:hideMark/>
          </w:tcPr>
          <w:p w:rsidR="00735613" w:rsidRDefault="00735613">
            <w:pPr>
              <w:ind w:firstLineChars="100" w:firstLine="180"/>
              <w:rPr>
                <w:rFonts w:cs="Calibri"/>
                <w:szCs w:val="18"/>
              </w:rPr>
            </w:pPr>
            <w:r>
              <w:rPr>
                <w:rFonts w:cs="Calibri"/>
                <w:szCs w:val="18"/>
              </w:rPr>
              <w:t>Proceeds from sale</w:t>
            </w:r>
          </w:p>
        </w:tc>
        <w:tc>
          <w:tcPr>
            <w:tcW w:w="1252"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712</w:t>
            </w:r>
          </w:p>
        </w:tc>
        <w:tc>
          <w:tcPr>
            <w:tcW w:w="239"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w:t>
            </w:r>
          </w:p>
        </w:tc>
      </w:tr>
      <w:tr w:rsidR="00735613" w:rsidTr="00735613">
        <w:trPr>
          <w:trHeight w:val="255"/>
        </w:trPr>
        <w:tc>
          <w:tcPr>
            <w:tcW w:w="6346" w:type="dxa"/>
            <w:tcBorders>
              <w:top w:val="nil"/>
              <w:left w:val="nil"/>
              <w:bottom w:val="nil"/>
              <w:right w:val="nil"/>
            </w:tcBorders>
            <w:shd w:val="clear" w:color="FFFFFF" w:fill="FFFFFF"/>
            <w:noWrap/>
            <w:vAlign w:val="bottom"/>
            <w:hideMark/>
          </w:tcPr>
          <w:p w:rsidR="00735613" w:rsidRDefault="00735613">
            <w:pPr>
              <w:ind w:firstLineChars="100" w:firstLine="180"/>
              <w:rPr>
                <w:rFonts w:cs="Calibri"/>
                <w:szCs w:val="18"/>
              </w:rPr>
            </w:pPr>
            <w:r>
              <w:rPr>
                <w:rFonts w:cs="Calibri"/>
                <w:szCs w:val="18"/>
              </w:rPr>
              <w:t>Carrying value of assets sold</w:t>
            </w:r>
          </w:p>
        </w:tc>
        <w:tc>
          <w:tcPr>
            <w:tcW w:w="1252"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(625)</w:t>
            </w:r>
          </w:p>
        </w:tc>
        <w:tc>
          <w:tcPr>
            <w:tcW w:w="239"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w:t>
            </w:r>
          </w:p>
        </w:tc>
      </w:tr>
      <w:tr w:rsidR="00735613" w:rsidTr="00735613">
        <w:trPr>
          <w:trHeight w:val="255"/>
        </w:trPr>
        <w:tc>
          <w:tcPr>
            <w:tcW w:w="6346" w:type="dxa"/>
            <w:tcBorders>
              <w:top w:val="nil"/>
              <w:left w:val="nil"/>
              <w:bottom w:val="nil"/>
              <w:right w:val="nil"/>
            </w:tcBorders>
            <w:shd w:val="clear" w:color="FFFFFF" w:fill="FFFFFF"/>
            <w:vAlign w:val="bottom"/>
            <w:hideMark/>
          </w:tcPr>
          <w:p w:rsidR="00735613" w:rsidRDefault="00735613">
            <w:pPr>
              <w:rPr>
                <w:rFonts w:cs="Calibri"/>
                <w:b/>
                <w:bCs/>
                <w:i/>
                <w:iCs/>
                <w:szCs w:val="18"/>
              </w:rPr>
            </w:pPr>
            <w:r>
              <w:rPr>
                <w:rFonts w:cs="Calibri"/>
                <w:b/>
                <w:bCs/>
                <w:i/>
                <w:iCs/>
                <w:szCs w:val="18"/>
              </w:rPr>
              <w:t>Net gain from sale of land and buildings</w:t>
            </w:r>
          </w:p>
        </w:tc>
        <w:tc>
          <w:tcPr>
            <w:tcW w:w="1252"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87</w:t>
            </w:r>
          </w:p>
        </w:tc>
        <w:tc>
          <w:tcPr>
            <w:tcW w:w="239"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0"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w:t>
            </w:r>
          </w:p>
        </w:tc>
      </w:tr>
      <w:tr w:rsidR="00735613" w:rsidTr="00735613">
        <w:trPr>
          <w:trHeight w:val="255"/>
        </w:trPr>
        <w:tc>
          <w:tcPr>
            <w:tcW w:w="6346" w:type="dxa"/>
            <w:tcBorders>
              <w:top w:val="nil"/>
              <w:left w:val="nil"/>
              <w:bottom w:val="nil"/>
              <w:right w:val="nil"/>
            </w:tcBorders>
            <w:shd w:val="clear" w:color="FFFFFF" w:fill="FFFFFF"/>
            <w:noWrap/>
            <w:vAlign w:val="bottom"/>
            <w:hideMark/>
          </w:tcPr>
          <w:p w:rsidR="00735613" w:rsidRDefault="00735613">
            <w:pPr>
              <w:ind w:firstLineChars="100" w:firstLine="180"/>
              <w:rPr>
                <w:rFonts w:cs="Calibri"/>
                <w:szCs w:val="18"/>
              </w:rPr>
            </w:pPr>
            <w:r>
              <w:rPr>
                <w:rFonts w:cs="Calibri"/>
                <w:szCs w:val="18"/>
              </w:rPr>
              <w:t> </w:t>
            </w:r>
          </w:p>
        </w:tc>
        <w:tc>
          <w:tcPr>
            <w:tcW w:w="1252"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239"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0" w:type="dxa"/>
            <w:tcBorders>
              <w:top w:val="nil"/>
              <w:left w:val="nil"/>
              <w:bottom w:val="nil"/>
              <w:right w:val="nil"/>
            </w:tcBorders>
            <w:shd w:val="clear" w:color="FFFFFF" w:fill="FFFFFF"/>
            <w:noWrap/>
            <w:vAlign w:val="bottom"/>
            <w:hideMark/>
          </w:tcPr>
          <w:p w:rsidR="00735613" w:rsidRDefault="00735613">
            <w:pPr>
              <w:jc w:val="right"/>
              <w:rPr>
                <w:rFonts w:ascii="Arial" w:hAnsi="Arial" w:cs="Arial"/>
                <w:szCs w:val="18"/>
              </w:rPr>
            </w:pPr>
            <w:r>
              <w:rPr>
                <w:rFonts w:ascii="Arial" w:hAnsi="Arial" w:cs="Arial"/>
                <w:szCs w:val="18"/>
              </w:rPr>
              <w:t> </w:t>
            </w:r>
          </w:p>
        </w:tc>
      </w:tr>
      <w:tr w:rsidR="00735613" w:rsidTr="00735613">
        <w:trPr>
          <w:trHeight w:val="270"/>
        </w:trPr>
        <w:tc>
          <w:tcPr>
            <w:tcW w:w="6346" w:type="dxa"/>
            <w:tcBorders>
              <w:top w:val="nil"/>
              <w:left w:val="nil"/>
              <w:bottom w:val="nil"/>
              <w:right w:val="nil"/>
            </w:tcBorders>
            <w:shd w:val="clear" w:color="FFFFFF" w:fill="FFFFFF"/>
            <w:vAlign w:val="bottom"/>
            <w:hideMark/>
          </w:tcPr>
          <w:p w:rsidR="00735613" w:rsidRDefault="00735613">
            <w:pPr>
              <w:rPr>
                <w:rFonts w:cs="Calibri"/>
                <w:b/>
                <w:bCs/>
                <w:i/>
                <w:iCs/>
                <w:szCs w:val="18"/>
              </w:rPr>
            </w:pPr>
            <w:r>
              <w:rPr>
                <w:rFonts w:cs="Calibri"/>
                <w:b/>
                <w:bCs/>
                <w:i/>
                <w:iCs/>
                <w:szCs w:val="18"/>
              </w:rPr>
              <w:t>Net gain from sale of assets</w:t>
            </w:r>
          </w:p>
        </w:tc>
        <w:tc>
          <w:tcPr>
            <w:tcW w:w="1252"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87</w:t>
            </w:r>
          </w:p>
        </w:tc>
        <w:tc>
          <w:tcPr>
            <w:tcW w:w="239"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0"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w:t>
            </w:r>
          </w:p>
        </w:tc>
      </w:tr>
    </w:tbl>
    <w:p w:rsidR="00735613" w:rsidRDefault="00735613"/>
    <w:p w:rsidR="00735613" w:rsidRDefault="00735613"/>
    <w:p w:rsidR="00735613" w:rsidRDefault="00735613"/>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131" w:name="Note_RAWTABLE1" w:colFirst="0" w:colLast="0"/>
            <w:r>
              <w:rPr>
                <w:rFonts w:cs="Arial"/>
                <w:b/>
                <w:bCs/>
                <w:szCs w:val="18"/>
                <w:u w:val="single"/>
              </w:rPr>
              <w:t>Note 5C: Reversals of previous asset write-downs and impairment</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bookmarkEnd w:id="131"/>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Reversal of impairment losses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64</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74</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reversals of previous asset write-downs and impairments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64</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74</w:t>
            </w:r>
          </w:p>
        </w:tc>
      </w:tr>
    </w:tbl>
    <w:p w:rsidR="00735613" w:rsidRDefault="00735613"/>
    <w:p w:rsidR="00735613" w:rsidRDefault="00735613"/>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132" w:name="Note_OGATABLE1" w:colFirst="0" w:colLast="0"/>
            <w:r>
              <w:rPr>
                <w:rFonts w:cs="Arial"/>
                <w:b/>
                <w:bCs/>
                <w:szCs w:val="18"/>
                <w:u w:val="single"/>
              </w:rPr>
              <w:t>Note 5D: Other gains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bookmarkEnd w:id="132"/>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Resources received free of charge</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5,464</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5,665</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Gain on write back of restoration provision</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229</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First time recognition of assets – property, plant and equipment</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881</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1,498</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Other</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273</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1,110</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other gains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6,847</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8,273</w:t>
            </w:r>
          </w:p>
        </w:tc>
      </w:tr>
    </w:tbl>
    <w:p w:rsidR="00735613" w:rsidRDefault="00735613"/>
    <w:p w:rsidR="00735613" w:rsidRDefault="00735613"/>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bookmarkStart w:id="133" w:name="Note_RFGTABLE1" w:colFirst="0" w:colLast="0"/>
            <w:r>
              <w:rPr>
                <w:rFonts w:cs="Arial"/>
                <w:b/>
                <w:bCs/>
                <w:szCs w:val="18"/>
              </w:rPr>
              <w:t>REVENUE FROM GOVERNMENT</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bookmarkEnd w:id="133"/>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r>
              <w:rPr>
                <w:rFonts w:cs="Arial"/>
                <w:b/>
                <w:bCs/>
                <w:szCs w:val="18"/>
                <w:u w:val="single"/>
              </w:rPr>
              <w:t>Note 5E: Revenue from Government</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Appropriations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Departmental appropriations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276,854</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196,102</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revenue from Government</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276,854</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196,102</w:t>
            </w:r>
          </w:p>
        </w:tc>
      </w:tr>
    </w:tbl>
    <w:p w:rsidR="00735613" w:rsidRDefault="00735613">
      <w:pPr>
        <w:rPr>
          <w:rFonts w:ascii="Arial" w:hAnsi="Arial" w:cs="Arial"/>
          <w:b/>
          <w:bCs/>
          <w:szCs w:val="18"/>
        </w:rPr>
        <w:sectPr w:rsidR="00735613">
          <w:type w:val="continuous"/>
          <w:pgSz w:w="11906" w:h="16838"/>
          <w:pgMar w:top="1134" w:right="1134" w:bottom="1134" w:left="1134" w:header="958" w:footer="737" w:gutter="0"/>
          <w:cols w:space="720"/>
        </w:sectPr>
      </w:pPr>
      <w:bookmarkStart w:id="134" w:name="RANGE!D6:D14"/>
      <w:bookmarkStart w:id="135" w:name="RANGE!D6:G14"/>
      <w:bookmarkEnd w:id="134"/>
      <w:bookmarkEnd w:id="135"/>
    </w:p>
    <w:p w:rsidR="00735613" w:rsidRDefault="00735613" w:rsidP="00735613">
      <w:pPr>
        <w:pStyle w:val="NotesHeading-Level1"/>
        <w:numPr>
          <w:ilvl w:val="0"/>
          <w:numId w:val="9"/>
        </w:numPr>
        <w:rPr>
          <w:rFonts w:cstheme="minorHAnsi"/>
        </w:rPr>
      </w:pPr>
      <w:bookmarkStart w:id="136" w:name="_Toc420422375"/>
      <w:r>
        <w:rPr>
          <w:rFonts w:cstheme="minorHAnsi"/>
        </w:rPr>
        <w:t>Fair Value Measurement</w:t>
      </w:r>
      <w:bookmarkEnd w:id="136"/>
    </w:p>
    <w:p w:rsidR="00735613" w:rsidRDefault="00735613" w:rsidP="00735613">
      <w:pPr>
        <w:pStyle w:val="NotesHeading-Level1"/>
        <w:numPr>
          <w:ilvl w:val="0"/>
          <w:numId w:val="0"/>
        </w:numPr>
        <w:ind w:left="1134" w:hanging="1134"/>
        <w:outlineLvl w:val="9"/>
        <w:rPr>
          <w:rFonts w:cstheme="minorHAnsi"/>
        </w:rPr>
      </w:pPr>
      <w:bookmarkStart w:id="137" w:name="RANGE!D7:D36"/>
      <w:bookmarkStart w:id="138" w:name="RANGE!D7:K36"/>
      <w:bookmarkEnd w:id="137"/>
      <w:bookmarkEnd w:id="138"/>
    </w:p>
    <w:tbl>
      <w:tblPr>
        <w:tblW w:w="14740" w:type="dxa"/>
        <w:tblInd w:w="80" w:type="dxa"/>
        <w:tblLayout w:type="fixed"/>
        <w:tblCellMar>
          <w:left w:w="6" w:type="dxa"/>
          <w:right w:w="6" w:type="dxa"/>
        </w:tblCellMar>
        <w:tblLook w:val="04A0" w:firstRow="1" w:lastRow="0" w:firstColumn="1" w:lastColumn="0" w:noHBand="0" w:noVBand="1"/>
      </w:tblPr>
      <w:tblGrid>
        <w:gridCol w:w="3128"/>
        <w:gridCol w:w="1213"/>
        <w:gridCol w:w="1139"/>
        <w:gridCol w:w="1935"/>
        <w:gridCol w:w="2730"/>
        <w:gridCol w:w="4595"/>
      </w:tblGrid>
      <w:tr w:rsidR="00735613" w:rsidTr="00735613">
        <w:trPr>
          <w:trHeight w:val="227"/>
        </w:trPr>
        <w:tc>
          <w:tcPr>
            <w:tcW w:w="14740" w:type="dxa"/>
            <w:gridSpan w:val="6"/>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bookmarkStart w:id="139" w:name="RANGE!D7:I13"/>
            <w:bookmarkStart w:id="140" w:name="Note_FIMTABLE1" w:colFirst="0" w:colLast="0"/>
            <w:r>
              <w:rPr>
                <w:rFonts w:cs="Calibri"/>
                <w:szCs w:val="18"/>
              </w:rPr>
              <w:t>The following tables provide an analysis of assets and liabilities that are measured at fair value.</w:t>
            </w:r>
            <w:bookmarkEnd w:id="139"/>
          </w:p>
        </w:tc>
      </w:tr>
      <w:bookmarkEnd w:id="140"/>
      <w:tr w:rsidR="00735613" w:rsidTr="00735613">
        <w:trPr>
          <w:trHeight w:val="227"/>
        </w:trPr>
        <w:tc>
          <w:tcPr>
            <w:tcW w:w="14740" w:type="dxa"/>
            <w:gridSpan w:val="6"/>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The different levels of the fair value hierarchy are defined below.</w:t>
            </w:r>
          </w:p>
        </w:tc>
      </w:tr>
      <w:tr w:rsidR="00735613" w:rsidTr="00735613">
        <w:trPr>
          <w:trHeight w:val="227"/>
        </w:trPr>
        <w:tc>
          <w:tcPr>
            <w:tcW w:w="14740" w:type="dxa"/>
            <w:gridSpan w:val="6"/>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Level 1: Quoted prices (unadjusted) in active markets for identical assets or liabilities that the department can access at measurement date.</w:t>
            </w:r>
          </w:p>
        </w:tc>
      </w:tr>
      <w:tr w:rsidR="00735613" w:rsidTr="00735613">
        <w:trPr>
          <w:trHeight w:val="227"/>
        </w:trPr>
        <w:tc>
          <w:tcPr>
            <w:tcW w:w="14740" w:type="dxa"/>
            <w:gridSpan w:val="6"/>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Level 2: Inputs other than quoted prices included within Level 1 that are observable for the asset or liability, either directly or indirectly.</w:t>
            </w:r>
          </w:p>
        </w:tc>
      </w:tr>
      <w:tr w:rsidR="00735613" w:rsidTr="00735613">
        <w:trPr>
          <w:trHeight w:val="227"/>
        </w:trPr>
        <w:tc>
          <w:tcPr>
            <w:tcW w:w="14740" w:type="dxa"/>
            <w:gridSpan w:val="6"/>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Level 3: Unobservable inputs for the asset or liability.</w:t>
            </w:r>
          </w:p>
        </w:tc>
      </w:tr>
      <w:tr w:rsidR="00735613" w:rsidTr="00735613">
        <w:trPr>
          <w:trHeight w:val="227"/>
        </w:trPr>
        <w:tc>
          <w:tcPr>
            <w:tcW w:w="3128"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 </w:t>
            </w:r>
          </w:p>
        </w:tc>
        <w:tc>
          <w:tcPr>
            <w:tcW w:w="1213"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 </w:t>
            </w:r>
          </w:p>
        </w:tc>
        <w:tc>
          <w:tcPr>
            <w:tcW w:w="1139"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 </w:t>
            </w:r>
          </w:p>
        </w:tc>
        <w:tc>
          <w:tcPr>
            <w:tcW w:w="1935"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 </w:t>
            </w:r>
          </w:p>
        </w:tc>
        <w:tc>
          <w:tcPr>
            <w:tcW w:w="2730"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 </w:t>
            </w:r>
          </w:p>
        </w:tc>
        <w:tc>
          <w:tcPr>
            <w:tcW w:w="4595"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 </w:t>
            </w:r>
          </w:p>
        </w:tc>
      </w:tr>
      <w:tr w:rsidR="00735613" w:rsidTr="00735613">
        <w:trPr>
          <w:trHeight w:val="227"/>
        </w:trPr>
        <w:tc>
          <w:tcPr>
            <w:tcW w:w="14740" w:type="dxa"/>
            <w:gridSpan w:val="6"/>
            <w:tcBorders>
              <w:top w:val="nil"/>
              <w:left w:val="nil"/>
              <w:bottom w:val="nil"/>
              <w:right w:val="nil"/>
            </w:tcBorders>
            <w:shd w:val="clear" w:color="FFFFFF" w:fill="FFFFFF"/>
            <w:noWrap/>
            <w:vAlign w:val="bottom"/>
            <w:hideMark/>
          </w:tcPr>
          <w:p w:rsidR="00735613" w:rsidRDefault="00735613" w:rsidP="00735613">
            <w:pPr>
              <w:spacing w:line="240" w:lineRule="auto"/>
              <w:rPr>
                <w:rFonts w:cs="Calibri"/>
                <w:b/>
                <w:bCs/>
                <w:szCs w:val="18"/>
                <w:u w:val="single"/>
              </w:rPr>
            </w:pPr>
            <w:r>
              <w:rPr>
                <w:rFonts w:cs="Calibri"/>
                <w:b/>
                <w:bCs/>
                <w:szCs w:val="18"/>
                <w:u w:val="single"/>
              </w:rPr>
              <w:t>Note 6A: Fair value measurements, valuation techniques and inputs used</w:t>
            </w:r>
          </w:p>
        </w:tc>
      </w:tr>
      <w:tr w:rsidR="00735613" w:rsidTr="00735613">
        <w:trPr>
          <w:trHeight w:val="227"/>
        </w:trPr>
        <w:tc>
          <w:tcPr>
            <w:tcW w:w="14740" w:type="dxa"/>
            <w:gridSpan w:val="6"/>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rPr>
                <w:rFonts w:cs="Calibri"/>
                <w:b/>
                <w:bCs/>
                <w:szCs w:val="18"/>
              </w:rPr>
            </w:pPr>
            <w:r>
              <w:rPr>
                <w:rFonts w:cs="Calibri"/>
                <w:b/>
                <w:bCs/>
                <w:szCs w:val="18"/>
              </w:rPr>
              <w:t>Fair value measurements at 30 June 2015 by hierarchy for assets and liabilities</w:t>
            </w:r>
          </w:p>
        </w:tc>
      </w:tr>
      <w:tr w:rsidR="00735613" w:rsidTr="00735613">
        <w:trPr>
          <w:trHeight w:val="227"/>
        </w:trPr>
        <w:tc>
          <w:tcPr>
            <w:tcW w:w="3128"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w:t>
            </w:r>
          </w:p>
        </w:tc>
        <w:tc>
          <w:tcPr>
            <w:tcW w:w="4287" w:type="dxa"/>
            <w:gridSpan w:val="3"/>
            <w:tcBorders>
              <w:top w:val="single" w:sz="4" w:space="0" w:color="auto"/>
              <w:left w:val="nil"/>
              <w:bottom w:val="single" w:sz="4" w:space="0" w:color="auto"/>
              <w:right w:val="single" w:sz="4" w:space="0" w:color="000000"/>
            </w:tcBorders>
            <w:shd w:val="clear" w:color="FFFFFF" w:fill="FFFFFF"/>
            <w:vAlign w:val="bottom"/>
            <w:hideMark/>
          </w:tcPr>
          <w:p w:rsidR="00735613" w:rsidRDefault="00735613" w:rsidP="00735613">
            <w:pPr>
              <w:spacing w:line="240" w:lineRule="auto"/>
              <w:jc w:val="center"/>
              <w:rPr>
                <w:rFonts w:cs="Calibri"/>
                <w:b/>
                <w:bCs/>
                <w:szCs w:val="18"/>
              </w:rPr>
            </w:pPr>
            <w:r>
              <w:rPr>
                <w:rFonts w:cs="Calibri"/>
                <w:b/>
                <w:bCs/>
                <w:szCs w:val="18"/>
              </w:rPr>
              <w:t>Fair value measurements at the end of the reporting period using</w:t>
            </w:r>
          </w:p>
        </w:tc>
        <w:tc>
          <w:tcPr>
            <w:tcW w:w="2730" w:type="dxa"/>
            <w:vMerge w:val="restart"/>
            <w:tcBorders>
              <w:top w:val="nil"/>
              <w:left w:val="single" w:sz="4" w:space="0" w:color="auto"/>
              <w:bottom w:val="nil"/>
              <w:right w:val="nil"/>
            </w:tcBorders>
            <w:shd w:val="clear" w:color="FFFFFF" w:fill="FFFFFF"/>
            <w:vAlign w:val="bottom"/>
            <w:hideMark/>
          </w:tcPr>
          <w:p w:rsidR="00735613" w:rsidRDefault="00735613" w:rsidP="00735613">
            <w:pPr>
              <w:spacing w:line="240" w:lineRule="auto"/>
              <w:jc w:val="right"/>
              <w:rPr>
                <w:rFonts w:cs="Calibri"/>
                <w:b/>
                <w:bCs/>
                <w:szCs w:val="18"/>
              </w:rPr>
            </w:pPr>
            <w:r>
              <w:rPr>
                <w:rFonts w:cs="Calibri"/>
                <w:b/>
                <w:bCs/>
                <w:szCs w:val="18"/>
              </w:rPr>
              <w:t>Valuation Technique</w:t>
            </w:r>
            <w:r>
              <w:rPr>
                <w:rFonts w:cs="Calibri"/>
                <w:b/>
                <w:bCs/>
                <w:szCs w:val="18"/>
                <w:vertAlign w:val="superscript"/>
              </w:rPr>
              <w:t>2</w:t>
            </w:r>
          </w:p>
        </w:tc>
        <w:tc>
          <w:tcPr>
            <w:tcW w:w="4595" w:type="dxa"/>
            <w:vMerge w:val="restart"/>
            <w:tcBorders>
              <w:top w:val="nil"/>
              <w:left w:val="nil"/>
              <w:bottom w:val="nil"/>
              <w:right w:val="nil"/>
            </w:tcBorders>
            <w:shd w:val="clear" w:color="FFFFFF" w:fill="FFFFFF"/>
            <w:vAlign w:val="bottom"/>
            <w:hideMark/>
          </w:tcPr>
          <w:p w:rsidR="00735613" w:rsidRDefault="00735613" w:rsidP="00735613">
            <w:pPr>
              <w:spacing w:line="240" w:lineRule="auto"/>
              <w:jc w:val="right"/>
              <w:rPr>
                <w:rFonts w:cs="Calibri"/>
                <w:b/>
                <w:bCs/>
                <w:szCs w:val="18"/>
              </w:rPr>
            </w:pPr>
            <w:r>
              <w:rPr>
                <w:rFonts w:cs="Calibri"/>
                <w:b/>
                <w:bCs/>
                <w:szCs w:val="18"/>
              </w:rPr>
              <w:t>Inputs Used</w:t>
            </w:r>
          </w:p>
        </w:tc>
      </w:tr>
      <w:tr w:rsidR="00735613" w:rsidTr="00735613">
        <w:trPr>
          <w:trHeight w:val="227"/>
        </w:trPr>
        <w:tc>
          <w:tcPr>
            <w:tcW w:w="3128"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w:t>
            </w:r>
          </w:p>
        </w:tc>
        <w:tc>
          <w:tcPr>
            <w:tcW w:w="121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2015</w:t>
            </w:r>
          </w:p>
        </w:tc>
        <w:tc>
          <w:tcPr>
            <w:tcW w:w="1139"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2014</w:t>
            </w:r>
          </w:p>
        </w:tc>
        <w:tc>
          <w:tcPr>
            <w:tcW w:w="1935" w:type="dxa"/>
            <w:vMerge w:val="restart"/>
            <w:tcBorders>
              <w:top w:val="nil"/>
              <w:left w:val="nil"/>
              <w:bottom w:val="single" w:sz="4" w:space="0" w:color="000000"/>
              <w:right w:val="single" w:sz="4" w:space="0" w:color="auto"/>
            </w:tcBorders>
            <w:shd w:val="clear" w:color="FFFFFF" w:fill="FFFFFF"/>
            <w:vAlign w:val="bottom"/>
            <w:hideMark/>
          </w:tcPr>
          <w:p w:rsidR="00735613" w:rsidRDefault="00735613" w:rsidP="00735613">
            <w:pPr>
              <w:spacing w:line="240" w:lineRule="auto"/>
              <w:jc w:val="right"/>
              <w:rPr>
                <w:rFonts w:cs="Calibri"/>
                <w:b/>
                <w:bCs/>
                <w:szCs w:val="18"/>
              </w:rPr>
            </w:pPr>
            <w:r>
              <w:rPr>
                <w:rFonts w:cs="Calibri"/>
                <w:b/>
                <w:bCs/>
                <w:szCs w:val="18"/>
              </w:rPr>
              <w:t>Category (Level 1, 2 or 3)</w:t>
            </w:r>
          </w:p>
        </w:tc>
        <w:tc>
          <w:tcPr>
            <w:tcW w:w="2730" w:type="dxa"/>
            <w:vMerge/>
            <w:tcBorders>
              <w:top w:val="nil"/>
              <w:left w:val="single" w:sz="4" w:space="0" w:color="auto"/>
              <w:bottom w:val="nil"/>
              <w:right w:val="nil"/>
            </w:tcBorders>
            <w:vAlign w:val="center"/>
            <w:hideMark/>
          </w:tcPr>
          <w:p w:rsidR="00735613" w:rsidRDefault="00735613" w:rsidP="00735613">
            <w:pPr>
              <w:spacing w:line="240" w:lineRule="auto"/>
              <w:rPr>
                <w:rFonts w:cs="Calibri"/>
                <w:b/>
                <w:bCs/>
                <w:szCs w:val="18"/>
              </w:rPr>
            </w:pPr>
          </w:p>
        </w:tc>
        <w:tc>
          <w:tcPr>
            <w:tcW w:w="4595" w:type="dxa"/>
            <w:vMerge/>
            <w:tcBorders>
              <w:top w:val="nil"/>
              <w:left w:val="nil"/>
              <w:bottom w:val="nil"/>
              <w:right w:val="nil"/>
            </w:tcBorders>
            <w:vAlign w:val="center"/>
            <w:hideMark/>
          </w:tcPr>
          <w:p w:rsidR="00735613" w:rsidRDefault="00735613" w:rsidP="00735613">
            <w:pPr>
              <w:spacing w:line="240" w:lineRule="auto"/>
              <w:rPr>
                <w:rFonts w:cs="Calibri"/>
                <w:b/>
                <w:bCs/>
                <w:szCs w:val="18"/>
              </w:rPr>
            </w:pPr>
          </w:p>
        </w:tc>
      </w:tr>
      <w:tr w:rsidR="00735613" w:rsidTr="00735613">
        <w:trPr>
          <w:trHeight w:val="227"/>
        </w:trPr>
        <w:tc>
          <w:tcPr>
            <w:tcW w:w="3128"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13"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$'000</w:t>
            </w:r>
          </w:p>
        </w:tc>
        <w:tc>
          <w:tcPr>
            <w:tcW w:w="1139"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$'000</w:t>
            </w:r>
          </w:p>
        </w:tc>
        <w:tc>
          <w:tcPr>
            <w:tcW w:w="1935" w:type="dxa"/>
            <w:vMerge/>
            <w:tcBorders>
              <w:top w:val="nil"/>
              <w:left w:val="nil"/>
              <w:bottom w:val="single" w:sz="4" w:space="0" w:color="000000"/>
              <w:right w:val="single" w:sz="4" w:space="0" w:color="auto"/>
            </w:tcBorders>
            <w:vAlign w:val="center"/>
            <w:hideMark/>
          </w:tcPr>
          <w:p w:rsidR="00735613" w:rsidRDefault="00735613" w:rsidP="00735613">
            <w:pPr>
              <w:spacing w:line="240" w:lineRule="auto"/>
              <w:rPr>
                <w:rFonts w:cs="Calibri"/>
                <w:b/>
                <w:bCs/>
                <w:szCs w:val="18"/>
              </w:rPr>
            </w:pPr>
          </w:p>
        </w:tc>
        <w:tc>
          <w:tcPr>
            <w:tcW w:w="2730"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$'000</w:t>
            </w:r>
          </w:p>
        </w:tc>
        <w:tc>
          <w:tcPr>
            <w:tcW w:w="4595"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$'000</w:t>
            </w:r>
          </w:p>
        </w:tc>
      </w:tr>
      <w:tr w:rsidR="00735613" w:rsidTr="00735613">
        <w:trPr>
          <w:trHeight w:val="227"/>
        </w:trPr>
        <w:tc>
          <w:tcPr>
            <w:tcW w:w="3128"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b/>
                <w:bCs/>
                <w:szCs w:val="18"/>
              </w:rPr>
            </w:pPr>
            <w:r>
              <w:rPr>
                <w:rFonts w:cs="Calibri"/>
                <w:b/>
                <w:bCs/>
                <w:szCs w:val="18"/>
              </w:rPr>
              <w:t>Non-financial assets</w:t>
            </w:r>
          </w:p>
        </w:tc>
        <w:tc>
          <w:tcPr>
            <w:tcW w:w="121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139"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935"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2730"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4595"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r>
      <w:tr w:rsidR="00735613" w:rsidTr="00735613">
        <w:trPr>
          <w:trHeight w:val="227"/>
        </w:trPr>
        <w:tc>
          <w:tcPr>
            <w:tcW w:w="3128"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ind w:firstLineChars="100" w:firstLine="180"/>
              <w:rPr>
                <w:rFonts w:cs="Calibri"/>
                <w:szCs w:val="18"/>
              </w:rPr>
            </w:pPr>
            <w:r>
              <w:rPr>
                <w:rFonts w:cs="Calibri"/>
                <w:szCs w:val="18"/>
              </w:rPr>
              <w:t>Land</w:t>
            </w:r>
          </w:p>
        </w:tc>
        <w:tc>
          <w:tcPr>
            <w:tcW w:w="1213"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200 </w:t>
            </w:r>
          </w:p>
        </w:tc>
        <w:tc>
          <w:tcPr>
            <w:tcW w:w="1139"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200 </w:t>
            </w:r>
          </w:p>
        </w:tc>
        <w:tc>
          <w:tcPr>
            <w:tcW w:w="1935"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2 </w:t>
            </w:r>
          </w:p>
        </w:tc>
        <w:tc>
          <w:tcPr>
            <w:tcW w:w="2730"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Market Approach</w:t>
            </w:r>
          </w:p>
        </w:tc>
        <w:tc>
          <w:tcPr>
            <w:tcW w:w="4595"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Adjusted market transactions</w:t>
            </w:r>
          </w:p>
        </w:tc>
      </w:tr>
      <w:tr w:rsidR="00735613" w:rsidTr="00735613">
        <w:trPr>
          <w:trHeight w:val="227"/>
        </w:trPr>
        <w:tc>
          <w:tcPr>
            <w:tcW w:w="3128" w:type="dxa"/>
            <w:vMerge w:val="restart"/>
            <w:tcBorders>
              <w:top w:val="nil"/>
              <w:left w:val="nil"/>
              <w:bottom w:val="single" w:sz="4" w:space="0" w:color="000000"/>
              <w:right w:val="nil"/>
            </w:tcBorders>
            <w:shd w:val="clear" w:color="FFFFFF" w:fill="FFFFFF"/>
            <w:noWrap/>
            <w:vAlign w:val="center"/>
            <w:hideMark/>
          </w:tcPr>
          <w:p w:rsidR="00735613" w:rsidRDefault="00735613" w:rsidP="00735613">
            <w:pPr>
              <w:spacing w:line="240" w:lineRule="auto"/>
              <w:ind w:firstLineChars="100" w:firstLine="180"/>
              <w:rPr>
                <w:rFonts w:cs="Calibri"/>
                <w:szCs w:val="18"/>
              </w:rPr>
            </w:pPr>
            <w:r>
              <w:rPr>
                <w:rFonts w:cs="Calibri"/>
                <w:szCs w:val="18"/>
              </w:rPr>
              <w:t>Buildings</w:t>
            </w:r>
          </w:p>
        </w:tc>
        <w:tc>
          <w:tcPr>
            <w:tcW w:w="1213"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242 </w:t>
            </w:r>
          </w:p>
        </w:tc>
        <w:tc>
          <w:tcPr>
            <w:tcW w:w="1139"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250 </w:t>
            </w:r>
          </w:p>
        </w:tc>
        <w:tc>
          <w:tcPr>
            <w:tcW w:w="1935"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2 </w:t>
            </w:r>
          </w:p>
        </w:tc>
        <w:tc>
          <w:tcPr>
            <w:tcW w:w="2730"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Market Approach</w:t>
            </w:r>
          </w:p>
        </w:tc>
        <w:tc>
          <w:tcPr>
            <w:tcW w:w="4595"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Adjusted market transactions</w:t>
            </w:r>
          </w:p>
        </w:tc>
      </w:tr>
      <w:tr w:rsidR="00735613" w:rsidTr="00735613">
        <w:trPr>
          <w:trHeight w:val="227"/>
        </w:trPr>
        <w:tc>
          <w:tcPr>
            <w:tcW w:w="3128" w:type="dxa"/>
            <w:vMerge/>
            <w:tcBorders>
              <w:top w:val="nil"/>
              <w:left w:val="nil"/>
              <w:bottom w:val="single" w:sz="4" w:space="0" w:color="000000"/>
              <w:right w:val="nil"/>
            </w:tcBorders>
            <w:vAlign w:val="center"/>
            <w:hideMark/>
          </w:tcPr>
          <w:p w:rsidR="00735613" w:rsidRDefault="00735613" w:rsidP="00735613">
            <w:pPr>
              <w:spacing w:line="240" w:lineRule="auto"/>
              <w:rPr>
                <w:rFonts w:cs="Calibri"/>
                <w:szCs w:val="18"/>
              </w:rPr>
            </w:pPr>
          </w:p>
        </w:tc>
        <w:tc>
          <w:tcPr>
            <w:tcW w:w="1213"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 -</w:t>
            </w:r>
          </w:p>
        </w:tc>
        <w:tc>
          <w:tcPr>
            <w:tcW w:w="1139"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640 </w:t>
            </w:r>
          </w:p>
        </w:tc>
        <w:tc>
          <w:tcPr>
            <w:tcW w:w="1935"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3 </w:t>
            </w:r>
          </w:p>
        </w:tc>
        <w:tc>
          <w:tcPr>
            <w:tcW w:w="2730"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Market Approach</w:t>
            </w:r>
          </w:p>
        </w:tc>
        <w:tc>
          <w:tcPr>
            <w:tcW w:w="4595"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Adjusted market transactions</w:t>
            </w:r>
          </w:p>
        </w:tc>
      </w:tr>
      <w:tr w:rsidR="00735613" w:rsidTr="00735613">
        <w:trPr>
          <w:trHeight w:val="227"/>
        </w:trPr>
        <w:tc>
          <w:tcPr>
            <w:tcW w:w="3128" w:type="dxa"/>
            <w:vMerge w:val="restart"/>
            <w:tcBorders>
              <w:top w:val="nil"/>
              <w:left w:val="nil"/>
              <w:bottom w:val="single" w:sz="4" w:space="0" w:color="000000"/>
              <w:right w:val="nil"/>
            </w:tcBorders>
            <w:shd w:val="clear" w:color="FFFFFF" w:fill="FFFFFF"/>
            <w:noWrap/>
            <w:vAlign w:val="center"/>
            <w:hideMark/>
          </w:tcPr>
          <w:p w:rsidR="00735613" w:rsidRDefault="00735613" w:rsidP="00735613">
            <w:pPr>
              <w:spacing w:line="240" w:lineRule="auto"/>
              <w:ind w:firstLineChars="100" w:firstLine="180"/>
              <w:rPr>
                <w:rFonts w:cs="Calibri"/>
                <w:szCs w:val="18"/>
              </w:rPr>
            </w:pPr>
            <w:r>
              <w:rPr>
                <w:rFonts w:cs="Calibri"/>
                <w:szCs w:val="18"/>
              </w:rPr>
              <w:t>Leasehold Improvements</w:t>
            </w:r>
          </w:p>
        </w:tc>
        <w:tc>
          <w:tcPr>
            <w:tcW w:w="1213"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40,537 </w:t>
            </w:r>
          </w:p>
        </w:tc>
        <w:tc>
          <w:tcPr>
            <w:tcW w:w="1139"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49,473 </w:t>
            </w:r>
          </w:p>
        </w:tc>
        <w:tc>
          <w:tcPr>
            <w:tcW w:w="1935"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3 </w:t>
            </w:r>
          </w:p>
        </w:tc>
        <w:tc>
          <w:tcPr>
            <w:tcW w:w="2730"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Depreciated Replacement Cost</w:t>
            </w:r>
          </w:p>
        </w:tc>
        <w:tc>
          <w:tcPr>
            <w:tcW w:w="4595"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Replacement Cost New (price per sqm) Useful Life (consumed)</w:t>
            </w:r>
          </w:p>
        </w:tc>
      </w:tr>
      <w:tr w:rsidR="00735613" w:rsidTr="00735613">
        <w:trPr>
          <w:trHeight w:val="227"/>
        </w:trPr>
        <w:tc>
          <w:tcPr>
            <w:tcW w:w="3128" w:type="dxa"/>
            <w:vMerge/>
            <w:tcBorders>
              <w:top w:val="nil"/>
              <w:left w:val="nil"/>
              <w:bottom w:val="single" w:sz="4" w:space="0" w:color="000000"/>
              <w:right w:val="nil"/>
            </w:tcBorders>
            <w:vAlign w:val="center"/>
            <w:hideMark/>
          </w:tcPr>
          <w:p w:rsidR="00735613" w:rsidRDefault="00735613" w:rsidP="00735613">
            <w:pPr>
              <w:spacing w:line="240" w:lineRule="auto"/>
              <w:rPr>
                <w:rFonts w:cs="Calibri"/>
                <w:szCs w:val="18"/>
              </w:rPr>
            </w:pPr>
          </w:p>
        </w:tc>
        <w:tc>
          <w:tcPr>
            <w:tcW w:w="1213"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173 </w:t>
            </w:r>
          </w:p>
        </w:tc>
        <w:tc>
          <w:tcPr>
            <w:tcW w:w="1139"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304 </w:t>
            </w:r>
          </w:p>
        </w:tc>
        <w:tc>
          <w:tcPr>
            <w:tcW w:w="1935"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3 </w:t>
            </w:r>
          </w:p>
        </w:tc>
        <w:tc>
          <w:tcPr>
            <w:tcW w:w="2730"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Present Value</w:t>
            </w:r>
            <w:r>
              <w:rPr>
                <w:rFonts w:cs="Calibri"/>
                <w:szCs w:val="18"/>
                <w:vertAlign w:val="superscript"/>
              </w:rPr>
              <w:t>3</w:t>
            </w:r>
          </w:p>
        </w:tc>
        <w:tc>
          <w:tcPr>
            <w:tcW w:w="4595"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Current restoration costs (price per square metre) Discount rate  Indexation rates</w:t>
            </w:r>
          </w:p>
        </w:tc>
      </w:tr>
      <w:tr w:rsidR="00735613" w:rsidTr="00735613">
        <w:trPr>
          <w:trHeight w:val="227"/>
        </w:trPr>
        <w:tc>
          <w:tcPr>
            <w:tcW w:w="3128" w:type="dxa"/>
            <w:vMerge w:val="restart"/>
            <w:tcBorders>
              <w:top w:val="nil"/>
              <w:left w:val="nil"/>
              <w:bottom w:val="nil"/>
              <w:right w:val="nil"/>
            </w:tcBorders>
            <w:shd w:val="clear" w:color="FFFFFF" w:fill="FFFFFF"/>
            <w:vAlign w:val="center"/>
            <w:hideMark/>
          </w:tcPr>
          <w:p w:rsidR="00735613" w:rsidRDefault="00735613" w:rsidP="00735613">
            <w:pPr>
              <w:spacing w:line="240" w:lineRule="auto"/>
              <w:ind w:firstLineChars="100" w:firstLine="180"/>
              <w:rPr>
                <w:rFonts w:cs="Calibri"/>
                <w:szCs w:val="18"/>
              </w:rPr>
            </w:pPr>
            <w:r>
              <w:rPr>
                <w:rFonts w:cs="Calibri"/>
                <w:szCs w:val="18"/>
              </w:rPr>
              <w:t>Other property, plant and equipment</w:t>
            </w:r>
          </w:p>
        </w:tc>
        <w:tc>
          <w:tcPr>
            <w:tcW w:w="1213"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4,499 </w:t>
            </w:r>
          </w:p>
        </w:tc>
        <w:tc>
          <w:tcPr>
            <w:tcW w:w="1139"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3,999 </w:t>
            </w:r>
          </w:p>
        </w:tc>
        <w:tc>
          <w:tcPr>
            <w:tcW w:w="1935"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2 </w:t>
            </w:r>
          </w:p>
        </w:tc>
        <w:tc>
          <w:tcPr>
            <w:tcW w:w="2730"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Market Approach</w:t>
            </w:r>
          </w:p>
        </w:tc>
        <w:tc>
          <w:tcPr>
            <w:tcW w:w="4595"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Adjusted market transactions</w:t>
            </w:r>
          </w:p>
        </w:tc>
      </w:tr>
      <w:tr w:rsidR="00735613" w:rsidTr="00735613">
        <w:trPr>
          <w:trHeight w:val="227"/>
        </w:trPr>
        <w:tc>
          <w:tcPr>
            <w:tcW w:w="3128" w:type="dxa"/>
            <w:vMerge/>
            <w:tcBorders>
              <w:top w:val="nil"/>
              <w:left w:val="nil"/>
              <w:bottom w:val="nil"/>
              <w:right w:val="nil"/>
            </w:tcBorders>
            <w:vAlign w:val="center"/>
            <w:hideMark/>
          </w:tcPr>
          <w:p w:rsidR="00735613" w:rsidRDefault="00735613" w:rsidP="00735613">
            <w:pPr>
              <w:spacing w:line="240" w:lineRule="auto"/>
              <w:rPr>
                <w:rFonts w:cs="Calibri"/>
                <w:szCs w:val="18"/>
              </w:rPr>
            </w:pPr>
          </w:p>
        </w:tc>
        <w:tc>
          <w:tcPr>
            <w:tcW w:w="1213"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6,751 </w:t>
            </w:r>
          </w:p>
        </w:tc>
        <w:tc>
          <w:tcPr>
            <w:tcW w:w="1139"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6,961 </w:t>
            </w:r>
          </w:p>
        </w:tc>
        <w:tc>
          <w:tcPr>
            <w:tcW w:w="1935"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3 </w:t>
            </w:r>
          </w:p>
        </w:tc>
        <w:tc>
          <w:tcPr>
            <w:tcW w:w="2730"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Depreciated Replacement Cost</w:t>
            </w:r>
          </w:p>
        </w:tc>
        <w:tc>
          <w:tcPr>
            <w:tcW w:w="4595"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Replacement Cost New (price per sqm) Useful Life (consumed)</w:t>
            </w:r>
          </w:p>
        </w:tc>
      </w:tr>
      <w:tr w:rsidR="00735613" w:rsidTr="00735613">
        <w:trPr>
          <w:trHeight w:val="227"/>
        </w:trPr>
        <w:tc>
          <w:tcPr>
            <w:tcW w:w="3128" w:type="dxa"/>
            <w:vMerge/>
            <w:tcBorders>
              <w:top w:val="nil"/>
              <w:left w:val="nil"/>
              <w:bottom w:val="nil"/>
              <w:right w:val="nil"/>
            </w:tcBorders>
            <w:vAlign w:val="center"/>
            <w:hideMark/>
          </w:tcPr>
          <w:p w:rsidR="00735613" w:rsidRDefault="00735613" w:rsidP="00735613">
            <w:pPr>
              <w:spacing w:line="240" w:lineRule="auto"/>
              <w:rPr>
                <w:rFonts w:cs="Calibri"/>
                <w:szCs w:val="18"/>
              </w:rPr>
            </w:pPr>
          </w:p>
        </w:tc>
        <w:tc>
          <w:tcPr>
            <w:tcW w:w="1213"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42 </w:t>
            </w:r>
          </w:p>
        </w:tc>
        <w:tc>
          <w:tcPr>
            <w:tcW w:w="1139"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492 </w:t>
            </w:r>
          </w:p>
        </w:tc>
        <w:tc>
          <w:tcPr>
            <w:tcW w:w="1935"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3 </w:t>
            </w:r>
          </w:p>
        </w:tc>
        <w:tc>
          <w:tcPr>
            <w:tcW w:w="2730"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Market Approach</w:t>
            </w:r>
          </w:p>
        </w:tc>
        <w:tc>
          <w:tcPr>
            <w:tcW w:w="4595"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Adjusted market transactions</w:t>
            </w:r>
          </w:p>
        </w:tc>
      </w:tr>
      <w:tr w:rsidR="00735613" w:rsidTr="00735613">
        <w:trPr>
          <w:trHeight w:val="227"/>
        </w:trPr>
        <w:tc>
          <w:tcPr>
            <w:tcW w:w="3128"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b/>
                <w:bCs/>
                <w:i/>
                <w:iCs/>
                <w:szCs w:val="18"/>
              </w:rPr>
            </w:pPr>
            <w:r>
              <w:rPr>
                <w:rFonts w:cs="Calibri"/>
                <w:b/>
                <w:bCs/>
                <w:i/>
                <w:iCs/>
                <w:szCs w:val="18"/>
              </w:rPr>
              <w:t>Total non-financial assets</w:t>
            </w:r>
          </w:p>
        </w:tc>
        <w:tc>
          <w:tcPr>
            <w:tcW w:w="1213"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52,444</w:t>
            </w:r>
          </w:p>
        </w:tc>
        <w:tc>
          <w:tcPr>
            <w:tcW w:w="1139"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62,319</w:t>
            </w:r>
          </w:p>
        </w:tc>
        <w:tc>
          <w:tcPr>
            <w:tcW w:w="1935"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w:t>
            </w:r>
          </w:p>
        </w:tc>
        <w:tc>
          <w:tcPr>
            <w:tcW w:w="2730"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w:t>
            </w:r>
          </w:p>
        </w:tc>
        <w:tc>
          <w:tcPr>
            <w:tcW w:w="4595"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w:t>
            </w:r>
          </w:p>
        </w:tc>
      </w:tr>
      <w:tr w:rsidR="00735613" w:rsidTr="00735613">
        <w:trPr>
          <w:trHeight w:val="227"/>
        </w:trPr>
        <w:tc>
          <w:tcPr>
            <w:tcW w:w="3128"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b/>
                <w:bCs/>
                <w:i/>
                <w:iCs/>
                <w:szCs w:val="18"/>
              </w:rPr>
            </w:pPr>
            <w:r>
              <w:rPr>
                <w:rFonts w:cs="Calibri"/>
                <w:b/>
                <w:bCs/>
                <w:i/>
                <w:iCs/>
                <w:szCs w:val="18"/>
              </w:rPr>
              <w:t>Total fair value measurements (assets) in statement of financial position</w:t>
            </w:r>
            <w:r>
              <w:rPr>
                <w:rFonts w:cs="Calibri"/>
                <w:b/>
                <w:bCs/>
                <w:i/>
                <w:iCs/>
                <w:szCs w:val="18"/>
                <w:vertAlign w:val="superscript"/>
              </w:rPr>
              <w:t>1</w:t>
            </w:r>
          </w:p>
        </w:tc>
        <w:tc>
          <w:tcPr>
            <w:tcW w:w="1213"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53,445</w:t>
            </w:r>
          </w:p>
        </w:tc>
        <w:tc>
          <w:tcPr>
            <w:tcW w:w="1139"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62,319</w:t>
            </w:r>
          </w:p>
        </w:tc>
        <w:tc>
          <w:tcPr>
            <w:tcW w:w="1935"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w:t>
            </w:r>
          </w:p>
        </w:tc>
        <w:tc>
          <w:tcPr>
            <w:tcW w:w="2730"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w:t>
            </w:r>
          </w:p>
        </w:tc>
        <w:tc>
          <w:tcPr>
            <w:tcW w:w="4595"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w:t>
            </w:r>
          </w:p>
        </w:tc>
      </w:tr>
      <w:tr w:rsidR="00735613" w:rsidTr="00735613">
        <w:trPr>
          <w:trHeight w:val="227"/>
        </w:trPr>
        <w:tc>
          <w:tcPr>
            <w:tcW w:w="3128"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b/>
                <w:bCs/>
                <w:szCs w:val="18"/>
              </w:rPr>
            </w:pPr>
            <w:r>
              <w:rPr>
                <w:rFonts w:cs="Calibri"/>
                <w:b/>
                <w:bCs/>
                <w:szCs w:val="18"/>
              </w:rPr>
              <w:t> </w:t>
            </w:r>
          </w:p>
        </w:tc>
        <w:tc>
          <w:tcPr>
            <w:tcW w:w="121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139"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935"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2730"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4595"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r>
      <w:tr w:rsidR="00735613" w:rsidTr="00735613">
        <w:trPr>
          <w:trHeight w:val="227"/>
        </w:trPr>
        <w:tc>
          <w:tcPr>
            <w:tcW w:w="14740" w:type="dxa"/>
            <w:gridSpan w:val="6"/>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1. The Department has a number of assets and liabilities not measured at fair value in the statement of comprehensive income. The carrying amounts of these assets and liabilities are considered to be a reasonable approximation of their fair value.</w:t>
            </w:r>
          </w:p>
        </w:tc>
      </w:tr>
      <w:tr w:rsidR="00735613" w:rsidTr="00735613">
        <w:trPr>
          <w:trHeight w:val="227"/>
        </w:trPr>
        <w:tc>
          <w:tcPr>
            <w:tcW w:w="14740" w:type="dxa"/>
            <w:gridSpan w:val="6"/>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 xml:space="preserve">2. There have been no changes to valuation techniques. </w:t>
            </w:r>
          </w:p>
        </w:tc>
      </w:tr>
      <w:tr w:rsidR="00735613" w:rsidTr="00735613">
        <w:trPr>
          <w:trHeight w:val="227"/>
        </w:trPr>
        <w:tc>
          <w:tcPr>
            <w:tcW w:w="14740" w:type="dxa"/>
            <w:gridSpan w:val="6"/>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3. In 2013–14, leasehold improvements representing make good were stated to be measured using a category 2 valuation technique. A revised assessment has established that these assets are better represented as a category 3 asset disclosed at present value.</w:t>
            </w:r>
          </w:p>
        </w:tc>
      </w:tr>
      <w:tr w:rsidR="00735613" w:rsidTr="00735613">
        <w:trPr>
          <w:trHeight w:val="227"/>
        </w:trPr>
        <w:tc>
          <w:tcPr>
            <w:tcW w:w="14740" w:type="dxa"/>
            <w:gridSpan w:val="6"/>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br/>
              <w:t xml:space="preserve">The department's assets are held for operational purposes and not held for the purpose of deriving a profit. The current use of all controlled assets is considered the highest and best use. The department's policy for determining when </w:t>
            </w:r>
            <w:proofErr w:type="gramStart"/>
            <w:r>
              <w:rPr>
                <w:rFonts w:cs="Calibri"/>
                <w:szCs w:val="18"/>
              </w:rPr>
              <w:t>transfer between levels are</w:t>
            </w:r>
            <w:proofErr w:type="gramEnd"/>
            <w:r>
              <w:rPr>
                <w:rFonts w:cs="Calibri"/>
                <w:szCs w:val="18"/>
              </w:rPr>
              <w:t xml:space="preserve"> deemed to have occurred can be found in Note 1. The methods and valuation techniques used for the purpose of measuring fair value of assets and liabilities in 2015 are unchanged from the previous reporting period.</w:t>
            </w:r>
          </w:p>
        </w:tc>
      </w:tr>
      <w:tr w:rsidR="00735613" w:rsidTr="00735613">
        <w:trPr>
          <w:trHeight w:val="227"/>
        </w:trPr>
        <w:tc>
          <w:tcPr>
            <w:tcW w:w="14740" w:type="dxa"/>
            <w:gridSpan w:val="6"/>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 </w:t>
            </w:r>
          </w:p>
        </w:tc>
      </w:tr>
    </w:tbl>
    <w:p w:rsidR="00735613" w:rsidRDefault="00735613" w:rsidP="00735613">
      <w:pPr>
        <w:spacing w:before="120" w:after="60"/>
        <w:rPr>
          <w:rFonts w:cs="Calibri"/>
          <w:szCs w:val="18"/>
        </w:rPr>
        <w:sectPr w:rsidR="00735613" w:rsidSect="00735613">
          <w:pgSz w:w="16838" w:h="11906" w:orient="landscape"/>
          <w:pgMar w:top="1134" w:right="1134" w:bottom="1134" w:left="1134" w:header="958" w:footer="737" w:gutter="0"/>
          <w:cols w:space="720"/>
          <w:docGrid w:linePitch="245"/>
        </w:sectPr>
      </w:pPr>
      <w:bookmarkStart w:id="141" w:name="RANGE!D7:I36"/>
      <w:bookmarkStart w:id="142" w:name="RANGE!D7:I35"/>
      <w:bookmarkStart w:id="143" w:name="RANGE!D7:D38"/>
      <w:bookmarkEnd w:id="141"/>
      <w:bookmarkEnd w:id="142"/>
      <w:bookmarkEnd w:id="143"/>
    </w:p>
    <w:tbl>
      <w:tblPr>
        <w:tblW w:w="9087" w:type="dxa"/>
        <w:tblInd w:w="80" w:type="dxa"/>
        <w:tblLayout w:type="fixed"/>
        <w:tblLook w:val="04A0" w:firstRow="1" w:lastRow="0" w:firstColumn="1" w:lastColumn="0" w:noHBand="0" w:noVBand="1"/>
      </w:tblPr>
      <w:tblGrid>
        <w:gridCol w:w="2077"/>
        <w:gridCol w:w="944"/>
        <w:gridCol w:w="980"/>
        <w:gridCol w:w="1102"/>
        <w:gridCol w:w="999"/>
        <w:gridCol w:w="750"/>
        <w:gridCol w:w="745"/>
        <w:gridCol w:w="745"/>
        <w:gridCol w:w="745"/>
      </w:tblGrid>
      <w:tr w:rsidR="00735613" w:rsidTr="00735613">
        <w:trPr>
          <w:trHeight w:val="240"/>
        </w:trPr>
        <w:tc>
          <w:tcPr>
            <w:tcW w:w="9087" w:type="dxa"/>
            <w:gridSpan w:val="9"/>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144" w:name="Note_FIPTABLE1" w:colFirst="0" w:colLast="0"/>
            <w:r>
              <w:rPr>
                <w:rFonts w:cs="Arial"/>
                <w:b/>
                <w:bCs/>
                <w:szCs w:val="18"/>
                <w:u w:val="single"/>
              </w:rPr>
              <w:t>Note 6B: Reconciliation for recurring Level 3 fair value measurements</w:t>
            </w:r>
          </w:p>
        </w:tc>
      </w:tr>
      <w:bookmarkEnd w:id="144"/>
      <w:tr w:rsidR="00735613" w:rsidTr="00735613">
        <w:trPr>
          <w:trHeight w:val="240"/>
        </w:trPr>
        <w:tc>
          <w:tcPr>
            <w:tcW w:w="2077"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4"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80"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0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99"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750"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745"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745"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370"/>
        </w:trPr>
        <w:tc>
          <w:tcPr>
            <w:tcW w:w="9087" w:type="dxa"/>
            <w:gridSpan w:val="9"/>
            <w:tcBorders>
              <w:top w:val="nil"/>
              <w:left w:val="nil"/>
              <w:bottom w:val="nil"/>
              <w:right w:val="nil"/>
            </w:tcBorders>
            <w:shd w:val="clear" w:color="FFFFFF" w:fill="FFFFFF"/>
            <w:vAlign w:val="bottom"/>
            <w:hideMark/>
          </w:tcPr>
          <w:p w:rsidR="00735613" w:rsidRDefault="00735613" w:rsidP="00735613">
            <w:pPr>
              <w:rPr>
                <w:rFonts w:cs="Arial"/>
                <w:szCs w:val="18"/>
              </w:rPr>
            </w:pPr>
            <w:r>
              <w:rPr>
                <w:rFonts w:cs="Arial"/>
                <w:szCs w:val="18"/>
              </w:rPr>
              <w:t>There have been no transfers between levels.</w:t>
            </w:r>
          </w:p>
        </w:tc>
      </w:tr>
      <w:tr w:rsidR="00735613" w:rsidTr="00735613">
        <w:trPr>
          <w:trHeight w:val="240"/>
        </w:trPr>
        <w:tc>
          <w:tcPr>
            <w:tcW w:w="2077"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4"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80"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0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99"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750"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745"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745"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40"/>
        </w:trPr>
        <w:tc>
          <w:tcPr>
            <w:tcW w:w="9087" w:type="dxa"/>
            <w:gridSpan w:val="9"/>
            <w:tcBorders>
              <w:top w:val="nil"/>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Recurring Level 3 fair value measurements - reconciliation for assets</w:t>
            </w:r>
          </w:p>
        </w:tc>
      </w:tr>
      <w:tr w:rsidR="00735613" w:rsidTr="00735613">
        <w:trPr>
          <w:trHeight w:val="240"/>
        </w:trPr>
        <w:tc>
          <w:tcPr>
            <w:tcW w:w="2077"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7010" w:type="dxa"/>
            <w:gridSpan w:val="8"/>
            <w:tcBorders>
              <w:top w:val="single" w:sz="4" w:space="0" w:color="auto"/>
              <w:left w:val="nil"/>
              <w:bottom w:val="single" w:sz="4" w:space="0" w:color="auto"/>
              <w:right w:val="nil"/>
            </w:tcBorders>
            <w:shd w:val="clear" w:color="FFFFFF" w:fill="FFFFFF"/>
            <w:vAlign w:val="bottom"/>
            <w:hideMark/>
          </w:tcPr>
          <w:p w:rsidR="00735613" w:rsidRDefault="00735613">
            <w:pPr>
              <w:jc w:val="center"/>
              <w:rPr>
                <w:rFonts w:cs="Arial"/>
                <w:b/>
                <w:bCs/>
                <w:szCs w:val="18"/>
              </w:rPr>
            </w:pPr>
            <w:r>
              <w:rPr>
                <w:rFonts w:cs="Arial"/>
                <w:b/>
                <w:bCs/>
                <w:szCs w:val="18"/>
              </w:rPr>
              <w:t>Non-financial assets</w:t>
            </w:r>
          </w:p>
        </w:tc>
      </w:tr>
      <w:tr w:rsidR="00735613" w:rsidTr="00735613">
        <w:trPr>
          <w:trHeight w:val="720"/>
        </w:trPr>
        <w:tc>
          <w:tcPr>
            <w:tcW w:w="2077"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924" w:type="dxa"/>
            <w:gridSpan w:val="2"/>
            <w:tcBorders>
              <w:top w:val="single" w:sz="4" w:space="0" w:color="auto"/>
              <w:left w:val="nil"/>
              <w:bottom w:val="nil"/>
              <w:right w:val="nil"/>
            </w:tcBorders>
            <w:shd w:val="clear" w:color="FFFFFF" w:fill="FFFFFF"/>
            <w:vAlign w:val="bottom"/>
            <w:hideMark/>
          </w:tcPr>
          <w:p w:rsidR="00735613" w:rsidRDefault="00735613">
            <w:pPr>
              <w:jc w:val="center"/>
              <w:rPr>
                <w:rFonts w:cs="Arial"/>
                <w:b/>
                <w:bCs/>
                <w:szCs w:val="18"/>
              </w:rPr>
            </w:pPr>
            <w:r>
              <w:rPr>
                <w:rFonts w:cs="Arial"/>
                <w:b/>
                <w:bCs/>
                <w:szCs w:val="18"/>
              </w:rPr>
              <w:t>Land and buildings</w:t>
            </w:r>
          </w:p>
        </w:tc>
        <w:tc>
          <w:tcPr>
            <w:tcW w:w="2101" w:type="dxa"/>
            <w:gridSpan w:val="2"/>
            <w:tcBorders>
              <w:top w:val="single" w:sz="4" w:space="0" w:color="auto"/>
              <w:left w:val="nil"/>
              <w:bottom w:val="nil"/>
              <w:right w:val="nil"/>
            </w:tcBorders>
            <w:shd w:val="clear" w:color="FFFFFF" w:fill="FFFFFF"/>
            <w:vAlign w:val="bottom"/>
            <w:hideMark/>
          </w:tcPr>
          <w:p w:rsidR="00735613" w:rsidRDefault="00735613">
            <w:pPr>
              <w:jc w:val="center"/>
              <w:rPr>
                <w:rFonts w:cs="Arial"/>
                <w:b/>
                <w:bCs/>
                <w:szCs w:val="18"/>
              </w:rPr>
            </w:pPr>
            <w:r>
              <w:rPr>
                <w:rFonts w:cs="Arial"/>
                <w:b/>
                <w:bCs/>
                <w:szCs w:val="18"/>
              </w:rPr>
              <w:t>Property, plant and equipment</w:t>
            </w:r>
          </w:p>
        </w:tc>
        <w:tc>
          <w:tcPr>
            <w:tcW w:w="1495" w:type="dxa"/>
            <w:gridSpan w:val="2"/>
            <w:tcBorders>
              <w:top w:val="single" w:sz="4" w:space="0" w:color="auto"/>
              <w:left w:val="nil"/>
              <w:bottom w:val="nil"/>
              <w:right w:val="nil"/>
            </w:tcBorders>
            <w:shd w:val="clear" w:color="FFFFFF" w:fill="FFFFFF"/>
            <w:vAlign w:val="bottom"/>
            <w:hideMark/>
          </w:tcPr>
          <w:p w:rsidR="00735613" w:rsidRDefault="00735613">
            <w:pPr>
              <w:jc w:val="center"/>
              <w:rPr>
                <w:rFonts w:cs="Arial"/>
                <w:b/>
                <w:bCs/>
                <w:szCs w:val="18"/>
              </w:rPr>
            </w:pPr>
            <w:r>
              <w:rPr>
                <w:rFonts w:cs="Arial"/>
                <w:b/>
                <w:bCs/>
                <w:szCs w:val="18"/>
              </w:rPr>
              <w:t>Leasehold Improvements</w:t>
            </w:r>
          </w:p>
        </w:tc>
        <w:tc>
          <w:tcPr>
            <w:tcW w:w="1490" w:type="dxa"/>
            <w:gridSpan w:val="2"/>
            <w:tcBorders>
              <w:top w:val="single" w:sz="4" w:space="0" w:color="auto"/>
              <w:left w:val="nil"/>
              <w:bottom w:val="nil"/>
              <w:right w:val="nil"/>
            </w:tcBorders>
            <w:shd w:val="clear" w:color="FFFFFF" w:fill="FFFFFF"/>
            <w:vAlign w:val="bottom"/>
            <w:hideMark/>
          </w:tcPr>
          <w:p w:rsidR="00735613" w:rsidRDefault="00735613">
            <w:pPr>
              <w:jc w:val="center"/>
              <w:rPr>
                <w:rFonts w:cs="Arial"/>
                <w:b/>
                <w:bCs/>
                <w:szCs w:val="18"/>
              </w:rPr>
            </w:pPr>
            <w:r>
              <w:rPr>
                <w:rFonts w:cs="Arial"/>
                <w:b/>
                <w:bCs/>
                <w:szCs w:val="18"/>
              </w:rPr>
              <w:t>Total</w:t>
            </w:r>
          </w:p>
        </w:tc>
      </w:tr>
      <w:tr w:rsidR="00735613" w:rsidTr="00735613">
        <w:trPr>
          <w:trHeight w:val="240"/>
        </w:trPr>
        <w:tc>
          <w:tcPr>
            <w:tcW w:w="2077"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2015</w:t>
            </w:r>
          </w:p>
        </w:tc>
        <w:tc>
          <w:tcPr>
            <w:tcW w:w="980"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2014</w:t>
            </w:r>
          </w:p>
        </w:tc>
        <w:tc>
          <w:tcPr>
            <w:tcW w:w="110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2015</w:t>
            </w:r>
          </w:p>
        </w:tc>
        <w:tc>
          <w:tcPr>
            <w:tcW w:w="999"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2014</w:t>
            </w:r>
          </w:p>
        </w:tc>
        <w:tc>
          <w:tcPr>
            <w:tcW w:w="75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2015</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2014</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2015</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2014</w:t>
            </w:r>
          </w:p>
        </w:tc>
      </w:tr>
      <w:tr w:rsidR="00735613" w:rsidTr="00735613">
        <w:trPr>
          <w:trHeight w:val="240"/>
        </w:trPr>
        <w:tc>
          <w:tcPr>
            <w:tcW w:w="2077"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4"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$'000</w:t>
            </w:r>
          </w:p>
        </w:tc>
        <w:tc>
          <w:tcPr>
            <w:tcW w:w="980"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$'000</w:t>
            </w:r>
          </w:p>
        </w:tc>
        <w:tc>
          <w:tcPr>
            <w:tcW w:w="1102"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$'000</w:t>
            </w:r>
          </w:p>
        </w:tc>
        <w:tc>
          <w:tcPr>
            <w:tcW w:w="999"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$'000</w:t>
            </w:r>
          </w:p>
        </w:tc>
        <w:tc>
          <w:tcPr>
            <w:tcW w:w="750"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$'000</w:t>
            </w:r>
          </w:p>
        </w:tc>
        <w:tc>
          <w:tcPr>
            <w:tcW w:w="745"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$'000</w:t>
            </w:r>
          </w:p>
        </w:tc>
        <w:tc>
          <w:tcPr>
            <w:tcW w:w="745"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$'000</w:t>
            </w:r>
          </w:p>
        </w:tc>
        <w:tc>
          <w:tcPr>
            <w:tcW w:w="745"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$'000</w:t>
            </w:r>
          </w:p>
        </w:tc>
      </w:tr>
      <w:tr w:rsidR="00735613" w:rsidTr="00735613">
        <w:trPr>
          <w:trHeight w:val="240"/>
        </w:trPr>
        <w:tc>
          <w:tcPr>
            <w:tcW w:w="2077" w:type="dxa"/>
            <w:tcBorders>
              <w:top w:val="single" w:sz="4" w:space="0" w:color="auto"/>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Restructuring opening balance</w:t>
            </w:r>
          </w:p>
        </w:tc>
        <w:tc>
          <w:tcPr>
            <w:tcW w:w="94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640 </w:t>
            </w:r>
          </w:p>
        </w:tc>
        <w:tc>
          <w:tcPr>
            <w:tcW w:w="980"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640 </w:t>
            </w:r>
          </w:p>
        </w:tc>
        <w:tc>
          <w:tcPr>
            <w:tcW w:w="110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7,455 </w:t>
            </w:r>
          </w:p>
        </w:tc>
        <w:tc>
          <w:tcPr>
            <w:tcW w:w="999"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7,573 </w:t>
            </w:r>
          </w:p>
        </w:tc>
        <w:tc>
          <w:tcPr>
            <w:tcW w:w="75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49,473 </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55,913 </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57,568 </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64,126 </w:t>
            </w:r>
          </w:p>
        </w:tc>
      </w:tr>
      <w:tr w:rsidR="00735613" w:rsidTr="00735613">
        <w:trPr>
          <w:trHeight w:val="510"/>
        </w:trPr>
        <w:tc>
          <w:tcPr>
            <w:tcW w:w="207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Total gains/(losses) recognised in net cost of services</w:t>
            </w:r>
            <w:r>
              <w:rPr>
                <w:rFonts w:ascii="Arial" w:hAnsi="Arial" w:cs="Arial"/>
                <w:szCs w:val="18"/>
                <w:vertAlign w:val="superscript"/>
              </w:rPr>
              <w:t>1</w:t>
            </w:r>
          </w:p>
        </w:tc>
        <w:tc>
          <w:tcPr>
            <w:tcW w:w="94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(15)</w:t>
            </w:r>
          </w:p>
        </w:tc>
        <w:tc>
          <w:tcPr>
            <w:tcW w:w="980"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0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(2,244)</w:t>
            </w:r>
          </w:p>
        </w:tc>
        <w:tc>
          <w:tcPr>
            <w:tcW w:w="999"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(1,765)</w:t>
            </w:r>
          </w:p>
        </w:tc>
        <w:tc>
          <w:tcPr>
            <w:tcW w:w="75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(6,804)</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(5,312)</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(9,063)</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(7,078)</w:t>
            </w:r>
          </w:p>
        </w:tc>
      </w:tr>
      <w:tr w:rsidR="00735613" w:rsidTr="00735613">
        <w:trPr>
          <w:trHeight w:val="240"/>
        </w:trPr>
        <w:tc>
          <w:tcPr>
            <w:tcW w:w="207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Transfers to other entities</w:t>
            </w:r>
          </w:p>
        </w:tc>
        <w:tc>
          <w:tcPr>
            <w:tcW w:w="94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980"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0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999"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75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(3,181)</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(1,352)</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(3,181)</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(1,352)</w:t>
            </w:r>
          </w:p>
        </w:tc>
      </w:tr>
      <w:tr w:rsidR="00735613" w:rsidTr="00735613">
        <w:trPr>
          <w:trHeight w:val="240"/>
        </w:trPr>
        <w:tc>
          <w:tcPr>
            <w:tcW w:w="207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Purchases</w:t>
            </w:r>
          </w:p>
        </w:tc>
        <w:tc>
          <w:tcPr>
            <w:tcW w:w="94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980"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0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1,568 </w:t>
            </w:r>
          </w:p>
        </w:tc>
        <w:tc>
          <w:tcPr>
            <w:tcW w:w="999"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1,705 </w:t>
            </w:r>
          </w:p>
        </w:tc>
        <w:tc>
          <w:tcPr>
            <w:tcW w:w="75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715 </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224 </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2,283 </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1,929 </w:t>
            </w:r>
          </w:p>
        </w:tc>
      </w:tr>
      <w:tr w:rsidR="00735613" w:rsidTr="00735613">
        <w:trPr>
          <w:trHeight w:val="240"/>
        </w:trPr>
        <w:tc>
          <w:tcPr>
            <w:tcW w:w="207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Disposals</w:t>
            </w:r>
          </w:p>
        </w:tc>
        <w:tc>
          <w:tcPr>
            <w:tcW w:w="94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(625)</w:t>
            </w:r>
          </w:p>
        </w:tc>
        <w:tc>
          <w:tcPr>
            <w:tcW w:w="980"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0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999"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75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(625)</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40"/>
        </w:trPr>
        <w:tc>
          <w:tcPr>
            <w:tcW w:w="207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Write-offs</w:t>
            </w:r>
          </w:p>
        </w:tc>
        <w:tc>
          <w:tcPr>
            <w:tcW w:w="94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980"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0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999"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(57)</w:t>
            </w:r>
          </w:p>
        </w:tc>
        <w:tc>
          <w:tcPr>
            <w:tcW w:w="75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(57)</w:t>
            </w:r>
          </w:p>
        </w:tc>
      </w:tr>
      <w:tr w:rsidR="00735613" w:rsidTr="00735613">
        <w:trPr>
          <w:trHeight w:val="240"/>
        </w:trPr>
        <w:tc>
          <w:tcPr>
            <w:tcW w:w="207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Transfers into Level 3</w:t>
            </w:r>
          </w:p>
        </w:tc>
        <w:tc>
          <w:tcPr>
            <w:tcW w:w="944"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980"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0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14 </w:t>
            </w:r>
          </w:p>
        </w:tc>
        <w:tc>
          <w:tcPr>
            <w:tcW w:w="999"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75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243 </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257 </w:t>
            </w:r>
          </w:p>
        </w:tc>
        <w:tc>
          <w:tcPr>
            <w:tcW w:w="74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40"/>
        </w:trPr>
        <w:tc>
          <w:tcPr>
            <w:tcW w:w="2077" w:type="dxa"/>
            <w:tcBorders>
              <w:top w:val="single" w:sz="4" w:space="0" w:color="auto"/>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Closing balance</w:t>
            </w:r>
          </w:p>
        </w:tc>
        <w:tc>
          <w:tcPr>
            <w:tcW w:w="944"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980"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 xml:space="preserve">640 </w:t>
            </w:r>
          </w:p>
        </w:tc>
        <w:tc>
          <w:tcPr>
            <w:tcW w:w="1102"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6,793 </w:t>
            </w:r>
          </w:p>
        </w:tc>
        <w:tc>
          <w:tcPr>
            <w:tcW w:w="999"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 xml:space="preserve">7,455 </w:t>
            </w:r>
          </w:p>
        </w:tc>
        <w:tc>
          <w:tcPr>
            <w:tcW w:w="750"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40,446 </w:t>
            </w:r>
          </w:p>
        </w:tc>
        <w:tc>
          <w:tcPr>
            <w:tcW w:w="74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 xml:space="preserve">49,473 </w:t>
            </w:r>
          </w:p>
        </w:tc>
        <w:tc>
          <w:tcPr>
            <w:tcW w:w="74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47,239 </w:t>
            </w:r>
          </w:p>
        </w:tc>
        <w:tc>
          <w:tcPr>
            <w:tcW w:w="74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 xml:space="preserve">57,568 </w:t>
            </w:r>
          </w:p>
        </w:tc>
      </w:tr>
      <w:tr w:rsidR="00735613" w:rsidTr="00735613">
        <w:trPr>
          <w:trHeight w:val="525"/>
        </w:trPr>
        <w:tc>
          <w:tcPr>
            <w:tcW w:w="9087" w:type="dxa"/>
            <w:gridSpan w:val="9"/>
            <w:tcBorders>
              <w:top w:val="single" w:sz="4" w:space="0" w:color="auto"/>
              <w:left w:val="nil"/>
              <w:bottom w:val="nil"/>
              <w:right w:val="nil"/>
            </w:tcBorders>
            <w:shd w:val="clear" w:color="FFFFFF" w:fill="FFFFFF"/>
            <w:vAlign w:val="bottom"/>
            <w:hideMark/>
          </w:tcPr>
          <w:p w:rsidR="00735613" w:rsidRDefault="00735613">
            <w:pPr>
              <w:rPr>
                <w:rFonts w:cs="Arial"/>
                <w:szCs w:val="18"/>
              </w:rPr>
            </w:pPr>
            <w:r>
              <w:rPr>
                <w:rFonts w:cs="Arial"/>
                <w:szCs w:val="18"/>
                <w:vertAlign w:val="superscript"/>
              </w:rPr>
              <w:t>1</w:t>
            </w:r>
            <w:r>
              <w:rPr>
                <w:rFonts w:cs="Arial"/>
                <w:szCs w:val="18"/>
              </w:rPr>
              <w:t xml:space="preserve"> These gains</w:t>
            </w:r>
            <w:proofErr w:type="gramStart"/>
            <w:r>
              <w:rPr>
                <w:rFonts w:cs="Arial"/>
                <w:szCs w:val="18"/>
              </w:rPr>
              <w:t>/(</w:t>
            </w:r>
            <w:proofErr w:type="gramEnd"/>
            <w:r>
              <w:rPr>
                <w:rFonts w:cs="Arial"/>
                <w:szCs w:val="18"/>
              </w:rPr>
              <w:t>losses) are presented in the Statement of Comprehensive Income under ‘Depreciation and amortisation’ and ‘Write-down and Impairment of assets’.</w:t>
            </w:r>
          </w:p>
        </w:tc>
      </w:tr>
      <w:tr w:rsidR="00735613" w:rsidTr="00735613">
        <w:trPr>
          <w:trHeight w:val="240"/>
        </w:trPr>
        <w:tc>
          <w:tcPr>
            <w:tcW w:w="9087" w:type="dxa"/>
            <w:gridSpan w:val="9"/>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 </w:t>
            </w:r>
          </w:p>
        </w:tc>
      </w:tr>
    </w:tbl>
    <w:p w:rsidR="00735613" w:rsidRDefault="00735613" w:rsidP="00735613">
      <w:pPr>
        <w:spacing w:before="120" w:after="60"/>
        <w:rPr>
          <w:rFonts w:cs="Calibri"/>
          <w:szCs w:val="18"/>
        </w:rPr>
      </w:pPr>
    </w:p>
    <w:p w:rsidR="00735613" w:rsidRDefault="00735613" w:rsidP="00735613">
      <w:pPr>
        <w:spacing w:before="120" w:after="60"/>
        <w:rPr>
          <w:rFonts w:cs="Calibri"/>
          <w:szCs w:val="18"/>
        </w:rPr>
      </w:pPr>
    </w:p>
    <w:p w:rsidR="00735613" w:rsidRDefault="00735613" w:rsidP="00735613">
      <w:pPr>
        <w:spacing w:before="120" w:after="60"/>
        <w:rPr>
          <w:rFonts w:cs="Calibri"/>
          <w:szCs w:val="18"/>
        </w:rPr>
      </w:pPr>
    </w:p>
    <w:p w:rsidR="00735613" w:rsidRDefault="00735613" w:rsidP="00735613">
      <w:pPr>
        <w:spacing w:before="120" w:after="60"/>
        <w:rPr>
          <w:rFonts w:cs="Calibri"/>
          <w:szCs w:val="18"/>
        </w:rPr>
      </w:pPr>
    </w:p>
    <w:p w:rsidR="00735613" w:rsidRDefault="00735613" w:rsidP="00735613">
      <w:pPr>
        <w:pStyle w:val="NotesHeading-Level1"/>
        <w:numPr>
          <w:ilvl w:val="0"/>
          <w:numId w:val="0"/>
        </w:numPr>
        <w:outlineLvl w:val="9"/>
        <w:rPr>
          <w:rFonts w:cstheme="minorHAnsi"/>
        </w:rPr>
      </w:pPr>
      <w:bookmarkStart w:id="145" w:name="RANGE!D7:H28"/>
      <w:bookmarkStart w:id="146" w:name="RANGE!D7:D28"/>
      <w:bookmarkStart w:id="147" w:name="RANGE!D7:G28"/>
      <w:bookmarkEnd w:id="145"/>
      <w:bookmarkEnd w:id="146"/>
      <w:bookmarkEnd w:id="147"/>
      <w:r>
        <w:rPr>
          <w:rFonts w:cstheme="minorHAnsi"/>
        </w:rPr>
        <w:br w:type="page"/>
      </w:r>
    </w:p>
    <w:p w:rsidR="00735613" w:rsidRPr="00CC766A" w:rsidRDefault="00735613" w:rsidP="00735613">
      <w:pPr>
        <w:pStyle w:val="NotesHeading-Level1"/>
        <w:numPr>
          <w:ilvl w:val="0"/>
          <w:numId w:val="9"/>
        </w:numPr>
        <w:rPr>
          <w:rFonts w:cstheme="minorHAnsi"/>
        </w:rPr>
      </w:pPr>
      <w:bookmarkStart w:id="148" w:name="_Toc420422376"/>
      <w:r w:rsidRPr="00CC766A">
        <w:rPr>
          <w:rFonts w:cstheme="minorHAnsi"/>
        </w:rPr>
        <w:t>Financial Assets</w:t>
      </w:r>
      <w:bookmarkEnd w:id="148"/>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bookmarkStart w:id="149" w:name="Note_CSHTABLE1" w:colFirst="0" w:colLast="0"/>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2014</w:t>
            </w:r>
          </w:p>
        </w:tc>
      </w:tr>
      <w:bookmarkEnd w:id="149"/>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r>
              <w:rPr>
                <w:rFonts w:cs="Arial"/>
                <w:b/>
                <w:bCs/>
                <w:szCs w:val="18"/>
                <w:u w:val="single"/>
              </w:rPr>
              <w:t>Note 7A: Cash and cash equivalents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Cash on hand or on deposit</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7,531</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8,429</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Special Account</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2,286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cash and cash equivalents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9,817</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8,429</w:t>
            </w:r>
          </w:p>
        </w:tc>
      </w:tr>
    </w:tbl>
    <w:p w:rsidR="00735613" w:rsidRDefault="00735613"/>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150" w:name="Note_RECTABLE1" w:colFirst="0" w:colLast="0"/>
            <w:r>
              <w:rPr>
                <w:rFonts w:cs="Arial"/>
                <w:b/>
                <w:bCs/>
                <w:szCs w:val="18"/>
                <w:u w:val="single"/>
              </w:rPr>
              <w:t>Note 7B: Trade and other receivables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bookmarkEnd w:id="150"/>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Good and Services receivables in connection with</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Related parties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2,947</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13,729</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External parties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1,164</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1,409</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goods and services receivables</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4,111</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15,138</w:t>
            </w:r>
          </w:p>
        </w:tc>
      </w:tr>
      <w:tr w:rsidR="00735613" w:rsidTr="00735613">
        <w:trPr>
          <w:trHeight w:val="132"/>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Appropriations receivable</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Existing programmes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45,176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18,106</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appropriations receivable</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45,176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18,106</w:t>
            </w:r>
          </w:p>
        </w:tc>
      </w:tr>
      <w:tr w:rsidR="00735613" w:rsidTr="00735613">
        <w:trPr>
          <w:trHeight w:val="132"/>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Other receivables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GST receivable from the Australian Taxation Office</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2,542</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1,589</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other receivables</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2,542</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1,589</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trade and other receivables (gross)</w:t>
            </w:r>
          </w:p>
        </w:tc>
        <w:tc>
          <w:tcPr>
            <w:tcW w:w="1235"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51,829</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34,833</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Less impairment allowance</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Goods and services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(64)</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impairment allowance</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(64)</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trade and other receivables (net)</w:t>
            </w:r>
          </w:p>
        </w:tc>
        <w:tc>
          <w:tcPr>
            <w:tcW w:w="1235" w:type="dxa"/>
            <w:tcBorders>
              <w:top w:val="nil"/>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51,829</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34,769</w:t>
            </w:r>
          </w:p>
        </w:tc>
      </w:tr>
      <w:tr w:rsidR="00735613" w:rsidTr="00735613">
        <w:trPr>
          <w:trHeight w:val="159"/>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Trade and other receivables (net) expected to be recovered</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No more than 12 months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51,829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34,603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More than 12 months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166 </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trade and other receivables (net)</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51,829</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34,769</w:t>
            </w:r>
          </w:p>
        </w:tc>
      </w:tr>
      <w:tr w:rsidR="00735613" w:rsidTr="00735613">
        <w:trPr>
          <w:trHeight w:val="159"/>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Trade and other receivables (gross) aged as follows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Not overdue</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50,467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27,086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Overdue by</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200" w:firstLine="360"/>
              <w:rPr>
                <w:rFonts w:cs="Arial"/>
                <w:szCs w:val="18"/>
              </w:rPr>
            </w:pPr>
            <w:r>
              <w:rPr>
                <w:rFonts w:cs="Arial"/>
                <w:szCs w:val="18"/>
              </w:rPr>
              <w:t xml:space="preserve">     0 to 30 days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598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5,888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200" w:firstLine="360"/>
              <w:rPr>
                <w:rFonts w:cs="Arial"/>
                <w:szCs w:val="18"/>
              </w:rPr>
            </w:pPr>
            <w:r>
              <w:rPr>
                <w:rFonts w:cs="Arial"/>
                <w:szCs w:val="18"/>
              </w:rPr>
              <w:t xml:space="preserve">     31 to 60 days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193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282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200" w:firstLine="360"/>
              <w:rPr>
                <w:rFonts w:cs="Arial"/>
                <w:szCs w:val="18"/>
              </w:rPr>
            </w:pPr>
            <w:r>
              <w:rPr>
                <w:rFonts w:cs="Arial"/>
                <w:szCs w:val="18"/>
              </w:rPr>
              <w:t xml:space="preserve">     61 to 90 days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89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809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200" w:firstLine="360"/>
              <w:rPr>
                <w:rFonts w:cs="Arial"/>
                <w:szCs w:val="18"/>
              </w:rPr>
            </w:pPr>
            <w:r>
              <w:rPr>
                <w:rFonts w:cs="Arial"/>
                <w:szCs w:val="18"/>
              </w:rPr>
              <w:t xml:space="preserve">     More than 90 days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482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768 </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trade and other receivables (gross)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51,829</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34,833</w:t>
            </w:r>
          </w:p>
        </w:tc>
      </w:tr>
      <w:tr w:rsidR="00735613" w:rsidTr="00735613">
        <w:trPr>
          <w:trHeight w:val="120"/>
        </w:trPr>
        <w:tc>
          <w:tcPr>
            <w:tcW w:w="628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The impairment allowance aged as follows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Not overdue</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Overdue by</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200" w:firstLine="360"/>
              <w:rPr>
                <w:rFonts w:cs="Arial"/>
                <w:szCs w:val="18"/>
              </w:rPr>
            </w:pPr>
            <w:r>
              <w:rPr>
                <w:rFonts w:cs="Arial"/>
                <w:szCs w:val="18"/>
              </w:rPr>
              <w:t xml:space="preserve">     0 to 30 days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200" w:firstLine="360"/>
              <w:rPr>
                <w:rFonts w:cs="Arial"/>
                <w:szCs w:val="18"/>
              </w:rPr>
            </w:pPr>
            <w:r>
              <w:rPr>
                <w:rFonts w:cs="Arial"/>
                <w:szCs w:val="18"/>
              </w:rPr>
              <w:t xml:space="preserve">     31 to 60 days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200" w:firstLine="360"/>
              <w:rPr>
                <w:rFonts w:cs="Arial"/>
                <w:szCs w:val="18"/>
              </w:rPr>
            </w:pPr>
            <w:r>
              <w:rPr>
                <w:rFonts w:cs="Arial"/>
                <w:szCs w:val="18"/>
              </w:rPr>
              <w:t xml:space="preserve">     61 to 90 days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200" w:firstLine="360"/>
              <w:rPr>
                <w:rFonts w:cs="Arial"/>
                <w:szCs w:val="18"/>
              </w:rPr>
            </w:pPr>
            <w:r>
              <w:rPr>
                <w:rFonts w:cs="Arial"/>
                <w:szCs w:val="18"/>
              </w:rPr>
              <w:t xml:space="preserve">     More than 90 days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(64)</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 xml:space="preserve">Total impairment allowance </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(64)</w:t>
            </w:r>
          </w:p>
        </w:tc>
      </w:tr>
    </w:tbl>
    <w:p w:rsidR="00735613" w:rsidRDefault="00735613">
      <w:bookmarkStart w:id="151" w:name="RANGE!D7:G49"/>
      <w:bookmarkEnd w:id="151"/>
      <w:r>
        <w:t xml:space="preserve">Credit terms for goods and services receivable are net 30 days (2014: 30 days). </w:t>
      </w:r>
    </w:p>
    <w:tbl>
      <w:tblPr>
        <w:tblW w:w="9087" w:type="dxa"/>
        <w:tblInd w:w="80" w:type="dxa"/>
        <w:tblLayout w:type="fixed"/>
        <w:tblLook w:val="04A0" w:firstRow="1" w:lastRow="0" w:firstColumn="1" w:lastColumn="0" w:noHBand="0" w:noVBand="1"/>
      </w:tblPr>
      <w:tblGrid>
        <w:gridCol w:w="6588"/>
        <w:gridCol w:w="1250"/>
        <w:gridCol w:w="1249"/>
      </w:tblGrid>
      <w:tr w:rsidR="00735613" w:rsidTr="00735613">
        <w:trPr>
          <w:trHeight w:val="240"/>
        </w:trPr>
        <w:tc>
          <w:tcPr>
            <w:tcW w:w="6513" w:type="dxa"/>
            <w:tcBorders>
              <w:top w:val="nil"/>
              <w:left w:val="nil"/>
              <w:bottom w:val="nil"/>
              <w:right w:val="nil"/>
            </w:tcBorders>
            <w:shd w:val="clear" w:color="FFFFFF" w:fill="FFFFFF"/>
            <w:noWrap/>
            <w:vAlign w:val="bottom"/>
            <w:hideMark/>
          </w:tcPr>
          <w:p w:rsidR="00735613" w:rsidRDefault="00735613">
            <w:pPr>
              <w:rPr>
                <w:rFonts w:cs="Arial"/>
                <w:b/>
                <w:bCs/>
                <w:szCs w:val="18"/>
              </w:rPr>
            </w:pPr>
            <w:bookmarkStart w:id="152" w:name="Note_RIATABLE1" w:colFirst="0" w:colLast="0"/>
            <w:r>
              <w:rPr>
                <w:rFonts w:cs="Arial"/>
                <w:b/>
                <w:bCs/>
                <w:szCs w:val="18"/>
              </w:rPr>
              <w:t>Reconciliation of the Impairment Allowance</w:t>
            </w:r>
          </w:p>
        </w:tc>
        <w:tc>
          <w:tcPr>
            <w:tcW w:w="1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bookmarkEnd w:id="152"/>
      <w:tr w:rsidR="00735613" w:rsidTr="00735613">
        <w:trPr>
          <w:trHeight w:val="240"/>
        </w:trPr>
        <w:tc>
          <w:tcPr>
            <w:tcW w:w="651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40"/>
        </w:trPr>
        <w:tc>
          <w:tcPr>
            <w:tcW w:w="6513"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Movements in relation to 2015</w:t>
            </w:r>
          </w:p>
        </w:tc>
        <w:tc>
          <w:tcPr>
            <w:tcW w:w="1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495"/>
        </w:trPr>
        <w:tc>
          <w:tcPr>
            <w:tcW w:w="6513" w:type="dxa"/>
            <w:tcBorders>
              <w:top w:val="single" w:sz="4" w:space="0" w:color="auto"/>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6" w:type="dxa"/>
            <w:tcBorders>
              <w:top w:val="single" w:sz="4" w:space="0" w:color="auto"/>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Goods and services</w:t>
            </w:r>
          </w:p>
        </w:tc>
        <w:tc>
          <w:tcPr>
            <w:tcW w:w="1235" w:type="dxa"/>
            <w:tcBorders>
              <w:top w:val="single" w:sz="4" w:space="0" w:color="auto"/>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Total</w:t>
            </w:r>
          </w:p>
        </w:tc>
      </w:tr>
      <w:tr w:rsidR="00735613" w:rsidTr="00735613">
        <w:trPr>
          <w:trHeight w:val="240"/>
        </w:trPr>
        <w:tc>
          <w:tcPr>
            <w:tcW w:w="6513" w:type="dxa"/>
            <w:tcBorders>
              <w:top w:val="nil"/>
              <w:left w:val="nil"/>
              <w:bottom w:val="single" w:sz="4" w:space="0" w:color="auto"/>
              <w:right w:val="nil"/>
            </w:tcBorders>
            <w:shd w:val="clear" w:color="FFFFFF" w:fill="FFFFFF"/>
            <w:noWrap/>
            <w:vAlign w:val="bottom"/>
            <w:hideMark/>
          </w:tcPr>
          <w:p w:rsidR="00735613" w:rsidRDefault="00735613">
            <w:pPr>
              <w:rPr>
                <w:rFonts w:cs="Arial"/>
                <w:szCs w:val="18"/>
              </w:rPr>
            </w:pPr>
            <w:r>
              <w:rPr>
                <w:rFonts w:cs="Arial"/>
                <w:szCs w:val="18"/>
              </w:rPr>
              <w:t> </w:t>
            </w:r>
          </w:p>
        </w:tc>
        <w:tc>
          <w:tcPr>
            <w:tcW w:w="123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235"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r>
      <w:tr w:rsidR="00735613" w:rsidTr="00735613">
        <w:trPr>
          <w:trHeight w:val="240"/>
        </w:trPr>
        <w:tc>
          <w:tcPr>
            <w:tcW w:w="6513"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Opening balance as at 1 July 2014</w:t>
            </w:r>
          </w:p>
        </w:tc>
        <w:tc>
          <w:tcPr>
            <w:tcW w:w="123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(64)</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(64)</w:t>
            </w:r>
          </w:p>
        </w:tc>
      </w:tr>
      <w:tr w:rsidR="00735613" w:rsidTr="00735613">
        <w:trPr>
          <w:trHeight w:val="240"/>
        </w:trPr>
        <w:tc>
          <w:tcPr>
            <w:tcW w:w="6513"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Amounts recovered and reversed</w:t>
            </w:r>
          </w:p>
        </w:tc>
        <w:tc>
          <w:tcPr>
            <w:tcW w:w="123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64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64</w:t>
            </w:r>
          </w:p>
        </w:tc>
      </w:tr>
      <w:tr w:rsidR="00735613" w:rsidTr="00735613">
        <w:trPr>
          <w:trHeight w:val="240"/>
        </w:trPr>
        <w:tc>
          <w:tcPr>
            <w:tcW w:w="6513" w:type="dxa"/>
            <w:tcBorders>
              <w:top w:val="single" w:sz="4" w:space="0" w:color="auto"/>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Closing balance as at 30 June 2015</w:t>
            </w:r>
          </w:p>
        </w:tc>
        <w:tc>
          <w:tcPr>
            <w:tcW w:w="123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r>
      <w:tr w:rsidR="00735613" w:rsidTr="00735613">
        <w:trPr>
          <w:trHeight w:val="240"/>
        </w:trPr>
        <w:tc>
          <w:tcPr>
            <w:tcW w:w="651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40"/>
        </w:trPr>
        <w:tc>
          <w:tcPr>
            <w:tcW w:w="6513"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Movements in relation to 2014</w:t>
            </w:r>
          </w:p>
        </w:tc>
        <w:tc>
          <w:tcPr>
            <w:tcW w:w="1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510"/>
        </w:trPr>
        <w:tc>
          <w:tcPr>
            <w:tcW w:w="6513" w:type="dxa"/>
            <w:tcBorders>
              <w:top w:val="single" w:sz="4" w:space="0" w:color="auto"/>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6" w:type="dxa"/>
            <w:tcBorders>
              <w:top w:val="single" w:sz="4" w:space="0" w:color="auto"/>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Goods and services</w:t>
            </w:r>
          </w:p>
        </w:tc>
        <w:tc>
          <w:tcPr>
            <w:tcW w:w="1235" w:type="dxa"/>
            <w:tcBorders>
              <w:top w:val="single" w:sz="4" w:space="0" w:color="auto"/>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Total</w:t>
            </w:r>
          </w:p>
        </w:tc>
      </w:tr>
      <w:tr w:rsidR="00735613" w:rsidTr="00735613">
        <w:trPr>
          <w:trHeight w:val="240"/>
        </w:trPr>
        <w:tc>
          <w:tcPr>
            <w:tcW w:w="6513" w:type="dxa"/>
            <w:tcBorders>
              <w:top w:val="nil"/>
              <w:left w:val="nil"/>
              <w:bottom w:val="single" w:sz="4" w:space="0" w:color="auto"/>
              <w:right w:val="nil"/>
            </w:tcBorders>
            <w:shd w:val="clear" w:color="FFFFFF" w:fill="FFFFFF"/>
            <w:noWrap/>
            <w:vAlign w:val="bottom"/>
            <w:hideMark/>
          </w:tcPr>
          <w:p w:rsidR="00735613" w:rsidRDefault="00735613">
            <w:pPr>
              <w:rPr>
                <w:rFonts w:cs="Arial"/>
                <w:szCs w:val="18"/>
              </w:rPr>
            </w:pPr>
            <w:r>
              <w:rPr>
                <w:rFonts w:cs="Arial"/>
                <w:szCs w:val="18"/>
              </w:rPr>
              <w:t> </w:t>
            </w:r>
          </w:p>
        </w:tc>
        <w:tc>
          <w:tcPr>
            <w:tcW w:w="1236" w:type="dxa"/>
            <w:tcBorders>
              <w:top w:val="nil"/>
              <w:left w:val="nil"/>
              <w:bottom w:val="single" w:sz="4" w:space="0" w:color="auto"/>
              <w:right w:val="nil"/>
            </w:tcBorders>
            <w:shd w:val="clear" w:color="FFFFFF" w:fill="FFFFFF"/>
            <w:vAlign w:val="bottom"/>
            <w:hideMark/>
          </w:tcPr>
          <w:p w:rsidR="00735613" w:rsidRDefault="00735613">
            <w:pPr>
              <w:jc w:val="right"/>
              <w:rPr>
                <w:rFonts w:cs="Arial"/>
                <w:szCs w:val="18"/>
              </w:rPr>
            </w:pPr>
            <w:r>
              <w:rPr>
                <w:rFonts w:cs="Arial"/>
                <w:szCs w:val="18"/>
              </w:rPr>
              <w:t>$'000</w:t>
            </w:r>
          </w:p>
        </w:tc>
        <w:tc>
          <w:tcPr>
            <w:tcW w:w="1235" w:type="dxa"/>
            <w:tcBorders>
              <w:top w:val="nil"/>
              <w:left w:val="nil"/>
              <w:bottom w:val="single" w:sz="4" w:space="0" w:color="auto"/>
              <w:right w:val="nil"/>
            </w:tcBorders>
            <w:shd w:val="clear" w:color="FFFFFF" w:fill="FFFFFF"/>
            <w:vAlign w:val="bottom"/>
            <w:hideMark/>
          </w:tcPr>
          <w:p w:rsidR="00735613" w:rsidRDefault="00735613">
            <w:pPr>
              <w:jc w:val="right"/>
              <w:rPr>
                <w:rFonts w:cs="Arial"/>
                <w:szCs w:val="18"/>
              </w:rPr>
            </w:pPr>
            <w:r>
              <w:rPr>
                <w:rFonts w:cs="Arial"/>
                <w:szCs w:val="18"/>
              </w:rPr>
              <w:t>$'000</w:t>
            </w:r>
          </w:p>
        </w:tc>
      </w:tr>
      <w:tr w:rsidR="00735613" w:rsidTr="00735613">
        <w:trPr>
          <w:trHeight w:val="240"/>
        </w:trPr>
        <w:tc>
          <w:tcPr>
            <w:tcW w:w="6513"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Opening balance as at 1 July 2013</w:t>
            </w:r>
          </w:p>
        </w:tc>
        <w:tc>
          <w:tcPr>
            <w:tcW w:w="123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40"/>
        </w:trPr>
        <w:tc>
          <w:tcPr>
            <w:tcW w:w="6513"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Amounts written off</w:t>
            </w:r>
          </w:p>
        </w:tc>
        <w:tc>
          <w:tcPr>
            <w:tcW w:w="123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(97)</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(97)</w:t>
            </w:r>
          </w:p>
        </w:tc>
      </w:tr>
      <w:tr w:rsidR="00735613" w:rsidTr="00735613">
        <w:trPr>
          <w:trHeight w:val="240"/>
        </w:trPr>
        <w:tc>
          <w:tcPr>
            <w:tcW w:w="6513"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Amounts recovered and reversed</w:t>
            </w:r>
          </w:p>
        </w:tc>
        <w:tc>
          <w:tcPr>
            <w:tcW w:w="123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97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97</w:t>
            </w:r>
          </w:p>
        </w:tc>
      </w:tr>
      <w:tr w:rsidR="00735613" w:rsidTr="00735613">
        <w:trPr>
          <w:trHeight w:val="240"/>
        </w:trPr>
        <w:tc>
          <w:tcPr>
            <w:tcW w:w="6513"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Increase/(decrease) recognised in net surplus</w:t>
            </w:r>
          </w:p>
        </w:tc>
        <w:tc>
          <w:tcPr>
            <w:tcW w:w="123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(64)</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(64)</w:t>
            </w:r>
          </w:p>
        </w:tc>
      </w:tr>
      <w:tr w:rsidR="00735613" w:rsidTr="00735613">
        <w:trPr>
          <w:trHeight w:val="240"/>
        </w:trPr>
        <w:tc>
          <w:tcPr>
            <w:tcW w:w="6513" w:type="dxa"/>
            <w:tcBorders>
              <w:top w:val="single" w:sz="4" w:space="0" w:color="auto"/>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Closing balance as at 30 June 2014</w:t>
            </w:r>
          </w:p>
        </w:tc>
        <w:tc>
          <w:tcPr>
            <w:tcW w:w="123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(64)</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(64)</w:t>
            </w:r>
          </w:p>
        </w:tc>
      </w:tr>
    </w:tbl>
    <w:p w:rsidR="00735613" w:rsidRDefault="00735613">
      <w:bookmarkStart w:id="153" w:name="RANGE!D7:D27"/>
      <w:bookmarkStart w:id="154" w:name="RANGE!D7:F27"/>
      <w:bookmarkStart w:id="155" w:name="RANGE!D7:D25"/>
      <w:bookmarkStart w:id="156" w:name="RANGE!D7:F25"/>
      <w:bookmarkStart w:id="157" w:name="RANGE!D8:D26"/>
      <w:bookmarkStart w:id="158" w:name="RANGE!D8:F26"/>
      <w:bookmarkEnd w:id="153"/>
      <w:bookmarkEnd w:id="154"/>
      <w:bookmarkEnd w:id="155"/>
      <w:bookmarkEnd w:id="156"/>
      <w:bookmarkEnd w:id="157"/>
      <w:bookmarkEnd w:id="158"/>
    </w:p>
    <w:p w:rsidR="00735613" w:rsidRDefault="00735613"/>
    <w:p w:rsidR="00735613" w:rsidRDefault="00735613"/>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159" w:name="Note_OFATABLE1" w:colFirst="0" w:colLast="0"/>
            <w:r>
              <w:rPr>
                <w:rFonts w:cs="Arial"/>
                <w:b/>
                <w:bCs/>
                <w:szCs w:val="18"/>
                <w:u w:val="single"/>
              </w:rPr>
              <w:t>Note 7C: Other financial assets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bookmarkEnd w:id="159"/>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Accrued revenue</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3,276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10,113</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other financial assets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3,276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10,113</w:t>
            </w:r>
          </w:p>
        </w:tc>
      </w:tr>
      <w:tr w:rsidR="00735613" w:rsidTr="00735613">
        <w:trPr>
          <w:trHeight w:val="276"/>
        </w:trPr>
        <w:tc>
          <w:tcPr>
            <w:tcW w:w="628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Other financial assets expected to be recovered</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No more than 12 months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3,276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10,113 </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other financial assets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3,276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10,113</w:t>
            </w:r>
          </w:p>
        </w:tc>
      </w:tr>
    </w:tbl>
    <w:p w:rsidR="00735613" w:rsidRDefault="00735613">
      <w:bookmarkStart w:id="160" w:name="RANGE!D7:G51"/>
      <w:bookmarkStart w:id="161" w:name="RANGE!D43:G74"/>
      <w:bookmarkStart w:id="162" w:name="RANGE!D44:G75"/>
      <w:bookmarkStart w:id="163" w:name="RANGE!D44:G74"/>
      <w:bookmarkStart w:id="164" w:name="RANGE!D44:G73"/>
      <w:bookmarkStart w:id="165" w:name="RANGE!D44:G72"/>
      <w:bookmarkStart w:id="166" w:name="RANGE!D53:H70"/>
      <w:bookmarkStart w:id="167" w:name="RANGE!D52:H69"/>
      <w:bookmarkStart w:id="168" w:name="RANGE!D59:H76"/>
      <w:bookmarkStart w:id="169" w:name="RANGE!D62:H80"/>
      <w:bookmarkStart w:id="170" w:name="RANGE!D7:G15"/>
      <w:bookmarkStart w:id="171" w:name="RANGE!D6:D63"/>
      <w:bookmarkStart w:id="172" w:name="RANGE!D6:H63"/>
      <w:bookmarkStart w:id="173" w:name="RANGE!D6:D28"/>
      <w:bookmarkStart w:id="174" w:name="RANGE!D6:H28"/>
      <w:bookmarkStart w:id="175" w:name="RANGE!D6:H13"/>
      <w:bookmarkStart w:id="176" w:name="RANGE!D6:H14"/>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rsidR="00735613" w:rsidRDefault="00735613">
      <w:pPr>
        <w:spacing w:line="240" w:lineRule="auto"/>
      </w:pPr>
      <w:r>
        <w:br w:type="page"/>
      </w:r>
    </w:p>
    <w:p w:rsidR="00735613" w:rsidRDefault="00735613" w:rsidP="00735613">
      <w:pPr>
        <w:pStyle w:val="NotesHeading-Level1"/>
        <w:numPr>
          <w:ilvl w:val="0"/>
          <w:numId w:val="9"/>
        </w:numPr>
        <w:rPr>
          <w:rFonts w:cstheme="minorHAnsi"/>
        </w:rPr>
      </w:pPr>
      <w:bookmarkStart w:id="177" w:name="_Toc420422377"/>
      <w:r>
        <w:rPr>
          <w:rFonts w:cstheme="minorHAnsi"/>
        </w:rPr>
        <w:t>Non-Financial Assets</w:t>
      </w:r>
      <w:bookmarkEnd w:id="177"/>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bookmarkStart w:id="178" w:name="Note_LABTABLE1" w:colFirst="0" w:colLast="0"/>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bookmarkEnd w:id="178"/>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2014</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r>
              <w:rPr>
                <w:rFonts w:cs="Arial"/>
                <w:b/>
                <w:bCs/>
                <w:szCs w:val="18"/>
                <w:u w:val="single"/>
              </w:rPr>
              <w:t>Note 8A: Land and buildings</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Land</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Freehold land at fair value</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200</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200</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land</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200</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200</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Buildings on freehold land:</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Fair value</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250</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890</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Accumulated depreciation</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buildings on freehold land</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242</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890</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Leasehold improvements:</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Work in progress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1,205</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304</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Fair value</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46,883</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50,178</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Accumulated depreciation</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(6,148)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(19)</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Accumulated impairment losses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(264)</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(686)</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leasehold improvements</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41,676</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49,777</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land and buildings</w:t>
            </w:r>
          </w:p>
        </w:tc>
        <w:tc>
          <w:tcPr>
            <w:tcW w:w="1235" w:type="dxa"/>
            <w:tcBorders>
              <w:top w:val="nil"/>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42,118</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50,867</w:t>
            </w:r>
          </w:p>
        </w:tc>
      </w:tr>
    </w:tbl>
    <w:p w:rsidR="00735613" w:rsidRDefault="00735613">
      <w:bookmarkStart w:id="179" w:name="RANGE!D6:G26"/>
      <w:bookmarkStart w:id="180" w:name="RANGE!D6:D27"/>
      <w:bookmarkStart w:id="181" w:name="RANGE!D6:G27"/>
      <w:bookmarkEnd w:id="179"/>
      <w:bookmarkEnd w:id="180"/>
      <w:bookmarkEnd w:id="181"/>
    </w:p>
    <w:p w:rsidR="00735613" w:rsidRPr="00640583" w:rsidRDefault="00735613" w:rsidP="00735613">
      <w:pPr>
        <w:pStyle w:val="NotesText0"/>
      </w:pPr>
      <w:r w:rsidRPr="00640583">
        <w:t xml:space="preserve">There </w:t>
      </w:r>
      <w:r>
        <w:t>is one (2014: three)</w:t>
      </w:r>
      <w:r w:rsidRPr="00640583">
        <w:t xml:space="preserve"> residential propert</w:t>
      </w:r>
      <w:r>
        <w:t>y</w:t>
      </w:r>
      <w:r w:rsidRPr="00640583">
        <w:t xml:space="preserve"> to be s</w:t>
      </w:r>
      <w:r>
        <w:t xml:space="preserve">old within the next 12 months. It has </w:t>
      </w:r>
      <w:r w:rsidRPr="00640583">
        <w:t>a net book value of</w:t>
      </w:r>
      <w:r>
        <w:t xml:space="preserve"> $442,424 </w:t>
      </w:r>
      <w:r>
        <w:br/>
        <w:t>(2014:</w:t>
      </w:r>
      <w:r w:rsidRPr="00640583">
        <w:t xml:space="preserve"> $1</w:t>
      </w:r>
      <w:r>
        <w:t>.</w:t>
      </w:r>
      <w:r w:rsidRPr="00640583">
        <w:t>090 million</w:t>
      </w:r>
      <w:r>
        <w:t>)</w:t>
      </w:r>
      <w:r w:rsidRPr="00640583">
        <w:t xml:space="preserve"> as at 30 June </w:t>
      </w:r>
      <w:r w:rsidR="00DF4B99">
        <w:fldChar w:fldCharType="begin"/>
      </w:r>
      <w:r w:rsidR="00DF4B99">
        <w:instrText xml:space="preserve"> DOCPROPERTY  crYear  \* MERGEFORMAT </w:instrText>
      </w:r>
      <w:r w:rsidR="00DF4B99">
        <w:fldChar w:fldCharType="separate"/>
      </w:r>
      <w:r>
        <w:t>2015</w:t>
      </w:r>
      <w:r w:rsidR="00DF4B99">
        <w:fldChar w:fldCharType="end"/>
      </w:r>
      <w:r w:rsidRPr="00640583">
        <w:t xml:space="preserve">.  </w:t>
      </w:r>
    </w:p>
    <w:p w:rsidR="00735613" w:rsidRPr="00640583" w:rsidRDefault="00735613" w:rsidP="00735613">
      <w:pPr>
        <w:pStyle w:val="NotesText0"/>
      </w:pPr>
      <w:r w:rsidRPr="00640583">
        <w:t xml:space="preserve">There are </w:t>
      </w:r>
      <w:r>
        <w:t>four (2014: six)</w:t>
      </w:r>
      <w:r w:rsidRPr="00640583">
        <w:t xml:space="preserve"> leased properties that the department manages which are due to be vacated within the next 12 months that have leasehold improvement assets.  The total net book value of the leasehold improvements including rest</w:t>
      </w:r>
      <w:r>
        <w:t>oration for these properties is $582,849</w:t>
      </w:r>
      <w:r w:rsidRPr="00640583">
        <w:t xml:space="preserve"> </w:t>
      </w:r>
      <w:r>
        <w:t xml:space="preserve">(2014: </w:t>
      </w:r>
      <w:r w:rsidRPr="00640583">
        <w:t>$</w:t>
      </w:r>
      <w:r>
        <w:t>1.</w:t>
      </w:r>
      <w:r w:rsidRPr="00640583">
        <w:t>01</w:t>
      </w:r>
      <w:r>
        <w:t>1</w:t>
      </w:r>
      <w:r w:rsidRPr="00640583">
        <w:t xml:space="preserve"> million</w:t>
      </w:r>
      <w:r>
        <w:t>)</w:t>
      </w:r>
      <w:r w:rsidRPr="00640583">
        <w:t xml:space="preserve"> as at 30 June </w:t>
      </w:r>
      <w:r w:rsidR="00DF4B99">
        <w:fldChar w:fldCharType="begin"/>
      </w:r>
      <w:r w:rsidR="00DF4B99">
        <w:instrText xml:space="preserve"> DOCPROPERTY  crYear  \* MERGEFORMAT </w:instrText>
      </w:r>
      <w:r w:rsidR="00DF4B99">
        <w:fldChar w:fldCharType="separate"/>
      </w:r>
      <w:r>
        <w:t>2015</w:t>
      </w:r>
      <w:r w:rsidR="00DF4B99">
        <w:fldChar w:fldCharType="end"/>
      </w:r>
      <w:r w:rsidRPr="00640583">
        <w:t>.</w:t>
      </w:r>
    </w:p>
    <w:p w:rsidR="00735613" w:rsidRPr="00640583" w:rsidRDefault="00735613" w:rsidP="00735613">
      <w:pPr>
        <w:pStyle w:val="NotesText0"/>
      </w:pPr>
      <w:r w:rsidRPr="00640583">
        <w:t xml:space="preserve">An impairment loss of </w:t>
      </w:r>
      <w:r>
        <w:t>$264,000 (2014: $686,000)</w:t>
      </w:r>
      <w:r w:rsidRPr="00640583">
        <w:t xml:space="preserve"> was recognised for </w:t>
      </w:r>
      <w:r>
        <w:t>three</w:t>
      </w:r>
      <w:r w:rsidRPr="00640583">
        <w:t xml:space="preserve"> propert</w:t>
      </w:r>
      <w:r>
        <w:t xml:space="preserve">ies </w:t>
      </w:r>
      <w:r w:rsidRPr="00640583">
        <w:t xml:space="preserve">associated with surplus lease space. </w:t>
      </w:r>
    </w:p>
    <w:p w:rsidR="00735613" w:rsidRDefault="00735613" w:rsidP="00735613">
      <w:pPr>
        <w:pStyle w:val="AdminBlankGreyShade"/>
      </w:pPr>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182" w:name="Note_IPETABLE1" w:colFirst="0" w:colLast="0"/>
            <w:r>
              <w:rPr>
                <w:rFonts w:cs="Arial"/>
                <w:b/>
                <w:bCs/>
                <w:szCs w:val="18"/>
                <w:u w:val="single"/>
              </w:rPr>
              <w:t>Note 8B: Infrastructure, plant and equipment</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bookmarkEnd w:id="182"/>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Fair value</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18,216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14,591</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Accumulated depreciation</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(6,889)</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(3,139)</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infrastructure, plant and equipment</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11,327</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11,452</w:t>
            </w:r>
          </w:p>
        </w:tc>
      </w:tr>
    </w:tbl>
    <w:p w:rsidR="00735613" w:rsidRDefault="00735613">
      <w:pPr>
        <w:rPr>
          <w:rFonts w:ascii="Arial" w:hAnsi="Arial" w:cs="Arial"/>
          <w:sz w:val="16"/>
          <w:szCs w:val="16"/>
        </w:rPr>
      </w:pPr>
      <w:bookmarkStart w:id="183" w:name="RANGE!D7:G12"/>
      <w:bookmarkEnd w:id="183"/>
    </w:p>
    <w:p w:rsidR="00735613" w:rsidRPr="00640583" w:rsidRDefault="00735613" w:rsidP="00735613">
      <w:pPr>
        <w:pStyle w:val="NotesText0"/>
      </w:pPr>
      <w:r w:rsidRPr="00640583">
        <w:t xml:space="preserve">No material amounts of infrastructure, plant and equipment are expected to be sold or disposed of within the next 12 months. </w:t>
      </w:r>
    </w:p>
    <w:p w:rsidR="00735613" w:rsidRPr="00640583" w:rsidRDefault="00735613" w:rsidP="00735613">
      <w:pPr>
        <w:pStyle w:val="NotesText0"/>
      </w:pPr>
      <w:r w:rsidRPr="00640583">
        <w:t>No indicators of impairment were found for infrastructure, plant and equipment assets.</w:t>
      </w:r>
    </w:p>
    <w:p w:rsidR="00735613" w:rsidRDefault="00735613" w:rsidP="00735613">
      <w:pPr>
        <w:rPr>
          <w:b/>
        </w:rPr>
      </w:pPr>
      <w:bookmarkStart w:id="184" w:name="_Toc419266948"/>
      <w:r>
        <w:rPr>
          <w:b/>
        </w:rPr>
        <w:t>Revaluations of non-financial assets</w:t>
      </w:r>
      <w:bookmarkEnd w:id="184"/>
    </w:p>
    <w:p w:rsidR="00735613" w:rsidRPr="00640583" w:rsidRDefault="00735613" w:rsidP="00735613">
      <w:pPr>
        <w:pStyle w:val="NotesText0"/>
      </w:pPr>
      <w:r w:rsidRPr="00640583">
        <w:t>All revaluations were conducted in accordance with the revaluation policy stated at Note 1.</w:t>
      </w:r>
    </w:p>
    <w:p w:rsidR="00735613" w:rsidRDefault="00735613" w:rsidP="00735613">
      <w:pPr>
        <w:rPr>
          <w:rFonts w:asciiTheme="minorHAnsi" w:hAnsiTheme="minorHAnsi" w:cs="Arial"/>
          <w:szCs w:val="18"/>
          <w:lang w:eastAsia="en-AU"/>
        </w:rPr>
      </w:pPr>
      <w:r w:rsidRPr="008E6A94">
        <w:rPr>
          <w:rFonts w:asciiTheme="minorHAnsi" w:hAnsiTheme="minorHAnsi" w:cs="Arial"/>
          <w:szCs w:val="18"/>
          <w:lang w:eastAsia="en-AU"/>
        </w:rPr>
        <w:t xml:space="preserve">A revaluation decrement of </w:t>
      </w:r>
      <w:r>
        <w:rPr>
          <w:rFonts w:asciiTheme="minorHAnsi" w:hAnsiTheme="minorHAnsi" w:cs="Arial"/>
          <w:szCs w:val="18"/>
          <w:lang w:eastAsia="en-AU"/>
        </w:rPr>
        <w:t xml:space="preserve">nil (2014: </w:t>
      </w:r>
      <w:r w:rsidRPr="008E6A94">
        <w:rPr>
          <w:rFonts w:asciiTheme="minorHAnsi" w:hAnsiTheme="minorHAnsi" w:cs="Arial"/>
          <w:szCs w:val="18"/>
          <w:lang w:eastAsia="en-AU"/>
        </w:rPr>
        <w:t>$40,000</w:t>
      </w:r>
      <w:r>
        <w:rPr>
          <w:rFonts w:asciiTheme="minorHAnsi" w:hAnsiTheme="minorHAnsi" w:cs="Arial"/>
          <w:szCs w:val="18"/>
          <w:lang w:eastAsia="en-AU"/>
        </w:rPr>
        <w:t>)</w:t>
      </w:r>
      <w:r w:rsidRPr="008E6A94">
        <w:rPr>
          <w:rFonts w:asciiTheme="minorHAnsi" w:hAnsiTheme="minorHAnsi" w:cs="Arial"/>
          <w:szCs w:val="18"/>
          <w:lang w:eastAsia="en-AU"/>
        </w:rPr>
        <w:t xml:space="preserve"> for land and </w:t>
      </w:r>
      <w:r>
        <w:rPr>
          <w:rFonts w:asciiTheme="minorHAnsi" w:hAnsiTheme="minorHAnsi" w:cs="Arial"/>
          <w:szCs w:val="18"/>
          <w:lang w:eastAsia="en-AU"/>
        </w:rPr>
        <w:t xml:space="preserve">nil (2014: </w:t>
      </w:r>
      <w:r w:rsidRPr="008E6A94">
        <w:rPr>
          <w:rFonts w:asciiTheme="minorHAnsi" w:hAnsiTheme="minorHAnsi" w:cs="Arial"/>
          <w:szCs w:val="18"/>
          <w:lang w:eastAsia="en-AU"/>
        </w:rPr>
        <w:t>$187,503</w:t>
      </w:r>
      <w:r>
        <w:rPr>
          <w:rFonts w:asciiTheme="minorHAnsi" w:hAnsiTheme="minorHAnsi" w:cs="Arial"/>
          <w:szCs w:val="18"/>
          <w:lang w:eastAsia="en-AU"/>
        </w:rPr>
        <w:t>)</w:t>
      </w:r>
      <w:r w:rsidRPr="008E6A94">
        <w:rPr>
          <w:rFonts w:asciiTheme="minorHAnsi" w:hAnsiTheme="minorHAnsi" w:cs="Arial"/>
          <w:szCs w:val="18"/>
          <w:lang w:eastAsia="en-AU"/>
        </w:rPr>
        <w:t xml:space="preserve"> for buildings on freehold land were expensed. A revaluation increment of </w:t>
      </w:r>
      <w:r>
        <w:rPr>
          <w:rFonts w:asciiTheme="minorHAnsi" w:hAnsiTheme="minorHAnsi" w:cs="Arial"/>
          <w:szCs w:val="18"/>
          <w:lang w:eastAsia="en-AU"/>
        </w:rPr>
        <w:t xml:space="preserve">$5,148 (2014: </w:t>
      </w:r>
      <w:r w:rsidRPr="008E6A94">
        <w:rPr>
          <w:rFonts w:asciiTheme="minorHAnsi" w:hAnsiTheme="minorHAnsi" w:cs="Arial"/>
          <w:szCs w:val="18"/>
          <w:lang w:eastAsia="en-AU"/>
        </w:rPr>
        <w:t>$</w:t>
      </w:r>
      <w:r>
        <w:rPr>
          <w:rFonts w:asciiTheme="minorHAnsi" w:hAnsiTheme="minorHAnsi" w:cs="Arial"/>
          <w:szCs w:val="18"/>
          <w:lang w:eastAsia="en-AU"/>
        </w:rPr>
        <w:t>432,853)</w:t>
      </w:r>
      <w:r w:rsidRPr="008E6A94">
        <w:rPr>
          <w:rFonts w:asciiTheme="minorHAnsi" w:hAnsiTheme="minorHAnsi" w:cs="Arial"/>
          <w:szCs w:val="18"/>
          <w:lang w:eastAsia="en-AU"/>
        </w:rPr>
        <w:t xml:space="preserve"> for leasehold </w:t>
      </w:r>
      <w:r>
        <w:rPr>
          <w:rFonts w:asciiTheme="minorHAnsi" w:hAnsiTheme="minorHAnsi" w:cs="Arial"/>
          <w:szCs w:val="18"/>
          <w:lang w:eastAsia="en-AU"/>
        </w:rPr>
        <w:t xml:space="preserve">improvement </w:t>
      </w:r>
      <w:r w:rsidRPr="008E6A94">
        <w:rPr>
          <w:rFonts w:asciiTheme="minorHAnsi" w:hAnsiTheme="minorHAnsi" w:cs="Arial"/>
          <w:szCs w:val="18"/>
          <w:lang w:eastAsia="en-AU"/>
        </w:rPr>
        <w:t xml:space="preserve">was credited to the asset revaluation surplus by asset class and included in the equity section of the </w:t>
      </w:r>
      <w:r>
        <w:rPr>
          <w:rFonts w:asciiTheme="minorHAnsi" w:hAnsiTheme="minorHAnsi" w:cs="Arial"/>
          <w:szCs w:val="18"/>
          <w:lang w:eastAsia="en-AU"/>
        </w:rPr>
        <w:t>statement of financial position</w:t>
      </w:r>
      <w:r w:rsidRPr="008E6A94">
        <w:rPr>
          <w:rFonts w:asciiTheme="minorHAnsi" w:hAnsiTheme="minorHAnsi" w:cs="Arial"/>
          <w:szCs w:val="18"/>
          <w:lang w:eastAsia="en-AU"/>
        </w:rPr>
        <w:t>. A revaluation was not performed on infrastructure,</w:t>
      </w:r>
      <w:r>
        <w:rPr>
          <w:rFonts w:asciiTheme="minorHAnsi" w:hAnsiTheme="minorHAnsi" w:cs="Arial"/>
          <w:szCs w:val="18"/>
          <w:lang w:eastAsia="en-AU"/>
        </w:rPr>
        <w:t xml:space="preserve"> plant and equipment</w:t>
      </w:r>
      <w:r w:rsidRPr="008E6A94">
        <w:rPr>
          <w:rFonts w:asciiTheme="minorHAnsi" w:hAnsiTheme="minorHAnsi" w:cs="Arial"/>
          <w:szCs w:val="18"/>
          <w:lang w:eastAsia="en-AU"/>
        </w:rPr>
        <w:t xml:space="preserve">. </w:t>
      </w:r>
    </w:p>
    <w:p w:rsidR="00735613" w:rsidRDefault="00735613" w:rsidP="00735613">
      <w:pPr>
        <w:rPr>
          <w:rFonts w:asciiTheme="minorHAnsi" w:hAnsiTheme="minorHAnsi" w:cs="Arial"/>
          <w:szCs w:val="18"/>
          <w:lang w:eastAsia="en-AU"/>
        </w:rPr>
        <w:sectPr w:rsidR="00735613" w:rsidSect="00735613">
          <w:pgSz w:w="11906" w:h="16838"/>
          <w:pgMar w:top="1134" w:right="1134" w:bottom="1134" w:left="1134" w:header="958" w:footer="737" w:gutter="0"/>
          <w:cols w:space="720"/>
        </w:sectPr>
      </w:pPr>
    </w:p>
    <w:tbl>
      <w:tblPr>
        <w:tblW w:w="13991" w:type="dxa"/>
        <w:tblInd w:w="80" w:type="dxa"/>
        <w:tblLayout w:type="fixed"/>
        <w:tblCellMar>
          <w:left w:w="6" w:type="dxa"/>
          <w:right w:w="6" w:type="dxa"/>
        </w:tblCellMar>
        <w:tblLook w:val="04A0" w:firstRow="1" w:lastRow="0" w:firstColumn="1" w:lastColumn="0" w:noHBand="0" w:noVBand="1"/>
      </w:tblPr>
      <w:tblGrid>
        <w:gridCol w:w="6125"/>
        <w:gridCol w:w="1290"/>
        <w:gridCol w:w="1291"/>
        <w:gridCol w:w="1412"/>
        <w:gridCol w:w="1291"/>
        <w:gridCol w:w="1291"/>
        <w:gridCol w:w="1291"/>
      </w:tblGrid>
      <w:tr w:rsidR="00735613" w:rsidTr="00735613">
        <w:trPr>
          <w:trHeight w:val="227"/>
        </w:trPr>
        <w:tc>
          <w:tcPr>
            <w:tcW w:w="12700" w:type="dxa"/>
            <w:gridSpan w:val="6"/>
            <w:tcBorders>
              <w:top w:val="nil"/>
              <w:left w:val="nil"/>
              <w:bottom w:val="nil"/>
              <w:right w:val="nil"/>
            </w:tcBorders>
            <w:shd w:val="clear" w:color="FFFFFF" w:fill="FFFFFF"/>
            <w:noWrap/>
            <w:vAlign w:val="bottom"/>
            <w:hideMark/>
          </w:tcPr>
          <w:p w:rsidR="00735613" w:rsidRDefault="00735613" w:rsidP="00735613">
            <w:pPr>
              <w:spacing w:line="240" w:lineRule="auto"/>
              <w:rPr>
                <w:rFonts w:cs="Calibri"/>
                <w:b/>
                <w:bCs/>
                <w:szCs w:val="18"/>
                <w:u w:val="single"/>
              </w:rPr>
            </w:pPr>
            <w:bookmarkStart w:id="185" w:name="RANGE!E7:E56"/>
            <w:bookmarkStart w:id="186" w:name="Note_MTATABLE1" w:colFirst="0" w:colLast="0"/>
            <w:r>
              <w:rPr>
                <w:rFonts w:cs="Calibri"/>
                <w:b/>
                <w:bCs/>
                <w:szCs w:val="18"/>
                <w:u w:val="single"/>
              </w:rPr>
              <w:t>Note 8C: Reconciliation of the opening and closing balances of property, plant and equipment (2014–15)</w:t>
            </w:r>
            <w:bookmarkEnd w:id="185"/>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Calibri"/>
                <w:szCs w:val="18"/>
              </w:rPr>
            </w:pPr>
            <w:r>
              <w:rPr>
                <w:rFonts w:cs="Calibri"/>
                <w:szCs w:val="18"/>
              </w:rPr>
              <w:t> </w:t>
            </w:r>
          </w:p>
        </w:tc>
      </w:tr>
      <w:bookmarkEnd w:id="186"/>
      <w:tr w:rsidR="00735613" w:rsidTr="00735613">
        <w:trPr>
          <w:trHeight w:val="227"/>
        </w:trPr>
        <w:tc>
          <w:tcPr>
            <w:tcW w:w="6125"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Calibri"/>
                <w:szCs w:val="18"/>
              </w:rPr>
            </w:pPr>
            <w:r>
              <w:rPr>
                <w:rFonts w:cs="Calibri"/>
                <w:szCs w:val="18"/>
              </w:rPr>
              <w:t> </w:t>
            </w:r>
          </w:p>
        </w:tc>
        <w:tc>
          <w:tcPr>
            <w:tcW w:w="1290"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Calibri"/>
                <w:szCs w:val="18"/>
              </w:rPr>
            </w:pPr>
            <w:r>
              <w:rPr>
                <w:rFonts w:cs="Calibri"/>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Calibri"/>
                <w:szCs w:val="18"/>
              </w:rPr>
            </w:pPr>
            <w:r>
              <w:rPr>
                <w:rFonts w:cs="Calibri"/>
                <w:szCs w:val="18"/>
              </w:rPr>
              <w:t> </w:t>
            </w:r>
          </w:p>
        </w:tc>
        <w:tc>
          <w:tcPr>
            <w:tcW w:w="1412"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Calibri"/>
                <w:szCs w:val="18"/>
              </w:rPr>
            </w:pPr>
            <w:r>
              <w:rPr>
                <w:rFonts w:cs="Calibri"/>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Calibri"/>
                <w:szCs w:val="18"/>
              </w:rPr>
            </w:pPr>
            <w:r>
              <w:rPr>
                <w:rFonts w:cs="Calibri"/>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Calibri"/>
                <w:szCs w:val="18"/>
              </w:rPr>
            </w:pPr>
            <w:r>
              <w:rPr>
                <w:rFonts w:cs="Calibri"/>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Calibri"/>
                <w:szCs w:val="18"/>
              </w:rPr>
            </w:pPr>
            <w:r>
              <w:rPr>
                <w:rFonts w:cs="Calibri"/>
                <w:szCs w:val="18"/>
              </w:rPr>
              <w:t> </w:t>
            </w:r>
          </w:p>
        </w:tc>
      </w:tr>
      <w:tr w:rsidR="00735613" w:rsidTr="00735613">
        <w:trPr>
          <w:trHeight w:val="227"/>
        </w:trPr>
        <w:tc>
          <w:tcPr>
            <w:tcW w:w="6125" w:type="dxa"/>
            <w:tcBorders>
              <w:top w:val="single" w:sz="4" w:space="0" w:color="auto"/>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90" w:type="dxa"/>
            <w:tcBorders>
              <w:top w:val="single" w:sz="4" w:space="0" w:color="auto"/>
              <w:left w:val="nil"/>
              <w:bottom w:val="nil"/>
              <w:right w:val="nil"/>
            </w:tcBorders>
            <w:shd w:val="clear" w:color="FFFFFF" w:fill="FFFFFF"/>
            <w:vAlign w:val="bottom"/>
            <w:hideMark/>
          </w:tcPr>
          <w:p w:rsidR="00735613" w:rsidRDefault="00735613" w:rsidP="00735613">
            <w:pPr>
              <w:spacing w:line="240" w:lineRule="auto"/>
              <w:jc w:val="right"/>
              <w:rPr>
                <w:rFonts w:cs="Calibri"/>
                <w:b/>
                <w:bCs/>
                <w:szCs w:val="18"/>
              </w:rPr>
            </w:pPr>
            <w:bookmarkStart w:id="187" w:name="RANGE!F9:J9"/>
            <w:r>
              <w:rPr>
                <w:rFonts w:cs="Calibri"/>
                <w:b/>
                <w:bCs/>
                <w:szCs w:val="18"/>
              </w:rPr>
              <w:t>Land</w:t>
            </w:r>
            <w:bookmarkEnd w:id="187"/>
          </w:p>
        </w:tc>
        <w:tc>
          <w:tcPr>
            <w:tcW w:w="1291" w:type="dxa"/>
            <w:tcBorders>
              <w:top w:val="single" w:sz="4" w:space="0" w:color="auto"/>
              <w:left w:val="nil"/>
              <w:bottom w:val="nil"/>
              <w:right w:val="nil"/>
            </w:tcBorders>
            <w:shd w:val="clear" w:color="FFFFFF" w:fill="FFFFFF"/>
            <w:vAlign w:val="bottom"/>
            <w:hideMark/>
          </w:tcPr>
          <w:p w:rsidR="00735613" w:rsidRDefault="00735613" w:rsidP="00735613">
            <w:pPr>
              <w:spacing w:line="240" w:lineRule="auto"/>
              <w:jc w:val="right"/>
              <w:rPr>
                <w:rFonts w:cs="Calibri"/>
                <w:b/>
                <w:bCs/>
                <w:szCs w:val="18"/>
              </w:rPr>
            </w:pPr>
            <w:r>
              <w:rPr>
                <w:rFonts w:cs="Calibri"/>
                <w:b/>
                <w:bCs/>
                <w:szCs w:val="18"/>
              </w:rPr>
              <w:t>Buildings</w:t>
            </w:r>
          </w:p>
        </w:tc>
        <w:tc>
          <w:tcPr>
            <w:tcW w:w="1412" w:type="dxa"/>
            <w:tcBorders>
              <w:top w:val="single" w:sz="4" w:space="0" w:color="auto"/>
              <w:left w:val="nil"/>
              <w:bottom w:val="nil"/>
              <w:right w:val="nil"/>
            </w:tcBorders>
            <w:shd w:val="clear" w:color="FFFFFF" w:fill="FFFFFF"/>
            <w:vAlign w:val="bottom"/>
            <w:hideMark/>
          </w:tcPr>
          <w:p w:rsidR="00735613" w:rsidRDefault="00735613" w:rsidP="00735613">
            <w:pPr>
              <w:spacing w:line="240" w:lineRule="auto"/>
              <w:jc w:val="right"/>
              <w:rPr>
                <w:rFonts w:cs="Calibri"/>
                <w:b/>
                <w:bCs/>
                <w:szCs w:val="18"/>
              </w:rPr>
            </w:pPr>
            <w:r>
              <w:rPr>
                <w:rFonts w:cs="Calibri"/>
                <w:b/>
                <w:bCs/>
                <w:szCs w:val="18"/>
              </w:rPr>
              <w:t>Leasehold improvements</w:t>
            </w:r>
          </w:p>
        </w:tc>
        <w:tc>
          <w:tcPr>
            <w:tcW w:w="1291" w:type="dxa"/>
            <w:tcBorders>
              <w:top w:val="single" w:sz="4" w:space="0" w:color="auto"/>
              <w:left w:val="nil"/>
              <w:bottom w:val="nil"/>
              <w:right w:val="nil"/>
            </w:tcBorders>
            <w:shd w:val="clear" w:color="FFFFFF" w:fill="FFFFFF"/>
            <w:vAlign w:val="bottom"/>
            <w:hideMark/>
          </w:tcPr>
          <w:p w:rsidR="00735613" w:rsidRDefault="00735613" w:rsidP="00735613">
            <w:pPr>
              <w:spacing w:line="240" w:lineRule="auto"/>
              <w:jc w:val="right"/>
              <w:rPr>
                <w:rFonts w:cs="Calibri"/>
                <w:b/>
                <w:bCs/>
                <w:szCs w:val="18"/>
              </w:rPr>
            </w:pPr>
            <w:r>
              <w:rPr>
                <w:rFonts w:cs="Calibri"/>
                <w:b/>
                <w:bCs/>
                <w:szCs w:val="18"/>
              </w:rPr>
              <w:t>Total land and buildings</w:t>
            </w:r>
          </w:p>
        </w:tc>
        <w:tc>
          <w:tcPr>
            <w:tcW w:w="1291" w:type="dxa"/>
            <w:tcBorders>
              <w:top w:val="single" w:sz="4" w:space="0" w:color="auto"/>
              <w:left w:val="nil"/>
              <w:bottom w:val="nil"/>
              <w:right w:val="nil"/>
            </w:tcBorders>
            <w:shd w:val="clear" w:color="FFFFFF" w:fill="FFFFFF"/>
            <w:vAlign w:val="bottom"/>
            <w:hideMark/>
          </w:tcPr>
          <w:p w:rsidR="00735613" w:rsidRDefault="00735613" w:rsidP="00735613">
            <w:pPr>
              <w:spacing w:line="240" w:lineRule="auto"/>
              <w:jc w:val="right"/>
              <w:rPr>
                <w:rFonts w:cs="Calibri"/>
                <w:b/>
                <w:bCs/>
                <w:szCs w:val="18"/>
              </w:rPr>
            </w:pPr>
            <w:r>
              <w:rPr>
                <w:rFonts w:cs="Calibri"/>
                <w:b/>
                <w:bCs/>
                <w:szCs w:val="18"/>
              </w:rPr>
              <w:t>Other property, plant &amp; equipment</w:t>
            </w:r>
          </w:p>
        </w:tc>
        <w:tc>
          <w:tcPr>
            <w:tcW w:w="1291" w:type="dxa"/>
            <w:tcBorders>
              <w:top w:val="single" w:sz="4" w:space="0" w:color="auto"/>
              <w:left w:val="nil"/>
              <w:bottom w:val="nil"/>
              <w:right w:val="nil"/>
            </w:tcBorders>
            <w:shd w:val="clear" w:color="FFFFFF" w:fill="FFFFFF"/>
            <w:vAlign w:val="bottom"/>
            <w:hideMark/>
          </w:tcPr>
          <w:p w:rsidR="00735613" w:rsidRDefault="00735613" w:rsidP="00735613">
            <w:pPr>
              <w:spacing w:line="240" w:lineRule="auto"/>
              <w:jc w:val="right"/>
              <w:rPr>
                <w:rFonts w:cs="Calibri"/>
                <w:b/>
                <w:bCs/>
                <w:szCs w:val="18"/>
              </w:rPr>
            </w:pPr>
            <w:r>
              <w:rPr>
                <w:rFonts w:cs="Calibri"/>
                <w:b/>
                <w:bCs/>
                <w:szCs w:val="18"/>
              </w:rPr>
              <w:t>Total</w:t>
            </w:r>
          </w:p>
        </w:tc>
      </w:tr>
      <w:tr w:rsidR="00735613" w:rsidTr="00735613">
        <w:trPr>
          <w:trHeight w:val="227"/>
        </w:trPr>
        <w:tc>
          <w:tcPr>
            <w:tcW w:w="6125"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90"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b/>
                <w:bCs/>
                <w:szCs w:val="18"/>
              </w:rPr>
            </w:pPr>
            <w:r>
              <w:rPr>
                <w:rFonts w:cs="Calibri"/>
                <w:b/>
                <w:bCs/>
                <w:szCs w:val="18"/>
              </w:rPr>
              <w:t>$’000</w:t>
            </w:r>
          </w:p>
        </w:tc>
        <w:tc>
          <w:tcPr>
            <w:tcW w:w="1291"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b/>
                <w:bCs/>
                <w:szCs w:val="18"/>
              </w:rPr>
            </w:pPr>
            <w:r>
              <w:rPr>
                <w:rFonts w:cs="Calibri"/>
                <w:b/>
                <w:bCs/>
                <w:szCs w:val="18"/>
              </w:rPr>
              <w:t>$’000</w:t>
            </w:r>
          </w:p>
        </w:tc>
        <w:tc>
          <w:tcPr>
            <w:tcW w:w="1412"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b/>
                <w:bCs/>
                <w:szCs w:val="18"/>
              </w:rPr>
            </w:pPr>
            <w:r>
              <w:rPr>
                <w:rFonts w:cs="Calibri"/>
                <w:b/>
                <w:bCs/>
                <w:szCs w:val="18"/>
              </w:rPr>
              <w:t>$’000</w:t>
            </w:r>
          </w:p>
        </w:tc>
        <w:tc>
          <w:tcPr>
            <w:tcW w:w="1291"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b/>
                <w:bCs/>
                <w:szCs w:val="18"/>
              </w:rPr>
            </w:pPr>
            <w:r>
              <w:rPr>
                <w:rFonts w:cs="Calibri"/>
                <w:b/>
                <w:bCs/>
                <w:szCs w:val="18"/>
              </w:rPr>
              <w:t>$’000</w:t>
            </w:r>
          </w:p>
        </w:tc>
        <w:tc>
          <w:tcPr>
            <w:tcW w:w="1291"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b/>
                <w:bCs/>
                <w:szCs w:val="18"/>
              </w:rPr>
            </w:pPr>
            <w:r>
              <w:rPr>
                <w:rFonts w:cs="Calibri"/>
                <w:b/>
                <w:bCs/>
                <w:szCs w:val="18"/>
              </w:rPr>
              <w:t>$’000</w:t>
            </w:r>
          </w:p>
        </w:tc>
        <w:tc>
          <w:tcPr>
            <w:tcW w:w="1291"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b/>
                <w:bCs/>
                <w:szCs w:val="18"/>
              </w:rPr>
            </w:pPr>
            <w:r>
              <w:rPr>
                <w:rFonts w:cs="Calibri"/>
                <w:b/>
                <w:bCs/>
                <w:szCs w:val="18"/>
              </w:rPr>
              <w:t>$’000</w:t>
            </w:r>
          </w:p>
        </w:tc>
      </w:tr>
      <w:tr w:rsidR="00735613" w:rsidTr="00735613">
        <w:trPr>
          <w:trHeight w:val="227"/>
        </w:trPr>
        <w:tc>
          <w:tcPr>
            <w:tcW w:w="6125"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b/>
                <w:bCs/>
                <w:szCs w:val="18"/>
              </w:rPr>
            </w:pPr>
            <w:r>
              <w:rPr>
                <w:rFonts w:cs="Calibri"/>
                <w:b/>
                <w:bCs/>
                <w:szCs w:val="18"/>
              </w:rPr>
              <w:t>As at 1 July 2014</w:t>
            </w:r>
          </w:p>
        </w:tc>
        <w:tc>
          <w:tcPr>
            <w:tcW w:w="1290"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412"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r>
      <w:tr w:rsidR="00735613" w:rsidTr="00735613">
        <w:trPr>
          <w:trHeight w:val="227"/>
        </w:trPr>
        <w:tc>
          <w:tcPr>
            <w:tcW w:w="6125"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Gross book value</w:t>
            </w:r>
          </w:p>
        </w:tc>
        <w:tc>
          <w:tcPr>
            <w:tcW w:w="1290"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200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890 </w:t>
            </w:r>
          </w:p>
        </w:tc>
        <w:tc>
          <w:tcPr>
            <w:tcW w:w="1412"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49,796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50,886</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14,591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65,477</w:t>
            </w:r>
          </w:p>
        </w:tc>
      </w:tr>
      <w:tr w:rsidR="00735613" w:rsidTr="00735613">
        <w:trPr>
          <w:trHeight w:val="227"/>
        </w:trPr>
        <w:tc>
          <w:tcPr>
            <w:tcW w:w="6125"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Accumulated depreciation and impairment</w:t>
            </w:r>
          </w:p>
        </w:tc>
        <w:tc>
          <w:tcPr>
            <w:tcW w:w="1290"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 -</w:t>
            </w:r>
          </w:p>
        </w:tc>
        <w:tc>
          <w:tcPr>
            <w:tcW w:w="1412"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(19)</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(19)</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(3,139)</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(3,158)</w:t>
            </w:r>
          </w:p>
        </w:tc>
      </w:tr>
      <w:tr w:rsidR="00735613" w:rsidTr="00735613">
        <w:trPr>
          <w:trHeight w:val="227"/>
        </w:trPr>
        <w:tc>
          <w:tcPr>
            <w:tcW w:w="6125"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rPr>
                <w:rFonts w:cs="Calibri"/>
                <w:b/>
                <w:bCs/>
                <w:szCs w:val="18"/>
              </w:rPr>
            </w:pPr>
            <w:r>
              <w:rPr>
                <w:rFonts w:cs="Calibri"/>
                <w:b/>
                <w:bCs/>
                <w:szCs w:val="18"/>
              </w:rPr>
              <w:t>Total as at 1 July 2014</w:t>
            </w:r>
          </w:p>
        </w:tc>
        <w:tc>
          <w:tcPr>
            <w:tcW w:w="1290"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200</w:t>
            </w:r>
          </w:p>
        </w:tc>
        <w:tc>
          <w:tcPr>
            <w:tcW w:w="1291"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890</w:t>
            </w:r>
          </w:p>
        </w:tc>
        <w:tc>
          <w:tcPr>
            <w:tcW w:w="1412"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49,777</w:t>
            </w:r>
          </w:p>
        </w:tc>
        <w:tc>
          <w:tcPr>
            <w:tcW w:w="1291"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50,867</w:t>
            </w:r>
          </w:p>
        </w:tc>
        <w:tc>
          <w:tcPr>
            <w:tcW w:w="1291"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11,452</w:t>
            </w:r>
          </w:p>
        </w:tc>
        <w:tc>
          <w:tcPr>
            <w:tcW w:w="1291"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62,319</w:t>
            </w:r>
          </w:p>
        </w:tc>
      </w:tr>
      <w:tr w:rsidR="00735613" w:rsidTr="00735613">
        <w:trPr>
          <w:trHeight w:val="227"/>
        </w:trPr>
        <w:tc>
          <w:tcPr>
            <w:tcW w:w="6125"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Additions</w:t>
            </w:r>
          </w:p>
        </w:tc>
        <w:tc>
          <w:tcPr>
            <w:tcW w:w="1290"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w:t>
            </w:r>
          </w:p>
        </w:tc>
        <w:tc>
          <w:tcPr>
            <w:tcW w:w="1412"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w:t>
            </w:r>
          </w:p>
        </w:tc>
      </w:tr>
      <w:tr w:rsidR="00735613" w:rsidTr="00735613">
        <w:trPr>
          <w:trHeight w:val="227"/>
        </w:trPr>
        <w:tc>
          <w:tcPr>
            <w:tcW w:w="6125" w:type="dxa"/>
            <w:tcBorders>
              <w:top w:val="nil"/>
              <w:left w:val="nil"/>
              <w:bottom w:val="nil"/>
              <w:right w:val="nil"/>
            </w:tcBorders>
            <w:shd w:val="clear" w:color="FFFFFF" w:fill="FFFFFF"/>
            <w:noWrap/>
            <w:vAlign w:val="bottom"/>
            <w:hideMark/>
          </w:tcPr>
          <w:p w:rsidR="00735613" w:rsidRDefault="00735613" w:rsidP="00735613">
            <w:pPr>
              <w:spacing w:line="240" w:lineRule="auto"/>
              <w:ind w:firstLineChars="100" w:firstLine="180"/>
              <w:rPr>
                <w:rFonts w:cs="Calibri"/>
                <w:szCs w:val="18"/>
              </w:rPr>
            </w:pPr>
            <w:r>
              <w:rPr>
                <w:rFonts w:cs="Calibri"/>
                <w:szCs w:val="18"/>
              </w:rPr>
              <w:t>By purchase</w:t>
            </w:r>
          </w:p>
        </w:tc>
        <w:tc>
          <w:tcPr>
            <w:tcW w:w="1290"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 -</w:t>
            </w:r>
          </w:p>
        </w:tc>
        <w:tc>
          <w:tcPr>
            <w:tcW w:w="1412"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1,884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1,884</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3,824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5,708</w:t>
            </w:r>
          </w:p>
        </w:tc>
      </w:tr>
      <w:tr w:rsidR="00735613" w:rsidTr="00735613">
        <w:trPr>
          <w:trHeight w:val="227"/>
        </w:trPr>
        <w:tc>
          <w:tcPr>
            <w:tcW w:w="6125" w:type="dxa"/>
            <w:tcBorders>
              <w:top w:val="nil"/>
              <w:left w:val="nil"/>
              <w:bottom w:val="nil"/>
              <w:right w:val="nil"/>
            </w:tcBorders>
            <w:shd w:val="clear" w:color="FFFFFF" w:fill="FFFFFF"/>
            <w:noWrap/>
            <w:vAlign w:val="bottom"/>
            <w:hideMark/>
          </w:tcPr>
          <w:p w:rsidR="00735613" w:rsidRDefault="00735613" w:rsidP="00735613">
            <w:pPr>
              <w:spacing w:line="240" w:lineRule="auto"/>
              <w:ind w:firstLineChars="100" w:firstLine="180"/>
              <w:rPr>
                <w:rFonts w:cs="Calibri"/>
                <w:szCs w:val="18"/>
              </w:rPr>
            </w:pPr>
            <w:r>
              <w:rPr>
                <w:rFonts w:cs="Calibri"/>
                <w:szCs w:val="18"/>
              </w:rPr>
              <w:t>By restructuring</w:t>
            </w:r>
          </w:p>
        </w:tc>
        <w:tc>
          <w:tcPr>
            <w:tcW w:w="1290"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 -</w:t>
            </w:r>
          </w:p>
        </w:tc>
        <w:tc>
          <w:tcPr>
            <w:tcW w:w="1412"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1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1</w:t>
            </w:r>
          </w:p>
        </w:tc>
      </w:tr>
      <w:tr w:rsidR="00735613" w:rsidTr="00735613">
        <w:trPr>
          <w:trHeight w:val="227"/>
        </w:trPr>
        <w:tc>
          <w:tcPr>
            <w:tcW w:w="6125" w:type="dxa"/>
            <w:tcBorders>
              <w:top w:val="nil"/>
              <w:left w:val="nil"/>
              <w:bottom w:val="nil"/>
              <w:right w:val="nil"/>
            </w:tcBorders>
            <w:shd w:val="clear" w:color="FFFFFF" w:fill="FFFFFF"/>
            <w:noWrap/>
            <w:vAlign w:val="bottom"/>
            <w:hideMark/>
          </w:tcPr>
          <w:p w:rsidR="00735613" w:rsidRDefault="00735613" w:rsidP="00735613">
            <w:pPr>
              <w:spacing w:line="240" w:lineRule="auto"/>
              <w:ind w:firstLineChars="100" w:firstLine="180"/>
              <w:rPr>
                <w:rFonts w:cs="Calibri"/>
                <w:szCs w:val="18"/>
              </w:rPr>
            </w:pPr>
            <w:r>
              <w:rPr>
                <w:rFonts w:cs="Calibri"/>
                <w:szCs w:val="18"/>
              </w:rPr>
              <w:t>First time recognition</w:t>
            </w:r>
          </w:p>
        </w:tc>
        <w:tc>
          <w:tcPr>
            <w:tcW w:w="1290"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 -</w:t>
            </w:r>
          </w:p>
        </w:tc>
        <w:tc>
          <w:tcPr>
            <w:tcW w:w="1412"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xml:space="preserve">111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111</w:t>
            </w:r>
          </w:p>
        </w:tc>
      </w:tr>
      <w:tr w:rsidR="00735613" w:rsidTr="00735613">
        <w:trPr>
          <w:trHeight w:val="227"/>
        </w:trPr>
        <w:tc>
          <w:tcPr>
            <w:tcW w:w="6125"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Impairments recognised in net cost of services</w:t>
            </w:r>
          </w:p>
        </w:tc>
        <w:tc>
          <w:tcPr>
            <w:tcW w:w="1290"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w:t>
            </w:r>
          </w:p>
        </w:tc>
        <w:tc>
          <w:tcPr>
            <w:tcW w:w="1412"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(264)</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(264)</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(264)</w:t>
            </w:r>
          </w:p>
        </w:tc>
      </w:tr>
      <w:tr w:rsidR="00735613" w:rsidTr="00735613">
        <w:trPr>
          <w:trHeight w:val="227"/>
        </w:trPr>
        <w:tc>
          <w:tcPr>
            <w:tcW w:w="6125"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 xml:space="preserve">Depreciation </w:t>
            </w:r>
          </w:p>
        </w:tc>
        <w:tc>
          <w:tcPr>
            <w:tcW w:w="1290"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(23)</w:t>
            </w:r>
          </w:p>
        </w:tc>
        <w:tc>
          <w:tcPr>
            <w:tcW w:w="1412"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(6,984)</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(7,007)</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(3,928)</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(10,935)</w:t>
            </w:r>
          </w:p>
        </w:tc>
      </w:tr>
      <w:tr w:rsidR="00735613" w:rsidTr="00735613">
        <w:trPr>
          <w:trHeight w:val="227"/>
        </w:trPr>
        <w:tc>
          <w:tcPr>
            <w:tcW w:w="6125"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Other movements</w:t>
            </w:r>
          </w:p>
        </w:tc>
        <w:tc>
          <w:tcPr>
            <w:tcW w:w="1290"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w:t>
            </w:r>
          </w:p>
        </w:tc>
        <w:tc>
          <w:tcPr>
            <w:tcW w:w="1412"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(153)</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(153)</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(63)</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(216)</w:t>
            </w:r>
          </w:p>
        </w:tc>
      </w:tr>
      <w:tr w:rsidR="00735613" w:rsidTr="00735613">
        <w:trPr>
          <w:trHeight w:val="227"/>
        </w:trPr>
        <w:tc>
          <w:tcPr>
            <w:tcW w:w="6125"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Disposals</w:t>
            </w:r>
          </w:p>
        </w:tc>
        <w:tc>
          <w:tcPr>
            <w:tcW w:w="1290"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412"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 </w:t>
            </w:r>
          </w:p>
        </w:tc>
      </w:tr>
      <w:tr w:rsidR="00735613" w:rsidTr="00735613">
        <w:trPr>
          <w:trHeight w:val="227"/>
        </w:trPr>
        <w:tc>
          <w:tcPr>
            <w:tcW w:w="6125" w:type="dxa"/>
            <w:tcBorders>
              <w:top w:val="nil"/>
              <w:left w:val="nil"/>
              <w:bottom w:val="nil"/>
              <w:right w:val="nil"/>
            </w:tcBorders>
            <w:shd w:val="clear" w:color="FFFFFF" w:fill="FFFFFF"/>
            <w:noWrap/>
            <w:vAlign w:val="bottom"/>
            <w:hideMark/>
          </w:tcPr>
          <w:p w:rsidR="00735613" w:rsidRDefault="00735613" w:rsidP="00735613">
            <w:pPr>
              <w:spacing w:line="240" w:lineRule="auto"/>
              <w:ind w:firstLineChars="100" w:firstLine="180"/>
              <w:rPr>
                <w:rFonts w:cs="Calibri"/>
                <w:szCs w:val="18"/>
              </w:rPr>
            </w:pPr>
            <w:r>
              <w:rPr>
                <w:rFonts w:cs="Calibri"/>
                <w:szCs w:val="18"/>
              </w:rPr>
              <w:t>From disposal of entities or operations (including restructuring)</w:t>
            </w:r>
          </w:p>
        </w:tc>
        <w:tc>
          <w:tcPr>
            <w:tcW w:w="1290"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w:t>
            </w:r>
          </w:p>
        </w:tc>
        <w:tc>
          <w:tcPr>
            <w:tcW w:w="1412"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(2,583)</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(2,583)</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(25)</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(2,608)</w:t>
            </w:r>
          </w:p>
        </w:tc>
      </w:tr>
      <w:tr w:rsidR="00735613" w:rsidTr="00735613">
        <w:trPr>
          <w:trHeight w:val="227"/>
        </w:trPr>
        <w:tc>
          <w:tcPr>
            <w:tcW w:w="6125" w:type="dxa"/>
            <w:tcBorders>
              <w:top w:val="nil"/>
              <w:left w:val="nil"/>
              <w:bottom w:val="nil"/>
              <w:right w:val="nil"/>
            </w:tcBorders>
            <w:shd w:val="clear" w:color="FFFFFF" w:fill="FFFFFF"/>
            <w:noWrap/>
            <w:vAlign w:val="bottom"/>
            <w:hideMark/>
          </w:tcPr>
          <w:p w:rsidR="00735613" w:rsidRDefault="00735613" w:rsidP="00735613">
            <w:pPr>
              <w:spacing w:line="240" w:lineRule="auto"/>
              <w:ind w:firstLineChars="100" w:firstLine="180"/>
              <w:rPr>
                <w:rFonts w:cs="Calibri"/>
                <w:szCs w:val="18"/>
              </w:rPr>
            </w:pPr>
            <w:r>
              <w:rPr>
                <w:rFonts w:cs="Calibri"/>
                <w:szCs w:val="18"/>
              </w:rPr>
              <w:t>Other</w:t>
            </w:r>
          </w:p>
        </w:tc>
        <w:tc>
          <w:tcPr>
            <w:tcW w:w="1290"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(625)</w:t>
            </w:r>
          </w:p>
        </w:tc>
        <w:tc>
          <w:tcPr>
            <w:tcW w:w="1412"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(625)</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(23)</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(648)</w:t>
            </w:r>
          </w:p>
        </w:tc>
      </w:tr>
      <w:tr w:rsidR="00735613" w:rsidTr="00735613">
        <w:trPr>
          <w:trHeight w:val="227"/>
        </w:trPr>
        <w:tc>
          <w:tcPr>
            <w:tcW w:w="6125" w:type="dxa"/>
            <w:tcBorders>
              <w:top w:val="nil"/>
              <w:left w:val="nil"/>
              <w:bottom w:val="nil"/>
              <w:right w:val="nil"/>
            </w:tcBorders>
            <w:shd w:val="clear" w:color="FFFFFF" w:fill="FFFFFF"/>
            <w:noWrap/>
            <w:vAlign w:val="bottom"/>
            <w:hideMark/>
          </w:tcPr>
          <w:p w:rsidR="00735613" w:rsidRDefault="00735613" w:rsidP="00735613">
            <w:pPr>
              <w:spacing w:line="240" w:lineRule="auto"/>
              <w:ind w:firstLineChars="100" w:firstLine="180"/>
              <w:rPr>
                <w:rFonts w:cs="Calibri"/>
                <w:szCs w:val="18"/>
              </w:rPr>
            </w:pPr>
            <w:r>
              <w:rPr>
                <w:rFonts w:cs="Calibri"/>
                <w:szCs w:val="18"/>
              </w:rPr>
              <w:t>Write-offs</w:t>
            </w:r>
          </w:p>
        </w:tc>
        <w:tc>
          <w:tcPr>
            <w:tcW w:w="1290"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w:t>
            </w:r>
          </w:p>
        </w:tc>
        <w:tc>
          <w:tcPr>
            <w:tcW w:w="1412"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(1)</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(1)</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(22)</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(23)</w:t>
            </w:r>
          </w:p>
        </w:tc>
      </w:tr>
      <w:tr w:rsidR="00735613" w:rsidTr="00735613">
        <w:trPr>
          <w:trHeight w:val="227"/>
        </w:trPr>
        <w:tc>
          <w:tcPr>
            <w:tcW w:w="6125"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rPr>
                <w:rFonts w:cs="Calibri"/>
                <w:b/>
                <w:bCs/>
                <w:szCs w:val="18"/>
              </w:rPr>
            </w:pPr>
            <w:r>
              <w:rPr>
                <w:rFonts w:cs="Calibri"/>
                <w:b/>
                <w:bCs/>
                <w:szCs w:val="18"/>
              </w:rPr>
              <w:t>Total as at 30 June 2015</w:t>
            </w:r>
          </w:p>
        </w:tc>
        <w:tc>
          <w:tcPr>
            <w:tcW w:w="1290"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200</w:t>
            </w:r>
          </w:p>
        </w:tc>
        <w:tc>
          <w:tcPr>
            <w:tcW w:w="1291"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242</w:t>
            </w:r>
          </w:p>
        </w:tc>
        <w:tc>
          <w:tcPr>
            <w:tcW w:w="1412"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41,676</w:t>
            </w:r>
          </w:p>
        </w:tc>
        <w:tc>
          <w:tcPr>
            <w:tcW w:w="1291"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42,118</w:t>
            </w:r>
          </w:p>
        </w:tc>
        <w:tc>
          <w:tcPr>
            <w:tcW w:w="1291"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11,327</w:t>
            </w:r>
          </w:p>
        </w:tc>
        <w:tc>
          <w:tcPr>
            <w:tcW w:w="1291"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53,445</w:t>
            </w:r>
          </w:p>
        </w:tc>
      </w:tr>
      <w:tr w:rsidR="00735613" w:rsidTr="00735613">
        <w:trPr>
          <w:trHeight w:val="227"/>
        </w:trPr>
        <w:tc>
          <w:tcPr>
            <w:tcW w:w="6125"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90"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412"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r>
      <w:tr w:rsidR="00735613" w:rsidTr="00735613">
        <w:trPr>
          <w:trHeight w:val="227"/>
        </w:trPr>
        <w:tc>
          <w:tcPr>
            <w:tcW w:w="6125"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b/>
                <w:bCs/>
                <w:szCs w:val="18"/>
              </w:rPr>
            </w:pPr>
            <w:r>
              <w:rPr>
                <w:rFonts w:cs="Calibri"/>
                <w:b/>
                <w:bCs/>
                <w:szCs w:val="18"/>
              </w:rPr>
              <w:t>Total as at 30 June 2015 represented by</w:t>
            </w:r>
          </w:p>
        </w:tc>
        <w:tc>
          <w:tcPr>
            <w:tcW w:w="1290"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412"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r>
      <w:tr w:rsidR="00735613" w:rsidTr="00735613">
        <w:trPr>
          <w:trHeight w:val="227"/>
        </w:trPr>
        <w:tc>
          <w:tcPr>
            <w:tcW w:w="6125"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Gross book value</w:t>
            </w:r>
          </w:p>
        </w:tc>
        <w:tc>
          <w:tcPr>
            <w:tcW w:w="1290"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200</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250</w:t>
            </w:r>
          </w:p>
        </w:tc>
        <w:tc>
          <w:tcPr>
            <w:tcW w:w="1412"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47,824</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48,274</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18,216</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66,490</w:t>
            </w:r>
          </w:p>
        </w:tc>
      </w:tr>
      <w:tr w:rsidR="00735613" w:rsidTr="00735613">
        <w:trPr>
          <w:trHeight w:val="227"/>
        </w:trPr>
        <w:tc>
          <w:tcPr>
            <w:tcW w:w="6125"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Accumulated depreciation and impairment</w:t>
            </w:r>
          </w:p>
        </w:tc>
        <w:tc>
          <w:tcPr>
            <w:tcW w:w="1290"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(8)</w:t>
            </w:r>
          </w:p>
        </w:tc>
        <w:tc>
          <w:tcPr>
            <w:tcW w:w="1412"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(6,148)</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(6,156)</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(6,889)</w:t>
            </w:r>
          </w:p>
        </w:tc>
        <w:tc>
          <w:tcPr>
            <w:tcW w:w="1291"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(13,045)</w:t>
            </w:r>
          </w:p>
        </w:tc>
      </w:tr>
      <w:tr w:rsidR="00735613" w:rsidTr="00735613">
        <w:trPr>
          <w:trHeight w:val="227"/>
        </w:trPr>
        <w:tc>
          <w:tcPr>
            <w:tcW w:w="6125"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rPr>
                <w:rFonts w:cs="Calibri"/>
                <w:b/>
                <w:bCs/>
                <w:szCs w:val="18"/>
              </w:rPr>
            </w:pPr>
            <w:r>
              <w:rPr>
                <w:rFonts w:cs="Calibri"/>
                <w:b/>
                <w:bCs/>
                <w:szCs w:val="18"/>
              </w:rPr>
              <w:t>Total as at 30 June 2015</w:t>
            </w:r>
          </w:p>
        </w:tc>
        <w:tc>
          <w:tcPr>
            <w:tcW w:w="1290"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200</w:t>
            </w:r>
          </w:p>
        </w:tc>
        <w:tc>
          <w:tcPr>
            <w:tcW w:w="1291"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242</w:t>
            </w:r>
          </w:p>
        </w:tc>
        <w:tc>
          <w:tcPr>
            <w:tcW w:w="1412"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41,676</w:t>
            </w:r>
          </w:p>
        </w:tc>
        <w:tc>
          <w:tcPr>
            <w:tcW w:w="1291"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42,118</w:t>
            </w:r>
          </w:p>
        </w:tc>
        <w:tc>
          <w:tcPr>
            <w:tcW w:w="1291"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11,327</w:t>
            </w:r>
          </w:p>
        </w:tc>
        <w:tc>
          <w:tcPr>
            <w:tcW w:w="1291"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b/>
                <w:bCs/>
                <w:szCs w:val="18"/>
              </w:rPr>
            </w:pPr>
            <w:r>
              <w:rPr>
                <w:rFonts w:cs="Calibri"/>
                <w:b/>
                <w:bCs/>
                <w:szCs w:val="18"/>
              </w:rPr>
              <w:t>53,445</w:t>
            </w:r>
          </w:p>
        </w:tc>
      </w:tr>
    </w:tbl>
    <w:p w:rsidR="00735613" w:rsidRDefault="00735613" w:rsidP="00735613">
      <w:pPr>
        <w:rPr>
          <w:rFonts w:asciiTheme="minorHAnsi" w:hAnsiTheme="minorHAnsi" w:cs="Arial"/>
          <w:szCs w:val="18"/>
          <w:lang w:eastAsia="en-AU"/>
        </w:rPr>
      </w:pPr>
    </w:p>
    <w:p w:rsidR="00735613" w:rsidRDefault="00735613" w:rsidP="00735613">
      <w:pPr>
        <w:rPr>
          <w:lang w:eastAsia="en-AU"/>
        </w:rPr>
      </w:pPr>
      <w:bookmarkStart w:id="188" w:name="RANGE!E65:K93"/>
      <w:bookmarkEnd w:id="188"/>
    </w:p>
    <w:p w:rsidR="00735613" w:rsidRDefault="00735613" w:rsidP="00735613">
      <w:pPr>
        <w:rPr>
          <w:lang w:eastAsia="en-AU"/>
        </w:rPr>
      </w:pPr>
    </w:p>
    <w:p w:rsidR="00735613" w:rsidRDefault="00735613" w:rsidP="00735613">
      <w:pPr>
        <w:rPr>
          <w:lang w:eastAsia="en-AU"/>
        </w:rPr>
      </w:pPr>
    </w:p>
    <w:p w:rsidR="00735613" w:rsidRDefault="00735613" w:rsidP="00735613">
      <w:pPr>
        <w:rPr>
          <w:lang w:eastAsia="en-AU"/>
        </w:rPr>
      </w:pPr>
    </w:p>
    <w:p w:rsidR="00735613" w:rsidRDefault="00735613"/>
    <w:p w:rsidR="00735613" w:rsidRDefault="00735613">
      <w:bookmarkStart w:id="189" w:name="Note_MTATABLE2" w:colFirst="0" w:colLast="0"/>
      <w:r>
        <w:br w:type="page"/>
      </w:r>
    </w:p>
    <w:tbl>
      <w:tblPr>
        <w:tblW w:w="13991" w:type="dxa"/>
        <w:tblInd w:w="80" w:type="dxa"/>
        <w:tblLayout w:type="fixed"/>
        <w:tblCellMar>
          <w:left w:w="6" w:type="dxa"/>
          <w:right w:w="6" w:type="dxa"/>
        </w:tblCellMar>
        <w:tblLook w:val="04A0" w:firstRow="1" w:lastRow="0" w:firstColumn="1" w:lastColumn="0" w:noHBand="0" w:noVBand="1"/>
      </w:tblPr>
      <w:tblGrid>
        <w:gridCol w:w="6138"/>
        <w:gridCol w:w="1294"/>
        <w:gridCol w:w="1293"/>
        <w:gridCol w:w="1387"/>
        <w:gridCol w:w="1293"/>
        <w:gridCol w:w="1293"/>
        <w:gridCol w:w="1293"/>
      </w:tblGrid>
      <w:tr w:rsidR="00735613" w:rsidTr="00735613">
        <w:trPr>
          <w:trHeight w:val="227"/>
        </w:trPr>
        <w:tc>
          <w:tcPr>
            <w:tcW w:w="13991" w:type="dxa"/>
            <w:gridSpan w:val="7"/>
            <w:tcBorders>
              <w:top w:val="nil"/>
              <w:left w:val="nil"/>
              <w:bottom w:val="nil"/>
              <w:right w:val="nil"/>
            </w:tcBorders>
            <w:shd w:val="clear" w:color="FFFFFF" w:fill="FFFFFF"/>
            <w:noWrap/>
            <w:vAlign w:val="bottom"/>
            <w:hideMark/>
          </w:tcPr>
          <w:p w:rsidR="00735613" w:rsidRDefault="00735613" w:rsidP="00735613">
            <w:pPr>
              <w:spacing w:line="240" w:lineRule="auto"/>
              <w:rPr>
                <w:rFonts w:cs="Calibri"/>
                <w:b/>
                <w:bCs/>
                <w:szCs w:val="18"/>
                <w:u w:val="single"/>
              </w:rPr>
            </w:pPr>
            <w:r>
              <w:rPr>
                <w:rFonts w:cs="Calibri"/>
                <w:b/>
                <w:bCs/>
                <w:szCs w:val="18"/>
                <w:u w:val="single"/>
              </w:rPr>
              <w:t>Note 8C: Reconciliation of the opening and closing balances of property, plant and equipment (2013–14)</w:t>
            </w:r>
          </w:p>
        </w:tc>
      </w:tr>
      <w:bookmarkEnd w:id="189"/>
      <w:tr w:rsidR="00735613" w:rsidTr="00735613">
        <w:trPr>
          <w:trHeight w:val="227"/>
        </w:trPr>
        <w:tc>
          <w:tcPr>
            <w:tcW w:w="6138"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Calibri"/>
                <w:szCs w:val="18"/>
              </w:rPr>
            </w:pPr>
            <w:r>
              <w:rPr>
                <w:rFonts w:cs="Calibri"/>
                <w:szCs w:val="18"/>
              </w:rPr>
              <w:t> </w:t>
            </w:r>
          </w:p>
        </w:tc>
        <w:tc>
          <w:tcPr>
            <w:tcW w:w="1294"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Calibri"/>
                <w:szCs w:val="18"/>
              </w:rPr>
            </w:pPr>
            <w:r>
              <w:rPr>
                <w:rFonts w:cs="Calibri"/>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Calibri"/>
                <w:szCs w:val="18"/>
              </w:rPr>
            </w:pPr>
            <w:r>
              <w:rPr>
                <w:rFonts w:cs="Calibri"/>
                <w:szCs w:val="18"/>
              </w:rPr>
              <w:t> </w:t>
            </w:r>
          </w:p>
        </w:tc>
        <w:tc>
          <w:tcPr>
            <w:tcW w:w="1387"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Calibri"/>
                <w:szCs w:val="18"/>
              </w:rPr>
            </w:pPr>
            <w:r>
              <w:rPr>
                <w:rFonts w:cs="Calibri"/>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Calibri"/>
                <w:szCs w:val="18"/>
              </w:rPr>
            </w:pPr>
            <w:r>
              <w:rPr>
                <w:rFonts w:cs="Calibri"/>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Calibri"/>
                <w:szCs w:val="18"/>
              </w:rPr>
            </w:pPr>
            <w:r>
              <w:rPr>
                <w:rFonts w:cs="Calibri"/>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Calibri"/>
                <w:szCs w:val="18"/>
              </w:rPr>
            </w:pPr>
            <w:r>
              <w:rPr>
                <w:rFonts w:cs="Calibri"/>
                <w:szCs w:val="18"/>
              </w:rPr>
              <w:t> </w:t>
            </w:r>
          </w:p>
        </w:tc>
      </w:tr>
      <w:tr w:rsidR="00735613" w:rsidTr="00735613">
        <w:trPr>
          <w:trHeight w:val="227"/>
        </w:trPr>
        <w:tc>
          <w:tcPr>
            <w:tcW w:w="6138" w:type="dxa"/>
            <w:tcBorders>
              <w:top w:val="single" w:sz="4" w:space="0" w:color="auto"/>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94" w:type="dxa"/>
            <w:tcBorders>
              <w:top w:val="single" w:sz="4" w:space="0" w:color="auto"/>
              <w:left w:val="nil"/>
              <w:bottom w:val="nil"/>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Land</w:t>
            </w:r>
          </w:p>
        </w:tc>
        <w:tc>
          <w:tcPr>
            <w:tcW w:w="1293" w:type="dxa"/>
            <w:tcBorders>
              <w:top w:val="single" w:sz="4" w:space="0" w:color="auto"/>
              <w:left w:val="nil"/>
              <w:bottom w:val="nil"/>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Buildings</w:t>
            </w:r>
          </w:p>
        </w:tc>
        <w:tc>
          <w:tcPr>
            <w:tcW w:w="1387" w:type="dxa"/>
            <w:tcBorders>
              <w:top w:val="single" w:sz="4" w:space="0" w:color="auto"/>
              <w:left w:val="nil"/>
              <w:bottom w:val="nil"/>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Leasehold improvements</w:t>
            </w:r>
          </w:p>
        </w:tc>
        <w:tc>
          <w:tcPr>
            <w:tcW w:w="1293" w:type="dxa"/>
            <w:tcBorders>
              <w:top w:val="single" w:sz="4" w:space="0" w:color="auto"/>
              <w:left w:val="nil"/>
              <w:bottom w:val="nil"/>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Total land and buildings</w:t>
            </w:r>
          </w:p>
        </w:tc>
        <w:tc>
          <w:tcPr>
            <w:tcW w:w="1293" w:type="dxa"/>
            <w:tcBorders>
              <w:top w:val="single" w:sz="4" w:space="0" w:color="auto"/>
              <w:left w:val="nil"/>
              <w:bottom w:val="nil"/>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Other property, plant &amp; equipment</w:t>
            </w:r>
          </w:p>
        </w:tc>
        <w:tc>
          <w:tcPr>
            <w:tcW w:w="1293" w:type="dxa"/>
            <w:tcBorders>
              <w:top w:val="single" w:sz="4" w:space="0" w:color="auto"/>
              <w:left w:val="nil"/>
              <w:bottom w:val="nil"/>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Total</w:t>
            </w:r>
          </w:p>
        </w:tc>
      </w:tr>
      <w:tr w:rsidR="00735613" w:rsidTr="00735613">
        <w:trPr>
          <w:trHeight w:val="227"/>
        </w:trPr>
        <w:tc>
          <w:tcPr>
            <w:tcW w:w="6138"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94"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$’000</w:t>
            </w:r>
          </w:p>
        </w:tc>
        <w:tc>
          <w:tcPr>
            <w:tcW w:w="1293"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$’000</w:t>
            </w:r>
          </w:p>
        </w:tc>
        <w:tc>
          <w:tcPr>
            <w:tcW w:w="1387"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$’000</w:t>
            </w:r>
          </w:p>
        </w:tc>
        <w:tc>
          <w:tcPr>
            <w:tcW w:w="1293"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$’000</w:t>
            </w:r>
          </w:p>
        </w:tc>
        <w:tc>
          <w:tcPr>
            <w:tcW w:w="1293"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$’000</w:t>
            </w:r>
          </w:p>
        </w:tc>
        <w:tc>
          <w:tcPr>
            <w:tcW w:w="1293"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Calibri"/>
                <w:szCs w:val="18"/>
              </w:rPr>
            </w:pPr>
            <w:r>
              <w:rPr>
                <w:rFonts w:cs="Calibri"/>
                <w:szCs w:val="18"/>
              </w:rPr>
              <w:t>$’000</w:t>
            </w:r>
          </w:p>
        </w:tc>
      </w:tr>
      <w:tr w:rsidR="00735613" w:rsidTr="00735613">
        <w:trPr>
          <w:trHeight w:val="227"/>
        </w:trPr>
        <w:tc>
          <w:tcPr>
            <w:tcW w:w="6138" w:type="dxa"/>
            <w:tcBorders>
              <w:top w:val="nil"/>
              <w:left w:val="nil"/>
              <w:bottom w:val="nil"/>
              <w:right w:val="nil"/>
            </w:tcBorders>
            <w:shd w:val="clear" w:color="auto" w:fill="auto"/>
            <w:noWrap/>
            <w:vAlign w:val="bottom"/>
            <w:hideMark/>
          </w:tcPr>
          <w:p w:rsidR="00735613" w:rsidRDefault="00735613" w:rsidP="00735613">
            <w:pPr>
              <w:spacing w:line="240" w:lineRule="auto"/>
              <w:rPr>
                <w:rFonts w:cs="Calibri"/>
                <w:b/>
                <w:bCs/>
                <w:szCs w:val="18"/>
              </w:rPr>
            </w:pPr>
            <w:r>
              <w:rPr>
                <w:rFonts w:cs="Calibri"/>
                <w:b/>
                <w:bCs/>
                <w:szCs w:val="18"/>
              </w:rPr>
              <w:t>As at 19 September 2013</w:t>
            </w:r>
          </w:p>
        </w:tc>
        <w:tc>
          <w:tcPr>
            <w:tcW w:w="1294"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387"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r>
      <w:tr w:rsidR="00735613" w:rsidTr="00735613">
        <w:trPr>
          <w:trHeight w:val="227"/>
        </w:trPr>
        <w:tc>
          <w:tcPr>
            <w:tcW w:w="6138"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Gross book value</w:t>
            </w:r>
          </w:p>
        </w:tc>
        <w:tc>
          <w:tcPr>
            <w:tcW w:w="1294"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387"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w:t>
            </w:r>
          </w:p>
        </w:tc>
      </w:tr>
      <w:tr w:rsidR="00735613" w:rsidTr="00735613">
        <w:trPr>
          <w:trHeight w:val="227"/>
        </w:trPr>
        <w:tc>
          <w:tcPr>
            <w:tcW w:w="6138"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Accumulated depreciation and impairment</w:t>
            </w:r>
          </w:p>
        </w:tc>
        <w:tc>
          <w:tcPr>
            <w:tcW w:w="1294"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387"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w:t>
            </w:r>
          </w:p>
        </w:tc>
      </w:tr>
      <w:tr w:rsidR="00735613" w:rsidTr="00735613">
        <w:trPr>
          <w:trHeight w:val="227"/>
        </w:trPr>
        <w:tc>
          <w:tcPr>
            <w:tcW w:w="6138"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rPr>
                <w:rFonts w:cs="Calibri"/>
                <w:b/>
                <w:bCs/>
                <w:szCs w:val="18"/>
              </w:rPr>
            </w:pPr>
            <w:r>
              <w:rPr>
                <w:rFonts w:cs="Calibri"/>
                <w:b/>
                <w:bCs/>
                <w:szCs w:val="18"/>
              </w:rPr>
              <w:t>Total as at 19 September 2013</w:t>
            </w:r>
          </w:p>
        </w:tc>
        <w:tc>
          <w:tcPr>
            <w:tcW w:w="1294"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w:t>
            </w:r>
          </w:p>
        </w:tc>
        <w:tc>
          <w:tcPr>
            <w:tcW w:w="1293"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w:t>
            </w:r>
          </w:p>
        </w:tc>
        <w:tc>
          <w:tcPr>
            <w:tcW w:w="1387"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w:t>
            </w:r>
          </w:p>
        </w:tc>
        <w:tc>
          <w:tcPr>
            <w:tcW w:w="1293"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w:t>
            </w:r>
          </w:p>
        </w:tc>
        <w:tc>
          <w:tcPr>
            <w:tcW w:w="1293"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w:t>
            </w:r>
          </w:p>
        </w:tc>
        <w:tc>
          <w:tcPr>
            <w:tcW w:w="1293"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w:t>
            </w:r>
          </w:p>
        </w:tc>
      </w:tr>
      <w:tr w:rsidR="00735613" w:rsidTr="00735613">
        <w:trPr>
          <w:trHeight w:val="227"/>
        </w:trPr>
        <w:tc>
          <w:tcPr>
            <w:tcW w:w="6138"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Additions:</w:t>
            </w:r>
          </w:p>
        </w:tc>
        <w:tc>
          <w:tcPr>
            <w:tcW w:w="1294"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w:t>
            </w:r>
          </w:p>
        </w:tc>
        <w:tc>
          <w:tcPr>
            <w:tcW w:w="1387"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w:t>
            </w:r>
          </w:p>
        </w:tc>
      </w:tr>
      <w:tr w:rsidR="00735613" w:rsidTr="00735613">
        <w:trPr>
          <w:trHeight w:val="227"/>
        </w:trPr>
        <w:tc>
          <w:tcPr>
            <w:tcW w:w="6138" w:type="dxa"/>
            <w:tcBorders>
              <w:top w:val="nil"/>
              <w:left w:val="nil"/>
              <w:bottom w:val="nil"/>
              <w:right w:val="nil"/>
            </w:tcBorders>
            <w:shd w:val="clear" w:color="FFFFFF" w:fill="FFFFFF"/>
            <w:noWrap/>
            <w:vAlign w:val="bottom"/>
            <w:hideMark/>
          </w:tcPr>
          <w:p w:rsidR="00735613" w:rsidRDefault="00735613" w:rsidP="00735613">
            <w:pPr>
              <w:spacing w:line="240" w:lineRule="auto"/>
              <w:ind w:firstLineChars="100" w:firstLine="180"/>
              <w:rPr>
                <w:rFonts w:cs="Calibri"/>
                <w:szCs w:val="18"/>
              </w:rPr>
            </w:pPr>
            <w:r>
              <w:rPr>
                <w:rFonts w:cs="Calibri"/>
                <w:szCs w:val="18"/>
              </w:rPr>
              <w:t>By purchase</w:t>
            </w:r>
          </w:p>
        </w:tc>
        <w:tc>
          <w:tcPr>
            <w:tcW w:w="1294"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387"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421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421</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3,102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3,523</w:t>
            </w:r>
          </w:p>
        </w:tc>
      </w:tr>
      <w:tr w:rsidR="00735613" w:rsidTr="00735613">
        <w:trPr>
          <w:trHeight w:val="227"/>
        </w:trPr>
        <w:tc>
          <w:tcPr>
            <w:tcW w:w="6138" w:type="dxa"/>
            <w:tcBorders>
              <w:top w:val="nil"/>
              <w:left w:val="nil"/>
              <w:bottom w:val="nil"/>
              <w:right w:val="nil"/>
            </w:tcBorders>
            <w:shd w:val="clear" w:color="FFFFFF" w:fill="FFFFFF"/>
            <w:noWrap/>
            <w:vAlign w:val="bottom"/>
            <w:hideMark/>
          </w:tcPr>
          <w:p w:rsidR="00735613" w:rsidRDefault="00735613" w:rsidP="00735613">
            <w:pPr>
              <w:spacing w:line="240" w:lineRule="auto"/>
              <w:ind w:firstLineChars="100" w:firstLine="180"/>
              <w:rPr>
                <w:rFonts w:cs="Calibri"/>
                <w:szCs w:val="18"/>
              </w:rPr>
            </w:pPr>
            <w:r>
              <w:rPr>
                <w:rFonts w:cs="Calibri"/>
                <w:szCs w:val="18"/>
              </w:rPr>
              <w:t>By restructuring</w:t>
            </w:r>
          </w:p>
        </w:tc>
        <w:tc>
          <w:tcPr>
            <w:tcW w:w="1294"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1,910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1,924 </w:t>
            </w:r>
          </w:p>
        </w:tc>
        <w:tc>
          <w:tcPr>
            <w:tcW w:w="1387"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53,503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57,337</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11,579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68,916</w:t>
            </w:r>
          </w:p>
        </w:tc>
      </w:tr>
      <w:tr w:rsidR="00735613" w:rsidTr="00735613">
        <w:trPr>
          <w:trHeight w:val="227"/>
        </w:trPr>
        <w:tc>
          <w:tcPr>
            <w:tcW w:w="6138" w:type="dxa"/>
            <w:tcBorders>
              <w:top w:val="nil"/>
              <w:left w:val="nil"/>
              <w:bottom w:val="nil"/>
              <w:right w:val="nil"/>
            </w:tcBorders>
            <w:shd w:val="clear" w:color="FFFFFF" w:fill="FFFFFF"/>
            <w:noWrap/>
            <w:vAlign w:val="bottom"/>
            <w:hideMark/>
          </w:tcPr>
          <w:p w:rsidR="00735613" w:rsidRDefault="00735613" w:rsidP="00735613">
            <w:pPr>
              <w:spacing w:line="240" w:lineRule="auto"/>
              <w:ind w:firstLineChars="100" w:firstLine="180"/>
              <w:rPr>
                <w:rFonts w:cs="Calibri"/>
                <w:szCs w:val="18"/>
              </w:rPr>
            </w:pPr>
            <w:r>
              <w:rPr>
                <w:rFonts w:cs="Calibri"/>
                <w:szCs w:val="18"/>
              </w:rPr>
              <w:t>By revaluations and impairments</w:t>
            </w:r>
          </w:p>
        </w:tc>
        <w:tc>
          <w:tcPr>
            <w:tcW w:w="1294"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387"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433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433</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433</w:t>
            </w:r>
          </w:p>
        </w:tc>
      </w:tr>
      <w:tr w:rsidR="00735613" w:rsidTr="00735613">
        <w:trPr>
          <w:trHeight w:val="227"/>
        </w:trPr>
        <w:tc>
          <w:tcPr>
            <w:tcW w:w="6138" w:type="dxa"/>
            <w:tcBorders>
              <w:top w:val="nil"/>
              <w:left w:val="nil"/>
              <w:bottom w:val="nil"/>
              <w:right w:val="nil"/>
            </w:tcBorders>
            <w:shd w:val="clear" w:color="FFFFFF" w:fill="FFFFFF"/>
            <w:noWrap/>
            <w:vAlign w:val="bottom"/>
            <w:hideMark/>
          </w:tcPr>
          <w:p w:rsidR="00735613" w:rsidRDefault="00735613" w:rsidP="00735613">
            <w:pPr>
              <w:spacing w:line="240" w:lineRule="auto"/>
              <w:ind w:firstLineChars="100" w:firstLine="180"/>
              <w:rPr>
                <w:rFonts w:cs="Calibri"/>
                <w:szCs w:val="18"/>
              </w:rPr>
            </w:pPr>
            <w:r>
              <w:rPr>
                <w:rFonts w:cs="Calibri"/>
                <w:szCs w:val="18"/>
              </w:rPr>
              <w:t>First time recognition</w:t>
            </w:r>
          </w:p>
        </w:tc>
        <w:tc>
          <w:tcPr>
            <w:tcW w:w="1294"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387"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1,353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1,353</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145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1,498</w:t>
            </w:r>
          </w:p>
        </w:tc>
      </w:tr>
      <w:tr w:rsidR="00735613" w:rsidTr="00735613">
        <w:trPr>
          <w:trHeight w:val="227"/>
        </w:trPr>
        <w:tc>
          <w:tcPr>
            <w:tcW w:w="6138"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Reclassification</w:t>
            </w:r>
          </w:p>
        </w:tc>
        <w:tc>
          <w:tcPr>
            <w:tcW w:w="1294"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387"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26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26</w:t>
            </w:r>
          </w:p>
        </w:tc>
      </w:tr>
      <w:tr w:rsidR="00735613" w:rsidTr="00735613">
        <w:trPr>
          <w:trHeight w:val="227"/>
        </w:trPr>
        <w:tc>
          <w:tcPr>
            <w:tcW w:w="6138"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Calibri"/>
                <w:szCs w:val="18"/>
              </w:rPr>
            </w:pPr>
            <w:r>
              <w:rPr>
                <w:rFonts w:cs="Calibri"/>
                <w:szCs w:val="18"/>
              </w:rPr>
              <w:t>Revaluations and impairments recognised in other comprehensive income</w:t>
            </w:r>
          </w:p>
        </w:tc>
        <w:tc>
          <w:tcPr>
            <w:tcW w:w="1294"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(40)</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(187)</w:t>
            </w:r>
          </w:p>
        </w:tc>
        <w:tc>
          <w:tcPr>
            <w:tcW w:w="1387"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(227)</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(227)</w:t>
            </w:r>
          </w:p>
        </w:tc>
      </w:tr>
      <w:tr w:rsidR="00735613" w:rsidTr="00735613">
        <w:trPr>
          <w:trHeight w:val="227"/>
        </w:trPr>
        <w:tc>
          <w:tcPr>
            <w:tcW w:w="6138"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Impairments recognised in the operating result</w:t>
            </w:r>
          </w:p>
        </w:tc>
        <w:tc>
          <w:tcPr>
            <w:tcW w:w="1294"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387"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(405)</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(405)</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(405)</w:t>
            </w:r>
          </w:p>
        </w:tc>
      </w:tr>
      <w:tr w:rsidR="00735613" w:rsidTr="00735613">
        <w:trPr>
          <w:trHeight w:val="227"/>
        </w:trPr>
        <w:tc>
          <w:tcPr>
            <w:tcW w:w="6138"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Depreciation expense</w:t>
            </w:r>
          </w:p>
        </w:tc>
        <w:tc>
          <w:tcPr>
            <w:tcW w:w="1294"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(62)</w:t>
            </w:r>
          </w:p>
        </w:tc>
        <w:tc>
          <w:tcPr>
            <w:tcW w:w="1387"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(5,448)</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(5,510)</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(3,006)</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(8,516)</w:t>
            </w:r>
          </w:p>
        </w:tc>
      </w:tr>
      <w:tr w:rsidR="00735613" w:rsidTr="00735613">
        <w:trPr>
          <w:trHeight w:val="227"/>
        </w:trPr>
        <w:tc>
          <w:tcPr>
            <w:tcW w:w="6138"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Disposals:</w:t>
            </w:r>
          </w:p>
        </w:tc>
        <w:tc>
          <w:tcPr>
            <w:tcW w:w="1294"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387"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r>
      <w:tr w:rsidR="00735613" w:rsidTr="00735613">
        <w:trPr>
          <w:trHeight w:val="227"/>
        </w:trPr>
        <w:tc>
          <w:tcPr>
            <w:tcW w:w="6138" w:type="dxa"/>
            <w:tcBorders>
              <w:top w:val="nil"/>
              <w:left w:val="nil"/>
              <w:bottom w:val="nil"/>
              <w:right w:val="nil"/>
            </w:tcBorders>
            <w:shd w:val="clear" w:color="FFFFFF" w:fill="FFFFFF"/>
            <w:noWrap/>
            <w:vAlign w:val="bottom"/>
            <w:hideMark/>
          </w:tcPr>
          <w:p w:rsidR="00735613" w:rsidRDefault="00735613" w:rsidP="00735613">
            <w:pPr>
              <w:spacing w:line="240" w:lineRule="auto"/>
              <w:ind w:firstLineChars="100" w:firstLine="180"/>
              <w:rPr>
                <w:rFonts w:cs="Calibri"/>
                <w:szCs w:val="18"/>
              </w:rPr>
            </w:pPr>
            <w:r>
              <w:rPr>
                <w:rFonts w:cs="Calibri"/>
                <w:szCs w:val="18"/>
              </w:rPr>
              <w:t>From disposal of entities or operations (including restructuring)</w:t>
            </w:r>
          </w:p>
        </w:tc>
        <w:tc>
          <w:tcPr>
            <w:tcW w:w="1294"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(1,670)</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(785)</w:t>
            </w:r>
          </w:p>
        </w:tc>
        <w:tc>
          <w:tcPr>
            <w:tcW w:w="1387"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(80)</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(2,535)</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(19)</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(2,554)</w:t>
            </w:r>
          </w:p>
        </w:tc>
      </w:tr>
      <w:tr w:rsidR="00735613" w:rsidTr="00735613">
        <w:trPr>
          <w:trHeight w:val="227"/>
        </w:trPr>
        <w:tc>
          <w:tcPr>
            <w:tcW w:w="6138" w:type="dxa"/>
            <w:tcBorders>
              <w:top w:val="nil"/>
              <w:left w:val="nil"/>
              <w:bottom w:val="nil"/>
              <w:right w:val="nil"/>
            </w:tcBorders>
            <w:shd w:val="clear" w:color="FFFFFF" w:fill="FFFFFF"/>
            <w:noWrap/>
            <w:vAlign w:val="bottom"/>
            <w:hideMark/>
          </w:tcPr>
          <w:p w:rsidR="00735613" w:rsidRDefault="00735613" w:rsidP="00735613">
            <w:pPr>
              <w:spacing w:line="240" w:lineRule="auto"/>
              <w:ind w:firstLineChars="100" w:firstLine="180"/>
              <w:rPr>
                <w:rFonts w:cs="Calibri"/>
                <w:szCs w:val="18"/>
              </w:rPr>
            </w:pPr>
            <w:r>
              <w:rPr>
                <w:rFonts w:cs="Calibri"/>
                <w:szCs w:val="18"/>
              </w:rPr>
              <w:t>Other</w:t>
            </w:r>
          </w:p>
        </w:tc>
        <w:tc>
          <w:tcPr>
            <w:tcW w:w="1294"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387"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(318)</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(318)</w:t>
            </w:r>
          </w:p>
        </w:tc>
      </w:tr>
      <w:tr w:rsidR="00735613" w:rsidTr="00735613">
        <w:trPr>
          <w:trHeight w:val="227"/>
        </w:trPr>
        <w:tc>
          <w:tcPr>
            <w:tcW w:w="6138" w:type="dxa"/>
            <w:tcBorders>
              <w:top w:val="nil"/>
              <w:left w:val="nil"/>
              <w:bottom w:val="nil"/>
              <w:right w:val="nil"/>
            </w:tcBorders>
            <w:shd w:val="clear" w:color="FFFFFF" w:fill="FFFFFF"/>
            <w:noWrap/>
            <w:vAlign w:val="bottom"/>
            <w:hideMark/>
          </w:tcPr>
          <w:p w:rsidR="00735613" w:rsidRDefault="00735613" w:rsidP="00735613">
            <w:pPr>
              <w:spacing w:line="240" w:lineRule="auto"/>
              <w:ind w:firstLineChars="100" w:firstLine="180"/>
              <w:rPr>
                <w:rFonts w:cs="Calibri"/>
                <w:szCs w:val="18"/>
              </w:rPr>
            </w:pPr>
            <w:r>
              <w:rPr>
                <w:rFonts w:cs="Calibri"/>
                <w:szCs w:val="18"/>
              </w:rPr>
              <w:t>Write-offs</w:t>
            </w:r>
          </w:p>
        </w:tc>
        <w:tc>
          <w:tcPr>
            <w:tcW w:w="1294"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387"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(57)</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(57)</w:t>
            </w:r>
          </w:p>
        </w:tc>
      </w:tr>
      <w:tr w:rsidR="00735613" w:rsidTr="00735613">
        <w:trPr>
          <w:trHeight w:val="227"/>
        </w:trPr>
        <w:tc>
          <w:tcPr>
            <w:tcW w:w="6138"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rPr>
                <w:rFonts w:cs="Calibri"/>
                <w:b/>
                <w:bCs/>
                <w:szCs w:val="18"/>
              </w:rPr>
            </w:pPr>
            <w:r>
              <w:rPr>
                <w:rFonts w:cs="Calibri"/>
                <w:b/>
                <w:bCs/>
                <w:szCs w:val="18"/>
              </w:rPr>
              <w:t>Net book value 30 June 2014</w:t>
            </w:r>
          </w:p>
        </w:tc>
        <w:tc>
          <w:tcPr>
            <w:tcW w:w="1294"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200</w:t>
            </w:r>
          </w:p>
        </w:tc>
        <w:tc>
          <w:tcPr>
            <w:tcW w:w="1293"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890</w:t>
            </w:r>
          </w:p>
        </w:tc>
        <w:tc>
          <w:tcPr>
            <w:tcW w:w="1387"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49,777</w:t>
            </w:r>
          </w:p>
        </w:tc>
        <w:tc>
          <w:tcPr>
            <w:tcW w:w="1293"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50,867</w:t>
            </w:r>
          </w:p>
        </w:tc>
        <w:tc>
          <w:tcPr>
            <w:tcW w:w="1293"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11,452</w:t>
            </w:r>
          </w:p>
        </w:tc>
        <w:tc>
          <w:tcPr>
            <w:tcW w:w="1293"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62,319</w:t>
            </w:r>
          </w:p>
        </w:tc>
      </w:tr>
      <w:tr w:rsidR="00735613" w:rsidTr="00735613">
        <w:trPr>
          <w:trHeight w:val="227"/>
        </w:trPr>
        <w:tc>
          <w:tcPr>
            <w:tcW w:w="6138"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94"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387"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r>
      <w:tr w:rsidR="00735613" w:rsidTr="00735613">
        <w:trPr>
          <w:trHeight w:val="227"/>
        </w:trPr>
        <w:tc>
          <w:tcPr>
            <w:tcW w:w="6138"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b/>
                <w:bCs/>
                <w:szCs w:val="18"/>
              </w:rPr>
            </w:pPr>
            <w:r>
              <w:rPr>
                <w:rFonts w:cs="Calibri"/>
                <w:b/>
                <w:bCs/>
                <w:szCs w:val="18"/>
              </w:rPr>
              <w:t>Net book value as of 30 June 2014 represented by:</w:t>
            </w:r>
          </w:p>
        </w:tc>
        <w:tc>
          <w:tcPr>
            <w:tcW w:w="1294"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387"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r>
      <w:tr w:rsidR="00735613" w:rsidTr="00735613">
        <w:trPr>
          <w:trHeight w:val="227"/>
        </w:trPr>
        <w:tc>
          <w:tcPr>
            <w:tcW w:w="6138"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Gross book value</w:t>
            </w:r>
          </w:p>
        </w:tc>
        <w:tc>
          <w:tcPr>
            <w:tcW w:w="1294"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200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890 </w:t>
            </w:r>
          </w:p>
        </w:tc>
        <w:tc>
          <w:tcPr>
            <w:tcW w:w="1387"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49,796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50,886</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14,591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65,477</w:t>
            </w:r>
          </w:p>
        </w:tc>
      </w:tr>
      <w:tr w:rsidR="00735613" w:rsidTr="00735613">
        <w:trPr>
          <w:trHeight w:val="227"/>
        </w:trPr>
        <w:tc>
          <w:tcPr>
            <w:tcW w:w="6138" w:type="dxa"/>
            <w:tcBorders>
              <w:top w:val="nil"/>
              <w:left w:val="nil"/>
              <w:bottom w:val="nil"/>
              <w:right w:val="nil"/>
            </w:tcBorders>
            <w:shd w:val="clear" w:color="FFFFFF" w:fill="FFFFFF"/>
            <w:vAlign w:val="bottom"/>
            <w:hideMark/>
          </w:tcPr>
          <w:p w:rsidR="00735613" w:rsidRDefault="00735613" w:rsidP="00735613">
            <w:pPr>
              <w:spacing w:line="240" w:lineRule="auto"/>
              <w:rPr>
                <w:rFonts w:cs="Calibri"/>
                <w:szCs w:val="18"/>
              </w:rPr>
            </w:pPr>
            <w:r>
              <w:rPr>
                <w:rFonts w:cs="Calibri"/>
                <w:szCs w:val="18"/>
              </w:rPr>
              <w:t>Accumulated depreciation and impairment</w:t>
            </w:r>
          </w:p>
        </w:tc>
        <w:tc>
          <w:tcPr>
            <w:tcW w:w="1294"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1387"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(19)</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(19)</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(3,139)</w:t>
            </w:r>
          </w:p>
        </w:tc>
        <w:tc>
          <w:tcPr>
            <w:tcW w:w="1293"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(3,158)</w:t>
            </w:r>
          </w:p>
        </w:tc>
      </w:tr>
      <w:tr w:rsidR="00735613" w:rsidTr="00735613">
        <w:trPr>
          <w:trHeight w:val="227"/>
        </w:trPr>
        <w:tc>
          <w:tcPr>
            <w:tcW w:w="6138"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rPr>
                <w:rFonts w:cs="Calibri"/>
                <w:b/>
                <w:bCs/>
                <w:szCs w:val="18"/>
              </w:rPr>
            </w:pPr>
            <w:r>
              <w:rPr>
                <w:rFonts w:cs="Calibri"/>
                <w:b/>
                <w:bCs/>
                <w:szCs w:val="18"/>
              </w:rPr>
              <w:t>Net book value 30 June 2014</w:t>
            </w:r>
          </w:p>
        </w:tc>
        <w:tc>
          <w:tcPr>
            <w:tcW w:w="1294"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200</w:t>
            </w:r>
          </w:p>
        </w:tc>
        <w:tc>
          <w:tcPr>
            <w:tcW w:w="1293"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890</w:t>
            </w:r>
          </w:p>
        </w:tc>
        <w:tc>
          <w:tcPr>
            <w:tcW w:w="1387"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49,777</w:t>
            </w:r>
          </w:p>
        </w:tc>
        <w:tc>
          <w:tcPr>
            <w:tcW w:w="1293"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50,867</w:t>
            </w:r>
          </w:p>
        </w:tc>
        <w:tc>
          <w:tcPr>
            <w:tcW w:w="1293"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11,452</w:t>
            </w:r>
          </w:p>
        </w:tc>
        <w:tc>
          <w:tcPr>
            <w:tcW w:w="1293"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Calibri"/>
                <w:szCs w:val="18"/>
              </w:rPr>
            </w:pPr>
            <w:r>
              <w:rPr>
                <w:rFonts w:cs="Calibri"/>
                <w:szCs w:val="18"/>
              </w:rPr>
              <w:t>62,319</w:t>
            </w:r>
          </w:p>
        </w:tc>
      </w:tr>
    </w:tbl>
    <w:p w:rsidR="00735613" w:rsidRPr="003E44BE" w:rsidRDefault="00735613" w:rsidP="00735613">
      <w:pPr>
        <w:rPr>
          <w:lang w:eastAsia="en-AU"/>
        </w:rPr>
        <w:sectPr w:rsidR="00735613" w:rsidRPr="003E44BE" w:rsidSect="00735613">
          <w:pgSz w:w="16838" w:h="11906" w:orient="landscape"/>
          <w:pgMar w:top="1134" w:right="1134" w:bottom="1134" w:left="1134" w:header="958" w:footer="737" w:gutter="0"/>
          <w:cols w:space="720"/>
          <w:docGrid w:linePitch="245"/>
        </w:sectPr>
      </w:pPr>
    </w:p>
    <w:p w:rsidR="00735613" w:rsidRDefault="00735613">
      <w:bookmarkStart w:id="190" w:name="RANGE!E7:K57"/>
      <w:bookmarkStart w:id="191" w:name="RANGE!E7:K56"/>
      <w:bookmarkStart w:id="192" w:name="RANGE!E7:K52"/>
      <w:bookmarkStart w:id="193" w:name="RANGE!E7:K53"/>
      <w:bookmarkStart w:id="194" w:name="RANGE!E7:K49"/>
      <w:bookmarkStart w:id="195" w:name="RANGE!E6:K48"/>
      <w:bookmarkStart w:id="196" w:name="RANGE!E6:K47"/>
      <w:bookmarkStart w:id="197" w:name="RANGE!E6:K49"/>
      <w:bookmarkStart w:id="198" w:name="RANGE!E6:E50"/>
      <w:bookmarkStart w:id="199" w:name="RANGE!E6:K50"/>
      <w:bookmarkStart w:id="200" w:name="RANGE!E64:K90"/>
      <w:bookmarkStart w:id="201" w:name="RANGE!E61:K87"/>
      <w:bookmarkStart w:id="202" w:name="RANGE!E60:K85"/>
      <w:bookmarkStart w:id="203" w:name="RANGE!E61:K86"/>
      <w:bookmarkStart w:id="204" w:name="RANGE!E57:K82"/>
      <w:bookmarkStart w:id="205" w:name="RANGE!E58:K83"/>
      <w:bookmarkStart w:id="206" w:name="RANGE!E57:K81"/>
      <w:bookmarkStart w:id="207" w:name="RANGE!E56:K79"/>
      <w:bookmarkStart w:id="208" w:name="RANGE!E58:K81"/>
      <w:bookmarkStart w:id="209" w:name="RANGE!E59:K82"/>
      <w:bookmarkStart w:id="210" w:name="RANGE!E59:K83"/>
      <w:bookmarkStart w:id="211" w:name="RANGE!D6:G22"/>
      <w:bookmarkStart w:id="212" w:name="RANGE!D6:D23"/>
      <w:bookmarkStart w:id="213" w:name="RANGE!D6:G23"/>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tbl>
      <w:tblPr>
        <w:tblW w:w="9087" w:type="dxa"/>
        <w:tblInd w:w="80" w:type="dxa"/>
        <w:tblLayout w:type="fixed"/>
        <w:tblLook w:val="04A0" w:firstRow="1" w:lastRow="0" w:firstColumn="1" w:lastColumn="0" w:noHBand="0" w:noVBand="1"/>
      </w:tblPr>
      <w:tblGrid>
        <w:gridCol w:w="5754"/>
        <w:gridCol w:w="1435"/>
        <w:gridCol w:w="337"/>
        <w:gridCol w:w="1561"/>
      </w:tblGrid>
      <w:tr w:rsidR="00735613" w:rsidTr="00735613">
        <w:trPr>
          <w:trHeight w:val="240"/>
        </w:trPr>
        <w:tc>
          <w:tcPr>
            <w:tcW w:w="455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bookmarkStart w:id="214" w:name="Note_INTTABLE1" w:colFirst="0" w:colLast="0"/>
            <w:r>
              <w:rPr>
                <w:rFonts w:ascii="Arial" w:hAnsi="Arial" w:cs="Arial"/>
                <w:szCs w:val="18"/>
              </w:rPr>
              <w:t> </w:t>
            </w:r>
          </w:p>
        </w:tc>
        <w:tc>
          <w:tcPr>
            <w:tcW w:w="113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2015</w:t>
            </w:r>
          </w:p>
        </w:tc>
        <w:tc>
          <w:tcPr>
            <w:tcW w:w="267"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2014</w:t>
            </w:r>
          </w:p>
        </w:tc>
      </w:tr>
      <w:bookmarkEnd w:id="214"/>
      <w:tr w:rsidR="00735613" w:rsidTr="00735613">
        <w:trPr>
          <w:trHeight w:val="240"/>
        </w:trPr>
        <w:tc>
          <w:tcPr>
            <w:tcW w:w="455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$'000</w:t>
            </w:r>
          </w:p>
        </w:tc>
        <w:tc>
          <w:tcPr>
            <w:tcW w:w="267"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455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r>
              <w:rPr>
                <w:rFonts w:cs="Arial"/>
                <w:b/>
                <w:bCs/>
                <w:szCs w:val="18"/>
                <w:u w:val="single"/>
              </w:rPr>
              <w:t>Note 8D: Intangibles</w:t>
            </w:r>
          </w:p>
        </w:tc>
        <w:tc>
          <w:tcPr>
            <w:tcW w:w="11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67"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455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1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67"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455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Computer software</w:t>
            </w:r>
          </w:p>
        </w:tc>
        <w:tc>
          <w:tcPr>
            <w:tcW w:w="11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67"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r>
      <w:tr w:rsidR="00735613" w:rsidTr="00735613">
        <w:trPr>
          <w:trHeight w:val="264"/>
        </w:trPr>
        <w:tc>
          <w:tcPr>
            <w:tcW w:w="455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 xml:space="preserve">Internally developed – in progress </w:t>
            </w:r>
          </w:p>
        </w:tc>
        <w:tc>
          <w:tcPr>
            <w:tcW w:w="113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8,982</w:t>
            </w:r>
          </w:p>
        </w:tc>
        <w:tc>
          <w:tcPr>
            <w:tcW w:w="26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3,024</w:t>
            </w:r>
          </w:p>
        </w:tc>
      </w:tr>
      <w:tr w:rsidR="00735613" w:rsidTr="00735613">
        <w:trPr>
          <w:trHeight w:val="264"/>
        </w:trPr>
        <w:tc>
          <w:tcPr>
            <w:tcW w:w="455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Internally developed – in use</w:t>
            </w:r>
          </w:p>
        </w:tc>
        <w:tc>
          <w:tcPr>
            <w:tcW w:w="113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84,802</w:t>
            </w:r>
          </w:p>
        </w:tc>
        <w:tc>
          <w:tcPr>
            <w:tcW w:w="26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71,595</w:t>
            </w:r>
          </w:p>
        </w:tc>
      </w:tr>
      <w:tr w:rsidR="00735613" w:rsidTr="00735613">
        <w:trPr>
          <w:trHeight w:val="264"/>
        </w:trPr>
        <w:tc>
          <w:tcPr>
            <w:tcW w:w="455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Purchased</w:t>
            </w:r>
          </w:p>
        </w:tc>
        <w:tc>
          <w:tcPr>
            <w:tcW w:w="113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570</w:t>
            </w:r>
          </w:p>
        </w:tc>
        <w:tc>
          <w:tcPr>
            <w:tcW w:w="26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570</w:t>
            </w:r>
          </w:p>
        </w:tc>
      </w:tr>
      <w:tr w:rsidR="00735613" w:rsidTr="00735613">
        <w:trPr>
          <w:trHeight w:val="264"/>
        </w:trPr>
        <w:tc>
          <w:tcPr>
            <w:tcW w:w="455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computer software (gross)</w:t>
            </w:r>
          </w:p>
        </w:tc>
        <w:tc>
          <w:tcPr>
            <w:tcW w:w="113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94,354</w:t>
            </w:r>
          </w:p>
        </w:tc>
        <w:tc>
          <w:tcPr>
            <w:tcW w:w="267"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75,189</w:t>
            </w:r>
          </w:p>
        </w:tc>
      </w:tr>
      <w:tr w:rsidR="00735613" w:rsidTr="00735613">
        <w:trPr>
          <w:trHeight w:val="264"/>
        </w:trPr>
        <w:tc>
          <w:tcPr>
            <w:tcW w:w="455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1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455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Accumulated amortisation - internally developed</w:t>
            </w:r>
          </w:p>
        </w:tc>
        <w:tc>
          <w:tcPr>
            <w:tcW w:w="113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(21,170)</w:t>
            </w:r>
          </w:p>
        </w:tc>
        <w:tc>
          <w:tcPr>
            <w:tcW w:w="26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(11,580)</w:t>
            </w:r>
          </w:p>
        </w:tc>
      </w:tr>
      <w:tr w:rsidR="00735613" w:rsidTr="00735613">
        <w:trPr>
          <w:trHeight w:val="264"/>
        </w:trPr>
        <w:tc>
          <w:tcPr>
            <w:tcW w:w="455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Accumulated amortisation - purchased</w:t>
            </w:r>
          </w:p>
        </w:tc>
        <w:tc>
          <w:tcPr>
            <w:tcW w:w="113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(249)</w:t>
            </w:r>
          </w:p>
        </w:tc>
        <w:tc>
          <w:tcPr>
            <w:tcW w:w="26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(57)</w:t>
            </w:r>
          </w:p>
        </w:tc>
      </w:tr>
      <w:tr w:rsidR="00735613" w:rsidTr="00735613">
        <w:trPr>
          <w:trHeight w:val="264"/>
        </w:trPr>
        <w:tc>
          <w:tcPr>
            <w:tcW w:w="455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Accumulated impairment - internally developed</w:t>
            </w:r>
          </w:p>
        </w:tc>
        <w:tc>
          <w:tcPr>
            <w:tcW w:w="113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(2,532)</w:t>
            </w:r>
          </w:p>
        </w:tc>
        <w:tc>
          <w:tcPr>
            <w:tcW w:w="26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455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computer software (net)</w:t>
            </w:r>
          </w:p>
        </w:tc>
        <w:tc>
          <w:tcPr>
            <w:tcW w:w="113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70,403</w:t>
            </w:r>
          </w:p>
        </w:tc>
        <w:tc>
          <w:tcPr>
            <w:tcW w:w="267"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63,552</w:t>
            </w:r>
          </w:p>
        </w:tc>
      </w:tr>
      <w:tr w:rsidR="00735613" w:rsidTr="00735613">
        <w:trPr>
          <w:trHeight w:val="264"/>
        </w:trPr>
        <w:tc>
          <w:tcPr>
            <w:tcW w:w="455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67"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76"/>
        </w:trPr>
        <w:tc>
          <w:tcPr>
            <w:tcW w:w="455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intangibles</w:t>
            </w:r>
          </w:p>
        </w:tc>
        <w:tc>
          <w:tcPr>
            <w:tcW w:w="113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70,403</w:t>
            </w:r>
          </w:p>
        </w:tc>
        <w:tc>
          <w:tcPr>
            <w:tcW w:w="267"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63,552</w:t>
            </w:r>
          </w:p>
        </w:tc>
      </w:tr>
    </w:tbl>
    <w:p w:rsidR="00735613" w:rsidRDefault="00735613" w:rsidP="00735613">
      <w:pPr>
        <w:pStyle w:val="NotesText0"/>
      </w:pPr>
    </w:p>
    <w:p w:rsidR="00735613" w:rsidRDefault="00735613" w:rsidP="00735613">
      <w:pPr>
        <w:pStyle w:val="NotesText0"/>
      </w:pPr>
    </w:p>
    <w:p w:rsidR="00735613" w:rsidRDefault="00735613" w:rsidP="00735613">
      <w:pPr>
        <w:pStyle w:val="NotesText0"/>
      </w:pPr>
      <w:r>
        <w:t xml:space="preserve">No material amounts of intangibles are expected to be sold or disposed of within the next 12 months. </w:t>
      </w:r>
    </w:p>
    <w:p w:rsidR="00735613" w:rsidRDefault="00735613" w:rsidP="00735613">
      <w:pPr>
        <w:pStyle w:val="NotesText0"/>
        <w:sectPr w:rsidR="00735613" w:rsidSect="00735613">
          <w:pgSz w:w="11906" w:h="16838"/>
          <w:pgMar w:top="1134" w:right="1134" w:bottom="1134" w:left="1134" w:header="958" w:footer="737" w:gutter="0"/>
          <w:cols w:space="720"/>
          <w:docGrid w:linePitch="245"/>
        </w:sectPr>
      </w:pPr>
      <w:r>
        <w:t>An impairment loss of $2.532 million was recognised for internally developed intangibles in the 2014–15 year (2013–14: Nil).</w:t>
      </w:r>
    </w:p>
    <w:tbl>
      <w:tblPr>
        <w:tblW w:w="13991" w:type="dxa"/>
        <w:tblInd w:w="80" w:type="dxa"/>
        <w:tblLayout w:type="fixed"/>
        <w:tblCellMar>
          <w:left w:w="6" w:type="dxa"/>
          <w:right w:w="6" w:type="dxa"/>
        </w:tblCellMar>
        <w:tblLook w:val="04A0" w:firstRow="1" w:lastRow="0" w:firstColumn="1" w:lastColumn="0" w:noHBand="0" w:noVBand="1"/>
      </w:tblPr>
      <w:tblGrid>
        <w:gridCol w:w="9662"/>
        <w:gridCol w:w="1443"/>
        <w:gridCol w:w="1443"/>
        <w:gridCol w:w="1443"/>
      </w:tblGrid>
      <w:tr w:rsidR="00735613" w:rsidTr="00735613">
        <w:trPr>
          <w:trHeight w:val="227"/>
        </w:trPr>
        <w:tc>
          <w:tcPr>
            <w:tcW w:w="827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b/>
                <w:bCs/>
                <w:szCs w:val="18"/>
                <w:u w:val="single"/>
              </w:rPr>
            </w:pPr>
            <w:bookmarkStart w:id="215" w:name="Note_INRTABLE1" w:colFirst="0" w:colLast="0"/>
            <w:r>
              <w:rPr>
                <w:rFonts w:cs="Arial"/>
                <w:b/>
                <w:bCs/>
                <w:szCs w:val="18"/>
                <w:u w:val="single"/>
              </w:rPr>
              <w:t>Note 8E: Reconciliation of the opening and closing balances of intangibles (2014–15)</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r>
      <w:bookmarkEnd w:id="215"/>
      <w:tr w:rsidR="00735613" w:rsidTr="00735613">
        <w:trPr>
          <w:trHeight w:val="227"/>
        </w:trPr>
        <w:tc>
          <w:tcPr>
            <w:tcW w:w="827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r>
      <w:tr w:rsidR="00735613" w:rsidTr="00735613">
        <w:trPr>
          <w:trHeight w:val="227"/>
        </w:trPr>
        <w:tc>
          <w:tcPr>
            <w:tcW w:w="8276" w:type="dxa"/>
            <w:tcBorders>
              <w:top w:val="single" w:sz="4" w:space="0" w:color="auto"/>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36" w:type="dxa"/>
            <w:tcBorders>
              <w:top w:val="single" w:sz="4" w:space="0" w:color="auto"/>
              <w:left w:val="nil"/>
              <w:bottom w:val="nil"/>
              <w:right w:val="nil"/>
            </w:tcBorders>
            <w:shd w:val="clear" w:color="FFFFFF" w:fill="FFFFFF"/>
            <w:vAlign w:val="bottom"/>
            <w:hideMark/>
          </w:tcPr>
          <w:p w:rsidR="00735613" w:rsidRDefault="00735613" w:rsidP="00735613">
            <w:pPr>
              <w:spacing w:line="240" w:lineRule="auto"/>
              <w:jc w:val="right"/>
              <w:rPr>
                <w:rFonts w:cs="Arial"/>
                <w:b/>
                <w:bCs/>
                <w:szCs w:val="18"/>
              </w:rPr>
            </w:pPr>
            <w:bookmarkStart w:id="216" w:name="RANGE!F9:H9"/>
            <w:r>
              <w:rPr>
                <w:rFonts w:cs="Arial"/>
                <w:b/>
                <w:bCs/>
                <w:szCs w:val="18"/>
              </w:rPr>
              <w:t>Computer software internally developed</w:t>
            </w:r>
            <w:bookmarkEnd w:id="216"/>
          </w:p>
        </w:tc>
        <w:tc>
          <w:tcPr>
            <w:tcW w:w="1236" w:type="dxa"/>
            <w:tcBorders>
              <w:top w:val="single" w:sz="4" w:space="0" w:color="auto"/>
              <w:left w:val="nil"/>
              <w:bottom w:val="nil"/>
              <w:right w:val="nil"/>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Computer  software purchased</w:t>
            </w:r>
          </w:p>
        </w:tc>
        <w:tc>
          <w:tcPr>
            <w:tcW w:w="1236" w:type="dxa"/>
            <w:tcBorders>
              <w:top w:val="single" w:sz="4" w:space="0" w:color="auto"/>
              <w:left w:val="nil"/>
              <w:bottom w:val="nil"/>
              <w:right w:val="nil"/>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Total</w:t>
            </w:r>
          </w:p>
        </w:tc>
      </w:tr>
      <w:tr w:rsidR="00735613" w:rsidTr="00735613">
        <w:trPr>
          <w:trHeight w:val="227"/>
        </w:trPr>
        <w:tc>
          <w:tcPr>
            <w:tcW w:w="8276"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36"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$’000</w:t>
            </w:r>
          </w:p>
        </w:tc>
        <w:tc>
          <w:tcPr>
            <w:tcW w:w="1236"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$’000</w:t>
            </w:r>
          </w:p>
        </w:tc>
        <w:tc>
          <w:tcPr>
            <w:tcW w:w="1236"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$’000</w:t>
            </w:r>
          </w:p>
        </w:tc>
      </w:tr>
      <w:tr w:rsidR="00735613" w:rsidTr="00735613">
        <w:trPr>
          <w:trHeight w:val="227"/>
        </w:trPr>
        <w:tc>
          <w:tcPr>
            <w:tcW w:w="827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b/>
                <w:bCs/>
                <w:szCs w:val="18"/>
              </w:rPr>
            </w:pPr>
            <w:r>
              <w:rPr>
                <w:rFonts w:cs="Arial"/>
                <w:b/>
                <w:bCs/>
                <w:szCs w:val="18"/>
              </w:rPr>
              <w:t>As at 1 July 2014</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r>
      <w:tr w:rsidR="00735613" w:rsidTr="00735613">
        <w:trPr>
          <w:trHeight w:val="227"/>
        </w:trPr>
        <w:tc>
          <w:tcPr>
            <w:tcW w:w="827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Gross book value</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74,619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570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75,189</w:t>
            </w:r>
          </w:p>
        </w:tc>
      </w:tr>
      <w:tr w:rsidR="00735613" w:rsidTr="00735613">
        <w:trPr>
          <w:trHeight w:val="227"/>
        </w:trPr>
        <w:tc>
          <w:tcPr>
            <w:tcW w:w="827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Accumulated amortisation and impairment</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(11,580)</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(57)</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(11,637)</w:t>
            </w:r>
          </w:p>
        </w:tc>
      </w:tr>
      <w:tr w:rsidR="00735613" w:rsidTr="00735613">
        <w:trPr>
          <w:trHeight w:val="227"/>
        </w:trPr>
        <w:tc>
          <w:tcPr>
            <w:tcW w:w="8276"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rPr>
                <w:rFonts w:cs="Arial"/>
                <w:b/>
                <w:bCs/>
                <w:szCs w:val="18"/>
              </w:rPr>
            </w:pPr>
            <w:r>
              <w:rPr>
                <w:rFonts w:cs="Arial"/>
                <w:b/>
                <w:bCs/>
                <w:szCs w:val="18"/>
              </w:rPr>
              <w:t>Total as at 1 July 2014</w:t>
            </w:r>
          </w:p>
        </w:tc>
        <w:tc>
          <w:tcPr>
            <w:tcW w:w="1236"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63,039</w:t>
            </w:r>
          </w:p>
        </w:tc>
        <w:tc>
          <w:tcPr>
            <w:tcW w:w="1236"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513</w:t>
            </w:r>
          </w:p>
        </w:tc>
        <w:tc>
          <w:tcPr>
            <w:tcW w:w="1236"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63,552</w:t>
            </w:r>
          </w:p>
        </w:tc>
      </w:tr>
      <w:tr w:rsidR="00735613" w:rsidTr="00735613">
        <w:trPr>
          <w:trHeight w:val="227"/>
        </w:trPr>
        <w:tc>
          <w:tcPr>
            <w:tcW w:w="827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r>
      <w:tr w:rsidR="00735613" w:rsidTr="00735613">
        <w:trPr>
          <w:trHeight w:val="227"/>
        </w:trPr>
        <w:tc>
          <w:tcPr>
            <w:tcW w:w="827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Additions</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r>
      <w:tr w:rsidR="00735613" w:rsidTr="00735613">
        <w:trPr>
          <w:trHeight w:val="227"/>
        </w:trPr>
        <w:tc>
          <w:tcPr>
            <w:tcW w:w="8276" w:type="dxa"/>
            <w:tcBorders>
              <w:top w:val="nil"/>
              <w:left w:val="nil"/>
              <w:bottom w:val="nil"/>
              <w:right w:val="nil"/>
            </w:tcBorders>
            <w:shd w:val="clear" w:color="FFFFFF" w:fill="FFFFFF"/>
            <w:noWrap/>
            <w:vAlign w:val="bottom"/>
            <w:hideMark/>
          </w:tcPr>
          <w:p w:rsidR="00735613" w:rsidRDefault="00735613" w:rsidP="00735613">
            <w:pPr>
              <w:spacing w:line="240" w:lineRule="auto"/>
              <w:ind w:firstLineChars="100" w:firstLine="180"/>
              <w:rPr>
                <w:rFonts w:cs="Arial"/>
                <w:szCs w:val="18"/>
              </w:rPr>
            </w:pPr>
            <w:r>
              <w:rPr>
                <w:rFonts w:cs="Arial"/>
                <w:szCs w:val="18"/>
              </w:rPr>
              <w:t>By purchase</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18,548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18,548</w:t>
            </w:r>
          </w:p>
        </w:tc>
      </w:tr>
      <w:tr w:rsidR="00735613" w:rsidTr="00735613">
        <w:trPr>
          <w:trHeight w:val="227"/>
        </w:trPr>
        <w:tc>
          <w:tcPr>
            <w:tcW w:w="8276" w:type="dxa"/>
            <w:tcBorders>
              <w:top w:val="nil"/>
              <w:left w:val="nil"/>
              <w:bottom w:val="nil"/>
              <w:right w:val="nil"/>
            </w:tcBorders>
            <w:shd w:val="clear" w:color="FFFFFF" w:fill="FFFFFF"/>
            <w:noWrap/>
            <w:vAlign w:val="bottom"/>
            <w:hideMark/>
          </w:tcPr>
          <w:p w:rsidR="00735613" w:rsidRDefault="00735613" w:rsidP="00735613">
            <w:pPr>
              <w:spacing w:line="240" w:lineRule="auto"/>
              <w:ind w:firstLineChars="100" w:firstLine="180"/>
              <w:rPr>
                <w:rFonts w:cs="Arial"/>
                <w:szCs w:val="18"/>
              </w:rPr>
            </w:pPr>
            <w:r>
              <w:rPr>
                <w:rFonts w:cs="Arial"/>
                <w:szCs w:val="18"/>
              </w:rPr>
              <w:t>By restructure</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14,712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14,712</w:t>
            </w:r>
          </w:p>
        </w:tc>
      </w:tr>
      <w:tr w:rsidR="00735613" w:rsidTr="00735613">
        <w:trPr>
          <w:trHeight w:val="227"/>
        </w:trPr>
        <w:tc>
          <w:tcPr>
            <w:tcW w:w="8276" w:type="dxa"/>
            <w:tcBorders>
              <w:top w:val="nil"/>
              <w:left w:val="nil"/>
              <w:bottom w:val="nil"/>
              <w:right w:val="nil"/>
            </w:tcBorders>
            <w:shd w:val="clear" w:color="FFFFFF" w:fill="FFFFFF"/>
            <w:noWrap/>
            <w:vAlign w:val="bottom"/>
            <w:hideMark/>
          </w:tcPr>
          <w:p w:rsidR="00735613" w:rsidRDefault="00735613" w:rsidP="00735613">
            <w:pPr>
              <w:spacing w:line="240" w:lineRule="auto"/>
              <w:ind w:firstLineChars="100" w:firstLine="180"/>
              <w:rPr>
                <w:rFonts w:cs="Arial"/>
                <w:szCs w:val="18"/>
              </w:rPr>
            </w:pPr>
            <w:r>
              <w:rPr>
                <w:rFonts w:cs="Arial"/>
                <w:szCs w:val="18"/>
              </w:rPr>
              <w:t>First time recognition</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770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770</w:t>
            </w:r>
          </w:p>
        </w:tc>
      </w:tr>
      <w:tr w:rsidR="00735613" w:rsidTr="00735613">
        <w:trPr>
          <w:trHeight w:val="227"/>
        </w:trPr>
        <w:tc>
          <w:tcPr>
            <w:tcW w:w="827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Impairments recognised in the net cost of services</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(2,532)</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(2,532)</w:t>
            </w:r>
          </w:p>
        </w:tc>
      </w:tr>
      <w:tr w:rsidR="00735613" w:rsidTr="00735613">
        <w:trPr>
          <w:trHeight w:val="227"/>
        </w:trPr>
        <w:tc>
          <w:tcPr>
            <w:tcW w:w="827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Amortisation</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(15,791)</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(192)</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(15,983)</w:t>
            </w:r>
          </w:p>
        </w:tc>
      </w:tr>
      <w:tr w:rsidR="00735613" w:rsidTr="00735613">
        <w:trPr>
          <w:trHeight w:val="227"/>
        </w:trPr>
        <w:tc>
          <w:tcPr>
            <w:tcW w:w="827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Other movements</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(107)</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(107)</w:t>
            </w:r>
          </w:p>
        </w:tc>
      </w:tr>
      <w:tr w:rsidR="00735613" w:rsidTr="00735613">
        <w:trPr>
          <w:trHeight w:val="227"/>
        </w:trPr>
        <w:tc>
          <w:tcPr>
            <w:tcW w:w="827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Restructuring</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(8,557)</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(8,557)</w:t>
            </w:r>
          </w:p>
        </w:tc>
      </w:tr>
      <w:tr w:rsidR="00735613" w:rsidTr="00735613">
        <w:trPr>
          <w:trHeight w:val="227"/>
        </w:trPr>
        <w:tc>
          <w:tcPr>
            <w:tcW w:w="8276"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rPr>
                <w:rFonts w:cs="Arial"/>
                <w:b/>
                <w:bCs/>
                <w:szCs w:val="18"/>
              </w:rPr>
            </w:pPr>
            <w:r>
              <w:rPr>
                <w:rFonts w:cs="Arial"/>
                <w:b/>
                <w:bCs/>
                <w:szCs w:val="18"/>
              </w:rPr>
              <w:t>Total as at 30 June 2015</w:t>
            </w:r>
          </w:p>
        </w:tc>
        <w:tc>
          <w:tcPr>
            <w:tcW w:w="1236"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70,082</w:t>
            </w:r>
          </w:p>
        </w:tc>
        <w:tc>
          <w:tcPr>
            <w:tcW w:w="1236"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321</w:t>
            </w:r>
          </w:p>
        </w:tc>
        <w:tc>
          <w:tcPr>
            <w:tcW w:w="1236"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70,403</w:t>
            </w:r>
          </w:p>
        </w:tc>
      </w:tr>
      <w:tr w:rsidR="00735613" w:rsidTr="00735613">
        <w:trPr>
          <w:trHeight w:val="227"/>
        </w:trPr>
        <w:tc>
          <w:tcPr>
            <w:tcW w:w="827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w:t>
            </w:r>
          </w:p>
        </w:tc>
      </w:tr>
      <w:tr w:rsidR="00735613" w:rsidTr="00735613">
        <w:trPr>
          <w:trHeight w:val="227"/>
        </w:trPr>
        <w:tc>
          <w:tcPr>
            <w:tcW w:w="827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b/>
                <w:bCs/>
                <w:szCs w:val="18"/>
              </w:rPr>
            </w:pPr>
            <w:r>
              <w:rPr>
                <w:rFonts w:cs="Arial"/>
                <w:b/>
                <w:bCs/>
                <w:szCs w:val="18"/>
              </w:rPr>
              <w:t>Total as at 30 June 2015 represented by</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w:t>
            </w:r>
          </w:p>
        </w:tc>
      </w:tr>
      <w:tr w:rsidR="00735613" w:rsidTr="00735613">
        <w:trPr>
          <w:trHeight w:val="227"/>
        </w:trPr>
        <w:tc>
          <w:tcPr>
            <w:tcW w:w="827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Gross book value</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93,784</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570</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94,354</w:t>
            </w:r>
          </w:p>
        </w:tc>
      </w:tr>
      <w:tr w:rsidR="00735613" w:rsidTr="00735613">
        <w:trPr>
          <w:trHeight w:val="227"/>
        </w:trPr>
        <w:tc>
          <w:tcPr>
            <w:tcW w:w="827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Accumulated amortisation and impairment</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(23,702)</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(249)</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(23,951)</w:t>
            </w:r>
          </w:p>
        </w:tc>
      </w:tr>
      <w:tr w:rsidR="00735613" w:rsidTr="00735613">
        <w:trPr>
          <w:trHeight w:val="227"/>
        </w:trPr>
        <w:tc>
          <w:tcPr>
            <w:tcW w:w="8276"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rPr>
                <w:rFonts w:cs="Arial"/>
                <w:b/>
                <w:bCs/>
                <w:szCs w:val="18"/>
              </w:rPr>
            </w:pPr>
            <w:r>
              <w:rPr>
                <w:rFonts w:cs="Arial"/>
                <w:b/>
                <w:bCs/>
                <w:szCs w:val="18"/>
              </w:rPr>
              <w:t>Total as at 30 June 2015</w:t>
            </w:r>
          </w:p>
        </w:tc>
        <w:tc>
          <w:tcPr>
            <w:tcW w:w="1236"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70,082</w:t>
            </w:r>
          </w:p>
        </w:tc>
        <w:tc>
          <w:tcPr>
            <w:tcW w:w="1236"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321</w:t>
            </w:r>
          </w:p>
        </w:tc>
        <w:tc>
          <w:tcPr>
            <w:tcW w:w="1236"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70,403</w:t>
            </w:r>
          </w:p>
        </w:tc>
      </w:tr>
    </w:tbl>
    <w:p w:rsidR="00735613" w:rsidRDefault="00735613">
      <w:bookmarkStart w:id="217" w:name="RANGE!E7:H54"/>
      <w:bookmarkStart w:id="218" w:name="RANGE!E7:H50"/>
      <w:bookmarkStart w:id="219" w:name="RANGE!E7:H48"/>
      <w:bookmarkStart w:id="220" w:name="RANGE!E7:H47"/>
      <w:bookmarkStart w:id="221" w:name="RANGE!E7:H46"/>
      <w:bookmarkStart w:id="222" w:name="RANGE!E7:H43"/>
      <w:bookmarkStart w:id="223" w:name="RANGE!E6:H41"/>
      <w:bookmarkStart w:id="224" w:name="RANGE!E6:H47"/>
      <w:bookmarkStart w:id="225" w:name="RANGE!E6:H46"/>
      <w:bookmarkStart w:id="226" w:name="RANGE!E6:J46"/>
      <w:bookmarkStart w:id="227" w:name="RANGE!E6:E47"/>
      <w:bookmarkStart w:id="228" w:name="RANGE!E6:J47"/>
      <w:bookmarkEnd w:id="217"/>
      <w:bookmarkEnd w:id="218"/>
      <w:bookmarkEnd w:id="219"/>
      <w:bookmarkEnd w:id="220"/>
      <w:bookmarkEnd w:id="221"/>
      <w:bookmarkEnd w:id="222"/>
      <w:bookmarkEnd w:id="223"/>
      <w:bookmarkEnd w:id="224"/>
      <w:bookmarkEnd w:id="225"/>
      <w:bookmarkEnd w:id="226"/>
      <w:bookmarkEnd w:id="227"/>
      <w:bookmarkEnd w:id="228"/>
    </w:p>
    <w:p w:rsidR="00735613" w:rsidRDefault="00735613">
      <w:pPr>
        <w:spacing w:line="240" w:lineRule="auto"/>
      </w:pPr>
    </w:p>
    <w:p w:rsidR="00735613" w:rsidRDefault="00735613">
      <w:pPr>
        <w:spacing w:line="240" w:lineRule="auto"/>
      </w:pPr>
    </w:p>
    <w:p w:rsidR="00735613" w:rsidRDefault="00735613">
      <w:pPr>
        <w:spacing w:line="240" w:lineRule="auto"/>
      </w:pPr>
    </w:p>
    <w:p w:rsidR="00735613" w:rsidRDefault="00735613">
      <w:pPr>
        <w:spacing w:line="240" w:lineRule="auto"/>
      </w:pPr>
    </w:p>
    <w:p w:rsidR="00735613" w:rsidRDefault="00735613">
      <w:pPr>
        <w:spacing w:line="240" w:lineRule="auto"/>
      </w:pPr>
      <w:bookmarkStart w:id="229" w:name="RANGE!E55:H77"/>
      <w:bookmarkStart w:id="230" w:name="RANGE!E52:H74"/>
      <w:bookmarkStart w:id="231" w:name="RANGE!E50:H68"/>
      <w:bookmarkStart w:id="232" w:name="RANGE!E56:H74"/>
      <w:bookmarkStart w:id="233" w:name="RANGE!E55:H73"/>
      <w:bookmarkStart w:id="234" w:name="RANGE!E55:J79"/>
      <w:bookmarkStart w:id="235" w:name="RANGE!E56:J80"/>
      <w:bookmarkStart w:id="236" w:name="RANGE!E63:H89"/>
      <w:bookmarkEnd w:id="229"/>
      <w:bookmarkEnd w:id="230"/>
      <w:bookmarkEnd w:id="231"/>
      <w:bookmarkEnd w:id="232"/>
      <w:bookmarkEnd w:id="233"/>
      <w:bookmarkEnd w:id="234"/>
      <w:bookmarkEnd w:id="235"/>
      <w:bookmarkEnd w:id="236"/>
    </w:p>
    <w:p w:rsidR="00735613" w:rsidRDefault="00735613">
      <w:bookmarkStart w:id="237" w:name="RANGE!E63:E89"/>
      <w:r>
        <w:br w:type="page"/>
      </w:r>
    </w:p>
    <w:tbl>
      <w:tblPr>
        <w:tblW w:w="13991" w:type="dxa"/>
        <w:tblInd w:w="80" w:type="dxa"/>
        <w:tblLayout w:type="fixed"/>
        <w:tblCellMar>
          <w:left w:w="6" w:type="dxa"/>
          <w:right w:w="6" w:type="dxa"/>
        </w:tblCellMar>
        <w:tblLook w:val="04A0" w:firstRow="1" w:lastRow="0" w:firstColumn="1" w:lastColumn="0" w:noHBand="0" w:noVBand="1"/>
      </w:tblPr>
      <w:tblGrid>
        <w:gridCol w:w="9662"/>
        <w:gridCol w:w="1443"/>
        <w:gridCol w:w="1443"/>
        <w:gridCol w:w="1443"/>
      </w:tblGrid>
      <w:tr w:rsidR="00735613" w:rsidTr="00735613">
        <w:trPr>
          <w:trHeight w:val="227"/>
        </w:trPr>
        <w:tc>
          <w:tcPr>
            <w:tcW w:w="827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b/>
                <w:bCs/>
                <w:szCs w:val="18"/>
                <w:u w:val="single"/>
              </w:rPr>
            </w:pPr>
            <w:bookmarkStart w:id="238" w:name="Note_INRTABLE2" w:colFirst="0" w:colLast="0"/>
            <w:r>
              <w:rPr>
                <w:rFonts w:cs="Arial"/>
                <w:b/>
                <w:bCs/>
                <w:szCs w:val="18"/>
                <w:u w:val="single"/>
              </w:rPr>
              <w:t>Note 8E: Reconciliation of the opening and closing balances of intangibles (2013–14)</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r>
      <w:bookmarkEnd w:id="238"/>
      <w:tr w:rsidR="00735613" w:rsidTr="00735613">
        <w:trPr>
          <w:trHeight w:val="227"/>
        </w:trPr>
        <w:tc>
          <w:tcPr>
            <w:tcW w:w="827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r>
      <w:tr w:rsidR="00735613" w:rsidTr="00735613">
        <w:trPr>
          <w:trHeight w:val="227"/>
        </w:trPr>
        <w:tc>
          <w:tcPr>
            <w:tcW w:w="8276" w:type="dxa"/>
            <w:tcBorders>
              <w:top w:val="single" w:sz="4" w:space="0" w:color="auto"/>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36" w:type="dxa"/>
            <w:tcBorders>
              <w:top w:val="single" w:sz="4" w:space="0" w:color="auto"/>
              <w:left w:val="nil"/>
              <w:bottom w:val="nil"/>
              <w:right w:val="nil"/>
            </w:tcBorders>
            <w:shd w:val="clear" w:color="FFFFFF" w:fill="FFFFFF"/>
            <w:vAlign w:val="bottom"/>
            <w:hideMark/>
          </w:tcPr>
          <w:p w:rsidR="00735613" w:rsidRDefault="00735613" w:rsidP="00735613">
            <w:pPr>
              <w:spacing w:line="240" w:lineRule="auto"/>
              <w:jc w:val="right"/>
              <w:rPr>
                <w:rFonts w:cs="Arial"/>
                <w:szCs w:val="18"/>
              </w:rPr>
            </w:pPr>
            <w:bookmarkStart w:id="239" w:name="RANGE!F65:H65"/>
            <w:r>
              <w:rPr>
                <w:rFonts w:cs="Arial"/>
                <w:szCs w:val="18"/>
              </w:rPr>
              <w:t>Computer software internally developed</w:t>
            </w:r>
            <w:bookmarkEnd w:id="239"/>
          </w:p>
        </w:tc>
        <w:tc>
          <w:tcPr>
            <w:tcW w:w="1236" w:type="dxa"/>
            <w:tcBorders>
              <w:top w:val="single" w:sz="4" w:space="0" w:color="auto"/>
              <w:left w:val="nil"/>
              <w:bottom w:val="nil"/>
              <w:right w:val="nil"/>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Computer  software purchased</w:t>
            </w:r>
          </w:p>
        </w:tc>
        <w:tc>
          <w:tcPr>
            <w:tcW w:w="1236" w:type="dxa"/>
            <w:tcBorders>
              <w:top w:val="single" w:sz="4" w:space="0" w:color="auto"/>
              <w:left w:val="nil"/>
              <w:bottom w:val="nil"/>
              <w:right w:val="nil"/>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Total</w:t>
            </w:r>
          </w:p>
        </w:tc>
      </w:tr>
      <w:tr w:rsidR="00735613" w:rsidTr="00735613">
        <w:trPr>
          <w:trHeight w:val="227"/>
        </w:trPr>
        <w:tc>
          <w:tcPr>
            <w:tcW w:w="8276" w:type="dxa"/>
            <w:tcBorders>
              <w:top w:val="nil"/>
              <w:left w:val="nil"/>
              <w:bottom w:val="single" w:sz="4" w:space="0" w:color="auto"/>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36"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$’000</w:t>
            </w:r>
          </w:p>
        </w:tc>
        <w:tc>
          <w:tcPr>
            <w:tcW w:w="1236"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$’000</w:t>
            </w:r>
          </w:p>
        </w:tc>
        <w:tc>
          <w:tcPr>
            <w:tcW w:w="1236" w:type="dxa"/>
            <w:tcBorders>
              <w:top w:val="nil"/>
              <w:left w:val="nil"/>
              <w:bottom w:val="single" w:sz="4" w:space="0" w:color="auto"/>
              <w:right w:val="nil"/>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$’000</w:t>
            </w:r>
          </w:p>
        </w:tc>
      </w:tr>
      <w:tr w:rsidR="00735613" w:rsidTr="00735613">
        <w:trPr>
          <w:trHeight w:val="227"/>
        </w:trPr>
        <w:tc>
          <w:tcPr>
            <w:tcW w:w="827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b/>
                <w:bCs/>
                <w:szCs w:val="18"/>
              </w:rPr>
            </w:pPr>
            <w:r>
              <w:rPr>
                <w:rFonts w:cs="Arial"/>
                <w:b/>
                <w:bCs/>
                <w:szCs w:val="18"/>
              </w:rPr>
              <w:t>As at 19 September 2013</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r>
      <w:tr w:rsidR="00735613" w:rsidTr="00735613">
        <w:trPr>
          <w:trHeight w:val="227"/>
        </w:trPr>
        <w:tc>
          <w:tcPr>
            <w:tcW w:w="827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Gross book value</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227"/>
        </w:trPr>
        <w:tc>
          <w:tcPr>
            <w:tcW w:w="827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Accumulated amortisation and impairment</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227"/>
        </w:trPr>
        <w:tc>
          <w:tcPr>
            <w:tcW w:w="8276"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rPr>
                <w:rFonts w:cs="Arial"/>
                <w:b/>
                <w:bCs/>
                <w:szCs w:val="18"/>
              </w:rPr>
            </w:pPr>
            <w:r>
              <w:rPr>
                <w:rFonts w:cs="Arial"/>
                <w:b/>
                <w:bCs/>
                <w:szCs w:val="18"/>
              </w:rPr>
              <w:t>Total as at 19 September 2013</w:t>
            </w:r>
          </w:p>
        </w:tc>
        <w:tc>
          <w:tcPr>
            <w:tcW w:w="1236"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w:t>
            </w:r>
          </w:p>
        </w:tc>
        <w:tc>
          <w:tcPr>
            <w:tcW w:w="1236"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w:t>
            </w:r>
          </w:p>
        </w:tc>
        <w:tc>
          <w:tcPr>
            <w:tcW w:w="1236"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w:t>
            </w:r>
          </w:p>
        </w:tc>
      </w:tr>
      <w:tr w:rsidR="00735613" w:rsidTr="00735613">
        <w:trPr>
          <w:trHeight w:val="227"/>
        </w:trPr>
        <w:tc>
          <w:tcPr>
            <w:tcW w:w="827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r>
      <w:tr w:rsidR="00735613" w:rsidTr="00735613">
        <w:trPr>
          <w:trHeight w:val="227"/>
        </w:trPr>
        <w:tc>
          <w:tcPr>
            <w:tcW w:w="827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Additions:</w:t>
            </w:r>
          </w:p>
        </w:tc>
        <w:tc>
          <w:tcPr>
            <w:tcW w:w="123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 </w:t>
            </w:r>
          </w:p>
        </w:tc>
        <w:tc>
          <w:tcPr>
            <w:tcW w:w="123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 </w:t>
            </w:r>
          </w:p>
        </w:tc>
        <w:tc>
          <w:tcPr>
            <w:tcW w:w="123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 </w:t>
            </w:r>
          </w:p>
        </w:tc>
      </w:tr>
      <w:tr w:rsidR="00735613" w:rsidTr="00735613">
        <w:trPr>
          <w:trHeight w:val="227"/>
        </w:trPr>
        <w:tc>
          <w:tcPr>
            <w:tcW w:w="8276" w:type="dxa"/>
            <w:tcBorders>
              <w:top w:val="nil"/>
              <w:left w:val="nil"/>
              <w:bottom w:val="nil"/>
              <w:right w:val="nil"/>
            </w:tcBorders>
            <w:shd w:val="clear" w:color="FFFFFF" w:fill="FFFFFF"/>
            <w:noWrap/>
            <w:vAlign w:val="bottom"/>
            <w:hideMark/>
          </w:tcPr>
          <w:p w:rsidR="00735613" w:rsidRDefault="00735613" w:rsidP="00735613">
            <w:pPr>
              <w:spacing w:line="240" w:lineRule="auto"/>
              <w:ind w:firstLineChars="100" w:firstLine="180"/>
              <w:rPr>
                <w:rFonts w:cs="Arial"/>
                <w:szCs w:val="18"/>
              </w:rPr>
            </w:pPr>
            <w:r>
              <w:rPr>
                <w:rFonts w:cs="Arial"/>
                <w:szCs w:val="18"/>
              </w:rPr>
              <w:t>Purchased</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513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513 </w:t>
            </w:r>
          </w:p>
        </w:tc>
      </w:tr>
      <w:tr w:rsidR="00735613" w:rsidTr="00735613">
        <w:trPr>
          <w:trHeight w:val="227"/>
        </w:trPr>
        <w:tc>
          <w:tcPr>
            <w:tcW w:w="8276" w:type="dxa"/>
            <w:tcBorders>
              <w:top w:val="nil"/>
              <w:left w:val="nil"/>
              <w:bottom w:val="nil"/>
              <w:right w:val="nil"/>
            </w:tcBorders>
            <w:shd w:val="clear" w:color="FFFFFF" w:fill="FFFFFF"/>
            <w:noWrap/>
            <w:vAlign w:val="bottom"/>
            <w:hideMark/>
          </w:tcPr>
          <w:p w:rsidR="00735613" w:rsidRDefault="00735613" w:rsidP="00735613">
            <w:pPr>
              <w:spacing w:line="240" w:lineRule="auto"/>
              <w:ind w:firstLineChars="100" w:firstLine="180"/>
              <w:rPr>
                <w:rFonts w:cs="Arial"/>
                <w:szCs w:val="18"/>
              </w:rPr>
            </w:pPr>
            <w:r>
              <w:rPr>
                <w:rFonts w:cs="Arial"/>
                <w:szCs w:val="18"/>
              </w:rPr>
              <w:t>Internally developed</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17,169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17,169 </w:t>
            </w:r>
          </w:p>
        </w:tc>
      </w:tr>
      <w:tr w:rsidR="00735613" w:rsidTr="00735613">
        <w:trPr>
          <w:trHeight w:val="227"/>
        </w:trPr>
        <w:tc>
          <w:tcPr>
            <w:tcW w:w="8276" w:type="dxa"/>
            <w:tcBorders>
              <w:top w:val="nil"/>
              <w:left w:val="nil"/>
              <w:bottom w:val="nil"/>
              <w:right w:val="nil"/>
            </w:tcBorders>
            <w:shd w:val="clear" w:color="FFFFFF" w:fill="FFFFFF"/>
            <w:noWrap/>
            <w:vAlign w:val="bottom"/>
            <w:hideMark/>
          </w:tcPr>
          <w:p w:rsidR="00735613" w:rsidRDefault="00735613" w:rsidP="00735613">
            <w:pPr>
              <w:spacing w:line="240" w:lineRule="auto"/>
              <w:ind w:firstLineChars="100" w:firstLine="180"/>
              <w:rPr>
                <w:rFonts w:cs="Arial"/>
                <w:szCs w:val="18"/>
              </w:rPr>
            </w:pPr>
            <w:r>
              <w:rPr>
                <w:rFonts w:cs="Arial"/>
                <w:szCs w:val="18"/>
              </w:rPr>
              <w:t>By restructure</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57,794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123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57,917 </w:t>
            </w:r>
          </w:p>
        </w:tc>
      </w:tr>
      <w:tr w:rsidR="00735613" w:rsidTr="00735613">
        <w:trPr>
          <w:trHeight w:val="227"/>
        </w:trPr>
        <w:tc>
          <w:tcPr>
            <w:tcW w:w="827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Reclassification</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(26)</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(26)</w:t>
            </w:r>
          </w:p>
        </w:tc>
      </w:tr>
      <w:tr w:rsidR="00735613" w:rsidTr="00735613">
        <w:trPr>
          <w:trHeight w:val="227"/>
        </w:trPr>
        <w:tc>
          <w:tcPr>
            <w:tcW w:w="827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Amortisation</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(11,728)</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(64)</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(11,792)</w:t>
            </w:r>
          </w:p>
        </w:tc>
      </w:tr>
      <w:tr w:rsidR="00735613" w:rsidTr="00735613">
        <w:trPr>
          <w:trHeight w:val="227"/>
        </w:trPr>
        <w:tc>
          <w:tcPr>
            <w:tcW w:w="827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Disposals:</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r>
      <w:tr w:rsidR="00735613" w:rsidTr="00735613">
        <w:trPr>
          <w:trHeight w:val="227"/>
        </w:trPr>
        <w:tc>
          <w:tcPr>
            <w:tcW w:w="8276" w:type="dxa"/>
            <w:tcBorders>
              <w:top w:val="nil"/>
              <w:left w:val="nil"/>
              <w:bottom w:val="nil"/>
              <w:right w:val="nil"/>
            </w:tcBorders>
            <w:shd w:val="clear" w:color="FFFFFF" w:fill="FFFFFF"/>
            <w:noWrap/>
            <w:vAlign w:val="bottom"/>
            <w:hideMark/>
          </w:tcPr>
          <w:p w:rsidR="00735613" w:rsidRDefault="00735613" w:rsidP="00735613">
            <w:pPr>
              <w:spacing w:line="240" w:lineRule="auto"/>
              <w:ind w:firstLineChars="100" w:firstLine="180"/>
              <w:rPr>
                <w:rFonts w:cs="Arial"/>
                <w:szCs w:val="18"/>
              </w:rPr>
            </w:pPr>
            <w:r>
              <w:rPr>
                <w:rFonts w:cs="Arial"/>
                <w:szCs w:val="18"/>
              </w:rPr>
              <w:t>From disposal of entities or operations (including restructuring)</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(196)</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(196)</w:t>
            </w:r>
          </w:p>
        </w:tc>
      </w:tr>
      <w:tr w:rsidR="00735613" w:rsidTr="00735613">
        <w:trPr>
          <w:trHeight w:val="227"/>
        </w:trPr>
        <w:tc>
          <w:tcPr>
            <w:tcW w:w="8276" w:type="dxa"/>
            <w:tcBorders>
              <w:top w:val="nil"/>
              <w:left w:val="nil"/>
              <w:bottom w:val="nil"/>
              <w:right w:val="nil"/>
            </w:tcBorders>
            <w:shd w:val="clear" w:color="FFFFFF" w:fill="FFFFFF"/>
            <w:noWrap/>
            <w:vAlign w:val="bottom"/>
            <w:hideMark/>
          </w:tcPr>
          <w:p w:rsidR="00735613" w:rsidRDefault="00735613" w:rsidP="00735613">
            <w:pPr>
              <w:spacing w:line="240" w:lineRule="auto"/>
              <w:ind w:firstLineChars="100" w:firstLine="180"/>
              <w:rPr>
                <w:rFonts w:cs="Arial"/>
                <w:szCs w:val="18"/>
              </w:rPr>
            </w:pPr>
            <w:r>
              <w:rPr>
                <w:rFonts w:cs="Arial"/>
                <w:szCs w:val="18"/>
              </w:rPr>
              <w:t>Write-offs</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(33)</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(33)</w:t>
            </w:r>
          </w:p>
        </w:tc>
      </w:tr>
      <w:tr w:rsidR="00735613" w:rsidTr="00735613">
        <w:trPr>
          <w:trHeight w:val="227"/>
        </w:trPr>
        <w:tc>
          <w:tcPr>
            <w:tcW w:w="8276"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rPr>
                <w:rFonts w:cs="Arial"/>
                <w:b/>
                <w:bCs/>
                <w:szCs w:val="18"/>
              </w:rPr>
            </w:pPr>
            <w:r>
              <w:rPr>
                <w:rFonts w:cs="Arial"/>
                <w:b/>
                <w:bCs/>
                <w:szCs w:val="18"/>
              </w:rPr>
              <w:t>Total as at 30 June 2014</w:t>
            </w:r>
          </w:p>
        </w:tc>
        <w:tc>
          <w:tcPr>
            <w:tcW w:w="1236"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63,039</w:t>
            </w:r>
          </w:p>
        </w:tc>
        <w:tc>
          <w:tcPr>
            <w:tcW w:w="1236"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513</w:t>
            </w:r>
          </w:p>
        </w:tc>
        <w:tc>
          <w:tcPr>
            <w:tcW w:w="1236"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63,552</w:t>
            </w:r>
          </w:p>
        </w:tc>
      </w:tr>
      <w:tr w:rsidR="00735613" w:rsidTr="00735613">
        <w:trPr>
          <w:trHeight w:val="227"/>
        </w:trPr>
        <w:tc>
          <w:tcPr>
            <w:tcW w:w="827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r>
      <w:tr w:rsidR="00735613" w:rsidTr="00735613">
        <w:trPr>
          <w:trHeight w:val="227"/>
        </w:trPr>
        <w:tc>
          <w:tcPr>
            <w:tcW w:w="827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b/>
                <w:bCs/>
                <w:szCs w:val="18"/>
              </w:rPr>
            </w:pPr>
            <w:r>
              <w:rPr>
                <w:rFonts w:cs="Arial"/>
                <w:b/>
                <w:bCs/>
                <w:szCs w:val="18"/>
              </w:rPr>
              <w:t>Total as at 30 June 2014 represented by</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rPr>
                <w:rFonts w:ascii="Arial" w:hAnsi="Arial" w:cs="Arial"/>
                <w:szCs w:val="18"/>
              </w:rPr>
            </w:pPr>
            <w:r>
              <w:rPr>
                <w:rFonts w:ascii="Arial" w:hAnsi="Arial" w:cs="Arial"/>
                <w:szCs w:val="18"/>
              </w:rPr>
              <w:t> </w:t>
            </w:r>
          </w:p>
        </w:tc>
      </w:tr>
      <w:tr w:rsidR="00735613" w:rsidTr="00735613">
        <w:trPr>
          <w:trHeight w:val="227"/>
        </w:trPr>
        <w:tc>
          <w:tcPr>
            <w:tcW w:w="827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Gross book value</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74,619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570 </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75,189 </w:t>
            </w:r>
          </w:p>
        </w:tc>
      </w:tr>
      <w:tr w:rsidR="00735613" w:rsidTr="00735613">
        <w:trPr>
          <w:trHeight w:val="227"/>
        </w:trPr>
        <w:tc>
          <w:tcPr>
            <w:tcW w:w="8276" w:type="dxa"/>
            <w:tcBorders>
              <w:top w:val="nil"/>
              <w:left w:val="nil"/>
              <w:bottom w:val="nil"/>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Accumulated amortisation and impairment</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(11,580)</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(57)</w:t>
            </w:r>
          </w:p>
        </w:tc>
        <w:tc>
          <w:tcPr>
            <w:tcW w:w="1236" w:type="dxa"/>
            <w:tcBorders>
              <w:top w:val="nil"/>
              <w:left w:val="nil"/>
              <w:bottom w:val="nil"/>
              <w:right w:val="nil"/>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(11,637)</w:t>
            </w:r>
          </w:p>
        </w:tc>
      </w:tr>
      <w:tr w:rsidR="00735613" w:rsidTr="00735613">
        <w:trPr>
          <w:trHeight w:val="227"/>
        </w:trPr>
        <w:tc>
          <w:tcPr>
            <w:tcW w:w="8276"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rPr>
                <w:rFonts w:cs="Arial"/>
                <w:b/>
                <w:bCs/>
                <w:szCs w:val="18"/>
              </w:rPr>
            </w:pPr>
            <w:r>
              <w:rPr>
                <w:rFonts w:cs="Arial"/>
                <w:b/>
                <w:bCs/>
                <w:szCs w:val="18"/>
              </w:rPr>
              <w:t>Total as at 30 June 2014</w:t>
            </w:r>
          </w:p>
        </w:tc>
        <w:tc>
          <w:tcPr>
            <w:tcW w:w="1236"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63,039</w:t>
            </w:r>
          </w:p>
        </w:tc>
        <w:tc>
          <w:tcPr>
            <w:tcW w:w="1236"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513</w:t>
            </w:r>
          </w:p>
        </w:tc>
        <w:tc>
          <w:tcPr>
            <w:tcW w:w="1236" w:type="dxa"/>
            <w:tcBorders>
              <w:top w:val="single" w:sz="4" w:space="0" w:color="auto"/>
              <w:left w:val="nil"/>
              <w:bottom w:val="double" w:sz="6" w:space="0" w:color="auto"/>
              <w:right w:val="nil"/>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63,552</w:t>
            </w:r>
          </w:p>
        </w:tc>
      </w:tr>
      <w:bookmarkEnd w:id="237"/>
    </w:tbl>
    <w:p w:rsidR="00735613" w:rsidRDefault="00735613">
      <w:pPr>
        <w:spacing w:line="240" w:lineRule="auto"/>
      </w:pPr>
    </w:p>
    <w:p w:rsidR="00735613" w:rsidRDefault="00735613">
      <w:pPr>
        <w:spacing w:line="240" w:lineRule="auto"/>
      </w:pPr>
    </w:p>
    <w:p w:rsidR="00735613" w:rsidRDefault="00735613" w:rsidP="00735613">
      <w:pPr>
        <w:spacing w:line="240" w:lineRule="auto"/>
      </w:pPr>
      <w:r>
        <w:t>In the 2013–14 financial year write-offs of $33,000 were carried out for purchased software.</w:t>
      </w:r>
    </w:p>
    <w:p w:rsidR="00735613" w:rsidRPr="00251468" w:rsidRDefault="00735613">
      <w:pPr>
        <w:spacing w:line="240" w:lineRule="auto"/>
        <w:sectPr w:rsidR="00735613" w:rsidRPr="00251468">
          <w:type w:val="continuous"/>
          <w:pgSz w:w="16838" w:h="11906" w:orient="landscape"/>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rPr>
            </w:pPr>
            <w:bookmarkStart w:id="240" w:name="Note_ONATABLE1" w:colFirst="0" w:colLast="0"/>
            <w:r>
              <w:rPr>
                <w:rFonts w:cs="Arial"/>
                <w:b/>
                <w:bCs/>
                <w:szCs w:val="18"/>
              </w:rPr>
              <w:t>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2014</w:t>
            </w:r>
          </w:p>
        </w:tc>
      </w:tr>
      <w:bookmarkEnd w:id="240"/>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r>
              <w:rPr>
                <w:rFonts w:cs="Arial"/>
                <w:b/>
                <w:bCs/>
                <w:szCs w:val="18"/>
                <w:u w:val="single"/>
              </w:rPr>
              <w:t>Note 8F: Other non-financial assets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Prepayments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10,728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8,599</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other non-financial assets</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10,728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8,599</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xml:space="preserve">Total other non-financial assets expected to be recovered </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No more than 12 months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9,104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6,901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More than 12 months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1,624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1,698 </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other non-financial assets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10,728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8,599</w:t>
            </w:r>
          </w:p>
        </w:tc>
      </w:tr>
    </w:tbl>
    <w:p w:rsidR="00735613" w:rsidRDefault="00735613">
      <w:pPr>
        <w:spacing w:line="240" w:lineRule="auto"/>
      </w:pPr>
    </w:p>
    <w:p w:rsidR="00735613" w:rsidRDefault="00735613" w:rsidP="00735613">
      <w:pPr>
        <w:spacing w:line="240" w:lineRule="auto"/>
      </w:pPr>
      <w:bookmarkStart w:id="241" w:name="_Toc419266949"/>
      <w:r>
        <w:t>No indicators of impairment were found for other non-financial assets.</w:t>
      </w:r>
      <w:bookmarkEnd w:id="241"/>
      <w:r>
        <w:br w:type="page"/>
      </w:r>
    </w:p>
    <w:p w:rsidR="00735613" w:rsidRDefault="00735613">
      <w:pPr>
        <w:spacing w:line="240" w:lineRule="auto"/>
      </w:pPr>
    </w:p>
    <w:p w:rsidR="00735613" w:rsidRDefault="00735613" w:rsidP="00735613">
      <w:pPr>
        <w:pStyle w:val="NotesHeading-Level1"/>
        <w:numPr>
          <w:ilvl w:val="0"/>
          <w:numId w:val="9"/>
        </w:numPr>
        <w:rPr>
          <w:rFonts w:cstheme="minorHAnsi"/>
        </w:rPr>
      </w:pPr>
      <w:bookmarkStart w:id="242" w:name="_Toc420422378"/>
      <w:r>
        <w:rPr>
          <w:rFonts w:cstheme="minorHAnsi"/>
        </w:rPr>
        <w:t>Payables</w:t>
      </w:r>
      <w:bookmarkEnd w:id="242"/>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bookmarkStart w:id="243" w:name="Note_SPATABLE1" w:colFirst="0" w:colLast="0"/>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2014</w:t>
            </w:r>
          </w:p>
        </w:tc>
      </w:tr>
      <w:bookmarkEnd w:id="243"/>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r>
              <w:rPr>
                <w:rFonts w:cs="Arial"/>
                <w:b/>
                <w:bCs/>
                <w:szCs w:val="18"/>
                <w:u w:val="single"/>
              </w:rPr>
              <w:t>Note 9A: Suppliers</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Trade creditors and accruals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18,042</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7,451</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Operating lease rentals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5,453</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7,149</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suppliers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23,495</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14,600</w:t>
            </w:r>
          </w:p>
        </w:tc>
      </w:tr>
      <w:tr w:rsidR="00735613" w:rsidTr="00735613">
        <w:trPr>
          <w:trHeight w:val="276"/>
        </w:trPr>
        <w:tc>
          <w:tcPr>
            <w:tcW w:w="628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Suppliers expected to be settled</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No more than 12 months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23,438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8,171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More than 12 months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57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6,429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 suppliers</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23,495</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14,600</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Suppliers in connection with</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Related parties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1,625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1,284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External parties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21,870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13,316 </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suppliers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23,495</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14,600</w:t>
            </w:r>
          </w:p>
        </w:tc>
      </w:tr>
    </w:tbl>
    <w:p w:rsidR="00735613" w:rsidRDefault="00735613">
      <w:bookmarkStart w:id="244" w:name="RANGE!D6:D24"/>
      <w:bookmarkStart w:id="245" w:name="RANGE!D6:G24"/>
      <w:bookmarkEnd w:id="244"/>
      <w:bookmarkEnd w:id="245"/>
    </w:p>
    <w:p w:rsidR="00735613" w:rsidRDefault="00735613" w:rsidP="00735613">
      <w:bookmarkStart w:id="246" w:name="_Toc419266951"/>
      <w:r>
        <w:t>Settlement was usually made within 30 days.</w:t>
      </w:r>
      <w:bookmarkEnd w:id="246"/>
    </w:p>
    <w:p w:rsidR="00735613" w:rsidRDefault="00735613"/>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247" w:name="Note_OPBTABLE1" w:colFirst="0" w:colLast="0"/>
            <w:r>
              <w:rPr>
                <w:rFonts w:cs="Arial"/>
                <w:b/>
                <w:bCs/>
                <w:szCs w:val="18"/>
                <w:u w:val="single"/>
              </w:rPr>
              <w:t>Note 9B: Other payables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bookmarkEnd w:id="247"/>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Wages and salaries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5,833</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5,908</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Superannuation</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922</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1,024</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Separations and redundancies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2,246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8,477</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Other employee benefits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111</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946</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Lease incentives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13,994</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16,249</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Unearned income</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5,189</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1,821</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Payable to the Official Public Account</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668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other payables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28,963</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34,426</w:t>
            </w:r>
          </w:p>
        </w:tc>
      </w:tr>
      <w:tr w:rsidR="00735613" w:rsidTr="00735613">
        <w:trPr>
          <w:trHeight w:val="276"/>
        </w:trPr>
        <w:tc>
          <w:tcPr>
            <w:tcW w:w="628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Other payables expected to be settled</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No more than 12 months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17,434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20,042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More than 12 months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11,529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14,384 </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other payables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28,963</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34,426</w:t>
            </w:r>
          </w:p>
        </w:tc>
      </w:tr>
    </w:tbl>
    <w:p w:rsidR="00735613" w:rsidRDefault="00735613">
      <w:r>
        <w:br w:type="page"/>
      </w:r>
      <w:bookmarkStart w:id="248" w:name="RANGE!D7:G23"/>
      <w:bookmarkEnd w:id="248"/>
    </w:p>
    <w:p w:rsidR="00735613" w:rsidRDefault="00735613" w:rsidP="00735613">
      <w:pPr>
        <w:pStyle w:val="NotesHeading-Level1"/>
        <w:numPr>
          <w:ilvl w:val="0"/>
          <w:numId w:val="9"/>
        </w:numPr>
        <w:rPr>
          <w:rFonts w:cstheme="minorHAnsi"/>
        </w:rPr>
      </w:pPr>
      <w:bookmarkStart w:id="249" w:name="RANGE!D6:H21"/>
      <w:bookmarkStart w:id="250" w:name="RANGE!D6:D22"/>
      <w:bookmarkStart w:id="251" w:name="RANGE!D6:H22"/>
      <w:bookmarkStart w:id="252" w:name="RANGE!D6:D21"/>
      <w:bookmarkStart w:id="253" w:name="RANGE!D6:G21"/>
      <w:bookmarkStart w:id="254" w:name="RANGE!D6:H20"/>
      <w:bookmarkStart w:id="255" w:name="RANGE!D6:H16"/>
      <w:bookmarkStart w:id="256" w:name="_Toc420422379"/>
      <w:bookmarkEnd w:id="249"/>
      <w:bookmarkEnd w:id="250"/>
      <w:bookmarkEnd w:id="251"/>
      <w:bookmarkEnd w:id="252"/>
      <w:bookmarkEnd w:id="253"/>
      <w:bookmarkEnd w:id="254"/>
      <w:bookmarkEnd w:id="255"/>
      <w:r>
        <w:rPr>
          <w:rFonts w:cstheme="minorHAnsi"/>
        </w:rPr>
        <w:t>Provisions</w:t>
      </w:r>
      <w:bookmarkEnd w:id="256"/>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bookmarkStart w:id="257" w:name="Note_PROTABLE1" w:colFirst="0" w:colLast="0"/>
            <w:r>
              <w:rPr>
                <w:rFonts w:cs="Arial"/>
                <w:szCs w:val="18"/>
              </w:rPr>
              <w:t> </w:t>
            </w:r>
          </w:p>
        </w:tc>
        <w:tc>
          <w:tcPr>
            <w:tcW w:w="1235"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2014</w:t>
            </w:r>
          </w:p>
        </w:tc>
      </w:tr>
      <w:bookmarkEnd w:id="257"/>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r>
              <w:rPr>
                <w:rFonts w:cs="Arial"/>
                <w:b/>
                <w:bCs/>
                <w:szCs w:val="18"/>
                <w:u w:val="single"/>
              </w:rPr>
              <w:t>Note 10A: Employee provisions</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Leave</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54,778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61,052</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employee provisions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54,778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61,052</w:t>
            </w:r>
          </w:p>
        </w:tc>
      </w:tr>
      <w:tr w:rsidR="00735613" w:rsidTr="00735613">
        <w:trPr>
          <w:trHeight w:val="276"/>
        </w:trPr>
        <w:tc>
          <w:tcPr>
            <w:tcW w:w="6286" w:type="dxa"/>
            <w:tcBorders>
              <w:top w:val="nil"/>
              <w:left w:val="nil"/>
              <w:bottom w:val="nil"/>
              <w:right w:val="nil"/>
            </w:tcBorders>
            <w:shd w:val="clear" w:color="FFFFFF" w:fill="FFFFFF"/>
            <w:noWrap/>
            <w:vAlign w:val="bottom"/>
            <w:hideMark/>
          </w:tcPr>
          <w:p w:rsidR="00735613" w:rsidRDefault="00735613">
            <w:pPr>
              <w:rPr>
                <w:rFonts w:ascii="Arial" w:hAnsi="Arial" w:cs="Arial"/>
                <w:color w:val="FF0000"/>
                <w:szCs w:val="18"/>
              </w:rPr>
            </w:pPr>
            <w:r>
              <w:rPr>
                <w:rFonts w:ascii="Arial" w:hAnsi="Arial" w:cs="Arial"/>
                <w:color w:val="FF0000"/>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Employee provisions expected to be settled</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No more than 12 months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18,989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21,286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More than 12 months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35,789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39,766 </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employee provisions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54,778</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61,052</w:t>
            </w:r>
          </w:p>
        </w:tc>
      </w:tr>
    </w:tbl>
    <w:p w:rsidR="00735613" w:rsidRDefault="00735613">
      <w:pPr>
        <w:spacing w:line="240" w:lineRule="auto"/>
      </w:pPr>
      <w:bookmarkStart w:id="258" w:name="RANGE!D6:D18"/>
      <w:bookmarkStart w:id="259" w:name="RANGE!D6:G18"/>
      <w:bookmarkEnd w:id="258"/>
      <w:bookmarkEnd w:id="259"/>
    </w:p>
    <w:tbl>
      <w:tblPr>
        <w:tblW w:w="9087" w:type="dxa"/>
        <w:tblInd w:w="80" w:type="dxa"/>
        <w:tblLayout w:type="fixed"/>
        <w:tblLook w:val="04A0" w:firstRow="1" w:lastRow="0" w:firstColumn="1" w:lastColumn="0" w:noHBand="0" w:noVBand="1"/>
      </w:tblPr>
      <w:tblGrid>
        <w:gridCol w:w="6466"/>
        <w:gridCol w:w="1125"/>
        <w:gridCol w:w="239"/>
        <w:gridCol w:w="1257"/>
      </w:tblGrid>
      <w:tr w:rsidR="00735613" w:rsidTr="00735613">
        <w:trPr>
          <w:trHeight w:val="264"/>
        </w:trPr>
        <w:tc>
          <w:tcPr>
            <w:tcW w:w="6392"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260" w:name="Note_OPRTABLE1" w:colFirst="0" w:colLast="0"/>
            <w:r>
              <w:rPr>
                <w:rFonts w:cs="Arial"/>
                <w:b/>
                <w:bCs/>
                <w:szCs w:val="18"/>
                <w:u w:val="single"/>
              </w:rPr>
              <w:t>Note 10B: Other provisions</w:t>
            </w:r>
          </w:p>
        </w:tc>
        <w:tc>
          <w:tcPr>
            <w:tcW w:w="1112"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bookmarkEnd w:id="260"/>
      <w:tr w:rsidR="00735613" w:rsidTr="00735613">
        <w:trPr>
          <w:trHeight w:val="264"/>
        </w:trPr>
        <w:tc>
          <w:tcPr>
            <w:tcW w:w="6392"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112"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392"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Provision for legal obligations</w:t>
            </w:r>
          </w:p>
        </w:tc>
        <w:tc>
          <w:tcPr>
            <w:tcW w:w="111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620</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700</w:t>
            </w:r>
          </w:p>
        </w:tc>
      </w:tr>
      <w:tr w:rsidR="00735613" w:rsidTr="00735613">
        <w:trPr>
          <w:trHeight w:val="264"/>
        </w:trPr>
        <w:tc>
          <w:tcPr>
            <w:tcW w:w="6392"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Provision for restoration obligations</w:t>
            </w:r>
          </w:p>
        </w:tc>
        <w:tc>
          <w:tcPr>
            <w:tcW w:w="111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320</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645</w:t>
            </w:r>
          </w:p>
        </w:tc>
      </w:tr>
      <w:tr w:rsidR="00735613" w:rsidTr="00735613">
        <w:trPr>
          <w:trHeight w:val="264"/>
        </w:trPr>
        <w:tc>
          <w:tcPr>
            <w:tcW w:w="6392"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Provision for surplus lease space</w:t>
            </w:r>
          </w:p>
        </w:tc>
        <w:tc>
          <w:tcPr>
            <w:tcW w:w="111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2,166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3,326</w:t>
            </w:r>
          </w:p>
        </w:tc>
      </w:tr>
      <w:tr w:rsidR="00735613" w:rsidTr="00735613">
        <w:trPr>
          <w:trHeight w:val="276"/>
        </w:trPr>
        <w:tc>
          <w:tcPr>
            <w:tcW w:w="6392"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other provisions</w:t>
            </w:r>
          </w:p>
        </w:tc>
        <w:tc>
          <w:tcPr>
            <w:tcW w:w="1112"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3,106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3"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4,671</w:t>
            </w:r>
          </w:p>
        </w:tc>
      </w:tr>
      <w:tr w:rsidR="00735613" w:rsidTr="00735613">
        <w:trPr>
          <w:trHeight w:val="276"/>
        </w:trPr>
        <w:tc>
          <w:tcPr>
            <w:tcW w:w="639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12"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392"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Other provisions expected to be settled</w:t>
            </w:r>
          </w:p>
        </w:tc>
        <w:tc>
          <w:tcPr>
            <w:tcW w:w="1112"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392"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No more than 12 months</w:t>
            </w:r>
          </w:p>
        </w:tc>
        <w:tc>
          <w:tcPr>
            <w:tcW w:w="111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2,591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1,836 </w:t>
            </w:r>
          </w:p>
        </w:tc>
      </w:tr>
      <w:tr w:rsidR="00735613" w:rsidTr="00735613">
        <w:trPr>
          <w:trHeight w:val="264"/>
        </w:trPr>
        <w:tc>
          <w:tcPr>
            <w:tcW w:w="6392"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More than 12 months</w:t>
            </w:r>
          </w:p>
        </w:tc>
        <w:tc>
          <w:tcPr>
            <w:tcW w:w="111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515 </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2,835 </w:t>
            </w:r>
          </w:p>
        </w:tc>
      </w:tr>
      <w:tr w:rsidR="00735613" w:rsidTr="00735613">
        <w:trPr>
          <w:trHeight w:val="276"/>
        </w:trPr>
        <w:tc>
          <w:tcPr>
            <w:tcW w:w="6392"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other provisions</w:t>
            </w:r>
          </w:p>
        </w:tc>
        <w:tc>
          <w:tcPr>
            <w:tcW w:w="1112"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3,106</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43"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4,671</w:t>
            </w:r>
          </w:p>
        </w:tc>
      </w:tr>
    </w:tbl>
    <w:p w:rsidR="00735613" w:rsidRDefault="00735613">
      <w:bookmarkStart w:id="261" w:name="RANGE!D7:F17"/>
      <w:bookmarkStart w:id="262" w:name="RANGE!D7:F16"/>
      <w:bookmarkEnd w:id="261"/>
      <w:bookmarkEnd w:id="262"/>
    </w:p>
    <w:p w:rsidR="00735613" w:rsidRDefault="00735613"/>
    <w:tbl>
      <w:tblPr>
        <w:tblW w:w="9087" w:type="dxa"/>
        <w:tblInd w:w="80" w:type="dxa"/>
        <w:tblLayout w:type="fixed"/>
        <w:tblLook w:val="04A0" w:firstRow="1" w:lastRow="0" w:firstColumn="1" w:lastColumn="0" w:noHBand="0" w:noVBand="1"/>
      </w:tblPr>
      <w:tblGrid>
        <w:gridCol w:w="4595"/>
        <w:gridCol w:w="1131"/>
        <w:gridCol w:w="1121"/>
        <w:gridCol w:w="1122"/>
        <w:gridCol w:w="1118"/>
      </w:tblGrid>
      <w:tr w:rsidR="00735613" w:rsidTr="00735613">
        <w:trPr>
          <w:trHeight w:val="720"/>
        </w:trPr>
        <w:tc>
          <w:tcPr>
            <w:tcW w:w="4548" w:type="dxa"/>
            <w:tcBorders>
              <w:top w:val="single" w:sz="4" w:space="0" w:color="auto"/>
              <w:left w:val="nil"/>
              <w:bottom w:val="nil"/>
              <w:right w:val="nil"/>
            </w:tcBorders>
            <w:shd w:val="clear" w:color="FFFFFF" w:fill="FFFFFF"/>
            <w:vAlign w:val="bottom"/>
            <w:hideMark/>
          </w:tcPr>
          <w:p w:rsidR="00735613" w:rsidRDefault="00735613">
            <w:pPr>
              <w:rPr>
                <w:rFonts w:ascii="Arial" w:hAnsi="Arial" w:cs="Arial"/>
                <w:szCs w:val="18"/>
              </w:rPr>
            </w:pPr>
            <w:bookmarkStart w:id="263" w:name="RANGE!D8:D18"/>
            <w:bookmarkStart w:id="264" w:name="Note_ROPTABLE1" w:colFirst="0" w:colLast="0"/>
            <w:r>
              <w:rPr>
                <w:rFonts w:ascii="Arial" w:hAnsi="Arial" w:cs="Arial"/>
                <w:szCs w:val="18"/>
              </w:rPr>
              <w:t> </w:t>
            </w:r>
            <w:bookmarkEnd w:id="263"/>
          </w:p>
        </w:tc>
        <w:tc>
          <w:tcPr>
            <w:tcW w:w="1120" w:type="dxa"/>
            <w:tcBorders>
              <w:top w:val="single" w:sz="4" w:space="0" w:color="auto"/>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Provision for legal obligations</w:t>
            </w:r>
          </w:p>
        </w:tc>
        <w:tc>
          <w:tcPr>
            <w:tcW w:w="1110" w:type="dxa"/>
            <w:tcBorders>
              <w:top w:val="single" w:sz="4" w:space="0" w:color="auto"/>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Provision for restoration obligations</w:t>
            </w:r>
          </w:p>
        </w:tc>
        <w:tc>
          <w:tcPr>
            <w:tcW w:w="1111" w:type="dxa"/>
            <w:tcBorders>
              <w:top w:val="single" w:sz="4" w:space="0" w:color="auto"/>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Provision for surplus lease space</w:t>
            </w:r>
          </w:p>
        </w:tc>
        <w:tc>
          <w:tcPr>
            <w:tcW w:w="1107" w:type="dxa"/>
            <w:tcBorders>
              <w:top w:val="single" w:sz="4" w:space="0" w:color="auto"/>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Total</w:t>
            </w:r>
          </w:p>
        </w:tc>
      </w:tr>
      <w:bookmarkEnd w:id="264"/>
      <w:tr w:rsidR="00735613" w:rsidTr="00735613">
        <w:trPr>
          <w:trHeight w:val="264"/>
        </w:trPr>
        <w:tc>
          <w:tcPr>
            <w:tcW w:w="4548" w:type="dxa"/>
            <w:tcBorders>
              <w:top w:val="nil"/>
              <w:left w:val="nil"/>
              <w:bottom w:val="single" w:sz="4" w:space="0" w:color="auto"/>
              <w:right w:val="nil"/>
            </w:tcBorders>
            <w:shd w:val="clear" w:color="FFFFFF" w:fill="FFFFFF"/>
            <w:vAlign w:val="bottom"/>
            <w:hideMark/>
          </w:tcPr>
          <w:p w:rsidR="00735613" w:rsidRDefault="00735613">
            <w:pPr>
              <w:rPr>
                <w:rFonts w:ascii="Arial" w:hAnsi="Arial" w:cs="Arial"/>
                <w:szCs w:val="18"/>
              </w:rPr>
            </w:pPr>
            <w:r>
              <w:rPr>
                <w:rFonts w:ascii="Arial" w:hAnsi="Arial" w:cs="Arial"/>
                <w:szCs w:val="18"/>
              </w:rPr>
              <w:t> </w:t>
            </w:r>
          </w:p>
        </w:tc>
        <w:tc>
          <w:tcPr>
            <w:tcW w:w="1120"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110"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111"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107"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r>
      <w:tr w:rsidR="00735613" w:rsidTr="00735613">
        <w:trPr>
          <w:trHeight w:val="264"/>
        </w:trPr>
        <w:tc>
          <w:tcPr>
            <w:tcW w:w="4548"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As at 1 July 2014</w:t>
            </w:r>
          </w:p>
        </w:tc>
        <w:tc>
          <w:tcPr>
            <w:tcW w:w="112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700 </w:t>
            </w:r>
          </w:p>
        </w:tc>
        <w:tc>
          <w:tcPr>
            <w:tcW w:w="111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645 </w:t>
            </w:r>
          </w:p>
        </w:tc>
        <w:tc>
          <w:tcPr>
            <w:tcW w:w="1111"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3,326 </w:t>
            </w:r>
          </w:p>
        </w:tc>
        <w:tc>
          <w:tcPr>
            <w:tcW w:w="110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4,671</w:t>
            </w:r>
          </w:p>
        </w:tc>
      </w:tr>
      <w:tr w:rsidR="00735613" w:rsidTr="00735613">
        <w:trPr>
          <w:trHeight w:val="264"/>
        </w:trPr>
        <w:tc>
          <w:tcPr>
            <w:tcW w:w="4548"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Opening balance from restructuring</w:t>
            </w:r>
          </w:p>
        </w:tc>
        <w:tc>
          <w:tcPr>
            <w:tcW w:w="112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1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11"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0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r>
      <w:tr w:rsidR="00735613" w:rsidTr="00735613">
        <w:trPr>
          <w:trHeight w:val="264"/>
        </w:trPr>
        <w:tc>
          <w:tcPr>
            <w:tcW w:w="4548"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Additional provisions made</w:t>
            </w:r>
          </w:p>
        </w:tc>
        <w:tc>
          <w:tcPr>
            <w:tcW w:w="112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1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11"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2,169 </w:t>
            </w:r>
          </w:p>
        </w:tc>
        <w:tc>
          <w:tcPr>
            <w:tcW w:w="110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2,169</w:t>
            </w:r>
          </w:p>
        </w:tc>
      </w:tr>
      <w:tr w:rsidR="00735613" w:rsidTr="00735613">
        <w:trPr>
          <w:trHeight w:val="264"/>
        </w:trPr>
        <w:tc>
          <w:tcPr>
            <w:tcW w:w="4548"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Amounts reversed</w:t>
            </w:r>
          </w:p>
        </w:tc>
        <w:tc>
          <w:tcPr>
            <w:tcW w:w="112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(80)</w:t>
            </w:r>
          </w:p>
        </w:tc>
        <w:tc>
          <w:tcPr>
            <w:tcW w:w="111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(229)</w:t>
            </w:r>
          </w:p>
        </w:tc>
        <w:tc>
          <w:tcPr>
            <w:tcW w:w="1111"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0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(309)</w:t>
            </w:r>
          </w:p>
        </w:tc>
      </w:tr>
      <w:tr w:rsidR="00735613" w:rsidTr="00735613">
        <w:trPr>
          <w:trHeight w:val="264"/>
        </w:trPr>
        <w:tc>
          <w:tcPr>
            <w:tcW w:w="4548"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Amounts used</w:t>
            </w:r>
          </w:p>
        </w:tc>
        <w:tc>
          <w:tcPr>
            <w:tcW w:w="112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1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(87)</w:t>
            </w:r>
          </w:p>
        </w:tc>
        <w:tc>
          <w:tcPr>
            <w:tcW w:w="1111"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(3,370)</w:t>
            </w:r>
          </w:p>
        </w:tc>
        <w:tc>
          <w:tcPr>
            <w:tcW w:w="110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(3,457)</w:t>
            </w:r>
          </w:p>
        </w:tc>
      </w:tr>
      <w:tr w:rsidR="00735613" w:rsidTr="00735613">
        <w:trPr>
          <w:trHeight w:val="264"/>
        </w:trPr>
        <w:tc>
          <w:tcPr>
            <w:tcW w:w="4548"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Unwinding of discount or change in discount rate</w:t>
            </w:r>
          </w:p>
        </w:tc>
        <w:tc>
          <w:tcPr>
            <w:tcW w:w="112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1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10 </w:t>
            </w:r>
          </w:p>
        </w:tc>
        <w:tc>
          <w:tcPr>
            <w:tcW w:w="1111"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41 </w:t>
            </w:r>
          </w:p>
        </w:tc>
        <w:tc>
          <w:tcPr>
            <w:tcW w:w="110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51</w:t>
            </w:r>
          </w:p>
        </w:tc>
      </w:tr>
      <w:tr w:rsidR="00735613" w:rsidTr="00735613">
        <w:trPr>
          <w:trHeight w:val="264"/>
        </w:trPr>
        <w:tc>
          <w:tcPr>
            <w:tcW w:w="4548"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Net adjustment due to allocation change in Departments</w:t>
            </w:r>
          </w:p>
        </w:tc>
        <w:tc>
          <w:tcPr>
            <w:tcW w:w="112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1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(14)</w:t>
            </w:r>
          </w:p>
        </w:tc>
        <w:tc>
          <w:tcPr>
            <w:tcW w:w="1111"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0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(14)</w:t>
            </w:r>
          </w:p>
        </w:tc>
      </w:tr>
      <w:tr w:rsidR="00735613" w:rsidTr="00735613">
        <w:trPr>
          <w:trHeight w:val="264"/>
        </w:trPr>
        <w:tc>
          <w:tcPr>
            <w:tcW w:w="4548"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Adjustments to asset revaluation reserve</w:t>
            </w:r>
          </w:p>
        </w:tc>
        <w:tc>
          <w:tcPr>
            <w:tcW w:w="112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10"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(5)</w:t>
            </w:r>
          </w:p>
        </w:tc>
        <w:tc>
          <w:tcPr>
            <w:tcW w:w="1111"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07"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(5)</w:t>
            </w:r>
          </w:p>
        </w:tc>
      </w:tr>
      <w:tr w:rsidR="00735613" w:rsidTr="00735613">
        <w:trPr>
          <w:trHeight w:val="264"/>
        </w:trPr>
        <w:tc>
          <w:tcPr>
            <w:tcW w:w="4548" w:type="dxa"/>
            <w:tcBorders>
              <w:top w:val="single" w:sz="4" w:space="0" w:color="auto"/>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Total as at 30 June 2015</w:t>
            </w:r>
          </w:p>
        </w:tc>
        <w:tc>
          <w:tcPr>
            <w:tcW w:w="1120"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620</w:t>
            </w:r>
          </w:p>
        </w:tc>
        <w:tc>
          <w:tcPr>
            <w:tcW w:w="1110"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320</w:t>
            </w:r>
          </w:p>
        </w:tc>
        <w:tc>
          <w:tcPr>
            <w:tcW w:w="111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2,166</w:t>
            </w:r>
          </w:p>
        </w:tc>
        <w:tc>
          <w:tcPr>
            <w:tcW w:w="1107"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3,106</w:t>
            </w:r>
          </w:p>
        </w:tc>
      </w:tr>
    </w:tbl>
    <w:p w:rsidR="00735613" w:rsidRDefault="00735613">
      <w:bookmarkStart w:id="265" w:name="RANGE!D8:H18"/>
      <w:bookmarkStart w:id="266" w:name="RANGE!D8:G18"/>
      <w:bookmarkStart w:id="267" w:name="RANGE!D8:G17"/>
      <w:bookmarkStart w:id="268" w:name="RANGE!D7:F15"/>
      <w:bookmarkStart w:id="269" w:name="RANGE!D8:F16"/>
      <w:bookmarkEnd w:id="265"/>
      <w:bookmarkEnd w:id="266"/>
      <w:bookmarkEnd w:id="267"/>
      <w:bookmarkEnd w:id="268"/>
      <w:bookmarkEnd w:id="269"/>
    </w:p>
    <w:p w:rsidR="00735613" w:rsidRDefault="00735613">
      <w:bookmarkStart w:id="270" w:name="RANGE!D18:G26"/>
      <w:bookmarkStart w:id="271" w:name="RANGE!D18:G27"/>
      <w:bookmarkStart w:id="272" w:name="RANGE!D18:G25"/>
      <w:bookmarkEnd w:id="270"/>
      <w:bookmarkEnd w:id="271"/>
      <w:bookmarkEnd w:id="272"/>
    </w:p>
    <w:p w:rsidR="00735613" w:rsidRDefault="00735613" w:rsidP="00735613">
      <w:pPr>
        <w:pStyle w:val="AdminBlankGreyShade"/>
      </w:pPr>
      <w:r>
        <w:t xml:space="preserve">The department currently has two (2014: four) agreements for the leasing of premises which have provisions requiring the department to restore the premises to their original condition at the conclusion of the lease. The department has made a </w:t>
      </w:r>
      <w:r>
        <w:br/>
        <w:t>provision to reflect the present value of this obligation.</w:t>
      </w:r>
    </w:p>
    <w:p w:rsidR="00735613" w:rsidRDefault="00735613" w:rsidP="00735613">
      <w:pPr>
        <w:pStyle w:val="AdminBlankGreyShade"/>
        <w:rPr>
          <w:rFonts w:cs="Arial"/>
        </w:rPr>
        <w:sectPr w:rsidR="00735613">
          <w:pgSz w:w="11906" w:h="16838"/>
          <w:pgMar w:top="1134" w:right="1134" w:bottom="1134" w:left="1134" w:header="958" w:footer="737" w:gutter="0"/>
          <w:cols w:space="720"/>
        </w:sectPr>
      </w:pPr>
    </w:p>
    <w:p w:rsidR="00735613" w:rsidRDefault="00735613" w:rsidP="00735613">
      <w:pPr>
        <w:pStyle w:val="NotesHeading-Level1"/>
        <w:numPr>
          <w:ilvl w:val="0"/>
          <w:numId w:val="9"/>
        </w:numPr>
        <w:rPr>
          <w:rFonts w:cstheme="minorHAnsi"/>
        </w:rPr>
      </w:pPr>
      <w:bookmarkStart w:id="273" w:name="_Toc420422380"/>
      <w:r>
        <w:rPr>
          <w:rFonts w:cstheme="minorHAnsi"/>
        </w:rPr>
        <w:t>Restructuring</w:t>
      </w:r>
      <w:bookmarkEnd w:id="273"/>
    </w:p>
    <w:p w:rsidR="00735613" w:rsidRPr="00233EDE" w:rsidRDefault="00735613" w:rsidP="00735613"/>
    <w:tbl>
      <w:tblPr>
        <w:tblW w:w="9087" w:type="dxa"/>
        <w:tblInd w:w="80" w:type="dxa"/>
        <w:tblLayout w:type="fixed"/>
        <w:tblLook w:val="04A0" w:firstRow="1" w:lastRow="0" w:firstColumn="1" w:lastColumn="0" w:noHBand="0" w:noVBand="1"/>
      </w:tblPr>
      <w:tblGrid>
        <w:gridCol w:w="3425"/>
        <w:gridCol w:w="2584"/>
        <w:gridCol w:w="3078"/>
      </w:tblGrid>
      <w:tr w:rsidR="00735613" w:rsidTr="00735613">
        <w:trPr>
          <w:trHeight w:val="264"/>
        </w:trPr>
        <w:tc>
          <w:tcPr>
            <w:tcW w:w="7723" w:type="dxa"/>
            <w:gridSpan w:val="3"/>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274" w:name="RANGE!D7:D76"/>
            <w:bookmarkStart w:id="275" w:name="Note_RESTABLE1" w:colFirst="0" w:colLast="0"/>
            <w:r>
              <w:rPr>
                <w:rFonts w:cs="Arial"/>
                <w:b/>
                <w:bCs/>
                <w:szCs w:val="18"/>
                <w:u w:val="single"/>
              </w:rPr>
              <w:t>Note 11A: Departmental restructuring</w:t>
            </w:r>
            <w:bookmarkEnd w:id="274"/>
          </w:p>
        </w:tc>
      </w:tr>
      <w:bookmarkEnd w:id="275"/>
      <w:tr w:rsidR="00735613" w:rsidTr="00735613">
        <w:trPr>
          <w:trHeight w:val="264"/>
        </w:trPr>
        <w:tc>
          <w:tcPr>
            <w:tcW w:w="2911" w:type="dxa"/>
            <w:tcBorders>
              <w:top w:val="single" w:sz="4" w:space="0" w:color="auto"/>
              <w:left w:val="nil"/>
              <w:bottom w:val="single" w:sz="4" w:space="0" w:color="auto"/>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4812" w:type="dxa"/>
            <w:gridSpan w:val="2"/>
            <w:tcBorders>
              <w:top w:val="single" w:sz="4" w:space="0" w:color="auto"/>
              <w:left w:val="nil"/>
              <w:bottom w:val="single" w:sz="4" w:space="0" w:color="auto"/>
              <w:right w:val="nil"/>
            </w:tcBorders>
            <w:shd w:val="clear" w:color="FFFFFF" w:fill="FFFFFF"/>
            <w:vAlign w:val="bottom"/>
            <w:hideMark/>
          </w:tcPr>
          <w:p w:rsidR="00735613" w:rsidRDefault="00735613">
            <w:pPr>
              <w:jc w:val="center"/>
              <w:rPr>
                <w:rFonts w:cs="Arial"/>
                <w:b/>
                <w:bCs/>
                <w:szCs w:val="18"/>
              </w:rPr>
            </w:pPr>
            <w:r>
              <w:rPr>
                <w:rFonts w:cs="Arial"/>
                <w:b/>
                <w:bCs/>
                <w:szCs w:val="18"/>
              </w:rPr>
              <w:t>2015</w:t>
            </w:r>
          </w:p>
        </w:tc>
      </w:tr>
      <w:tr w:rsidR="00735613" w:rsidTr="00735613">
        <w:trPr>
          <w:trHeight w:val="510"/>
        </w:trPr>
        <w:tc>
          <w:tcPr>
            <w:tcW w:w="2911" w:type="dxa"/>
            <w:tcBorders>
              <w:top w:val="nil"/>
              <w:left w:val="nil"/>
              <w:bottom w:val="nil"/>
              <w:right w:val="nil"/>
            </w:tcBorders>
            <w:shd w:val="clear" w:color="FFFFFF" w:fill="FFFFFF"/>
            <w:noWrap/>
            <w:hideMark/>
          </w:tcPr>
          <w:p w:rsidR="00735613" w:rsidRDefault="00735613">
            <w:pPr>
              <w:rPr>
                <w:rFonts w:ascii="Arial" w:hAnsi="Arial" w:cs="Arial"/>
                <w:b/>
                <w:bCs/>
                <w:szCs w:val="18"/>
              </w:rPr>
            </w:pPr>
            <w:r>
              <w:rPr>
                <w:rFonts w:ascii="Arial" w:hAnsi="Arial" w:cs="Arial"/>
                <w:b/>
                <w:bCs/>
                <w:szCs w:val="18"/>
              </w:rPr>
              <w:t>Function</w:t>
            </w:r>
          </w:p>
        </w:tc>
        <w:tc>
          <w:tcPr>
            <w:tcW w:w="2196" w:type="dxa"/>
            <w:tcBorders>
              <w:top w:val="nil"/>
              <w:left w:val="nil"/>
              <w:bottom w:val="nil"/>
              <w:right w:val="nil"/>
            </w:tcBorders>
            <w:shd w:val="clear" w:color="FFFFFF" w:fill="FFFFFF"/>
            <w:hideMark/>
          </w:tcPr>
          <w:p w:rsidR="00735613" w:rsidRDefault="00735613">
            <w:pPr>
              <w:rPr>
                <w:rFonts w:cs="Arial"/>
                <w:b/>
                <w:bCs/>
                <w:szCs w:val="18"/>
              </w:rPr>
            </w:pPr>
            <w:r>
              <w:rPr>
                <w:rFonts w:cs="Arial"/>
                <w:b/>
                <w:bCs/>
                <w:szCs w:val="18"/>
              </w:rPr>
              <w:t>Early Childhood Education and Care</w:t>
            </w:r>
          </w:p>
        </w:tc>
        <w:tc>
          <w:tcPr>
            <w:tcW w:w="2616" w:type="dxa"/>
            <w:tcBorders>
              <w:top w:val="nil"/>
              <w:left w:val="nil"/>
              <w:bottom w:val="nil"/>
              <w:right w:val="nil"/>
            </w:tcBorders>
            <w:shd w:val="clear" w:color="FFFFFF" w:fill="FFFFFF"/>
            <w:hideMark/>
          </w:tcPr>
          <w:p w:rsidR="00735613" w:rsidRDefault="00735613">
            <w:pPr>
              <w:rPr>
                <w:rFonts w:cs="Arial"/>
                <w:b/>
                <w:bCs/>
                <w:szCs w:val="18"/>
              </w:rPr>
            </w:pPr>
            <w:r>
              <w:rPr>
                <w:rFonts w:cs="Arial"/>
                <w:b/>
                <w:bCs/>
                <w:szCs w:val="18"/>
              </w:rPr>
              <w:t>Skills and Training</w:t>
            </w:r>
          </w:p>
        </w:tc>
      </w:tr>
      <w:tr w:rsidR="00735613" w:rsidTr="00735613">
        <w:trPr>
          <w:trHeight w:val="495"/>
        </w:trPr>
        <w:tc>
          <w:tcPr>
            <w:tcW w:w="2911" w:type="dxa"/>
            <w:tcBorders>
              <w:top w:val="nil"/>
              <w:left w:val="nil"/>
              <w:bottom w:val="nil"/>
              <w:right w:val="nil"/>
            </w:tcBorders>
            <w:shd w:val="clear" w:color="FFFFFF" w:fill="FFFFFF"/>
            <w:noWrap/>
            <w:hideMark/>
          </w:tcPr>
          <w:p w:rsidR="00735613" w:rsidRDefault="00735613">
            <w:pPr>
              <w:rPr>
                <w:rFonts w:ascii="Arial" w:hAnsi="Arial" w:cs="Arial"/>
                <w:b/>
                <w:bCs/>
                <w:szCs w:val="18"/>
              </w:rPr>
            </w:pPr>
            <w:r>
              <w:rPr>
                <w:rFonts w:ascii="Arial" w:hAnsi="Arial" w:cs="Arial"/>
                <w:b/>
                <w:bCs/>
                <w:szCs w:val="18"/>
              </w:rPr>
              <w:t>Entity</w:t>
            </w:r>
          </w:p>
        </w:tc>
        <w:tc>
          <w:tcPr>
            <w:tcW w:w="2196" w:type="dxa"/>
            <w:tcBorders>
              <w:top w:val="nil"/>
              <w:left w:val="nil"/>
              <w:bottom w:val="nil"/>
              <w:right w:val="nil"/>
            </w:tcBorders>
            <w:shd w:val="clear" w:color="FFFFFF" w:fill="FFFFFF"/>
            <w:hideMark/>
          </w:tcPr>
          <w:p w:rsidR="00735613" w:rsidRDefault="00735613">
            <w:pPr>
              <w:rPr>
                <w:rFonts w:cs="Arial"/>
                <w:b/>
                <w:bCs/>
                <w:szCs w:val="18"/>
              </w:rPr>
            </w:pPr>
            <w:r>
              <w:rPr>
                <w:rFonts w:cs="Arial"/>
                <w:b/>
                <w:bCs/>
                <w:szCs w:val="18"/>
              </w:rPr>
              <w:t>Department of Social Services</w:t>
            </w:r>
            <w:r>
              <w:rPr>
                <w:rFonts w:cs="Arial"/>
                <w:b/>
                <w:bCs/>
                <w:szCs w:val="18"/>
                <w:vertAlign w:val="superscript"/>
              </w:rPr>
              <w:t>1</w:t>
            </w:r>
          </w:p>
        </w:tc>
        <w:tc>
          <w:tcPr>
            <w:tcW w:w="2616" w:type="dxa"/>
            <w:tcBorders>
              <w:top w:val="nil"/>
              <w:left w:val="nil"/>
              <w:bottom w:val="nil"/>
              <w:right w:val="nil"/>
            </w:tcBorders>
            <w:shd w:val="clear" w:color="FFFFFF" w:fill="FFFFFF"/>
            <w:hideMark/>
          </w:tcPr>
          <w:p w:rsidR="00735613" w:rsidRDefault="00735613">
            <w:pPr>
              <w:rPr>
                <w:rFonts w:cs="Arial"/>
                <w:b/>
                <w:bCs/>
                <w:szCs w:val="18"/>
              </w:rPr>
            </w:pPr>
            <w:r>
              <w:rPr>
                <w:rFonts w:cs="Arial"/>
                <w:b/>
                <w:bCs/>
                <w:szCs w:val="18"/>
              </w:rPr>
              <w:t>Department of Industry and Science</w:t>
            </w:r>
            <w:r>
              <w:rPr>
                <w:rFonts w:cs="Arial"/>
                <w:b/>
                <w:bCs/>
                <w:szCs w:val="18"/>
                <w:vertAlign w:val="superscript"/>
              </w:rPr>
              <w:t>2</w:t>
            </w:r>
          </w:p>
        </w:tc>
      </w:tr>
      <w:tr w:rsidR="00735613" w:rsidTr="00735613">
        <w:trPr>
          <w:trHeight w:val="264"/>
        </w:trPr>
        <w:tc>
          <w:tcPr>
            <w:tcW w:w="2911" w:type="dxa"/>
            <w:tcBorders>
              <w:top w:val="nil"/>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19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261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r>
      <w:tr w:rsidR="00735613" w:rsidTr="00735613">
        <w:trPr>
          <w:trHeight w:val="264"/>
        </w:trPr>
        <w:tc>
          <w:tcPr>
            <w:tcW w:w="2911"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FUNCTION ASSUMED</w:t>
            </w:r>
          </w:p>
        </w:tc>
        <w:tc>
          <w:tcPr>
            <w:tcW w:w="219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61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r>
      <w:tr w:rsidR="00735613" w:rsidTr="00735613">
        <w:trPr>
          <w:trHeight w:val="264"/>
        </w:trPr>
        <w:tc>
          <w:tcPr>
            <w:tcW w:w="2911"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Assets recognised</w:t>
            </w:r>
          </w:p>
        </w:tc>
        <w:tc>
          <w:tcPr>
            <w:tcW w:w="219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Trade and other receivables</w:t>
            </w:r>
          </w:p>
        </w:tc>
        <w:tc>
          <w:tcPr>
            <w:tcW w:w="219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24,100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Property, plant and equipment</w:t>
            </w:r>
          </w:p>
        </w:tc>
        <w:tc>
          <w:tcPr>
            <w:tcW w:w="219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Intangibles</w:t>
            </w:r>
          </w:p>
        </w:tc>
        <w:tc>
          <w:tcPr>
            <w:tcW w:w="219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14,712 </w:t>
            </w:r>
          </w:p>
        </w:tc>
      </w:tr>
      <w:tr w:rsidR="00735613" w:rsidTr="00735613">
        <w:trPr>
          <w:trHeight w:val="264"/>
        </w:trPr>
        <w:tc>
          <w:tcPr>
            <w:tcW w:w="2911" w:type="dxa"/>
            <w:tcBorders>
              <w:top w:val="single" w:sz="4" w:space="0" w:color="auto"/>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Total assets recognised</w:t>
            </w:r>
          </w:p>
        </w:tc>
        <w:tc>
          <w:tcPr>
            <w:tcW w:w="219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261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38,813</w:t>
            </w:r>
          </w:p>
        </w:tc>
      </w:tr>
      <w:tr w:rsidR="00735613" w:rsidTr="00735613">
        <w:trPr>
          <w:trHeight w:val="264"/>
        </w:trPr>
        <w:tc>
          <w:tcPr>
            <w:tcW w:w="2911"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19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61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r>
      <w:tr w:rsidR="00735613" w:rsidTr="00735613">
        <w:trPr>
          <w:trHeight w:val="264"/>
        </w:trPr>
        <w:tc>
          <w:tcPr>
            <w:tcW w:w="2911"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Liabilities recognised</w:t>
            </w:r>
          </w:p>
        </w:tc>
        <w:tc>
          <w:tcPr>
            <w:tcW w:w="219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61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Employee provisions</w:t>
            </w:r>
          </w:p>
        </w:tc>
        <w:tc>
          <w:tcPr>
            <w:tcW w:w="219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14,256 </w:t>
            </w:r>
          </w:p>
        </w:tc>
      </w:tr>
      <w:tr w:rsidR="00735613" w:rsidTr="00735613">
        <w:trPr>
          <w:trHeight w:val="264"/>
        </w:trPr>
        <w:tc>
          <w:tcPr>
            <w:tcW w:w="2911" w:type="dxa"/>
            <w:tcBorders>
              <w:top w:val="single" w:sz="4" w:space="0" w:color="auto"/>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Total liabilities recognised</w:t>
            </w:r>
          </w:p>
        </w:tc>
        <w:tc>
          <w:tcPr>
            <w:tcW w:w="219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261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14,256</w:t>
            </w:r>
          </w:p>
        </w:tc>
      </w:tr>
      <w:tr w:rsidR="00735613" w:rsidTr="00735613">
        <w:trPr>
          <w:trHeight w:val="264"/>
        </w:trPr>
        <w:tc>
          <w:tcPr>
            <w:tcW w:w="2911" w:type="dxa"/>
            <w:tcBorders>
              <w:top w:val="nil"/>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Net assets recognised</w:t>
            </w:r>
          </w:p>
        </w:tc>
        <w:tc>
          <w:tcPr>
            <w:tcW w:w="2196"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2616"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24,557</w:t>
            </w:r>
          </w:p>
        </w:tc>
      </w:tr>
      <w:tr w:rsidR="00735613" w:rsidTr="00735613">
        <w:trPr>
          <w:trHeight w:val="288"/>
        </w:trPr>
        <w:tc>
          <w:tcPr>
            <w:tcW w:w="2911" w:type="dxa"/>
            <w:tcBorders>
              <w:top w:val="nil"/>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196"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616"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r>
      <w:tr w:rsidR="00735613" w:rsidTr="00735613">
        <w:trPr>
          <w:trHeight w:val="264"/>
        </w:trPr>
        <w:tc>
          <w:tcPr>
            <w:tcW w:w="2911" w:type="dxa"/>
            <w:tcBorders>
              <w:top w:val="nil"/>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Income assumed</w:t>
            </w:r>
          </w:p>
        </w:tc>
        <w:tc>
          <w:tcPr>
            <w:tcW w:w="219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c>
          <w:tcPr>
            <w:tcW w:w="261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Recognised by the receiving entity</w:t>
            </w:r>
          </w:p>
        </w:tc>
        <w:tc>
          <w:tcPr>
            <w:tcW w:w="219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4,105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Recognised by the losing entity</w:t>
            </w:r>
          </w:p>
        </w:tc>
        <w:tc>
          <w:tcPr>
            <w:tcW w:w="219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2,863 </w:t>
            </w:r>
          </w:p>
        </w:tc>
      </w:tr>
      <w:tr w:rsidR="00735613" w:rsidTr="00735613">
        <w:trPr>
          <w:trHeight w:val="264"/>
        </w:trPr>
        <w:tc>
          <w:tcPr>
            <w:tcW w:w="2911" w:type="dxa"/>
            <w:tcBorders>
              <w:top w:val="single" w:sz="4" w:space="0" w:color="auto"/>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Total income assumed</w:t>
            </w:r>
          </w:p>
        </w:tc>
        <w:tc>
          <w:tcPr>
            <w:tcW w:w="219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261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6,968</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Expenses assumed</w:t>
            </w:r>
          </w:p>
        </w:tc>
        <w:tc>
          <w:tcPr>
            <w:tcW w:w="219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c>
          <w:tcPr>
            <w:tcW w:w="261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Recognised by the receiving entity</w:t>
            </w:r>
          </w:p>
        </w:tc>
        <w:tc>
          <w:tcPr>
            <w:tcW w:w="219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18,960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Recognised by the losing entity</w:t>
            </w:r>
          </w:p>
        </w:tc>
        <w:tc>
          <w:tcPr>
            <w:tcW w:w="219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38,212 </w:t>
            </w:r>
          </w:p>
        </w:tc>
      </w:tr>
      <w:tr w:rsidR="00735613" w:rsidTr="00735613">
        <w:trPr>
          <w:trHeight w:val="264"/>
        </w:trPr>
        <w:tc>
          <w:tcPr>
            <w:tcW w:w="2911" w:type="dxa"/>
            <w:tcBorders>
              <w:top w:val="single" w:sz="4" w:space="0" w:color="auto"/>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Total expenses assumed</w:t>
            </w:r>
          </w:p>
        </w:tc>
        <w:tc>
          <w:tcPr>
            <w:tcW w:w="219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261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57,172</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480"/>
        </w:trPr>
        <w:tc>
          <w:tcPr>
            <w:tcW w:w="2911" w:type="dxa"/>
            <w:tcBorders>
              <w:top w:val="single" w:sz="4" w:space="0" w:color="auto"/>
              <w:left w:val="nil"/>
              <w:bottom w:val="nil"/>
              <w:right w:val="nil"/>
            </w:tcBorders>
            <w:shd w:val="clear" w:color="FFFFFF" w:fill="FFFFFF"/>
            <w:noWrap/>
            <w:hideMark/>
          </w:tcPr>
          <w:p w:rsidR="00735613" w:rsidRDefault="00735613">
            <w:pPr>
              <w:rPr>
                <w:rFonts w:ascii="Arial" w:hAnsi="Arial" w:cs="Arial"/>
                <w:b/>
                <w:bCs/>
                <w:szCs w:val="18"/>
              </w:rPr>
            </w:pPr>
            <w:r>
              <w:rPr>
                <w:rFonts w:ascii="Arial" w:hAnsi="Arial" w:cs="Arial"/>
                <w:b/>
                <w:bCs/>
                <w:szCs w:val="18"/>
              </w:rPr>
              <w:t>Function</w:t>
            </w:r>
          </w:p>
        </w:tc>
        <w:tc>
          <w:tcPr>
            <w:tcW w:w="2196" w:type="dxa"/>
            <w:tcBorders>
              <w:top w:val="single" w:sz="4" w:space="0" w:color="auto"/>
              <w:left w:val="nil"/>
              <w:bottom w:val="nil"/>
              <w:right w:val="nil"/>
            </w:tcBorders>
            <w:shd w:val="clear" w:color="FFFFFF" w:fill="FFFFFF"/>
            <w:hideMark/>
          </w:tcPr>
          <w:p w:rsidR="00735613" w:rsidRDefault="00735613">
            <w:pPr>
              <w:rPr>
                <w:rFonts w:cs="Arial"/>
                <w:b/>
                <w:bCs/>
                <w:szCs w:val="18"/>
              </w:rPr>
            </w:pPr>
            <w:r>
              <w:rPr>
                <w:rFonts w:cs="Arial"/>
                <w:b/>
                <w:bCs/>
                <w:szCs w:val="18"/>
              </w:rPr>
              <w:t>Early Childhood Education and Care</w:t>
            </w:r>
          </w:p>
        </w:tc>
        <w:tc>
          <w:tcPr>
            <w:tcW w:w="2616" w:type="dxa"/>
            <w:tcBorders>
              <w:top w:val="single" w:sz="4" w:space="0" w:color="auto"/>
              <w:left w:val="nil"/>
              <w:bottom w:val="nil"/>
              <w:right w:val="nil"/>
            </w:tcBorders>
            <w:shd w:val="clear" w:color="FFFFFF" w:fill="FFFFFF"/>
            <w:hideMark/>
          </w:tcPr>
          <w:p w:rsidR="00735613" w:rsidRDefault="00735613">
            <w:pPr>
              <w:rPr>
                <w:rFonts w:cs="Arial"/>
                <w:b/>
                <w:bCs/>
                <w:szCs w:val="18"/>
              </w:rPr>
            </w:pPr>
            <w:r>
              <w:rPr>
                <w:rFonts w:cs="Arial"/>
                <w:b/>
                <w:bCs/>
                <w:szCs w:val="18"/>
              </w:rPr>
              <w:t>Skills and Training</w:t>
            </w:r>
          </w:p>
        </w:tc>
      </w:tr>
      <w:tr w:rsidR="00735613" w:rsidTr="00735613">
        <w:trPr>
          <w:trHeight w:val="516"/>
        </w:trPr>
        <w:tc>
          <w:tcPr>
            <w:tcW w:w="2911" w:type="dxa"/>
            <w:tcBorders>
              <w:top w:val="nil"/>
              <w:left w:val="nil"/>
              <w:bottom w:val="nil"/>
              <w:right w:val="nil"/>
            </w:tcBorders>
            <w:shd w:val="clear" w:color="FFFFFF" w:fill="FFFFFF"/>
            <w:noWrap/>
            <w:hideMark/>
          </w:tcPr>
          <w:p w:rsidR="00735613" w:rsidRDefault="00735613">
            <w:pPr>
              <w:rPr>
                <w:rFonts w:ascii="Arial" w:hAnsi="Arial" w:cs="Arial"/>
                <w:b/>
                <w:bCs/>
                <w:szCs w:val="18"/>
              </w:rPr>
            </w:pPr>
            <w:r>
              <w:rPr>
                <w:rFonts w:ascii="Arial" w:hAnsi="Arial" w:cs="Arial"/>
                <w:b/>
                <w:bCs/>
                <w:szCs w:val="18"/>
              </w:rPr>
              <w:t>Entity</w:t>
            </w:r>
          </w:p>
        </w:tc>
        <w:tc>
          <w:tcPr>
            <w:tcW w:w="2196" w:type="dxa"/>
            <w:tcBorders>
              <w:top w:val="nil"/>
              <w:left w:val="nil"/>
              <w:bottom w:val="nil"/>
              <w:right w:val="nil"/>
            </w:tcBorders>
            <w:shd w:val="clear" w:color="FFFFFF" w:fill="FFFFFF"/>
            <w:hideMark/>
          </w:tcPr>
          <w:p w:rsidR="00735613" w:rsidRDefault="00735613">
            <w:pPr>
              <w:rPr>
                <w:rFonts w:cs="Arial"/>
                <w:b/>
                <w:bCs/>
                <w:szCs w:val="18"/>
              </w:rPr>
            </w:pPr>
            <w:r>
              <w:rPr>
                <w:rFonts w:cs="Arial"/>
                <w:b/>
                <w:bCs/>
                <w:szCs w:val="18"/>
              </w:rPr>
              <w:t>Department of Social Services</w:t>
            </w:r>
            <w:r>
              <w:rPr>
                <w:rFonts w:cs="Arial"/>
                <w:b/>
                <w:bCs/>
                <w:szCs w:val="18"/>
                <w:vertAlign w:val="superscript"/>
              </w:rPr>
              <w:t>1</w:t>
            </w:r>
          </w:p>
        </w:tc>
        <w:tc>
          <w:tcPr>
            <w:tcW w:w="2616" w:type="dxa"/>
            <w:tcBorders>
              <w:top w:val="nil"/>
              <w:left w:val="nil"/>
              <w:bottom w:val="nil"/>
              <w:right w:val="nil"/>
            </w:tcBorders>
            <w:shd w:val="clear" w:color="FFFFFF" w:fill="FFFFFF"/>
            <w:hideMark/>
          </w:tcPr>
          <w:p w:rsidR="00735613" w:rsidRDefault="00735613">
            <w:pPr>
              <w:rPr>
                <w:rFonts w:cs="Arial"/>
                <w:b/>
                <w:bCs/>
                <w:szCs w:val="18"/>
              </w:rPr>
            </w:pPr>
            <w:r>
              <w:rPr>
                <w:rFonts w:cs="Arial"/>
                <w:b/>
                <w:bCs/>
                <w:szCs w:val="18"/>
              </w:rPr>
              <w:t>Department of Industry and Science</w:t>
            </w:r>
            <w:r>
              <w:rPr>
                <w:rFonts w:cs="Arial"/>
                <w:b/>
                <w:bCs/>
                <w:szCs w:val="18"/>
                <w:vertAlign w:val="superscript"/>
              </w:rPr>
              <w:t>2</w:t>
            </w:r>
          </w:p>
        </w:tc>
      </w:tr>
      <w:tr w:rsidR="00735613" w:rsidTr="00735613">
        <w:trPr>
          <w:trHeight w:val="264"/>
        </w:trPr>
        <w:tc>
          <w:tcPr>
            <w:tcW w:w="2911" w:type="dxa"/>
            <w:tcBorders>
              <w:top w:val="nil"/>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19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261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FUNCTIONS RELINQUISHED</w:t>
            </w:r>
          </w:p>
        </w:tc>
        <w:tc>
          <w:tcPr>
            <w:tcW w:w="219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61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r>
      <w:tr w:rsidR="00735613" w:rsidTr="00735613">
        <w:trPr>
          <w:trHeight w:val="264"/>
        </w:trPr>
        <w:tc>
          <w:tcPr>
            <w:tcW w:w="2911"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Assets relinquished</w:t>
            </w:r>
          </w:p>
        </w:tc>
        <w:tc>
          <w:tcPr>
            <w:tcW w:w="219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Trade and other receivables</w:t>
            </w:r>
          </w:p>
        </w:tc>
        <w:tc>
          <w:tcPr>
            <w:tcW w:w="219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13,085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Land and buildings</w:t>
            </w:r>
          </w:p>
        </w:tc>
        <w:tc>
          <w:tcPr>
            <w:tcW w:w="219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2,583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Property, plant and equipment</w:t>
            </w:r>
          </w:p>
        </w:tc>
        <w:tc>
          <w:tcPr>
            <w:tcW w:w="219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25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Intangibles</w:t>
            </w:r>
          </w:p>
        </w:tc>
        <w:tc>
          <w:tcPr>
            <w:tcW w:w="219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8,557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Other non financial assets</w:t>
            </w:r>
          </w:p>
        </w:tc>
        <w:tc>
          <w:tcPr>
            <w:tcW w:w="219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260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r>
      <w:tr w:rsidR="00735613" w:rsidTr="00735613">
        <w:trPr>
          <w:trHeight w:val="264"/>
        </w:trPr>
        <w:tc>
          <w:tcPr>
            <w:tcW w:w="2911" w:type="dxa"/>
            <w:tcBorders>
              <w:top w:val="single" w:sz="4" w:space="0" w:color="auto"/>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Total assets relinquished</w:t>
            </w:r>
          </w:p>
        </w:tc>
        <w:tc>
          <w:tcPr>
            <w:tcW w:w="219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24,510</w:t>
            </w:r>
          </w:p>
        </w:tc>
        <w:tc>
          <w:tcPr>
            <w:tcW w:w="261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Liabilities relinquished</w:t>
            </w:r>
          </w:p>
        </w:tc>
        <w:tc>
          <w:tcPr>
            <w:tcW w:w="219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61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Suppliers</w:t>
            </w:r>
          </w:p>
        </w:tc>
        <w:tc>
          <w:tcPr>
            <w:tcW w:w="219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4,073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Employee provisions</w:t>
            </w:r>
          </w:p>
        </w:tc>
        <w:tc>
          <w:tcPr>
            <w:tcW w:w="219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13,416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r>
      <w:tr w:rsidR="00735613" w:rsidTr="00735613">
        <w:trPr>
          <w:trHeight w:val="264"/>
        </w:trPr>
        <w:tc>
          <w:tcPr>
            <w:tcW w:w="2911" w:type="dxa"/>
            <w:tcBorders>
              <w:top w:val="single" w:sz="4" w:space="0" w:color="auto"/>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Total liabilities relinquished</w:t>
            </w:r>
          </w:p>
        </w:tc>
        <w:tc>
          <w:tcPr>
            <w:tcW w:w="219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17,489</w:t>
            </w:r>
          </w:p>
        </w:tc>
        <w:tc>
          <w:tcPr>
            <w:tcW w:w="261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r>
      <w:tr w:rsidR="00735613" w:rsidTr="00735613">
        <w:trPr>
          <w:trHeight w:val="264"/>
        </w:trPr>
        <w:tc>
          <w:tcPr>
            <w:tcW w:w="2911" w:type="dxa"/>
            <w:tcBorders>
              <w:top w:val="nil"/>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Net assets relinquished</w:t>
            </w:r>
          </w:p>
        </w:tc>
        <w:tc>
          <w:tcPr>
            <w:tcW w:w="2196"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7,021</w:t>
            </w:r>
          </w:p>
        </w:tc>
        <w:tc>
          <w:tcPr>
            <w:tcW w:w="2616"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9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bl>
    <w:p w:rsidR="00735613" w:rsidRDefault="00735613" w:rsidP="00735613">
      <w:pPr>
        <w:pStyle w:val="ReferenceText"/>
      </w:pPr>
      <w:bookmarkStart w:id="276" w:name="RANGE!D7:F74"/>
      <w:bookmarkStart w:id="277" w:name="RANGE!D7:F72"/>
      <w:bookmarkStart w:id="278" w:name="RANGE!D7:F76"/>
      <w:bookmarkStart w:id="279" w:name="RANGE!D7:F51"/>
      <w:bookmarkStart w:id="280" w:name="RANGE!D7:F55"/>
      <w:bookmarkEnd w:id="276"/>
      <w:bookmarkEnd w:id="277"/>
      <w:bookmarkEnd w:id="278"/>
      <w:bookmarkEnd w:id="279"/>
      <w:bookmarkEnd w:id="280"/>
      <w:r>
        <w:t>Notes:</w:t>
      </w:r>
    </w:p>
    <w:p w:rsidR="00735613" w:rsidRDefault="00735613" w:rsidP="00735613">
      <w:pPr>
        <w:pStyle w:val="ReferenceText"/>
      </w:pPr>
      <w:r w:rsidRPr="00DF5B46">
        <w:rPr>
          <w:vertAlign w:val="superscript"/>
        </w:rPr>
        <w:t>1</w:t>
      </w:r>
      <w:r>
        <w:rPr>
          <w:vertAlign w:val="superscript"/>
        </w:rPr>
        <w:t xml:space="preserve"> </w:t>
      </w:r>
      <w:r>
        <w:t>The Early Childhood Education and Care functions transferred to Department of Social Services following the Administrative Arrangement Orders of 23 December 2014.</w:t>
      </w:r>
    </w:p>
    <w:p w:rsidR="00735613" w:rsidRPr="00962C3D" w:rsidRDefault="00735613" w:rsidP="00735613">
      <w:pPr>
        <w:pStyle w:val="ReferenceText"/>
      </w:pPr>
      <w:r w:rsidRPr="00962C3D">
        <w:rPr>
          <w:vertAlign w:val="superscript"/>
        </w:rPr>
        <w:t>2</w:t>
      </w:r>
      <w:r>
        <w:t xml:space="preserve"> The Skills and Training functions were acquired from the Department of Industry and Science following the Administrative Arrangement Orders of 23 December 2014. </w:t>
      </w:r>
    </w:p>
    <w:p w:rsidR="00735613" w:rsidRDefault="00735613">
      <w:r>
        <w:t>The net assets assumed from all entities total $24.557 million.</w:t>
      </w:r>
    </w:p>
    <w:p w:rsidR="00735613" w:rsidRDefault="00735613">
      <w:r>
        <w:t>The net assets relinquished to all entities total $7.021 million.</w:t>
      </w:r>
    </w:p>
    <w:p w:rsidR="00735613" w:rsidRDefault="00735613">
      <w:pPr>
        <w:sectPr w:rsidR="00735613" w:rsidSect="00735613">
          <w:pgSz w:w="11906" w:h="16838"/>
          <w:pgMar w:top="1134" w:right="1134" w:bottom="1134" w:left="1134" w:header="958" w:footer="737" w:gutter="0"/>
          <w:cols w:space="720"/>
          <w:docGrid w:linePitch="245"/>
        </w:sectPr>
      </w:pPr>
      <w:r>
        <w:t xml:space="preserve">The net book value of the assets and liabilities were transferred to the department for no consideration. </w:t>
      </w:r>
    </w:p>
    <w:tbl>
      <w:tblPr>
        <w:tblW w:w="14740" w:type="dxa"/>
        <w:tblInd w:w="80" w:type="dxa"/>
        <w:tblLayout w:type="fixed"/>
        <w:tblCellMar>
          <w:left w:w="6" w:type="dxa"/>
          <w:right w:w="6" w:type="dxa"/>
        </w:tblCellMar>
        <w:tblLook w:val="04A0" w:firstRow="1" w:lastRow="0" w:firstColumn="1" w:lastColumn="0" w:noHBand="0" w:noVBand="1"/>
      </w:tblPr>
      <w:tblGrid>
        <w:gridCol w:w="2977"/>
        <w:gridCol w:w="2250"/>
        <w:gridCol w:w="2675"/>
        <w:gridCol w:w="2204"/>
        <w:gridCol w:w="1816"/>
        <w:gridCol w:w="2818"/>
      </w:tblGrid>
      <w:tr w:rsidR="00735613" w:rsidTr="00735613">
        <w:trPr>
          <w:trHeight w:val="264"/>
        </w:trPr>
        <w:tc>
          <w:tcPr>
            <w:tcW w:w="2911" w:type="dxa"/>
            <w:tcBorders>
              <w:top w:val="single" w:sz="4" w:space="0" w:color="auto"/>
              <w:left w:val="nil"/>
              <w:bottom w:val="single" w:sz="4" w:space="0" w:color="auto"/>
              <w:right w:val="nil"/>
            </w:tcBorders>
            <w:shd w:val="clear" w:color="FFFFFF" w:fill="FFFFFF"/>
            <w:noWrap/>
            <w:vAlign w:val="bottom"/>
            <w:hideMark/>
          </w:tcPr>
          <w:p w:rsidR="00735613" w:rsidRDefault="00735613" w:rsidP="00735613">
            <w:pPr>
              <w:rPr>
                <w:rFonts w:ascii="Arial" w:hAnsi="Arial" w:cs="Arial"/>
                <w:szCs w:val="18"/>
              </w:rPr>
            </w:pPr>
            <w:bookmarkStart w:id="281" w:name="Note_RESTABLE2" w:colFirst="0" w:colLast="0"/>
            <w:r>
              <w:rPr>
                <w:rFonts w:ascii="Arial" w:hAnsi="Arial" w:cs="Arial"/>
                <w:szCs w:val="18"/>
              </w:rPr>
              <w:t> </w:t>
            </w:r>
          </w:p>
        </w:tc>
        <w:tc>
          <w:tcPr>
            <w:tcW w:w="4817" w:type="dxa"/>
            <w:gridSpan w:val="2"/>
            <w:tcBorders>
              <w:top w:val="single" w:sz="4" w:space="0" w:color="auto"/>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2014</w:t>
            </w:r>
          </w:p>
        </w:tc>
        <w:tc>
          <w:tcPr>
            <w:tcW w:w="2156" w:type="dxa"/>
            <w:tcBorders>
              <w:top w:val="single" w:sz="4" w:space="0" w:color="auto"/>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1776" w:type="dxa"/>
            <w:tcBorders>
              <w:top w:val="single" w:sz="4" w:space="0" w:color="auto"/>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756" w:type="dxa"/>
            <w:tcBorders>
              <w:top w:val="single" w:sz="4" w:space="0" w:color="auto"/>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 </w:t>
            </w:r>
          </w:p>
        </w:tc>
      </w:tr>
      <w:bookmarkEnd w:id="281"/>
      <w:tr w:rsidR="00735613" w:rsidTr="00735613">
        <w:trPr>
          <w:trHeight w:val="720"/>
        </w:trPr>
        <w:tc>
          <w:tcPr>
            <w:tcW w:w="2911" w:type="dxa"/>
            <w:tcBorders>
              <w:top w:val="nil"/>
              <w:left w:val="nil"/>
              <w:bottom w:val="nil"/>
              <w:right w:val="nil"/>
            </w:tcBorders>
            <w:shd w:val="clear" w:color="FFFFFF" w:fill="FFFFFF"/>
            <w:noWrap/>
            <w:hideMark/>
          </w:tcPr>
          <w:p w:rsidR="00735613" w:rsidRDefault="00735613" w:rsidP="00735613">
            <w:pPr>
              <w:rPr>
                <w:rFonts w:ascii="Arial" w:hAnsi="Arial" w:cs="Arial"/>
                <w:b/>
                <w:bCs/>
                <w:szCs w:val="18"/>
              </w:rPr>
            </w:pPr>
            <w:r>
              <w:rPr>
                <w:rFonts w:ascii="Arial" w:hAnsi="Arial" w:cs="Arial"/>
                <w:b/>
                <w:bCs/>
                <w:szCs w:val="18"/>
              </w:rPr>
              <w:t>Function</w:t>
            </w:r>
          </w:p>
        </w:tc>
        <w:tc>
          <w:tcPr>
            <w:tcW w:w="2201" w:type="dxa"/>
            <w:tcBorders>
              <w:top w:val="nil"/>
              <w:left w:val="nil"/>
              <w:bottom w:val="nil"/>
              <w:right w:val="nil"/>
            </w:tcBorders>
            <w:shd w:val="clear" w:color="FFFFFF" w:fill="FFFFFF"/>
            <w:hideMark/>
          </w:tcPr>
          <w:p w:rsidR="00735613" w:rsidRDefault="00735613">
            <w:pPr>
              <w:rPr>
                <w:rFonts w:cs="Arial"/>
                <w:b/>
                <w:bCs/>
                <w:szCs w:val="18"/>
              </w:rPr>
            </w:pPr>
            <w:r>
              <w:rPr>
                <w:rFonts w:cs="Arial"/>
                <w:b/>
                <w:bCs/>
                <w:szCs w:val="18"/>
              </w:rPr>
              <w:t>Education including: Early Childhood Education and Care and Schools and Youth</w:t>
            </w:r>
          </w:p>
        </w:tc>
        <w:tc>
          <w:tcPr>
            <w:tcW w:w="2616" w:type="dxa"/>
            <w:tcBorders>
              <w:top w:val="nil"/>
              <w:left w:val="nil"/>
              <w:bottom w:val="nil"/>
              <w:right w:val="nil"/>
            </w:tcBorders>
            <w:shd w:val="clear" w:color="FFFFFF" w:fill="FFFFFF"/>
            <w:hideMark/>
          </w:tcPr>
          <w:p w:rsidR="00735613" w:rsidRDefault="00735613">
            <w:pPr>
              <w:rPr>
                <w:rFonts w:cs="Arial"/>
                <w:b/>
                <w:bCs/>
                <w:szCs w:val="18"/>
              </w:rPr>
            </w:pPr>
            <w:r>
              <w:rPr>
                <w:rFonts w:cs="Arial"/>
                <w:b/>
                <w:bCs/>
                <w:szCs w:val="18"/>
              </w:rPr>
              <w:t>Education including: State Network and Corporate Functions</w:t>
            </w:r>
          </w:p>
        </w:tc>
        <w:tc>
          <w:tcPr>
            <w:tcW w:w="2156" w:type="dxa"/>
            <w:tcBorders>
              <w:top w:val="nil"/>
              <w:left w:val="nil"/>
              <w:bottom w:val="nil"/>
              <w:right w:val="nil"/>
            </w:tcBorders>
            <w:shd w:val="clear" w:color="FFFFFF" w:fill="FFFFFF"/>
            <w:hideMark/>
          </w:tcPr>
          <w:p w:rsidR="00735613" w:rsidRDefault="00735613">
            <w:pPr>
              <w:rPr>
                <w:rFonts w:cs="Arial"/>
                <w:b/>
                <w:bCs/>
                <w:szCs w:val="18"/>
              </w:rPr>
            </w:pPr>
            <w:r>
              <w:rPr>
                <w:rFonts w:cs="Arial"/>
                <w:b/>
                <w:bCs/>
                <w:szCs w:val="18"/>
              </w:rPr>
              <w:t>Education including: Higher Education, Research and International</w:t>
            </w:r>
          </w:p>
        </w:tc>
        <w:tc>
          <w:tcPr>
            <w:tcW w:w="1776" w:type="dxa"/>
            <w:tcBorders>
              <w:top w:val="nil"/>
              <w:left w:val="nil"/>
              <w:bottom w:val="nil"/>
              <w:right w:val="nil"/>
            </w:tcBorders>
            <w:shd w:val="clear" w:color="FFFFFF" w:fill="FFFFFF"/>
            <w:hideMark/>
          </w:tcPr>
          <w:p w:rsidR="00735613" w:rsidRDefault="00735613">
            <w:pPr>
              <w:rPr>
                <w:rFonts w:cs="Arial"/>
                <w:b/>
                <w:bCs/>
                <w:szCs w:val="18"/>
              </w:rPr>
            </w:pPr>
            <w:r>
              <w:rPr>
                <w:rFonts w:cs="Arial"/>
                <w:b/>
                <w:bCs/>
                <w:szCs w:val="18"/>
              </w:rPr>
              <w:t>Education including: Indigenous education</w:t>
            </w:r>
          </w:p>
        </w:tc>
        <w:tc>
          <w:tcPr>
            <w:tcW w:w="2756" w:type="dxa"/>
            <w:tcBorders>
              <w:top w:val="nil"/>
              <w:left w:val="nil"/>
              <w:bottom w:val="nil"/>
              <w:right w:val="nil"/>
            </w:tcBorders>
            <w:shd w:val="clear" w:color="FFFFFF" w:fill="FFFFFF"/>
            <w:hideMark/>
          </w:tcPr>
          <w:p w:rsidR="00735613" w:rsidRDefault="00735613">
            <w:pPr>
              <w:rPr>
                <w:rFonts w:cs="Arial"/>
                <w:b/>
                <w:bCs/>
                <w:szCs w:val="18"/>
              </w:rPr>
            </w:pPr>
            <w:r>
              <w:rPr>
                <w:rFonts w:cs="Arial"/>
                <w:b/>
                <w:bCs/>
                <w:szCs w:val="18"/>
              </w:rPr>
              <w:t>Corporate functions supporting Working Age Payments and Disability Employment Services</w:t>
            </w:r>
          </w:p>
        </w:tc>
      </w:tr>
      <w:tr w:rsidR="00735613" w:rsidTr="00735613">
        <w:trPr>
          <w:trHeight w:val="756"/>
        </w:trPr>
        <w:tc>
          <w:tcPr>
            <w:tcW w:w="2911" w:type="dxa"/>
            <w:tcBorders>
              <w:top w:val="nil"/>
              <w:left w:val="nil"/>
              <w:bottom w:val="nil"/>
              <w:right w:val="nil"/>
            </w:tcBorders>
            <w:shd w:val="clear" w:color="FFFFFF" w:fill="FFFFFF"/>
            <w:noWrap/>
            <w:hideMark/>
          </w:tcPr>
          <w:p w:rsidR="00735613" w:rsidRDefault="00735613" w:rsidP="00735613">
            <w:pPr>
              <w:rPr>
                <w:rFonts w:ascii="Arial" w:hAnsi="Arial" w:cs="Arial"/>
                <w:b/>
                <w:bCs/>
                <w:szCs w:val="18"/>
              </w:rPr>
            </w:pPr>
            <w:r>
              <w:rPr>
                <w:rFonts w:ascii="Arial" w:hAnsi="Arial" w:cs="Arial"/>
                <w:b/>
                <w:bCs/>
                <w:szCs w:val="18"/>
              </w:rPr>
              <w:t>Entity</w:t>
            </w:r>
          </w:p>
        </w:tc>
        <w:tc>
          <w:tcPr>
            <w:tcW w:w="2201" w:type="dxa"/>
            <w:tcBorders>
              <w:top w:val="nil"/>
              <w:left w:val="nil"/>
              <w:bottom w:val="nil"/>
              <w:right w:val="nil"/>
            </w:tcBorders>
            <w:shd w:val="clear" w:color="FFFFFF" w:fill="FFFFFF"/>
            <w:hideMark/>
          </w:tcPr>
          <w:p w:rsidR="00735613" w:rsidRDefault="00735613">
            <w:pPr>
              <w:rPr>
                <w:rFonts w:cs="Arial"/>
                <w:b/>
                <w:bCs/>
                <w:szCs w:val="18"/>
              </w:rPr>
            </w:pPr>
            <w:r>
              <w:rPr>
                <w:rFonts w:cs="Arial"/>
                <w:b/>
                <w:bCs/>
                <w:szCs w:val="18"/>
              </w:rPr>
              <w:t>Department of Education, Employment and Workplace Relations</w:t>
            </w:r>
            <w:r>
              <w:rPr>
                <w:rFonts w:cs="Arial"/>
                <w:b/>
                <w:bCs/>
                <w:szCs w:val="18"/>
                <w:vertAlign w:val="superscript"/>
              </w:rPr>
              <w:t>3</w:t>
            </w:r>
          </w:p>
        </w:tc>
        <w:tc>
          <w:tcPr>
            <w:tcW w:w="2616" w:type="dxa"/>
            <w:tcBorders>
              <w:top w:val="nil"/>
              <w:left w:val="nil"/>
              <w:bottom w:val="nil"/>
              <w:right w:val="nil"/>
            </w:tcBorders>
            <w:shd w:val="clear" w:color="FFFFFF" w:fill="FFFFFF"/>
            <w:hideMark/>
          </w:tcPr>
          <w:p w:rsidR="00735613" w:rsidRDefault="00735613">
            <w:pPr>
              <w:rPr>
                <w:rFonts w:cs="Arial"/>
                <w:b/>
                <w:bCs/>
                <w:szCs w:val="18"/>
              </w:rPr>
            </w:pPr>
            <w:r>
              <w:rPr>
                <w:rFonts w:cs="Arial"/>
                <w:b/>
                <w:bCs/>
                <w:szCs w:val="18"/>
              </w:rPr>
              <w:t>Department of Employment</w:t>
            </w:r>
            <w:r>
              <w:rPr>
                <w:rFonts w:cs="Arial"/>
                <w:b/>
                <w:bCs/>
                <w:szCs w:val="18"/>
                <w:vertAlign w:val="superscript"/>
              </w:rPr>
              <w:t>4</w:t>
            </w:r>
          </w:p>
        </w:tc>
        <w:tc>
          <w:tcPr>
            <w:tcW w:w="2156" w:type="dxa"/>
            <w:tcBorders>
              <w:top w:val="nil"/>
              <w:left w:val="nil"/>
              <w:bottom w:val="nil"/>
              <w:right w:val="nil"/>
            </w:tcBorders>
            <w:shd w:val="clear" w:color="FFFFFF" w:fill="FFFFFF"/>
            <w:hideMark/>
          </w:tcPr>
          <w:p w:rsidR="00735613" w:rsidRDefault="00735613">
            <w:pPr>
              <w:rPr>
                <w:rFonts w:cs="Arial"/>
                <w:b/>
                <w:bCs/>
                <w:szCs w:val="18"/>
              </w:rPr>
            </w:pPr>
            <w:r>
              <w:rPr>
                <w:rFonts w:cs="Arial"/>
                <w:b/>
                <w:bCs/>
                <w:szCs w:val="18"/>
              </w:rPr>
              <w:t>Department of Industry</w:t>
            </w:r>
            <w:r>
              <w:rPr>
                <w:rFonts w:cs="Arial"/>
                <w:b/>
                <w:bCs/>
                <w:szCs w:val="18"/>
                <w:vertAlign w:val="superscript"/>
              </w:rPr>
              <w:t>5</w:t>
            </w:r>
          </w:p>
        </w:tc>
        <w:tc>
          <w:tcPr>
            <w:tcW w:w="1776" w:type="dxa"/>
            <w:tcBorders>
              <w:top w:val="nil"/>
              <w:left w:val="nil"/>
              <w:bottom w:val="nil"/>
              <w:right w:val="nil"/>
            </w:tcBorders>
            <w:shd w:val="clear" w:color="FFFFFF" w:fill="FFFFFF"/>
            <w:hideMark/>
          </w:tcPr>
          <w:p w:rsidR="00735613" w:rsidRDefault="00735613">
            <w:pPr>
              <w:rPr>
                <w:rFonts w:cs="Arial"/>
                <w:b/>
                <w:bCs/>
                <w:szCs w:val="18"/>
              </w:rPr>
            </w:pPr>
            <w:r>
              <w:rPr>
                <w:rFonts w:cs="Arial"/>
                <w:b/>
                <w:bCs/>
                <w:szCs w:val="18"/>
              </w:rPr>
              <w:t>Department of the Prime Minister and Cabinet</w:t>
            </w:r>
            <w:r>
              <w:rPr>
                <w:rFonts w:cs="Arial"/>
                <w:b/>
                <w:bCs/>
                <w:szCs w:val="18"/>
                <w:vertAlign w:val="superscript"/>
              </w:rPr>
              <w:t>6</w:t>
            </w:r>
          </w:p>
        </w:tc>
        <w:tc>
          <w:tcPr>
            <w:tcW w:w="2756" w:type="dxa"/>
            <w:tcBorders>
              <w:top w:val="nil"/>
              <w:left w:val="nil"/>
              <w:bottom w:val="nil"/>
              <w:right w:val="nil"/>
            </w:tcBorders>
            <w:shd w:val="clear" w:color="FFFFFF" w:fill="FFFFFF"/>
            <w:hideMark/>
          </w:tcPr>
          <w:p w:rsidR="00735613" w:rsidRDefault="00735613">
            <w:pPr>
              <w:rPr>
                <w:rFonts w:cs="Arial"/>
                <w:b/>
                <w:bCs/>
                <w:szCs w:val="18"/>
              </w:rPr>
            </w:pPr>
            <w:r>
              <w:rPr>
                <w:rFonts w:cs="Arial"/>
                <w:b/>
                <w:bCs/>
                <w:szCs w:val="18"/>
              </w:rPr>
              <w:t>Department of Social Services</w:t>
            </w:r>
            <w:r>
              <w:rPr>
                <w:rFonts w:cs="Arial"/>
                <w:b/>
                <w:bCs/>
                <w:szCs w:val="18"/>
                <w:vertAlign w:val="superscript"/>
              </w:rPr>
              <w:t>7</w:t>
            </w:r>
          </w:p>
        </w:tc>
      </w:tr>
      <w:tr w:rsidR="00735613" w:rsidTr="00735613">
        <w:trPr>
          <w:trHeight w:val="264"/>
        </w:trPr>
        <w:tc>
          <w:tcPr>
            <w:tcW w:w="2911" w:type="dxa"/>
            <w:tcBorders>
              <w:top w:val="nil"/>
              <w:left w:val="nil"/>
              <w:bottom w:val="single" w:sz="4" w:space="0" w:color="auto"/>
              <w:right w:val="nil"/>
            </w:tcBorders>
            <w:shd w:val="clear" w:color="FFFFFF" w:fill="FFFFFF"/>
            <w:vAlign w:val="bottom"/>
            <w:hideMark/>
          </w:tcPr>
          <w:p w:rsidR="00735613" w:rsidRDefault="00735613" w:rsidP="00735613">
            <w:pPr>
              <w:rPr>
                <w:rFonts w:cs="Arial"/>
                <w:b/>
                <w:bCs/>
                <w:szCs w:val="18"/>
              </w:rPr>
            </w:pPr>
            <w:r>
              <w:rPr>
                <w:rFonts w:cs="Arial"/>
                <w:b/>
                <w:bCs/>
                <w:szCs w:val="18"/>
              </w:rPr>
              <w:t> </w:t>
            </w:r>
          </w:p>
        </w:tc>
        <w:tc>
          <w:tcPr>
            <w:tcW w:w="2201"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261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215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77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275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r>
      <w:tr w:rsidR="00735613" w:rsidTr="00735613">
        <w:trPr>
          <w:trHeight w:val="264"/>
        </w:trPr>
        <w:tc>
          <w:tcPr>
            <w:tcW w:w="2911" w:type="dxa"/>
            <w:tcBorders>
              <w:top w:val="nil"/>
              <w:left w:val="nil"/>
              <w:bottom w:val="nil"/>
              <w:right w:val="nil"/>
            </w:tcBorders>
            <w:shd w:val="clear" w:color="FFFFFF" w:fill="FFFFFF"/>
            <w:vAlign w:val="bottom"/>
            <w:hideMark/>
          </w:tcPr>
          <w:p w:rsidR="00735613" w:rsidRDefault="00735613" w:rsidP="00735613">
            <w:pPr>
              <w:rPr>
                <w:rFonts w:cs="Arial"/>
                <w:b/>
                <w:bCs/>
                <w:szCs w:val="18"/>
              </w:rPr>
            </w:pPr>
            <w:r>
              <w:rPr>
                <w:rFonts w:cs="Arial"/>
                <w:b/>
                <w:bCs/>
                <w:szCs w:val="18"/>
              </w:rPr>
              <w:t>FUNCTION ASSUMED</w:t>
            </w:r>
          </w:p>
        </w:tc>
        <w:tc>
          <w:tcPr>
            <w:tcW w:w="2201"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61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15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177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75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r>
      <w:tr w:rsidR="00735613" w:rsidTr="00735613">
        <w:trPr>
          <w:trHeight w:val="264"/>
        </w:trPr>
        <w:tc>
          <w:tcPr>
            <w:tcW w:w="2911" w:type="dxa"/>
            <w:tcBorders>
              <w:top w:val="nil"/>
              <w:left w:val="nil"/>
              <w:bottom w:val="nil"/>
              <w:right w:val="nil"/>
            </w:tcBorders>
            <w:shd w:val="clear" w:color="FFFFFF" w:fill="FFFFFF"/>
            <w:vAlign w:val="bottom"/>
            <w:hideMark/>
          </w:tcPr>
          <w:p w:rsidR="00735613" w:rsidRDefault="00735613" w:rsidP="00735613">
            <w:pPr>
              <w:rPr>
                <w:rFonts w:cs="Arial"/>
                <w:b/>
                <w:bCs/>
                <w:szCs w:val="18"/>
              </w:rPr>
            </w:pPr>
            <w:r>
              <w:rPr>
                <w:rFonts w:cs="Arial"/>
                <w:b/>
                <w:bCs/>
                <w:szCs w:val="18"/>
              </w:rPr>
              <w:t>Assets recognised</w:t>
            </w:r>
          </w:p>
        </w:tc>
        <w:tc>
          <w:tcPr>
            <w:tcW w:w="220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 </w:t>
            </w:r>
          </w:p>
        </w:tc>
        <w:tc>
          <w:tcPr>
            <w:tcW w:w="215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 </w:t>
            </w:r>
          </w:p>
        </w:tc>
        <w:tc>
          <w:tcPr>
            <w:tcW w:w="177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 </w:t>
            </w:r>
          </w:p>
        </w:tc>
        <w:tc>
          <w:tcPr>
            <w:tcW w:w="275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ind w:leftChars="100" w:left="180"/>
              <w:rPr>
                <w:rFonts w:cs="Arial"/>
                <w:szCs w:val="18"/>
              </w:rPr>
            </w:pPr>
            <w:r>
              <w:rPr>
                <w:rFonts w:cs="Arial"/>
                <w:szCs w:val="18"/>
              </w:rPr>
              <w:t>Cash and cash equivalents</w:t>
            </w:r>
          </w:p>
        </w:tc>
        <w:tc>
          <w:tcPr>
            <w:tcW w:w="220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2,618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1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77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7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ind w:leftChars="100" w:left="180"/>
              <w:rPr>
                <w:rFonts w:cs="Arial"/>
                <w:szCs w:val="18"/>
              </w:rPr>
            </w:pPr>
            <w:r>
              <w:rPr>
                <w:rFonts w:cs="Arial"/>
                <w:szCs w:val="18"/>
              </w:rPr>
              <w:t>Trade and other receivables</w:t>
            </w:r>
          </w:p>
        </w:tc>
        <w:tc>
          <w:tcPr>
            <w:tcW w:w="220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19,789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1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2,066 </w:t>
            </w:r>
          </w:p>
        </w:tc>
        <w:tc>
          <w:tcPr>
            <w:tcW w:w="177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7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ind w:leftChars="100" w:left="180"/>
              <w:rPr>
                <w:rFonts w:cs="Arial"/>
                <w:szCs w:val="18"/>
              </w:rPr>
            </w:pPr>
            <w:r>
              <w:rPr>
                <w:rFonts w:cs="Arial"/>
                <w:szCs w:val="18"/>
              </w:rPr>
              <w:t>Other financial assets</w:t>
            </w:r>
          </w:p>
        </w:tc>
        <w:tc>
          <w:tcPr>
            <w:tcW w:w="220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2,395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1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77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7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ind w:leftChars="100" w:left="180"/>
              <w:rPr>
                <w:rFonts w:cs="Arial"/>
                <w:szCs w:val="18"/>
              </w:rPr>
            </w:pPr>
            <w:r>
              <w:rPr>
                <w:rFonts w:cs="Arial"/>
                <w:szCs w:val="18"/>
              </w:rPr>
              <w:t>Land and buildings</w:t>
            </w:r>
          </w:p>
        </w:tc>
        <w:tc>
          <w:tcPr>
            <w:tcW w:w="220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57,229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1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487 </w:t>
            </w:r>
          </w:p>
        </w:tc>
        <w:tc>
          <w:tcPr>
            <w:tcW w:w="177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7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ind w:leftChars="100" w:left="180"/>
              <w:rPr>
                <w:rFonts w:cs="Arial"/>
                <w:szCs w:val="18"/>
              </w:rPr>
            </w:pPr>
            <w:r>
              <w:rPr>
                <w:rFonts w:cs="Arial"/>
                <w:szCs w:val="18"/>
              </w:rPr>
              <w:t>Property, plant and equipment</w:t>
            </w:r>
          </w:p>
        </w:tc>
        <w:tc>
          <w:tcPr>
            <w:tcW w:w="220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11,310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1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218 </w:t>
            </w:r>
          </w:p>
        </w:tc>
        <w:tc>
          <w:tcPr>
            <w:tcW w:w="177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7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ind w:leftChars="100" w:left="180"/>
              <w:rPr>
                <w:rFonts w:cs="Arial"/>
                <w:szCs w:val="18"/>
              </w:rPr>
            </w:pPr>
            <w:r>
              <w:rPr>
                <w:rFonts w:cs="Arial"/>
                <w:szCs w:val="18"/>
              </w:rPr>
              <w:t>Intangibles</w:t>
            </w:r>
          </w:p>
        </w:tc>
        <w:tc>
          <w:tcPr>
            <w:tcW w:w="220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43,407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1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14,510 </w:t>
            </w:r>
          </w:p>
        </w:tc>
        <w:tc>
          <w:tcPr>
            <w:tcW w:w="177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7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ind w:leftChars="100" w:left="180"/>
              <w:rPr>
                <w:rFonts w:cs="Arial"/>
                <w:szCs w:val="18"/>
              </w:rPr>
            </w:pPr>
            <w:r>
              <w:rPr>
                <w:rFonts w:cs="Arial"/>
                <w:szCs w:val="18"/>
              </w:rPr>
              <w:t>Other non-financial assets</w:t>
            </w:r>
          </w:p>
        </w:tc>
        <w:tc>
          <w:tcPr>
            <w:tcW w:w="220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8,145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1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554 </w:t>
            </w:r>
          </w:p>
        </w:tc>
        <w:tc>
          <w:tcPr>
            <w:tcW w:w="177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7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2911" w:type="dxa"/>
            <w:tcBorders>
              <w:top w:val="single" w:sz="4" w:space="0" w:color="auto"/>
              <w:left w:val="nil"/>
              <w:bottom w:val="single" w:sz="4" w:space="0" w:color="auto"/>
              <w:right w:val="nil"/>
            </w:tcBorders>
            <w:shd w:val="clear" w:color="FFFFFF" w:fill="FFFFFF"/>
            <w:vAlign w:val="bottom"/>
            <w:hideMark/>
          </w:tcPr>
          <w:p w:rsidR="00735613" w:rsidRDefault="00735613" w:rsidP="00735613">
            <w:pPr>
              <w:rPr>
                <w:rFonts w:cs="Arial"/>
                <w:b/>
                <w:bCs/>
                <w:szCs w:val="18"/>
              </w:rPr>
            </w:pPr>
            <w:r>
              <w:rPr>
                <w:rFonts w:cs="Arial"/>
                <w:b/>
                <w:bCs/>
                <w:szCs w:val="18"/>
              </w:rPr>
              <w:t>Total assets recognised</w:t>
            </w:r>
          </w:p>
        </w:tc>
        <w:tc>
          <w:tcPr>
            <w:tcW w:w="220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144,893</w:t>
            </w:r>
          </w:p>
        </w:tc>
        <w:tc>
          <w:tcPr>
            <w:tcW w:w="261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21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17,835</w:t>
            </w:r>
          </w:p>
        </w:tc>
        <w:tc>
          <w:tcPr>
            <w:tcW w:w="177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27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2911" w:type="dxa"/>
            <w:tcBorders>
              <w:top w:val="nil"/>
              <w:left w:val="nil"/>
              <w:bottom w:val="nil"/>
              <w:right w:val="nil"/>
            </w:tcBorders>
            <w:shd w:val="clear" w:color="FFFFFF" w:fill="FFFFFF"/>
            <w:vAlign w:val="bottom"/>
            <w:hideMark/>
          </w:tcPr>
          <w:p w:rsidR="00735613" w:rsidRDefault="00735613" w:rsidP="00735613">
            <w:pPr>
              <w:rPr>
                <w:rFonts w:cs="Arial"/>
                <w:b/>
                <w:bCs/>
                <w:szCs w:val="18"/>
              </w:rPr>
            </w:pPr>
            <w:r>
              <w:rPr>
                <w:rFonts w:cs="Arial"/>
                <w:b/>
                <w:bCs/>
                <w:szCs w:val="18"/>
              </w:rPr>
              <w:t> </w:t>
            </w:r>
          </w:p>
        </w:tc>
        <w:tc>
          <w:tcPr>
            <w:tcW w:w="2201"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61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15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177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75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r>
      <w:tr w:rsidR="00735613" w:rsidTr="00735613">
        <w:trPr>
          <w:trHeight w:val="264"/>
        </w:trPr>
        <w:tc>
          <w:tcPr>
            <w:tcW w:w="2911" w:type="dxa"/>
            <w:tcBorders>
              <w:top w:val="nil"/>
              <w:left w:val="nil"/>
              <w:bottom w:val="nil"/>
              <w:right w:val="nil"/>
            </w:tcBorders>
            <w:shd w:val="clear" w:color="FFFFFF" w:fill="FFFFFF"/>
            <w:vAlign w:val="bottom"/>
            <w:hideMark/>
          </w:tcPr>
          <w:p w:rsidR="00735613" w:rsidRDefault="00735613" w:rsidP="00735613">
            <w:pPr>
              <w:rPr>
                <w:rFonts w:cs="Arial"/>
                <w:b/>
                <w:bCs/>
                <w:szCs w:val="18"/>
              </w:rPr>
            </w:pPr>
            <w:r>
              <w:rPr>
                <w:rFonts w:cs="Arial"/>
                <w:b/>
                <w:bCs/>
                <w:szCs w:val="18"/>
              </w:rPr>
              <w:t>Liabilities recognised</w:t>
            </w:r>
          </w:p>
        </w:tc>
        <w:tc>
          <w:tcPr>
            <w:tcW w:w="2201"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61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15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177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75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ind w:leftChars="100" w:left="180"/>
              <w:rPr>
                <w:rFonts w:cs="Arial"/>
                <w:szCs w:val="18"/>
              </w:rPr>
            </w:pPr>
            <w:r>
              <w:rPr>
                <w:rFonts w:cs="Arial"/>
                <w:szCs w:val="18"/>
              </w:rPr>
              <w:t>Suppliers</w:t>
            </w:r>
          </w:p>
        </w:tc>
        <w:tc>
          <w:tcPr>
            <w:tcW w:w="220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8,203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1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77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7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ind w:leftChars="100" w:left="180"/>
              <w:rPr>
                <w:rFonts w:cs="Arial"/>
                <w:szCs w:val="18"/>
              </w:rPr>
            </w:pPr>
            <w:r>
              <w:rPr>
                <w:rFonts w:cs="Arial"/>
                <w:szCs w:val="18"/>
              </w:rPr>
              <w:t>Other payables</w:t>
            </w:r>
          </w:p>
        </w:tc>
        <w:tc>
          <w:tcPr>
            <w:tcW w:w="220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27,309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1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660 </w:t>
            </w:r>
          </w:p>
        </w:tc>
        <w:tc>
          <w:tcPr>
            <w:tcW w:w="177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7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ind w:leftChars="100" w:left="180"/>
              <w:rPr>
                <w:rFonts w:cs="Arial"/>
                <w:szCs w:val="18"/>
              </w:rPr>
            </w:pPr>
            <w:r>
              <w:rPr>
                <w:rFonts w:cs="Arial"/>
                <w:szCs w:val="18"/>
              </w:rPr>
              <w:t>Employee provisions</w:t>
            </w:r>
          </w:p>
        </w:tc>
        <w:tc>
          <w:tcPr>
            <w:tcW w:w="220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59,126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6,504 </w:t>
            </w:r>
          </w:p>
        </w:tc>
        <w:tc>
          <w:tcPr>
            <w:tcW w:w="21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14,023 </w:t>
            </w:r>
          </w:p>
        </w:tc>
        <w:tc>
          <w:tcPr>
            <w:tcW w:w="177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7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ind w:leftChars="100" w:left="180"/>
              <w:rPr>
                <w:rFonts w:cs="Arial"/>
                <w:szCs w:val="18"/>
              </w:rPr>
            </w:pPr>
            <w:r>
              <w:rPr>
                <w:rFonts w:cs="Arial"/>
                <w:szCs w:val="18"/>
              </w:rPr>
              <w:t>Other provisions</w:t>
            </w:r>
          </w:p>
        </w:tc>
        <w:tc>
          <w:tcPr>
            <w:tcW w:w="220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1,864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1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77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7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2911" w:type="dxa"/>
            <w:tcBorders>
              <w:top w:val="single" w:sz="4" w:space="0" w:color="auto"/>
              <w:left w:val="nil"/>
              <w:bottom w:val="single" w:sz="4" w:space="0" w:color="auto"/>
              <w:right w:val="nil"/>
            </w:tcBorders>
            <w:shd w:val="clear" w:color="FFFFFF" w:fill="FFFFFF"/>
            <w:vAlign w:val="bottom"/>
            <w:hideMark/>
          </w:tcPr>
          <w:p w:rsidR="00735613" w:rsidRDefault="00735613" w:rsidP="00735613">
            <w:pPr>
              <w:rPr>
                <w:rFonts w:cs="Arial"/>
                <w:b/>
                <w:bCs/>
                <w:szCs w:val="18"/>
              </w:rPr>
            </w:pPr>
            <w:r>
              <w:rPr>
                <w:rFonts w:cs="Arial"/>
                <w:b/>
                <w:bCs/>
                <w:szCs w:val="18"/>
              </w:rPr>
              <w:t>Total liabilities recognised</w:t>
            </w:r>
          </w:p>
        </w:tc>
        <w:tc>
          <w:tcPr>
            <w:tcW w:w="220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96,502</w:t>
            </w:r>
          </w:p>
        </w:tc>
        <w:tc>
          <w:tcPr>
            <w:tcW w:w="261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6,504</w:t>
            </w:r>
          </w:p>
        </w:tc>
        <w:tc>
          <w:tcPr>
            <w:tcW w:w="21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14,683</w:t>
            </w:r>
          </w:p>
        </w:tc>
        <w:tc>
          <w:tcPr>
            <w:tcW w:w="177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27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2911" w:type="dxa"/>
            <w:tcBorders>
              <w:top w:val="nil"/>
              <w:left w:val="nil"/>
              <w:bottom w:val="single" w:sz="4" w:space="0" w:color="auto"/>
              <w:right w:val="nil"/>
            </w:tcBorders>
            <w:shd w:val="clear" w:color="FFFFFF" w:fill="FFFFFF"/>
            <w:vAlign w:val="bottom"/>
            <w:hideMark/>
          </w:tcPr>
          <w:p w:rsidR="00735613" w:rsidRDefault="00735613" w:rsidP="00735613">
            <w:pPr>
              <w:rPr>
                <w:rFonts w:cs="Arial"/>
                <w:b/>
                <w:bCs/>
                <w:szCs w:val="18"/>
              </w:rPr>
            </w:pPr>
            <w:r>
              <w:rPr>
                <w:rFonts w:cs="Arial"/>
                <w:b/>
                <w:bCs/>
                <w:szCs w:val="18"/>
              </w:rPr>
              <w:t>Net assets recognised</w:t>
            </w:r>
          </w:p>
        </w:tc>
        <w:tc>
          <w:tcPr>
            <w:tcW w:w="2201"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48,391</w:t>
            </w:r>
          </w:p>
        </w:tc>
        <w:tc>
          <w:tcPr>
            <w:tcW w:w="2616"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(6,504)</w:t>
            </w:r>
          </w:p>
        </w:tc>
        <w:tc>
          <w:tcPr>
            <w:tcW w:w="2156"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3,152</w:t>
            </w:r>
          </w:p>
        </w:tc>
        <w:tc>
          <w:tcPr>
            <w:tcW w:w="1776"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2756"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2911" w:type="dxa"/>
            <w:tcBorders>
              <w:top w:val="nil"/>
              <w:left w:val="nil"/>
              <w:bottom w:val="nil"/>
              <w:right w:val="nil"/>
            </w:tcBorders>
            <w:shd w:val="clear" w:color="FFFFFF" w:fill="FFFFFF"/>
            <w:vAlign w:val="bottom"/>
            <w:hideMark/>
          </w:tcPr>
          <w:p w:rsidR="00735613" w:rsidRDefault="00735613" w:rsidP="00735613">
            <w:pPr>
              <w:rPr>
                <w:rFonts w:cs="Arial"/>
                <w:b/>
                <w:bCs/>
                <w:szCs w:val="18"/>
              </w:rPr>
            </w:pPr>
            <w:r>
              <w:rPr>
                <w:rFonts w:cs="Arial"/>
                <w:b/>
                <w:bCs/>
                <w:szCs w:val="18"/>
              </w:rPr>
              <w:t> </w:t>
            </w:r>
          </w:p>
        </w:tc>
        <w:tc>
          <w:tcPr>
            <w:tcW w:w="2201"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61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15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177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75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r>
      <w:tr w:rsidR="00735613" w:rsidTr="00735613">
        <w:trPr>
          <w:trHeight w:val="264"/>
        </w:trPr>
        <w:tc>
          <w:tcPr>
            <w:tcW w:w="2911" w:type="dxa"/>
            <w:tcBorders>
              <w:top w:val="nil"/>
              <w:left w:val="nil"/>
              <w:bottom w:val="nil"/>
              <w:right w:val="nil"/>
            </w:tcBorders>
            <w:shd w:val="clear" w:color="FFFFFF" w:fill="FFFFFF"/>
            <w:vAlign w:val="bottom"/>
            <w:hideMark/>
          </w:tcPr>
          <w:p w:rsidR="00735613" w:rsidRDefault="00735613" w:rsidP="00735613">
            <w:pPr>
              <w:rPr>
                <w:rFonts w:cs="Arial"/>
                <w:b/>
                <w:bCs/>
                <w:szCs w:val="18"/>
              </w:rPr>
            </w:pPr>
            <w:r>
              <w:rPr>
                <w:rFonts w:cs="Arial"/>
                <w:b/>
                <w:bCs/>
                <w:szCs w:val="18"/>
              </w:rPr>
              <w:t> </w:t>
            </w:r>
          </w:p>
        </w:tc>
        <w:tc>
          <w:tcPr>
            <w:tcW w:w="2201"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61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15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177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75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r>
      <w:tr w:rsidR="00735613" w:rsidTr="00735613">
        <w:trPr>
          <w:trHeight w:val="732"/>
        </w:trPr>
        <w:tc>
          <w:tcPr>
            <w:tcW w:w="2911" w:type="dxa"/>
            <w:tcBorders>
              <w:top w:val="nil"/>
              <w:left w:val="nil"/>
              <w:bottom w:val="nil"/>
              <w:right w:val="nil"/>
            </w:tcBorders>
            <w:shd w:val="clear" w:color="FFFFFF" w:fill="FFFFFF"/>
            <w:vAlign w:val="bottom"/>
            <w:hideMark/>
          </w:tcPr>
          <w:p w:rsidR="00735613" w:rsidRDefault="00735613" w:rsidP="00735613">
            <w:pPr>
              <w:rPr>
                <w:rFonts w:cs="Arial"/>
                <w:b/>
                <w:bCs/>
                <w:szCs w:val="18"/>
              </w:rPr>
            </w:pPr>
            <w:r>
              <w:rPr>
                <w:rFonts w:cs="Arial"/>
                <w:b/>
                <w:bCs/>
                <w:szCs w:val="18"/>
              </w:rPr>
              <w:t> </w:t>
            </w:r>
          </w:p>
        </w:tc>
        <w:tc>
          <w:tcPr>
            <w:tcW w:w="2201"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61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15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177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75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r>
      <w:tr w:rsidR="00735613" w:rsidTr="00735613">
        <w:trPr>
          <w:trHeight w:val="264"/>
        </w:trPr>
        <w:tc>
          <w:tcPr>
            <w:tcW w:w="2911" w:type="dxa"/>
            <w:tcBorders>
              <w:top w:val="nil"/>
              <w:left w:val="nil"/>
              <w:bottom w:val="nil"/>
              <w:right w:val="nil"/>
            </w:tcBorders>
            <w:shd w:val="clear" w:color="FFFFFF" w:fill="FFFFFF"/>
            <w:vAlign w:val="bottom"/>
            <w:hideMark/>
          </w:tcPr>
          <w:p w:rsidR="00735613" w:rsidRDefault="00735613" w:rsidP="00735613">
            <w:pPr>
              <w:rPr>
                <w:rFonts w:cs="Arial"/>
                <w:b/>
                <w:bCs/>
                <w:szCs w:val="18"/>
              </w:rPr>
            </w:pPr>
            <w:r>
              <w:rPr>
                <w:rFonts w:cs="Arial"/>
                <w:b/>
                <w:bCs/>
                <w:szCs w:val="18"/>
              </w:rPr>
              <w:t> </w:t>
            </w:r>
          </w:p>
        </w:tc>
        <w:tc>
          <w:tcPr>
            <w:tcW w:w="2201"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61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15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177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75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rPr>
                <w:rFonts w:cs="Arial"/>
                <w:szCs w:val="18"/>
              </w:rPr>
            </w:pPr>
            <w:r>
              <w:rPr>
                <w:rFonts w:cs="Arial"/>
                <w:szCs w:val="18"/>
              </w:rPr>
              <w:t> </w:t>
            </w:r>
          </w:p>
        </w:tc>
        <w:tc>
          <w:tcPr>
            <w:tcW w:w="220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5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77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75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720"/>
        </w:trPr>
        <w:tc>
          <w:tcPr>
            <w:tcW w:w="2911" w:type="dxa"/>
            <w:tcBorders>
              <w:top w:val="single" w:sz="4" w:space="0" w:color="auto"/>
              <w:left w:val="nil"/>
              <w:bottom w:val="nil"/>
              <w:right w:val="nil"/>
            </w:tcBorders>
            <w:shd w:val="clear" w:color="FFFFFF" w:fill="FFFFFF"/>
            <w:noWrap/>
            <w:hideMark/>
          </w:tcPr>
          <w:p w:rsidR="00735613" w:rsidRDefault="00735613" w:rsidP="00735613">
            <w:pPr>
              <w:rPr>
                <w:rFonts w:ascii="Arial" w:hAnsi="Arial" w:cs="Arial"/>
                <w:b/>
                <w:bCs/>
                <w:szCs w:val="18"/>
              </w:rPr>
            </w:pPr>
            <w:r>
              <w:rPr>
                <w:rFonts w:ascii="Arial" w:hAnsi="Arial" w:cs="Arial"/>
                <w:b/>
                <w:bCs/>
                <w:szCs w:val="18"/>
              </w:rPr>
              <w:t>Function</w:t>
            </w:r>
          </w:p>
        </w:tc>
        <w:tc>
          <w:tcPr>
            <w:tcW w:w="2201" w:type="dxa"/>
            <w:tcBorders>
              <w:top w:val="single" w:sz="4" w:space="0" w:color="auto"/>
              <w:left w:val="nil"/>
              <w:bottom w:val="nil"/>
              <w:right w:val="nil"/>
            </w:tcBorders>
            <w:shd w:val="clear" w:color="FFFFFF" w:fill="FFFFFF"/>
            <w:hideMark/>
          </w:tcPr>
          <w:p w:rsidR="00735613" w:rsidRDefault="00735613">
            <w:pPr>
              <w:rPr>
                <w:rFonts w:cs="Arial"/>
                <w:b/>
                <w:bCs/>
                <w:szCs w:val="18"/>
              </w:rPr>
            </w:pPr>
            <w:r>
              <w:rPr>
                <w:rFonts w:cs="Arial"/>
                <w:b/>
                <w:bCs/>
                <w:szCs w:val="18"/>
              </w:rPr>
              <w:t>Education including: Early Childhood Education and Care and Schools and Youth</w:t>
            </w:r>
          </w:p>
        </w:tc>
        <w:tc>
          <w:tcPr>
            <w:tcW w:w="2616" w:type="dxa"/>
            <w:tcBorders>
              <w:top w:val="single" w:sz="4" w:space="0" w:color="auto"/>
              <w:left w:val="nil"/>
              <w:bottom w:val="nil"/>
              <w:right w:val="nil"/>
            </w:tcBorders>
            <w:shd w:val="clear" w:color="FFFFFF" w:fill="FFFFFF"/>
            <w:hideMark/>
          </w:tcPr>
          <w:p w:rsidR="00735613" w:rsidRDefault="00735613">
            <w:pPr>
              <w:rPr>
                <w:rFonts w:cs="Arial"/>
                <w:b/>
                <w:bCs/>
                <w:szCs w:val="18"/>
              </w:rPr>
            </w:pPr>
            <w:r>
              <w:rPr>
                <w:rFonts w:cs="Arial"/>
                <w:b/>
                <w:bCs/>
                <w:szCs w:val="18"/>
              </w:rPr>
              <w:t>Education including: State Network and Corporate Functions</w:t>
            </w:r>
          </w:p>
        </w:tc>
        <w:tc>
          <w:tcPr>
            <w:tcW w:w="2156" w:type="dxa"/>
            <w:tcBorders>
              <w:top w:val="single" w:sz="4" w:space="0" w:color="auto"/>
              <w:left w:val="nil"/>
              <w:bottom w:val="nil"/>
              <w:right w:val="nil"/>
            </w:tcBorders>
            <w:shd w:val="clear" w:color="FFFFFF" w:fill="FFFFFF"/>
            <w:hideMark/>
          </w:tcPr>
          <w:p w:rsidR="00735613" w:rsidRDefault="00735613">
            <w:pPr>
              <w:rPr>
                <w:rFonts w:cs="Arial"/>
                <w:b/>
                <w:bCs/>
                <w:szCs w:val="18"/>
              </w:rPr>
            </w:pPr>
            <w:r>
              <w:rPr>
                <w:rFonts w:cs="Arial"/>
                <w:b/>
                <w:bCs/>
                <w:szCs w:val="18"/>
              </w:rPr>
              <w:t>Education including: Higher Education, Research and International</w:t>
            </w:r>
          </w:p>
        </w:tc>
        <w:tc>
          <w:tcPr>
            <w:tcW w:w="1776" w:type="dxa"/>
            <w:tcBorders>
              <w:top w:val="single" w:sz="4" w:space="0" w:color="auto"/>
              <w:left w:val="nil"/>
              <w:bottom w:val="nil"/>
              <w:right w:val="nil"/>
            </w:tcBorders>
            <w:shd w:val="clear" w:color="FFFFFF" w:fill="FFFFFF"/>
            <w:hideMark/>
          </w:tcPr>
          <w:p w:rsidR="00735613" w:rsidRDefault="00735613">
            <w:pPr>
              <w:rPr>
                <w:rFonts w:cs="Arial"/>
                <w:b/>
                <w:bCs/>
                <w:szCs w:val="18"/>
              </w:rPr>
            </w:pPr>
            <w:r>
              <w:rPr>
                <w:rFonts w:cs="Arial"/>
                <w:b/>
                <w:bCs/>
                <w:szCs w:val="18"/>
              </w:rPr>
              <w:t>Education including Indigenous education</w:t>
            </w:r>
          </w:p>
        </w:tc>
        <w:tc>
          <w:tcPr>
            <w:tcW w:w="2756" w:type="dxa"/>
            <w:tcBorders>
              <w:top w:val="single" w:sz="4" w:space="0" w:color="auto"/>
              <w:left w:val="nil"/>
              <w:bottom w:val="nil"/>
              <w:right w:val="nil"/>
            </w:tcBorders>
            <w:shd w:val="clear" w:color="FFFFFF" w:fill="FFFFFF"/>
            <w:hideMark/>
          </w:tcPr>
          <w:p w:rsidR="00735613" w:rsidRDefault="00735613">
            <w:pPr>
              <w:rPr>
                <w:rFonts w:cs="Arial"/>
                <w:b/>
                <w:bCs/>
                <w:szCs w:val="18"/>
              </w:rPr>
            </w:pPr>
            <w:r>
              <w:rPr>
                <w:rFonts w:cs="Arial"/>
                <w:b/>
                <w:bCs/>
                <w:szCs w:val="18"/>
              </w:rPr>
              <w:t>Corporate functions supporting Working Age Payments and Disability Employment Services</w:t>
            </w:r>
          </w:p>
        </w:tc>
      </w:tr>
      <w:tr w:rsidR="00735613" w:rsidTr="00735613">
        <w:trPr>
          <w:trHeight w:val="756"/>
        </w:trPr>
        <w:tc>
          <w:tcPr>
            <w:tcW w:w="2911" w:type="dxa"/>
            <w:tcBorders>
              <w:top w:val="nil"/>
              <w:left w:val="nil"/>
              <w:bottom w:val="nil"/>
              <w:right w:val="nil"/>
            </w:tcBorders>
            <w:shd w:val="clear" w:color="FFFFFF" w:fill="FFFFFF"/>
            <w:noWrap/>
            <w:hideMark/>
          </w:tcPr>
          <w:p w:rsidR="00735613" w:rsidRDefault="00735613" w:rsidP="00735613">
            <w:pPr>
              <w:rPr>
                <w:rFonts w:ascii="Arial" w:hAnsi="Arial" w:cs="Arial"/>
                <w:b/>
                <w:bCs/>
                <w:szCs w:val="18"/>
              </w:rPr>
            </w:pPr>
            <w:r>
              <w:rPr>
                <w:rFonts w:ascii="Arial" w:hAnsi="Arial" w:cs="Arial"/>
                <w:b/>
                <w:bCs/>
                <w:szCs w:val="18"/>
              </w:rPr>
              <w:t>Entity</w:t>
            </w:r>
          </w:p>
        </w:tc>
        <w:tc>
          <w:tcPr>
            <w:tcW w:w="2201" w:type="dxa"/>
            <w:tcBorders>
              <w:top w:val="nil"/>
              <w:left w:val="nil"/>
              <w:bottom w:val="nil"/>
              <w:right w:val="nil"/>
            </w:tcBorders>
            <w:shd w:val="clear" w:color="FFFFFF" w:fill="FFFFFF"/>
            <w:hideMark/>
          </w:tcPr>
          <w:p w:rsidR="00735613" w:rsidRDefault="00735613">
            <w:pPr>
              <w:rPr>
                <w:rFonts w:cs="Arial"/>
                <w:b/>
                <w:bCs/>
                <w:szCs w:val="18"/>
              </w:rPr>
            </w:pPr>
            <w:r>
              <w:rPr>
                <w:rFonts w:cs="Arial"/>
                <w:b/>
                <w:bCs/>
                <w:szCs w:val="18"/>
              </w:rPr>
              <w:t>Department of Education, Employment and Workplace Relations</w:t>
            </w:r>
            <w:r>
              <w:rPr>
                <w:rFonts w:cs="Arial"/>
                <w:b/>
                <w:bCs/>
                <w:szCs w:val="18"/>
                <w:vertAlign w:val="superscript"/>
              </w:rPr>
              <w:t>3</w:t>
            </w:r>
          </w:p>
        </w:tc>
        <w:tc>
          <w:tcPr>
            <w:tcW w:w="2616" w:type="dxa"/>
            <w:tcBorders>
              <w:top w:val="nil"/>
              <w:left w:val="nil"/>
              <w:bottom w:val="nil"/>
              <w:right w:val="nil"/>
            </w:tcBorders>
            <w:shd w:val="clear" w:color="FFFFFF" w:fill="FFFFFF"/>
            <w:hideMark/>
          </w:tcPr>
          <w:p w:rsidR="00735613" w:rsidRDefault="00735613">
            <w:pPr>
              <w:rPr>
                <w:rFonts w:cs="Arial"/>
                <w:b/>
                <w:bCs/>
                <w:szCs w:val="18"/>
              </w:rPr>
            </w:pPr>
            <w:r>
              <w:rPr>
                <w:rFonts w:cs="Arial"/>
                <w:b/>
                <w:bCs/>
                <w:szCs w:val="18"/>
              </w:rPr>
              <w:t>Department of Employment</w:t>
            </w:r>
            <w:r>
              <w:rPr>
                <w:rFonts w:cs="Arial"/>
                <w:b/>
                <w:bCs/>
                <w:szCs w:val="18"/>
                <w:vertAlign w:val="superscript"/>
              </w:rPr>
              <w:t>4</w:t>
            </w:r>
          </w:p>
        </w:tc>
        <w:tc>
          <w:tcPr>
            <w:tcW w:w="2156" w:type="dxa"/>
            <w:tcBorders>
              <w:top w:val="nil"/>
              <w:left w:val="nil"/>
              <w:bottom w:val="nil"/>
              <w:right w:val="nil"/>
            </w:tcBorders>
            <w:shd w:val="clear" w:color="FFFFFF" w:fill="FFFFFF"/>
            <w:hideMark/>
          </w:tcPr>
          <w:p w:rsidR="00735613" w:rsidRDefault="00735613">
            <w:pPr>
              <w:rPr>
                <w:rFonts w:cs="Arial"/>
                <w:b/>
                <w:bCs/>
                <w:szCs w:val="18"/>
              </w:rPr>
            </w:pPr>
            <w:r>
              <w:rPr>
                <w:rFonts w:cs="Arial"/>
                <w:b/>
                <w:bCs/>
                <w:szCs w:val="18"/>
              </w:rPr>
              <w:t>Department of Industry</w:t>
            </w:r>
            <w:r>
              <w:rPr>
                <w:rFonts w:cs="Arial"/>
                <w:b/>
                <w:bCs/>
                <w:szCs w:val="18"/>
                <w:vertAlign w:val="superscript"/>
              </w:rPr>
              <w:t>5</w:t>
            </w:r>
          </w:p>
        </w:tc>
        <w:tc>
          <w:tcPr>
            <w:tcW w:w="1776" w:type="dxa"/>
            <w:tcBorders>
              <w:top w:val="nil"/>
              <w:left w:val="nil"/>
              <w:bottom w:val="nil"/>
              <w:right w:val="nil"/>
            </w:tcBorders>
            <w:shd w:val="clear" w:color="FFFFFF" w:fill="FFFFFF"/>
            <w:hideMark/>
          </w:tcPr>
          <w:p w:rsidR="00735613" w:rsidRDefault="00735613">
            <w:pPr>
              <w:rPr>
                <w:rFonts w:cs="Arial"/>
                <w:b/>
                <w:bCs/>
                <w:szCs w:val="18"/>
              </w:rPr>
            </w:pPr>
            <w:r>
              <w:rPr>
                <w:rFonts w:cs="Arial"/>
                <w:b/>
                <w:bCs/>
                <w:szCs w:val="18"/>
              </w:rPr>
              <w:t>Department of the Prime Minister and Cabinet</w:t>
            </w:r>
            <w:r>
              <w:rPr>
                <w:rFonts w:cs="Arial"/>
                <w:szCs w:val="18"/>
                <w:vertAlign w:val="superscript"/>
              </w:rPr>
              <w:t>6</w:t>
            </w:r>
          </w:p>
        </w:tc>
        <w:tc>
          <w:tcPr>
            <w:tcW w:w="2756" w:type="dxa"/>
            <w:tcBorders>
              <w:top w:val="nil"/>
              <w:left w:val="nil"/>
              <w:bottom w:val="nil"/>
              <w:right w:val="nil"/>
            </w:tcBorders>
            <w:shd w:val="clear" w:color="FFFFFF" w:fill="FFFFFF"/>
            <w:hideMark/>
          </w:tcPr>
          <w:p w:rsidR="00735613" w:rsidRDefault="00735613">
            <w:pPr>
              <w:rPr>
                <w:rFonts w:cs="Arial"/>
                <w:b/>
                <w:bCs/>
                <w:szCs w:val="18"/>
              </w:rPr>
            </w:pPr>
            <w:r>
              <w:rPr>
                <w:rFonts w:cs="Arial"/>
                <w:b/>
                <w:bCs/>
                <w:szCs w:val="18"/>
              </w:rPr>
              <w:t>Department of Social Services</w:t>
            </w:r>
            <w:r>
              <w:rPr>
                <w:rFonts w:cs="Arial"/>
                <w:b/>
                <w:bCs/>
                <w:szCs w:val="18"/>
                <w:vertAlign w:val="superscript"/>
              </w:rPr>
              <w:t>7</w:t>
            </w:r>
          </w:p>
        </w:tc>
      </w:tr>
      <w:tr w:rsidR="00735613" w:rsidTr="00735613">
        <w:trPr>
          <w:trHeight w:val="264"/>
        </w:trPr>
        <w:tc>
          <w:tcPr>
            <w:tcW w:w="2911" w:type="dxa"/>
            <w:tcBorders>
              <w:top w:val="nil"/>
              <w:left w:val="nil"/>
              <w:bottom w:val="single" w:sz="4" w:space="0" w:color="auto"/>
              <w:right w:val="nil"/>
            </w:tcBorders>
            <w:shd w:val="clear" w:color="FFFFFF" w:fill="FFFFFF"/>
            <w:vAlign w:val="bottom"/>
            <w:hideMark/>
          </w:tcPr>
          <w:p w:rsidR="00735613" w:rsidRDefault="00735613" w:rsidP="00735613">
            <w:pPr>
              <w:rPr>
                <w:rFonts w:cs="Arial"/>
                <w:b/>
                <w:bCs/>
                <w:szCs w:val="18"/>
              </w:rPr>
            </w:pPr>
            <w:r>
              <w:rPr>
                <w:rFonts w:cs="Arial"/>
                <w:b/>
                <w:bCs/>
                <w:szCs w:val="18"/>
              </w:rPr>
              <w:t> </w:t>
            </w:r>
          </w:p>
        </w:tc>
        <w:tc>
          <w:tcPr>
            <w:tcW w:w="2201"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261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215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77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275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rPr>
                <w:rFonts w:cs="Arial"/>
                <w:szCs w:val="18"/>
              </w:rPr>
            </w:pPr>
            <w:r>
              <w:rPr>
                <w:rFonts w:cs="Arial"/>
                <w:szCs w:val="18"/>
              </w:rPr>
              <w:t> </w:t>
            </w:r>
          </w:p>
        </w:tc>
        <w:tc>
          <w:tcPr>
            <w:tcW w:w="220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5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77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75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vAlign w:val="bottom"/>
            <w:hideMark/>
          </w:tcPr>
          <w:p w:rsidR="00735613" w:rsidRDefault="00735613" w:rsidP="00735613">
            <w:pPr>
              <w:rPr>
                <w:rFonts w:cs="Arial"/>
                <w:b/>
                <w:bCs/>
                <w:szCs w:val="18"/>
              </w:rPr>
            </w:pPr>
            <w:r>
              <w:rPr>
                <w:rFonts w:cs="Arial"/>
                <w:b/>
                <w:bCs/>
                <w:szCs w:val="18"/>
              </w:rPr>
              <w:t>FUNCTIONS RELINQUISHED</w:t>
            </w:r>
          </w:p>
        </w:tc>
        <w:tc>
          <w:tcPr>
            <w:tcW w:w="2201"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61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15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177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75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r>
      <w:tr w:rsidR="00735613" w:rsidTr="00735613">
        <w:trPr>
          <w:trHeight w:val="264"/>
        </w:trPr>
        <w:tc>
          <w:tcPr>
            <w:tcW w:w="2911" w:type="dxa"/>
            <w:tcBorders>
              <w:top w:val="nil"/>
              <w:left w:val="nil"/>
              <w:bottom w:val="nil"/>
              <w:right w:val="nil"/>
            </w:tcBorders>
            <w:shd w:val="clear" w:color="FFFFFF" w:fill="FFFFFF"/>
            <w:vAlign w:val="bottom"/>
            <w:hideMark/>
          </w:tcPr>
          <w:p w:rsidR="00735613" w:rsidRDefault="00735613" w:rsidP="00735613">
            <w:pPr>
              <w:rPr>
                <w:rFonts w:cs="Arial"/>
                <w:b/>
                <w:bCs/>
                <w:szCs w:val="18"/>
              </w:rPr>
            </w:pPr>
            <w:r>
              <w:rPr>
                <w:rFonts w:cs="Arial"/>
                <w:b/>
                <w:bCs/>
                <w:szCs w:val="18"/>
              </w:rPr>
              <w:t>Assets relinquished</w:t>
            </w:r>
          </w:p>
        </w:tc>
        <w:tc>
          <w:tcPr>
            <w:tcW w:w="220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 </w:t>
            </w:r>
          </w:p>
        </w:tc>
        <w:tc>
          <w:tcPr>
            <w:tcW w:w="215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 </w:t>
            </w:r>
          </w:p>
        </w:tc>
        <w:tc>
          <w:tcPr>
            <w:tcW w:w="177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 </w:t>
            </w:r>
          </w:p>
        </w:tc>
        <w:tc>
          <w:tcPr>
            <w:tcW w:w="275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ind w:leftChars="100" w:left="180"/>
              <w:rPr>
                <w:rFonts w:cs="Arial"/>
                <w:szCs w:val="18"/>
              </w:rPr>
            </w:pPr>
            <w:r>
              <w:rPr>
                <w:rFonts w:cs="Arial"/>
                <w:szCs w:val="18"/>
              </w:rPr>
              <w:t>Land and buildings</w:t>
            </w:r>
          </w:p>
        </w:tc>
        <w:tc>
          <w:tcPr>
            <w:tcW w:w="220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1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77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(2,535)</w:t>
            </w:r>
          </w:p>
        </w:tc>
        <w:tc>
          <w:tcPr>
            <w:tcW w:w="27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ind w:leftChars="100" w:left="180"/>
              <w:rPr>
                <w:rFonts w:cs="Arial"/>
                <w:szCs w:val="18"/>
              </w:rPr>
            </w:pPr>
            <w:r>
              <w:rPr>
                <w:rFonts w:cs="Arial"/>
                <w:szCs w:val="18"/>
              </w:rPr>
              <w:t>Property, plant and equipment</w:t>
            </w:r>
          </w:p>
        </w:tc>
        <w:tc>
          <w:tcPr>
            <w:tcW w:w="220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1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77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(18)</w:t>
            </w:r>
          </w:p>
        </w:tc>
        <w:tc>
          <w:tcPr>
            <w:tcW w:w="27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ind w:leftChars="100" w:left="180"/>
              <w:rPr>
                <w:rFonts w:cs="Arial"/>
                <w:szCs w:val="18"/>
              </w:rPr>
            </w:pPr>
            <w:r>
              <w:rPr>
                <w:rFonts w:cs="Arial"/>
                <w:szCs w:val="18"/>
              </w:rPr>
              <w:t>Intangibles</w:t>
            </w:r>
          </w:p>
        </w:tc>
        <w:tc>
          <w:tcPr>
            <w:tcW w:w="220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1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77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(197)</w:t>
            </w:r>
          </w:p>
        </w:tc>
        <w:tc>
          <w:tcPr>
            <w:tcW w:w="27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2911" w:type="dxa"/>
            <w:tcBorders>
              <w:top w:val="single" w:sz="4" w:space="0" w:color="auto"/>
              <w:left w:val="nil"/>
              <w:bottom w:val="single" w:sz="4" w:space="0" w:color="auto"/>
              <w:right w:val="nil"/>
            </w:tcBorders>
            <w:shd w:val="clear" w:color="FFFFFF" w:fill="FFFFFF"/>
            <w:vAlign w:val="bottom"/>
            <w:hideMark/>
          </w:tcPr>
          <w:p w:rsidR="00735613" w:rsidRDefault="00735613" w:rsidP="00735613">
            <w:pPr>
              <w:rPr>
                <w:rFonts w:cs="Arial"/>
                <w:b/>
                <w:bCs/>
                <w:szCs w:val="18"/>
              </w:rPr>
            </w:pPr>
            <w:r>
              <w:rPr>
                <w:rFonts w:cs="Arial"/>
                <w:b/>
                <w:bCs/>
                <w:szCs w:val="18"/>
              </w:rPr>
              <w:t>Total assets relinquished</w:t>
            </w:r>
          </w:p>
        </w:tc>
        <w:tc>
          <w:tcPr>
            <w:tcW w:w="220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261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21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77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(2,750)</w:t>
            </w:r>
          </w:p>
        </w:tc>
        <w:tc>
          <w:tcPr>
            <w:tcW w:w="27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rPr>
                <w:rFonts w:cs="Arial"/>
                <w:szCs w:val="18"/>
              </w:rPr>
            </w:pPr>
            <w:r>
              <w:rPr>
                <w:rFonts w:cs="Arial"/>
                <w:szCs w:val="18"/>
              </w:rPr>
              <w:t> </w:t>
            </w:r>
          </w:p>
        </w:tc>
        <w:tc>
          <w:tcPr>
            <w:tcW w:w="220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5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77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75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nil"/>
              <w:right w:val="nil"/>
            </w:tcBorders>
            <w:shd w:val="clear" w:color="FFFFFF" w:fill="FFFFFF"/>
            <w:vAlign w:val="bottom"/>
            <w:hideMark/>
          </w:tcPr>
          <w:p w:rsidR="00735613" w:rsidRDefault="00735613" w:rsidP="00735613">
            <w:pPr>
              <w:rPr>
                <w:rFonts w:cs="Arial"/>
                <w:b/>
                <w:bCs/>
                <w:szCs w:val="18"/>
              </w:rPr>
            </w:pPr>
            <w:r>
              <w:rPr>
                <w:rFonts w:cs="Arial"/>
                <w:b/>
                <w:bCs/>
                <w:szCs w:val="18"/>
              </w:rPr>
              <w:t>Liabilities relinquished</w:t>
            </w:r>
          </w:p>
        </w:tc>
        <w:tc>
          <w:tcPr>
            <w:tcW w:w="2201"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61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15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177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275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ind w:leftChars="100" w:left="180"/>
              <w:rPr>
                <w:rFonts w:cs="Arial"/>
                <w:szCs w:val="18"/>
              </w:rPr>
            </w:pPr>
            <w:r>
              <w:rPr>
                <w:rFonts w:cs="Arial"/>
                <w:szCs w:val="18"/>
              </w:rPr>
              <w:t>Employee provisions</w:t>
            </w:r>
          </w:p>
        </w:tc>
        <w:tc>
          <w:tcPr>
            <w:tcW w:w="220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(14,277)</w:t>
            </w:r>
          </w:p>
        </w:tc>
        <w:tc>
          <w:tcPr>
            <w:tcW w:w="21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77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(2,941)</w:t>
            </w:r>
          </w:p>
        </w:tc>
        <w:tc>
          <w:tcPr>
            <w:tcW w:w="27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(417)</w:t>
            </w:r>
          </w:p>
        </w:tc>
      </w:tr>
      <w:tr w:rsidR="00735613" w:rsidTr="00735613">
        <w:trPr>
          <w:trHeight w:val="264"/>
        </w:trPr>
        <w:tc>
          <w:tcPr>
            <w:tcW w:w="2911" w:type="dxa"/>
            <w:tcBorders>
              <w:top w:val="single" w:sz="4" w:space="0" w:color="auto"/>
              <w:left w:val="nil"/>
              <w:bottom w:val="single" w:sz="4" w:space="0" w:color="auto"/>
              <w:right w:val="nil"/>
            </w:tcBorders>
            <w:shd w:val="clear" w:color="FFFFFF" w:fill="FFFFFF"/>
            <w:vAlign w:val="bottom"/>
            <w:hideMark/>
          </w:tcPr>
          <w:p w:rsidR="00735613" w:rsidRDefault="00735613" w:rsidP="00735613">
            <w:pPr>
              <w:rPr>
                <w:rFonts w:cs="Arial"/>
                <w:b/>
                <w:bCs/>
                <w:szCs w:val="18"/>
              </w:rPr>
            </w:pPr>
            <w:r>
              <w:rPr>
                <w:rFonts w:cs="Arial"/>
                <w:b/>
                <w:bCs/>
                <w:szCs w:val="18"/>
              </w:rPr>
              <w:t>Total liabilities relinquished</w:t>
            </w:r>
          </w:p>
        </w:tc>
        <w:tc>
          <w:tcPr>
            <w:tcW w:w="220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261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(14,277)</w:t>
            </w:r>
          </w:p>
        </w:tc>
        <w:tc>
          <w:tcPr>
            <w:tcW w:w="21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177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(2,941)</w:t>
            </w:r>
          </w:p>
        </w:tc>
        <w:tc>
          <w:tcPr>
            <w:tcW w:w="27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(417)</w:t>
            </w:r>
          </w:p>
        </w:tc>
      </w:tr>
      <w:tr w:rsidR="00735613" w:rsidTr="00735613">
        <w:trPr>
          <w:trHeight w:val="264"/>
        </w:trPr>
        <w:tc>
          <w:tcPr>
            <w:tcW w:w="2911" w:type="dxa"/>
            <w:tcBorders>
              <w:top w:val="nil"/>
              <w:left w:val="nil"/>
              <w:bottom w:val="single" w:sz="4" w:space="0" w:color="auto"/>
              <w:right w:val="nil"/>
            </w:tcBorders>
            <w:shd w:val="clear" w:color="FFFFFF" w:fill="FFFFFF"/>
            <w:vAlign w:val="bottom"/>
            <w:hideMark/>
          </w:tcPr>
          <w:p w:rsidR="00735613" w:rsidRDefault="00735613" w:rsidP="00735613">
            <w:pPr>
              <w:rPr>
                <w:rFonts w:cs="Arial"/>
                <w:b/>
                <w:bCs/>
                <w:szCs w:val="18"/>
              </w:rPr>
            </w:pPr>
            <w:r>
              <w:rPr>
                <w:rFonts w:cs="Arial"/>
                <w:b/>
                <w:bCs/>
                <w:szCs w:val="18"/>
              </w:rPr>
              <w:t>Net assets relinquished</w:t>
            </w:r>
          </w:p>
        </w:tc>
        <w:tc>
          <w:tcPr>
            <w:tcW w:w="2201"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2616"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14,277</w:t>
            </w:r>
          </w:p>
        </w:tc>
        <w:tc>
          <w:tcPr>
            <w:tcW w:w="2156"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1776"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191</w:t>
            </w:r>
          </w:p>
        </w:tc>
        <w:tc>
          <w:tcPr>
            <w:tcW w:w="2756"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417</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rPr>
                <w:rFonts w:cs="Arial"/>
                <w:szCs w:val="18"/>
              </w:rPr>
            </w:pPr>
            <w:r>
              <w:rPr>
                <w:rFonts w:cs="Arial"/>
                <w:szCs w:val="18"/>
              </w:rPr>
              <w:t> </w:t>
            </w:r>
          </w:p>
        </w:tc>
        <w:tc>
          <w:tcPr>
            <w:tcW w:w="220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5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77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75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single" w:sz="4" w:space="0" w:color="auto"/>
              <w:right w:val="nil"/>
            </w:tcBorders>
            <w:shd w:val="clear" w:color="FFFFFF" w:fill="FFFFFF"/>
            <w:vAlign w:val="bottom"/>
            <w:hideMark/>
          </w:tcPr>
          <w:p w:rsidR="00735613" w:rsidRDefault="00735613" w:rsidP="00735613">
            <w:pPr>
              <w:rPr>
                <w:rFonts w:cs="Arial"/>
                <w:b/>
                <w:bCs/>
                <w:szCs w:val="18"/>
              </w:rPr>
            </w:pPr>
            <w:r>
              <w:rPr>
                <w:rFonts w:cs="Arial"/>
                <w:b/>
                <w:bCs/>
                <w:szCs w:val="18"/>
              </w:rPr>
              <w:t>Income assumed</w:t>
            </w:r>
          </w:p>
        </w:tc>
        <w:tc>
          <w:tcPr>
            <w:tcW w:w="2201"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c>
          <w:tcPr>
            <w:tcW w:w="261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c>
          <w:tcPr>
            <w:tcW w:w="215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c>
          <w:tcPr>
            <w:tcW w:w="177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c>
          <w:tcPr>
            <w:tcW w:w="275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ind w:leftChars="100" w:left="180"/>
              <w:rPr>
                <w:rFonts w:cs="Arial"/>
                <w:szCs w:val="18"/>
              </w:rPr>
            </w:pPr>
            <w:r>
              <w:rPr>
                <w:rFonts w:cs="Arial"/>
                <w:szCs w:val="18"/>
              </w:rPr>
              <w:t>Recognised by the receiving entity</w:t>
            </w:r>
          </w:p>
        </w:tc>
        <w:tc>
          <w:tcPr>
            <w:tcW w:w="220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13,941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1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12,473 </w:t>
            </w:r>
          </w:p>
        </w:tc>
        <w:tc>
          <w:tcPr>
            <w:tcW w:w="177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7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ind w:leftChars="100" w:left="180"/>
              <w:rPr>
                <w:rFonts w:cs="Arial"/>
                <w:szCs w:val="18"/>
              </w:rPr>
            </w:pPr>
            <w:r>
              <w:rPr>
                <w:rFonts w:cs="Arial"/>
                <w:szCs w:val="18"/>
              </w:rPr>
              <w:t>Recognised by the losing entity</w:t>
            </w:r>
          </w:p>
        </w:tc>
        <w:tc>
          <w:tcPr>
            <w:tcW w:w="220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6,141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1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667 </w:t>
            </w:r>
          </w:p>
        </w:tc>
        <w:tc>
          <w:tcPr>
            <w:tcW w:w="177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7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2911" w:type="dxa"/>
            <w:tcBorders>
              <w:top w:val="single" w:sz="4" w:space="0" w:color="auto"/>
              <w:left w:val="nil"/>
              <w:bottom w:val="single" w:sz="4" w:space="0" w:color="auto"/>
              <w:right w:val="nil"/>
            </w:tcBorders>
            <w:shd w:val="clear" w:color="FFFFFF" w:fill="FFFFFF"/>
            <w:vAlign w:val="bottom"/>
            <w:hideMark/>
          </w:tcPr>
          <w:p w:rsidR="00735613" w:rsidRDefault="00735613" w:rsidP="00735613">
            <w:pPr>
              <w:rPr>
                <w:rFonts w:cs="Arial"/>
                <w:b/>
                <w:bCs/>
                <w:szCs w:val="18"/>
              </w:rPr>
            </w:pPr>
            <w:r>
              <w:rPr>
                <w:rFonts w:cs="Arial"/>
                <w:b/>
                <w:bCs/>
                <w:szCs w:val="18"/>
              </w:rPr>
              <w:t>Total income assumed</w:t>
            </w:r>
          </w:p>
        </w:tc>
        <w:tc>
          <w:tcPr>
            <w:tcW w:w="220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20,082</w:t>
            </w:r>
          </w:p>
        </w:tc>
        <w:tc>
          <w:tcPr>
            <w:tcW w:w="261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21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13,140</w:t>
            </w:r>
          </w:p>
        </w:tc>
        <w:tc>
          <w:tcPr>
            <w:tcW w:w="177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27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rPr>
                <w:rFonts w:cs="Arial"/>
                <w:szCs w:val="18"/>
              </w:rPr>
            </w:pPr>
            <w:r>
              <w:rPr>
                <w:rFonts w:cs="Arial"/>
                <w:szCs w:val="18"/>
              </w:rPr>
              <w:t> </w:t>
            </w:r>
          </w:p>
        </w:tc>
        <w:tc>
          <w:tcPr>
            <w:tcW w:w="220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61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15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77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75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911" w:type="dxa"/>
            <w:tcBorders>
              <w:top w:val="nil"/>
              <w:left w:val="nil"/>
              <w:bottom w:val="single" w:sz="4" w:space="0" w:color="auto"/>
              <w:right w:val="nil"/>
            </w:tcBorders>
            <w:shd w:val="clear" w:color="FFFFFF" w:fill="FFFFFF"/>
            <w:vAlign w:val="bottom"/>
            <w:hideMark/>
          </w:tcPr>
          <w:p w:rsidR="00735613" w:rsidRDefault="00735613" w:rsidP="00735613">
            <w:pPr>
              <w:rPr>
                <w:rFonts w:cs="Arial"/>
                <w:b/>
                <w:bCs/>
                <w:szCs w:val="18"/>
              </w:rPr>
            </w:pPr>
            <w:r>
              <w:rPr>
                <w:rFonts w:cs="Arial"/>
                <w:b/>
                <w:bCs/>
                <w:szCs w:val="18"/>
              </w:rPr>
              <w:t>Expenses assumed</w:t>
            </w:r>
          </w:p>
        </w:tc>
        <w:tc>
          <w:tcPr>
            <w:tcW w:w="2201"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c>
          <w:tcPr>
            <w:tcW w:w="261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c>
          <w:tcPr>
            <w:tcW w:w="215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c>
          <w:tcPr>
            <w:tcW w:w="177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c>
          <w:tcPr>
            <w:tcW w:w="275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ind w:leftChars="100" w:left="180"/>
              <w:rPr>
                <w:rFonts w:cs="Arial"/>
                <w:szCs w:val="18"/>
              </w:rPr>
            </w:pPr>
            <w:r>
              <w:rPr>
                <w:rFonts w:cs="Arial"/>
                <w:szCs w:val="18"/>
              </w:rPr>
              <w:t>Recognised by the receiving entity</w:t>
            </w:r>
          </w:p>
        </w:tc>
        <w:tc>
          <w:tcPr>
            <w:tcW w:w="220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164,361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1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80,694 </w:t>
            </w:r>
          </w:p>
        </w:tc>
        <w:tc>
          <w:tcPr>
            <w:tcW w:w="177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7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2911" w:type="dxa"/>
            <w:tcBorders>
              <w:top w:val="nil"/>
              <w:left w:val="nil"/>
              <w:bottom w:val="nil"/>
              <w:right w:val="nil"/>
            </w:tcBorders>
            <w:shd w:val="clear" w:color="FFFFFF" w:fill="FFFFFF"/>
            <w:noWrap/>
            <w:vAlign w:val="bottom"/>
            <w:hideMark/>
          </w:tcPr>
          <w:p w:rsidR="00735613" w:rsidRDefault="00735613" w:rsidP="00735613">
            <w:pPr>
              <w:ind w:leftChars="100" w:left="180"/>
              <w:rPr>
                <w:rFonts w:cs="Arial"/>
                <w:szCs w:val="18"/>
              </w:rPr>
            </w:pPr>
            <w:r>
              <w:rPr>
                <w:rFonts w:cs="Arial"/>
                <w:szCs w:val="18"/>
              </w:rPr>
              <w:t>Recognised by the losing entity</w:t>
            </w:r>
          </w:p>
        </w:tc>
        <w:tc>
          <w:tcPr>
            <w:tcW w:w="2201"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55,998 </w:t>
            </w:r>
          </w:p>
        </w:tc>
        <w:tc>
          <w:tcPr>
            <w:tcW w:w="261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1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30,497 </w:t>
            </w:r>
          </w:p>
        </w:tc>
        <w:tc>
          <w:tcPr>
            <w:tcW w:w="177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275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2911" w:type="dxa"/>
            <w:tcBorders>
              <w:top w:val="single" w:sz="4" w:space="0" w:color="auto"/>
              <w:left w:val="nil"/>
              <w:bottom w:val="single" w:sz="4" w:space="0" w:color="auto"/>
              <w:right w:val="nil"/>
            </w:tcBorders>
            <w:shd w:val="clear" w:color="FFFFFF" w:fill="FFFFFF"/>
            <w:vAlign w:val="bottom"/>
            <w:hideMark/>
          </w:tcPr>
          <w:p w:rsidR="00735613" w:rsidRDefault="00735613" w:rsidP="00735613">
            <w:pPr>
              <w:rPr>
                <w:rFonts w:cs="Arial"/>
                <w:b/>
                <w:bCs/>
                <w:szCs w:val="18"/>
              </w:rPr>
            </w:pPr>
            <w:r>
              <w:rPr>
                <w:rFonts w:cs="Arial"/>
                <w:b/>
                <w:bCs/>
                <w:szCs w:val="18"/>
              </w:rPr>
              <w:t>Total expenses assumed</w:t>
            </w:r>
          </w:p>
        </w:tc>
        <w:tc>
          <w:tcPr>
            <w:tcW w:w="220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220,359</w:t>
            </w:r>
          </w:p>
        </w:tc>
        <w:tc>
          <w:tcPr>
            <w:tcW w:w="261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21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111,191</w:t>
            </w:r>
          </w:p>
        </w:tc>
        <w:tc>
          <w:tcPr>
            <w:tcW w:w="177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c>
          <w:tcPr>
            <w:tcW w:w="27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r>
    </w:tbl>
    <w:p w:rsidR="00735613" w:rsidRDefault="00735613">
      <w:bookmarkStart w:id="282" w:name="RANGE!D90:I141"/>
      <w:bookmarkStart w:id="283" w:name="RANGE!D94:I145"/>
      <w:bookmarkStart w:id="284" w:name="RANGE!D63:I114"/>
      <w:bookmarkStart w:id="285" w:name="RANGE!D64:J111"/>
      <w:bookmarkEnd w:id="282"/>
      <w:bookmarkEnd w:id="283"/>
      <w:bookmarkEnd w:id="284"/>
      <w:bookmarkEnd w:id="285"/>
    </w:p>
    <w:p w:rsidR="00735613" w:rsidRDefault="00735613"/>
    <w:p w:rsidR="00735613" w:rsidRDefault="00735613"/>
    <w:p w:rsidR="00735613" w:rsidRDefault="00735613" w:rsidP="00735613"/>
    <w:p w:rsidR="00735613" w:rsidRDefault="00735613" w:rsidP="00735613">
      <w:pPr>
        <w:pStyle w:val="ReferenceText"/>
      </w:pPr>
      <w:bookmarkStart w:id="286" w:name="RANGE!D7:J111"/>
      <w:bookmarkStart w:id="287" w:name="RANGE!D7:J109"/>
      <w:bookmarkStart w:id="288" w:name="RANGE!D7:J56"/>
      <w:bookmarkStart w:id="289" w:name="RANGE!D7:J52"/>
      <w:bookmarkStart w:id="290" w:name="RANGE!D7:J25"/>
      <w:bookmarkStart w:id="291" w:name="RANGE!D6:K7"/>
      <w:bookmarkStart w:id="292" w:name="RANGE!D6:L7"/>
      <w:bookmarkEnd w:id="286"/>
      <w:bookmarkEnd w:id="287"/>
      <w:bookmarkEnd w:id="288"/>
      <w:bookmarkEnd w:id="289"/>
      <w:bookmarkEnd w:id="290"/>
      <w:bookmarkEnd w:id="291"/>
      <w:bookmarkEnd w:id="292"/>
      <w:r>
        <w:t>Notes:</w:t>
      </w:r>
    </w:p>
    <w:p w:rsidR="00735613" w:rsidRDefault="00735613" w:rsidP="00735613">
      <w:pPr>
        <w:pStyle w:val="ReferenceText"/>
      </w:pPr>
      <w:r>
        <w:rPr>
          <w:vertAlign w:val="superscript"/>
        </w:rPr>
        <w:t xml:space="preserve">3 </w:t>
      </w:r>
      <w:r w:rsidRPr="00AA4057">
        <w:t>The Early Childhood Education and Care and Schools and Youth Education functions were acquired from the former Department of Education, Employment and Workplace Relations following the Administrative Arrangement Orders changes on 18 September 2013</w:t>
      </w:r>
      <w:r>
        <w:t>.</w:t>
      </w:r>
    </w:p>
    <w:p w:rsidR="00735613" w:rsidRDefault="00735613" w:rsidP="00735613">
      <w:pPr>
        <w:pStyle w:val="ReferenceText"/>
      </w:pPr>
      <w:r>
        <w:rPr>
          <w:vertAlign w:val="superscript"/>
        </w:rPr>
        <w:t xml:space="preserve">4 </w:t>
      </w:r>
      <w:r w:rsidRPr="00AA4057">
        <w:t xml:space="preserve">Responsibility for Corporate and State Network functions in relation to the former DEEWR were </w:t>
      </w:r>
      <w:proofErr w:type="gramStart"/>
      <w:r w:rsidRPr="00AA4057">
        <w:t>acquired/relinquished</w:t>
      </w:r>
      <w:proofErr w:type="gramEnd"/>
      <w:r w:rsidRPr="00AA4057">
        <w:t xml:space="preserve"> from/to the Department of Employment on 28 February 2014.  The transfer of staff followed the transfer of function resulting from the Administrative Arrangement Orders changes on 18 September 2013.</w:t>
      </w:r>
    </w:p>
    <w:p w:rsidR="00735613" w:rsidRDefault="00735613" w:rsidP="00735613">
      <w:pPr>
        <w:pStyle w:val="ReferenceText"/>
      </w:pPr>
      <w:r>
        <w:rPr>
          <w:vertAlign w:val="superscript"/>
        </w:rPr>
        <w:t xml:space="preserve">5 </w:t>
      </w:r>
      <w:r w:rsidRPr="00AA4057">
        <w:t xml:space="preserve">The Tertiary Education functions including higher education, research and international education were acquired from the Department of Industry during </w:t>
      </w:r>
      <w:r>
        <w:t>2013–14</w:t>
      </w:r>
      <w:r w:rsidRPr="00AA4057">
        <w:t xml:space="preserve"> due to the Administrative Arrangement Order changes on 18 September 2013 and 12 December 2014.</w:t>
      </w:r>
    </w:p>
    <w:p w:rsidR="00735613" w:rsidRDefault="00735613" w:rsidP="00735613">
      <w:pPr>
        <w:pStyle w:val="ReferenceText"/>
      </w:pPr>
      <w:r>
        <w:rPr>
          <w:vertAlign w:val="superscript"/>
        </w:rPr>
        <w:t xml:space="preserve">6 </w:t>
      </w:r>
      <w:r w:rsidRPr="00AA4057">
        <w:t xml:space="preserve">Indigenous education functions were transferred to the Department of the Prime Minister and Cabinet during </w:t>
      </w:r>
      <w:r>
        <w:t>2013–14</w:t>
      </w:r>
      <w:r w:rsidRPr="00AA4057">
        <w:t xml:space="preserve"> following the Administrative Arrangement Orders of 18 September 2013.</w:t>
      </w:r>
    </w:p>
    <w:p w:rsidR="00735613" w:rsidRDefault="00735613" w:rsidP="00735613">
      <w:pPr>
        <w:pStyle w:val="ReferenceText"/>
      </w:pPr>
      <w:r>
        <w:rPr>
          <w:vertAlign w:val="superscript"/>
        </w:rPr>
        <w:t xml:space="preserve">7 </w:t>
      </w:r>
      <w:r w:rsidRPr="00AA4057">
        <w:t xml:space="preserve">Responsibility for certain </w:t>
      </w:r>
      <w:proofErr w:type="gramStart"/>
      <w:r w:rsidRPr="00AA4057">
        <w:t>Corporate</w:t>
      </w:r>
      <w:proofErr w:type="gramEnd"/>
      <w:r w:rsidRPr="00AA4057">
        <w:t xml:space="preserve"> functions relating to Working Age Payments and Disability Employment Services were transferred to the Department of Social Services on 13 February 2014 </w:t>
      </w:r>
    </w:p>
    <w:p w:rsidR="00735613" w:rsidRDefault="00735613" w:rsidP="00735613">
      <w:pPr>
        <w:pStyle w:val="ReferenceText"/>
      </w:pPr>
      <w:r w:rsidRPr="00AA4057">
        <w:t>In respect of the functions assumed and relinquished the net book value of assets were transferred to the entity for no consideration.</w:t>
      </w:r>
      <w:r>
        <w:t xml:space="preserve"> </w:t>
      </w:r>
      <w:bookmarkStart w:id="293" w:name="RANGE!D73:G126"/>
      <w:bookmarkStart w:id="294" w:name="RANGE!D7:F62"/>
      <w:bookmarkStart w:id="295" w:name="RANGE!D7:D116"/>
      <w:bookmarkEnd w:id="293"/>
      <w:bookmarkEnd w:id="294"/>
      <w:bookmarkEnd w:id="295"/>
    </w:p>
    <w:p w:rsidR="00735613" w:rsidRDefault="00735613" w:rsidP="00735613">
      <w:pPr>
        <w:pStyle w:val="ReferenceText"/>
      </w:pPr>
      <w:r>
        <w:t>The net assets/liabilities assumed from all entities total $45.039 million.</w:t>
      </w:r>
    </w:p>
    <w:p w:rsidR="00735613" w:rsidRDefault="00735613" w:rsidP="00735613">
      <w:pPr>
        <w:pStyle w:val="ReferenceText"/>
        <w:sectPr w:rsidR="00735613">
          <w:pgSz w:w="16838" w:h="11906" w:orient="landscape"/>
          <w:pgMar w:top="1134" w:right="1134" w:bottom="1134" w:left="1134" w:header="958" w:footer="737" w:gutter="0"/>
          <w:cols w:space="720"/>
        </w:sectPr>
      </w:pPr>
      <w:r>
        <w:t xml:space="preserve">The net assets/liabilities relinquished to all entities total $14.885 million. </w:t>
      </w:r>
    </w:p>
    <w:tbl>
      <w:tblPr>
        <w:tblW w:w="9087" w:type="dxa"/>
        <w:tblInd w:w="80" w:type="dxa"/>
        <w:tblLayout w:type="fixed"/>
        <w:tblCellMar>
          <w:left w:w="6" w:type="dxa"/>
          <w:right w:w="6" w:type="dxa"/>
        </w:tblCellMar>
        <w:tblLook w:val="04A0" w:firstRow="1" w:lastRow="0" w:firstColumn="1" w:lastColumn="0" w:noHBand="0" w:noVBand="1"/>
      </w:tblPr>
      <w:tblGrid>
        <w:gridCol w:w="2627"/>
        <w:gridCol w:w="3247"/>
        <w:gridCol w:w="3213"/>
      </w:tblGrid>
      <w:tr w:rsidR="00735613" w:rsidTr="00735613">
        <w:trPr>
          <w:trHeight w:val="227"/>
        </w:trPr>
        <w:tc>
          <w:tcPr>
            <w:tcW w:w="9082" w:type="dxa"/>
            <w:gridSpan w:val="3"/>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rPr>
                <w:rFonts w:cs="Arial"/>
                <w:b/>
                <w:bCs/>
                <w:szCs w:val="18"/>
                <w:u w:val="single"/>
              </w:rPr>
            </w:pPr>
            <w:bookmarkStart w:id="296" w:name="Note_AESTABLE1" w:colFirst="0" w:colLast="0"/>
            <w:r>
              <w:rPr>
                <w:rFonts w:cs="Arial"/>
                <w:b/>
                <w:bCs/>
                <w:szCs w:val="18"/>
                <w:u w:val="single"/>
              </w:rPr>
              <w:t>Note 11B: Administered restructuring</w:t>
            </w:r>
          </w:p>
        </w:tc>
      </w:tr>
      <w:bookmarkEnd w:id="296"/>
      <w:tr w:rsidR="00735613" w:rsidTr="00735613">
        <w:trPr>
          <w:trHeight w:val="227"/>
        </w:trPr>
        <w:tc>
          <w:tcPr>
            <w:tcW w:w="2626"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6456" w:type="dxa"/>
            <w:gridSpan w:val="2"/>
            <w:tcBorders>
              <w:top w:val="single" w:sz="4" w:space="0" w:color="auto"/>
              <w:left w:val="nil"/>
              <w:bottom w:val="single" w:sz="4" w:space="0" w:color="auto"/>
              <w:right w:val="nil"/>
            </w:tcBorders>
            <w:shd w:val="clear" w:color="000000" w:fill="D9D9D9"/>
            <w:vAlign w:val="bottom"/>
            <w:hideMark/>
          </w:tcPr>
          <w:p w:rsidR="00735613" w:rsidRDefault="00735613" w:rsidP="00735613">
            <w:pPr>
              <w:spacing w:line="240" w:lineRule="auto"/>
              <w:jc w:val="center"/>
              <w:rPr>
                <w:rFonts w:cs="Arial"/>
                <w:b/>
                <w:bCs/>
                <w:szCs w:val="18"/>
              </w:rPr>
            </w:pPr>
            <w:r>
              <w:rPr>
                <w:rFonts w:cs="Arial"/>
                <w:b/>
                <w:bCs/>
                <w:szCs w:val="18"/>
              </w:rPr>
              <w:t>2015</w:t>
            </w:r>
          </w:p>
        </w:tc>
      </w:tr>
      <w:tr w:rsidR="00735613" w:rsidTr="00735613">
        <w:trPr>
          <w:trHeight w:val="227"/>
        </w:trPr>
        <w:tc>
          <w:tcPr>
            <w:tcW w:w="2626" w:type="dxa"/>
            <w:tcBorders>
              <w:top w:val="nil"/>
              <w:left w:val="nil"/>
              <w:bottom w:val="nil"/>
              <w:right w:val="nil"/>
            </w:tcBorders>
            <w:shd w:val="clear" w:color="000000" w:fill="D9D9D9"/>
            <w:noWrap/>
            <w:hideMark/>
          </w:tcPr>
          <w:p w:rsidR="00735613" w:rsidRDefault="00735613" w:rsidP="00735613">
            <w:pPr>
              <w:spacing w:line="240" w:lineRule="auto"/>
              <w:rPr>
                <w:rFonts w:ascii="Arial" w:hAnsi="Arial" w:cs="Arial"/>
                <w:b/>
                <w:bCs/>
                <w:sz w:val="16"/>
                <w:szCs w:val="16"/>
              </w:rPr>
            </w:pPr>
            <w:r>
              <w:rPr>
                <w:rFonts w:ascii="Arial" w:hAnsi="Arial" w:cs="Arial"/>
                <w:b/>
                <w:bCs/>
                <w:sz w:val="16"/>
                <w:szCs w:val="16"/>
              </w:rPr>
              <w:t>Function</w:t>
            </w:r>
          </w:p>
        </w:tc>
        <w:tc>
          <w:tcPr>
            <w:tcW w:w="3245" w:type="dxa"/>
            <w:tcBorders>
              <w:top w:val="nil"/>
              <w:left w:val="nil"/>
              <w:bottom w:val="nil"/>
              <w:right w:val="nil"/>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Early Education: Early Childhood and Child Care</w:t>
            </w:r>
          </w:p>
        </w:tc>
        <w:tc>
          <w:tcPr>
            <w:tcW w:w="3211" w:type="dxa"/>
            <w:tcBorders>
              <w:top w:val="nil"/>
              <w:left w:val="nil"/>
              <w:bottom w:val="nil"/>
              <w:right w:val="nil"/>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Skills and Training</w:t>
            </w:r>
          </w:p>
        </w:tc>
      </w:tr>
      <w:tr w:rsidR="00735613" w:rsidTr="00735613">
        <w:trPr>
          <w:trHeight w:val="227"/>
        </w:trPr>
        <w:tc>
          <w:tcPr>
            <w:tcW w:w="2626" w:type="dxa"/>
            <w:tcBorders>
              <w:top w:val="nil"/>
              <w:left w:val="nil"/>
              <w:bottom w:val="nil"/>
              <w:right w:val="nil"/>
            </w:tcBorders>
            <w:shd w:val="clear" w:color="000000" w:fill="D9D9D9"/>
            <w:noWrap/>
            <w:hideMark/>
          </w:tcPr>
          <w:p w:rsidR="00735613" w:rsidRDefault="00735613" w:rsidP="00735613">
            <w:pPr>
              <w:spacing w:line="240" w:lineRule="auto"/>
              <w:rPr>
                <w:rFonts w:ascii="Arial" w:hAnsi="Arial" w:cs="Arial"/>
                <w:b/>
                <w:bCs/>
                <w:sz w:val="16"/>
                <w:szCs w:val="16"/>
              </w:rPr>
            </w:pPr>
            <w:r>
              <w:rPr>
                <w:rFonts w:ascii="Arial" w:hAnsi="Arial" w:cs="Arial"/>
                <w:b/>
                <w:bCs/>
                <w:sz w:val="16"/>
                <w:szCs w:val="16"/>
              </w:rPr>
              <w:t>Entity</w:t>
            </w:r>
          </w:p>
        </w:tc>
        <w:tc>
          <w:tcPr>
            <w:tcW w:w="3245" w:type="dxa"/>
            <w:tcBorders>
              <w:top w:val="nil"/>
              <w:left w:val="nil"/>
              <w:bottom w:val="nil"/>
              <w:right w:val="nil"/>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Department of Social Services</w:t>
            </w:r>
            <w:r>
              <w:rPr>
                <w:rFonts w:cs="Arial"/>
                <w:b/>
                <w:bCs/>
                <w:szCs w:val="18"/>
                <w:vertAlign w:val="superscript"/>
              </w:rPr>
              <w:t>1</w:t>
            </w:r>
          </w:p>
        </w:tc>
        <w:tc>
          <w:tcPr>
            <w:tcW w:w="3211" w:type="dxa"/>
            <w:tcBorders>
              <w:top w:val="nil"/>
              <w:left w:val="nil"/>
              <w:bottom w:val="nil"/>
              <w:right w:val="nil"/>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Department of Industry and Science</w:t>
            </w:r>
            <w:r>
              <w:rPr>
                <w:rFonts w:cs="Arial"/>
                <w:b/>
                <w:bCs/>
                <w:szCs w:val="18"/>
                <w:vertAlign w:val="superscript"/>
              </w:rPr>
              <w:t>2</w:t>
            </w:r>
          </w:p>
        </w:tc>
      </w:tr>
      <w:tr w:rsidR="00735613" w:rsidTr="00735613">
        <w:trPr>
          <w:trHeight w:val="227"/>
        </w:trPr>
        <w:tc>
          <w:tcPr>
            <w:tcW w:w="2626"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3245" w:type="dxa"/>
            <w:tcBorders>
              <w:top w:val="nil"/>
              <w:left w:val="nil"/>
              <w:bottom w:val="single" w:sz="4" w:space="0" w:color="auto"/>
              <w:right w:val="nil"/>
            </w:tcBorders>
            <w:shd w:val="clear" w:color="000000" w:fill="D9D9D9"/>
            <w:vAlign w:val="bottom"/>
            <w:hideMark/>
          </w:tcPr>
          <w:p w:rsidR="00735613" w:rsidRDefault="00735613" w:rsidP="00735613">
            <w:pPr>
              <w:spacing w:line="240" w:lineRule="auto"/>
              <w:jc w:val="right"/>
              <w:rPr>
                <w:rFonts w:cs="Arial"/>
                <w:b/>
                <w:bCs/>
                <w:szCs w:val="18"/>
              </w:rPr>
            </w:pPr>
            <w:r>
              <w:rPr>
                <w:rFonts w:cs="Arial"/>
                <w:b/>
                <w:bCs/>
                <w:szCs w:val="18"/>
              </w:rPr>
              <w:t>$’000</w:t>
            </w:r>
          </w:p>
        </w:tc>
        <w:tc>
          <w:tcPr>
            <w:tcW w:w="3211" w:type="dxa"/>
            <w:tcBorders>
              <w:top w:val="nil"/>
              <w:left w:val="nil"/>
              <w:bottom w:val="single" w:sz="4" w:space="0" w:color="auto"/>
              <w:right w:val="nil"/>
            </w:tcBorders>
            <w:shd w:val="clear" w:color="000000" w:fill="D9D9D9"/>
            <w:vAlign w:val="bottom"/>
            <w:hideMark/>
          </w:tcPr>
          <w:p w:rsidR="00735613" w:rsidRDefault="00735613" w:rsidP="00735613">
            <w:pPr>
              <w:spacing w:line="240" w:lineRule="auto"/>
              <w:jc w:val="right"/>
              <w:rPr>
                <w:rFonts w:cs="Arial"/>
                <w:b/>
                <w:bCs/>
                <w:szCs w:val="18"/>
              </w:rPr>
            </w:pPr>
            <w:r>
              <w:rPr>
                <w:rFonts w:cs="Arial"/>
                <w:b/>
                <w:bCs/>
                <w:szCs w:val="18"/>
              </w:rPr>
              <w:t>$’000</w:t>
            </w:r>
          </w:p>
        </w:tc>
      </w:tr>
      <w:tr w:rsidR="00735613" w:rsidTr="00735613">
        <w:trPr>
          <w:trHeight w:val="227"/>
        </w:trPr>
        <w:tc>
          <w:tcPr>
            <w:tcW w:w="2626" w:type="dxa"/>
            <w:tcBorders>
              <w:top w:val="nil"/>
              <w:left w:val="nil"/>
              <w:bottom w:val="nil"/>
              <w:right w:val="nil"/>
            </w:tcBorders>
            <w:shd w:val="clear" w:color="000000" w:fill="D9D9D9"/>
            <w:vAlign w:val="bottom"/>
            <w:hideMark/>
          </w:tcPr>
          <w:p w:rsidR="00735613" w:rsidRDefault="00735613" w:rsidP="00735613">
            <w:pPr>
              <w:spacing w:line="240" w:lineRule="auto"/>
              <w:rPr>
                <w:rFonts w:cs="Arial"/>
                <w:b/>
                <w:bCs/>
                <w:szCs w:val="18"/>
              </w:rPr>
            </w:pPr>
            <w:r>
              <w:rPr>
                <w:rFonts w:cs="Arial"/>
                <w:b/>
                <w:bCs/>
                <w:szCs w:val="18"/>
              </w:rPr>
              <w:t>FUNCTIONS ASSUMED</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r>
      <w:tr w:rsidR="00735613" w:rsidTr="00735613">
        <w:trPr>
          <w:trHeight w:val="227"/>
        </w:trPr>
        <w:tc>
          <w:tcPr>
            <w:tcW w:w="2626" w:type="dxa"/>
            <w:tcBorders>
              <w:top w:val="nil"/>
              <w:left w:val="nil"/>
              <w:bottom w:val="nil"/>
              <w:right w:val="nil"/>
            </w:tcBorders>
            <w:shd w:val="clear" w:color="000000" w:fill="D9D9D9"/>
            <w:vAlign w:val="bottom"/>
            <w:hideMark/>
          </w:tcPr>
          <w:p w:rsidR="00735613" w:rsidRDefault="00735613" w:rsidP="00735613">
            <w:pPr>
              <w:spacing w:line="240" w:lineRule="auto"/>
              <w:rPr>
                <w:rFonts w:cs="Arial"/>
                <w:b/>
                <w:bCs/>
                <w:szCs w:val="18"/>
              </w:rPr>
            </w:pPr>
            <w:r>
              <w:rPr>
                <w:rFonts w:cs="Arial"/>
                <w:b/>
                <w:bCs/>
                <w:szCs w:val="18"/>
              </w:rPr>
              <w:t>Assets recognised</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r>
      <w:tr w:rsidR="00735613" w:rsidTr="00735613">
        <w:trPr>
          <w:trHeight w:val="227"/>
        </w:trPr>
        <w:tc>
          <w:tcPr>
            <w:tcW w:w="2626" w:type="dxa"/>
            <w:tcBorders>
              <w:top w:val="nil"/>
              <w:left w:val="nil"/>
              <w:bottom w:val="nil"/>
              <w:right w:val="nil"/>
            </w:tcBorders>
            <w:shd w:val="clear" w:color="000000" w:fill="D9D9D9"/>
            <w:noWrap/>
            <w:vAlign w:val="bottom"/>
            <w:hideMark/>
          </w:tcPr>
          <w:p w:rsidR="00735613" w:rsidRDefault="00735613" w:rsidP="00735613">
            <w:pPr>
              <w:spacing w:line="240" w:lineRule="auto"/>
              <w:ind w:firstLineChars="100" w:firstLine="180"/>
              <w:rPr>
                <w:rFonts w:cs="Arial"/>
                <w:szCs w:val="18"/>
              </w:rPr>
            </w:pPr>
            <w:r>
              <w:rPr>
                <w:rFonts w:cs="Arial"/>
                <w:szCs w:val="18"/>
              </w:rPr>
              <w:t>Cash and cash equivalents</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737 </w:t>
            </w:r>
          </w:p>
        </w:tc>
      </w:tr>
      <w:tr w:rsidR="00735613" w:rsidTr="00735613">
        <w:trPr>
          <w:trHeight w:val="227"/>
        </w:trPr>
        <w:tc>
          <w:tcPr>
            <w:tcW w:w="2626" w:type="dxa"/>
            <w:tcBorders>
              <w:top w:val="nil"/>
              <w:left w:val="nil"/>
              <w:bottom w:val="nil"/>
              <w:right w:val="nil"/>
            </w:tcBorders>
            <w:shd w:val="clear" w:color="000000" w:fill="D9D9D9"/>
            <w:noWrap/>
            <w:vAlign w:val="bottom"/>
            <w:hideMark/>
          </w:tcPr>
          <w:p w:rsidR="00735613" w:rsidRDefault="00735613" w:rsidP="00735613">
            <w:pPr>
              <w:spacing w:line="240" w:lineRule="auto"/>
              <w:ind w:firstLineChars="100" w:firstLine="180"/>
              <w:rPr>
                <w:rFonts w:cs="Arial"/>
                <w:szCs w:val="18"/>
              </w:rPr>
            </w:pPr>
            <w:r>
              <w:rPr>
                <w:rFonts w:cs="Arial"/>
                <w:szCs w:val="18"/>
              </w:rPr>
              <w:t>Trade and other receivables</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1,449 </w:t>
            </w:r>
          </w:p>
        </w:tc>
      </w:tr>
      <w:tr w:rsidR="00735613" w:rsidTr="00735613">
        <w:trPr>
          <w:trHeight w:val="227"/>
        </w:trPr>
        <w:tc>
          <w:tcPr>
            <w:tcW w:w="2626" w:type="dxa"/>
            <w:tcBorders>
              <w:top w:val="nil"/>
              <w:left w:val="nil"/>
              <w:bottom w:val="nil"/>
              <w:right w:val="nil"/>
            </w:tcBorders>
            <w:shd w:val="clear" w:color="000000" w:fill="D9D9D9"/>
            <w:noWrap/>
            <w:vAlign w:val="bottom"/>
            <w:hideMark/>
          </w:tcPr>
          <w:p w:rsidR="00735613" w:rsidRDefault="00735613" w:rsidP="00735613">
            <w:pPr>
              <w:spacing w:line="240" w:lineRule="auto"/>
              <w:ind w:firstLineChars="100" w:firstLine="180"/>
              <w:rPr>
                <w:rFonts w:cs="Arial"/>
                <w:szCs w:val="18"/>
              </w:rPr>
            </w:pPr>
            <w:r>
              <w:rPr>
                <w:rFonts w:cs="Arial"/>
                <w:szCs w:val="18"/>
              </w:rPr>
              <w:t>Advances and loans</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23,850 </w:t>
            </w:r>
          </w:p>
        </w:tc>
      </w:tr>
      <w:tr w:rsidR="00735613" w:rsidTr="00735613">
        <w:trPr>
          <w:trHeight w:val="227"/>
        </w:trPr>
        <w:tc>
          <w:tcPr>
            <w:tcW w:w="2626"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Total assets recognised</w:t>
            </w:r>
          </w:p>
        </w:tc>
        <w:tc>
          <w:tcPr>
            <w:tcW w:w="3245"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w:t>
            </w:r>
          </w:p>
        </w:tc>
        <w:tc>
          <w:tcPr>
            <w:tcW w:w="3211"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26,036</w:t>
            </w:r>
          </w:p>
        </w:tc>
      </w:tr>
      <w:tr w:rsidR="00735613" w:rsidTr="00735613">
        <w:trPr>
          <w:trHeight w:val="227"/>
        </w:trPr>
        <w:tc>
          <w:tcPr>
            <w:tcW w:w="2626" w:type="dxa"/>
            <w:tcBorders>
              <w:top w:val="nil"/>
              <w:left w:val="nil"/>
              <w:bottom w:val="nil"/>
              <w:right w:val="nil"/>
            </w:tcBorders>
            <w:shd w:val="clear" w:color="000000" w:fill="D9D9D9"/>
            <w:vAlign w:val="bottom"/>
            <w:hideMark/>
          </w:tcPr>
          <w:p w:rsidR="00735613" w:rsidRDefault="00735613" w:rsidP="00735613">
            <w:pPr>
              <w:spacing w:line="240" w:lineRule="auto"/>
              <w:rPr>
                <w:rFonts w:cs="Arial"/>
                <w:b/>
                <w:bCs/>
                <w:szCs w:val="18"/>
              </w:rPr>
            </w:pPr>
            <w:r>
              <w:rPr>
                <w:rFonts w:cs="Arial"/>
                <w:b/>
                <w:bCs/>
                <w:szCs w:val="18"/>
              </w:rPr>
              <w:t> </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r>
      <w:tr w:rsidR="00735613" w:rsidTr="00735613">
        <w:trPr>
          <w:trHeight w:val="227"/>
        </w:trPr>
        <w:tc>
          <w:tcPr>
            <w:tcW w:w="2626" w:type="dxa"/>
            <w:tcBorders>
              <w:top w:val="nil"/>
              <w:left w:val="nil"/>
              <w:bottom w:val="nil"/>
              <w:right w:val="nil"/>
            </w:tcBorders>
            <w:shd w:val="clear" w:color="000000" w:fill="D9D9D9"/>
            <w:vAlign w:val="bottom"/>
            <w:hideMark/>
          </w:tcPr>
          <w:p w:rsidR="00735613" w:rsidRDefault="00735613" w:rsidP="00735613">
            <w:pPr>
              <w:spacing w:line="240" w:lineRule="auto"/>
              <w:rPr>
                <w:rFonts w:cs="Arial"/>
                <w:b/>
                <w:bCs/>
                <w:szCs w:val="18"/>
              </w:rPr>
            </w:pPr>
            <w:r>
              <w:rPr>
                <w:rFonts w:cs="Arial"/>
                <w:b/>
                <w:bCs/>
                <w:szCs w:val="18"/>
              </w:rPr>
              <w:t>Liabilities recognised</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r>
      <w:tr w:rsidR="00735613" w:rsidTr="00735613">
        <w:trPr>
          <w:trHeight w:val="227"/>
        </w:trPr>
        <w:tc>
          <w:tcPr>
            <w:tcW w:w="2626" w:type="dxa"/>
            <w:tcBorders>
              <w:top w:val="nil"/>
              <w:left w:val="nil"/>
              <w:bottom w:val="nil"/>
              <w:right w:val="nil"/>
            </w:tcBorders>
            <w:shd w:val="clear" w:color="000000" w:fill="D9D9D9"/>
            <w:noWrap/>
            <w:vAlign w:val="bottom"/>
            <w:hideMark/>
          </w:tcPr>
          <w:p w:rsidR="00735613" w:rsidRDefault="00735613" w:rsidP="00735613">
            <w:pPr>
              <w:spacing w:line="240" w:lineRule="auto"/>
              <w:ind w:firstLineChars="100" w:firstLine="180"/>
              <w:rPr>
                <w:rFonts w:cs="Arial"/>
                <w:szCs w:val="18"/>
              </w:rPr>
            </w:pPr>
            <w:r>
              <w:rPr>
                <w:rFonts w:cs="Arial"/>
                <w:szCs w:val="18"/>
              </w:rPr>
              <w:t>Suppliers</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34,605 </w:t>
            </w:r>
          </w:p>
        </w:tc>
      </w:tr>
      <w:tr w:rsidR="00735613" w:rsidTr="00735613">
        <w:trPr>
          <w:trHeight w:val="227"/>
        </w:trPr>
        <w:tc>
          <w:tcPr>
            <w:tcW w:w="2626"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Total liabilities recognised</w:t>
            </w:r>
          </w:p>
        </w:tc>
        <w:tc>
          <w:tcPr>
            <w:tcW w:w="3245"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w:t>
            </w:r>
          </w:p>
        </w:tc>
        <w:tc>
          <w:tcPr>
            <w:tcW w:w="3211"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34,605</w:t>
            </w:r>
          </w:p>
        </w:tc>
      </w:tr>
      <w:tr w:rsidR="00735613" w:rsidTr="00735613">
        <w:trPr>
          <w:trHeight w:val="227"/>
        </w:trPr>
        <w:tc>
          <w:tcPr>
            <w:tcW w:w="2626"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Net assets recognised</w:t>
            </w:r>
          </w:p>
        </w:tc>
        <w:tc>
          <w:tcPr>
            <w:tcW w:w="3245"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w:t>
            </w:r>
          </w:p>
        </w:tc>
        <w:tc>
          <w:tcPr>
            <w:tcW w:w="3211"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(8,569)</w:t>
            </w:r>
          </w:p>
        </w:tc>
      </w:tr>
      <w:tr w:rsidR="00735613" w:rsidTr="00735613">
        <w:trPr>
          <w:trHeight w:val="227"/>
        </w:trPr>
        <w:tc>
          <w:tcPr>
            <w:tcW w:w="2626" w:type="dxa"/>
            <w:tcBorders>
              <w:top w:val="nil"/>
              <w:left w:val="nil"/>
              <w:bottom w:val="single" w:sz="4" w:space="0" w:color="auto"/>
              <w:right w:val="nil"/>
            </w:tcBorders>
            <w:shd w:val="clear" w:color="000000" w:fill="D9D9D9"/>
            <w:noWrap/>
            <w:hideMark/>
          </w:tcPr>
          <w:p w:rsidR="00735613" w:rsidRDefault="00735613" w:rsidP="00735613">
            <w:pPr>
              <w:spacing w:line="240" w:lineRule="auto"/>
              <w:rPr>
                <w:rFonts w:ascii="Arial" w:hAnsi="Arial" w:cs="Arial"/>
                <w:b/>
                <w:bCs/>
                <w:sz w:val="16"/>
                <w:szCs w:val="16"/>
              </w:rPr>
            </w:pPr>
            <w:r>
              <w:rPr>
                <w:rFonts w:ascii="Arial" w:hAnsi="Arial" w:cs="Arial"/>
                <w:b/>
                <w:bCs/>
                <w:sz w:val="16"/>
                <w:szCs w:val="16"/>
              </w:rPr>
              <w:t> </w:t>
            </w:r>
          </w:p>
        </w:tc>
        <w:tc>
          <w:tcPr>
            <w:tcW w:w="3245" w:type="dxa"/>
            <w:tcBorders>
              <w:top w:val="nil"/>
              <w:left w:val="nil"/>
              <w:bottom w:val="single" w:sz="4" w:space="0" w:color="auto"/>
              <w:right w:val="nil"/>
            </w:tcBorders>
            <w:shd w:val="clear" w:color="000000" w:fill="D9D9D9"/>
            <w:vAlign w:val="bottom"/>
            <w:hideMark/>
          </w:tcPr>
          <w:p w:rsidR="00735613" w:rsidRDefault="00735613" w:rsidP="00735613">
            <w:pPr>
              <w:spacing w:line="240" w:lineRule="auto"/>
              <w:jc w:val="right"/>
              <w:rPr>
                <w:rFonts w:cs="Arial"/>
                <w:b/>
                <w:bCs/>
                <w:szCs w:val="18"/>
              </w:rPr>
            </w:pPr>
            <w:r>
              <w:rPr>
                <w:rFonts w:cs="Arial"/>
                <w:b/>
                <w:bCs/>
                <w:szCs w:val="18"/>
              </w:rPr>
              <w:t> </w:t>
            </w:r>
          </w:p>
        </w:tc>
        <w:tc>
          <w:tcPr>
            <w:tcW w:w="3211" w:type="dxa"/>
            <w:tcBorders>
              <w:top w:val="nil"/>
              <w:left w:val="nil"/>
              <w:bottom w:val="single" w:sz="4" w:space="0" w:color="auto"/>
              <w:right w:val="nil"/>
            </w:tcBorders>
            <w:shd w:val="clear" w:color="000000" w:fill="D9D9D9"/>
            <w:vAlign w:val="bottom"/>
            <w:hideMark/>
          </w:tcPr>
          <w:p w:rsidR="00735613" w:rsidRDefault="00735613" w:rsidP="00735613">
            <w:pPr>
              <w:spacing w:line="240" w:lineRule="auto"/>
              <w:jc w:val="right"/>
              <w:rPr>
                <w:rFonts w:cs="Arial"/>
                <w:b/>
                <w:bCs/>
                <w:szCs w:val="18"/>
              </w:rPr>
            </w:pPr>
            <w:r>
              <w:rPr>
                <w:rFonts w:cs="Arial"/>
                <w:b/>
                <w:bCs/>
                <w:szCs w:val="18"/>
              </w:rPr>
              <w:t> </w:t>
            </w:r>
          </w:p>
        </w:tc>
      </w:tr>
      <w:tr w:rsidR="00735613" w:rsidTr="00735613">
        <w:trPr>
          <w:trHeight w:val="227"/>
        </w:trPr>
        <w:tc>
          <w:tcPr>
            <w:tcW w:w="2626" w:type="dxa"/>
            <w:tcBorders>
              <w:top w:val="nil"/>
              <w:left w:val="nil"/>
              <w:bottom w:val="nil"/>
              <w:right w:val="nil"/>
            </w:tcBorders>
            <w:shd w:val="clear" w:color="000000" w:fill="D9D9D9"/>
            <w:vAlign w:val="bottom"/>
            <w:hideMark/>
          </w:tcPr>
          <w:p w:rsidR="00735613" w:rsidRDefault="00735613" w:rsidP="00735613">
            <w:pPr>
              <w:spacing w:line="240" w:lineRule="auto"/>
              <w:rPr>
                <w:rFonts w:cs="Arial"/>
                <w:b/>
                <w:bCs/>
                <w:szCs w:val="18"/>
              </w:rPr>
            </w:pPr>
            <w:r>
              <w:rPr>
                <w:rFonts w:cs="Arial"/>
                <w:b/>
                <w:bCs/>
                <w:szCs w:val="18"/>
              </w:rPr>
              <w:t>Income assumed</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 </w:t>
            </w:r>
          </w:p>
        </w:tc>
      </w:tr>
      <w:tr w:rsidR="00735613" w:rsidTr="00735613">
        <w:trPr>
          <w:trHeight w:val="227"/>
        </w:trPr>
        <w:tc>
          <w:tcPr>
            <w:tcW w:w="2626" w:type="dxa"/>
            <w:tcBorders>
              <w:top w:val="nil"/>
              <w:left w:val="nil"/>
              <w:bottom w:val="nil"/>
              <w:right w:val="nil"/>
            </w:tcBorders>
            <w:shd w:val="clear" w:color="000000" w:fill="D9D9D9"/>
            <w:noWrap/>
            <w:vAlign w:val="bottom"/>
            <w:hideMark/>
          </w:tcPr>
          <w:p w:rsidR="00735613" w:rsidRDefault="00735613" w:rsidP="00735613">
            <w:pPr>
              <w:spacing w:line="240" w:lineRule="auto"/>
              <w:ind w:firstLineChars="100" w:firstLine="180"/>
              <w:rPr>
                <w:rFonts w:cs="Arial"/>
                <w:szCs w:val="18"/>
              </w:rPr>
            </w:pPr>
            <w:r>
              <w:rPr>
                <w:rFonts w:cs="Arial"/>
                <w:szCs w:val="18"/>
              </w:rPr>
              <w:t>Recognised by the receiving entity</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3,610 </w:t>
            </w:r>
          </w:p>
        </w:tc>
      </w:tr>
      <w:tr w:rsidR="00735613" w:rsidTr="00735613">
        <w:trPr>
          <w:trHeight w:val="227"/>
        </w:trPr>
        <w:tc>
          <w:tcPr>
            <w:tcW w:w="2626" w:type="dxa"/>
            <w:tcBorders>
              <w:top w:val="nil"/>
              <w:left w:val="nil"/>
              <w:bottom w:val="nil"/>
              <w:right w:val="nil"/>
            </w:tcBorders>
            <w:shd w:val="clear" w:color="000000" w:fill="D9D9D9"/>
            <w:noWrap/>
            <w:vAlign w:val="bottom"/>
            <w:hideMark/>
          </w:tcPr>
          <w:p w:rsidR="00735613" w:rsidRDefault="00735613" w:rsidP="00735613">
            <w:pPr>
              <w:spacing w:line="240" w:lineRule="auto"/>
              <w:ind w:firstLineChars="100" w:firstLine="180"/>
              <w:rPr>
                <w:rFonts w:cs="Arial"/>
                <w:szCs w:val="18"/>
              </w:rPr>
            </w:pPr>
            <w:r>
              <w:rPr>
                <w:rFonts w:cs="Arial"/>
                <w:szCs w:val="18"/>
              </w:rPr>
              <w:t>Recognised by the losing entity</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8,912 </w:t>
            </w:r>
          </w:p>
        </w:tc>
      </w:tr>
      <w:tr w:rsidR="00735613" w:rsidTr="00735613">
        <w:trPr>
          <w:trHeight w:val="227"/>
        </w:trPr>
        <w:tc>
          <w:tcPr>
            <w:tcW w:w="2626"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Total income assumed</w:t>
            </w:r>
          </w:p>
        </w:tc>
        <w:tc>
          <w:tcPr>
            <w:tcW w:w="3245"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w:t>
            </w:r>
          </w:p>
        </w:tc>
        <w:tc>
          <w:tcPr>
            <w:tcW w:w="3211"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12,522</w:t>
            </w:r>
          </w:p>
        </w:tc>
      </w:tr>
      <w:tr w:rsidR="00735613" w:rsidTr="00735613">
        <w:trPr>
          <w:trHeight w:val="227"/>
        </w:trPr>
        <w:tc>
          <w:tcPr>
            <w:tcW w:w="2626" w:type="dxa"/>
            <w:tcBorders>
              <w:top w:val="nil"/>
              <w:left w:val="nil"/>
              <w:bottom w:val="single" w:sz="4" w:space="0" w:color="D9D9D9"/>
              <w:right w:val="nil"/>
            </w:tcBorders>
            <w:shd w:val="clear" w:color="000000" w:fill="D9D9D9"/>
            <w:noWrap/>
            <w:vAlign w:val="bottom"/>
            <w:hideMark/>
          </w:tcPr>
          <w:p w:rsidR="00735613" w:rsidRDefault="00735613" w:rsidP="00735613">
            <w:pPr>
              <w:spacing w:line="240" w:lineRule="auto"/>
              <w:rPr>
                <w:rFonts w:cs="Arial"/>
                <w:sz w:val="16"/>
                <w:szCs w:val="16"/>
              </w:rPr>
            </w:pPr>
            <w:r>
              <w:rPr>
                <w:rFonts w:cs="Arial"/>
                <w:sz w:val="16"/>
                <w:szCs w:val="16"/>
              </w:rPr>
              <w:t> </w:t>
            </w:r>
          </w:p>
        </w:tc>
        <w:tc>
          <w:tcPr>
            <w:tcW w:w="3245" w:type="dxa"/>
            <w:tcBorders>
              <w:top w:val="nil"/>
              <w:left w:val="nil"/>
              <w:bottom w:val="single" w:sz="4" w:space="0" w:color="D9D9D9"/>
              <w:right w:val="nil"/>
            </w:tcBorders>
            <w:shd w:val="clear" w:color="000000" w:fill="D9D9D9"/>
            <w:noWrap/>
            <w:vAlign w:val="bottom"/>
            <w:hideMark/>
          </w:tcPr>
          <w:p w:rsidR="00735613" w:rsidRDefault="00735613" w:rsidP="00735613">
            <w:pPr>
              <w:spacing w:line="240" w:lineRule="auto"/>
              <w:rPr>
                <w:rFonts w:cs="Arial"/>
                <w:sz w:val="16"/>
                <w:szCs w:val="16"/>
              </w:rPr>
            </w:pPr>
            <w:r>
              <w:rPr>
                <w:rFonts w:cs="Arial"/>
                <w:sz w:val="16"/>
                <w:szCs w:val="16"/>
              </w:rPr>
              <w:t> </w:t>
            </w:r>
          </w:p>
        </w:tc>
        <w:tc>
          <w:tcPr>
            <w:tcW w:w="3211" w:type="dxa"/>
            <w:tcBorders>
              <w:top w:val="nil"/>
              <w:left w:val="nil"/>
              <w:bottom w:val="single" w:sz="4" w:space="0" w:color="D9D9D9"/>
              <w:right w:val="nil"/>
            </w:tcBorders>
            <w:shd w:val="clear" w:color="000000" w:fill="D9D9D9"/>
            <w:noWrap/>
            <w:vAlign w:val="bottom"/>
            <w:hideMark/>
          </w:tcPr>
          <w:p w:rsidR="00735613" w:rsidRDefault="00735613" w:rsidP="00735613">
            <w:pPr>
              <w:spacing w:line="240" w:lineRule="auto"/>
              <w:rPr>
                <w:rFonts w:cs="Arial"/>
                <w:sz w:val="16"/>
                <w:szCs w:val="16"/>
              </w:rPr>
            </w:pPr>
            <w:r>
              <w:rPr>
                <w:rFonts w:cs="Arial"/>
                <w:sz w:val="16"/>
                <w:szCs w:val="16"/>
              </w:rPr>
              <w:t> </w:t>
            </w:r>
          </w:p>
        </w:tc>
      </w:tr>
      <w:tr w:rsidR="00735613" w:rsidTr="00735613">
        <w:trPr>
          <w:trHeight w:val="227"/>
        </w:trPr>
        <w:tc>
          <w:tcPr>
            <w:tcW w:w="2626" w:type="dxa"/>
            <w:tcBorders>
              <w:top w:val="nil"/>
              <w:left w:val="nil"/>
              <w:bottom w:val="nil"/>
              <w:right w:val="nil"/>
            </w:tcBorders>
            <w:shd w:val="clear" w:color="000000" w:fill="D9D9D9"/>
            <w:vAlign w:val="bottom"/>
            <w:hideMark/>
          </w:tcPr>
          <w:p w:rsidR="00735613" w:rsidRDefault="00735613" w:rsidP="00735613">
            <w:pPr>
              <w:spacing w:line="240" w:lineRule="auto"/>
              <w:rPr>
                <w:rFonts w:cs="Arial"/>
                <w:b/>
                <w:bCs/>
                <w:szCs w:val="18"/>
              </w:rPr>
            </w:pPr>
            <w:r>
              <w:rPr>
                <w:rFonts w:cs="Arial"/>
                <w:b/>
                <w:bCs/>
                <w:szCs w:val="18"/>
              </w:rPr>
              <w:t>Expenses assumed</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r>
      <w:tr w:rsidR="00735613" w:rsidTr="00735613">
        <w:trPr>
          <w:trHeight w:val="227"/>
        </w:trPr>
        <w:tc>
          <w:tcPr>
            <w:tcW w:w="2626" w:type="dxa"/>
            <w:tcBorders>
              <w:top w:val="nil"/>
              <w:left w:val="nil"/>
              <w:bottom w:val="nil"/>
              <w:right w:val="nil"/>
            </w:tcBorders>
            <w:shd w:val="clear" w:color="000000" w:fill="D9D9D9"/>
            <w:noWrap/>
            <w:vAlign w:val="bottom"/>
            <w:hideMark/>
          </w:tcPr>
          <w:p w:rsidR="00735613" w:rsidRDefault="00735613" w:rsidP="00735613">
            <w:pPr>
              <w:spacing w:line="240" w:lineRule="auto"/>
              <w:ind w:firstLineChars="100" w:firstLine="180"/>
              <w:rPr>
                <w:rFonts w:cs="Arial"/>
                <w:szCs w:val="18"/>
              </w:rPr>
            </w:pPr>
            <w:r>
              <w:rPr>
                <w:rFonts w:cs="Arial"/>
                <w:szCs w:val="18"/>
              </w:rPr>
              <w:t>Recognised by the receiving entity</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414,257 </w:t>
            </w:r>
          </w:p>
        </w:tc>
      </w:tr>
      <w:tr w:rsidR="00735613" w:rsidTr="00735613">
        <w:trPr>
          <w:trHeight w:val="227"/>
        </w:trPr>
        <w:tc>
          <w:tcPr>
            <w:tcW w:w="2626"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ind w:firstLineChars="100" w:firstLine="180"/>
              <w:rPr>
                <w:rFonts w:cs="Arial"/>
                <w:szCs w:val="18"/>
              </w:rPr>
            </w:pPr>
            <w:r>
              <w:rPr>
                <w:rFonts w:cs="Arial"/>
                <w:szCs w:val="18"/>
              </w:rPr>
              <w:t>Recognised by losing entity</w:t>
            </w:r>
          </w:p>
        </w:tc>
        <w:tc>
          <w:tcPr>
            <w:tcW w:w="3245"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3211"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853,436 </w:t>
            </w:r>
          </w:p>
        </w:tc>
      </w:tr>
      <w:tr w:rsidR="00735613" w:rsidTr="00735613">
        <w:trPr>
          <w:trHeight w:val="227"/>
        </w:trPr>
        <w:tc>
          <w:tcPr>
            <w:tcW w:w="2626"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Total expenses assumed</w:t>
            </w:r>
          </w:p>
        </w:tc>
        <w:tc>
          <w:tcPr>
            <w:tcW w:w="3245"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w:t>
            </w:r>
          </w:p>
        </w:tc>
        <w:tc>
          <w:tcPr>
            <w:tcW w:w="3211"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1,267,693</w:t>
            </w:r>
          </w:p>
        </w:tc>
      </w:tr>
      <w:tr w:rsidR="00735613" w:rsidTr="00735613">
        <w:trPr>
          <w:trHeight w:val="227"/>
        </w:trPr>
        <w:tc>
          <w:tcPr>
            <w:tcW w:w="2626"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rPr>
                <w:rFonts w:ascii="Arial" w:hAnsi="Arial" w:cs="Arial"/>
                <w:b/>
                <w:bCs/>
                <w:sz w:val="16"/>
                <w:szCs w:val="16"/>
              </w:rPr>
            </w:pPr>
            <w:r>
              <w:rPr>
                <w:rFonts w:ascii="Arial" w:hAnsi="Arial" w:cs="Arial"/>
                <w:b/>
                <w:bCs/>
                <w:sz w:val="16"/>
                <w:szCs w:val="16"/>
              </w:rPr>
              <w:t> </w:t>
            </w:r>
          </w:p>
        </w:tc>
        <w:tc>
          <w:tcPr>
            <w:tcW w:w="3245" w:type="dxa"/>
            <w:tcBorders>
              <w:top w:val="nil"/>
              <w:left w:val="nil"/>
              <w:bottom w:val="single" w:sz="4" w:space="0" w:color="auto"/>
              <w:right w:val="nil"/>
            </w:tcBorders>
            <w:shd w:val="clear" w:color="000000" w:fill="D9D9D9"/>
            <w:vAlign w:val="bottom"/>
            <w:hideMark/>
          </w:tcPr>
          <w:p w:rsidR="00735613" w:rsidRDefault="00735613" w:rsidP="00735613">
            <w:pPr>
              <w:spacing w:line="240" w:lineRule="auto"/>
              <w:jc w:val="right"/>
              <w:rPr>
                <w:rFonts w:cs="Arial"/>
                <w:b/>
                <w:bCs/>
                <w:szCs w:val="18"/>
              </w:rPr>
            </w:pPr>
            <w:r>
              <w:rPr>
                <w:rFonts w:cs="Arial"/>
                <w:b/>
                <w:bCs/>
                <w:szCs w:val="18"/>
              </w:rPr>
              <w:t> </w:t>
            </w:r>
          </w:p>
        </w:tc>
        <w:tc>
          <w:tcPr>
            <w:tcW w:w="3211" w:type="dxa"/>
            <w:tcBorders>
              <w:top w:val="nil"/>
              <w:left w:val="nil"/>
              <w:bottom w:val="single" w:sz="4" w:space="0" w:color="auto"/>
              <w:right w:val="nil"/>
            </w:tcBorders>
            <w:shd w:val="clear" w:color="000000" w:fill="D9D9D9"/>
            <w:vAlign w:val="bottom"/>
            <w:hideMark/>
          </w:tcPr>
          <w:p w:rsidR="00735613" w:rsidRDefault="00735613" w:rsidP="00735613">
            <w:pPr>
              <w:spacing w:line="240" w:lineRule="auto"/>
              <w:jc w:val="right"/>
              <w:rPr>
                <w:rFonts w:cs="Arial"/>
                <w:b/>
                <w:bCs/>
                <w:szCs w:val="18"/>
              </w:rPr>
            </w:pPr>
            <w:r>
              <w:rPr>
                <w:rFonts w:cs="Arial"/>
                <w:b/>
                <w:bCs/>
                <w:szCs w:val="18"/>
              </w:rPr>
              <w:t> </w:t>
            </w:r>
          </w:p>
        </w:tc>
      </w:tr>
      <w:tr w:rsidR="00735613" w:rsidTr="00735613">
        <w:trPr>
          <w:trHeight w:val="227"/>
        </w:trPr>
        <w:tc>
          <w:tcPr>
            <w:tcW w:w="2626" w:type="dxa"/>
            <w:tcBorders>
              <w:top w:val="nil"/>
              <w:left w:val="nil"/>
              <w:bottom w:val="nil"/>
              <w:right w:val="nil"/>
            </w:tcBorders>
            <w:shd w:val="clear" w:color="000000" w:fill="D9D9D9"/>
            <w:vAlign w:val="bottom"/>
            <w:hideMark/>
          </w:tcPr>
          <w:p w:rsidR="00735613" w:rsidRDefault="00735613" w:rsidP="00735613">
            <w:pPr>
              <w:spacing w:line="240" w:lineRule="auto"/>
              <w:rPr>
                <w:rFonts w:cs="Arial"/>
                <w:b/>
                <w:bCs/>
                <w:szCs w:val="18"/>
              </w:rPr>
            </w:pPr>
            <w:r>
              <w:rPr>
                <w:rFonts w:cs="Arial"/>
                <w:b/>
                <w:bCs/>
                <w:szCs w:val="18"/>
              </w:rPr>
              <w:t>FUNCTIONS RELINQUISHED</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 </w:t>
            </w:r>
          </w:p>
        </w:tc>
      </w:tr>
      <w:tr w:rsidR="00735613" w:rsidTr="00735613">
        <w:trPr>
          <w:trHeight w:val="227"/>
        </w:trPr>
        <w:tc>
          <w:tcPr>
            <w:tcW w:w="2626" w:type="dxa"/>
            <w:tcBorders>
              <w:top w:val="nil"/>
              <w:left w:val="nil"/>
              <w:bottom w:val="nil"/>
              <w:right w:val="nil"/>
            </w:tcBorders>
            <w:shd w:val="clear" w:color="000000" w:fill="D9D9D9"/>
            <w:vAlign w:val="bottom"/>
            <w:hideMark/>
          </w:tcPr>
          <w:p w:rsidR="00735613" w:rsidRDefault="00735613" w:rsidP="00735613">
            <w:pPr>
              <w:spacing w:line="240" w:lineRule="auto"/>
              <w:rPr>
                <w:rFonts w:cs="Arial"/>
                <w:b/>
                <w:bCs/>
                <w:szCs w:val="18"/>
              </w:rPr>
            </w:pPr>
            <w:r>
              <w:rPr>
                <w:rFonts w:cs="Arial"/>
                <w:b/>
                <w:bCs/>
                <w:szCs w:val="18"/>
              </w:rPr>
              <w:t>Assets relinquished</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 </w:t>
            </w:r>
          </w:p>
        </w:tc>
      </w:tr>
      <w:tr w:rsidR="00735613" w:rsidTr="00735613">
        <w:trPr>
          <w:trHeight w:val="227"/>
        </w:trPr>
        <w:tc>
          <w:tcPr>
            <w:tcW w:w="2626" w:type="dxa"/>
            <w:tcBorders>
              <w:top w:val="nil"/>
              <w:left w:val="nil"/>
              <w:bottom w:val="nil"/>
              <w:right w:val="nil"/>
            </w:tcBorders>
            <w:shd w:val="clear" w:color="000000" w:fill="D9D9D9"/>
            <w:noWrap/>
            <w:vAlign w:val="bottom"/>
            <w:hideMark/>
          </w:tcPr>
          <w:p w:rsidR="00735613" w:rsidRDefault="00735613" w:rsidP="00735613">
            <w:pPr>
              <w:spacing w:line="240" w:lineRule="auto"/>
              <w:ind w:firstLineChars="100" w:firstLine="180"/>
              <w:rPr>
                <w:rFonts w:cs="Arial"/>
                <w:szCs w:val="18"/>
              </w:rPr>
            </w:pPr>
            <w:r>
              <w:rPr>
                <w:rFonts w:cs="Arial"/>
                <w:szCs w:val="18"/>
              </w:rPr>
              <w:t>Cash and cash equivalents</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25,109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227"/>
        </w:trPr>
        <w:tc>
          <w:tcPr>
            <w:tcW w:w="2626" w:type="dxa"/>
            <w:tcBorders>
              <w:top w:val="nil"/>
              <w:left w:val="nil"/>
              <w:bottom w:val="nil"/>
              <w:right w:val="nil"/>
            </w:tcBorders>
            <w:shd w:val="clear" w:color="000000" w:fill="D9D9D9"/>
            <w:noWrap/>
            <w:vAlign w:val="bottom"/>
            <w:hideMark/>
          </w:tcPr>
          <w:p w:rsidR="00735613" w:rsidRDefault="00735613" w:rsidP="00735613">
            <w:pPr>
              <w:spacing w:line="240" w:lineRule="auto"/>
              <w:ind w:firstLineChars="100" w:firstLine="180"/>
              <w:rPr>
                <w:rFonts w:cs="Arial"/>
                <w:szCs w:val="18"/>
              </w:rPr>
            </w:pPr>
            <w:r>
              <w:rPr>
                <w:rFonts w:cs="Arial"/>
                <w:szCs w:val="18"/>
              </w:rPr>
              <w:t>Trade and other receivables</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(917)</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227"/>
        </w:trPr>
        <w:tc>
          <w:tcPr>
            <w:tcW w:w="2626" w:type="dxa"/>
            <w:tcBorders>
              <w:top w:val="nil"/>
              <w:left w:val="nil"/>
              <w:bottom w:val="nil"/>
              <w:right w:val="nil"/>
            </w:tcBorders>
            <w:shd w:val="clear" w:color="000000" w:fill="D9D9D9"/>
            <w:noWrap/>
            <w:vAlign w:val="bottom"/>
            <w:hideMark/>
          </w:tcPr>
          <w:p w:rsidR="00735613" w:rsidRDefault="00735613" w:rsidP="00735613">
            <w:pPr>
              <w:spacing w:line="240" w:lineRule="auto"/>
              <w:ind w:firstLineChars="100" w:firstLine="180"/>
              <w:rPr>
                <w:rFonts w:cs="Arial"/>
                <w:szCs w:val="18"/>
              </w:rPr>
            </w:pPr>
            <w:r>
              <w:rPr>
                <w:rFonts w:cs="Arial"/>
                <w:szCs w:val="18"/>
              </w:rPr>
              <w:t>Personal benefits receivable</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355,471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227"/>
        </w:trPr>
        <w:tc>
          <w:tcPr>
            <w:tcW w:w="2626" w:type="dxa"/>
            <w:tcBorders>
              <w:top w:val="nil"/>
              <w:left w:val="nil"/>
              <w:bottom w:val="nil"/>
              <w:right w:val="nil"/>
            </w:tcBorders>
            <w:shd w:val="clear" w:color="000000" w:fill="D9D9D9"/>
            <w:noWrap/>
            <w:vAlign w:val="bottom"/>
            <w:hideMark/>
          </w:tcPr>
          <w:p w:rsidR="00735613" w:rsidRDefault="00735613" w:rsidP="00735613">
            <w:pPr>
              <w:spacing w:line="240" w:lineRule="auto"/>
              <w:ind w:firstLineChars="100" w:firstLine="180"/>
              <w:rPr>
                <w:rFonts w:cs="Arial"/>
                <w:szCs w:val="18"/>
              </w:rPr>
            </w:pPr>
            <w:r>
              <w:rPr>
                <w:rFonts w:cs="Arial"/>
                <w:szCs w:val="18"/>
              </w:rPr>
              <w:t>Advances and loans</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609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227"/>
        </w:trPr>
        <w:tc>
          <w:tcPr>
            <w:tcW w:w="2626"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Total assets relinquished</w:t>
            </w:r>
          </w:p>
        </w:tc>
        <w:tc>
          <w:tcPr>
            <w:tcW w:w="3245"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380,272</w:t>
            </w:r>
          </w:p>
        </w:tc>
        <w:tc>
          <w:tcPr>
            <w:tcW w:w="3211"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w:t>
            </w:r>
          </w:p>
        </w:tc>
      </w:tr>
      <w:tr w:rsidR="00735613" w:rsidTr="00735613">
        <w:trPr>
          <w:trHeight w:val="227"/>
        </w:trPr>
        <w:tc>
          <w:tcPr>
            <w:tcW w:w="2626" w:type="dxa"/>
            <w:tcBorders>
              <w:top w:val="nil"/>
              <w:left w:val="nil"/>
              <w:bottom w:val="single" w:sz="4" w:space="0" w:color="D9D9D9"/>
              <w:right w:val="nil"/>
            </w:tcBorders>
            <w:shd w:val="clear" w:color="000000" w:fill="D9D9D9"/>
            <w:noWrap/>
            <w:vAlign w:val="bottom"/>
            <w:hideMark/>
          </w:tcPr>
          <w:p w:rsidR="00735613" w:rsidRDefault="00735613" w:rsidP="00735613">
            <w:pPr>
              <w:spacing w:line="240" w:lineRule="auto"/>
              <w:rPr>
                <w:rFonts w:cs="Arial"/>
                <w:sz w:val="16"/>
                <w:szCs w:val="16"/>
              </w:rPr>
            </w:pPr>
            <w:r>
              <w:rPr>
                <w:rFonts w:cs="Arial"/>
                <w:sz w:val="16"/>
                <w:szCs w:val="16"/>
              </w:rPr>
              <w:t> </w:t>
            </w:r>
          </w:p>
        </w:tc>
        <w:tc>
          <w:tcPr>
            <w:tcW w:w="3245" w:type="dxa"/>
            <w:tcBorders>
              <w:top w:val="nil"/>
              <w:left w:val="nil"/>
              <w:bottom w:val="single" w:sz="4" w:space="0" w:color="D9D9D9"/>
              <w:right w:val="nil"/>
            </w:tcBorders>
            <w:shd w:val="clear" w:color="000000" w:fill="D9D9D9"/>
            <w:noWrap/>
            <w:vAlign w:val="bottom"/>
            <w:hideMark/>
          </w:tcPr>
          <w:p w:rsidR="00735613" w:rsidRDefault="00735613" w:rsidP="00735613">
            <w:pPr>
              <w:spacing w:line="240" w:lineRule="auto"/>
              <w:rPr>
                <w:rFonts w:cs="Arial"/>
                <w:sz w:val="16"/>
                <w:szCs w:val="16"/>
              </w:rPr>
            </w:pPr>
            <w:r>
              <w:rPr>
                <w:rFonts w:cs="Arial"/>
                <w:sz w:val="16"/>
                <w:szCs w:val="16"/>
              </w:rPr>
              <w:t> </w:t>
            </w:r>
          </w:p>
        </w:tc>
        <w:tc>
          <w:tcPr>
            <w:tcW w:w="3211" w:type="dxa"/>
            <w:tcBorders>
              <w:top w:val="nil"/>
              <w:left w:val="nil"/>
              <w:bottom w:val="single" w:sz="4" w:space="0" w:color="D9D9D9"/>
              <w:right w:val="nil"/>
            </w:tcBorders>
            <w:shd w:val="clear" w:color="000000" w:fill="D9D9D9"/>
            <w:noWrap/>
            <w:vAlign w:val="bottom"/>
            <w:hideMark/>
          </w:tcPr>
          <w:p w:rsidR="00735613" w:rsidRDefault="00735613" w:rsidP="00735613">
            <w:pPr>
              <w:spacing w:line="240" w:lineRule="auto"/>
              <w:rPr>
                <w:rFonts w:cs="Arial"/>
                <w:sz w:val="16"/>
                <w:szCs w:val="16"/>
              </w:rPr>
            </w:pPr>
            <w:r>
              <w:rPr>
                <w:rFonts w:cs="Arial"/>
                <w:sz w:val="16"/>
                <w:szCs w:val="16"/>
              </w:rPr>
              <w:t> </w:t>
            </w:r>
          </w:p>
        </w:tc>
      </w:tr>
      <w:tr w:rsidR="00735613" w:rsidTr="00735613">
        <w:trPr>
          <w:trHeight w:val="227"/>
        </w:trPr>
        <w:tc>
          <w:tcPr>
            <w:tcW w:w="2626" w:type="dxa"/>
            <w:tcBorders>
              <w:top w:val="nil"/>
              <w:left w:val="nil"/>
              <w:bottom w:val="nil"/>
              <w:right w:val="nil"/>
            </w:tcBorders>
            <w:shd w:val="clear" w:color="000000" w:fill="D9D9D9"/>
            <w:vAlign w:val="bottom"/>
            <w:hideMark/>
          </w:tcPr>
          <w:p w:rsidR="00735613" w:rsidRDefault="00735613" w:rsidP="00735613">
            <w:pPr>
              <w:spacing w:line="240" w:lineRule="auto"/>
              <w:rPr>
                <w:rFonts w:cs="Arial"/>
                <w:b/>
                <w:bCs/>
                <w:szCs w:val="18"/>
              </w:rPr>
            </w:pPr>
            <w:r>
              <w:rPr>
                <w:rFonts w:cs="Arial"/>
                <w:b/>
                <w:bCs/>
                <w:szCs w:val="18"/>
              </w:rPr>
              <w:t>Liabilities relinquished</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 </w:t>
            </w:r>
          </w:p>
        </w:tc>
      </w:tr>
      <w:tr w:rsidR="00735613" w:rsidTr="00735613">
        <w:trPr>
          <w:trHeight w:val="227"/>
        </w:trPr>
        <w:tc>
          <w:tcPr>
            <w:tcW w:w="2626" w:type="dxa"/>
            <w:tcBorders>
              <w:top w:val="nil"/>
              <w:left w:val="nil"/>
              <w:bottom w:val="nil"/>
              <w:right w:val="nil"/>
            </w:tcBorders>
            <w:shd w:val="clear" w:color="000000" w:fill="D9D9D9"/>
            <w:noWrap/>
            <w:vAlign w:val="bottom"/>
            <w:hideMark/>
          </w:tcPr>
          <w:p w:rsidR="00735613" w:rsidRDefault="00735613" w:rsidP="00735613">
            <w:pPr>
              <w:spacing w:line="240" w:lineRule="auto"/>
              <w:ind w:firstLineChars="100" w:firstLine="180"/>
              <w:rPr>
                <w:rFonts w:cs="Arial"/>
                <w:szCs w:val="18"/>
              </w:rPr>
            </w:pPr>
            <w:r>
              <w:rPr>
                <w:rFonts w:cs="Arial"/>
                <w:szCs w:val="18"/>
              </w:rPr>
              <w:t>Suppliers</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3,797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r>
      <w:tr w:rsidR="00735613" w:rsidTr="00735613">
        <w:trPr>
          <w:trHeight w:val="227"/>
        </w:trPr>
        <w:tc>
          <w:tcPr>
            <w:tcW w:w="2626" w:type="dxa"/>
            <w:tcBorders>
              <w:top w:val="nil"/>
              <w:left w:val="nil"/>
              <w:bottom w:val="nil"/>
              <w:right w:val="nil"/>
            </w:tcBorders>
            <w:shd w:val="clear" w:color="000000" w:fill="D9D9D9"/>
            <w:noWrap/>
            <w:vAlign w:val="bottom"/>
            <w:hideMark/>
          </w:tcPr>
          <w:p w:rsidR="00735613" w:rsidRDefault="00735613" w:rsidP="00735613">
            <w:pPr>
              <w:spacing w:line="240" w:lineRule="auto"/>
              <w:ind w:firstLineChars="100" w:firstLine="180"/>
              <w:rPr>
                <w:rFonts w:cs="Arial"/>
                <w:szCs w:val="18"/>
              </w:rPr>
            </w:pPr>
            <w:r>
              <w:rPr>
                <w:rFonts w:cs="Arial"/>
                <w:szCs w:val="18"/>
              </w:rPr>
              <w:t>Personal benefits payable</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193,101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r>
      <w:tr w:rsidR="00735613" w:rsidTr="00735613">
        <w:trPr>
          <w:trHeight w:val="227"/>
        </w:trPr>
        <w:tc>
          <w:tcPr>
            <w:tcW w:w="2626" w:type="dxa"/>
            <w:tcBorders>
              <w:top w:val="nil"/>
              <w:left w:val="nil"/>
              <w:bottom w:val="nil"/>
              <w:right w:val="nil"/>
            </w:tcBorders>
            <w:shd w:val="clear" w:color="000000" w:fill="D9D9D9"/>
            <w:noWrap/>
            <w:vAlign w:val="bottom"/>
            <w:hideMark/>
          </w:tcPr>
          <w:p w:rsidR="00735613" w:rsidRDefault="00735613" w:rsidP="00735613">
            <w:pPr>
              <w:spacing w:line="240" w:lineRule="auto"/>
              <w:ind w:firstLineChars="100" w:firstLine="180"/>
              <w:rPr>
                <w:rFonts w:cs="Arial"/>
                <w:szCs w:val="18"/>
              </w:rPr>
            </w:pPr>
            <w:r>
              <w:rPr>
                <w:rFonts w:cs="Arial"/>
                <w:szCs w:val="18"/>
              </w:rPr>
              <w:t>Grants payable</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22,429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r>
      <w:tr w:rsidR="00735613" w:rsidTr="00735613">
        <w:trPr>
          <w:trHeight w:val="227"/>
        </w:trPr>
        <w:tc>
          <w:tcPr>
            <w:tcW w:w="2626" w:type="dxa"/>
            <w:tcBorders>
              <w:top w:val="nil"/>
              <w:left w:val="nil"/>
              <w:bottom w:val="nil"/>
              <w:right w:val="nil"/>
            </w:tcBorders>
            <w:shd w:val="clear" w:color="000000" w:fill="D9D9D9"/>
            <w:noWrap/>
            <w:vAlign w:val="bottom"/>
            <w:hideMark/>
          </w:tcPr>
          <w:p w:rsidR="00735613" w:rsidRDefault="00735613" w:rsidP="00735613">
            <w:pPr>
              <w:spacing w:line="240" w:lineRule="auto"/>
              <w:ind w:firstLineChars="100" w:firstLine="180"/>
              <w:rPr>
                <w:rFonts w:cs="Arial"/>
                <w:szCs w:val="18"/>
              </w:rPr>
            </w:pPr>
            <w:r>
              <w:rPr>
                <w:rFonts w:cs="Arial"/>
                <w:szCs w:val="18"/>
              </w:rPr>
              <w:t>Provision for personal benefits</w:t>
            </w:r>
          </w:p>
        </w:tc>
        <w:tc>
          <w:tcPr>
            <w:tcW w:w="324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703,289 </w:t>
            </w:r>
          </w:p>
        </w:tc>
        <w:tc>
          <w:tcPr>
            <w:tcW w:w="321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r>
      <w:tr w:rsidR="00735613" w:rsidTr="00735613">
        <w:trPr>
          <w:trHeight w:val="227"/>
        </w:trPr>
        <w:tc>
          <w:tcPr>
            <w:tcW w:w="2626"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Total liabilities relinquished</w:t>
            </w:r>
          </w:p>
        </w:tc>
        <w:tc>
          <w:tcPr>
            <w:tcW w:w="3245"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922,616</w:t>
            </w:r>
          </w:p>
        </w:tc>
        <w:tc>
          <w:tcPr>
            <w:tcW w:w="3211"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w:t>
            </w:r>
          </w:p>
        </w:tc>
      </w:tr>
      <w:tr w:rsidR="00735613" w:rsidTr="00735613">
        <w:trPr>
          <w:trHeight w:val="227"/>
        </w:trPr>
        <w:tc>
          <w:tcPr>
            <w:tcW w:w="2626"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Net assets relinquished</w:t>
            </w:r>
          </w:p>
        </w:tc>
        <w:tc>
          <w:tcPr>
            <w:tcW w:w="3245"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(542,344)</w:t>
            </w:r>
          </w:p>
        </w:tc>
        <w:tc>
          <w:tcPr>
            <w:tcW w:w="3211"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w:t>
            </w:r>
          </w:p>
        </w:tc>
      </w:tr>
    </w:tbl>
    <w:p w:rsidR="00735613" w:rsidRDefault="00735613" w:rsidP="00735613">
      <w:pPr>
        <w:pStyle w:val="ReferenceText"/>
      </w:pPr>
      <w:bookmarkStart w:id="297" w:name="RANGE!D7:F52"/>
      <w:bookmarkStart w:id="298" w:name="RANGE!D7:F60"/>
      <w:bookmarkEnd w:id="297"/>
      <w:bookmarkEnd w:id="298"/>
    </w:p>
    <w:p w:rsidR="00735613" w:rsidRDefault="00735613" w:rsidP="00735613">
      <w:pPr>
        <w:pStyle w:val="ReferenceText"/>
      </w:pPr>
      <w:r>
        <w:t>Notes:</w:t>
      </w:r>
    </w:p>
    <w:p w:rsidR="00735613" w:rsidRDefault="00735613" w:rsidP="00735613">
      <w:pPr>
        <w:pStyle w:val="ReferenceText"/>
      </w:pPr>
      <w:r w:rsidRPr="00DF5B46">
        <w:rPr>
          <w:vertAlign w:val="superscript"/>
        </w:rPr>
        <w:t>1</w:t>
      </w:r>
      <w:r>
        <w:rPr>
          <w:vertAlign w:val="superscript"/>
        </w:rPr>
        <w:t xml:space="preserve"> </w:t>
      </w:r>
      <w:r>
        <w:t xml:space="preserve">The Early Childhood Education and Care functions transferred to the Department of Social Services following the </w:t>
      </w:r>
      <w:r>
        <w:br/>
        <w:t xml:space="preserve">Administrative Arrangement Orders of 23 December 2014. </w:t>
      </w:r>
    </w:p>
    <w:p w:rsidR="00735613" w:rsidRPr="00962C3D" w:rsidRDefault="00735613" w:rsidP="00735613">
      <w:pPr>
        <w:pStyle w:val="ReferenceText"/>
      </w:pPr>
      <w:r w:rsidRPr="00962C3D">
        <w:rPr>
          <w:vertAlign w:val="superscript"/>
        </w:rPr>
        <w:t>2</w:t>
      </w:r>
      <w:r>
        <w:rPr>
          <w:vertAlign w:val="superscript"/>
        </w:rPr>
        <w:t xml:space="preserve"> </w:t>
      </w:r>
      <w:r>
        <w:t xml:space="preserve">The Skills and Training functions were acquired from the Department of Industry and Science following the Administrative Arrangement Orders of 23 December 2014. </w:t>
      </w:r>
    </w:p>
    <w:p w:rsidR="00735613" w:rsidRDefault="00735613" w:rsidP="00735613">
      <w:r>
        <w:t>The net assets assumed from all entities total ($8.569) million.</w:t>
      </w:r>
    </w:p>
    <w:p w:rsidR="00735613" w:rsidRDefault="00735613" w:rsidP="00735613">
      <w:r>
        <w:t>The net assets relinquished to all entities total ($542.344) million.</w:t>
      </w:r>
    </w:p>
    <w:p w:rsidR="00735613" w:rsidRDefault="00735613" w:rsidP="00735613">
      <w:pPr>
        <w:pStyle w:val="ReferenceText"/>
        <w:sectPr w:rsidR="00735613" w:rsidSect="00735613">
          <w:pgSz w:w="11906" w:h="16838"/>
          <w:pgMar w:top="1134" w:right="1134" w:bottom="1134" w:left="1134" w:header="958" w:footer="737" w:gutter="0"/>
          <w:cols w:space="720"/>
          <w:docGrid w:linePitch="245"/>
        </w:sectPr>
      </w:pPr>
      <w:r>
        <w:t>The net book value of the assets and liabilities were transferred to the department for no consideration.</w:t>
      </w:r>
    </w:p>
    <w:tbl>
      <w:tblPr>
        <w:tblW w:w="14740" w:type="dxa"/>
        <w:tblInd w:w="80" w:type="dxa"/>
        <w:tblLayout w:type="fixed"/>
        <w:tblCellMar>
          <w:left w:w="6" w:type="dxa"/>
          <w:right w:w="6" w:type="dxa"/>
        </w:tblCellMar>
        <w:tblLook w:val="04A0" w:firstRow="1" w:lastRow="0" w:firstColumn="1" w:lastColumn="0" w:noHBand="0" w:noVBand="1"/>
      </w:tblPr>
      <w:tblGrid>
        <w:gridCol w:w="3369"/>
        <w:gridCol w:w="4175"/>
        <w:gridCol w:w="4131"/>
        <w:gridCol w:w="3065"/>
      </w:tblGrid>
      <w:tr w:rsidR="00735613" w:rsidTr="00735613">
        <w:trPr>
          <w:trHeight w:val="227"/>
        </w:trPr>
        <w:tc>
          <w:tcPr>
            <w:tcW w:w="3369"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bookmarkStart w:id="299" w:name="Note_AESTABLE2" w:colFirst="0" w:colLast="0"/>
            <w:r>
              <w:rPr>
                <w:rFonts w:ascii="Arial" w:hAnsi="Arial" w:cs="Arial"/>
                <w:sz w:val="16"/>
                <w:szCs w:val="16"/>
              </w:rPr>
              <w:t> </w:t>
            </w:r>
          </w:p>
        </w:tc>
        <w:tc>
          <w:tcPr>
            <w:tcW w:w="4175" w:type="dxa"/>
            <w:tcBorders>
              <w:top w:val="single" w:sz="4" w:space="0" w:color="auto"/>
              <w:left w:val="nil"/>
              <w:bottom w:val="single" w:sz="4" w:space="0" w:color="auto"/>
              <w:right w:val="nil"/>
            </w:tcBorders>
            <w:shd w:val="clear" w:color="000000" w:fill="D9D9D9"/>
            <w:vAlign w:val="bottom"/>
            <w:hideMark/>
          </w:tcPr>
          <w:p w:rsidR="00735613" w:rsidRDefault="00735613" w:rsidP="00735613">
            <w:pPr>
              <w:spacing w:line="240" w:lineRule="auto"/>
              <w:rPr>
                <w:rFonts w:cs="Arial"/>
                <w:b/>
                <w:bCs/>
                <w:szCs w:val="18"/>
              </w:rPr>
            </w:pPr>
            <w:r>
              <w:rPr>
                <w:rFonts w:cs="Arial"/>
                <w:b/>
                <w:bCs/>
                <w:szCs w:val="18"/>
              </w:rPr>
              <w:t> </w:t>
            </w:r>
          </w:p>
        </w:tc>
        <w:tc>
          <w:tcPr>
            <w:tcW w:w="4131" w:type="dxa"/>
            <w:tcBorders>
              <w:top w:val="single" w:sz="4" w:space="0" w:color="auto"/>
              <w:left w:val="nil"/>
              <w:bottom w:val="single" w:sz="4" w:space="0" w:color="auto"/>
              <w:right w:val="nil"/>
            </w:tcBorders>
            <w:shd w:val="clear" w:color="000000" w:fill="D9D9D9"/>
            <w:vAlign w:val="bottom"/>
            <w:hideMark/>
          </w:tcPr>
          <w:p w:rsidR="00735613" w:rsidRDefault="00735613" w:rsidP="00735613">
            <w:pPr>
              <w:spacing w:line="240" w:lineRule="auto"/>
              <w:jc w:val="center"/>
              <w:rPr>
                <w:rFonts w:cs="Arial"/>
                <w:b/>
                <w:bCs/>
                <w:szCs w:val="18"/>
              </w:rPr>
            </w:pPr>
            <w:r>
              <w:rPr>
                <w:rFonts w:cs="Arial"/>
                <w:b/>
                <w:bCs/>
                <w:szCs w:val="18"/>
              </w:rPr>
              <w:t>2014</w:t>
            </w:r>
          </w:p>
        </w:tc>
        <w:tc>
          <w:tcPr>
            <w:tcW w:w="3065" w:type="dxa"/>
            <w:tcBorders>
              <w:top w:val="single" w:sz="4" w:space="0" w:color="auto"/>
              <w:left w:val="nil"/>
              <w:bottom w:val="single" w:sz="4" w:space="0" w:color="auto"/>
              <w:right w:val="nil"/>
            </w:tcBorders>
            <w:shd w:val="clear" w:color="000000" w:fill="D9D9D9"/>
            <w:vAlign w:val="bottom"/>
            <w:hideMark/>
          </w:tcPr>
          <w:p w:rsidR="00735613" w:rsidRDefault="00735613" w:rsidP="00735613">
            <w:pPr>
              <w:spacing w:line="240" w:lineRule="auto"/>
              <w:rPr>
                <w:rFonts w:cs="Arial"/>
                <w:b/>
                <w:bCs/>
                <w:szCs w:val="18"/>
              </w:rPr>
            </w:pPr>
            <w:r>
              <w:rPr>
                <w:rFonts w:cs="Arial"/>
                <w:b/>
                <w:bCs/>
                <w:szCs w:val="18"/>
              </w:rPr>
              <w:t> </w:t>
            </w:r>
          </w:p>
        </w:tc>
      </w:tr>
      <w:bookmarkEnd w:id="299"/>
      <w:tr w:rsidR="00735613" w:rsidTr="00735613">
        <w:trPr>
          <w:trHeight w:val="227"/>
        </w:trPr>
        <w:tc>
          <w:tcPr>
            <w:tcW w:w="3369" w:type="dxa"/>
            <w:tcBorders>
              <w:top w:val="nil"/>
              <w:left w:val="nil"/>
              <w:bottom w:val="nil"/>
              <w:right w:val="nil"/>
            </w:tcBorders>
            <w:shd w:val="clear" w:color="000000" w:fill="D9D9D9"/>
            <w:noWrap/>
            <w:hideMark/>
          </w:tcPr>
          <w:p w:rsidR="00735613" w:rsidRDefault="00735613" w:rsidP="00735613">
            <w:pPr>
              <w:spacing w:line="240" w:lineRule="auto"/>
              <w:rPr>
                <w:rFonts w:ascii="Arial" w:hAnsi="Arial" w:cs="Arial"/>
                <w:b/>
                <w:bCs/>
                <w:sz w:val="16"/>
                <w:szCs w:val="16"/>
              </w:rPr>
            </w:pPr>
            <w:r>
              <w:rPr>
                <w:rFonts w:ascii="Arial" w:hAnsi="Arial" w:cs="Arial"/>
                <w:b/>
                <w:bCs/>
                <w:sz w:val="16"/>
                <w:szCs w:val="16"/>
              </w:rPr>
              <w:t>Function</w:t>
            </w:r>
          </w:p>
        </w:tc>
        <w:tc>
          <w:tcPr>
            <w:tcW w:w="4175" w:type="dxa"/>
            <w:tcBorders>
              <w:top w:val="nil"/>
              <w:left w:val="nil"/>
              <w:bottom w:val="nil"/>
              <w:right w:val="nil"/>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Education: Early Childhood Education and Care, Schools and Youth</w:t>
            </w:r>
          </w:p>
        </w:tc>
        <w:tc>
          <w:tcPr>
            <w:tcW w:w="4131" w:type="dxa"/>
            <w:tcBorders>
              <w:top w:val="nil"/>
              <w:left w:val="nil"/>
              <w:bottom w:val="nil"/>
              <w:right w:val="nil"/>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Tertiary Education: including Higher Education, Research and International Education</w:t>
            </w:r>
          </w:p>
        </w:tc>
        <w:tc>
          <w:tcPr>
            <w:tcW w:w="3065" w:type="dxa"/>
            <w:tcBorders>
              <w:top w:val="nil"/>
              <w:left w:val="nil"/>
              <w:bottom w:val="nil"/>
              <w:right w:val="nil"/>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Tertiary Education: including Research</w:t>
            </w:r>
          </w:p>
        </w:tc>
      </w:tr>
      <w:tr w:rsidR="00735613" w:rsidTr="00735613">
        <w:trPr>
          <w:trHeight w:val="227"/>
        </w:trPr>
        <w:tc>
          <w:tcPr>
            <w:tcW w:w="3369" w:type="dxa"/>
            <w:tcBorders>
              <w:top w:val="nil"/>
              <w:left w:val="nil"/>
              <w:bottom w:val="nil"/>
              <w:right w:val="nil"/>
            </w:tcBorders>
            <w:shd w:val="clear" w:color="000000" w:fill="D9D9D9"/>
            <w:noWrap/>
            <w:hideMark/>
          </w:tcPr>
          <w:p w:rsidR="00735613" w:rsidRDefault="00735613" w:rsidP="00735613">
            <w:pPr>
              <w:spacing w:line="240" w:lineRule="auto"/>
              <w:rPr>
                <w:rFonts w:ascii="Arial" w:hAnsi="Arial" w:cs="Arial"/>
                <w:b/>
                <w:bCs/>
                <w:sz w:val="16"/>
                <w:szCs w:val="16"/>
              </w:rPr>
            </w:pPr>
            <w:r>
              <w:rPr>
                <w:rFonts w:ascii="Arial" w:hAnsi="Arial" w:cs="Arial"/>
                <w:b/>
                <w:bCs/>
                <w:sz w:val="16"/>
                <w:szCs w:val="16"/>
              </w:rPr>
              <w:t>Entity</w:t>
            </w:r>
          </w:p>
        </w:tc>
        <w:tc>
          <w:tcPr>
            <w:tcW w:w="4175" w:type="dxa"/>
            <w:tcBorders>
              <w:top w:val="nil"/>
              <w:left w:val="nil"/>
              <w:bottom w:val="nil"/>
              <w:right w:val="nil"/>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Department of Education, Employment and Workplace Relations</w:t>
            </w:r>
            <w:r>
              <w:rPr>
                <w:rFonts w:cs="Arial"/>
                <w:b/>
                <w:bCs/>
                <w:szCs w:val="18"/>
                <w:vertAlign w:val="superscript"/>
              </w:rPr>
              <w:t>3</w:t>
            </w:r>
          </w:p>
        </w:tc>
        <w:tc>
          <w:tcPr>
            <w:tcW w:w="4131" w:type="dxa"/>
            <w:tcBorders>
              <w:top w:val="nil"/>
              <w:left w:val="nil"/>
              <w:bottom w:val="nil"/>
              <w:right w:val="nil"/>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Department of Industry, Innovation, Science, Research and Tertiary Education</w:t>
            </w:r>
            <w:r>
              <w:rPr>
                <w:rFonts w:cs="Arial"/>
                <w:b/>
                <w:bCs/>
                <w:szCs w:val="18"/>
                <w:vertAlign w:val="superscript"/>
              </w:rPr>
              <w:t>4</w:t>
            </w:r>
          </w:p>
        </w:tc>
        <w:tc>
          <w:tcPr>
            <w:tcW w:w="3065" w:type="dxa"/>
            <w:tcBorders>
              <w:top w:val="nil"/>
              <w:left w:val="nil"/>
              <w:bottom w:val="nil"/>
              <w:right w:val="nil"/>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Department of the Prime Minister and Cabinet</w:t>
            </w:r>
            <w:r>
              <w:rPr>
                <w:rFonts w:cs="Arial"/>
                <w:b/>
                <w:bCs/>
                <w:szCs w:val="18"/>
                <w:vertAlign w:val="superscript"/>
              </w:rPr>
              <w:t>5</w:t>
            </w:r>
          </w:p>
        </w:tc>
      </w:tr>
      <w:tr w:rsidR="00735613" w:rsidTr="00735613">
        <w:trPr>
          <w:trHeight w:val="227"/>
        </w:trPr>
        <w:tc>
          <w:tcPr>
            <w:tcW w:w="3369"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4175" w:type="dxa"/>
            <w:tcBorders>
              <w:top w:val="nil"/>
              <w:left w:val="nil"/>
              <w:bottom w:val="single" w:sz="4" w:space="0" w:color="auto"/>
              <w:right w:val="nil"/>
            </w:tcBorders>
            <w:shd w:val="clear" w:color="000000" w:fill="D9D9D9"/>
            <w:vAlign w:val="bottom"/>
            <w:hideMark/>
          </w:tcPr>
          <w:p w:rsidR="00735613" w:rsidRDefault="00735613" w:rsidP="00735613">
            <w:pPr>
              <w:spacing w:line="240" w:lineRule="auto"/>
              <w:jc w:val="right"/>
              <w:rPr>
                <w:rFonts w:cs="Arial"/>
                <w:b/>
                <w:bCs/>
                <w:szCs w:val="18"/>
              </w:rPr>
            </w:pPr>
            <w:r>
              <w:rPr>
                <w:rFonts w:cs="Arial"/>
                <w:b/>
                <w:bCs/>
                <w:szCs w:val="18"/>
              </w:rPr>
              <w:t>$’000</w:t>
            </w:r>
          </w:p>
        </w:tc>
        <w:tc>
          <w:tcPr>
            <w:tcW w:w="4131" w:type="dxa"/>
            <w:tcBorders>
              <w:top w:val="nil"/>
              <w:left w:val="nil"/>
              <w:bottom w:val="single" w:sz="4" w:space="0" w:color="auto"/>
              <w:right w:val="nil"/>
            </w:tcBorders>
            <w:shd w:val="clear" w:color="000000" w:fill="D9D9D9"/>
            <w:vAlign w:val="bottom"/>
            <w:hideMark/>
          </w:tcPr>
          <w:p w:rsidR="00735613" w:rsidRDefault="00735613" w:rsidP="00735613">
            <w:pPr>
              <w:spacing w:line="240" w:lineRule="auto"/>
              <w:jc w:val="right"/>
              <w:rPr>
                <w:rFonts w:cs="Arial"/>
                <w:b/>
                <w:bCs/>
                <w:szCs w:val="18"/>
              </w:rPr>
            </w:pPr>
            <w:r>
              <w:rPr>
                <w:rFonts w:cs="Arial"/>
                <w:b/>
                <w:bCs/>
                <w:szCs w:val="18"/>
              </w:rPr>
              <w:t>$’000</w:t>
            </w:r>
          </w:p>
        </w:tc>
        <w:tc>
          <w:tcPr>
            <w:tcW w:w="3065" w:type="dxa"/>
            <w:tcBorders>
              <w:top w:val="nil"/>
              <w:left w:val="nil"/>
              <w:bottom w:val="single" w:sz="4" w:space="0" w:color="auto"/>
              <w:right w:val="nil"/>
            </w:tcBorders>
            <w:shd w:val="clear" w:color="000000" w:fill="D9D9D9"/>
            <w:vAlign w:val="bottom"/>
            <w:hideMark/>
          </w:tcPr>
          <w:p w:rsidR="00735613" w:rsidRDefault="00735613" w:rsidP="00735613">
            <w:pPr>
              <w:spacing w:line="240" w:lineRule="auto"/>
              <w:jc w:val="right"/>
              <w:rPr>
                <w:rFonts w:cs="Arial"/>
                <w:b/>
                <w:bCs/>
                <w:szCs w:val="18"/>
              </w:rPr>
            </w:pPr>
            <w:r>
              <w:rPr>
                <w:rFonts w:cs="Arial"/>
                <w:b/>
                <w:bCs/>
                <w:szCs w:val="18"/>
              </w:rPr>
              <w:t>$’000</w:t>
            </w:r>
          </w:p>
        </w:tc>
      </w:tr>
      <w:tr w:rsidR="00735613" w:rsidTr="00735613">
        <w:trPr>
          <w:trHeight w:val="227"/>
        </w:trPr>
        <w:tc>
          <w:tcPr>
            <w:tcW w:w="3369" w:type="dxa"/>
            <w:tcBorders>
              <w:top w:val="nil"/>
              <w:left w:val="nil"/>
              <w:bottom w:val="nil"/>
              <w:right w:val="nil"/>
            </w:tcBorders>
            <w:shd w:val="clear" w:color="000000" w:fill="D9D9D9"/>
            <w:vAlign w:val="bottom"/>
            <w:hideMark/>
          </w:tcPr>
          <w:p w:rsidR="00735613" w:rsidRDefault="00735613" w:rsidP="00735613">
            <w:pPr>
              <w:spacing w:line="240" w:lineRule="auto"/>
              <w:rPr>
                <w:rFonts w:cs="Arial"/>
                <w:b/>
                <w:bCs/>
                <w:szCs w:val="18"/>
              </w:rPr>
            </w:pPr>
            <w:r>
              <w:rPr>
                <w:rFonts w:cs="Arial"/>
                <w:b/>
                <w:bCs/>
                <w:szCs w:val="18"/>
              </w:rPr>
              <w:t>FUNCTIONS ASSUMED</w:t>
            </w:r>
          </w:p>
        </w:tc>
        <w:tc>
          <w:tcPr>
            <w:tcW w:w="4175"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4131"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3065"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r>
      <w:tr w:rsidR="00735613" w:rsidTr="00735613">
        <w:trPr>
          <w:trHeight w:val="227"/>
        </w:trPr>
        <w:tc>
          <w:tcPr>
            <w:tcW w:w="3369" w:type="dxa"/>
            <w:tcBorders>
              <w:top w:val="nil"/>
              <w:left w:val="nil"/>
              <w:bottom w:val="nil"/>
              <w:right w:val="nil"/>
            </w:tcBorders>
            <w:shd w:val="clear" w:color="000000" w:fill="D9D9D9"/>
            <w:vAlign w:val="bottom"/>
            <w:hideMark/>
          </w:tcPr>
          <w:p w:rsidR="00735613" w:rsidRDefault="00735613" w:rsidP="00735613">
            <w:pPr>
              <w:spacing w:line="240" w:lineRule="auto"/>
              <w:rPr>
                <w:rFonts w:cs="Arial"/>
                <w:b/>
                <w:bCs/>
                <w:szCs w:val="18"/>
              </w:rPr>
            </w:pPr>
            <w:r>
              <w:rPr>
                <w:rFonts w:cs="Arial"/>
                <w:b/>
                <w:bCs/>
                <w:szCs w:val="18"/>
              </w:rPr>
              <w:t>Assets assumed</w:t>
            </w:r>
          </w:p>
        </w:tc>
        <w:tc>
          <w:tcPr>
            <w:tcW w:w="4175"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4131"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3065"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r>
      <w:tr w:rsidR="00735613" w:rsidTr="00735613">
        <w:trPr>
          <w:trHeight w:val="227"/>
        </w:trPr>
        <w:tc>
          <w:tcPr>
            <w:tcW w:w="3369" w:type="dxa"/>
            <w:tcBorders>
              <w:top w:val="nil"/>
              <w:left w:val="nil"/>
              <w:bottom w:val="nil"/>
              <w:right w:val="nil"/>
            </w:tcBorders>
            <w:shd w:val="clear" w:color="000000" w:fill="D9D9D9"/>
            <w:noWrap/>
            <w:vAlign w:val="bottom"/>
            <w:hideMark/>
          </w:tcPr>
          <w:p w:rsidR="00735613" w:rsidRDefault="00735613" w:rsidP="00735613">
            <w:pPr>
              <w:spacing w:line="240" w:lineRule="auto"/>
              <w:ind w:leftChars="100" w:left="180"/>
              <w:rPr>
                <w:rFonts w:cs="Arial"/>
                <w:szCs w:val="18"/>
              </w:rPr>
            </w:pPr>
            <w:r>
              <w:rPr>
                <w:rFonts w:cs="Arial"/>
                <w:szCs w:val="18"/>
              </w:rPr>
              <w:t>Cash and cash equivalents</w:t>
            </w:r>
          </w:p>
        </w:tc>
        <w:tc>
          <w:tcPr>
            <w:tcW w:w="417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139,331 </w:t>
            </w:r>
          </w:p>
        </w:tc>
        <w:tc>
          <w:tcPr>
            <w:tcW w:w="413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306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227"/>
        </w:trPr>
        <w:tc>
          <w:tcPr>
            <w:tcW w:w="3369" w:type="dxa"/>
            <w:tcBorders>
              <w:top w:val="nil"/>
              <w:left w:val="nil"/>
              <w:bottom w:val="nil"/>
              <w:right w:val="nil"/>
            </w:tcBorders>
            <w:shd w:val="clear" w:color="000000" w:fill="D9D9D9"/>
            <w:noWrap/>
            <w:vAlign w:val="bottom"/>
            <w:hideMark/>
          </w:tcPr>
          <w:p w:rsidR="00735613" w:rsidRDefault="00735613" w:rsidP="00735613">
            <w:pPr>
              <w:spacing w:line="240" w:lineRule="auto"/>
              <w:ind w:leftChars="100" w:left="180"/>
              <w:rPr>
                <w:rFonts w:cs="Arial"/>
                <w:szCs w:val="18"/>
              </w:rPr>
            </w:pPr>
            <w:r>
              <w:rPr>
                <w:rFonts w:cs="Arial"/>
                <w:szCs w:val="18"/>
              </w:rPr>
              <w:t>Trade and other receivables</w:t>
            </w:r>
          </w:p>
        </w:tc>
        <w:tc>
          <w:tcPr>
            <w:tcW w:w="417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9,478 </w:t>
            </w:r>
          </w:p>
        </w:tc>
        <w:tc>
          <w:tcPr>
            <w:tcW w:w="413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431,524 </w:t>
            </w:r>
          </w:p>
        </w:tc>
        <w:tc>
          <w:tcPr>
            <w:tcW w:w="306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227"/>
        </w:trPr>
        <w:tc>
          <w:tcPr>
            <w:tcW w:w="3369" w:type="dxa"/>
            <w:tcBorders>
              <w:top w:val="nil"/>
              <w:left w:val="nil"/>
              <w:bottom w:val="nil"/>
              <w:right w:val="nil"/>
            </w:tcBorders>
            <w:shd w:val="clear" w:color="000000" w:fill="D9D9D9"/>
            <w:noWrap/>
            <w:vAlign w:val="bottom"/>
            <w:hideMark/>
          </w:tcPr>
          <w:p w:rsidR="00735613" w:rsidRDefault="00735613" w:rsidP="00735613">
            <w:pPr>
              <w:spacing w:line="240" w:lineRule="auto"/>
              <w:ind w:leftChars="100" w:left="180"/>
              <w:rPr>
                <w:rFonts w:cs="Arial"/>
                <w:szCs w:val="18"/>
              </w:rPr>
            </w:pPr>
            <w:r>
              <w:rPr>
                <w:rFonts w:cs="Arial"/>
                <w:szCs w:val="18"/>
              </w:rPr>
              <w:t>Personal benefits receivable</w:t>
            </w:r>
          </w:p>
        </w:tc>
        <w:tc>
          <w:tcPr>
            <w:tcW w:w="417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295,752 </w:t>
            </w:r>
          </w:p>
        </w:tc>
        <w:tc>
          <w:tcPr>
            <w:tcW w:w="413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306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227"/>
        </w:trPr>
        <w:tc>
          <w:tcPr>
            <w:tcW w:w="3369" w:type="dxa"/>
            <w:tcBorders>
              <w:top w:val="nil"/>
              <w:left w:val="nil"/>
              <w:bottom w:val="nil"/>
              <w:right w:val="nil"/>
            </w:tcBorders>
            <w:shd w:val="clear" w:color="000000" w:fill="D9D9D9"/>
            <w:noWrap/>
            <w:vAlign w:val="bottom"/>
            <w:hideMark/>
          </w:tcPr>
          <w:p w:rsidR="00735613" w:rsidRDefault="00735613" w:rsidP="00735613">
            <w:pPr>
              <w:spacing w:line="240" w:lineRule="auto"/>
              <w:ind w:leftChars="100" w:left="180"/>
              <w:rPr>
                <w:rFonts w:cs="Arial"/>
                <w:szCs w:val="18"/>
              </w:rPr>
            </w:pPr>
            <w:r>
              <w:rPr>
                <w:rFonts w:cs="Arial"/>
                <w:szCs w:val="18"/>
              </w:rPr>
              <w:t>Advances and loans</w:t>
            </w:r>
          </w:p>
        </w:tc>
        <w:tc>
          <w:tcPr>
            <w:tcW w:w="417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11,885 </w:t>
            </w:r>
          </w:p>
        </w:tc>
        <w:tc>
          <w:tcPr>
            <w:tcW w:w="413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22,432,432 </w:t>
            </w:r>
          </w:p>
        </w:tc>
        <w:tc>
          <w:tcPr>
            <w:tcW w:w="306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227"/>
        </w:trPr>
        <w:tc>
          <w:tcPr>
            <w:tcW w:w="3369" w:type="dxa"/>
            <w:tcBorders>
              <w:top w:val="nil"/>
              <w:left w:val="nil"/>
              <w:bottom w:val="nil"/>
              <w:right w:val="nil"/>
            </w:tcBorders>
            <w:shd w:val="clear" w:color="000000" w:fill="D9D9D9"/>
            <w:noWrap/>
            <w:vAlign w:val="bottom"/>
            <w:hideMark/>
          </w:tcPr>
          <w:p w:rsidR="00735613" w:rsidRDefault="00735613" w:rsidP="00735613">
            <w:pPr>
              <w:spacing w:line="240" w:lineRule="auto"/>
              <w:ind w:leftChars="100" w:left="180"/>
              <w:rPr>
                <w:rFonts w:cs="Arial"/>
                <w:szCs w:val="18"/>
              </w:rPr>
            </w:pPr>
            <w:r>
              <w:rPr>
                <w:rFonts w:cs="Arial"/>
                <w:szCs w:val="18"/>
              </w:rPr>
              <w:t>Other non-financial assets</w:t>
            </w:r>
          </w:p>
        </w:tc>
        <w:tc>
          <w:tcPr>
            <w:tcW w:w="417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3,864 </w:t>
            </w:r>
          </w:p>
        </w:tc>
        <w:tc>
          <w:tcPr>
            <w:tcW w:w="413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306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227"/>
        </w:trPr>
        <w:tc>
          <w:tcPr>
            <w:tcW w:w="3369" w:type="dxa"/>
            <w:tcBorders>
              <w:top w:val="nil"/>
              <w:left w:val="nil"/>
              <w:bottom w:val="single" w:sz="4" w:space="0" w:color="D9D9D9"/>
              <w:right w:val="nil"/>
            </w:tcBorders>
            <w:shd w:val="clear" w:color="000000" w:fill="D9D9D9"/>
            <w:noWrap/>
            <w:vAlign w:val="bottom"/>
            <w:hideMark/>
          </w:tcPr>
          <w:p w:rsidR="00735613" w:rsidRDefault="00735613" w:rsidP="00735613">
            <w:pPr>
              <w:spacing w:line="240" w:lineRule="auto"/>
              <w:ind w:leftChars="100" w:left="180"/>
              <w:rPr>
                <w:rFonts w:cs="Arial"/>
                <w:szCs w:val="18"/>
              </w:rPr>
            </w:pPr>
            <w:r>
              <w:rPr>
                <w:rFonts w:cs="Arial"/>
                <w:szCs w:val="18"/>
              </w:rPr>
              <w:t>Investments</w:t>
            </w:r>
          </w:p>
        </w:tc>
        <w:tc>
          <w:tcPr>
            <w:tcW w:w="417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6,987 </w:t>
            </w:r>
          </w:p>
        </w:tc>
        <w:tc>
          <w:tcPr>
            <w:tcW w:w="413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1,960,654 </w:t>
            </w:r>
          </w:p>
        </w:tc>
        <w:tc>
          <w:tcPr>
            <w:tcW w:w="306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38,465 </w:t>
            </w:r>
          </w:p>
        </w:tc>
      </w:tr>
      <w:tr w:rsidR="00735613" w:rsidTr="00735613">
        <w:trPr>
          <w:trHeight w:val="227"/>
        </w:trPr>
        <w:tc>
          <w:tcPr>
            <w:tcW w:w="3369"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Total assets assumed</w:t>
            </w:r>
          </w:p>
        </w:tc>
        <w:tc>
          <w:tcPr>
            <w:tcW w:w="4175"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467,297 </w:t>
            </w:r>
          </w:p>
        </w:tc>
        <w:tc>
          <w:tcPr>
            <w:tcW w:w="4131"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24,824,610 </w:t>
            </w:r>
          </w:p>
        </w:tc>
        <w:tc>
          <w:tcPr>
            <w:tcW w:w="3065"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38,465 </w:t>
            </w:r>
          </w:p>
        </w:tc>
      </w:tr>
      <w:tr w:rsidR="00735613" w:rsidTr="00735613">
        <w:trPr>
          <w:trHeight w:val="227"/>
        </w:trPr>
        <w:tc>
          <w:tcPr>
            <w:tcW w:w="3369" w:type="dxa"/>
            <w:tcBorders>
              <w:top w:val="nil"/>
              <w:left w:val="nil"/>
              <w:bottom w:val="nil"/>
              <w:right w:val="nil"/>
            </w:tcBorders>
            <w:shd w:val="clear" w:color="000000" w:fill="D9D9D9"/>
            <w:vAlign w:val="bottom"/>
            <w:hideMark/>
          </w:tcPr>
          <w:p w:rsidR="00735613" w:rsidRDefault="00735613" w:rsidP="00735613">
            <w:pPr>
              <w:spacing w:line="240" w:lineRule="auto"/>
              <w:rPr>
                <w:rFonts w:cs="Arial"/>
                <w:b/>
                <w:bCs/>
                <w:szCs w:val="18"/>
              </w:rPr>
            </w:pPr>
            <w:r>
              <w:rPr>
                <w:rFonts w:cs="Arial"/>
                <w:b/>
                <w:bCs/>
                <w:szCs w:val="18"/>
              </w:rPr>
              <w:t>Liabilities assumed</w:t>
            </w:r>
          </w:p>
        </w:tc>
        <w:tc>
          <w:tcPr>
            <w:tcW w:w="4175"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4131"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3065"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r>
      <w:tr w:rsidR="00735613" w:rsidTr="00735613">
        <w:trPr>
          <w:trHeight w:val="227"/>
        </w:trPr>
        <w:tc>
          <w:tcPr>
            <w:tcW w:w="3369" w:type="dxa"/>
            <w:tcBorders>
              <w:top w:val="nil"/>
              <w:left w:val="nil"/>
              <w:bottom w:val="nil"/>
              <w:right w:val="nil"/>
            </w:tcBorders>
            <w:shd w:val="clear" w:color="000000" w:fill="D9D9D9"/>
            <w:noWrap/>
            <w:vAlign w:val="bottom"/>
            <w:hideMark/>
          </w:tcPr>
          <w:p w:rsidR="00735613" w:rsidRDefault="00735613" w:rsidP="00735613">
            <w:pPr>
              <w:spacing w:line="240" w:lineRule="auto"/>
              <w:ind w:leftChars="100" w:left="180"/>
              <w:rPr>
                <w:rFonts w:cs="Arial"/>
                <w:szCs w:val="18"/>
              </w:rPr>
            </w:pPr>
            <w:r>
              <w:rPr>
                <w:rFonts w:cs="Arial"/>
                <w:szCs w:val="18"/>
              </w:rPr>
              <w:t>Suppliers</w:t>
            </w:r>
          </w:p>
        </w:tc>
        <w:tc>
          <w:tcPr>
            <w:tcW w:w="417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33,327 </w:t>
            </w:r>
          </w:p>
        </w:tc>
        <w:tc>
          <w:tcPr>
            <w:tcW w:w="413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551,779 </w:t>
            </w:r>
          </w:p>
        </w:tc>
        <w:tc>
          <w:tcPr>
            <w:tcW w:w="306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227"/>
        </w:trPr>
        <w:tc>
          <w:tcPr>
            <w:tcW w:w="3369" w:type="dxa"/>
            <w:tcBorders>
              <w:top w:val="nil"/>
              <w:left w:val="nil"/>
              <w:bottom w:val="nil"/>
              <w:right w:val="nil"/>
            </w:tcBorders>
            <w:shd w:val="clear" w:color="000000" w:fill="D9D9D9"/>
            <w:noWrap/>
            <w:vAlign w:val="bottom"/>
            <w:hideMark/>
          </w:tcPr>
          <w:p w:rsidR="00735613" w:rsidRDefault="00735613" w:rsidP="00735613">
            <w:pPr>
              <w:spacing w:line="240" w:lineRule="auto"/>
              <w:ind w:leftChars="100" w:left="180"/>
              <w:rPr>
                <w:rFonts w:cs="Arial"/>
                <w:szCs w:val="18"/>
              </w:rPr>
            </w:pPr>
            <w:r>
              <w:rPr>
                <w:rFonts w:cs="Arial"/>
                <w:szCs w:val="18"/>
              </w:rPr>
              <w:t>Personal benefits payable</w:t>
            </w:r>
          </w:p>
        </w:tc>
        <w:tc>
          <w:tcPr>
            <w:tcW w:w="417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118,561 </w:t>
            </w:r>
          </w:p>
        </w:tc>
        <w:tc>
          <w:tcPr>
            <w:tcW w:w="413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306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227"/>
        </w:trPr>
        <w:tc>
          <w:tcPr>
            <w:tcW w:w="3369" w:type="dxa"/>
            <w:tcBorders>
              <w:top w:val="nil"/>
              <w:left w:val="nil"/>
              <w:bottom w:val="nil"/>
              <w:right w:val="nil"/>
            </w:tcBorders>
            <w:shd w:val="clear" w:color="000000" w:fill="D9D9D9"/>
            <w:noWrap/>
            <w:vAlign w:val="bottom"/>
            <w:hideMark/>
          </w:tcPr>
          <w:p w:rsidR="00735613" w:rsidRDefault="00735613" w:rsidP="00735613">
            <w:pPr>
              <w:spacing w:line="240" w:lineRule="auto"/>
              <w:ind w:leftChars="100" w:left="180"/>
              <w:rPr>
                <w:rFonts w:cs="Arial"/>
                <w:szCs w:val="18"/>
              </w:rPr>
            </w:pPr>
            <w:r>
              <w:rPr>
                <w:rFonts w:cs="Arial"/>
                <w:szCs w:val="18"/>
              </w:rPr>
              <w:t>Grants payable</w:t>
            </w:r>
          </w:p>
        </w:tc>
        <w:tc>
          <w:tcPr>
            <w:tcW w:w="417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13,663 </w:t>
            </w:r>
          </w:p>
        </w:tc>
        <w:tc>
          <w:tcPr>
            <w:tcW w:w="413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306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227"/>
        </w:trPr>
        <w:tc>
          <w:tcPr>
            <w:tcW w:w="3369" w:type="dxa"/>
            <w:tcBorders>
              <w:top w:val="nil"/>
              <w:left w:val="nil"/>
              <w:bottom w:val="nil"/>
              <w:right w:val="nil"/>
            </w:tcBorders>
            <w:shd w:val="clear" w:color="000000" w:fill="D9D9D9"/>
            <w:noWrap/>
            <w:vAlign w:val="bottom"/>
            <w:hideMark/>
          </w:tcPr>
          <w:p w:rsidR="00735613" w:rsidRDefault="00735613" w:rsidP="00735613">
            <w:pPr>
              <w:spacing w:line="240" w:lineRule="auto"/>
              <w:ind w:leftChars="100" w:left="180"/>
              <w:rPr>
                <w:rFonts w:cs="Arial"/>
                <w:szCs w:val="18"/>
              </w:rPr>
            </w:pPr>
            <w:r>
              <w:rPr>
                <w:rFonts w:cs="Arial"/>
                <w:szCs w:val="18"/>
              </w:rPr>
              <w:t>Other payable</w:t>
            </w:r>
          </w:p>
        </w:tc>
        <w:tc>
          <w:tcPr>
            <w:tcW w:w="417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2,794 </w:t>
            </w:r>
          </w:p>
        </w:tc>
        <w:tc>
          <w:tcPr>
            <w:tcW w:w="413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306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227"/>
        </w:trPr>
        <w:tc>
          <w:tcPr>
            <w:tcW w:w="3369" w:type="dxa"/>
            <w:tcBorders>
              <w:top w:val="nil"/>
              <w:left w:val="nil"/>
              <w:bottom w:val="nil"/>
              <w:right w:val="nil"/>
            </w:tcBorders>
            <w:shd w:val="clear" w:color="000000" w:fill="D9D9D9"/>
            <w:noWrap/>
            <w:vAlign w:val="bottom"/>
            <w:hideMark/>
          </w:tcPr>
          <w:p w:rsidR="00735613" w:rsidRDefault="00735613" w:rsidP="00735613">
            <w:pPr>
              <w:spacing w:line="240" w:lineRule="auto"/>
              <w:ind w:leftChars="100" w:left="180"/>
              <w:rPr>
                <w:rFonts w:cs="Arial"/>
                <w:szCs w:val="18"/>
              </w:rPr>
            </w:pPr>
            <w:r>
              <w:rPr>
                <w:rFonts w:cs="Arial"/>
                <w:szCs w:val="18"/>
              </w:rPr>
              <w:t>Provision for personal benefits</w:t>
            </w:r>
          </w:p>
        </w:tc>
        <w:tc>
          <w:tcPr>
            <w:tcW w:w="417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624,484 </w:t>
            </w:r>
          </w:p>
        </w:tc>
        <w:tc>
          <w:tcPr>
            <w:tcW w:w="413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306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227"/>
        </w:trPr>
        <w:tc>
          <w:tcPr>
            <w:tcW w:w="3369"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ind w:leftChars="100" w:left="180"/>
              <w:rPr>
                <w:rFonts w:cs="Arial"/>
                <w:szCs w:val="18"/>
              </w:rPr>
            </w:pPr>
            <w:r>
              <w:rPr>
                <w:rFonts w:cs="Arial"/>
                <w:szCs w:val="18"/>
              </w:rPr>
              <w:t>Provision for grants</w:t>
            </w:r>
          </w:p>
        </w:tc>
        <w:tc>
          <w:tcPr>
            <w:tcW w:w="417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413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6,676,618 </w:t>
            </w:r>
          </w:p>
        </w:tc>
        <w:tc>
          <w:tcPr>
            <w:tcW w:w="306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227"/>
        </w:trPr>
        <w:tc>
          <w:tcPr>
            <w:tcW w:w="3369"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Total liabilities assumed</w:t>
            </w:r>
          </w:p>
        </w:tc>
        <w:tc>
          <w:tcPr>
            <w:tcW w:w="4175"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792,829 </w:t>
            </w:r>
          </w:p>
        </w:tc>
        <w:tc>
          <w:tcPr>
            <w:tcW w:w="4131"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7,228,397 </w:t>
            </w:r>
          </w:p>
        </w:tc>
        <w:tc>
          <w:tcPr>
            <w:tcW w:w="3065"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227"/>
        </w:trPr>
        <w:tc>
          <w:tcPr>
            <w:tcW w:w="3369"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Net assets assumed</w:t>
            </w:r>
          </w:p>
        </w:tc>
        <w:tc>
          <w:tcPr>
            <w:tcW w:w="4175"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(325,532)</w:t>
            </w:r>
          </w:p>
        </w:tc>
        <w:tc>
          <w:tcPr>
            <w:tcW w:w="4131"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17,596,213 </w:t>
            </w:r>
          </w:p>
        </w:tc>
        <w:tc>
          <w:tcPr>
            <w:tcW w:w="3065"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38,465 </w:t>
            </w:r>
          </w:p>
        </w:tc>
      </w:tr>
      <w:tr w:rsidR="00735613" w:rsidTr="00735613">
        <w:trPr>
          <w:trHeight w:val="227"/>
        </w:trPr>
        <w:tc>
          <w:tcPr>
            <w:tcW w:w="3369" w:type="dxa"/>
            <w:tcBorders>
              <w:top w:val="nil"/>
              <w:left w:val="nil"/>
              <w:bottom w:val="single" w:sz="4" w:space="0" w:color="auto"/>
              <w:right w:val="nil"/>
            </w:tcBorders>
            <w:shd w:val="clear" w:color="000000" w:fill="D9D9D9"/>
            <w:noWrap/>
            <w:hideMark/>
          </w:tcPr>
          <w:p w:rsidR="00735613" w:rsidRDefault="00735613" w:rsidP="00735613">
            <w:pPr>
              <w:spacing w:line="240" w:lineRule="auto"/>
              <w:rPr>
                <w:rFonts w:ascii="Arial" w:hAnsi="Arial" w:cs="Arial"/>
                <w:b/>
                <w:bCs/>
                <w:sz w:val="16"/>
                <w:szCs w:val="16"/>
              </w:rPr>
            </w:pPr>
            <w:r>
              <w:rPr>
                <w:rFonts w:ascii="Arial" w:hAnsi="Arial" w:cs="Arial"/>
                <w:b/>
                <w:bCs/>
                <w:sz w:val="16"/>
                <w:szCs w:val="16"/>
              </w:rPr>
              <w:t> </w:t>
            </w:r>
          </w:p>
        </w:tc>
        <w:tc>
          <w:tcPr>
            <w:tcW w:w="4175" w:type="dxa"/>
            <w:tcBorders>
              <w:top w:val="nil"/>
              <w:left w:val="nil"/>
              <w:bottom w:val="single" w:sz="4" w:space="0" w:color="auto"/>
              <w:right w:val="nil"/>
            </w:tcBorders>
            <w:shd w:val="clear" w:color="000000" w:fill="D9D9D9"/>
            <w:vAlign w:val="bottom"/>
            <w:hideMark/>
          </w:tcPr>
          <w:p w:rsidR="00735613" w:rsidRDefault="00735613" w:rsidP="00735613">
            <w:pPr>
              <w:spacing w:line="240" w:lineRule="auto"/>
              <w:jc w:val="right"/>
              <w:rPr>
                <w:rFonts w:cs="Arial"/>
                <w:b/>
                <w:bCs/>
                <w:szCs w:val="18"/>
              </w:rPr>
            </w:pPr>
            <w:r>
              <w:rPr>
                <w:rFonts w:cs="Arial"/>
                <w:b/>
                <w:bCs/>
                <w:szCs w:val="18"/>
              </w:rPr>
              <w:t> </w:t>
            </w:r>
          </w:p>
        </w:tc>
        <w:tc>
          <w:tcPr>
            <w:tcW w:w="4131" w:type="dxa"/>
            <w:tcBorders>
              <w:top w:val="nil"/>
              <w:left w:val="nil"/>
              <w:bottom w:val="single" w:sz="4" w:space="0" w:color="auto"/>
              <w:right w:val="nil"/>
            </w:tcBorders>
            <w:shd w:val="clear" w:color="000000" w:fill="D9D9D9"/>
            <w:vAlign w:val="bottom"/>
            <w:hideMark/>
          </w:tcPr>
          <w:p w:rsidR="00735613" w:rsidRDefault="00735613" w:rsidP="00735613">
            <w:pPr>
              <w:spacing w:line="240" w:lineRule="auto"/>
              <w:jc w:val="right"/>
              <w:rPr>
                <w:rFonts w:cs="Arial"/>
                <w:b/>
                <w:bCs/>
                <w:szCs w:val="18"/>
              </w:rPr>
            </w:pPr>
            <w:r>
              <w:rPr>
                <w:rFonts w:cs="Arial"/>
                <w:b/>
                <w:bCs/>
                <w:szCs w:val="18"/>
              </w:rPr>
              <w:t> </w:t>
            </w:r>
          </w:p>
        </w:tc>
        <w:tc>
          <w:tcPr>
            <w:tcW w:w="3065" w:type="dxa"/>
            <w:tcBorders>
              <w:top w:val="nil"/>
              <w:left w:val="nil"/>
              <w:bottom w:val="single" w:sz="4" w:space="0" w:color="auto"/>
              <w:right w:val="nil"/>
            </w:tcBorders>
            <w:shd w:val="clear" w:color="000000" w:fill="D9D9D9"/>
            <w:vAlign w:val="bottom"/>
            <w:hideMark/>
          </w:tcPr>
          <w:p w:rsidR="00735613" w:rsidRDefault="00735613" w:rsidP="00735613">
            <w:pPr>
              <w:spacing w:line="240" w:lineRule="auto"/>
              <w:jc w:val="right"/>
              <w:rPr>
                <w:rFonts w:cs="Arial"/>
                <w:b/>
                <w:bCs/>
                <w:szCs w:val="18"/>
              </w:rPr>
            </w:pPr>
            <w:r>
              <w:rPr>
                <w:rFonts w:cs="Arial"/>
                <w:b/>
                <w:bCs/>
                <w:szCs w:val="18"/>
              </w:rPr>
              <w:t> </w:t>
            </w:r>
          </w:p>
        </w:tc>
      </w:tr>
      <w:tr w:rsidR="00735613" w:rsidTr="00735613">
        <w:trPr>
          <w:trHeight w:val="227"/>
        </w:trPr>
        <w:tc>
          <w:tcPr>
            <w:tcW w:w="3369" w:type="dxa"/>
            <w:tcBorders>
              <w:top w:val="nil"/>
              <w:left w:val="nil"/>
              <w:bottom w:val="nil"/>
              <w:right w:val="nil"/>
            </w:tcBorders>
            <w:shd w:val="clear" w:color="000000" w:fill="D9D9D9"/>
            <w:vAlign w:val="bottom"/>
            <w:hideMark/>
          </w:tcPr>
          <w:p w:rsidR="00735613" w:rsidRDefault="00735613" w:rsidP="00735613">
            <w:pPr>
              <w:spacing w:line="240" w:lineRule="auto"/>
              <w:rPr>
                <w:rFonts w:cs="Arial"/>
                <w:b/>
                <w:bCs/>
                <w:szCs w:val="18"/>
              </w:rPr>
            </w:pPr>
            <w:r>
              <w:rPr>
                <w:rFonts w:cs="Arial"/>
                <w:b/>
                <w:bCs/>
                <w:szCs w:val="18"/>
              </w:rPr>
              <w:t>Income assumed</w:t>
            </w:r>
          </w:p>
        </w:tc>
        <w:tc>
          <w:tcPr>
            <w:tcW w:w="4175" w:type="dxa"/>
            <w:tcBorders>
              <w:top w:val="nil"/>
              <w:left w:val="nil"/>
              <w:bottom w:val="nil"/>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 </w:t>
            </w:r>
          </w:p>
        </w:tc>
        <w:tc>
          <w:tcPr>
            <w:tcW w:w="4131" w:type="dxa"/>
            <w:tcBorders>
              <w:top w:val="nil"/>
              <w:left w:val="nil"/>
              <w:bottom w:val="nil"/>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 </w:t>
            </w:r>
          </w:p>
        </w:tc>
        <w:tc>
          <w:tcPr>
            <w:tcW w:w="3065" w:type="dxa"/>
            <w:tcBorders>
              <w:top w:val="nil"/>
              <w:left w:val="nil"/>
              <w:bottom w:val="nil"/>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 </w:t>
            </w:r>
          </w:p>
        </w:tc>
      </w:tr>
      <w:tr w:rsidR="00735613" w:rsidTr="00735613">
        <w:trPr>
          <w:trHeight w:val="227"/>
        </w:trPr>
        <w:tc>
          <w:tcPr>
            <w:tcW w:w="3369" w:type="dxa"/>
            <w:tcBorders>
              <w:top w:val="nil"/>
              <w:left w:val="nil"/>
              <w:bottom w:val="nil"/>
              <w:right w:val="nil"/>
            </w:tcBorders>
            <w:shd w:val="clear" w:color="000000" w:fill="D9D9D9"/>
            <w:noWrap/>
            <w:vAlign w:val="bottom"/>
            <w:hideMark/>
          </w:tcPr>
          <w:p w:rsidR="00735613" w:rsidRDefault="00735613" w:rsidP="00735613">
            <w:pPr>
              <w:spacing w:line="240" w:lineRule="auto"/>
              <w:ind w:leftChars="100" w:left="180"/>
              <w:rPr>
                <w:rFonts w:cs="Arial"/>
                <w:szCs w:val="18"/>
              </w:rPr>
            </w:pPr>
            <w:r>
              <w:rPr>
                <w:rFonts w:cs="Arial"/>
                <w:szCs w:val="18"/>
              </w:rPr>
              <w:t>Recognised by the receiving entity</w:t>
            </w:r>
          </w:p>
        </w:tc>
        <w:tc>
          <w:tcPr>
            <w:tcW w:w="417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20,856 </w:t>
            </w:r>
          </w:p>
        </w:tc>
        <w:tc>
          <w:tcPr>
            <w:tcW w:w="413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881,148 </w:t>
            </w:r>
          </w:p>
        </w:tc>
        <w:tc>
          <w:tcPr>
            <w:tcW w:w="306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227"/>
        </w:trPr>
        <w:tc>
          <w:tcPr>
            <w:tcW w:w="3369" w:type="dxa"/>
            <w:tcBorders>
              <w:top w:val="nil"/>
              <w:left w:val="nil"/>
              <w:bottom w:val="nil"/>
              <w:right w:val="nil"/>
            </w:tcBorders>
            <w:shd w:val="clear" w:color="000000" w:fill="D9D9D9"/>
            <w:noWrap/>
            <w:vAlign w:val="bottom"/>
            <w:hideMark/>
          </w:tcPr>
          <w:p w:rsidR="00735613" w:rsidRDefault="00735613" w:rsidP="00735613">
            <w:pPr>
              <w:spacing w:line="240" w:lineRule="auto"/>
              <w:ind w:leftChars="100" w:left="180"/>
              <w:rPr>
                <w:rFonts w:cs="Arial"/>
                <w:szCs w:val="18"/>
              </w:rPr>
            </w:pPr>
            <w:r>
              <w:rPr>
                <w:rFonts w:cs="Arial"/>
                <w:szCs w:val="18"/>
              </w:rPr>
              <w:t>Recognised by the losing entity</w:t>
            </w:r>
          </w:p>
        </w:tc>
        <w:tc>
          <w:tcPr>
            <w:tcW w:w="417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144,614 </w:t>
            </w:r>
          </w:p>
        </w:tc>
        <w:tc>
          <w:tcPr>
            <w:tcW w:w="413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8,405 </w:t>
            </w:r>
          </w:p>
        </w:tc>
        <w:tc>
          <w:tcPr>
            <w:tcW w:w="306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227"/>
        </w:trPr>
        <w:tc>
          <w:tcPr>
            <w:tcW w:w="3369"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Total income assumed</w:t>
            </w:r>
          </w:p>
        </w:tc>
        <w:tc>
          <w:tcPr>
            <w:tcW w:w="4175"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165,470 </w:t>
            </w:r>
          </w:p>
        </w:tc>
        <w:tc>
          <w:tcPr>
            <w:tcW w:w="4131"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889,553 </w:t>
            </w:r>
          </w:p>
        </w:tc>
        <w:tc>
          <w:tcPr>
            <w:tcW w:w="3065"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227"/>
        </w:trPr>
        <w:tc>
          <w:tcPr>
            <w:tcW w:w="3369" w:type="dxa"/>
            <w:tcBorders>
              <w:top w:val="nil"/>
              <w:left w:val="nil"/>
              <w:bottom w:val="nil"/>
              <w:right w:val="nil"/>
            </w:tcBorders>
            <w:shd w:val="clear" w:color="000000" w:fill="D9D9D9"/>
            <w:vAlign w:val="bottom"/>
            <w:hideMark/>
          </w:tcPr>
          <w:p w:rsidR="00735613" w:rsidRDefault="00735613" w:rsidP="00735613">
            <w:pPr>
              <w:spacing w:line="240" w:lineRule="auto"/>
              <w:rPr>
                <w:rFonts w:cs="Arial"/>
                <w:b/>
                <w:bCs/>
                <w:szCs w:val="18"/>
              </w:rPr>
            </w:pPr>
            <w:r>
              <w:rPr>
                <w:rFonts w:cs="Arial"/>
                <w:b/>
                <w:bCs/>
                <w:szCs w:val="18"/>
              </w:rPr>
              <w:t>Expenses assumed</w:t>
            </w:r>
          </w:p>
        </w:tc>
        <w:tc>
          <w:tcPr>
            <w:tcW w:w="4175"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4131"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3065" w:type="dxa"/>
            <w:tcBorders>
              <w:top w:val="nil"/>
              <w:left w:val="nil"/>
              <w:bottom w:val="nil"/>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r>
      <w:tr w:rsidR="00735613" w:rsidTr="00735613">
        <w:trPr>
          <w:trHeight w:val="227"/>
        </w:trPr>
        <w:tc>
          <w:tcPr>
            <w:tcW w:w="3369" w:type="dxa"/>
            <w:tcBorders>
              <w:top w:val="nil"/>
              <w:left w:val="nil"/>
              <w:bottom w:val="nil"/>
              <w:right w:val="nil"/>
            </w:tcBorders>
            <w:shd w:val="clear" w:color="000000" w:fill="D9D9D9"/>
            <w:noWrap/>
            <w:vAlign w:val="bottom"/>
            <w:hideMark/>
          </w:tcPr>
          <w:p w:rsidR="00735613" w:rsidRDefault="00735613" w:rsidP="00735613">
            <w:pPr>
              <w:spacing w:line="240" w:lineRule="auto"/>
              <w:ind w:leftChars="100" w:left="180"/>
              <w:rPr>
                <w:rFonts w:cs="Arial"/>
                <w:szCs w:val="18"/>
              </w:rPr>
            </w:pPr>
            <w:r>
              <w:rPr>
                <w:rFonts w:cs="Arial"/>
                <w:szCs w:val="18"/>
              </w:rPr>
              <w:t>Recognised by the receiving entity</w:t>
            </w:r>
          </w:p>
        </w:tc>
        <w:tc>
          <w:tcPr>
            <w:tcW w:w="417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14,251,244 </w:t>
            </w:r>
          </w:p>
        </w:tc>
        <w:tc>
          <w:tcPr>
            <w:tcW w:w="413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8,462,473 </w:t>
            </w:r>
          </w:p>
        </w:tc>
        <w:tc>
          <w:tcPr>
            <w:tcW w:w="306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5,360 </w:t>
            </w:r>
          </w:p>
        </w:tc>
      </w:tr>
      <w:tr w:rsidR="00735613" w:rsidTr="00735613">
        <w:trPr>
          <w:trHeight w:val="227"/>
        </w:trPr>
        <w:tc>
          <w:tcPr>
            <w:tcW w:w="3369"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ind w:leftChars="100" w:left="180"/>
              <w:rPr>
                <w:rFonts w:cs="Arial"/>
                <w:szCs w:val="18"/>
              </w:rPr>
            </w:pPr>
            <w:r>
              <w:rPr>
                <w:rFonts w:cs="Arial"/>
                <w:szCs w:val="18"/>
              </w:rPr>
              <w:t>Recognised by losing entity</w:t>
            </w:r>
          </w:p>
        </w:tc>
        <w:tc>
          <w:tcPr>
            <w:tcW w:w="417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3,531,369 </w:t>
            </w:r>
          </w:p>
        </w:tc>
        <w:tc>
          <w:tcPr>
            <w:tcW w:w="413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2,230,376 </w:t>
            </w:r>
          </w:p>
        </w:tc>
        <w:tc>
          <w:tcPr>
            <w:tcW w:w="3065"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2,279 </w:t>
            </w:r>
          </w:p>
        </w:tc>
      </w:tr>
      <w:tr w:rsidR="00735613" w:rsidTr="00735613">
        <w:trPr>
          <w:trHeight w:val="227"/>
        </w:trPr>
        <w:tc>
          <w:tcPr>
            <w:tcW w:w="3369"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Total expenses assumed</w:t>
            </w:r>
          </w:p>
        </w:tc>
        <w:tc>
          <w:tcPr>
            <w:tcW w:w="4175"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17,782,613 </w:t>
            </w:r>
          </w:p>
        </w:tc>
        <w:tc>
          <w:tcPr>
            <w:tcW w:w="4131"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10,692,849 </w:t>
            </w:r>
          </w:p>
        </w:tc>
        <w:tc>
          <w:tcPr>
            <w:tcW w:w="3065"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7,639 </w:t>
            </w:r>
          </w:p>
        </w:tc>
      </w:tr>
      <w:tr w:rsidR="00735613" w:rsidTr="00735613">
        <w:trPr>
          <w:trHeight w:val="227"/>
        </w:trPr>
        <w:tc>
          <w:tcPr>
            <w:tcW w:w="3369"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rPr>
                <w:rFonts w:cs="Arial"/>
                <w:b/>
                <w:bCs/>
                <w:szCs w:val="18"/>
              </w:rPr>
            </w:pPr>
            <w:r>
              <w:rPr>
                <w:rFonts w:cs="Arial"/>
                <w:b/>
                <w:bCs/>
                <w:szCs w:val="18"/>
              </w:rPr>
              <w:t> </w:t>
            </w:r>
          </w:p>
        </w:tc>
        <w:tc>
          <w:tcPr>
            <w:tcW w:w="4175"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w:t>
            </w:r>
          </w:p>
        </w:tc>
        <w:tc>
          <w:tcPr>
            <w:tcW w:w="4131"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w:t>
            </w:r>
          </w:p>
        </w:tc>
        <w:tc>
          <w:tcPr>
            <w:tcW w:w="3065"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w:t>
            </w:r>
          </w:p>
        </w:tc>
      </w:tr>
    </w:tbl>
    <w:p w:rsidR="00735613" w:rsidRDefault="00735613">
      <w:r>
        <w:br w:type="page"/>
      </w:r>
    </w:p>
    <w:p w:rsidR="00735613" w:rsidRDefault="00735613"/>
    <w:tbl>
      <w:tblPr>
        <w:tblW w:w="14740" w:type="dxa"/>
        <w:tblInd w:w="80" w:type="dxa"/>
        <w:tblLayout w:type="fixed"/>
        <w:tblCellMar>
          <w:left w:w="6" w:type="dxa"/>
          <w:right w:w="6" w:type="dxa"/>
        </w:tblCellMar>
        <w:tblLook w:val="04A0" w:firstRow="1" w:lastRow="0" w:firstColumn="1" w:lastColumn="0" w:noHBand="0" w:noVBand="1"/>
      </w:tblPr>
      <w:tblGrid>
        <w:gridCol w:w="3355"/>
        <w:gridCol w:w="4161"/>
        <w:gridCol w:w="4138"/>
        <w:gridCol w:w="3086"/>
      </w:tblGrid>
      <w:tr w:rsidR="00735613" w:rsidTr="00735613">
        <w:trPr>
          <w:trHeight w:val="227"/>
        </w:trPr>
        <w:tc>
          <w:tcPr>
            <w:tcW w:w="3355" w:type="dxa"/>
            <w:tcBorders>
              <w:top w:val="nil"/>
              <w:left w:val="nil"/>
              <w:bottom w:val="nil"/>
              <w:right w:val="nil"/>
            </w:tcBorders>
            <w:shd w:val="clear" w:color="000000" w:fill="D9D9D9"/>
            <w:noWrap/>
            <w:hideMark/>
          </w:tcPr>
          <w:p w:rsidR="00735613" w:rsidRDefault="00735613" w:rsidP="00735613">
            <w:pPr>
              <w:spacing w:line="240" w:lineRule="auto"/>
              <w:rPr>
                <w:rFonts w:ascii="Arial" w:hAnsi="Arial" w:cs="Arial"/>
                <w:b/>
                <w:bCs/>
                <w:sz w:val="16"/>
                <w:szCs w:val="16"/>
              </w:rPr>
            </w:pPr>
            <w:r>
              <w:rPr>
                <w:rFonts w:ascii="Arial" w:hAnsi="Arial" w:cs="Arial"/>
                <w:b/>
                <w:bCs/>
                <w:sz w:val="16"/>
                <w:szCs w:val="16"/>
              </w:rPr>
              <w:t>Function</w:t>
            </w:r>
          </w:p>
        </w:tc>
        <w:tc>
          <w:tcPr>
            <w:tcW w:w="4161" w:type="dxa"/>
            <w:tcBorders>
              <w:top w:val="nil"/>
              <w:left w:val="nil"/>
              <w:bottom w:val="nil"/>
              <w:right w:val="nil"/>
            </w:tcBorders>
            <w:shd w:val="clear" w:color="000000" w:fill="D9D9D9"/>
            <w:hideMark/>
          </w:tcPr>
          <w:p w:rsidR="00735613" w:rsidRDefault="00735613" w:rsidP="00735613">
            <w:pPr>
              <w:spacing w:line="240" w:lineRule="auto"/>
              <w:jc w:val="right"/>
              <w:rPr>
                <w:rFonts w:cs="Calibri"/>
                <w:b/>
                <w:bCs/>
                <w:szCs w:val="18"/>
              </w:rPr>
            </w:pPr>
            <w:r>
              <w:rPr>
                <w:rFonts w:cs="Calibri"/>
                <w:b/>
                <w:bCs/>
                <w:szCs w:val="18"/>
              </w:rPr>
              <w:t>Education: Early Childhood Education and Care, Schools and Youth</w:t>
            </w:r>
          </w:p>
        </w:tc>
        <w:tc>
          <w:tcPr>
            <w:tcW w:w="4138" w:type="dxa"/>
            <w:tcBorders>
              <w:top w:val="nil"/>
              <w:left w:val="nil"/>
              <w:bottom w:val="nil"/>
              <w:right w:val="nil"/>
            </w:tcBorders>
            <w:shd w:val="clear" w:color="000000" w:fill="D9D9D9"/>
            <w:hideMark/>
          </w:tcPr>
          <w:p w:rsidR="00735613" w:rsidRDefault="00735613" w:rsidP="00735613">
            <w:pPr>
              <w:spacing w:line="240" w:lineRule="auto"/>
              <w:jc w:val="right"/>
              <w:rPr>
                <w:rFonts w:cs="Calibri"/>
                <w:b/>
                <w:bCs/>
                <w:szCs w:val="18"/>
              </w:rPr>
            </w:pPr>
            <w:r>
              <w:rPr>
                <w:rFonts w:cs="Calibri"/>
                <w:b/>
                <w:bCs/>
                <w:szCs w:val="18"/>
              </w:rPr>
              <w:t>Tertiary Education: including Higher Education, Research and International Education</w:t>
            </w:r>
          </w:p>
        </w:tc>
        <w:tc>
          <w:tcPr>
            <w:tcW w:w="3086" w:type="dxa"/>
            <w:tcBorders>
              <w:top w:val="nil"/>
              <w:left w:val="nil"/>
              <w:bottom w:val="nil"/>
              <w:right w:val="nil"/>
            </w:tcBorders>
            <w:shd w:val="clear" w:color="000000" w:fill="D9D9D9"/>
            <w:hideMark/>
          </w:tcPr>
          <w:p w:rsidR="00735613" w:rsidRDefault="00735613" w:rsidP="00735613">
            <w:pPr>
              <w:spacing w:line="240" w:lineRule="auto"/>
              <w:jc w:val="right"/>
              <w:rPr>
                <w:rFonts w:cs="Calibri"/>
                <w:b/>
                <w:bCs/>
                <w:szCs w:val="18"/>
              </w:rPr>
            </w:pPr>
            <w:r>
              <w:rPr>
                <w:rFonts w:cs="Calibri"/>
                <w:b/>
                <w:bCs/>
                <w:szCs w:val="18"/>
              </w:rPr>
              <w:t>Tertiary Education: including Research</w:t>
            </w:r>
          </w:p>
        </w:tc>
      </w:tr>
      <w:tr w:rsidR="00735613" w:rsidTr="00735613">
        <w:trPr>
          <w:trHeight w:val="227"/>
        </w:trPr>
        <w:tc>
          <w:tcPr>
            <w:tcW w:w="3355" w:type="dxa"/>
            <w:tcBorders>
              <w:top w:val="nil"/>
              <w:left w:val="nil"/>
              <w:bottom w:val="nil"/>
              <w:right w:val="nil"/>
            </w:tcBorders>
            <w:shd w:val="clear" w:color="000000" w:fill="D9D9D9"/>
            <w:noWrap/>
            <w:hideMark/>
          </w:tcPr>
          <w:p w:rsidR="00735613" w:rsidRDefault="00735613" w:rsidP="00735613">
            <w:pPr>
              <w:spacing w:line="240" w:lineRule="auto"/>
              <w:rPr>
                <w:rFonts w:ascii="Arial" w:hAnsi="Arial" w:cs="Arial"/>
                <w:b/>
                <w:bCs/>
                <w:sz w:val="16"/>
                <w:szCs w:val="16"/>
              </w:rPr>
            </w:pPr>
            <w:r>
              <w:rPr>
                <w:rFonts w:ascii="Arial" w:hAnsi="Arial" w:cs="Arial"/>
                <w:b/>
                <w:bCs/>
                <w:sz w:val="16"/>
                <w:szCs w:val="16"/>
              </w:rPr>
              <w:t>Entity</w:t>
            </w:r>
          </w:p>
        </w:tc>
        <w:tc>
          <w:tcPr>
            <w:tcW w:w="4161" w:type="dxa"/>
            <w:tcBorders>
              <w:top w:val="nil"/>
              <w:left w:val="nil"/>
              <w:bottom w:val="nil"/>
              <w:right w:val="nil"/>
            </w:tcBorders>
            <w:shd w:val="clear" w:color="000000" w:fill="D9D9D9"/>
            <w:hideMark/>
          </w:tcPr>
          <w:p w:rsidR="00735613" w:rsidRDefault="00735613" w:rsidP="00735613">
            <w:pPr>
              <w:spacing w:line="240" w:lineRule="auto"/>
              <w:jc w:val="right"/>
              <w:rPr>
                <w:rFonts w:cs="Calibri"/>
                <w:b/>
                <w:bCs/>
                <w:szCs w:val="18"/>
              </w:rPr>
            </w:pPr>
            <w:r>
              <w:rPr>
                <w:rFonts w:cs="Calibri"/>
                <w:b/>
                <w:bCs/>
                <w:szCs w:val="18"/>
              </w:rPr>
              <w:t>Department of Education, Employment and Workplace Relations</w:t>
            </w:r>
            <w:r>
              <w:rPr>
                <w:rFonts w:cs="Calibri"/>
                <w:b/>
                <w:bCs/>
                <w:szCs w:val="18"/>
                <w:vertAlign w:val="superscript"/>
              </w:rPr>
              <w:t>3</w:t>
            </w:r>
          </w:p>
        </w:tc>
        <w:tc>
          <w:tcPr>
            <w:tcW w:w="4138" w:type="dxa"/>
            <w:tcBorders>
              <w:top w:val="nil"/>
              <w:left w:val="nil"/>
              <w:bottom w:val="nil"/>
              <w:right w:val="nil"/>
            </w:tcBorders>
            <w:shd w:val="clear" w:color="000000" w:fill="D9D9D9"/>
            <w:hideMark/>
          </w:tcPr>
          <w:p w:rsidR="00735613" w:rsidRDefault="00735613" w:rsidP="00735613">
            <w:pPr>
              <w:spacing w:line="240" w:lineRule="auto"/>
              <w:jc w:val="right"/>
              <w:rPr>
                <w:rFonts w:cs="Calibri"/>
                <w:b/>
                <w:bCs/>
                <w:szCs w:val="18"/>
              </w:rPr>
            </w:pPr>
            <w:r>
              <w:rPr>
                <w:rFonts w:cs="Calibri"/>
                <w:b/>
                <w:bCs/>
                <w:szCs w:val="18"/>
              </w:rPr>
              <w:t>Department of Industry, Innovation, Science, Research and Tertiary Education</w:t>
            </w:r>
            <w:r>
              <w:rPr>
                <w:rFonts w:cs="Calibri"/>
                <w:b/>
                <w:bCs/>
                <w:szCs w:val="18"/>
                <w:vertAlign w:val="superscript"/>
              </w:rPr>
              <w:t>4</w:t>
            </w:r>
          </w:p>
        </w:tc>
        <w:tc>
          <w:tcPr>
            <w:tcW w:w="3086" w:type="dxa"/>
            <w:tcBorders>
              <w:top w:val="nil"/>
              <w:left w:val="nil"/>
              <w:bottom w:val="nil"/>
              <w:right w:val="nil"/>
            </w:tcBorders>
            <w:shd w:val="clear" w:color="000000" w:fill="D9D9D9"/>
            <w:hideMark/>
          </w:tcPr>
          <w:p w:rsidR="00735613" w:rsidRDefault="00735613" w:rsidP="00735613">
            <w:pPr>
              <w:spacing w:line="240" w:lineRule="auto"/>
              <w:jc w:val="right"/>
              <w:rPr>
                <w:rFonts w:cs="Calibri"/>
                <w:b/>
                <w:bCs/>
                <w:szCs w:val="18"/>
              </w:rPr>
            </w:pPr>
            <w:r>
              <w:rPr>
                <w:rFonts w:cs="Calibri"/>
                <w:b/>
                <w:bCs/>
                <w:szCs w:val="18"/>
              </w:rPr>
              <w:t>Department of the Prime Minister and Cabinet</w:t>
            </w:r>
            <w:r>
              <w:rPr>
                <w:rFonts w:cs="Calibri"/>
                <w:b/>
                <w:bCs/>
                <w:szCs w:val="18"/>
                <w:vertAlign w:val="superscript"/>
              </w:rPr>
              <w:t>5</w:t>
            </w:r>
          </w:p>
        </w:tc>
      </w:tr>
      <w:tr w:rsidR="00735613" w:rsidTr="00735613">
        <w:trPr>
          <w:trHeight w:val="227"/>
        </w:trPr>
        <w:tc>
          <w:tcPr>
            <w:tcW w:w="3355"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4161" w:type="dxa"/>
            <w:tcBorders>
              <w:top w:val="nil"/>
              <w:left w:val="nil"/>
              <w:bottom w:val="single" w:sz="4" w:space="0" w:color="auto"/>
              <w:right w:val="nil"/>
            </w:tcBorders>
            <w:shd w:val="clear" w:color="000000" w:fill="D9D9D9"/>
            <w:vAlign w:val="bottom"/>
            <w:hideMark/>
          </w:tcPr>
          <w:p w:rsidR="00735613" w:rsidRDefault="00735613" w:rsidP="00735613">
            <w:pPr>
              <w:spacing w:line="240" w:lineRule="auto"/>
              <w:jc w:val="right"/>
              <w:rPr>
                <w:rFonts w:cs="Calibri"/>
                <w:b/>
                <w:bCs/>
                <w:szCs w:val="18"/>
              </w:rPr>
            </w:pPr>
            <w:r>
              <w:rPr>
                <w:rFonts w:cs="Calibri"/>
                <w:b/>
                <w:bCs/>
                <w:szCs w:val="18"/>
              </w:rPr>
              <w:t>$’000</w:t>
            </w:r>
          </w:p>
        </w:tc>
        <w:tc>
          <w:tcPr>
            <w:tcW w:w="4138" w:type="dxa"/>
            <w:tcBorders>
              <w:top w:val="nil"/>
              <w:left w:val="nil"/>
              <w:bottom w:val="single" w:sz="4" w:space="0" w:color="auto"/>
              <w:right w:val="nil"/>
            </w:tcBorders>
            <w:shd w:val="clear" w:color="000000" w:fill="D9D9D9"/>
            <w:vAlign w:val="bottom"/>
            <w:hideMark/>
          </w:tcPr>
          <w:p w:rsidR="00735613" w:rsidRDefault="00735613" w:rsidP="00735613">
            <w:pPr>
              <w:spacing w:line="240" w:lineRule="auto"/>
              <w:jc w:val="right"/>
              <w:rPr>
                <w:rFonts w:cs="Calibri"/>
                <w:b/>
                <w:bCs/>
                <w:szCs w:val="18"/>
              </w:rPr>
            </w:pPr>
            <w:r>
              <w:rPr>
                <w:rFonts w:cs="Calibri"/>
                <w:b/>
                <w:bCs/>
                <w:szCs w:val="18"/>
              </w:rPr>
              <w:t>$’000</w:t>
            </w:r>
          </w:p>
        </w:tc>
        <w:tc>
          <w:tcPr>
            <w:tcW w:w="3086" w:type="dxa"/>
            <w:tcBorders>
              <w:top w:val="nil"/>
              <w:left w:val="nil"/>
              <w:bottom w:val="single" w:sz="4" w:space="0" w:color="auto"/>
              <w:right w:val="nil"/>
            </w:tcBorders>
            <w:shd w:val="clear" w:color="000000" w:fill="D9D9D9"/>
            <w:vAlign w:val="bottom"/>
            <w:hideMark/>
          </w:tcPr>
          <w:p w:rsidR="00735613" w:rsidRDefault="00735613" w:rsidP="00735613">
            <w:pPr>
              <w:spacing w:line="240" w:lineRule="auto"/>
              <w:jc w:val="right"/>
              <w:rPr>
                <w:rFonts w:cs="Calibri"/>
                <w:b/>
                <w:bCs/>
                <w:szCs w:val="18"/>
              </w:rPr>
            </w:pPr>
            <w:r>
              <w:rPr>
                <w:rFonts w:cs="Calibri"/>
                <w:b/>
                <w:bCs/>
                <w:szCs w:val="18"/>
              </w:rPr>
              <w:t>$’000</w:t>
            </w:r>
          </w:p>
        </w:tc>
      </w:tr>
      <w:tr w:rsidR="00735613" w:rsidTr="00735613">
        <w:trPr>
          <w:trHeight w:val="227"/>
        </w:trPr>
        <w:tc>
          <w:tcPr>
            <w:tcW w:w="3355"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rPr>
                <w:rFonts w:cs="Calibri"/>
                <w:b/>
                <w:bCs/>
                <w:szCs w:val="18"/>
              </w:rPr>
            </w:pPr>
            <w:r>
              <w:rPr>
                <w:rFonts w:cs="Calibri"/>
                <w:b/>
                <w:bCs/>
                <w:szCs w:val="18"/>
              </w:rPr>
              <w:t> </w:t>
            </w:r>
          </w:p>
        </w:tc>
        <w:tc>
          <w:tcPr>
            <w:tcW w:w="4161"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Calibri"/>
                <w:szCs w:val="18"/>
              </w:rPr>
            </w:pPr>
            <w:r>
              <w:rPr>
                <w:rFonts w:cs="Calibri"/>
                <w:szCs w:val="18"/>
              </w:rPr>
              <w:t> </w:t>
            </w:r>
          </w:p>
        </w:tc>
        <w:tc>
          <w:tcPr>
            <w:tcW w:w="4138"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Calibri"/>
                <w:szCs w:val="18"/>
              </w:rPr>
            </w:pPr>
            <w:r>
              <w:rPr>
                <w:rFonts w:cs="Calibri"/>
                <w:szCs w:val="18"/>
              </w:rPr>
              <w:t> </w:t>
            </w:r>
          </w:p>
        </w:tc>
        <w:tc>
          <w:tcPr>
            <w:tcW w:w="3086"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Calibri"/>
                <w:szCs w:val="18"/>
              </w:rPr>
            </w:pPr>
            <w:r>
              <w:rPr>
                <w:rFonts w:cs="Calibri"/>
                <w:szCs w:val="18"/>
              </w:rPr>
              <w:t> </w:t>
            </w:r>
          </w:p>
        </w:tc>
      </w:tr>
      <w:tr w:rsidR="00735613" w:rsidTr="00735613">
        <w:trPr>
          <w:trHeight w:val="227"/>
        </w:trPr>
        <w:tc>
          <w:tcPr>
            <w:tcW w:w="3355" w:type="dxa"/>
            <w:tcBorders>
              <w:top w:val="nil"/>
              <w:left w:val="nil"/>
              <w:bottom w:val="nil"/>
              <w:right w:val="nil"/>
            </w:tcBorders>
            <w:shd w:val="clear" w:color="000000" w:fill="D9D9D9"/>
            <w:vAlign w:val="bottom"/>
            <w:hideMark/>
          </w:tcPr>
          <w:p w:rsidR="00735613" w:rsidRDefault="00735613" w:rsidP="00735613">
            <w:pPr>
              <w:spacing w:line="240" w:lineRule="auto"/>
              <w:rPr>
                <w:rFonts w:cs="Calibri"/>
                <w:b/>
                <w:bCs/>
                <w:szCs w:val="18"/>
              </w:rPr>
            </w:pPr>
            <w:r>
              <w:rPr>
                <w:rFonts w:cs="Calibri"/>
                <w:b/>
                <w:bCs/>
                <w:szCs w:val="18"/>
              </w:rPr>
              <w:t>FUNCTIONS RELINQUISHED</w:t>
            </w:r>
          </w:p>
        </w:tc>
        <w:tc>
          <w:tcPr>
            <w:tcW w:w="4161" w:type="dxa"/>
            <w:tcBorders>
              <w:top w:val="nil"/>
              <w:left w:val="nil"/>
              <w:bottom w:val="nil"/>
              <w:right w:val="nil"/>
            </w:tcBorders>
            <w:shd w:val="clear" w:color="000000" w:fill="D9D9D9"/>
            <w:noWrap/>
            <w:vAlign w:val="bottom"/>
            <w:hideMark/>
          </w:tcPr>
          <w:p w:rsidR="00735613" w:rsidRDefault="00735613" w:rsidP="00735613">
            <w:pPr>
              <w:spacing w:line="240" w:lineRule="auto"/>
              <w:rPr>
                <w:rFonts w:cs="Calibri"/>
                <w:b/>
                <w:bCs/>
                <w:szCs w:val="18"/>
              </w:rPr>
            </w:pPr>
            <w:r>
              <w:rPr>
                <w:rFonts w:cs="Calibri"/>
                <w:b/>
                <w:bCs/>
                <w:szCs w:val="18"/>
              </w:rPr>
              <w:t> </w:t>
            </w:r>
          </w:p>
        </w:tc>
        <w:tc>
          <w:tcPr>
            <w:tcW w:w="4138" w:type="dxa"/>
            <w:tcBorders>
              <w:top w:val="nil"/>
              <w:left w:val="nil"/>
              <w:bottom w:val="nil"/>
              <w:right w:val="nil"/>
            </w:tcBorders>
            <w:shd w:val="clear" w:color="000000" w:fill="D9D9D9"/>
            <w:noWrap/>
            <w:vAlign w:val="bottom"/>
            <w:hideMark/>
          </w:tcPr>
          <w:p w:rsidR="00735613" w:rsidRDefault="00735613" w:rsidP="00735613">
            <w:pPr>
              <w:spacing w:line="240" w:lineRule="auto"/>
              <w:rPr>
                <w:rFonts w:cs="Calibri"/>
                <w:b/>
                <w:bCs/>
                <w:szCs w:val="18"/>
              </w:rPr>
            </w:pPr>
            <w:r>
              <w:rPr>
                <w:rFonts w:cs="Calibri"/>
                <w:b/>
                <w:bCs/>
                <w:szCs w:val="18"/>
              </w:rPr>
              <w:t> </w:t>
            </w:r>
          </w:p>
        </w:tc>
        <w:tc>
          <w:tcPr>
            <w:tcW w:w="3086" w:type="dxa"/>
            <w:tcBorders>
              <w:top w:val="nil"/>
              <w:left w:val="nil"/>
              <w:bottom w:val="nil"/>
              <w:right w:val="nil"/>
            </w:tcBorders>
            <w:shd w:val="clear" w:color="000000" w:fill="D9D9D9"/>
            <w:noWrap/>
            <w:vAlign w:val="bottom"/>
            <w:hideMark/>
          </w:tcPr>
          <w:p w:rsidR="00735613" w:rsidRDefault="00735613" w:rsidP="00735613">
            <w:pPr>
              <w:spacing w:line="240" w:lineRule="auto"/>
              <w:rPr>
                <w:rFonts w:cs="Calibri"/>
                <w:b/>
                <w:bCs/>
                <w:szCs w:val="18"/>
              </w:rPr>
            </w:pPr>
            <w:r>
              <w:rPr>
                <w:rFonts w:cs="Calibri"/>
                <w:b/>
                <w:bCs/>
                <w:szCs w:val="18"/>
              </w:rPr>
              <w:t> </w:t>
            </w:r>
          </w:p>
        </w:tc>
      </w:tr>
      <w:tr w:rsidR="00735613" w:rsidTr="00735613">
        <w:trPr>
          <w:trHeight w:val="227"/>
        </w:trPr>
        <w:tc>
          <w:tcPr>
            <w:tcW w:w="3355" w:type="dxa"/>
            <w:tcBorders>
              <w:top w:val="nil"/>
              <w:left w:val="nil"/>
              <w:bottom w:val="nil"/>
              <w:right w:val="nil"/>
            </w:tcBorders>
            <w:shd w:val="clear" w:color="000000" w:fill="D9D9D9"/>
            <w:vAlign w:val="bottom"/>
            <w:hideMark/>
          </w:tcPr>
          <w:p w:rsidR="00735613" w:rsidRDefault="00735613" w:rsidP="00735613">
            <w:pPr>
              <w:spacing w:line="240" w:lineRule="auto"/>
              <w:rPr>
                <w:rFonts w:cs="Calibri"/>
                <w:b/>
                <w:bCs/>
                <w:szCs w:val="18"/>
              </w:rPr>
            </w:pPr>
            <w:r>
              <w:rPr>
                <w:rFonts w:cs="Calibri"/>
                <w:b/>
                <w:bCs/>
                <w:szCs w:val="18"/>
              </w:rPr>
              <w:t>Assets relinquished</w:t>
            </w:r>
          </w:p>
        </w:tc>
        <w:tc>
          <w:tcPr>
            <w:tcW w:w="4161" w:type="dxa"/>
            <w:tcBorders>
              <w:top w:val="nil"/>
              <w:left w:val="nil"/>
              <w:bottom w:val="nil"/>
              <w:right w:val="nil"/>
            </w:tcBorders>
            <w:shd w:val="clear" w:color="000000" w:fill="D9D9D9"/>
            <w:noWrap/>
            <w:vAlign w:val="bottom"/>
            <w:hideMark/>
          </w:tcPr>
          <w:p w:rsidR="00735613" w:rsidRDefault="00735613" w:rsidP="00735613">
            <w:pPr>
              <w:spacing w:line="240" w:lineRule="auto"/>
              <w:rPr>
                <w:rFonts w:cs="Calibri"/>
                <w:b/>
                <w:bCs/>
                <w:szCs w:val="18"/>
              </w:rPr>
            </w:pPr>
            <w:r>
              <w:rPr>
                <w:rFonts w:cs="Calibri"/>
                <w:b/>
                <w:bCs/>
                <w:szCs w:val="18"/>
              </w:rPr>
              <w:t> </w:t>
            </w:r>
          </w:p>
        </w:tc>
        <w:tc>
          <w:tcPr>
            <w:tcW w:w="4138" w:type="dxa"/>
            <w:tcBorders>
              <w:top w:val="nil"/>
              <w:left w:val="nil"/>
              <w:bottom w:val="nil"/>
              <w:right w:val="nil"/>
            </w:tcBorders>
            <w:shd w:val="clear" w:color="000000" w:fill="D9D9D9"/>
            <w:noWrap/>
            <w:vAlign w:val="bottom"/>
            <w:hideMark/>
          </w:tcPr>
          <w:p w:rsidR="00735613" w:rsidRDefault="00735613" w:rsidP="00735613">
            <w:pPr>
              <w:spacing w:line="240" w:lineRule="auto"/>
              <w:rPr>
                <w:rFonts w:cs="Calibri"/>
                <w:b/>
                <w:bCs/>
                <w:szCs w:val="18"/>
              </w:rPr>
            </w:pPr>
            <w:r>
              <w:rPr>
                <w:rFonts w:cs="Calibri"/>
                <w:b/>
                <w:bCs/>
                <w:szCs w:val="18"/>
              </w:rPr>
              <w:t> </w:t>
            </w:r>
          </w:p>
        </w:tc>
        <w:tc>
          <w:tcPr>
            <w:tcW w:w="3086" w:type="dxa"/>
            <w:tcBorders>
              <w:top w:val="nil"/>
              <w:left w:val="nil"/>
              <w:bottom w:val="nil"/>
              <w:right w:val="nil"/>
            </w:tcBorders>
            <w:shd w:val="clear" w:color="000000" w:fill="D9D9D9"/>
            <w:noWrap/>
            <w:vAlign w:val="bottom"/>
            <w:hideMark/>
          </w:tcPr>
          <w:p w:rsidR="00735613" w:rsidRDefault="00735613" w:rsidP="00735613">
            <w:pPr>
              <w:spacing w:line="240" w:lineRule="auto"/>
              <w:rPr>
                <w:rFonts w:cs="Calibri"/>
                <w:b/>
                <w:bCs/>
                <w:szCs w:val="18"/>
              </w:rPr>
            </w:pPr>
            <w:r>
              <w:rPr>
                <w:rFonts w:cs="Calibri"/>
                <w:b/>
                <w:bCs/>
                <w:szCs w:val="18"/>
              </w:rPr>
              <w:t> </w:t>
            </w:r>
          </w:p>
        </w:tc>
      </w:tr>
      <w:tr w:rsidR="00735613" w:rsidTr="00735613">
        <w:trPr>
          <w:trHeight w:val="227"/>
        </w:trPr>
        <w:tc>
          <w:tcPr>
            <w:tcW w:w="3355" w:type="dxa"/>
            <w:tcBorders>
              <w:top w:val="nil"/>
              <w:left w:val="nil"/>
              <w:bottom w:val="nil"/>
              <w:right w:val="nil"/>
            </w:tcBorders>
            <w:shd w:val="clear" w:color="000000" w:fill="D9D9D9"/>
            <w:noWrap/>
            <w:vAlign w:val="bottom"/>
            <w:hideMark/>
          </w:tcPr>
          <w:p w:rsidR="00735613" w:rsidRDefault="00735613" w:rsidP="00735613">
            <w:pPr>
              <w:spacing w:line="240" w:lineRule="auto"/>
              <w:ind w:leftChars="100" w:left="180"/>
              <w:rPr>
                <w:rFonts w:cs="Calibri"/>
                <w:szCs w:val="18"/>
              </w:rPr>
            </w:pPr>
            <w:r>
              <w:rPr>
                <w:rFonts w:cs="Calibri"/>
                <w:szCs w:val="18"/>
              </w:rPr>
              <w:t>Trade and other receivables</w:t>
            </w:r>
          </w:p>
        </w:tc>
        <w:tc>
          <w:tcPr>
            <w:tcW w:w="416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4138"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3086"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Calibri"/>
                <w:szCs w:val="18"/>
              </w:rPr>
            </w:pPr>
            <w:r>
              <w:rPr>
                <w:rFonts w:cs="Calibri"/>
                <w:szCs w:val="18"/>
              </w:rPr>
              <w:t>(1,847)</w:t>
            </w:r>
          </w:p>
        </w:tc>
      </w:tr>
      <w:tr w:rsidR="00735613" w:rsidTr="00735613">
        <w:trPr>
          <w:trHeight w:val="227"/>
        </w:trPr>
        <w:tc>
          <w:tcPr>
            <w:tcW w:w="3355"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rPr>
                <w:rFonts w:cs="Calibri"/>
                <w:b/>
                <w:bCs/>
                <w:szCs w:val="18"/>
              </w:rPr>
            </w:pPr>
            <w:r>
              <w:rPr>
                <w:rFonts w:cs="Calibri"/>
                <w:b/>
                <w:bCs/>
                <w:szCs w:val="18"/>
              </w:rPr>
              <w:t>Total assets relinquished</w:t>
            </w:r>
          </w:p>
        </w:tc>
        <w:tc>
          <w:tcPr>
            <w:tcW w:w="4161"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4138"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3086"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Calibri"/>
                <w:szCs w:val="18"/>
              </w:rPr>
            </w:pPr>
            <w:r>
              <w:rPr>
                <w:rFonts w:cs="Calibri"/>
                <w:szCs w:val="18"/>
              </w:rPr>
              <w:t>(1,847)</w:t>
            </w:r>
          </w:p>
        </w:tc>
      </w:tr>
      <w:tr w:rsidR="00735613" w:rsidTr="00735613">
        <w:trPr>
          <w:trHeight w:val="227"/>
        </w:trPr>
        <w:tc>
          <w:tcPr>
            <w:tcW w:w="3355" w:type="dxa"/>
            <w:tcBorders>
              <w:top w:val="nil"/>
              <w:left w:val="nil"/>
              <w:bottom w:val="nil"/>
              <w:right w:val="nil"/>
            </w:tcBorders>
            <w:shd w:val="clear" w:color="000000" w:fill="D9D9D9"/>
            <w:vAlign w:val="bottom"/>
            <w:hideMark/>
          </w:tcPr>
          <w:p w:rsidR="00735613" w:rsidRDefault="00735613" w:rsidP="00735613">
            <w:pPr>
              <w:spacing w:line="240" w:lineRule="auto"/>
              <w:rPr>
                <w:rFonts w:cs="Calibri"/>
                <w:b/>
                <w:bCs/>
                <w:szCs w:val="18"/>
              </w:rPr>
            </w:pPr>
            <w:r>
              <w:rPr>
                <w:rFonts w:cs="Calibri"/>
                <w:b/>
                <w:bCs/>
                <w:szCs w:val="18"/>
              </w:rPr>
              <w:t>Liabilities relinquished</w:t>
            </w:r>
          </w:p>
        </w:tc>
        <w:tc>
          <w:tcPr>
            <w:tcW w:w="4161" w:type="dxa"/>
            <w:tcBorders>
              <w:top w:val="nil"/>
              <w:left w:val="nil"/>
              <w:bottom w:val="nil"/>
              <w:right w:val="nil"/>
            </w:tcBorders>
            <w:shd w:val="clear" w:color="000000" w:fill="D9D9D9"/>
            <w:noWrap/>
            <w:vAlign w:val="bottom"/>
            <w:hideMark/>
          </w:tcPr>
          <w:p w:rsidR="00735613" w:rsidRDefault="00735613" w:rsidP="00735613">
            <w:pPr>
              <w:spacing w:line="240" w:lineRule="auto"/>
              <w:rPr>
                <w:rFonts w:cs="Calibri"/>
                <w:b/>
                <w:bCs/>
                <w:szCs w:val="18"/>
              </w:rPr>
            </w:pPr>
            <w:r>
              <w:rPr>
                <w:rFonts w:cs="Calibri"/>
                <w:b/>
                <w:bCs/>
                <w:szCs w:val="18"/>
              </w:rPr>
              <w:t> </w:t>
            </w:r>
          </w:p>
        </w:tc>
        <w:tc>
          <w:tcPr>
            <w:tcW w:w="4138" w:type="dxa"/>
            <w:tcBorders>
              <w:top w:val="nil"/>
              <w:left w:val="nil"/>
              <w:bottom w:val="nil"/>
              <w:right w:val="nil"/>
            </w:tcBorders>
            <w:shd w:val="clear" w:color="000000" w:fill="D9D9D9"/>
            <w:noWrap/>
            <w:vAlign w:val="bottom"/>
            <w:hideMark/>
          </w:tcPr>
          <w:p w:rsidR="00735613" w:rsidRDefault="00735613" w:rsidP="00735613">
            <w:pPr>
              <w:spacing w:line="240" w:lineRule="auto"/>
              <w:rPr>
                <w:rFonts w:cs="Calibri"/>
                <w:b/>
                <w:bCs/>
                <w:szCs w:val="18"/>
              </w:rPr>
            </w:pPr>
            <w:r>
              <w:rPr>
                <w:rFonts w:cs="Calibri"/>
                <w:b/>
                <w:bCs/>
                <w:szCs w:val="18"/>
              </w:rPr>
              <w:t> </w:t>
            </w:r>
          </w:p>
        </w:tc>
        <w:tc>
          <w:tcPr>
            <w:tcW w:w="3086" w:type="dxa"/>
            <w:tcBorders>
              <w:top w:val="nil"/>
              <w:left w:val="nil"/>
              <w:bottom w:val="nil"/>
              <w:right w:val="nil"/>
            </w:tcBorders>
            <w:shd w:val="clear" w:color="000000" w:fill="D9D9D9"/>
            <w:noWrap/>
            <w:vAlign w:val="bottom"/>
            <w:hideMark/>
          </w:tcPr>
          <w:p w:rsidR="00735613" w:rsidRDefault="00735613" w:rsidP="00735613">
            <w:pPr>
              <w:spacing w:line="240" w:lineRule="auto"/>
              <w:rPr>
                <w:rFonts w:cs="Calibri"/>
                <w:b/>
                <w:bCs/>
                <w:szCs w:val="18"/>
              </w:rPr>
            </w:pPr>
            <w:r>
              <w:rPr>
                <w:rFonts w:cs="Calibri"/>
                <w:b/>
                <w:bCs/>
                <w:szCs w:val="18"/>
              </w:rPr>
              <w:t> </w:t>
            </w:r>
          </w:p>
        </w:tc>
      </w:tr>
      <w:tr w:rsidR="00735613" w:rsidTr="00735613">
        <w:trPr>
          <w:trHeight w:val="227"/>
        </w:trPr>
        <w:tc>
          <w:tcPr>
            <w:tcW w:w="3355" w:type="dxa"/>
            <w:tcBorders>
              <w:top w:val="nil"/>
              <w:left w:val="nil"/>
              <w:bottom w:val="nil"/>
              <w:right w:val="nil"/>
            </w:tcBorders>
            <w:shd w:val="clear" w:color="000000" w:fill="D9D9D9"/>
            <w:noWrap/>
            <w:vAlign w:val="bottom"/>
            <w:hideMark/>
          </w:tcPr>
          <w:p w:rsidR="00735613" w:rsidRDefault="00735613" w:rsidP="00735613">
            <w:pPr>
              <w:spacing w:line="240" w:lineRule="auto"/>
              <w:ind w:leftChars="100" w:left="180"/>
              <w:rPr>
                <w:rFonts w:cs="Calibri"/>
                <w:szCs w:val="18"/>
              </w:rPr>
            </w:pPr>
            <w:r>
              <w:rPr>
                <w:rFonts w:cs="Calibri"/>
                <w:szCs w:val="18"/>
              </w:rPr>
              <w:t>Suppliers</w:t>
            </w:r>
          </w:p>
        </w:tc>
        <w:tc>
          <w:tcPr>
            <w:tcW w:w="4161"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4138"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3086" w:type="dxa"/>
            <w:tcBorders>
              <w:top w:val="nil"/>
              <w:left w:val="nil"/>
              <w:bottom w:val="nil"/>
              <w:right w:val="nil"/>
            </w:tcBorders>
            <w:shd w:val="clear" w:color="000000" w:fill="D9D9D9"/>
            <w:noWrap/>
            <w:vAlign w:val="bottom"/>
            <w:hideMark/>
          </w:tcPr>
          <w:p w:rsidR="00735613" w:rsidRDefault="00735613" w:rsidP="00735613">
            <w:pPr>
              <w:spacing w:line="240" w:lineRule="auto"/>
              <w:jc w:val="right"/>
              <w:rPr>
                <w:rFonts w:cs="Calibri"/>
                <w:szCs w:val="18"/>
              </w:rPr>
            </w:pPr>
            <w:r>
              <w:rPr>
                <w:rFonts w:cs="Calibri"/>
                <w:szCs w:val="18"/>
              </w:rPr>
              <w:t xml:space="preserve">966 </w:t>
            </w:r>
          </w:p>
        </w:tc>
      </w:tr>
      <w:tr w:rsidR="00735613" w:rsidTr="00735613">
        <w:trPr>
          <w:trHeight w:val="227"/>
        </w:trPr>
        <w:tc>
          <w:tcPr>
            <w:tcW w:w="3355"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rPr>
                <w:rFonts w:cs="Calibri"/>
                <w:b/>
                <w:bCs/>
                <w:szCs w:val="18"/>
              </w:rPr>
            </w:pPr>
            <w:r>
              <w:rPr>
                <w:rFonts w:cs="Calibri"/>
                <w:b/>
                <w:bCs/>
                <w:szCs w:val="18"/>
              </w:rPr>
              <w:t>Total liabilities relinquished</w:t>
            </w:r>
          </w:p>
        </w:tc>
        <w:tc>
          <w:tcPr>
            <w:tcW w:w="4161"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4138"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3086" w:type="dxa"/>
            <w:tcBorders>
              <w:top w:val="single" w:sz="4" w:space="0" w:color="auto"/>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Calibri"/>
                <w:szCs w:val="18"/>
              </w:rPr>
            </w:pPr>
            <w:r>
              <w:rPr>
                <w:rFonts w:cs="Calibri"/>
                <w:szCs w:val="18"/>
              </w:rPr>
              <w:t xml:space="preserve">966 </w:t>
            </w:r>
          </w:p>
        </w:tc>
      </w:tr>
      <w:tr w:rsidR="00735613" w:rsidTr="00735613">
        <w:trPr>
          <w:trHeight w:val="227"/>
        </w:trPr>
        <w:tc>
          <w:tcPr>
            <w:tcW w:w="3355"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rPr>
                <w:rFonts w:cs="Calibri"/>
                <w:b/>
                <w:bCs/>
                <w:szCs w:val="18"/>
              </w:rPr>
            </w:pPr>
            <w:r>
              <w:rPr>
                <w:rFonts w:cs="Calibri"/>
                <w:b/>
                <w:bCs/>
                <w:szCs w:val="18"/>
              </w:rPr>
              <w:t>Net assets relinquished</w:t>
            </w:r>
          </w:p>
        </w:tc>
        <w:tc>
          <w:tcPr>
            <w:tcW w:w="4161"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4138"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Calibri"/>
                <w:szCs w:val="18"/>
              </w:rPr>
            </w:pPr>
            <w:r>
              <w:rPr>
                <w:rFonts w:cs="Calibri"/>
                <w:szCs w:val="18"/>
              </w:rPr>
              <w:t xml:space="preserve"> -</w:t>
            </w:r>
          </w:p>
        </w:tc>
        <w:tc>
          <w:tcPr>
            <w:tcW w:w="3086" w:type="dxa"/>
            <w:tcBorders>
              <w:top w:val="nil"/>
              <w:left w:val="nil"/>
              <w:bottom w:val="single" w:sz="4" w:space="0" w:color="auto"/>
              <w:right w:val="nil"/>
            </w:tcBorders>
            <w:shd w:val="clear" w:color="000000" w:fill="D9D9D9"/>
            <w:noWrap/>
            <w:vAlign w:val="bottom"/>
            <w:hideMark/>
          </w:tcPr>
          <w:p w:rsidR="00735613" w:rsidRDefault="00735613" w:rsidP="00735613">
            <w:pPr>
              <w:spacing w:line="240" w:lineRule="auto"/>
              <w:jc w:val="right"/>
              <w:rPr>
                <w:rFonts w:cs="Calibri"/>
                <w:szCs w:val="18"/>
              </w:rPr>
            </w:pPr>
            <w:r>
              <w:rPr>
                <w:rFonts w:cs="Calibri"/>
                <w:szCs w:val="18"/>
              </w:rPr>
              <w:t>(881)</w:t>
            </w:r>
          </w:p>
        </w:tc>
      </w:tr>
    </w:tbl>
    <w:p w:rsidR="00735613" w:rsidRDefault="00735613" w:rsidP="00735613">
      <w:pPr>
        <w:pStyle w:val="ReferenceText"/>
      </w:pPr>
      <w:bookmarkStart w:id="300" w:name="RANGE!D59:G108"/>
      <w:bookmarkStart w:id="301" w:name="RANGE!D59:G104"/>
      <w:bookmarkStart w:id="302" w:name="RANGE!D63:G114"/>
      <w:bookmarkStart w:id="303" w:name="RANGE!D71:G122"/>
      <w:bookmarkStart w:id="304" w:name="RANGE!D71:G129"/>
      <w:bookmarkStart w:id="305" w:name="RANGE!D71:G127"/>
      <w:bookmarkStart w:id="306" w:name="RANGE!D71:G123"/>
      <w:bookmarkStart w:id="307" w:name="RANGE!D7:D118"/>
      <w:bookmarkStart w:id="308" w:name="RANGE!D7:D119"/>
      <w:bookmarkStart w:id="309" w:name="RANGE!D7:D120"/>
      <w:bookmarkStart w:id="310" w:name="RANGE!D7:D62"/>
      <w:bookmarkStart w:id="311" w:name="RANGE!D7:G57"/>
      <w:bookmarkStart w:id="312" w:name="RANGE!D7:G58"/>
      <w:bookmarkStart w:id="313" w:name="RANGE!D7:G59"/>
      <w:bookmarkStart w:id="314" w:name="RANGE!D7:G56"/>
      <w:bookmarkStart w:id="315" w:name="RANGE!D7:G30"/>
      <w:bookmarkStart w:id="316" w:name="RANGE!D7:G26"/>
      <w:bookmarkStart w:id="317" w:name="RANGE!D6:I41"/>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t>Notes:</w:t>
      </w:r>
    </w:p>
    <w:p w:rsidR="00735613" w:rsidRDefault="00735613" w:rsidP="00735613">
      <w:pPr>
        <w:pStyle w:val="ReferenceText"/>
      </w:pPr>
      <w:r w:rsidRPr="007322CE">
        <w:rPr>
          <w:vertAlign w:val="superscript"/>
        </w:rPr>
        <w:t>3</w:t>
      </w:r>
      <w:r>
        <w:rPr>
          <w:vertAlign w:val="superscript"/>
        </w:rPr>
        <w:t xml:space="preserve"> </w:t>
      </w:r>
      <w:r w:rsidRPr="00AA4057">
        <w:t>The Early Childhood Education and Care and Schools and Youth Education functions were acquired from the former Department of Education, Employment and Workplace Relations following the Administrative Arrangement Orders changes on 18 September 2013</w:t>
      </w:r>
      <w:r>
        <w:t>.</w:t>
      </w:r>
    </w:p>
    <w:p w:rsidR="00735613" w:rsidRDefault="00735613" w:rsidP="00735613">
      <w:pPr>
        <w:pStyle w:val="ReferenceText"/>
      </w:pPr>
      <w:r>
        <w:rPr>
          <w:vertAlign w:val="superscript"/>
        </w:rPr>
        <w:t xml:space="preserve">4 </w:t>
      </w:r>
      <w:r w:rsidRPr="00AA4057">
        <w:t xml:space="preserve">The Tertiary Education functions including higher education, research and international education were acquired from the Department of Industry during </w:t>
      </w:r>
      <w:r>
        <w:t>2013–14</w:t>
      </w:r>
      <w:r w:rsidRPr="00AA4057">
        <w:t xml:space="preserve"> due to the Administrative Arrangement Order changes on 18 September 2013 and 12 December 2014.</w:t>
      </w:r>
    </w:p>
    <w:p w:rsidR="00735613" w:rsidRDefault="00735613" w:rsidP="00735613">
      <w:pPr>
        <w:pStyle w:val="ReferenceText"/>
      </w:pPr>
      <w:r>
        <w:rPr>
          <w:vertAlign w:val="superscript"/>
        </w:rPr>
        <w:t xml:space="preserve">5 </w:t>
      </w:r>
      <w:r w:rsidRPr="00AA4057">
        <w:t xml:space="preserve">Indigenous education functions were transferred to the Department of the Prime Minister and Cabinet during </w:t>
      </w:r>
      <w:r>
        <w:t>2013–14</w:t>
      </w:r>
      <w:r w:rsidRPr="00AA4057">
        <w:t xml:space="preserve"> following the Administrative Arrangement Orders of 18 September 2013.</w:t>
      </w:r>
    </w:p>
    <w:p w:rsidR="00735613" w:rsidRDefault="00735613" w:rsidP="00735613">
      <w:pPr>
        <w:pStyle w:val="ReferenceText"/>
      </w:pPr>
      <w:r>
        <w:t>The net assets/liabilities assumed from all entities total $17.309 billion.</w:t>
      </w:r>
    </w:p>
    <w:p w:rsidR="00735613" w:rsidRDefault="00735613" w:rsidP="00735613">
      <w:pPr>
        <w:pStyle w:val="ReferenceText"/>
        <w:sectPr w:rsidR="00735613">
          <w:pgSz w:w="16838" w:h="11906" w:orient="landscape"/>
          <w:pgMar w:top="1134" w:right="1134" w:bottom="1134" w:left="1134" w:header="958" w:footer="737" w:gutter="0"/>
          <w:cols w:space="720"/>
        </w:sectPr>
      </w:pPr>
      <w:r>
        <w:t xml:space="preserve">The net assets/liabilities relinquished to all entities total $0.881 million. </w:t>
      </w:r>
    </w:p>
    <w:p w:rsidR="00735613" w:rsidRDefault="00735613"/>
    <w:p w:rsidR="00735613" w:rsidRDefault="00735613" w:rsidP="00735613">
      <w:pPr>
        <w:pStyle w:val="NotesHeading-Level1"/>
        <w:numPr>
          <w:ilvl w:val="0"/>
          <w:numId w:val="9"/>
        </w:numPr>
        <w:rPr>
          <w:rFonts w:cstheme="minorHAnsi"/>
        </w:rPr>
      </w:pPr>
      <w:bookmarkStart w:id="318" w:name="_Toc420422381"/>
      <w:r>
        <w:rPr>
          <w:rFonts w:cstheme="minorHAnsi"/>
        </w:rPr>
        <w:t>Cash Flow Reconciliation</w:t>
      </w:r>
      <w:bookmarkEnd w:id="318"/>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bookmarkStart w:id="319" w:name="Note_CFRTABLE1" w:colFirst="0" w:colLast="0"/>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2014</w:t>
            </w:r>
          </w:p>
        </w:tc>
      </w:tr>
      <w:bookmarkEnd w:id="319"/>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$'000</w:t>
            </w:r>
          </w:p>
        </w:tc>
      </w:tr>
      <w:tr w:rsidR="00735613" w:rsidTr="00735613">
        <w:trPr>
          <w:trHeight w:val="480"/>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Reconciliation of cash and cash equivalents as per statement of financial position to cash flow statement</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Cash and cash equivalents as per</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Cash flow statement</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9,817</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8,429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Statement of financial position</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9,817</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8,429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Discrepancy</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7521" w:type="dxa"/>
            <w:gridSpan w:val="2"/>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Reconciliation of net cost of services to net cash from (used by) operating activities</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Net (cost of) contribution by services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(300,449)</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(218,640)</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Revenue from Government</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276,854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196,102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Adjustments for non-cash items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First time recognition of non-financial assets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(881)</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(1,498)</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Reversal of previous asset impairment</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(74)</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Other gains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(502)</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Write-down and impairment of goods and services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(17)</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106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Depreciation / amortisation</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26,918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20,308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Net write-down and impairment of assets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2,819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796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Net losses from sale of assets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(87)</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314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Movements in assets and liabilities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Assets</w:t>
            </w:r>
          </w:p>
        </w:tc>
        <w:tc>
          <w:tcPr>
            <w:tcW w:w="123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Decrease / (increase) in net receivables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(9,416)</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(11,477)</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Decrease / (increase) in accrued income</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6,837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472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Decrease / (increase) in prepayments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(2,126)</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100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Liabilities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Increase / (decrease) in employee provisions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(7,113)</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(693)</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Increase / (decrease) in supplier payables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12,175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10,391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Increase / (decrease) in other provisions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(404)</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(518)</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Increase / (decrease) in other payables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(5,460)</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4,992 </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Net cash from (used by) operating activities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(852)</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681</w:t>
            </w:r>
          </w:p>
        </w:tc>
      </w:tr>
    </w:tbl>
    <w:p w:rsidR="00735613" w:rsidRDefault="00735613">
      <w:pPr>
        <w:spacing w:line="240" w:lineRule="auto"/>
        <w:sectPr w:rsidR="00735613">
          <w:pgSz w:w="11906" w:h="16838"/>
          <w:pgMar w:top="1134" w:right="1134" w:bottom="1134" w:left="1134" w:header="958" w:footer="737" w:gutter="0"/>
          <w:cols w:space="720"/>
        </w:sectPr>
      </w:pPr>
    </w:p>
    <w:p w:rsidR="00735613" w:rsidRDefault="00735613" w:rsidP="00735613">
      <w:pPr>
        <w:pStyle w:val="NotesHeading-Level1"/>
        <w:numPr>
          <w:ilvl w:val="0"/>
          <w:numId w:val="9"/>
        </w:numPr>
        <w:rPr>
          <w:rFonts w:cstheme="minorHAnsi"/>
        </w:rPr>
      </w:pPr>
      <w:bookmarkStart w:id="320" w:name="RANGE!E6:H38"/>
      <w:bookmarkStart w:id="321" w:name="RANGE!E6:E39"/>
      <w:bookmarkStart w:id="322" w:name="RANGE!E6:H39"/>
      <w:bookmarkStart w:id="323" w:name="_Ref317489574"/>
      <w:bookmarkStart w:id="324" w:name="_Toc420422382"/>
      <w:bookmarkEnd w:id="320"/>
      <w:bookmarkEnd w:id="321"/>
      <w:bookmarkEnd w:id="322"/>
      <w:r>
        <w:rPr>
          <w:rFonts w:cstheme="minorHAnsi"/>
        </w:rPr>
        <w:t>Contingent Assets and Liabilities</w:t>
      </w:r>
      <w:bookmarkEnd w:id="323"/>
      <w:bookmarkEnd w:id="324"/>
    </w:p>
    <w:p w:rsidR="00735613" w:rsidRPr="007757BB" w:rsidRDefault="00735613" w:rsidP="00735613">
      <w:pPr>
        <w:pStyle w:val="UnderlineItalics"/>
        <w:spacing w:before="120" w:after="60"/>
        <w:rPr>
          <w:i w:val="0"/>
          <w:sz w:val="20"/>
        </w:rPr>
      </w:pPr>
      <w:bookmarkStart w:id="325" w:name="RANGE!D7:K25"/>
      <w:bookmarkStart w:id="326" w:name="RANGE!D7:K24"/>
      <w:bookmarkStart w:id="327" w:name="RANGE!D7:K23"/>
      <w:bookmarkStart w:id="328" w:name="RANGE!D6:K22"/>
      <w:bookmarkStart w:id="329" w:name="RANGE!D6:K24"/>
      <w:bookmarkStart w:id="330" w:name="_Toc419266956"/>
      <w:bookmarkEnd w:id="325"/>
      <w:bookmarkEnd w:id="326"/>
      <w:bookmarkEnd w:id="327"/>
      <w:bookmarkEnd w:id="328"/>
      <w:bookmarkEnd w:id="329"/>
      <w:r w:rsidRPr="007757BB">
        <w:rPr>
          <w:i w:val="0"/>
          <w:sz w:val="20"/>
        </w:rPr>
        <w:t>Quantifiable Contingencies</w:t>
      </w:r>
      <w:bookmarkEnd w:id="330"/>
    </w:p>
    <w:p w:rsidR="00735613" w:rsidRDefault="00735613" w:rsidP="00735613">
      <w:pPr>
        <w:pStyle w:val="AdminBlankGreyShade"/>
        <w:spacing w:before="120" w:after="60"/>
      </w:pPr>
      <w:r>
        <w:t xml:space="preserve">The department does not hold quantifiable contingent assets or liabilities as at 30 June 2015 (2014: nil).   </w:t>
      </w:r>
    </w:p>
    <w:p w:rsidR="00735613" w:rsidRPr="007757BB" w:rsidRDefault="00735613" w:rsidP="00735613">
      <w:pPr>
        <w:pStyle w:val="UnderlineItalics"/>
        <w:spacing w:before="120" w:after="60"/>
        <w:rPr>
          <w:i w:val="0"/>
          <w:sz w:val="20"/>
        </w:rPr>
      </w:pPr>
      <w:bookmarkStart w:id="331" w:name="_Toc419266957"/>
      <w:r w:rsidRPr="007757BB">
        <w:rPr>
          <w:i w:val="0"/>
          <w:sz w:val="20"/>
        </w:rPr>
        <w:t>Unquantifiable Contingencies</w:t>
      </w:r>
      <w:bookmarkEnd w:id="331"/>
    </w:p>
    <w:p w:rsidR="00735613" w:rsidRDefault="00735613" w:rsidP="00735613">
      <w:pPr>
        <w:pStyle w:val="AdminBlankGreyShade"/>
        <w:spacing w:before="120" w:after="60"/>
      </w:pPr>
      <w:r>
        <w:t xml:space="preserve">As at </w:t>
      </w:r>
      <w:r w:rsidR="00DF4B99">
        <w:fldChar w:fldCharType="begin"/>
      </w:r>
      <w:r w:rsidR="00DF4B99">
        <w:instrText xml:space="preserve"> DOCPROPERTY  pEnd  \* MERGEFORMAT </w:instrText>
      </w:r>
      <w:r w:rsidR="00DF4B99">
        <w:fldChar w:fldCharType="separate"/>
      </w:r>
      <w:r>
        <w:t>30 June</w:t>
      </w:r>
      <w:r w:rsidR="00DF4B99">
        <w:fldChar w:fldCharType="end"/>
      </w:r>
      <w:r>
        <w:t xml:space="preserve"> </w:t>
      </w:r>
      <w:r w:rsidR="00DF4B99">
        <w:fldChar w:fldCharType="begin"/>
      </w:r>
      <w:r w:rsidR="00DF4B99">
        <w:instrText xml:space="preserve"> DOCPROPERTY  crYear  \* MERGEFORMAT </w:instrText>
      </w:r>
      <w:r w:rsidR="00DF4B99">
        <w:fldChar w:fldCharType="separate"/>
      </w:r>
      <w:r>
        <w:t>2015</w:t>
      </w:r>
      <w:r w:rsidR="00DF4B99">
        <w:fldChar w:fldCharType="end"/>
      </w:r>
      <w:r>
        <w:t xml:space="preserve">, the department had contingent assets and liabilities likely to be paid in respect of damages and claims that are not quantifiable. There were three open matters (2014: two) in the hands of the department’s legal representatives. These open matters relate to a wide range of legal issues (departmental and administered) with varying probabilities of success.  It is not possible to estimate the amounts of any eventual receipts or payments that may be received or made in relation to these claims. </w:t>
      </w:r>
    </w:p>
    <w:p w:rsidR="00735613" w:rsidRPr="007757BB" w:rsidRDefault="00735613" w:rsidP="00735613">
      <w:pPr>
        <w:pStyle w:val="UnderlineItalics"/>
        <w:spacing w:before="120" w:after="60"/>
        <w:rPr>
          <w:i w:val="0"/>
          <w:sz w:val="20"/>
        </w:rPr>
      </w:pPr>
      <w:bookmarkStart w:id="332" w:name="_Toc419266958"/>
      <w:r w:rsidRPr="007757BB">
        <w:rPr>
          <w:i w:val="0"/>
          <w:sz w:val="20"/>
        </w:rPr>
        <w:t>Significant Remote Contingencies</w:t>
      </w:r>
      <w:bookmarkEnd w:id="332"/>
    </w:p>
    <w:p w:rsidR="00735613" w:rsidRDefault="00735613" w:rsidP="00735613">
      <w:pPr>
        <w:pStyle w:val="AdminBlankGreyShade"/>
        <w:spacing w:before="120" w:after="60"/>
      </w:pPr>
      <w:r>
        <w:t>The department has one contingent asset (2014: one) where the likelihood of receipt is remote. The value of contingent liabilities where the likelihood of payment is remote is nil.</w:t>
      </w:r>
    </w:p>
    <w:p w:rsidR="00735613" w:rsidRDefault="00735613" w:rsidP="00735613">
      <w:pPr>
        <w:pStyle w:val="AdminBlankGreyShade"/>
        <w:spacing w:before="120" w:after="60"/>
      </w:pPr>
      <w:r>
        <w:t>The department has provided an indemnity to the Reserve Bank of Australia against loss or damage arising from the bank acting in good faith on the instructions given to it under the provision of the contract for the department’s transactional banking services, any error, mistake, fraud or negligence and any failure of the department to observe its obligations. The likelihood of any payment being required under the indemnity is remote and unquantifiable.</w:t>
      </w:r>
    </w:p>
    <w:p w:rsidR="00735613" w:rsidRDefault="00735613" w:rsidP="00735613">
      <w:pPr>
        <w:pStyle w:val="AdminBlankGreyShade"/>
        <w:spacing w:before="120" w:after="60"/>
        <w:rPr>
          <w:sz w:val="20"/>
        </w:rPr>
        <w:sectPr w:rsidR="00735613">
          <w:pgSz w:w="11906" w:h="16838"/>
          <w:pgMar w:top="1134" w:right="1134" w:bottom="1134" w:left="1134" w:header="958" w:footer="737" w:gutter="0"/>
          <w:cols w:space="720"/>
        </w:sectPr>
      </w:pPr>
    </w:p>
    <w:p w:rsidR="00735613" w:rsidRDefault="00735613" w:rsidP="00735613">
      <w:pPr>
        <w:pStyle w:val="NotesHeading-Level1"/>
        <w:numPr>
          <w:ilvl w:val="0"/>
          <w:numId w:val="9"/>
        </w:numPr>
        <w:rPr>
          <w:rFonts w:cstheme="minorHAnsi"/>
        </w:rPr>
      </w:pPr>
      <w:bookmarkStart w:id="333" w:name="_Toc420422383"/>
      <w:r>
        <w:rPr>
          <w:rFonts w:cstheme="minorHAnsi"/>
        </w:rPr>
        <w:t>Senior Management Personnel Remuneration</w:t>
      </w:r>
      <w:bookmarkEnd w:id="333"/>
    </w:p>
    <w:p w:rsidR="00735613" w:rsidRDefault="00735613"/>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bookmarkStart w:id="334" w:name="Note_ERETABLE1" w:colFirst="0" w:colLast="0"/>
            <w:r>
              <w:rPr>
                <w:rFonts w:ascii="Arial" w:hAnsi="Arial" w:cs="Arial"/>
                <w:b/>
                <w:bCs/>
                <w:szCs w:val="18"/>
              </w:rPr>
              <w:t> </w:t>
            </w:r>
          </w:p>
        </w:tc>
        <w:tc>
          <w:tcPr>
            <w:tcW w:w="1235"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2014</w:t>
            </w:r>
          </w:p>
        </w:tc>
      </w:tr>
      <w:bookmarkEnd w:id="334"/>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Short-term employee benefits</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 xml:space="preserve">Salary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12,551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10,403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Other</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2,638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1,886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short-term employee benefits</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15,189</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12,289</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Post-employment benefits</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Superannuation</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2,354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2,158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post-employment benefits</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2,354</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2,158</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Other long-term employee benefits</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Annual leave accrued</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943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1,010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Long-service leave</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253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182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other long-term benefits</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1,196</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1,192</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Termination benefits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1,632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815 </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senior executive remuneration expenses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20,371</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16,454</w:t>
            </w:r>
          </w:p>
        </w:tc>
      </w:tr>
    </w:tbl>
    <w:p w:rsidR="00735613" w:rsidRDefault="00735613" w:rsidP="00735613"/>
    <w:p w:rsidR="00735613" w:rsidRDefault="00735613" w:rsidP="00735613">
      <w:pPr>
        <w:pStyle w:val="AdminBlankGreyShade"/>
        <w:ind w:right="-1"/>
      </w:pPr>
      <w:r>
        <w:t xml:space="preserve">The total </w:t>
      </w:r>
      <w:proofErr w:type="gramStart"/>
      <w:r>
        <w:t>number</w:t>
      </w:r>
      <w:proofErr w:type="gramEnd"/>
      <w:r>
        <w:t xml:space="preserve"> of senior management personnel that are included in the above table are 93 individuals (2013–14: </w:t>
      </w:r>
      <w:r w:rsidRPr="00ED699E">
        <w:t>93</w:t>
      </w:r>
      <w:r>
        <w:t> </w:t>
      </w:r>
      <w:r w:rsidRPr="00ED699E">
        <w:t>individuals</w:t>
      </w:r>
      <w:r>
        <w:t>).</w:t>
      </w:r>
    </w:p>
    <w:p w:rsidR="00735613" w:rsidRDefault="00735613">
      <w:bookmarkStart w:id="335" w:name="RANGE!D7:J22"/>
      <w:bookmarkStart w:id="336" w:name="RANGE!D7:J23"/>
      <w:bookmarkStart w:id="337" w:name="RANGE!D6:J22"/>
      <w:bookmarkStart w:id="338" w:name="RANGE!D6:J24"/>
      <w:bookmarkStart w:id="339" w:name="RANGE!D6:J18"/>
      <w:bookmarkStart w:id="340" w:name="RANGE!D6:J19"/>
      <w:bookmarkStart w:id="341" w:name="RANGE!D6:J20"/>
      <w:bookmarkStart w:id="342" w:name="RANGE!D7:J14"/>
      <w:bookmarkStart w:id="343" w:name="RANGE!D7:J15"/>
      <w:bookmarkStart w:id="344" w:name="RANGE!D6:J15"/>
      <w:bookmarkStart w:id="345" w:name="RANGE!D6:J6"/>
      <w:bookmarkStart w:id="346" w:name="RANGE!D6:J16"/>
      <w:bookmarkStart w:id="347" w:name="RANGE!D20:J25"/>
      <w:bookmarkStart w:id="348" w:name="RANGE!D20:J26"/>
      <w:bookmarkStart w:id="349" w:name="RANGE!D21:J28"/>
      <w:bookmarkStart w:id="350" w:name="RANGE!D24:J29"/>
      <w:bookmarkStart w:id="351" w:name="RANGE!D25:J30"/>
      <w:bookmarkStart w:id="352" w:name="RANGE!D25:J33"/>
      <w:bookmarkStart w:id="353" w:name="RANGE!D24:J32"/>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rsidR="00735613" w:rsidRDefault="00735613" w:rsidP="00735613">
      <w:pPr>
        <w:pStyle w:val="NotesHeading-Level1"/>
        <w:numPr>
          <w:ilvl w:val="0"/>
          <w:numId w:val="9"/>
        </w:numPr>
        <w:rPr>
          <w:rFonts w:cstheme="minorHAnsi"/>
        </w:rPr>
      </w:pPr>
      <w:bookmarkStart w:id="354" w:name="_Toc420422384"/>
      <w:r>
        <w:rPr>
          <w:rFonts w:cstheme="minorHAnsi"/>
        </w:rPr>
        <w:t>Remuneration of Auditors</w:t>
      </w:r>
      <w:bookmarkEnd w:id="354"/>
    </w:p>
    <w:p w:rsidR="00735613" w:rsidRDefault="00735613"/>
    <w:tbl>
      <w:tblPr>
        <w:tblW w:w="9087" w:type="dxa"/>
        <w:tblInd w:w="80" w:type="dxa"/>
        <w:tblLayout w:type="fixed"/>
        <w:tblLook w:val="04A0" w:firstRow="1" w:lastRow="0" w:firstColumn="1" w:lastColumn="0" w:noHBand="0" w:noVBand="1"/>
      </w:tblPr>
      <w:tblGrid>
        <w:gridCol w:w="6346"/>
        <w:gridCol w:w="1252"/>
        <w:gridCol w:w="239"/>
        <w:gridCol w:w="1250"/>
      </w:tblGrid>
      <w:tr w:rsidR="00735613" w:rsidTr="00735613">
        <w:trPr>
          <w:trHeight w:val="480"/>
        </w:trPr>
        <w:tc>
          <w:tcPr>
            <w:tcW w:w="634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 xml:space="preserve">Financial statement audit services were provided free of charge to the department by the Australian National Audit Office. </w:t>
            </w:r>
          </w:p>
        </w:tc>
        <w:tc>
          <w:tcPr>
            <w:tcW w:w="125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239"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50"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r>
      <w:tr w:rsidR="00735613" w:rsidTr="00735613">
        <w:trPr>
          <w:trHeight w:val="255"/>
        </w:trPr>
        <w:tc>
          <w:tcPr>
            <w:tcW w:w="634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239"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50"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r>
      <w:tr w:rsidR="00735613" w:rsidTr="00735613">
        <w:trPr>
          <w:trHeight w:val="480"/>
        </w:trPr>
        <w:tc>
          <w:tcPr>
            <w:tcW w:w="634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The fair value of the services received for financial statement audit services</w:t>
            </w:r>
          </w:p>
        </w:tc>
        <w:tc>
          <w:tcPr>
            <w:tcW w:w="1252"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1,350 </w:t>
            </w:r>
          </w:p>
        </w:tc>
        <w:tc>
          <w:tcPr>
            <w:tcW w:w="239"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5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xml:space="preserve">1,460 </w:t>
            </w:r>
          </w:p>
        </w:tc>
      </w:tr>
      <w:tr w:rsidR="00735613" w:rsidTr="00735613">
        <w:trPr>
          <w:trHeight w:val="270"/>
        </w:trPr>
        <w:tc>
          <w:tcPr>
            <w:tcW w:w="6346" w:type="dxa"/>
            <w:tcBorders>
              <w:top w:val="nil"/>
              <w:left w:val="nil"/>
              <w:bottom w:val="nil"/>
              <w:right w:val="nil"/>
            </w:tcBorders>
            <w:shd w:val="clear" w:color="FFFFFF" w:fill="FFFFFF"/>
            <w:vAlign w:val="bottom"/>
            <w:hideMark/>
          </w:tcPr>
          <w:p w:rsidR="00735613" w:rsidRDefault="00735613">
            <w:pPr>
              <w:rPr>
                <w:rFonts w:cs="Calibri"/>
                <w:b/>
                <w:bCs/>
                <w:i/>
                <w:iCs/>
                <w:szCs w:val="18"/>
              </w:rPr>
            </w:pPr>
            <w:r>
              <w:rPr>
                <w:rFonts w:cs="Calibri"/>
                <w:b/>
                <w:bCs/>
                <w:i/>
                <w:iCs/>
                <w:szCs w:val="18"/>
              </w:rPr>
              <w:t>Total fair value of services received</w:t>
            </w:r>
          </w:p>
        </w:tc>
        <w:tc>
          <w:tcPr>
            <w:tcW w:w="1252"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1,350</w:t>
            </w:r>
          </w:p>
        </w:tc>
        <w:tc>
          <w:tcPr>
            <w:tcW w:w="239"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50"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1,460</w:t>
            </w:r>
          </w:p>
        </w:tc>
      </w:tr>
    </w:tbl>
    <w:p w:rsidR="00735613" w:rsidRDefault="00735613"/>
    <w:p w:rsidR="00735613" w:rsidRDefault="00735613" w:rsidP="00735613">
      <w:bookmarkStart w:id="355" w:name="_Toc419266962"/>
      <w:r>
        <w:t>No other services were provided by the auditors of the financial statements.</w:t>
      </w:r>
      <w:bookmarkEnd w:id="355"/>
      <w:r>
        <w:t xml:space="preserve"> </w:t>
      </w:r>
    </w:p>
    <w:p w:rsidR="00735613" w:rsidRDefault="00735613"/>
    <w:p w:rsidR="00735613" w:rsidRDefault="00735613"/>
    <w:p w:rsidR="00735613" w:rsidRDefault="00735613"/>
    <w:p w:rsidR="00735613" w:rsidRDefault="00735613"/>
    <w:p w:rsidR="00735613" w:rsidRDefault="00735613"/>
    <w:p w:rsidR="00735613" w:rsidRDefault="00735613"/>
    <w:p w:rsidR="00735613" w:rsidRDefault="00735613"/>
    <w:p w:rsidR="00735613" w:rsidRDefault="00735613"/>
    <w:p w:rsidR="00735613" w:rsidRDefault="00735613"/>
    <w:p w:rsidR="00735613" w:rsidRDefault="00735613"/>
    <w:p w:rsidR="00735613" w:rsidRDefault="00735613"/>
    <w:p w:rsidR="00735613" w:rsidRDefault="00735613"/>
    <w:p w:rsidR="00735613" w:rsidRDefault="00735613"/>
    <w:p w:rsidR="00735613" w:rsidRDefault="00735613"/>
    <w:p w:rsidR="00735613" w:rsidRDefault="00735613"/>
    <w:p w:rsidR="00735613" w:rsidRDefault="00735613"/>
    <w:p w:rsidR="00735613" w:rsidRDefault="00735613"/>
    <w:p w:rsidR="00735613" w:rsidRDefault="00735613"/>
    <w:p w:rsidR="00735613" w:rsidRDefault="00735613"/>
    <w:p w:rsidR="00735613" w:rsidRDefault="00735613" w:rsidP="00735613">
      <w:pPr>
        <w:pStyle w:val="NotesHeading-Level1"/>
        <w:numPr>
          <w:ilvl w:val="0"/>
          <w:numId w:val="9"/>
        </w:numPr>
        <w:rPr>
          <w:rFonts w:cstheme="minorHAnsi"/>
        </w:rPr>
      </w:pPr>
      <w:bookmarkStart w:id="356" w:name="_Toc420422385"/>
      <w:r>
        <w:rPr>
          <w:rFonts w:cstheme="minorHAnsi"/>
        </w:rPr>
        <w:t>Financial Instruments</w:t>
      </w:r>
      <w:bookmarkEnd w:id="356"/>
    </w:p>
    <w:p w:rsidR="00735613" w:rsidRDefault="00735613">
      <w:r>
        <w:t xml:space="preserve">                                                                                                                                                                                                            </w:t>
      </w:r>
    </w:p>
    <w:tbl>
      <w:tblPr>
        <w:tblW w:w="9087" w:type="dxa"/>
        <w:tblInd w:w="80" w:type="dxa"/>
        <w:tblLayout w:type="fixed"/>
        <w:tblLook w:val="04A0" w:firstRow="1" w:lastRow="0" w:firstColumn="1" w:lastColumn="0" w:noHBand="0" w:noVBand="1"/>
      </w:tblPr>
      <w:tblGrid>
        <w:gridCol w:w="7632"/>
        <w:gridCol w:w="1455"/>
      </w:tblGrid>
      <w:tr w:rsidR="00735613" w:rsidTr="00735613">
        <w:trPr>
          <w:trHeight w:val="255"/>
        </w:trPr>
        <w:tc>
          <w:tcPr>
            <w:tcW w:w="1238" w:type="dxa"/>
            <w:tcBorders>
              <w:top w:val="nil"/>
              <w:left w:val="nil"/>
              <w:bottom w:val="nil"/>
              <w:right w:val="nil"/>
            </w:tcBorders>
            <w:shd w:val="clear" w:color="FFFFFF" w:fill="FFFFFF"/>
            <w:vAlign w:val="bottom"/>
            <w:hideMark/>
          </w:tcPr>
          <w:p w:rsidR="00735613" w:rsidRDefault="00735613" w:rsidP="00735613">
            <w:pPr>
              <w:jc w:val="right"/>
              <w:rPr>
                <w:rFonts w:cs="Calibri"/>
                <w:b/>
                <w:bCs/>
                <w:szCs w:val="18"/>
              </w:rPr>
            </w:pPr>
            <w:r>
              <w:rPr>
                <w:rFonts w:cs="Calibri"/>
                <w:b/>
                <w:bCs/>
                <w:szCs w:val="18"/>
              </w:rPr>
              <w:t>2015</w:t>
            </w:r>
          </w:p>
        </w:tc>
        <w:tc>
          <w:tcPr>
            <w:tcW w:w="236" w:type="dxa"/>
            <w:tcBorders>
              <w:top w:val="nil"/>
              <w:left w:val="nil"/>
              <w:bottom w:val="nil"/>
              <w:right w:val="nil"/>
            </w:tcBorders>
            <w:shd w:val="clear" w:color="FFFFFF" w:fill="FFFFFF"/>
            <w:noWrap/>
            <w:vAlign w:val="bottom"/>
            <w:hideMark/>
          </w:tcPr>
          <w:p w:rsidR="00735613" w:rsidRPr="00814F1C" w:rsidRDefault="00735613" w:rsidP="00735613">
            <w:pPr>
              <w:jc w:val="right"/>
              <w:rPr>
                <w:rFonts w:asciiTheme="minorHAnsi" w:hAnsiTheme="minorHAnsi" w:cstheme="minorHAnsi"/>
                <w:szCs w:val="18"/>
              </w:rPr>
            </w:pPr>
            <w:r w:rsidRPr="00814F1C">
              <w:rPr>
                <w:rFonts w:asciiTheme="minorHAnsi" w:hAnsiTheme="minorHAnsi" w:cstheme="minorHAnsi"/>
                <w:szCs w:val="18"/>
              </w:rPr>
              <w:t> 2014</w:t>
            </w:r>
          </w:p>
        </w:tc>
      </w:tr>
      <w:tr w:rsidR="00735613" w:rsidTr="00735613">
        <w:trPr>
          <w:trHeight w:val="255"/>
        </w:trPr>
        <w:tc>
          <w:tcPr>
            <w:tcW w:w="1238" w:type="dxa"/>
            <w:tcBorders>
              <w:top w:val="nil"/>
              <w:left w:val="nil"/>
              <w:bottom w:val="nil"/>
              <w:right w:val="nil"/>
            </w:tcBorders>
            <w:shd w:val="clear" w:color="FFFFFF" w:fill="FFFFFF"/>
            <w:vAlign w:val="bottom"/>
            <w:hideMark/>
          </w:tcPr>
          <w:p w:rsidR="00735613" w:rsidRDefault="00735613" w:rsidP="00735613">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735613" w:rsidRPr="00814F1C" w:rsidRDefault="00735613" w:rsidP="00735613">
            <w:pPr>
              <w:jc w:val="right"/>
              <w:rPr>
                <w:rFonts w:asciiTheme="minorHAnsi" w:hAnsiTheme="minorHAnsi" w:cstheme="minorHAnsi"/>
                <w:szCs w:val="18"/>
              </w:rPr>
            </w:pPr>
            <w:r w:rsidRPr="00814F1C">
              <w:rPr>
                <w:rFonts w:asciiTheme="minorHAnsi" w:hAnsiTheme="minorHAnsi" w:cstheme="minorHAnsi"/>
                <w:szCs w:val="18"/>
              </w:rPr>
              <w:t> $’000</w:t>
            </w:r>
          </w:p>
        </w:tc>
      </w:tr>
    </w:tbl>
    <w:p w:rsidR="00735613" w:rsidRDefault="00735613"/>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357" w:name="RANGE!D7:D20"/>
            <w:bookmarkStart w:id="358" w:name="Note_FIATABLE1" w:colFirst="0" w:colLast="0"/>
            <w:r>
              <w:rPr>
                <w:rFonts w:cs="Arial"/>
                <w:b/>
                <w:bCs/>
                <w:szCs w:val="18"/>
                <w:u w:val="single"/>
              </w:rPr>
              <w:t>Note 16A: Categories of financial instruments</w:t>
            </w:r>
            <w:bookmarkEnd w:id="357"/>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bookmarkEnd w:id="358"/>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Financial Assets</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Loans and receivables</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Cash and cash equivalents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9,817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8,429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Goods and services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4,111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15,138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Accrued revenue</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3,276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10,113 </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financial assets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17,204</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33,680</w:t>
            </w:r>
          </w:p>
        </w:tc>
      </w:tr>
      <w:tr w:rsidR="00735613" w:rsidTr="00735613">
        <w:trPr>
          <w:trHeight w:val="276"/>
        </w:trPr>
        <w:tc>
          <w:tcPr>
            <w:tcW w:w="628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Financial Liabilities</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Measured at amortised cost</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Trade creditors and accruals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18,042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7,451 </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financial liabilities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18,042</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7,451</w:t>
            </w:r>
          </w:p>
        </w:tc>
      </w:tr>
    </w:tbl>
    <w:p w:rsidR="00735613" w:rsidRDefault="00735613">
      <w:bookmarkStart w:id="359" w:name="RANGE!D7:G20"/>
      <w:bookmarkStart w:id="360" w:name="RANGE!D7:G22"/>
      <w:bookmarkStart w:id="361" w:name="RANGE!D6:G44"/>
      <w:bookmarkStart w:id="362" w:name="RANGE!D6:D46"/>
      <w:bookmarkStart w:id="363" w:name="RANGE!D6:G46"/>
      <w:bookmarkEnd w:id="359"/>
      <w:bookmarkEnd w:id="360"/>
      <w:bookmarkEnd w:id="361"/>
      <w:bookmarkEnd w:id="362"/>
      <w:bookmarkEnd w:id="363"/>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364" w:name="Note_FIBTABLE1" w:colFirst="0" w:colLast="0"/>
            <w:r>
              <w:rPr>
                <w:rFonts w:cs="Arial"/>
                <w:b/>
                <w:bCs/>
                <w:szCs w:val="18"/>
                <w:u w:val="single"/>
              </w:rPr>
              <w:t>Note 16B: Net gains or losses on financial assets</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bookmarkEnd w:id="364"/>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Loans and receivables</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Write off impairment - goods and services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47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97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Impairment of receivables - goods and services</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9 </w:t>
            </w:r>
          </w:p>
        </w:tc>
      </w:tr>
      <w:tr w:rsidR="00735613" w:rsidTr="00735613">
        <w:trPr>
          <w:trHeight w:val="264"/>
        </w:trPr>
        <w:tc>
          <w:tcPr>
            <w:tcW w:w="6286"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Net gains (losses) on loans and receivables</w:t>
            </w:r>
          </w:p>
        </w:tc>
        <w:tc>
          <w:tcPr>
            <w:tcW w:w="123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47</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106</w:t>
            </w:r>
          </w:p>
        </w:tc>
      </w:tr>
      <w:tr w:rsidR="00735613" w:rsidTr="00735613">
        <w:trPr>
          <w:trHeight w:val="264"/>
        </w:trPr>
        <w:tc>
          <w:tcPr>
            <w:tcW w:w="628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76"/>
        </w:trPr>
        <w:tc>
          <w:tcPr>
            <w:tcW w:w="6286"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Net gains (losses) on financial assets</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47</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8"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106</w:t>
            </w:r>
          </w:p>
        </w:tc>
      </w:tr>
    </w:tbl>
    <w:p w:rsidR="00735613" w:rsidRDefault="00735613">
      <w:bookmarkStart w:id="365" w:name="RANGE!D6:G49"/>
      <w:bookmarkStart w:id="366" w:name="RANGE!D6:D50"/>
      <w:bookmarkStart w:id="367" w:name="RANGE!D6:G50"/>
      <w:bookmarkEnd w:id="365"/>
      <w:bookmarkEnd w:id="366"/>
      <w:bookmarkEnd w:id="367"/>
    </w:p>
    <w:p w:rsidR="00735613" w:rsidRDefault="00735613" w:rsidP="00735613">
      <w:bookmarkStart w:id="368" w:name="_Toc419266964"/>
      <w:r>
        <w:t xml:space="preserve">The net income/expenses from financial assets not at fair value through profit or loss </w:t>
      </w:r>
      <w:proofErr w:type="gramStart"/>
      <w:r>
        <w:t>is</w:t>
      </w:r>
      <w:proofErr w:type="gramEnd"/>
      <w:r>
        <w:t xml:space="preserve"> $47,000 (2014:$106,000).</w:t>
      </w:r>
      <w:bookmarkEnd w:id="368"/>
      <w:r>
        <w:t xml:space="preserve"> </w:t>
      </w:r>
    </w:p>
    <w:p w:rsidR="00735613" w:rsidRDefault="00735613"/>
    <w:p w:rsidR="00735613" w:rsidRDefault="00735613">
      <w:r>
        <w:rPr>
          <w:b/>
        </w:rPr>
        <w:br w:type="page"/>
      </w:r>
    </w:p>
    <w:tbl>
      <w:tblPr>
        <w:tblW w:w="9087" w:type="dxa"/>
        <w:tblInd w:w="80" w:type="dxa"/>
        <w:tblLayout w:type="fixed"/>
        <w:tblLook w:val="04A0" w:firstRow="1" w:lastRow="0" w:firstColumn="1" w:lastColumn="0" w:noHBand="0" w:noVBand="1"/>
      </w:tblPr>
      <w:tblGrid>
        <w:gridCol w:w="4099"/>
        <w:gridCol w:w="1247"/>
        <w:gridCol w:w="1247"/>
        <w:gridCol w:w="1247"/>
        <w:gridCol w:w="1247"/>
      </w:tblGrid>
      <w:tr w:rsidR="00735613" w:rsidTr="00735613">
        <w:trPr>
          <w:trHeight w:val="264"/>
        </w:trPr>
        <w:tc>
          <w:tcPr>
            <w:tcW w:w="4051"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369" w:name="RANGE!D8:D24"/>
            <w:bookmarkStart w:id="370" w:name="Note_FIETABLE1" w:colFirst="0" w:colLast="0"/>
            <w:r>
              <w:rPr>
                <w:rFonts w:cs="Arial"/>
                <w:b/>
                <w:bCs/>
                <w:szCs w:val="18"/>
                <w:u w:val="single"/>
              </w:rPr>
              <w:t>Note 16C: Fair value of financial instruments</w:t>
            </w:r>
            <w:bookmarkEnd w:id="369"/>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color w:val="FF0000"/>
                <w:szCs w:val="18"/>
              </w:rPr>
            </w:pPr>
            <w:r>
              <w:rPr>
                <w:rFonts w:ascii="Arial" w:hAnsi="Arial" w:cs="Arial"/>
                <w:color w:val="FF0000"/>
                <w:szCs w:val="18"/>
              </w:rPr>
              <w:t> </w:t>
            </w:r>
          </w:p>
        </w:tc>
      </w:tr>
      <w:bookmarkEnd w:id="370"/>
      <w:tr w:rsidR="00735613" w:rsidTr="00735613">
        <w:trPr>
          <w:trHeight w:val="264"/>
        </w:trPr>
        <w:tc>
          <w:tcPr>
            <w:tcW w:w="405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color w:val="FF0000"/>
                <w:szCs w:val="18"/>
              </w:rPr>
            </w:pPr>
            <w:r>
              <w:rPr>
                <w:rFonts w:ascii="Arial" w:hAnsi="Arial" w:cs="Arial"/>
                <w:color w:val="FF0000"/>
                <w:szCs w:val="18"/>
              </w:rPr>
              <w:t> </w:t>
            </w:r>
          </w:p>
        </w:tc>
      </w:tr>
      <w:tr w:rsidR="00735613" w:rsidTr="00735613">
        <w:trPr>
          <w:trHeight w:val="264"/>
        </w:trPr>
        <w:tc>
          <w:tcPr>
            <w:tcW w:w="4051" w:type="dxa"/>
            <w:tcBorders>
              <w:top w:val="single" w:sz="4" w:space="0" w:color="auto"/>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single" w:sz="4" w:space="0" w:color="auto"/>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Carrying</w:t>
            </w:r>
          </w:p>
        </w:tc>
        <w:tc>
          <w:tcPr>
            <w:tcW w:w="1233" w:type="dxa"/>
            <w:tcBorders>
              <w:top w:val="single" w:sz="4" w:space="0" w:color="auto"/>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Fair</w:t>
            </w:r>
          </w:p>
        </w:tc>
        <w:tc>
          <w:tcPr>
            <w:tcW w:w="1233" w:type="dxa"/>
            <w:tcBorders>
              <w:top w:val="single" w:sz="4" w:space="0" w:color="auto"/>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Carrying</w:t>
            </w:r>
          </w:p>
        </w:tc>
        <w:tc>
          <w:tcPr>
            <w:tcW w:w="1233" w:type="dxa"/>
            <w:tcBorders>
              <w:top w:val="single" w:sz="4" w:space="0" w:color="auto"/>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Fair</w:t>
            </w:r>
          </w:p>
        </w:tc>
      </w:tr>
      <w:tr w:rsidR="00735613" w:rsidTr="00735613">
        <w:trPr>
          <w:trHeight w:val="264"/>
        </w:trPr>
        <w:tc>
          <w:tcPr>
            <w:tcW w:w="405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amount</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value</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amount</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value</w:t>
            </w:r>
          </w:p>
        </w:tc>
      </w:tr>
      <w:tr w:rsidR="00735613" w:rsidTr="00735613">
        <w:trPr>
          <w:trHeight w:val="264"/>
        </w:trPr>
        <w:tc>
          <w:tcPr>
            <w:tcW w:w="405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2014</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2014</w:t>
            </w:r>
          </w:p>
        </w:tc>
      </w:tr>
      <w:tr w:rsidR="00735613" w:rsidTr="00735613">
        <w:trPr>
          <w:trHeight w:val="264"/>
        </w:trPr>
        <w:tc>
          <w:tcPr>
            <w:tcW w:w="4051" w:type="dxa"/>
            <w:tcBorders>
              <w:top w:val="nil"/>
              <w:left w:val="nil"/>
              <w:bottom w:val="single" w:sz="4" w:space="0" w:color="auto"/>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233"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233" w:type="dxa"/>
            <w:tcBorders>
              <w:top w:val="nil"/>
              <w:left w:val="nil"/>
              <w:bottom w:val="single" w:sz="4" w:space="0" w:color="auto"/>
              <w:right w:val="nil"/>
            </w:tcBorders>
            <w:shd w:val="clear" w:color="FFFFFF" w:fill="FFFFFF"/>
            <w:vAlign w:val="bottom"/>
            <w:hideMark/>
          </w:tcPr>
          <w:p w:rsidR="00735613" w:rsidRDefault="00735613">
            <w:pPr>
              <w:jc w:val="right"/>
              <w:rPr>
                <w:rFonts w:cs="Arial"/>
                <w:szCs w:val="18"/>
              </w:rPr>
            </w:pPr>
            <w:r>
              <w:rPr>
                <w:rFonts w:cs="Arial"/>
                <w:szCs w:val="18"/>
              </w:rPr>
              <w:t>$'000</w:t>
            </w:r>
          </w:p>
        </w:tc>
        <w:tc>
          <w:tcPr>
            <w:tcW w:w="1233" w:type="dxa"/>
            <w:tcBorders>
              <w:top w:val="nil"/>
              <w:left w:val="nil"/>
              <w:bottom w:val="single" w:sz="4" w:space="0" w:color="auto"/>
              <w:right w:val="nil"/>
            </w:tcBorders>
            <w:shd w:val="clear" w:color="FFFFFF" w:fill="FFFFFF"/>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4051"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Financial Assets</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405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Cash and cash equivalents</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9,817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9,817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8,429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8,429 </w:t>
            </w:r>
          </w:p>
        </w:tc>
      </w:tr>
      <w:tr w:rsidR="00735613" w:rsidTr="00735613">
        <w:trPr>
          <w:trHeight w:val="264"/>
        </w:trPr>
        <w:tc>
          <w:tcPr>
            <w:tcW w:w="405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Goods and services receivable</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4,111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4,111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15,138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15,074 </w:t>
            </w:r>
          </w:p>
        </w:tc>
      </w:tr>
      <w:tr w:rsidR="00735613" w:rsidTr="00735613">
        <w:trPr>
          <w:trHeight w:val="264"/>
        </w:trPr>
        <w:tc>
          <w:tcPr>
            <w:tcW w:w="405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Accrued revenue</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3,276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3,276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10,113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10,113 </w:t>
            </w:r>
          </w:p>
        </w:tc>
      </w:tr>
      <w:tr w:rsidR="00735613" w:rsidTr="00735613">
        <w:trPr>
          <w:trHeight w:val="264"/>
        </w:trPr>
        <w:tc>
          <w:tcPr>
            <w:tcW w:w="4051" w:type="dxa"/>
            <w:tcBorders>
              <w:top w:val="single" w:sz="4" w:space="0" w:color="auto"/>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Total financial assets</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17,204</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17,204</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33,680</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33,616</w:t>
            </w:r>
          </w:p>
        </w:tc>
      </w:tr>
      <w:tr w:rsidR="00735613" w:rsidTr="00735613">
        <w:trPr>
          <w:trHeight w:val="264"/>
        </w:trPr>
        <w:tc>
          <w:tcPr>
            <w:tcW w:w="405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4051"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Financial Liabilities</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4051"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At amortised cost</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4051"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Trade creditors and accruals</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18,042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18,042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7,451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7,451 </w:t>
            </w:r>
          </w:p>
        </w:tc>
      </w:tr>
      <w:tr w:rsidR="00735613" w:rsidTr="00735613">
        <w:trPr>
          <w:trHeight w:val="264"/>
        </w:trPr>
        <w:tc>
          <w:tcPr>
            <w:tcW w:w="4051" w:type="dxa"/>
            <w:tcBorders>
              <w:top w:val="single" w:sz="4" w:space="0" w:color="auto"/>
              <w:left w:val="nil"/>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Total financial liabilities</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18,042</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18,042</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7,451</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7,451</w:t>
            </w:r>
          </w:p>
        </w:tc>
      </w:tr>
    </w:tbl>
    <w:p w:rsidR="00735613" w:rsidRDefault="00735613">
      <w:bookmarkStart w:id="371" w:name="RANGE!D8:H24"/>
      <w:bookmarkStart w:id="372" w:name="RANGE!D7:H23"/>
      <w:bookmarkStart w:id="373" w:name="RANGE!D6:H23"/>
      <w:bookmarkStart w:id="374" w:name="RANGE!D6:G28"/>
      <w:bookmarkStart w:id="375" w:name="RANGE!D6:D29"/>
      <w:bookmarkStart w:id="376" w:name="RANGE!D6:G29"/>
      <w:bookmarkStart w:id="377" w:name="RANGE!D6:H18"/>
      <w:bookmarkStart w:id="378" w:name="RANGE!D6:H19"/>
      <w:bookmarkEnd w:id="371"/>
      <w:bookmarkEnd w:id="372"/>
      <w:bookmarkEnd w:id="373"/>
      <w:bookmarkEnd w:id="374"/>
      <w:bookmarkEnd w:id="375"/>
      <w:bookmarkEnd w:id="376"/>
      <w:bookmarkEnd w:id="377"/>
      <w:bookmarkEnd w:id="378"/>
    </w:p>
    <w:tbl>
      <w:tblPr>
        <w:tblW w:w="9087" w:type="dxa"/>
        <w:tblInd w:w="80" w:type="dxa"/>
        <w:tblLayout w:type="fixed"/>
        <w:tblLook w:val="04A0" w:firstRow="1" w:lastRow="0" w:firstColumn="1" w:lastColumn="0" w:noHBand="0" w:noVBand="1"/>
      </w:tblPr>
      <w:tblGrid>
        <w:gridCol w:w="2855"/>
        <w:gridCol w:w="1247"/>
        <w:gridCol w:w="1246"/>
        <w:gridCol w:w="1246"/>
        <w:gridCol w:w="1246"/>
        <w:gridCol w:w="1247"/>
      </w:tblGrid>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379" w:name="Note_FIHTABLE1" w:colFirst="0" w:colLast="0"/>
            <w:r>
              <w:rPr>
                <w:rFonts w:cs="Arial"/>
                <w:b/>
                <w:bCs/>
                <w:szCs w:val="18"/>
                <w:u w:val="single"/>
              </w:rPr>
              <w:t>Note 16D: Credit risk</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bookmarkEnd w:id="379"/>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1140"/>
        </w:trPr>
        <w:tc>
          <w:tcPr>
            <w:tcW w:w="8984" w:type="dxa"/>
            <w:gridSpan w:val="6"/>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The department is exposed to minimal credit risk as loans and receivables are cash, cash on deposit and trade receivables. The maximum exposure to credit risk is the risk that arises from potential default of a debtor. This amount is equal to the total amount of trade receivables in 2015: $4.111 million (2014: $15.138 million). The department has assessed the risk of the default on payment and has not allocated an impairment allowance for doubtful debts (2014: $64,000).</w:t>
            </w:r>
          </w:p>
        </w:tc>
      </w:tr>
      <w:tr w:rsidR="00735613" w:rsidTr="00735613">
        <w:trPr>
          <w:trHeight w:val="255"/>
        </w:trPr>
        <w:tc>
          <w:tcPr>
            <w:tcW w:w="8984" w:type="dxa"/>
            <w:gridSpan w:val="6"/>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The department has no liabilities carried at amounts not best representing maximum exposure to credit risk.</w:t>
            </w:r>
          </w:p>
        </w:tc>
      </w:tr>
      <w:tr w:rsidR="00735613" w:rsidTr="00735613">
        <w:trPr>
          <w:trHeight w:val="525"/>
        </w:trPr>
        <w:tc>
          <w:tcPr>
            <w:tcW w:w="8984" w:type="dxa"/>
            <w:gridSpan w:val="6"/>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The department has no significant exposures to any concentrations of credit risk. All figures for credit risk referred to do not take into account the value of any collateral of other security.</w:t>
            </w:r>
          </w:p>
        </w:tc>
      </w:tr>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570"/>
        </w:trPr>
        <w:tc>
          <w:tcPr>
            <w:tcW w:w="8984" w:type="dxa"/>
            <w:gridSpan w:val="6"/>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In relation to the department’s gross credit risk and the financial effect in respect of the amount that best represents the maximum exposure to credit risk there is no collateral held.</w:t>
            </w:r>
          </w:p>
        </w:tc>
      </w:tr>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519" w:type="dxa"/>
            <w:gridSpan w:val="4"/>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Credit quality of financial assets not past due or individually determined as impaired</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480"/>
        </w:trPr>
        <w:tc>
          <w:tcPr>
            <w:tcW w:w="282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 w:val="20"/>
              </w:rPr>
            </w:pPr>
            <w:r>
              <w:rPr>
                <w:rFonts w:ascii="Arial" w:hAnsi="Arial" w:cs="Arial"/>
                <w:sz w:val="20"/>
              </w:rPr>
              <w:t> </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Not past due nor impaired</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Past due or impaired</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Not past due nor impaired</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Past due or impaired</w:t>
            </w:r>
          </w:p>
        </w:tc>
      </w:tr>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 w:val="20"/>
              </w:rPr>
            </w:pPr>
            <w:r>
              <w:rPr>
                <w:rFonts w:ascii="Arial" w:hAnsi="Arial" w:cs="Arial"/>
                <w:sz w:val="20"/>
              </w:rPr>
              <w:t> </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2014</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2014</w:t>
            </w:r>
          </w:p>
        </w:tc>
      </w:tr>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 w:val="20"/>
              </w:rPr>
            </w:pPr>
            <w:r>
              <w:rPr>
                <w:rFonts w:ascii="Arial" w:hAnsi="Arial" w:cs="Arial"/>
                <w:sz w:val="20"/>
              </w:rPr>
              <w:t> </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$'000</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Cash and cash equivalents</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3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9,817 </w:t>
            </w:r>
          </w:p>
        </w:tc>
        <w:tc>
          <w:tcPr>
            <w:tcW w:w="123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232"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8,429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Goods and services receivable</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3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3,347 </w:t>
            </w:r>
          </w:p>
        </w:tc>
        <w:tc>
          <w:tcPr>
            <w:tcW w:w="123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764 </w:t>
            </w:r>
          </w:p>
        </w:tc>
        <w:tc>
          <w:tcPr>
            <w:tcW w:w="1232"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7,391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7,747 </w:t>
            </w:r>
          </w:p>
        </w:tc>
      </w:tr>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Accrued revenue</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3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3,276 </w:t>
            </w:r>
          </w:p>
        </w:tc>
        <w:tc>
          <w:tcPr>
            <w:tcW w:w="123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232"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10,113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2822"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w:t>
            </w:r>
          </w:p>
        </w:tc>
        <w:tc>
          <w:tcPr>
            <w:tcW w:w="1233"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1232"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16,440</w:t>
            </w:r>
          </w:p>
        </w:tc>
        <w:tc>
          <w:tcPr>
            <w:tcW w:w="1232"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764</w:t>
            </w:r>
          </w:p>
        </w:tc>
        <w:tc>
          <w:tcPr>
            <w:tcW w:w="1232"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25,933</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7,747</w:t>
            </w:r>
          </w:p>
        </w:tc>
      </w:tr>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55"/>
        </w:trPr>
        <w:tc>
          <w:tcPr>
            <w:tcW w:w="5287" w:type="dxa"/>
            <w:gridSpan w:val="3"/>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Ageing of financial assets that were past due but not impaired for 2015</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 xml:space="preserve">0 to 30 </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31 to 60</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61 to 90</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90+</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 </w:t>
            </w:r>
          </w:p>
        </w:tc>
      </w:tr>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days</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days</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days</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days</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Total</w:t>
            </w:r>
          </w:p>
        </w:tc>
      </w:tr>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r>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Goods and services receivable</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598 </w:t>
            </w:r>
          </w:p>
        </w:tc>
        <w:tc>
          <w:tcPr>
            <w:tcW w:w="123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193 </w:t>
            </w:r>
          </w:p>
        </w:tc>
        <w:tc>
          <w:tcPr>
            <w:tcW w:w="123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89 </w:t>
            </w:r>
          </w:p>
        </w:tc>
        <w:tc>
          <w:tcPr>
            <w:tcW w:w="1232"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482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1,362 </w:t>
            </w:r>
          </w:p>
        </w:tc>
      </w:tr>
      <w:tr w:rsidR="00735613" w:rsidTr="00735613">
        <w:trPr>
          <w:trHeight w:val="264"/>
        </w:trPr>
        <w:tc>
          <w:tcPr>
            <w:tcW w:w="2822"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598</w:t>
            </w:r>
          </w:p>
        </w:tc>
        <w:tc>
          <w:tcPr>
            <w:tcW w:w="1232"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193</w:t>
            </w:r>
          </w:p>
        </w:tc>
        <w:tc>
          <w:tcPr>
            <w:tcW w:w="1232"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89</w:t>
            </w:r>
          </w:p>
        </w:tc>
        <w:tc>
          <w:tcPr>
            <w:tcW w:w="1232"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482</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1,362</w:t>
            </w:r>
          </w:p>
        </w:tc>
      </w:tr>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5287" w:type="dxa"/>
            <w:gridSpan w:val="3"/>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Ageing of financial assets that were past due but not impaired for 2014</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 xml:space="preserve">0 to 30 </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31 to 60</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61 to 90</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90+</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days</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days</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days</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days</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Total</w:t>
            </w:r>
          </w:p>
        </w:tc>
      </w:tr>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$'000</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$'000</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$'000</w:t>
            </w:r>
          </w:p>
        </w:tc>
        <w:tc>
          <w:tcPr>
            <w:tcW w:w="1232"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$'000</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2822"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Goods and services</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5,888 </w:t>
            </w:r>
          </w:p>
        </w:tc>
        <w:tc>
          <w:tcPr>
            <w:tcW w:w="1232"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282 </w:t>
            </w:r>
          </w:p>
        </w:tc>
        <w:tc>
          <w:tcPr>
            <w:tcW w:w="1232"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809 </w:t>
            </w:r>
          </w:p>
        </w:tc>
        <w:tc>
          <w:tcPr>
            <w:tcW w:w="1232"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768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7,747 </w:t>
            </w:r>
          </w:p>
        </w:tc>
      </w:tr>
      <w:tr w:rsidR="00735613" w:rsidTr="00735613">
        <w:trPr>
          <w:trHeight w:val="264"/>
        </w:trPr>
        <w:tc>
          <w:tcPr>
            <w:tcW w:w="2822" w:type="dxa"/>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Total</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5,888</w:t>
            </w:r>
          </w:p>
        </w:tc>
        <w:tc>
          <w:tcPr>
            <w:tcW w:w="1232"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282</w:t>
            </w:r>
          </w:p>
        </w:tc>
        <w:tc>
          <w:tcPr>
            <w:tcW w:w="1232"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809</w:t>
            </w:r>
          </w:p>
        </w:tc>
        <w:tc>
          <w:tcPr>
            <w:tcW w:w="1232"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768</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7,747</w:t>
            </w:r>
          </w:p>
        </w:tc>
      </w:tr>
    </w:tbl>
    <w:p w:rsidR="00735613" w:rsidRDefault="00735613"/>
    <w:p w:rsidR="00735613" w:rsidRDefault="00735613">
      <w:pPr>
        <w:rPr>
          <w:rFonts w:asciiTheme="minorHAnsi" w:hAnsiTheme="minorHAnsi" w:cstheme="minorHAnsi"/>
          <w:b/>
          <w:szCs w:val="18"/>
          <w:lang w:eastAsia="en-AU"/>
        </w:rPr>
      </w:pPr>
      <w:bookmarkStart w:id="380" w:name="RANGE!D7:I47"/>
      <w:bookmarkStart w:id="381" w:name="RANGE!D7:I46"/>
      <w:bookmarkStart w:id="382" w:name="RANGE!D7:I45"/>
      <w:bookmarkStart w:id="383" w:name="RANGE!D7:I44"/>
      <w:bookmarkStart w:id="384" w:name="RANGE!D7:I42"/>
      <w:bookmarkEnd w:id="380"/>
      <w:bookmarkEnd w:id="381"/>
      <w:bookmarkEnd w:id="382"/>
      <w:bookmarkEnd w:id="383"/>
      <w:bookmarkEnd w:id="384"/>
    </w:p>
    <w:p w:rsidR="00735613" w:rsidRDefault="00735613" w:rsidP="00735613">
      <w:pPr>
        <w:rPr>
          <w:b/>
          <w:lang w:eastAsia="en-AU"/>
        </w:rPr>
      </w:pPr>
      <w:bookmarkStart w:id="385" w:name="RANGE!D6:I42"/>
      <w:bookmarkStart w:id="386" w:name="RANGE!D6:I47"/>
      <w:bookmarkStart w:id="387" w:name="RANGE!D21:H37"/>
      <w:bookmarkStart w:id="388" w:name="RANGE!D22:H38"/>
      <w:bookmarkStart w:id="389" w:name="RANGE!D40:H88"/>
      <w:bookmarkStart w:id="390" w:name="RANGE!D41:H89"/>
      <w:bookmarkStart w:id="391" w:name="RANGE!D6:G30"/>
      <w:bookmarkStart w:id="392" w:name="RANGE!D6:D31"/>
      <w:bookmarkStart w:id="393" w:name="RANGE!D6:G31"/>
      <w:bookmarkStart w:id="394" w:name="RANGE!D6:F17"/>
      <w:bookmarkStart w:id="395" w:name="RANGE!D6:I46"/>
      <w:bookmarkStart w:id="396" w:name="RANGE!D6:I44"/>
      <w:bookmarkStart w:id="397" w:name="RANGE!D6:D45"/>
      <w:bookmarkStart w:id="398" w:name="RANGE!D6:I45"/>
      <w:bookmarkStart w:id="399" w:name="_Toc419266965"/>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r>
        <w:rPr>
          <w:b/>
          <w:lang w:eastAsia="en-AU"/>
        </w:rPr>
        <w:t>The following asset has been individually assessed as impaired</w:t>
      </w:r>
      <w:bookmarkEnd w:id="399"/>
    </w:p>
    <w:p w:rsidR="00735613" w:rsidRDefault="00735613" w:rsidP="00735613">
      <w:pPr>
        <w:rPr>
          <w:lang w:eastAsia="en-AU"/>
        </w:rPr>
      </w:pPr>
      <w:bookmarkStart w:id="400" w:name="_Toc419266966"/>
      <w:r>
        <w:rPr>
          <w:lang w:eastAsia="en-AU"/>
        </w:rPr>
        <w:t>Trade receivables have been individually assessed for impairment including an assessment made on an historical basis.</w:t>
      </w:r>
      <w:bookmarkEnd w:id="400"/>
      <w:r>
        <w:rPr>
          <w:lang w:eastAsia="en-AU"/>
        </w:rPr>
        <w:t xml:space="preserve"> </w:t>
      </w:r>
    </w:p>
    <w:p w:rsidR="00735613" w:rsidRDefault="00735613">
      <w:pPr>
        <w:spacing w:line="240" w:lineRule="auto"/>
        <w:rPr>
          <w:rFonts w:asciiTheme="minorHAnsi" w:hAnsiTheme="minorHAnsi" w:cstheme="minorHAnsi"/>
          <w:szCs w:val="18"/>
          <w:lang w:eastAsia="en-AU"/>
        </w:rPr>
      </w:pPr>
    </w:p>
    <w:tbl>
      <w:tblPr>
        <w:tblW w:w="9087" w:type="dxa"/>
        <w:tblInd w:w="80" w:type="dxa"/>
        <w:tblLayout w:type="fixed"/>
        <w:tblLook w:val="04A0" w:firstRow="1" w:lastRow="0" w:firstColumn="1" w:lastColumn="0" w:noHBand="0" w:noVBand="1"/>
      </w:tblPr>
      <w:tblGrid>
        <w:gridCol w:w="2258"/>
        <w:gridCol w:w="1140"/>
        <w:gridCol w:w="1138"/>
        <w:gridCol w:w="1138"/>
        <w:gridCol w:w="1138"/>
        <w:gridCol w:w="1138"/>
        <w:gridCol w:w="1137"/>
      </w:tblGrid>
      <w:tr w:rsidR="00735613" w:rsidTr="00735613">
        <w:trPr>
          <w:trHeight w:val="264"/>
        </w:trPr>
        <w:tc>
          <w:tcPr>
            <w:tcW w:w="2233"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401" w:name="Note_FIITABLE1" w:colFirst="0" w:colLast="0"/>
            <w:r>
              <w:rPr>
                <w:rFonts w:cs="Arial"/>
                <w:b/>
                <w:bCs/>
                <w:szCs w:val="18"/>
                <w:u w:val="single"/>
              </w:rPr>
              <w:t>Note 16E: Liquidity risk</w:t>
            </w:r>
          </w:p>
        </w:tc>
        <w:tc>
          <w:tcPr>
            <w:tcW w:w="1127"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2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2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2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2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25"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bookmarkEnd w:id="401"/>
      <w:tr w:rsidR="00735613" w:rsidTr="00735613">
        <w:trPr>
          <w:trHeight w:val="750"/>
        </w:trPr>
        <w:tc>
          <w:tcPr>
            <w:tcW w:w="8989" w:type="dxa"/>
            <w:gridSpan w:val="7"/>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The department is appropriated funding from the Australian Government. The department manages its budgeted funds to ensure it has adequate funds to meet payments as they fall due. In addition, the department has policies in place to ensure timely payments are made when due and has no past experience of default.</w:t>
            </w:r>
          </w:p>
        </w:tc>
      </w:tr>
      <w:tr w:rsidR="00735613" w:rsidTr="00735613">
        <w:trPr>
          <w:trHeight w:val="264"/>
        </w:trPr>
        <w:tc>
          <w:tcPr>
            <w:tcW w:w="2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2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2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2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2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125"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bl>
    <w:p w:rsidR="00735613" w:rsidRDefault="00735613">
      <w:pPr>
        <w:spacing w:line="240" w:lineRule="auto"/>
      </w:pPr>
    </w:p>
    <w:tbl>
      <w:tblPr>
        <w:tblW w:w="9087" w:type="dxa"/>
        <w:tblInd w:w="80" w:type="dxa"/>
        <w:tblLayout w:type="fixed"/>
        <w:tblLook w:val="04A0" w:firstRow="1" w:lastRow="0" w:firstColumn="1" w:lastColumn="0" w:noHBand="0" w:noVBand="1"/>
      </w:tblPr>
      <w:tblGrid>
        <w:gridCol w:w="5344"/>
        <w:gridCol w:w="1248"/>
        <w:gridCol w:w="1247"/>
        <w:gridCol w:w="1248"/>
      </w:tblGrid>
      <w:tr w:rsidR="00735613" w:rsidTr="00735613">
        <w:trPr>
          <w:trHeight w:val="264"/>
        </w:trPr>
        <w:tc>
          <w:tcPr>
            <w:tcW w:w="5281"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402" w:name="Note_FIJTABLE1" w:colFirst="0" w:colLast="0"/>
            <w:r>
              <w:rPr>
                <w:rFonts w:cs="Arial"/>
                <w:b/>
                <w:bCs/>
                <w:szCs w:val="18"/>
                <w:u w:val="single"/>
              </w:rPr>
              <w:t>Note 16F: Market risk</w:t>
            </w:r>
          </w:p>
        </w:tc>
        <w:tc>
          <w:tcPr>
            <w:tcW w:w="1234"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4"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bookmarkEnd w:id="402"/>
      <w:tr w:rsidR="00735613" w:rsidTr="00735613">
        <w:trPr>
          <w:trHeight w:val="165"/>
        </w:trPr>
        <w:tc>
          <w:tcPr>
            <w:tcW w:w="528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4"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4"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10"/>
        </w:trPr>
        <w:tc>
          <w:tcPr>
            <w:tcW w:w="8982" w:type="dxa"/>
            <w:gridSpan w:val="4"/>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The department holds basic financial instruments that do not expose the department to market risks.</w:t>
            </w:r>
          </w:p>
        </w:tc>
      </w:tr>
    </w:tbl>
    <w:p w:rsidR="00735613" w:rsidRDefault="00735613">
      <w:pPr>
        <w:spacing w:line="240" w:lineRule="auto"/>
      </w:pPr>
    </w:p>
    <w:p w:rsidR="00735613" w:rsidRDefault="00735613">
      <w:pPr>
        <w:spacing w:line="240" w:lineRule="auto"/>
      </w:pPr>
    </w:p>
    <w:p w:rsidR="00735613" w:rsidRDefault="00735613">
      <w:pPr>
        <w:spacing w:line="240" w:lineRule="auto"/>
      </w:pPr>
    </w:p>
    <w:p w:rsidR="00735613" w:rsidRDefault="00735613">
      <w:pPr>
        <w:spacing w:line="240" w:lineRule="auto"/>
      </w:pPr>
    </w:p>
    <w:p w:rsidR="00735613" w:rsidRDefault="00735613">
      <w:pPr>
        <w:spacing w:line="240" w:lineRule="auto"/>
      </w:pPr>
    </w:p>
    <w:p w:rsidR="00735613" w:rsidRDefault="00735613">
      <w:pPr>
        <w:spacing w:line="240" w:lineRule="auto"/>
      </w:pPr>
    </w:p>
    <w:p w:rsidR="00735613" w:rsidRDefault="00735613">
      <w:pPr>
        <w:spacing w:line="240" w:lineRule="auto"/>
      </w:pPr>
      <w:r>
        <w:br w:type="page"/>
      </w:r>
    </w:p>
    <w:p w:rsidR="00735613" w:rsidRDefault="00735613">
      <w:pPr>
        <w:spacing w:line="240" w:lineRule="auto"/>
      </w:pPr>
    </w:p>
    <w:p w:rsidR="00735613" w:rsidRDefault="00735613" w:rsidP="00735613">
      <w:pPr>
        <w:pStyle w:val="NotesHeading-Level1"/>
        <w:numPr>
          <w:ilvl w:val="0"/>
          <w:numId w:val="9"/>
        </w:numPr>
        <w:rPr>
          <w:rFonts w:cstheme="minorHAnsi"/>
        </w:rPr>
      </w:pPr>
      <w:bookmarkStart w:id="403" w:name="RANGE!D7:J24"/>
      <w:bookmarkStart w:id="404" w:name="RANGE!D6:J23"/>
      <w:bookmarkStart w:id="405" w:name="RANGE!D6:J29"/>
      <w:bookmarkStart w:id="406" w:name="RANGE!D6:D30"/>
      <w:bookmarkStart w:id="407" w:name="RANGE!D6:J30"/>
      <w:bookmarkStart w:id="408" w:name="RANGE!D7:G9"/>
      <w:bookmarkStart w:id="409" w:name="RANGE!D6:G32"/>
      <w:bookmarkStart w:id="410" w:name="RANGE!D6:D33"/>
      <w:bookmarkStart w:id="411" w:name="RANGE!D6:G33"/>
      <w:bookmarkStart w:id="412" w:name="_Toc420422386"/>
      <w:bookmarkEnd w:id="403"/>
      <w:bookmarkEnd w:id="404"/>
      <w:bookmarkEnd w:id="405"/>
      <w:bookmarkEnd w:id="406"/>
      <w:bookmarkEnd w:id="407"/>
      <w:bookmarkEnd w:id="408"/>
      <w:bookmarkEnd w:id="409"/>
      <w:bookmarkEnd w:id="410"/>
      <w:bookmarkEnd w:id="411"/>
      <w:r>
        <w:rPr>
          <w:rFonts w:cstheme="minorHAnsi"/>
        </w:rPr>
        <w:t>Financial Assets Reconciliation</w:t>
      </w:r>
      <w:bookmarkEnd w:id="412"/>
    </w:p>
    <w:tbl>
      <w:tblPr>
        <w:tblW w:w="9087" w:type="dxa"/>
        <w:tblInd w:w="80" w:type="dxa"/>
        <w:tblLayout w:type="fixed"/>
        <w:tblLook w:val="04A0" w:firstRow="1" w:lastRow="0" w:firstColumn="1" w:lastColumn="0" w:noHBand="0" w:noVBand="1"/>
      </w:tblPr>
      <w:tblGrid>
        <w:gridCol w:w="5115"/>
        <w:gridCol w:w="1245"/>
        <w:gridCol w:w="1247"/>
        <w:gridCol w:w="239"/>
        <w:gridCol w:w="1241"/>
      </w:tblGrid>
      <w:tr w:rsidR="00735613" w:rsidTr="00735613">
        <w:trPr>
          <w:trHeight w:val="240"/>
        </w:trPr>
        <w:tc>
          <w:tcPr>
            <w:tcW w:w="5057"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bookmarkStart w:id="413" w:name="RANGE!D7:H8"/>
            <w:bookmarkStart w:id="414" w:name="Note_FARTABLE1" w:colFirst="0" w:colLast="0"/>
            <w:r>
              <w:rPr>
                <w:rFonts w:ascii="Arial" w:hAnsi="Arial" w:cs="Arial"/>
                <w:szCs w:val="18"/>
              </w:rPr>
              <w:t> </w:t>
            </w:r>
            <w:bookmarkEnd w:id="413"/>
          </w:p>
        </w:tc>
        <w:tc>
          <w:tcPr>
            <w:tcW w:w="123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7"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2014</w:t>
            </w:r>
          </w:p>
        </w:tc>
      </w:tr>
      <w:bookmarkEnd w:id="414"/>
      <w:tr w:rsidR="00735613" w:rsidTr="00735613">
        <w:trPr>
          <w:trHeight w:val="240"/>
        </w:trPr>
        <w:tc>
          <w:tcPr>
            <w:tcW w:w="5057"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7"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$'000</w:t>
            </w:r>
          </w:p>
        </w:tc>
      </w:tr>
      <w:tr w:rsidR="00735613" w:rsidTr="00735613">
        <w:trPr>
          <w:trHeight w:val="240"/>
        </w:trPr>
        <w:tc>
          <w:tcPr>
            <w:tcW w:w="5057"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31" w:type="dxa"/>
            <w:tcBorders>
              <w:top w:val="nil"/>
              <w:left w:val="nil"/>
              <w:bottom w:val="nil"/>
              <w:right w:val="nil"/>
            </w:tcBorders>
            <w:shd w:val="clear" w:color="FFFFFF" w:fill="FFFFFF"/>
            <w:vAlign w:val="bottom"/>
            <w:hideMark/>
          </w:tcPr>
          <w:p w:rsidR="00735613" w:rsidRDefault="00735613">
            <w:pPr>
              <w:jc w:val="center"/>
              <w:rPr>
                <w:rFonts w:cs="Arial"/>
                <w:b/>
                <w:bCs/>
                <w:szCs w:val="18"/>
              </w:rPr>
            </w:pPr>
            <w:r>
              <w:rPr>
                <w:rFonts w:cs="Arial"/>
                <w:b/>
                <w:bCs/>
                <w:szCs w:val="18"/>
              </w:rPr>
              <w:t>Notes</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40"/>
        </w:trPr>
        <w:tc>
          <w:tcPr>
            <w:tcW w:w="5057"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7"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40"/>
        </w:trPr>
        <w:tc>
          <w:tcPr>
            <w:tcW w:w="5057"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financial assets as per statement of financial position</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64,922</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53,311</w:t>
            </w:r>
          </w:p>
        </w:tc>
      </w:tr>
      <w:tr w:rsidR="00735613" w:rsidTr="00735613">
        <w:trPr>
          <w:trHeight w:val="240"/>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Less: non-financial instrument components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ascii="Arial" w:hAnsi="Arial" w:cs="Arial"/>
                <w:b/>
                <w:bCs/>
                <w:szCs w:val="18"/>
              </w:rPr>
            </w:pPr>
            <w:r>
              <w:rPr>
                <w:rFonts w:ascii="Arial" w:hAnsi="Arial" w:cs="Arial"/>
                <w:b/>
                <w:bCs/>
                <w:szCs w:val="18"/>
              </w:rPr>
              <w:t> </w:t>
            </w:r>
          </w:p>
        </w:tc>
      </w:tr>
      <w:tr w:rsidR="00735613" w:rsidTr="00735613">
        <w:trPr>
          <w:trHeight w:val="240"/>
        </w:trPr>
        <w:tc>
          <w:tcPr>
            <w:tcW w:w="5057"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Appropriation receivable</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45,176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18,106 </w:t>
            </w:r>
          </w:p>
        </w:tc>
      </w:tr>
      <w:tr w:rsidR="00735613" w:rsidTr="00735613">
        <w:trPr>
          <w:trHeight w:val="240"/>
        </w:trPr>
        <w:tc>
          <w:tcPr>
            <w:tcW w:w="5057"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GST receivable from the ATO</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2,542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1,589 </w:t>
            </w:r>
          </w:p>
        </w:tc>
      </w:tr>
      <w:tr w:rsidR="00735613" w:rsidTr="00735613">
        <w:trPr>
          <w:trHeight w:val="240"/>
        </w:trPr>
        <w:tc>
          <w:tcPr>
            <w:tcW w:w="5057" w:type="dxa"/>
            <w:tcBorders>
              <w:top w:val="nil"/>
              <w:left w:val="nil"/>
              <w:bottom w:val="nil"/>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Impairment allowance account</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1227"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(64)</w:t>
            </w:r>
          </w:p>
        </w:tc>
      </w:tr>
      <w:tr w:rsidR="00735613" w:rsidTr="00735613">
        <w:trPr>
          <w:trHeight w:val="240"/>
        </w:trPr>
        <w:tc>
          <w:tcPr>
            <w:tcW w:w="5057"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Total non-financial instrument components</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 </w:t>
            </w:r>
          </w:p>
        </w:tc>
        <w:tc>
          <w:tcPr>
            <w:tcW w:w="1233"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47,718</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7"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19,631</w:t>
            </w:r>
          </w:p>
        </w:tc>
      </w:tr>
      <w:tr w:rsidR="00735613" w:rsidTr="00735613">
        <w:trPr>
          <w:trHeight w:val="240"/>
        </w:trPr>
        <w:tc>
          <w:tcPr>
            <w:tcW w:w="5057"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financial assets as per financial instruments note</w:t>
            </w:r>
          </w:p>
        </w:tc>
        <w:tc>
          <w:tcPr>
            <w:tcW w:w="1231" w:type="dxa"/>
            <w:tcBorders>
              <w:top w:val="nil"/>
              <w:left w:val="nil"/>
              <w:bottom w:val="nil"/>
              <w:right w:val="nil"/>
            </w:tcBorders>
            <w:shd w:val="clear" w:color="FFFFFF" w:fill="FFFFFF"/>
            <w:noWrap/>
            <w:vAlign w:val="bottom"/>
            <w:hideMark/>
          </w:tcPr>
          <w:p w:rsidR="00735613" w:rsidRDefault="00735613">
            <w:pPr>
              <w:jc w:val="center"/>
              <w:rPr>
                <w:rFonts w:cs="Arial"/>
                <w:szCs w:val="18"/>
              </w:rPr>
            </w:pPr>
            <w:r>
              <w:rPr>
                <w:rFonts w:cs="Arial"/>
                <w:szCs w:val="18"/>
              </w:rPr>
              <w:t>16A</w:t>
            </w:r>
          </w:p>
        </w:tc>
        <w:tc>
          <w:tcPr>
            <w:tcW w:w="1233" w:type="dxa"/>
            <w:tcBorders>
              <w:top w:val="nil"/>
              <w:left w:val="nil"/>
              <w:bottom w:val="double" w:sz="6"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17,204</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27" w:type="dxa"/>
            <w:tcBorders>
              <w:top w:val="nil"/>
              <w:left w:val="nil"/>
              <w:bottom w:val="double" w:sz="6" w:space="0" w:color="auto"/>
              <w:right w:val="nil"/>
            </w:tcBorders>
            <w:shd w:val="clear" w:color="FFFFFF" w:fill="FFFFFF"/>
            <w:noWrap/>
            <w:vAlign w:val="bottom"/>
            <w:hideMark/>
          </w:tcPr>
          <w:p w:rsidR="00735613" w:rsidRDefault="00735613">
            <w:pPr>
              <w:jc w:val="right"/>
              <w:rPr>
                <w:rFonts w:cs="Arial"/>
                <w:szCs w:val="18"/>
              </w:rPr>
            </w:pPr>
            <w:r>
              <w:rPr>
                <w:rFonts w:cs="Arial"/>
                <w:szCs w:val="18"/>
              </w:rPr>
              <w:t>33,680</w:t>
            </w:r>
          </w:p>
        </w:tc>
      </w:tr>
    </w:tbl>
    <w:p w:rsidR="00735613" w:rsidRDefault="00735613">
      <w:r>
        <w:br w:type="page"/>
      </w:r>
      <w:bookmarkStart w:id="415" w:name="RANGE!D7:D17"/>
      <w:bookmarkStart w:id="416" w:name="RANGE!D7:H17"/>
      <w:bookmarkStart w:id="417" w:name="RANGE!D6:H15"/>
      <w:bookmarkEnd w:id="415"/>
      <w:bookmarkEnd w:id="416"/>
      <w:bookmarkEnd w:id="417"/>
    </w:p>
    <w:p w:rsidR="00735613" w:rsidRDefault="00735613" w:rsidP="00735613">
      <w:pPr>
        <w:pStyle w:val="NotesHeading-Level1GreyShade"/>
        <w:numPr>
          <w:ilvl w:val="0"/>
          <w:numId w:val="9"/>
        </w:numPr>
      </w:pPr>
      <w:bookmarkStart w:id="418" w:name="_Toc420422387"/>
      <w:r>
        <w:t>Administered Expenses</w:t>
      </w:r>
      <w:bookmarkEnd w:id="418"/>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single" w:sz="4" w:space="0" w:color="D9D9D9"/>
              <w:left w:val="nil"/>
              <w:bottom w:val="single" w:sz="4" w:space="0" w:color="D9D9D9"/>
              <w:right w:val="nil"/>
            </w:tcBorders>
            <w:shd w:val="clear" w:color="000000" w:fill="D9D9D9"/>
            <w:noWrap/>
            <w:hideMark/>
          </w:tcPr>
          <w:p w:rsidR="00735613" w:rsidRDefault="00735613">
            <w:pPr>
              <w:rPr>
                <w:rFonts w:cs="Arial"/>
                <w:b/>
                <w:bCs/>
                <w:szCs w:val="18"/>
                <w:u w:val="single"/>
              </w:rPr>
            </w:pPr>
            <w:bookmarkStart w:id="419" w:name="RANGE!D7:D22"/>
            <w:bookmarkStart w:id="420" w:name="Note_ASXTABLE1" w:colFirst="0" w:colLast="0"/>
            <w:r>
              <w:rPr>
                <w:rFonts w:cs="Arial"/>
                <w:b/>
                <w:bCs/>
                <w:szCs w:val="18"/>
                <w:u w:val="single"/>
              </w:rPr>
              <w:t>Note 18A: Suppliers</w:t>
            </w:r>
            <w:bookmarkEnd w:id="419"/>
          </w:p>
        </w:tc>
        <w:tc>
          <w:tcPr>
            <w:tcW w:w="1235" w:type="dxa"/>
            <w:tcBorders>
              <w:top w:val="single" w:sz="4" w:space="0" w:color="D9D9D9"/>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2015</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2014</w:t>
            </w:r>
          </w:p>
        </w:tc>
      </w:tr>
      <w:bookmarkEnd w:id="420"/>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628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Goods and services supplied or rendered</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Assistance to families with children</w:t>
            </w:r>
            <w:r>
              <w:rPr>
                <w:rFonts w:cs="Arial"/>
                <w:szCs w:val="18"/>
                <w:vertAlign w:val="superscript"/>
              </w:rPr>
              <w:t>1</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32,685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xml:space="preserve">40,957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General Research</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4,452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xml:space="preserve">1,254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Higher Education</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21,481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xml:space="preserve">3,048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School education - specific funding</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83,227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xml:space="preserve">123,348 </w:t>
            </w:r>
          </w:p>
        </w:tc>
      </w:tr>
      <w:tr w:rsidR="00735613" w:rsidTr="00735613">
        <w:trPr>
          <w:trHeight w:val="276"/>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Vocational and industry training</w:t>
            </w:r>
            <w:r>
              <w:rPr>
                <w:rFonts w:cs="Arial"/>
                <w:szCs w:val="18"/>
                <w:vertAlign w:val="superscript"/>
              </w:rPr>
              <w:t>2</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196,732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6286" w:type="dxa"/>
            <w:tcBorders>
              <w:top w:val="nil"/>
              <w:left w:val="nil"/>
              <w:bottom w:val="single" w:sz="4" w:space="0" w:color="D9D9D9"/>
              <w:right w:val="nil"/>
            </w:tcBorders>
            <w:shd w:val="clear" w:color="000000" w:fill="D9D9D9"/>
            <w:vAlign w:val="bottom"/>
            <w:hideMark/>
          </w:tcPr>
          <w:p w:rsidR="00735613" w:rsidRDefault="00735613">
            <w:pPr>
              <w:rPr>
                <w:rFonts w:cs="Arial"/>
                <w:b/>
                <w:bCs/>
                <w:i/>
                <w:iCs/>
                <w:szCs w:val="18"/>
              </w:rPr>
            </w:pPr>
            <w:r>
              <w:rPr>
                <w:rFonts w:cs="Arial"/>
                <w:b/>
                <w:bCs/>
                <w:i/>
                <w:iCs/>
                <w:szCs w:val="18"/>
              </w:rPr>
              <w:t>Total goods and services supplied or rendered</w:t>
            </w:r>
          </w:p>
        </w:tc>
        <w:tc>
          <w:tcPr>
            <w:tcW w:w="123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338,577</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168,607</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Goods and services are made up of</w:t>
            </w:r>
          </w:p>
        </w:tc>
        <w:tc>
          <w:tcPr>
            <w:tcW w:w="1235"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single" w:sz="4" w:space="0" w:color="D9D9D9"/>
              <w:right w:val="nil"/>
            </w:tcBorders>
            <w:shd w:val="clear" w:color="000000" w:fill="D9D9D9"/>
            <w:vAlign w:val="bottom"/>
            <w:hideMark/>
          </w:tcPr>
          <w:p w:rsidR="00735613" w:rsidRDefault="00735613">
            <w:pPr>
              <w:rPr>
                <w:rFonts w:cs="Arial"/>
                <w:szCs w:val="18"/>
              </w:rPr>
            </w:pPr>
            <w:r>
              <w:rPr>
                <w:rFonts w:cs="Arial"/>
                <w:szCs w:val="18"/>
              </w:rPr>
              <w:t>Rendering of services – related parties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936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6286" w:type="dxa"/>
            <w:tcBorders>
              <w:top w:val="nil"/>
              <w:left w:val="nil"/>
              <w:bottom w:val="single" w:sz="4" w:space="0" w:color="D9D9D9"/>
              <w:right w:val="nil"/>
            </w:tcBorders>
            <w:shd w:val="clear" w:color="000000" w:fill="D9D9D9"/>
            <w:vAlign w:val="bottom"/>
            <w:hideMark/>
          </w:tcPr>
          <w:p w:rsidR="00735613" w:rsidRDefault="00735613">
            <w:pPr>
              <w:rPr>
                <w:rFonts w:cs="Arial"/>
                <w:szCs w:val="18"/>
              </w:rPr>
            </w:pPr>
            <w:r>
              <w:rPr>
                <w:rFonts w:cs="Arial"/>
                <w:szCs w:val="18"/>
              </w:rPr>
              <w:t>Rendering of services - external parties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337,641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168,607 </w:t>
            </w:r>
          </w:p>
        </w:tc>
      </w:tr>
      <w:tr w:rsidR="00735613" w:rsidTr="00735613">
        <w:trPr>
          <w:trHeight w:val="264"/>
        </w:trPr>
        <w:tc>
          <w:tcPr>
            <w:tcW w:w="6286" w:type="dxa"/>
            <w:tcBorders>
              <w:top w:val="nil"/>
              <w:left w:val="nil"/>
              <w:bottom w:val="single" w:sz="4" w:space="0" w:color="D9D9D9"/>
              <w:right w:val="nil"/>
            </w:tcBorders>
            <w:shd w:val="clear" w:color="000000" w:fill="D9D9D9"/>
            <w:vAlign w:val="bottom"/>
            <w:hideMark/>
          </w:tcPr>
          <w:p w:rsidR="00735613" w:rsidRDefault="00735613">
            <w:pPr>
              <w:rPr>
                <w:rFonts w:cs="Arial"/>
                <w:b/>
                <w:bCs/>
                <w:i/>
                <w:iCs/>
                <w:szCs w:val="18"/>
              </w:rPr>
            </w:pPr>
            <w:r>
              <w:rPr>
                <w:rFonts w:cs="Arial"/>
                <w:b/>
                <w:bCs/>
                <w:i/>
                <w:iCs/>
                <w:szCs w:val="18"/>
              </w:rPr>
              <w:t>Total goods and services supplied or rendered</w:t>
            </w:r>
          </w:p>
        </w:tc>
        <w:tc>
          <w:tcPr>
            <w:tcW w:w="123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338,577</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168,607</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628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supplier expenses</w:t>
            </w:r>
          </w:p>
        </w:tc>
        <w:tc>
          <w:tcPr>
            <w:tcW w:w="1235"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338,577</w:t>
            </w:r>
          </w:p>
        </w:tc>
        <w:tc>
          <w:tcPr>
            <w:tcW w:w="23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228"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168,607</w:t>
            </w:r>
          </w:p>
        </w:tc>
      </w:tr>
    </w:tbl>
    <w:p w:rsidR="00735613" w:rsidRDefault="00735613">
      <w:pPr>
        <w:pStyle w:val="GreyShadeTableBreak"/>
      </w:pPr>
      <w:bookmarkStart w:id="421" w:name="RANGE!D7:G21"/>
      <w:bookmarkEnd w:id="421"/>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single" w:sz="4" w:space="0" w:color="D9D9D9"/>
              <w:left w:val="nil"/>
              <w:bottom w:val="single" w:sz="4" w:space="0" w:color="D9D9D9"/>
              <w:right w:val="nil"/>
            </w:tcBorders>
            <w:shd w:val="clear" w:color="000000" w:fill="D9D9D9"/>
            <w:noWrap/>
            <w:hideMark/>
          </w:tcPr>
          <w:p w:rsidR="00735613" w:rsidRDefault="00735613">
            <w:pPr>
              <w:rPr>
                <w:rFonts w:cs="Arial"/>
                <w:b/>
                <w:bCs/>
                <w:szCs w:val="18"/>
                <w:u w:val="single"/>
              </w:rPr>
            </w:pPr>
            <w:bookmarkStart w:id="422" w:name="Note_ASUTABLE1" w:colFirst="0" w:colLast="0"/>
            <w:r>
              <w:rPr>
                <w:rFonts w:cs="Arial"/>
                <w:b/>
                <w:bCs/>
                <w:szCs w:val="18"/>
                <w:u w:val="single"/>
              </w:rPr>
              <w:t>Note 18B: Subsidies</w:t>
            </w:r>
          </w:p>
        </w:tc>
        <w:tc>
          <w:tcPr>
            <w:tcW w:w="1235"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bookmarkEnd w:id="422"/>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Subsidies in connection with external parties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375"/>
        </w:trPr>
        <w:tc>
          <w:tcPr>
            <w:tcW w:w="6286" w:type="dxa"/>
            <w:tcBorders>
              <w:top w:val="nil"/>
              <w:left w:val="nil"/>
              <w:bottom w:val="nil"/>
              <w:right w:val="nil"/>
            </w:tcBorders>
            <w:shd w:val="clear" w:color="000000" w:fill="D9D9D9"/>
            <w:noWrap/>
            <w:vAlign w:val="center"/>
            <w:hideMark/>
          </w:tcPr>
          <w:p w:rsidR="00735613" w:rsidRDefault="00735613">
            <w:pPr>
              <w:ind w:firstLineChars="100" w:firstLine="180"/>
              <w:rPr>
                <w:rFonts w:cs="Arial"/>
                <w:szCs w:val="18"/>
              </w:rPr>
            </w:pPr>
            <w:r>
              <w:rPr>
                <w:rFonts w:cs="Arial"/>
                <w:szCs w:val="18"/>
              </w:rPr>
              <w:t>Vocational and industry training</w:t>
            </w:r>
            <w:r>
              <w:rPr>
                <w:rFonts w:cs="Arial"/>
                <w:szCs w:val="18"/>
                <w:vertAlign w:val="superscript"/>
              </w:rPr>
              <w:t>2</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144,308 </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6286" w:type="dxa"/>
            <w:tcBorders>
              <w:top w:val="single" w:sz="4" w:space="0" w:color="D9D9D9"/>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Higher Education</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 </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76"/>
        </w:trPr>
        <w:tc>
          <w:tcPr>
            <w:tcW w:w="628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subsidies</w:t>
            </w:r>
          </w:p>
        </w:tc>
        <w:tc>
          <w:tcPr>
            <w:tcW w:w="1235"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144,309</w:t>
            </w:r>
          </w:p>
        </w:tc>
        <w:tc>
          <w:tcPr>
            <w:tcW w:w="23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228"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w:t>
            </w:r>
          </w:p>
        </w:tc>
      </w:tr>
    </w:tbl>
    <w:p w:rsidR="00735613" w:rsidRDefault="00735613">
      <w:pPr>
        <w:pStyle w:val="GreyShadeTableBreak"/>
      </w:pPr>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single" w:sz="4" w:space="0" w:color="D9D9D9"/>
              <w:left w:val="nil"/>
              <w:bottom w:val="single" w:sz="4" w:space="0" w:color="D9D9D9"/>
              <w:right w:val="nil"/>
            </w:tcBorders>
            <w:shd w:val="clear" w:color="000000" w:fill="D9D9D9"/>
            <w:noWrap/>
            <w:hideMark/>
          </w:tcPr>
          <w:p w:rsidR="00735613" w:rsidRDefault="00735613">
            <w:pPr>
              <w:rPr>
                <w:rFonts w:cs="Arial"/>
                <w:b/>
                <w:bCs/>
                <w:szCs w:val="18"/>
                <w:u w:val="single"/>
              </w:rPr>
            </w:pPr>
            <w:bookmarkStart w:id="423" w:name="Note_APBTABLE1" w:colFirst="0" w:colLast="0"/>
            <w:r>
              <w:rPr>
                <w:rFonts w:cs="Arial"/>
                <w:b/>
                <w:bCs/>
                <w:szCs w:val="18"/>
                <w:u w:val="single"/>
              </w:rPr>
              <w:t>Note 18C: Personal benefits</w:t>
            </w:r>
          </w:p>
        </w:tc>
        <w:tc>
          <w:tcPr>
            <w:tcW w:w="1235"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bookmarkEnd w:id="423"/>
      <w:tr w:rsidR="00735613" w:rsidTr="00735613">
        <w:trPr>
          <w:trHeight w:val="264"/>
        </w:trPr>
        <w:tc>
          <w:tcPr>
            <w:tcW w:w="628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Direct</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Student assistance</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72,298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xml:space="preserve">51,651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School Education - Specific Funding</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1,000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xml:space="preserve">1,040 </w:t>
            </w:r>
          </w:p>
        </w:tc>
      </w:tr>
      <w:tr w:rsidR="00735613" w:rsidTr="00735613">
        <w:trPr>
          <w:trHeight w:val="276"/>
        </w:trPr>
        <w:tc>
          <w:tcPr>
            <w:tcW w:w="6286"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Assistance to families with children</w:t>
            </w:r>
            <w:r>
              <w:rPr>
                <w:rFonts w:cs="Arial"/>
                <w:szCs w:val="18"/>
                <w:vertAlign w:val="superscript"/>
              </w:rPr>
              <w:t>1</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836,916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xml:space="preserve">1,276,116 </w:t>
            </w:r>
          </w:p>
        </w:tc>
      </w:tr>
      <w:tr w:rsidR="00735613" w:rsidTr="00735613">
        <w:trPr>
          <w:trHeight w:val="276"/>
        </w:trPr>
        <w:tc>
          <w:tcPr>
            <w:tcW w:w="6286"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Vocational and industry training</w:t>
            </w:r>
            <w:r>
              <w:rPr>
                <w:rFonts w:cs="Arial"/>
                <w:szCs w:val="18"/>
                <w:vertAlign w:val="superscript"/>
              </w:rPr>
              <w:t>2</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18,881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Indirect</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single" w:sz="4" w:space="0" w:color="D9D9D9"/>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Assistance to families with children</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2,606,001 </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3,138,001 </w:t>
            </w:r>
          </w:p>
        </w:tc>
      </w:tr>
      <w:tr w:rsidR="00735613" w:rsidTr="00735613">
        <w:trPr>
          <w:trHeight w:val="276"/>
        </w:trPr>
        <w:tc>
          <w:tcPr>
            <w:tcW w:w="628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personal benefits</w:t>
            </w:r>
          </w:p>
        </w:tc>
        <w:tc>
          <w:tcPr>
            <w:tcW w:w="1235"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3,535,096</w:t>
            </w:r>
          </w:p>
        </w:tc>
        <w:tc>
          <w:tcPr>
            <w:tcW w:w="23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228"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4,466,808</w:t>
            </w:r>
          </w:p>
        </w:tc>
      </w:tr>
    </w:tbl>
    <w:p w:rsidR="00735613" w:rsidRDefault="00735613">
      <w:pPr>
        <w:pStyle w:val="GreyShadeTableBreak"/>
      </w:pPr>
      <w:bookmarkStart w:id="424" w:name="RANGE!D7:G25"/>
      <w:bookmarkEnd w:id="424"/>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single" w:sz="4" w:space="0" w:color="D9D9D9"/>
              <w:left w:val="nil"/>
              <w:bottom w:val="single" w:sz="4" w:space="0" w:color="D9D9D9"/>
              <w:right w:val="nil"/>
            </w:tcBorders>
            <w:shd w:val="clear" w:color="000000" w:fill="D9D9D9"/>
            <w:noWrap/>
            <w:hideMark/>
          </w:tcPr>
          <w:p w:rsidR="00735613" w:rsidRDefault="00735613">
            <w:pPr>
              <w:rPr>
                <w:rFonts w:cs="Arial"/>
                <w:b/>
                <w:bCs/>
                <w:szCs w:val="18"/>
                <w:u w:val="single"/>
              </w:rPr>
            </w:pPr>
            <w:bookmarkStart w:id="425" w:name="Note_AGRTABLE1" w:colFirst="0" w:colLast="0"/>
            <w:r>
              <w:rPr>
                <w:rFonts w:cs="Arial"/>
                <w:b/>
                <w:bCs/>
                <w:szCs w:val="18"/>
                <w:u w:val="single"/>
              </w:rPr>
              <w:t>Note 18D: Grants</w:t>
            </w:r>
          </w:p>
        </w:tc>
        <w:tc>
          <w:tcPr>
            <w:tcW w:w="1235"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bookmarkEnd w:id="425"/>
      <w:tr w:rsidR="00735613" w:rsidTr="00735613">
        <w:trPr>
          <w:trHeight w:val="264"/>
        </w:trPr>
        <w:tc>
          <w:tcPr>
            <w:tcW w:w="628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Public sector</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Australian Government entities (related parties)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21,863</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35,657</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State and Territory Governments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14,764,549</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9,179,813</w:t>
            </w:r>
          </w:p>
        </w:tc>
      </w:tr>
      <w:tr w:rsidR="00735613" w:rsidTr="00735613">
        <w:trPr>
          <w:trHeight w:val="264"/>
        </w:trPr>
        <w:tc>
          <w:tcPr>
            <w:tcW w:w="628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Private sector</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Non-profit organisations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167,674</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246,514</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Multi-jurisdictional sector</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9,082,051</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6,688,342</w:t>
            </w:r>
          </w:p>
        </w:tc>
      </w:tr>
      <w:tr w:rsidR="00735613" w:rsidTr="00735613">
        <w:trPr>
          <w:trHeight w:val="264"/>
        </w:trPr>
        <w:tc>
          <w:tcPr>
            <w:tcW w:w="6286" w:type="dxa"/>
            <w:tcBorders>
              <w:top w:val="single" w:sz="4" w:space="0" w:color="D9D9D9"/>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Other</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373,959</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413,903</w:t>
            </w:r>
          </w:p>
        </w:tc>
      </w:tr>
      <w:tr w:rsidR="00735613" w:rsidTr="00735613">
        <w:trPr>
          <w:trHeight w:val="276"/>
        </w:trPr>
        <w:tc>
          <w:tcPr>
            <w:tcW w:w="628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grants</w:t>
            </w:r>
          </w:p>
        </w:tc>
        <w:tc>
          <w:tcPr>
            <w:tcW w:w="1235"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24,410,096</w:t>
            </w:r>
          </w:p>
        </w:tc>
        <w:tc>
          <w:tcPr>
            <w:tcW w:w="23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228"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16,564,229</w:t>
            </w:r>
          </w:p>
        </w:tc>
      </w:tr>
    </w:tbl>
    <w:p w:rsidR="00735613" w:rsidRDefault="00735613">
      <w:pPr>
        <w:pStyle w:val="GreyShadeTableBreak"/>
      </w:pPr>
      <w:r w:rsidRPr="0017638A">
        <w:rPr>
          <w:vertAlign w:val="superscript"/>
        </w:rPr>
        <w:t>1</w:t>
      </w:r>
      <w:r>
        <w:rPr>
          <w:vertAlign w:val="superscript"/>
        </w:rPr>
        <w:t xml:space="preserve"> </w:t>
      </w:r>
      <w:r>
        <w:t>Responsibility for the administration of assistance to families with children transferred to the Department of Social Services on 23 December 2014.</w:t>
      </w:r>
    </w:p>
    <w:p w:rsidR="00735613" w:rsidRPr="0017638A" w:rsidRDefault="00735613">
      <w:pPr>
        <w:pStyle w:val="GreyShadeTableBreak"/>
      </w:pPr>
      <w:r>
        <w:rPr>
          <w:vertAlign w:val="superscript"/>
        </w:rPr>
        <w:t>2</w:t>
      </w:r>
      <w:r w:rsidRPr="0017638A">
        <w:rPr>
          <w:vertAlign w:val="superscript"/>
        </w:rPr>
        <w:t xml:space="preserve"> </w:t>
      </w:r>
      <w:r>
        <w:t xml:space="preserve">Responsibility for the administration of vocational and industry training transferred from the Department of Industry and Science on 23 December 2014. </w:t>
      </w:r>
    </w:p>
    <w:p w:rsidR="00735613" w:rsidRDefault="00735613">
      <w:pPr>
        <w:pStyle w:val="GreyShadeTableBreak"/>
      </w:pPr>
    </w:p>
    <w:p w:rsidR="00735613" w:rsidRDefault="00735613">
      <w:pPr>
        <w:pStyle w:val="GreyShadeTableBreak"/>
      </w:pPr>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single" w:sz="4" w:space="0" w:color="D9D9D9"/>
              <w:left w:val="nil"/>
              <w:bottom w:val="single" w:sz="4" w:space="0" w:color="D9D9D9"/>
              <w:right w:val="nil"/>
            </w:tcBorders>
            <w:shd w:val="clear" w:color="000000" w:fill="D9D9D9"/>
            <w:noWrap/>
            <w:hideMark/>
          </w:tcPr>
          <w:p w:rsidR="00735613" w:rsidRDefault="00735613">
            <w:pPr>
              <w:rPr>
                <w:rFonts w:cs="Arial"/>
                <w:b/>
                <w:bCs/>
                <w:szCs w:val="18"/>
                <w:u w:val="single"/>
              </w:rPr>
            </w:pPr>
            <w:bookmarkStart w:id="426" w:name="Note_AFNTABLE1" w:colFirst="0" w:colLast="0"/>
            <w:r>
              <w:rPr>
                <w:rFonts w:cs="Arial"/>
                <w:b/>
                <w:bCs/>
                <w:szCs w:val="18"/>
                <w:u w:val="single"/>
              </w:rPr>
              <w:t>Note 18E: Finance costs</w:t>
            </w:r>
          </w:p>
        </w:tc>
        <w:tc>
          <w:tcPr>
            <w:tcW w:w="1235"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bookmarkEnd w:id="426"/>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Concessional loan discount</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801,980</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592,890</w:t>
            </w:r>
          </w:p>
        </w:tc>
      </w:tr>
      <w:tr w:rsidR="00735613" w:rsidTr="00735613">
        <w:trPr>
          <w:trHeight w:val="276"/>
        </w:trPr>
        <w:tc>
          <w:tcPr>
            <w:tcW w:w="628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finance costs</w:t>
            </w:r>
          </w:p>
        </w:tc>
        <w:tc>
          <w:tcPr>
            <w:tcW w:w="1235"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801,980</w:t>
            </w:r>
          </w:p>
        </w:tc>
        <w:tc>
          <w:tcPr>
            <w:tcW w:w="23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228"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592,890</w:t>
            </w:r>
          </w:p>
        </w:tc>
      </w:tr>
    </w:tbl>
    <w:p w:rsidR="00735613" w:rsidRDefault="00735613">
      <w:pPr>
        <w:pStyle w:val="GreyShadeTableBreak"/>
      </w:pPr>
      <w:bookmarkStart w:id="427" w:name="RANGE!D7:D10"/>
      <w:bookmarkStart w:id="428" w:name="RANGE!D7:G11"/>
      <w:bookmarkEnd w:id="427"/>
      <w:bookmarkEnd w:id="428"/>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single" w:sz="4" w:space="0" w:color="D9D9D9"/>
              <w:left w:val="nil"/>
              <w:bottom w:val="single" w:sz="4" w:space="0" w:color="D9D9D9"/>
              <w:right w:val="nil"/>
            </w:tcBorders>
            <w:shd w:val="clear" w:color="000000" w:fill="D9D9D9"/>
            <w:noWrap/>
            <w:hideMark/>
          </w:tcPr>
          <w:p w:rsidR="00735613" w:rsidRDefault="00735613">
            <w:pPr>
              <w:rPr>
                <w:rFonts w:cs="Arial"/>
                <w:b/>
                <w:bCs/>
                <w:szCs w:val="18"/>
                <w:u w:val="single"/>
              </w:rPr>
            </w:pPr>
            <w:bookmarkStart w:id="429" w:name="Note_AWDTABLE1" w:colFirst="0" w:colLast="0"/>
            <w:r>
              <w:rPr>
                <w:rFonts w:cs="Arial"/>
                <w:b/>
                <w:bCs/>
                <w:szCs w:val="18"/>
                <w:u w:val="single"/>
              </w:rPr>
              <w:t>Note 18F: Write-down and impairment of assets</w:t>
            </w:r>
          </w:p>
        </w:tc>
        <w:tc>
          <w:tcPr>
            <w:tcW w:w="1235"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bookmarkEnd w:id="429"/>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Impairment of personal benefits receivable</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19,206</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Impairment of Higher Education Superannuation Programme</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57,750</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Write-down of other receivables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477</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462</w:t>
            </w:r>
          </w:p>
        </w:tc>
      </w:tr>
      <w:tr w:rsidR="00735613" w:rsidTr="00735613">
        <w:trPr>
          <w:trHeight w:val="264"/>
        </w:trPr>
        <w:tc>
          <w:tcPr>
            <w:tcW w:w="6286" w:type="dxa"/>
            <w:tcBorders>
              <w:top w:val="single" w:sz="4" w:space="0" w:color="D9D9D9"/>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Impairment of goods and services and other receivables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6,554</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2,728</w:t>
            </w:r>
          </w:p>
        </w:tc>
      </w:tr>
      <w:tr w:rsidR="00735613" w:rsidTr="00735613">
        <w:trPr>
          <w:trHeight w:val="276"/>
        </w:trPr>
        <w:tc>
          <w:tcPr>
            <w:tcW w:w="628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write-down and impairment of assets</w:t>
            </w:r>
          </w:p>
        </w:tc>
        <w:tc>
          <w:tcPr>
            <w:tcW w:w="1235"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26,237</w:t>
            </w:r>
          </w:p>
        </w:tc>
        <w:tc>
          <w:tcPr>
            <w:tcW w:w="23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228"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60,940</w:t>
            </w:r>
          </w:p>
        </w:tc>
      </w:tr>
    </w:tbl>
    <w:p w:rsidR="00735613" w:rsidRDefault="00735613" w:rsidP="00735613">
      <w:pPr>
        <w:pStyle w:val="GreyShadeTableBreak"/>
      </w:pPr>
      <w:bookmarkStart w:id="430" w:name="RANGE!D7:D12"/>
      <w:bookmarkEnd w:id="430"/>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40"/>
        </w:trPr>
        <w:tc>
          <w:tcPr>
            <w:tcW w:w="628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cs="Arial"/>
                <w:sz w:val="16"/>
                <w:szCs w:val="16"/>
              </w:rPr>
            </w:pPr>
            <w:bookmarkStart w:id="431" w:name="Note_ACBTABLE1" w:colFirst="0" w:colLast="0"/>
            <w:r>
              <w:rPr>
                <w:rFonts w:cs="Arial"/>
                <w:sz w:val="16"/>
                <w:szCs w:val="16"/>
              </w:rPr>
              <w:t> </w:t>
            </w:r>
          </w:p>
        </w:tc>
        <w:tc>
          <w:tcPr>
            <w:tcW w:w="1235" w:type="dxa"/>
            <w:tcBorders>
              <w:top w:val="single" w:sz="4" w:space="0" w:color="D9D9D9"/>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w:t>
            </w:r>
          </w:p>
        </w:tc>
      </w:tr>
      <w:bookmarkEnd w:id="431"/>
      <w:tr w:rsidR="00735613" w:rsidTr="00735613">
        <w:trPr>
          <w:trHeight w:val="240"/>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35"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2014</w:t>
            </w:r>
          </w:p>
        </w:tc>
      </w:tr>
      <w:tr w:rsidR="00735613" w:rsidTr="00735613">
        <w:trPr>
          <w:trHeight w:val="240"/>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35"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6286" w:type="dxa"/>
            <w:tcBorders>
              <w:top w:val="nil"/>
              <w:left w:val="nil"/>
              <w:bottom w:val="nil"/>
              <w:right w:val="nil"/>
            </w:tcBorders>
            <w:shd w:val="clear" w:color="000000" w:fill="D9D9D9"/>
            <w:noWrap/>
            <w:hideMark/>
          </w:tcPr>
          <w:p w:rsidR="00735613" w:rsidRDefault="00735613">
            <w:pPr>
              <w:rPr>
                <w:rFonts w:cs="Arial"/>
                <w:b/>
                <w:bCs/>
                <w:szCs w:val="18"/>
                <w:u w:val="single"/>
              </w:rPr>
            </w:pPr>
            <w:r>
              <w:rPr>
                <w:rFonts w:cs="Arial"/>
                <w:b/>
                <w:bCs/>
                <w:szCs w:val="18"/>
                <w:u w:val="single"/>
              </w:rPr>
              <w:t>Note 18G: Payments to corporate Commonwealth entities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628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Australian Institute of Aboriginal and Torres Strait Islander Studies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13,370</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5,360</w:t>
            </w:r>
          </w:p>
        </w:tc>
      </w:tr>
      <w:tr w:rsidR="00735613" w:rsidTr="00735613">
        <w:trPr>
          <w:trHeight w:val="276"/>
        </w:trPr>
        <w:tc>
          <w:tcPr>
            <w:tcW w:w="628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payments to corporate Commonwealth entities</w:t>
            </w:r>
          </w:p>
        </w:tc>
        <w:tc>
          <w:tcPr>
            <w:tcW w:w="1235"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13,370</w:t>
            </w:r>
          </w:p>
        </w:tc>
        <w:tc>
          <w:tcPr>
            <w:tcW w:w="23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228"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5,360</w:t>
            </w:r>
          </w:p>
        </w:tc>
      </w:tr>
    </w:tbl>
    <w:p w:rsidR="00735613" w:rsidRDefault="00735613" w:rsidP="00735613">
      <w:pPr>
        <w:pStyle w:val="GreyShadeTableBreak"/>
      </w:pPr>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40"/>
        </w:trPr>
        <w:tc>
          <w:tcPr>
            <w:tcW w:w="628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cs="Arial"/>
                <w:sz w:val="16"/>
                <w:szCs w:val="16"/>
              </w:rPr>
            </w:pPr>
            <w:bookmarkStart w:id="432" w:name="Note_FVLTABLE1" w:colFirst="0" w:colLast="0"/>
            <w:r>
              <w:rPr>
                <w:rFonts w:cs="Arial"/>
                <w:sz w:val="16"/>
                <w:szCs w:val="16"/>
              </w:rPr>
              <w:t> </w:t>
            </w:r>
          </w:p>
        </w:tc>
        <w:tc>
          <w:tcPr>
            <w:tcW w:w="1235" w:type="dxa"/>
            <w:tcBorders>
              <w:top w:val="single" w:sz="4" w:space="0" w:color="D9D9D9"/>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2015</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2014</w:t>
            </w:r>
          </w:p>
        </w:tc>
      </w:tr>
      <w:bookmarkEnd w:id="432"/>
      <w:tr w:rsidR="00735613" w:rsidTr="00735613">
        <w:trPr>
          <w:trHeight w:val="240"/>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35"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$'000</w:t>
            </w:r>
          </w:p>
        </w:tc>
      </w:tr>
      <w:tr w:rsidR="00735613" w:rsidTr="00735613">
        <w:trPr>
          <w:trHeight w:val="375"/>
        </w:trPr>
        <w:tc>
          <w:tcPr>
            <w:tcW w:w="6286" w:type="dxa"/>
            <w:tcBorders>
              <w:top w:val="nil"/>
              <w:left w:val="nil"/>
              <w:bottom w:val="nil"/>
              <w:right w:val="nil"/>
            </w:tcBorders>
            <w:shd w:val="clear" w:color="000000" w:fill="D9D9D9"/>
            <w:noWrap/>
            <w:hideMark/>
          </w:tcPr>
          <w:p w:rsidR="00735613" w:rsidRDefault="00735613">
            <w:pPr>
              <w:rPr>
                <w:rFonts w:cs="Arial"/>
                <w:b/>
                <w:bCs/>
                <w:szCs w:val="18"/>
                <w:u w:val="single"/>
              </w:rPr>
            </w:pPr>
            <w:bookmarkStart w:id="433" w:name="RANGE!D9:D11"/>
            <w:bookmarkStart w:id="434" w:name="RANGE!D9:G11"/>
            <w:bookmarkEnd w:id="433"/>
            <w:r>
              <w:rPr>
                <w:rFonts w:cs="Arial"/>
                <w:b/>
                <w:bCs/>
                <w:szCs w:val="18"/>
                <w:u w:val="single"/>
              </w:rPr>
              <w:t>Note 18H: Fair value losses</w:t>
            </w:r>
            <w:bookmarkEnd w:id="434"/>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585"/>
        </w:trPr>
        <w:tc>
          <w:tcPr>
            <w:tcW w:w="6286" w:type="dxa"/>
            <w:tcBorders>
              <w:top w:val="single" w:sz="4" w:space="0" w:color="D9D9D9"/>
              <w:left w:val="nil"/>
              <w:bottom w:val="single" w:sz="4" w:space="0" w:color="D9D9D9"/>
              <w:right w:val="nil"/>
            </w:tcBorders>
            <w:shd w:val="clear" w:color="000000" w:fill="D9D9D9"/>
            <w:vAlign w:val="bottom"/>
            <w:hideMark/>
          </w:tcPr>
          <w:p w:rsidR="00735613" w:rsidRDefault="00735613">
            <w:pPr>
              <w:rPr>
                <w:rFonts w:cs="Arial"/>
                <w:szCs w:val="18"/>
              </w:rPr>
            </w:pPr>
            <w:r>
              <w:rPr>
                <w:rFonts w:cs="Arial"/>
                <w:szCs w:val="18"/>
              </w:rPr>
              <w:t>Losses from remeasuring financial instruments held at fair value through profit or loss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702,638</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860,240</w:t>
            </w:r>
          </w:p>
        </w:tc>
      </w:tr>
      <w:tr w:rsidR="00735613" w:rsidTr="00735613">
        <w:trPr>
          <w:trHeight w:val="330"/>
        </w:trPr>
        <w:tc>
          <w:tcPr>
            <w:tcW w:w="628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fair value losses</w:t>
            </w:r>
          </w:p>
        </w:tc>
        <w:tc>
          <w:tcPr>
            <w:tcW w:w="1235"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702,638</w:t>
            </w:r>
          </w:p>
        </w:tc>
        <w:tc>
          <w:tcPr>
            <w:tcW w:w="23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228"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860,240</w:t>
            </w:r>
          </w:p>
        </w:tc>
      </w:tr>
    </w:tbl>
    <w:p w:rsidR="00735613" w:rsidRDefault="00735613" w:rsidP="00735613">
      <w:pPr>
        <w:pStyle w:val="GreyShadeTableBreak"/>
      </w:pPr>
    </w:p>
    <w:p w:rsidR="00735613" w:rsidRDefault="00735613" w:rsidP="00735613">
      <w:pPr>
        <w:pStyle w:val="GreyShadeTableBreak"/>
      </w:pPr>
    </w:p>
    <w:tbl>
      <w:tblPr>
        <w:tblW w:w="9087" w:type="dxa"/>
        <w:tblInd w:w="80" w:type="dxa"/>
        <w:tblLayout w:type="fixed"/>
        <w:tblLook w:val="04A0" w:firstRow="1" w:lastRow="0" w:firstColumn="1" w:lastColumn="0" w:noHBand="0" w:noVBand="1"/>
      </w:tblPr>
      <w:tblGrid>
        <w:gridCol w:w="6350"/>
        <w:gridCol w:w="1251"/>
        <w:gridCol w:w="239"/>
        <w:gridCol w:w="1247"/>
      </w:tblGrid>
      <w:tr w:rsidR="00735613" w:rsidTr="00735613">
        <w:trPr>
          <w:trHeight w:val="255"/>
        </w:trPr>
        <w:tc>
          <w:tcPr>
            <w:tcW w:w="6350" w:type="dxa"/>
            <w:tcBorders>
              <w:top w:val="nil"/>
              <w:left w:val="nil"/>
              <w:bottom w:val="nil"/>
              <w:right w:val="nil"/>
            </w:tcBorders>
            <w:shd w:val="clear" w:color="000000" w:fill="D9D9D9"/>
            <w:noWrap/>
            <w:hideMark/>
          </w:tcPr>
          <w:p w:rsidR="00735613" w:rsidRDefault="00735613">
            <w:pPr>
              <w:rPr>
                <w:rFonts w:cs="Calibri"/>
                <w:b/>
                <w:bCs/>
                <w:szCs w:val="18"/>
                <w:u w:val="single"/>
              </w:rPr>
            </w:pPr>
            <w:r>
              <w:rPr>
                <w:rFonts w:cs="Calibri"/>
                <w:b/>
                <w:bCs/>
                <w:szCs w:val="18"/>
                <w:u w:val="single"/>
              </w:rPr>
              <w:t>Note 18I: Other Expenses</w:t>
            </w:r>
          </w:p>
        </w:tc>
        <w:tc>
          <w:tcPr>
            <w:tcW w:w="125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9"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47"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szCs w:val="18"/>
              </w:rPr>
            </w:pPr>
            <w:r>
              <w:rPr>
                <w:rFonts w:cs="Calibri"/>
                <w:szCs w:val="18"/>
              </w:rPr>
              <w:t> </w:t>
            </w:r>
          </w:p>
        </w:tc>
      </w:tr>
      <w:tr w:rsidR="00735613" w:rsidTr="00735613">
        <w:trPr>
          <w:trHeight w:val="255"/>
        </w:trPr>
        <w:tc>
          <w:tcPr>
            <w:tcW w:w="6350" w:type="dxa"/>
            <w:tcBorders>
              <w:top w:val="nil"/>
              <w:left w:val="nil"/>
              <w:bottom w:val="single" w:sz="4" w:space="0" w:color="D9D9D9"/>
              <w:right w:val="nil"/>
            </w:tcBorders>
            <w:shd w:val="clear" w:color="000000" w:fill="D9D9D9"/>
            <w:noWrap/>
            <w:vAlign w:val="bottom"/>
            <w:hideMark/>
          </w:tcPr>
          <w:p w:rsidR="00735613" w:rsidRDefault="00735613">
            <w:pPr>
              <w:rPr>
                <w:rFonts w:cs="Calibri"/>
                <w:szCs w:val="18"/>
              </w:rPr>
            </w:pPr>
            <w:r>
              <w:rPr>
                <w:rFonts w:cs="Calibri"/>
                <w:szCs w:val="18"/>
              </w:rPr>
              <w:t>Act of Grace payments</w:t>
            </w:r>
          </w:p>
        </w:tc>
        <w:tc>
          <w:tcPr>
            <w:tcW w:w="1251"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b/>
                <w:bCs/>
                <w:szCs w:val="18"/>
              </w:rPr>
            </w:pPr>
            <w:r>
              <w:rPr>
                <w:rFonts w:cs="Calibri"/>
                <w:b/>
                <w:bCs/>
                <w:szCs w:val="18"/>
              </w:rPr>
              <w:t>57</w:t>
            </w:r>
          </w:p>
        </w:tc>
        <w:tc>
          <w:tcPr>
            <w:tcW w:w="239"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47"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szCs w:val="18"/>
              </w:rPr>
            </w:pPr>
            <w:r>
              <w:rPr>
                <w:rFonts w:cs="Calibri"/>
                <w:szCs w:val="18"/>
              </w:rPr>
              <w:t>-</w:t>
            </w:r>
          </w:p>
        </w:tc>
      </w:tr>
      <w:tr w:rsidR="00735613" w:rsidTr="00735613">
        <w:trPr>
          <w:trHeight w:val="270"/>
        </w:trPr>
        <w:tc>
          <w:tcPr>
            <w:tcW w:w="6350"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Calibri"/>
                <w:b/>
                <w:bCs/>
                <w:szCs w:val="18"/>
              </w:rPr>
            </w:pPr>
            <w:r>
              <w:rPr>
                <w:rFonts w:cs="Calibri"/>
                <w:b/>
                <w:bCs/>
                <w:szCs w:val="18"/>
              </w:rPr>
              <w:t>Total other expenses</w:t>
            </w:r>
          </w:p>
        </w:tc>
        <w:tc>
          <w:tcPr>
            <w:tcW w:w="1251"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57</w:t>
            </w:r>
          </w:p>
        </w:tc>
        <w:tc>
          <w:tcPr>
            <w:tcW w:w="239" w:type="dxa"/>
            <w:tcBorders>
              <w:top w:val="single" w:sz="4" w:space="0" w:color="D9D9D9"/>
              <w:left w:val="nil"/>
              <w:bottom w:val="single" w:sz="24" w:space="0" w:color="D8D8D8"/>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47"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Calibri"/>
                <w:szCs w:val="18"/>
              </w:rPr>
            </w:pPr>
            <w:r>
              <w:rPr>
                <w:rFonts w:cs="Calibri"/>
                <w:szCs w:val="18"/>
              </w:rPr>
              <w:t>-</w:t>
            </w:r>
          </w:p>
        </w:tc>
      </w:tr>
    </w:tbl>
    <w:p w:rsidR="00735613" w:rsidRDefault="00735613">
      <w:pPr>
        <w:spacing w:line="240" w:lineRule="auto"/>
      </w:pPr>
      <w:r>
        <w:br w:type="page"/>
      </w:r>
    </w:p>
    <w:p w:rsidR="00735613" w:rsidRDefault="00735613" w:rsidP="00735613">
      <w:pPr>
        <w:pStyle w:val="NotesHeading-Level1GreyShade"/>
        <w:numPr>
          <w:ilvl w:val="0"/>
          <w:numId w:val="9"/>
        </w:numPr>
      </w:pPr>
      <w:bookmarkStart w:id="435" w:name="_Toc420422388"/>
      <w:r>
        <w:t>Administered Income</w:t>
      </w:r>
      <w:bookmarkEnd w:id="435"/>
    </w:p>
    <w:p w:rsidR="00735613" w:rsidRDefault="00735613">
      <w:pPr>
        <w:pStyle w:val="GreyShadeTableBreak"/>
      </w:pPr>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40"/>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bookmarkStart w:id="436" w:name="Note_AOTTABLE1" w:colFirst="0" w:colLast="0"/>
            <w:r>
              <w:rPr>
                <w:rFonts w:ascii="Arial" w:hAnsi="Arial" w:cs="Arial"/>
                <w:sz w:val="16"/>
                <w:szCs w:val="16"/>
              </w:rPr>
              <w:t> </w:t>
            </w:r>
          </w:p>
        </w:tc>
        <w:tc>
          <w:tcPr>
            <w:tcW w:w="1235"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2014</w:t>
            </w:r>
          </w:p>
        </w:tc>
      </w:tr>
      <w:bookmarkEnd w:id="436"/>
      <w:tr w:rsidR="00735613" w:rsidTr="00735613">
        <w:trPr>
          <w:trHeight w:val="240"/>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628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Taxation revenue</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noWrap/>
            <w:hideMark/>
          </w:tcPr>
          <w:p w:rsidR="00735613" w:rsidRDefault="00735613">
            <w:pPr>
              <w:rPr>
                <w:rFonts w:cs="Arial"/>
                <w:b/>
                <w:bCs/>
                <w:szCs w:val="18"/>
                <w:u w:val="single"/>
              </w:rPr>
            </w:pPr>
            <w:r>
              <w:rPr>
                <w:rFonts w:cs="Arial"/>
                <w:b/>
                <w:bCs/>
                <w:szCs w:val="18"/>
                <w:u w:val="single"/>
              </w:rPr>
              <w:t>Note 19A: Other taxes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Levies (other than agricultural)</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8,576</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6,538</w:t>
            </w:r>
          </w:p>
        </w:tc>
      </w:tr>
      <w:tr w:rsidR="00735613" w:rsidTr="00735613">
        <w:trPr>
          <w:trHeight w:val="276"/>
        </w:trPr>
        <w:tc>
          <w:tcPr>
            <w:tcW w:w="628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other taxes</w:t>
            </w:r>
          </w:p>
        </w:tc>
        <w:tc>
          <w:tcPr>
            <w:tcW w:w="1235"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8,576</w:t>
            </w:r>
          </w:p>
        </w:tc>
        <w:tc>
          <w:tcPr>
            <w:tcW w:w="23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228"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6,538</w:t>
            </w:r>
          </w:p>
        </w:tc>
      </w:tr>
    </w:tbl>
    <w:p w:rsidR="00735613" w:rsidRDefault="00735613">
      <w:pPr>
        <w:pStyle w:val="GreyShadeTableBreak"/>
      </w:pPr>
    </w:p>
    <w:p w:rsidR="00735613" w:rsidRDefault="00735613">
      <w:pPr>
        <w:pStyle w:val="GreyShadeTableBreak"/>
      </w:pPr>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bookmarkStart w:id="437" w:name="Note_AINTABLE1" w:colFirst="0" w:colLast="0"/>
            <w:r>
              <w:rPr>
                <w:rFonts w:cs="Arial"/>
                <w:b/>
                <w:bCs/>
                <w:szCs w:val="18"/>
              </w:rPr>
              <w:t>Non-taxation revenue</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bookmarkEnd w:id="437"/>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2014</w:t>
            </w:r>
          </w:p>
        </w:tc>
      </w:tr>
      <w:tr w:rsidR="00735613" w:rsidTr="00735613">
        <w:trPr>
          <w:trHeight w:val="264"/>
        </w:trPr>
        <w:tc>
          <w:tcPr>
            <w:tcW w:w="6286" w:type="dxa"/>
            <w:tcBorders>
              <w:top w:val="nil"/>
              <w:left w:val="nil"/>
              <w:bottom w:val="nil"/>
              <w:right w:val="nil"/>
            </w:tcBorders>
            <w:shd w:val="clear" w:color="000000" w:fill="D9D9D9"/>
            <w:noWrap/>
            <w:hideMark/>
          </w:tcPr>
          <w:p w:rsidR="00735613" w:rsidRDefault="00735613">
            <w:pPr>
              <w:rPr>
                <w:rFonts w:cs="Arial"/>
                <w:b/>
                <w:bCs/>
                <w:szCs w:val="18"/>
                <w:u w:val="single"/>
              </w:rPr>
            </w:pPr>
            <w:r>
              <w:rPr>
                <w:rFonts w:cs="Arial"/>
                <w:b/>
                <w:bCs/>
                <w:szCs w:val="18"/>
                <w:u w:val="single"/>
              </w:rPr>
              <w:t>Note 19B: Interest</w:t>
            </w:r>
          </w:p>
        </w:tc>
        <w:tc>
          <w:tcPr>
            <w:tcW w:w="1235"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Other sources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337</w:t>
            </w:r>
          </w:p>
        </w:tc>
        <w:tc>
          <w:tcPr>
            <w:tcW w:w="236" w:type="dxa"/>
            <w:tcBorders>
              <w:top w:val="nil"/>
              <w:left w:val="nil"/>
              <w:bottom w:val="nil"/>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1</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Loans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582,797</w:t>
            </w:r>
          </w:p>
        </w:tc>
        <w:tc>
          <w:tcPr>
            <w:tcW w:w="236" w:type="dxa"/>
            <w:tcBorders>
              <w:top w:val="nil"/>
              <w:left w:val="nil"/>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506,839</w:t>
            </w:r>
          </w:p>
        </w:tc>
      </w:tr>
      <w:tr w:rsidR="00735613" w:rsidTr="00735613">
        <w:trPr>
          <w:trHeight w:val="276"/>
        </w:trPr>
        <w:tc>
          <w:tcPr>
            <w:tcW w:w="628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interest</w:t>
            </w:r>
          </w:p>
        </w:tc>
        <w:tc>
          <w:tcPr>
            <w:tcW w:w="1235"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583,134</w:t>
            </w:r>
          </w:p>
        </w:tc>
        <w:tc>
          <w:tcPr>
            <w:tcW w:w="236" w:type="dxa"/>
            <w:tcBorders>
              <w:top w:val="nil"/>
              <w:left w:val="nil"/>
              <w:bottom w:val="single" w:sz="24" w:space="0" w:color="D8D8D8"/>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1228"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506,840</w:t>
            </w:r>
          </w:p>
        </w:tc>
      </w:tr>
    </w:tbl>
    <w:p w:rsidR="00735613" w:rsidRDefault="00735613">
      <w:pPr>
        <w:pStyle w:val="GreyShadeTableBreak"/>
      </w:pPr>
      <w:bookmarkStart w:id="438" w:name="RANGE!D7:G13"/>
      <w:bookmarkStart w:id="439" w:name="RANGE!D6:G11"/>
      <w:bookmarkEnd w:id="438"/>
      <w:bookmarkEnd w:id="439"/>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000000" w:fill="D9D9D9"/>
            <w:noWrap/>
            <w:hideMark/>
          </w:tcPr>
          <w:p w:rsidR="00735613" w:rsidRDefault="00735613">
            <w:pPr>
              <w:rPr>
                <w:rFonts w:cs="Arial"/>
                <w:b/>
                <w:bCs/>
                <w:szCs w:val="18"/>
                <w:u w:val="single"/>
              </w:rPr>
            </w:pPr>
            <w:bookmarkStart w:id="440" w:name="Note_AORTABLE1" w:colFirst="0" w:colLast="0"/>
            <w:r>
              <w:rPr>
                <w:rFonts w:cs="Arial"/>
                <w:b/>
                <w:bCs/>
                <w:szCs w:val="18"/>
                <w:u w:val="single"/>
              </w:rPr>
              <w:t>Note 19C: Other revenue</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bookmarkEnd w:id="440"/>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Education investment fund special account</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217,413</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234,207</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Other</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73,772</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48,865</w:t>
            </w:r>
          </w:p>
        </w:tc>
      </w:tr>
      <w:tr w:rsidR="00735613" w:rsidTr="00735613">
        <w:trPr>
          <w:trHeight w:val="276"/>
        </w:trPr>
        <w:tc>
          <w:tcPr>
            <w:tcW w:w="628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other revenue</w:t>
            </w:r>
          </w:p>
        </w:tc>
        <w:tc>
          <w:tcPr>
            <w:tcW w:w="1235"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291,185</w:t>
            </w:r>
          </w:p>
        </w:tc>
        <w:tc>
          <w:tcPr>
            <w:tcW w:w="23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228"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283,072</w:t>
            </w:r>
          </w:p>
        </w:tc>
      </w:tr>
    </w:tbl>
    <w:p w:rsidR="00735613" w:rsidRDefault="00735613">
      <w:pPr>
        <w:pStyle w:val="GreyShadeTableBreak"/>
      </w:pPr>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40"/>
        </w:trPr>
        <w:tc>
          <w:tcPr>
            <w:tcW w:w="628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bookmarkStart w:id="441" w:name="RANGE!D7:G8"/>
            <w:bookmarkStart w:id="442" w:name="Note_AFVTABLE1" w:colFirst="0" w:colLast="0"/>
            <w:r>
              <w:rPr>
                <w:rFonts w:cs="Arial"/>
                <w:b/>
                <w:bCs/>
                <w:szCs w:val="18"/>
              </w:rPr>
              <w:t>Gains</w:t>
            </w:r>
            <w:bookmarkEnd w:id="441"/>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w:t>
            </w:r>
          </w:p>
        </w:tc>
      </w:tr>
      <w:bookmarkEnd w:id="442"/>
      <w:tr w:rsidR="00735613" w:rsidTr="00735613">
        <w:trPr>
          <w:trHeight w:val="240"/>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w:t>
            </w:r>
          </w:p>
        </w:tc>
      </w:tr>
      <w:tr w:rsidR="00735613" w:rsidTr="00735613">
        <w:trPr>
          <w:trHeight w:val="240"/>
        </w:trPr>
        <w:tc>
          <w:tcPr>
            <w:tcW w:w="6286" w:type="dxa"/>
            <w:tcBorders>
              <w:top w:val="nil"/>
              <w:left w:val="nil"/>
              <w:bottom w:val="nil"/>
              <w:right w:val="nil"/>
            </w:tcBorders>
            <w:shd w:val="clear" w:color="000000" w:fill="D9D9D9"/>
            <w:noWrap/>
            <w:hideMark/>
          </w:tcPr>
          <w:p w:rsidR="00735613" w:rsidRDefault="00735613">
            <w:pPr>
              <w:rPr>
                <w:rFonts w:cs="Arial"/>
                <w:b/>
                <w:bCs/>
                <w:szCs w:val="18"/>
                <w:u w:val="single"/>
              </w:rPr>
            </w:pPr>
            <w:r>
              <w:rPr>
                <w:rFonts w:cs="Arial"/>
                <w:b/>
                <w:bCs/>
                <w:szCs w:val="18"/>
                <w:u w:val="single"/>
              </w:rPr>
              <w:t>Note 19D: Fair value gains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40"/>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40"/>
        </w:trPr>
        <w:tc>
          <w:tcPr>
            <w:tcW w:w="6286" w:type="dxa"/>
            <w:tcBorders>
              <w:top w:val="nil"/>
              <w:left w:val="nil"/>
              <w:bottom w:val="single" w:sz="4" w:space="0" w:color="D9D9D9"/>
              <w:right w:val="nil"/>
            </w:tcBorders>
            <w:shd w:val="clear" w:color="000000" w:fill="D9D9D9"/>
            <w:vAlign w:val="bottom"/>
            <w:hideMark/>
          </w:tcPr>
          <w:p w:rsidR="00735613" w:rsidRDefault="00735613">
            <w:pPr>
              <w:rPr>
                <w:rFonts w:cs="Arial"/>
                <w:szCs w:val="18"/>
              </w:rPr>
            </w:pPr>
            <w:r>
              <w:rPr>
                <w:rFonts w:cs="Arial"/>
                <w:szCs w:val="18"/>
              </w:rPr>
              <w:t>Unfunded University Superannuation</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96,221</w:t>
            </w:r>
          </w:p>
        </w:tc>
      </w:tr>
      <w:tr w:rsidR="00735613" w:rsidTr="00735613">
        <w:trPr>
          <w:trHeight w:val="240"/>
        </w:trPr>
        <w:tc>
          <w:tcPr>
            <w:tcW w:w="628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fair value gains</w:t>
            </w:r>
          </w:p>
        </w:tc>
        <w:tc>
          <w:tcPr>
            <w:tcW w:w="1235"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228"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96,221</w:t>
            </w:r>
          </w:p>
        </w:tc>
      </w:tr>
    </w:tbl>
    <w:p w:rsidR="00735613" w:rsidRDefault="00735613">
      <w:pPr>
        <w:pStyle w:val="GreyShadeTableBreak"/>
      </w:pPr>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000000" w:fill="D9D9D9"/>
            <w:noWrap/>
            <w:hideMark/>
          </w:tcPr>
          <w:p w:rsidR="00735613" w:rsidRDefault="00735613">
            <w:pPr>
              <w:rPr>
                <w:rFonts w:cs="Arial"/>
                <w:b/>
                <w:bCs/>
                <w:szCs w:val="18"/>
                <w:u w:val="single"/>
              </w:rPr>
            </w:pPr>
            <w:bookmarkStart w:id="443" w:name="Note_ARPTABLE1" w:colFirst="0" w:colLast="0"/>
            <w:r>
              <w:rPr>
                <w:rFonts w:cs="Arial"/>
                <w:b/>
                <w:bCs/>
                <w:szCs w:val="18"/>
                <w:u w:val="single"/>
              </w:rPr>
              <w:t>Note 19E: Reversals of previous asset write-downs and impairment</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bookmarkEnd w:id="443"/>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Reversal of impairment losses for the Higher Education Superannuation Programme</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1,200,266</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Reversal of impairment losses for personal benefits receivables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9,331</w:t>
            </w:r>
          </w:p>
        </w:tc>
      </w:tr>
      <w:tr w:rsidR="00735613" w:rsidTr="00735613">
        <w:trPr>
          <w:trHeight w:val="276"/>
        </w:trPr>
        <w:tc>
          <w:tcPr>
            <w:tcW w:w="628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reversals of previous asset write-downs and impairments</w:t>
            </w:r>
          </w:p>
        </w:tc>
        <w:tc>
          <w:tcPr>
            <w:tcW w:w="1235"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1,200,266</w:t>
            </w:r>
          </w:p>
        </w:tc>
        <w:tc>
          <w:tcPr>
            <w:tcW w:w="23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228"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9,331</w:t>
            </w:r>
          </w:p>
        </w:tc>
      </w:tr>
    </w:tbl>
    <w:p w:rsidR="00735613" w:rsidRDefault="00735613">
      <w:pPr>
        <w:pStyle w:val="GreyShadeTableBreak"/>
      </w:pPr>
    </w:p>
    <w:p w:rsidR="00735613" w:rsidRDefault="00735613">
      <w:pPr>
        <w:spacing w:line="240" w:lineRule="auto"/>
        <w:rPr>
          <w:rFonts w:asciiTheme="minorHAnsi" w:hAnsiTheme="minorHAnsi" w:cstheme="minorHAnsi"/>
          <w:b/>
          <w:sz w:val="20"/>
        </w:rPr>
      </w:pPr>
      <w:r>
        <w:br w:type="page"/>
      </w:r>
    </w:p>
    <w:p w:rsidR="00735613" w:rsidRDefault="00735613" w:rsidP="00735613">
      <w:pPr>
        <w:pStyle w:val="NotesHeading-Level1GreyShade"/>
        <w:numPr>
          <w:ilvl w:val="0"/>
          <w:numId w:val="9"/>
        </w:numPr>
      </w:pPr>
      <w:bookmarkStart w:id="444" w:name="_Toc420422389"/>
      <w:r>
        <w:t>Administered Fair Value Measurement</w:t>
      </w:r>
      <w:bookmarkEnd w:id="444"/>
    </w:p>
    <w:tbl>
      <w:tblPr>
        <w:tblW w:w="9087" w:type="dxa"/>
        <w:tblInd w:w="80" w:type="dxa"/>
        <w:tblLayout w:type="fixed"/>
        <w:tblLook w:val="04A0" w:firstRow="1" w:lastRow="0" w:firstColumn="1" w:lastColumn="0" w:noHBand="0" w:noVBand="1"/>
      </w:tblPr>
      <w:tblGrid>
        <w:gridCol w:w="2026"/>
        <w:gridCol w:w="1115"/>
        <w:gridCol w:w="1116"/>
        <w:gridCol w:w="932"/>
        <w:gridCol w:w="1193"/>
        <w:gridCol w:w="768"/>
        <w:gridCol w:w="988"/>
        <w:gridCol w:w="949"/>
      </w:tblGrid>
      <w:tr w:rsidR="00735613" w:rsidTr="00735613">
        <w:trPr>
          <w:trHeight w:val="240"/>
        </w:trPr>
        <w:tc>
          <w:tcPr>
            <w:tcW w:w="8990" w:type="dxa"/>
            <w:gridSpan w:val="8"/>
            <w:tcBorders>
              <w:top w:val="nil"/>
              <w:left w:val="nil"/>
              <w:bottom w:val="nil"/>
              <w:right w:val="nil"/>
            </w:tcBorders>
            <w:shd w:val="clear" w:color="000000" w:fill="D9D9D9"/>
            <w:vAlign w:val="bottom"/>
            <w:hideMark/>
          </w:tcPr>
          <w:p w:rsidR="00735613" w:rsidRDefault="00735613">
            <w:pPr>
              <w:rPr>
                <w:rFonts w:cs="Arial"/>
                <w:szCs w:val="18"/>
              </w:rPr>
            </w:pPr>
            <w:bookmarkStart w:id="445" w:name="RANGE!D7:K15"/>
            <w:bookmarkStart w:id="446" w:name="Note_AVATABLE1" w:colFirst="0" w:colLast="0"/>
            <w:r>
              <w:rPr>
                <w:rFonts w:cs="Arial"/>
                <w:szCs w:val="18"/>
              </w:rPr>
              <w:t>The following tables provide an analysis of assets and liabilities that are measured at fair value.</w:t>
            </w:r>
            <w:bookmarkEnd w:id="445"/>
          </w:p>
        </w:tc>
      </w:tr>
      <w:bookmarkEnd w:id="446"/>
      <w:tr w:rsidR="00735613" w:rsidTr="00735613">
        <w:trPr>
          <w:trHeight w:val="240"/>
        </w:trPr>
        <w:tc>
          <w:tcPr>
            <w:tcW w:w="8990" w:type="dxa"/>
            <w:gridSpan w:val="8"/>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The different levels of the fair value hierarchy are defined below.</w:t>
            </w:r>
          </w:p>
        </w:tc>
      </w:tr>
      <w:tr w:rsidR="00735613" w:rsidTr="00735613">
        <w:trPr>
          <w:trHeight w:val="240"/>
        </w:trPr>
        <w:tc>
          <w:tcPr>
            <w:tcW w:w="2005"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103"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104"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922"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180"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760"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97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939"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r>
      <w:tr w:rsidR="00735613" w:rsidTr="00735613">
        <w:trPr>
          <w:trHeight w:val="435"/>
        </w:trPr>
        <w:tc>
          <w:tcPr>
            <w:tcW w:w="8990" w:type="dxa"/>
            <w:gridSpan w:val="8"/>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Level 1: Quoted prices (unadjusted) in active markets for identical assets or liabilities that the department can access at measurement date.</w:t>
            </w:r>
          </w:p>
        </w:tc>
      </w:tr>
      <w:tr w:rsidR="00735613" w:rsidTr="00735613">
        <w:trPr>
          <w:trHeight w:val="240"/>
        </w:trPr>
        <w:tc>
          <w:tcPr>
            <w:tcW w:w="8990" w:type="dxa"/>
            <w:gridSpan w:val="8"/>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Level 2: Inputs other than quoted prices included within Level 1 that are observable for the asset or liability, either directly or indirectly.</w:t>
            </w:r>
          </w:p>
        </w:tc>
      </w:tr>
      <w:tr w:rsidR="00735613" w:rsidTr="00735613">
        <w:trPr>
          <w:trHeight w:val="240"/>
        </w:trPr>
        <w:tc>
          <w:tcPr>
            <w:tcW w:w="8990" w:type="dxa"/>
            <w:gridSpan w:val="8"/>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Level 3: Unobservable inputs for the asset or liability.</w:t>
            </w:r>
          </w:p>
        </w:tc>
      </w:tr>
      <w:tr w:rsidR="00735613" w:rsidTr="00735613">
        <w:trPr>
          <w:trHeight w:val="240"/>
        </w:trPr>
        <w:tc>
          <w:tcPr>
            <w:tcW w:w="2005"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103"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 </w:t>
            </w:r>
          </w:p>
        </w:tc>
        <w:tc>
          <w:tcPr>
            <w:tcW w:w="1104"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 </w:t>
            </w:r>
          </w:p>
        </w:tc>
        <w:tc>
          <w:tcPr>
            <w:tcW w:w="922"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 </w:t>
            </w:r>
          </w:p>
        </w:tc>
        <w:tc>
          <w:tcPr>
            <w:tcW w:w="1180"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760"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977"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939"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w:t>
            </w:r>
          </w:p>
        </w:tc>
      </w:tr>
      <w:tr w:rsidR="00735613" w:rsidTr="00735613">
        <w:trPr>
          <w:trHeight w:val="240"/>
        </w:trPr>
        <w:tc>
          <w:tcPr>
            <w:tcW w:w="8990" w:type="dxa"/>
            <w:gridSpan w:val="8"/>
            <w:tcBorders>
              <w:top w:val="nil"/>
              <w:left w:val="nil"/>
              <w:bottom w:val="nil"/>
              <w:right w:val="nil"/>
            </w:tcBorders>
            <w:shd w:val="clear" w:color="000000" w:fill="D9D9D9"/>
            <w:noWrap/>
            <w:vAlign w:val="bottom"/>
            <w:hideMark/>
          </w:tcPr>
          <w:p w:rsidR="00735613" w:rsidRDefault="00735613">
            <w:pPr>
              <w:rPr>
                <w:rFonts w:cs="Arial"/>
                <w:b/>
                <w:bCs/>
                <w:szCs w:val="18"/>
                <w:u w:val="single"/>
              </w:rPr>
            </w:pPr>
            <w:r>
              <w:rPr>
                <w:rFonts w:cs="Arial"/>
                <w:b/>
                <w:bCs/>
                <w:szCs w:val="18"/>
                <w:u w:val="single"/>
              </w:rPr>
              <w:t>Note 20A: Fair value measurements, valuation techniques and inputs used</w:t>
            </w:r>
          </w:p>
        </w:tc>
      </w:tr>
      <w:tr w:rsidR="00735613" w:rsidTr="00735613">
        <w:trPr>
          <w:trHeight w:val="260"/>
        </w:trPr>
        <w:tc>
          <w:tcPr>
            <w:tcW w:w="8990" w:type="dxa"/>
            <w:gridSpan w:val="8"/>
            <w:vMerge w:val="restart"/>
            <w:tcBorders>
              <w:top w:val="nil"/>
              <w:left w:val="nil"/>
              <w:bottom w:val="single" w:sz="4" w:space="0" w:color="000000"/>
              <w:right w:val="nil"/>
            </w:tcBorders>
            <w:shd w:val="clear" w:color="000000" w:fill="D9D9D9"/>
            <w:vAlign w:val="bottom"/>
            <w:hideMark/>
          </w:tcPr>
          <w:p w:rsidR="00735613" w:rsidRDefault="00735613">
            <w:pPr>
              <w:rPr>
                <w:rFonts w:cs="Arial"/>
                <w:b/>
                <w:bCs/>
                <w:szCs w:val="18"/>
              </w:rPr>
            </w:pPr>
            <w:r>
              <w:rPr>
                <w:rFonts w:cs="Arial"/>
                <w:b/>
                <w:bCs/>
                <w:szCs w:val="18"/>
              </w:rPr>
              <w:t>Fair value measurements at 30 June 2015 by hierarchy for assets and liabilities</w:t>
            </w:r>
          </w:p>
        </w:tc>
      </w:tr>
      <w:tr w:rsidR="00735613" w:rsidTr="00735613">
        <w:trPr>
          <w:trHeight w:val="260"/>
        </w:trPr>
        <w:tc>
          <w:tcPr>
            <w:tcW w:w="8990" w:type="dxa"/>
            <w:gridSpan w:val="8"/>
            <w:vMerge/>
            <w:tcBorders>
              <w:top w:val="nil"/>
              <w:left w:val="nil"/>
              <w:bottom w:val="single" w:sz="4" w:space="0" w:color="000000"/>
              <w:right w:val="nil"/>
            </w:tcBorders>
            <w:vAlign w:val="center"/>
            <w:hideMark/>
          </w:tcPr>
          <w:p w:rsidR="00735613" w:rsidRDefault="00735613">
            <w:pPr>
              <w:rPr>
                <w:rFonts w:cs="Arial"/>
                <w:b/>
                <w:bCs/>
                <w:szCs w:val="18"/>
              </w:rPr>
            </w:pPr>
          </w:p>
        </w:tc>
      </w:tr>
      <w:tr w:rsidR="00735613" w:rsidTr="00735613">
        <w:trPr>
          <w:trHeight w:val="579"/>
        </w:trPr>
        <w:tc>
          <w:tcPr>
            <w:tcW w:w="2005"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3129" w:type="dxa"/>
            <w:gridSpan w:val="3"/>
            <w:tcBorders>
              <w:top w:val="single" w:sz="4" w:space="0" w:color="auto"/>
              <w:left w:val="nil"/>
              <w:bottom w:val="single" w:sz="4" w:space="0" w:color="auto"/>
              <w:right w:val="single" w:sz="4" w:space="0" w:color="000000"/>
            </w:tcBorders>
            <w:shd w:val="clear" w:color="000000" w:fill="D9D9D9"/>
            <w:vAlign w:val="bottom"/>
            <w:hideMark/>
          </w:tcPr>
          <w:p w:rsidR="00735613" w:rsidRDefault="00735613">
            <w:pPr>
              <w:jc w:val="center"/>
              <w:rPr>
                <w:rFonts w:cs="Arial"/>
                <w:b/>
                <w:bCs/>
                <w:szCs w:val="18"/>
              </w:rPr>
            </w:pPr>
            <w:r>
              <w:rPr>
                <w:rFonts w:cs="Arial"/>
                <w:b/>
                <w:bCs/>
                <w:szCs w:val="18"/>
              </w:rPr>
              <w:t>Fair value measurements at the end of the reporting period using</w:t>
            </w:r>
          </w:p>
        </w:tc>
        <w:tc>
          <w:tcPr>
            <w:tcW w:w="3856" w:type="dxa"/>
            <w:gridSpan w:val="4"/>
            <w:tcBorders>
              <w:top w:val="single" w:sz="4" w:space="0" w:color="auto"/>
              <w:left w:val="nil"/>
              <w:bottom w:val="single" w:sz="4" w:space="0" w:color="auto"/>
              <w:right w:val="nil"/>
            </w:tcBorders>
            <w:shd w:val="clear" w:color="000000" w:fill="D9D9D9"/>
            <w:vAlign w:val="bottom"/>
            <w:hideMark/>
          </w:tcPr>
          <w:p w:rsidR="00735613" w:rsidRDefault="00735613">
            <w:pPr>
              <w:jc w:val="center"/>
              <w:rPr>
                <w:rFonts w:cs="Arial"/>
                <w:b/>
                <w:bCs/>
                <w:szCs w:val="18"/>
              </w:rPr>
            </w:pPr>
            <w:r>
              <w:rPr>
                <w:rFonts w:cs="Arial"/>
                <w:b/>
                <w:bCs/>
                <w:szCs w:val="18"/>
              </w:rPr>
              <w:t xml:space="preserve"> For Levels 2 and 3 fair value measurements</w:t>
            </w:r>
          </w:p>
        </w:tc>
      </w:tr>
      <w:tr w:rsidR="00735613" w:rsidTr="00735613">
        <w:trPr>
          <w:trHeight w:val="459"/>
        </w:trPr>
        <w:tc>
          <w:tcPr>
            <w:tcW w:w="2005"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103"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2015</w:t>
            </w:r>
          </w:p>
        </w:tc>
        <w:tc>
          <w:tcPr>
            <w:tcW w:w="1104"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2014</w:t>
            </w:r>
          </w:p>
        </w:tc>
        <w:tc>
          <w:tcPr>
            <w:tcW w:w="922" w:type="dxa"/>
            <w:vMerge w:val="restart"/>
            <w:tcBorders>
              <w:top w:val="nil"/>
              <w:left w:val="nil"/>
              <w:bottom w:val="single" w:sz="4" w:space="0" w:color="000000"/>
              <w:right w:val="single" w:sz="4" w:space="0" w:color="auto"/>
            </w:tcBorders>
            <w:shd w:val="clear" w:color="000000" w:fill="D9D9D9"/>
            <w:vAlign w:val="bottom"/>
            <w:hideMark/>
          </w:tcPr>
          <w:p w:rsidR="00735613" w:rsidRDefault="00735613">
            <w:pPr>
              <w:jc w:val="right"/>
              <w:rPr>
                <w:rFonts w:cs="Arial"/>
                <w:b/>
                <w:bCs/>
                <w:szCs w:val="18"/>
              </w:rPr>
            </w:pPr>
            <w:r>
              <w:rPr>
                <w:rFonts w:cs="Arial"/>
                <w:b/>
                <w:bCs/>
                <w:szCs w:val="18"/>
              </w:rPr>
              <w:t>Category (Level 1, 2 or 3)</w:t>
            </w:r>
          </w:p>
        </w:tc>
        <w:tc>
          <w:tcPr>
            <w:tcW w:w="1180"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Valuation technique</w:t>
            </w:r>
          </w:p>
        </w:tc>
        <w:tc>
          <w:tcPr>
            <w:tcW w:w="760"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Inputs Used</w:t>
            </w:r>
          </w:p>
        </w:tc>
        <w:tc>
          <w:tcPr>
            <w:tcW w:w="977"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Inputs Range</w:t>
            </w:r>
          </w:p>
        </w:tc>
        <w:tc>
          <w:tcPr>
            <w:tcW w:w="939"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Weighted Average</w:t>
            </w:r>
          </w:p>
        </w:tc>
      </w:tr>
      <w:tr w:rsidR="00735613" w:rsidTr="00735613">
        <w:trPr>
          <w:trHeight w:val="279"/>
        </w:trPr>
        <w:tc>
          <w:tcPr>
            <w:tcW w:w="2005" w:type="dxa"/>
            <w:tcBorders>
              <w:top w:val="nil"/>
              <w:left w:val="nil"/>
              <w:bottom w:val="single" w:sz="4" w:space="0" w:color="auto"/>
              <w:right w:val="nil"/>
            </w:tcBorders>
            <w:shd w:val="clear" w:color="000000" w:fill="D9D9D9"/>
            <w:vAlign w:val="bottom"/>
            <w:hideMark/>
          </w:tcPr>
          <w:p w:rsidR="00735613" w:rsidRDefault="00735613">
            <w:pPr>
              <w:rPr>
                <w:rFonts w:cs="Arial"/>
                <w:szCs w:val="18"/>
              </w:rPr>
            </w:pPr>
            <w:r>
              <w:rPr>
                <w:rFonts w:cs="Arial"/>
                <w:szCs w:val="18"/>
              </w:rPr>
              <w:t> </w:t>
            </w:r>
          </w:p>
        </w:tc>
        <w:tc>
          <w:tcPr>
            <w:tcW w:w="1103" w:type="dxa"/>
            <w:tcBorders>
              <w:top w:val="nil"/>
              <w:left w:val="nil"/>
              <w:bottom w:val="single" w:sz="4" w:space="0" w:color="auto"/>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1104" w:type="dxa"/>
            <w:tcBorders>
              <w:top w:val="nil"/>
              <w:left w:val="nil"/>
              <w:bottom w:val="single" w:sz="4" w:space="0" w:color="auto"/>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922" w:type="dxa"/>
            <w:vMerge/>
            <w:tcBorders>
              <w:top w:val="nil"/>
              <w:left w:val="nil"/>
              <w:bottom w:val="single" w:sz="4" w:space="0" w:color="000000"/>
              <w:right w:val="single" w:sz="4" w:space="0" w:color="auto"/>
            </w:tcBorders>
            <w:vAlign w:val="center"/>
            <w:hideMark/>
          </w:tcPr>
          <w:p w:rsidR="00735613" w:rsidRDefault="00735613">
            <w:pPr>
              <w:rPr>
                <w:rFonts w:cs="Arial"/>
                <w:b/>
                <w:bCs/>
                <w:szCs w:val="18"/>
              </w:rPr>
            </w:pPr>
          </w:p>
        </w:tc>
        <w:tc>
          <w:tcPr>
            <w:tcW w:w="1180" w:type="dxa"/>
            <w:tcBorders>
              <w:top w:val="nil"/>
              <w:left w:val="nil"/>
              <w:bottom w:val="single" w:sz="4" w:space="0" w:color="auto"/>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760" w:type="dxa"/>
            <w:tcBorders>
              <w:top w:val="nil"/>
              <w:left w:val="nil"/>
              <w:bottom w:val="single" w:sz="4" w:space="0" w:color="auto"/>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977" w:type="dxa"/>
            <w:tcBorders>
              <w:top w:val="nil"/>
              <w:left w:val="nil"/>
              <w:bottom w:val="single" w:sz="4" w:space="0" w:color="auto"/>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939" w:type="dxa"/>
            <w:tcBorders>
              <w:top w:val="nil"/>
              <w:left w:val="nil"/>
              <w:bottom w:val="single" w:sz="4" w:space="0" w:color="auto"/>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r>
      <w:tr w:rsidR="00735613" w:rsidTr="00735613">
        <w:trPr>
          <w:trHeight w:val="264"/>
        </w:trPr>
        <w:tc>
          <w:tcPr>
            <w:tcW w:w="2005"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Financial assets</w:t>
            </w:r>
          </w:p>
        </w:tc>
        <w:tc>
          <w:tcPr>
            <w:tcW w:w="1103"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 </w:t>
            </w:r>
          </w:p>
        </w:tc>
        <w:tc>
          <w:tcPr>
            <w:tcW w:w="1104"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 </w:t>
            </w:r>
          </w:p>
        </w:tc>
        <w:tc>
          <w:tcPr>
            <w:tcW w:w="922"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180"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760"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977"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939"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r>
      <w:tr w:rsidR="00735613" w:rsidTr="00735613">
        <w:trPr>
          <w:trHeight w:val="480"/>
        </w:trPr>
        <w:tc>
          <w:tcPr>
            <w:tcW w:w="2005"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Concessional loans</w:t>
            </w:r>
          </w:p>
        </w:tc>
        <w:tc>
          <w:tcPr>
            <w:tcW w:w="1103"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30,497,818 </w:t>
            </w:r>
          </w:p>
        </w:tc>
        <w:tc>
          <w:tcPr>
            <w:tcW w:w="1104"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25,147,866 </w:t>
            </w:r>
          </w:p>
        </w:tc>
        <w:tc>
          <w:tcPr>
            <w:tcW w:w="92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3 </w:t>
            </w:r>
          </w:p>
        </w:tc>
        <w:tc>
          <w:tcPr>
            <w:tcW w:w="1180" w:type="dxa"/>
            <w:tcBorders>
              <w:top w:val="nil"/>
              <w:left w:val="nil"/>
              <w:bottom w:val="nil"/>
              <w:right w:val="nil"/>
            </w:tcBorders>
            <w:shd w:val="clear" w:color="000000" w:fill="D9D9D9"/>
            <w:vAlign w:val="bottom"/>
            <w:hideMark/>
          </w:tcPr>
          <w:p w:rsidR="00735613" w:rsidRDefault="00735613">
            <w:pPr>
              <w:jc w:val="right"/>
              <w:rPr>
                <w:rFonts w:cs="Arial"/>
                <w:szCs w:val="18"/>
              </w:rPr>
            </w:pPr>
            <w:r>
              <w:rPr>
                <w:rFonts w:cs="Arial"/>
                <w:szCs w:val="18"/>
              </w:rPr>
              <w:t>Loan Conditions</w:t>
            </w:r>
          </w:p>
        </w:tc>
        <w:tc>
          <w:tcPr>
            <w:tcW w:w="760" w:type="dxa"/>
            <w:tcBorders>
              <w:top w:val="nil"/>
              <w:left w:val="nil"/>
              <w:bottom w:val="nil"/>
              <w:right w:val="nil"/>
            </w:tcBorders>
            <w:shd w:val="clear" w:color="000000" w:fill="D9D9D9"/>
            <w:vAlign w:val="bottom"/>
            <w:hideMark/>
          </w:tcPr>
          <w:p w:rsidR="00735613" w:rsidRDefault="00735613">
            <w:pPr>
              <w:jc w:val="right"/>
              <w:rPr>
                <w:rFonts w:cs="Arial"/>
                <w:szCs w:val="18"/>
              </w:rPr>
            </w:pPr>
            <w:r>
              <w:rPr>
                <w:rFonts w:cs="Arial"/>
                <w:szCs w:val="18"/>
              </w:rPr>
              <w:t> </w:t>
            </w:r>
          </w:p>
        </w:tc>
        <w:tc>
          <w:tcPr>
            <w:tcW w:w="977" w:type="dxa"/>
            <w:tcBorders>
              <w:top w:val="nil"/>
              <w:left w:val="nil"/>
              <w:bottom w:val="nil"/>
              <w:right w:val="nil"/>
            </w:tcBorders>
            <w:shd w:val="clear" w:color="000000" w:fill="D9D9D9"/>
            <w:vAlign w:val="bottom"/>
            <w:hideMark/>
          </w:tcPr>
          <w:p w:rsidR="00735613" w:rsidRDefault="00735613">
            <w:pPr>
              <w:jc w:val="right"/>
              <w:rPr>
                <w:rFonts w:cs="Arial"/>
                <w:szCs w:val="18"/>
              </w:rPr>
            </w:pPr>
            <w:r>
              <w:rPr>
                <w:rFonts w:cs="Arial"/>
                <w:szCs w:val="18"/>
              </w:rPr>
              <w:t>Principal due</w:t>
            </w:r>
          </w:p>
        </w:tc>
        <w:tc>
          <w:tcPr>
            <w:tcW w:w="939" w:type="dxa"/>
            <w:tcBorders>
              <w:top w:val="nil"/>
              <w:left w:val="nil"/>
              <w:bottom w:val="nil"/>
              <w:right w:val="nil"/>
            </w:tcBorders>
            <w:shd w:val="clear" w:color="000000" w:fill="D9D9D9"/>
            <w:vAlign w:val="bottom"/>
            <w:hideMark/>
          </w:tcPr>
          <w:p w:rsidR="00735613" w:rsidRDefault="00735613">
            <w:pPr>
              <w:jc w:val="right"/>
              <w:rPr>
                <w:rFonts w:cs="Arial"/>
                <w:szCs w:val="18"/>
              </w:rPr>
            </w:pPr>
            <w:r>
              <w:rPr>
                <w:rFonts w:cs="Arial"/>
                <w:szCs w:val="18"/>
              </w:rPr>
              <w:t> </w:t>
            </w:r>
          </w:p>
        </w:tc>
      </w:tr>
      <w:tr w:rsidR="00735613" w:rsidTr="00735613">
        <w:trPr>
          <w:trHeight w:val="480"/>
        </w:trPr>
        <w:tc>
          <w:tcPr>
            <w:tcW w:w="2005" w:type="dxa"/>
            <w:tcBorders>
              <w:top w:val="nil"/>
              <w:left w:val="nil"/>
              <w:bottom w:val="nil"/>
              <w:right w:val="nil"/>
            </w:tcBorders>
            <w:shd w:val="clear" w:color="000000" w:fill="D9D9D9"/>
            <w:vAlign w:val="bottom"/>
            <w:hideMark/>
          </w:tcPr>
          <w:p w:rsidR="00735613" w:rsidRDefault="00735613">
            <w:pPr>
              <w:ind w:firstLineChars="100" w:firstLine="180"/>
              <w:rPr>
                <w:rFonts w:cs="Arial"/>
                <w:szCs w:val="18"/>
              </w:rPr>
            </w:pPr>
            <w:r>
              <w:rPr>
                <w:rFonts w:cs="Arial"/>
                <w:szCs w:val="18"/>
              </w:rPr>
              <w:t>Administered investments</w:t>
            </w:r>
          </w:p>
        </w:tc>
        <w:tc>
          <w:tcPr>
            <w:tcW w:w="1103"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2,149,930 </w:t>
            </w:r>
          </w:p>
        </w:tc>
        <w:tc>
          <w:tcPr>
            <w:tcW w:w="1104"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2,149,026 </w:t>
            </w:r>
          </w:p>
        </w:tc>
        <w:tc>
          <w:tcPr>
            <w:tcW w:w="92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3 </w:t>
            </w:r>
          </w:p>
        </w:tc>
        <w:tc>
          <w:tcPr>
            <w:tcW w:w="1180" w:type="dxa"/>
            <w:tcBorders>
              <w:top w:val="nil"/>
              <w:left w:val="nil"/>
              <w:bottom w:val="nil"/>
              <w:right w:val="nil"/>
            </w:tcBorders>
            <w:shd w:val="clear" w:color="000000" w:fill="D9D9D9"/>
            <w:vAlign w:val="bottom"/>
            <w:hideMark/>
          </w:tcPr>
          <w:p w:rsidR="00735613" w:rsidRDefault="00735613">
            <w:pPr>
              <w:jc w:val="right"/>
              <w:rPr>
                <w:rFonts w:cs="Arial"/>
                <w:szCs w:val="18"/>
              </w:rPr>
            </w:pPr>
            <w:r>
              <w:rPr>
                <w:rFonts w:cs="Arial"/>
                <w:szCs w:val="18"/>
              </w:rPr>
              <w:t>Net assets of the entity</w:t>
            </w:r>
          </w:p>
        </w:tc>
        <w:tc>
          <w:tcPr>
            <w:tcW w:w="760" w:type="dxa"/>
            <w:tcBorders>
              <w:top w:val="nil"/>
              <w:left w:val="nil"/>
              <w:bottom w:val="nil"/>
              <w:right w:val="nil"/>
            </w:tcBorders>
            <w:shd w:val="clear" w:color="000000" w:fill="D9D9D9"/>
            <w:vAlign w:val="bottom"/>
            <w:hideMark/>
          </w:tcPr>
          <w:p w:rsidR="00735613" w:rsidRDefault="00735613">
            <w:pPr>
              <w:jc w:val="right"/>
              <w:rPr>
                <w:rFonts w:cs="Arial"/>
                <w:szCs w:val="18"/>
              </w:rPr>
            </w:pPr>
            <w:r>
              <w:rPr>
                <w:rFonts w:cs="Arial"/>
                <w:szCs w:val="18"/>
              </w:rPr>
              <w:t> </w:t>
            </w:r>
          </w:p>
        </w:tc>
        <w:tc>
          <w:tcPr>
            <w:tcW w:w="977" w:type="dxa"/>
            <w:tcBorders>
              <w:top w:val="nil"/>
              <w:left w:val="nil"/>
              <w:bottom w:val="nil"/>
              <w:right w:val="nil"/>
            </w:tcBorders>
            <w:shd w:val="clear" w:color="000000" w:fill="D9D9D9"/>
            <w:vAlign w:val="bottom"/>
            <w:hideMark/>
          </w:tcPr>
          <w:p w:rsidR="00735613" w:rsidRDefault="00735613">
            <w:pPr>
              <w:jc w:val="right"/>
              <w:rPr>
                <w:rFonts w:cs="Arial"/>
                <w:szCs w:val="18"/>
              </w:rPr>
            </w:pPr>
            <w:r>
              <w:rPr>
                <w:rFonts w:cs="Arial"/>
                <w:szCs w:val="18"/>
              </w:rPr>
              <w:t>Net assets of the entity</w:t>
            </w:r>
          </w:p>
        </w:tc>
        <w:tc>
          <w:tcPr>
            <w:tcW w:w="939" w:type="dxa"/>
            <w:tcBorders>
              <w:top w:val="nil"/>
              <w:left w:val="nil"/>
              <w:bottom w:val="nil"/>
              <w:right w:val="nil"/>
            </w:tcBorders>
            <w:shd w:val="clear" w:color="000000" w:fill="D9D9D9"/>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2005" w:type="dxa"/>
            <w:tcBorders>
              <w:top w:val="nil"/>
              <w:left w:val="nil"/>
              <w:bottom w:val="nil"/>
              <w:right w:val="nil"/>
            </w:tcBorders>
            <w:shd w:val="clear" w:color="000000" w:fill="D9D9D9"/>
            <w:vAlign w:val="bottom"/>
            <w:hideMark/>
          </w:tcPr>
          <w:p w:rsidR="00735613" w:rsidRDefault="00735613">
            <w:pPr>
              <w:rPr>
                <w:rFonts w:cs="Arial"/>
                <w:b/>
                <w:bCs/>
                <w:i/>
                <w:iCs/>
                <w:szCs w:val="18"/>
              </w:rPr>
            </w:pPr>
            <w:r>
              <w:rPr>
                <w:rFonts w:cs="Arial"/>
                <w:b/>
                <w:bCs/>
                <w:i/>
                <w:iCs/>
                <w:szCs w:val="18"/>
              </w:rPr>
              <w:t>Total financial assets</w:t>
            </w:r>
          </w:p>
        </w:tc>
        <w:tc>
          <w:tcPr>
            <w:tcW w:w="1103"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32,647,748</w:t>
            </w:r>
          </w:p>
        </w:tc>
        <w:tc>
          <w:tcPr>
            <w:tcW w:w="1104"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27,296,892</w:t>
            </w:r>
          </w:p>
        </w:tc>
        <w:tc>
          <w:tcPr>
            <w:tcW w:w="922" w:type="dxa"/>
            <w:tcBorders>
              <w:top w:val="single" w:sz="4" w:space="0" w:color="auto"/>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80" w:type="dxa"/>
            <w:tcBorders>
              <w:top w:val="single" w:sz="4" w:space="0" w:color="auto"/>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760" w:type="dxa"/>
            <w:tcBorders>
              <w:top w:val="single" w:sz="4" w:space="0" w:color="auto"/>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977" w:type="dxa"/>
            <w:tcBorders>
              <w:top w:val="single" w:sz="4" w:space="0" w:color="auto"/>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939" w:type="dxa"/>
            <w:tcBorders>
              <w:top w:val="single" w:sz="4" w:space="0" w:color="auto"/>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r>
      <w:tr w:rsidR="00735613" w:rsidTr="00735613">
        <w:trPr>
          <w:trHeight w:val="480"/>
        </w:trPr>
        <w:tc>
          <w:tcPr>
            <w:tcW w:w="2005" w:type="dxa"/>
            <w:tcBorders>
              <w:top w:val="nil"/>
              <w:left w:val="nil"/>
              <w:bottom w:val="single" w:sz="4" w:space="0" w:color="auto"/>
              <w:right w:val="nil"/>
            </w:tcBorders>
            <w:shd w:val="clear" w:color="000000" w:fill="D9D9D9"/>
            <w:vAlign w:val="bottom"/>
            <w:hideMark/>
          </w:tcPr>
          <w:p w:rsidR="00735613" w:rsidRDefault="00735613">
            <w:pPr>
              <w:rPr>
                <w:rFonts w:cs="Arial"/>
                <w:b/>
                <w:bCs/>
                <w:i/>
                <w:iCs/>
                <w:szCs w:val="18"/>
              </w:rPr>
            </w:pPr>
            <w:r>
              <w:rPr>
                <w:rFonts w:cs="Arial"/>
                <w:b/>
                <w:bCs/>
                <w:i/>
                <w:iCs/>
                <w:szCs w:val="18"/>
              </w:rPr>
              <w:t>Total fair value measurements</w:t>
            </w:r>
          </w:p>
        </w:tc>
        <w:tc>
          <w:tcPr>
            <w:tcW w:w="1103"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32,647,748</w:t>
            </w:r>
          </w:p>
        </w:tc>
        <w:tc>
          <w:tcPr>
            <w:tcW w:w="1104"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27,296,892</w:t>
            </w:r>
          </w:p>
        </w:tc>
        <w:tc>
          <w:tcPr>
            <w:tcW w:w="922"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80"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760"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977"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939"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r>
    </w:tbl>
    <w:p w:rsidR="00735613" w:rsidRDefault="00735613" w:rsidP="00735613">
      <w:pPr>
        <w:pStyle w:val="GreyShadeTableBreak"/>
      </w:pPr>
      <w:bookmarkStart w:id="447" w:name="RANGE!D7:D24"/>
      <w:bookmarkStart w:id="448" w:name="RANGE!D7:H27"/>
      <w:bookmarkStart w:id="449" w:name="RANGE!D7:D26"/>
      <w:bookmarkEnd w:id="447"/>
      <w:bookmarkEnd w:id="448"/>
      <w:bookmarkEnd w:id="449"/>
      <w:r w:rsidRPr="00B71488">
        <w:t xml:space="preserve">There are a number of Administered assets and liabilities not measured at fair value in the statement of </w:t>
      </w:r>
      <w:r>
        <w:t>administered assets and liabilities</w:t>
      </w:r>
      <w:r w:rsidRPr="00B71488">
        <w:t>. The carrying amounts of these assets and liabilities are considered to be a reasonable approximation of their fair value.</w:t>
      </w:r>
      <w:bookmarkStart w:id="450" w:name="RANGE!D7:D14"/>
      <w:bookmarkStart w:id="451" w:name="RANGE!D7:D13"/>
      <w:bookmarkStart w:id="452" w:name="RANGE!D7:H13"/>
      <w:bookmarkEnd w:id="450"/>
      <w:bookmarkEnd w:id="451"/>
      <w:bookmarkEnd w:id="452"/>
    </w:p>
    <w:p w:rsidR="00735613" w:rsidRPr="00B71488" w:rsidRDefault="00735613" w:rsidP="00735613">
      <w:pPr>
        <w:pStyle w:val="GreyShadeTableBreak"/>
        <w:spacing w:before="120" w:after="120"/>
        <w:rPr>
          <w:rFonts w:cs="Calibri"/>
          <w:szCs w:val="18"/>
        </w:rPr>
      </w:pPr>
      <w:r>
        <w:t xml:space="preserve">The methods and valuation techniques used for the purpose of measuring fair value of assets and liabilities </w:t>
      </w:r>
      <w:r w:rsidRPr="00B71488">
        <w:rPr>
          <w:rFonts w:cs="Calibri"/>
          <w:szCs w:val="18"/>
        </w:rPr>
        <w:t xml:space="preserve">in </w:t>
      </w:r>
      <w:r>
        <w:rPr>
          <w:rFonts w:cs="Calibri"/>
          <w:szCs w:val="18"/>
        </w:rPr>
        <w:t>2015</w:t>
      </w:r>
      <w:r w:rsidRPr="00B71488">
        <w:rPr>
          <w:rFonts w:cs="Calibri"/>
          <w:szCs w:val="18"/>
        </w:rPr>
        <w:t xml:space="preserve"> are unchanged from</w:t>
      </w:r>
      <w:r>
        <w:rPr>
          <w:rFonts w:cs="Calibri"/>
          <w:szCs w:val="18"/>
        </w:rPr>
        <w:t xml:space="preserve"> the previous reporting period.</w:t>
      </w:r>
      <w:r w:rsidRPr="00B71488">
        <w:rPr>
          <w:rFonts w:cs="Calibri"/>
          <w:szCs w:val="18"/>
        </w:rPr>
        <w:tab/>
      </w:r>
      <w:r w:rsidRPr="00B71488">
        <w:rPr>
          <w:rFonts w:cs="Calibri"/>
          <w:szCs w:val="18"/>
        </w:rPr>
        <w:tab/>
      </w:r>
    </w:p>
    <w:p w:rsidR="00735613" w:rsidRPr="00B71488" w:rsidRDefault="00735613" w:rsidP="00735613">
      <w:pPr>
        <w:pStyle w:val="GreyShadeTableBreak"/>
        <w:rPr>
          <w:rFonts w:cs="Calibri"/>
          <w:szCs w:val="18"/>
        </w:rPr>
      </w:pPr>
      <w:r w:rsidRPr="00B71488">
        <w:rPr>
          <w:rFonts w:cs="Calibri"/>
          <w:szCs w:val="18"/>
        </w:rPr>
        <w:t>Changing inputs to the level 3 hierarchy valuations to reasonably possible alternate assumptions would not significantly change amounts recognised in net cost of service</w:t>
      </w:r>
      <w:r>
        <w:rPr>
          <w:rFonts w:cs="Calibri"/>
          <w:szCs w:val="18"/>
        </w:rPr>
        <w:t>s</w:t>
      </w:r>
      <w:r w:rsidRPr="00B71488">
        <w:rPr>
          <w:rFonts w:cs="Calibri"/>
          <w:szCs w:val="18"/>
        </w:rPr>
        <w:t xml:space="preserve"> or other comprehensive income.</w:t>
      </w:r>
      <w:r w:rsidRPr="00B71488">
        <w:rPr>
          <w:rFonts w:cs="Calibri"/>
          <w:szCs w:val="18"/>
        </w:rPr>
        <w:tab/>
      </w:r>
      <w:r w:rsidRPr="00B71488">
        <w:rPr>
          <w:rFonts w:cs="Calibri"/>
          <w:szCs w:val="18"/>
        </w:rPr>
        <w:tab/>
      </w:r>
    </w:p>
    <w:p w:rsidR="00735613" w:rsidRDefault="00735613">
      <w:bookmarkStart w:id="453" w:name="RANGE!D7:J20"/>
      <w:r>
        <w:br w:type="page"/>
      </w:r>
    </w:p>
    <w:tbl>
      <w:tblPr>
        <w:tblW w:w="9087" w:type="dxa"/>
        <w:tblInd w:w="80" w:type="dxa"/>
        <w:tblLayout w:type="fixed"/>
        <w:tblLook w:val="04A0" w:firstRow="1" w:lastRow="0" w:firstColumn="1" w:lastColumn="0" w:noHBand="0" w:noVBand="1"/>
      </w:tblPr>
      <w:tblGrid>
        <w:gridCol w:w="2516"/>
        <w:gridCol w:w="1127"/>
        <w:gridCol w:w="1156"/>
        <w:gridCol w:w="1020"/>
        <w:gridCol w:w="1015"/>
        <w:gridCol w:w="1152"/>
        <w:gridCol w:w="1101"/>
      </w:tblGrid>
      <w:tr w:rsidR="00735613" w:rsidTr="00735613">
        <w:trPr>
          <w:trHeight w:val="240"/>
        </w:trPr>
        <w:tc>
          <w:tcPr>
            <w:tcW w:w="9003" w:type="dxa"/>
            <w:gridSpan w:val="7"/>
            <w:tcBorders>
              <w:top w:val="nil"/>
              <w:left w:val="nil"/>
              <w:bottom w:val="nil"/>
              <w:right w:val="nil"/>
            </w:tcBorders>
            <w:shd w:val="clear" w:color="000000" w:fill="D9D9D9"/>
            <w:noWrap/>
            <w:vAlign w:val="bottom"/>
            <w:hideMark/>
          </w:tcPr>
          <w:p w:rsidR="00735613" w:rsidRDefault="00735613">
            <w:pPr>
              <w:rPr>
                <w:rFonts w:cs="Arial"/>
                <w:b/>
                <w:bCs/>
                <w:szCs w:val="18"/>
                <w:u w:val="single"/>
              </w:rPr>
            </w:pPr>
            <w:bookmarkStart w:id="454" w:name="Note_AVDTABLE1" w:colFirst="0" w:colLast="0"/>
            <w:r>
              <w:rPr>
                <w:rFonts w:cs="Arial"/>
                <w:b/>
                <w:bCs/>
                <w:szCs w:val="18"/>
                <w:u w:val="single"/>
              </w:rPr>
              <w:t>Note 20B: Reconciliation for recurring Level 3 fair value measurements</w:t>
            </w:r>
          </w:p>
        </w:tc>
      </w:tr>
      <w:bookmarkEnd w:id="454"/>
      <w:tr w:rsidR="00735613" w:rsidTr="00735613">
        <w:trPr>
          <w:trHeight w:val="480"/>
        </w:trPr>
        <w:tc>
          <w:tcPr>
            <w:tcW w:w="9003" w:type="dxa"/>
            <w:gridSpan w:val="7"/>
            <w:tcBorders>
              <w:top w:val="nil"/>
              <w:left w:val="nil"/>
              <w:bottom w:val="nil"/>
              <w:right w:val="nil"/>
            </w:tcBorders>
            <w:shd w:val="clear" w:color="000000" w:fill="D9D9D9"/>
            <w:vAlign w:val="center"/>
            <w:hideMark/>
          </w:tcPr>
          <w:p w:rsidR="00735613" w:rsidRDefault="00735613">
            <w:pPr>
              <w:rPr>
                <w:rFonts w:cs="Arial"/>
                <w:szCs w:val="18"/>
              </w:rPr>
            </w:pPr>
            <w:r>
              <w:rPr>
                <w:rFonts w:cs="Arial"/>
                <w:szCs w:val="18"/>
              </w:rPr>
              <w:t>There has been no transfer between levels during the period</w:t>
            </w:r>
          </w:p>
        </w:tc>
      </w:tr>
      <w:tr w:rsidR="00735613" w:rsidTr="00735613">
        <w:trPr>
          <w:trHeight w:val="240"/>
        </w:trPr>
        <w:tc>
          <w:tcPr>
            <w:tcW w:w="9003" w:type="dxa"/>
            <w:gridSpan w:val="7"/>
            <w:tcBorders>
              <w:top w:val="nil"/>
              <w:left w:val="nil"/>
              <w:bottom w:val="single" w:sz="4" w:space="0" w:color="auto"/>
              <w:right w:val="nil"/>
            </w:tcBorders>
            <w:shd w:val="clear" w:color="000000" w:fill="D9D9D9"/>
            <w:vAlign w:val="bottom"/>
            <w:hideMark/>
          </w:tcPr>
          <w:p w:rsidR="00735613" w:rsidRDefault="00735613">
            <w:pPr>
              <w:rPr>
                <w:rFonts w:cs="Arial"/>
                <w:b/>
                <w:bCs/>
                <w:szCs w:val="18"/>
              </w:rPr>
            </w:pPr>
            <w:r>
              <w:rPr>
                <w:rFonts w:cs="Arial"/>
                <w:b/>
                <w:bCs/>
                <w:szCs w:val="18"/>
              </w:rPr>
              <w:t>Recurring Level 3 fair value measurements - reconciliation for assets</w:t>
            </w:r>
          </w:p>
        </w:tc>
      </w:tr>
      <w:tr w:rsidR="00735613" w:rsidTr="00735613">
        <w:trPr>
          <w:trHeight w:val="240"/>
        </w:trPr>
        <w:tc>
          <w:tcPr>
            <w:tcW w:w="2492"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6511" w:type="dxa"/>
            <w:gridSpan w:val="6"/>
            <w:tcBorders>
              <w:top w:val="single" w:sz="4" w:space="0" w:color="auto"/>
              <w:left w:val="nil"/>
              <w:bottom w:val="single" w:sz="4" w:space="0" w:color="auto"/>
              <w:right w:val="nil"/>
            </w:tcBorders>
            <w:shd w:val="clear" w:color="000000" w:fill="D9D9D9"/>
            <w:vAlign w:val="bottom"/>
            <w:hideMark/>
          </w:tcPr>
          <w:p w:rsidR="00735613" w:rsidRDefault="00735613">
            <w:pPr>
              <w:jc w:val="center"/>
              <w:rPr>
                <w:rFonts w:cs="Arial"/>
                <w:b/>
                <w:bCs/>
                <w:szCs w:val="18"/>
              </w:rPr>
            </w:pPr>
            <w:r>
              <w:rPr>
                <w:rFonts w:cs="Arial"/>
                <w:b/>
                <w:bCs/>
                <w:szCs w:val="18"/>
              </w:rPr>
              <w:t>Financial assets</w:t>
            </w:r>
          </w:p>
        </w:tc>
      </w:tr>
      <w:tr w:rsidR="00735613" w:rsidTr="00735613">
        <w:trPr>
          <w:trHeight w:val="495"/>
        </w:trPr>
        <w:tc>
          <w:tcPr>
            <w:tcW w:w="2492"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2262" w:type="dxa"/>
            <w:gridSpan w:val="2"/>
            <w:tcBorders>
              <w:top w:val="single" w:sz="4" w:space="0" w:color="auto"/>
              <w:left w:val="nil"/>
              <w:bottom w:val="single" w:sz="4" w:space="0" w:color="D9D9D9"/>
              <w:right w:val="nil"/>
            </w:tcBorders>
            <w:shd w:val="clear" w:color="000000" w:fill="D9D9D9"/>
            <w:vAlign w:val="bottom"/>
            <w:hideMark/>
          </w:tcPr>
          <w:p w:rsidR="00735613" w:rsidRDefault="00735613">
            <w:pPr>
              <w:jc w:val="center"/>
              <w:rPr>
                <w:rFonts w:cs="Arial"/>
                <w:b/>
                <w:bCs/>
                <w:szCs w:val="18"/>
              </w:rPr>
            </w:pPr>
            <w:r>
              <w:rPr>
                <w:rFonts w:cs="Arial"/>
                <w:b/>
                <w:bCs/>
                <w:szCs w:val="18"/>
              </w:rPr>
              <w:t>Concessional loans</w:t>
            </w:r>
          </w:p>
        </w:tc>
        <w:tc>
          <w:tcPr>
            <w:tcW w:w="2017" w:type="dxa"/>
            <w:gridSpan w:val="2"/>
            <w:tcBorders>
              <w:top w:val="single" w:sz="4" w:space="0" w:color="auto"/>
              <w:left w:val="nil"/>
              <w:bottom w:val="single" w:sz="4" w:space="0" w:color="D9D9D9"/>
              <w:right w:val="nil"/>
            </w:tcBorders>
            <w:shd w:val="clear" w:color="000000" w:fill="D9D9D9"/>
            <w:vAlign w:val="bottom"/>
            <w:hideMark/>
          </w:tcPr>
          <w:p w:rsidR="00735613" w:rsidRDefault="00735613">
            <w:pPr>
              <w:jc w:val="center"/>
              <w:rPr>
                <w:rFonts w:cs="Arial"/>
                <w:b/>
                <w:bCs/>
                <w:szCs w:val="18"/>
              </w:rPr>
            </w:pPr>
            <w:r>
              <w:rPr>
                <w:rFonts w:cs="Arial"/>
                <w:b/>
                <w:bCs/>
                <w:szCs w:val="18"/>
              </w:rPr>
              <w:t>Administered investments</w:t>
            </w:r>
          </w:p>
        </w:tc>
        <w:tc>
          <w:tcPr>
            <w:tcW w:w="2232" w:type="dxa"/>
            <w:gridSpan w:val="2"/>
            <w:tcBorders>
              <w:top w:val="single" w:sz="4" w:space="0" w:color="auto"/>
              <w:left w:val="nil"/>
              <w:bottom w:val="single" w:sz="4" w:space="0" w:color="D9D9D9"/>
              <w:right w:val="nil"/>
            </w:tcBorders>
            <w:shd w:val="clear" w:color="000000" w:fill="D9D9D9"/>
            <w:vAlign w:val="bottom"/>
            <w:hideMark/>
          </w:tcPr>
          <w:p w:rsidR="00735613" w:rsidRDefault="00735613">
            <w:pPr>
              <w:jc w:val="center"/>
              <w:rPr>
                <w:rFonts w:cs="Arial"/>
                <w:b/>
                <w:bCs/>
                <w:szCs w:val="18"/>
              </w:rPr>
            </w:pPr>
            <w:r>
              <w:rPr>
                <w:rFonts w:cs="Arial"/>
                <w:b/>
                <w:bCs/>
                <w:szCs w:val="18"/>
              </w:rPr>
              <w:t>Total</w:t>
            </w:r>
          </w:p>
        </w:tc>
      </w:tr>
      <w:tr w:rsidR="00735613" w:rsidTr="00735613">
        <w:trPr>
          <w:trHeight w:val="240"/>
        </w:trPr>
        <w:tc>
          <w:tcPr>
            <w:tcW w:w="2492"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117"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2015</w:t>
            </w:r>
          </w:p>
        </w:tc>
        <w:tc>
          <w:tcPr>
            <w:tcW w:w="1145" w:type="dxa"/>
            <w:tcBorders>
              <w:top w:val="nil"/>
              <w:left w:val="nil"/>
              <w:bottom w:val="single" w:sz="4" w:space="0" w:color="D9D9D9"/>
              <w:right w:val="nil"/>
            </w:tcBorders>
            <w:shd w:val="clear" w:color="000000" w:fill="D9D9D9"/>
            <w:vAlign w:val="bottom"/>
            <w:hideMark/>
          </w:tcPr>
          <w:p w:rsidR="00735613" w:rsidRDefault="00735613">
            <w:pPr>
              <w:jc w:val="right"/>
              <w:rPr>
                <w:rFonts w:cs="Arial"/>
                <w:szCs w:val="18"/>
              </w:rPr>
            </w:pPr>
            <w:r>
              <w:rPr>
                <w:rFonts w:cs="Arial"/>
                <w:szCs w:val="18"/>
              </w:rPr>
              <w:t>2014</w:t>
            </w:r>
          </w:p>
        </w:tc>
        <w:tc>
          <w:tcPr>
            <w:tcW w:w="1011"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2015</w:t>
            </w:r>
          </w:p>
        </w:tc>
        <w:tc>
          <w:tcPr>
            <w:tcW w:w="1006" w:type="dxa"/>
            <w:tcBorders>
              <w:top w:val="nil"/>
              <w:left w:val="nil"/>
              <w:bottom w:val="single" w:sz="4" w:space="0" w:color="D9D9D9"/>
              <w:right w:val="nil"/>
            </w:tcBorders>
            <w:shd w:val="clear" w:color="000000" w:fill="D9D9D9"/>
            <w:vAlign w:val="bottom"/>
            <w:hideMark/>
          </w:tcPr>
          <w:p w:rsidR="00735613" w:rsidRDefault="00735613">
            <w:pPr>
              <w:jc w:val="right"/>
              <w:rPr>
                <w:rFonts w:cs="Arial"/>
                <w:szCs w:val="18"/>
              </w:rPr>
            </w:pPr>
            <w:r>
              <w:rPr>
                <w:rFonts w:cs="Arial"/>
                <w:szCs w:val="18"/>
              </w:rPr>
              <w:t>2014</w:t>
            </w:r>
          </w:p>
        </w:tc>
        <w:tc>
          <w:tcPr>
            <w:tcW w:w="1141"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2015</w:t>
            </w:r>
          </w:p>
        </w:tc>
        <w:tc>
          <w:tcPr>
            <w:tcW w:w="1091" w:type="dxa"/>
            <w:tcBorders>
              <w:top w:val="nil"/>
              <w:left w:val="nil"/>
              <w:bottom w:val="single" w:sz="4" w:space="0" w:color="D9D9D9"/>
              <w:right w:val="nil"/>
            </w:tcBorders>
            <w:shd w:val="clear" w:color="000000" w:fill="D9D9D9"/>
            <w:vAlign w:val="bottom"/>
            <w:hideMark/>
          </w:tcPr>
          <w:p w:rsidR="00735613" w:rsidRDefault="00735613">
            <w:pPr>
              <w:jc w:val="right"/>
              <w:rPr>
                <w:rFonts w:cs="Arial"/>
                <w:szCs w:val="18"/>
              </w:rPr>
            </w:pPr>
            <w:r>
              <w:rPr>
                <w:rFonts w:cs="Arial"/>
                <w:szCs w:val="18"/>
              </w:rPr>
              <w:t>2014</w:t>
            </w:r>
          </w:p>
        </w:tc>
      </w:tr>
      <w:tr w:rsidR="00735613" w:rsidTr="00735613">
        <w:trPr>
          <w:trHeight w:val="240"/>
        </w:trPr>
        <w:tc>
          <w:tcPr>
            <w:tcW w:w="2492" w:type="dxa"/>
            <w:tcBorders>
              <w:top w:val="nil"/>
              <w:left w:val="nil"/>
              <w:bottom w:val="single" w:sz="4" w:space="0" w:color="auto"/>
              <w:right w:val="nil"/>
            </w:tcBorders>
            <w:shd w:val="clear" w:color="000000" w:fill="D9D9D9"/>
            <w:vAlign w:val="bottom"/>
            <w:hideMark/>
          </w:tcPr>
          <w:p w:rsidR="00735613" w:rsidRDefault="00735613">
            <w:pPr>
              <w:rPr>
                <w:rFonts w:cs="Arial"/>
                <w:szCs w:val="18"/>
              </w:rPr>
            </w:pPr>
            <w:r>
              <w:rPr>
                <w:rFonts w:cs="Arial"/>
                <w:szCs w:val="18"/>
              </w:rPr>
              <w:t> </w:t>
            </w:r>
          </w:p>
        </w:tc>
        <w:tc>
          <w:tcPr>
            <w:tcW w:w="1117" w:type="dxa"/>
            <w:tcBorders>
              <w:top w:val="nil"/>
              <w:left w:val="nil"/>
              <w:bottom w:val="single" w:sz="4" w:space="0" w:color="auto"/>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1145" w:type="dxa"/>
            <w:tcBorders>
              <w:top w:val="nil"/>
              <w:left w:val="nil"/>
              <w:bottom w:val="single" w:sz="4" w:space="0" w:color="auto"/>
              <w:right w:val="nil"/>
            </w:tcBorders>
            <w:shd w:val="clear" w:color="000000" w:fill="D9D9D9"/>
            <w:vAlign w:val="bottom"/>
            <w:hideMark/>
          </w:tcPr>
          <w:p w:rsidR="00735613" w:rsidRDefault="00735613">
            <w:pPr>
              <w:jc w:val="right"/>
              <w:rPr>
                <w:rFonts w:cs="Arial"/>
                <w:szCs w:val="18"/>
              </w:rPr>
            </w:pPr>
            <w:r>
              <w:rPr>
                <w:rFonts w:cs="Arial"/>
                <w:szCs w:val="18"/>
              </w:rPr>
              <w:t>$'000</w:t>
            </w:r>
          </w:p>
        </w:tc>
        <w:tc>
          <w:tcPr>
            <w:tcW w:w="1011" w:type="dxa"/>
            <w:tcBorders>
              <w:top w:val="nil"/>
              <w:left w:val="nil"/>
              <w:bottom w:val="single" w:sz="4" w:space="0" w:color="auto"/>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1006" w:type="dxa"/>
            <w:tcBorders>
              <w:top w:val="nil"/>
              <w:left w:val="nil"/>
              <w:bottom w:val="single" w:sz="4" w:space="0" w:color="auto"/>
              <w:right w:val="nil"/>
            </w:tcBorders>
            <w:shd w:val="clear" w:color="000000" w:fill="D9D9D9"/>
            <w:vAlign w:val="bottom"/>
            <w:hideMark/>
          </w:tcPr>
          <w:p w:rsidR="00735613" w:rsidRDefault="00735613">
            <w:pPr>
              <w:jc w:val="right"/>
              <w:rPr>
                <w:rFonts w:cs="Arial"/>
                <w:szCs w:val="18"/>
              </w:rPr>
            </w:pPr>
            <w:r>
              <w:rPr>
                <w:rFonts w:cs="Arial"/>
                <w:szCs w:val="18"/>
              </w:rPr>
              <w:t>$'000</w:t>
            </w:r>
          </w:p>
        </w:tc>
        <w:tc>
          <w:tcPr>
            <w:tcW w:w="1141" w:type="dxa"/>
            <w:tcBorders>
              <w:top w:val="nil"/>
              <w:left w:val="nil"/>
              <w:bottom w:val="single" w:sz="4" w:space="0" w:color="auto"/>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1091" w:type="dxa"/>
            <w:tcBorders>
              <w:top w:val="nil"/>
              <w:left w:val="nil"/>
              <w:bottom w:val="single" w:sz="4" w:space="0" w:color="auto"/>
              <w:right w:val="nil"/>
            </w:tcBorders>
            <w:shd w:val="clear" w:color="000000" w:fill="D9D9D9"/>
            <w:vAlign w:val="bottom"/>
            <w:hideMark/>
          </w:tcPr>
          <w:p w:rsidR="00735613" w:rsidRDefault="00735613">
            <w:pPr>
              <w:jc w:val="right"/>
              <w:rPr>
                <w:rFonts w:cs="Arial"/>
                <w:szCs w:val="18"/>
              </w:rPr>
            </w:pPr>
            <w:r>
              <w:rPr>
                <w:rFonts w:cs="Arial"/>
                <w:szCs w:val="18"/>
              </w:rPr>
              <w:t>$'000</w:t>
            </w:r>
          </w:p>
        </w:tc>
      </w:tr>
      <w:tr w:rsidR="00735613" w:rsidTr="00735613">
        <w:trPr>
          <w:trHeight w:val="240"/>
        </w:trPr>
        <w:tc>
          <w:tcPr>
            <w:tcW w:w="2492"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Opening balance</w:t>
            </w:r>
          </w:p>
        </w:tc>
        <w:tc>
          <w:tcPr>
            <w:tcW w:w="1117"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25,147,866 </w:t>
            </w:r>
          </w:p>
        </w:tc>
        <w:tc>
          <w:tcPr>
            <w:tcW w:w="1145"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22,444,317 </w:t>
            </w:r>
          </w:p>
        </w:tc>
        <w:tc>
          <w:tcPr>
            <w:tcW w:w="10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2,149,026 </w:t>
            </w:r>
          </w:p>
        </w:tc>
        <w:tc>
          <w:tcPr>
            <w:tcW w:w="100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2,006,106 </w:t>
            </w:r>
          </w:p>
        </w:tc>
        <w:tc>
          <w:tcPr>
            <w:tcW w:w="114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27,296,892 </w:t>
            </w:r>
          </w:p>
        </w:tc>
        <w:tc>
          <w:tcPr>
            <w:tcW w:w="1091"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24,450,423 </w:t>
            </w:r>
          </w:p>
        </w:tc>
      </w:tr>
      <w:tr w:rsidR="00735613" w:rsidTr="00735613">
        <w:trPr>
          <w:trHeight w:val="540"/>
        </w:trPr>
        <w:tc>
          <w:tcPr>
            <w:tcW w:w="2492"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Total gains/(losses) recognised in net cost of services</w:t>
            </w:r>
            <w:r>
              <w:rPr>
                <w:rFonts w:cs="Arial"/>
                <w:szCs w:val="18"/>
                <w:vertAlign w:val="superscript"/>
              </w:rPr>
              <w:t>1</w:t>
            </w:r>
          </w:p>
        </w:tc>
        <w:tc>
          <w:tcPr>
            <w:tcW w:w="1117"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(669,486)</w:t>
            </w:r>
          </w:p>
        </w:tc>
        <w:tc>
          <w:tcPr>
            <w:tcW w:w="1145"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(963,888)</w:t>
            </w:r>
          </w:p>
        </w:tc>
        <w:tc>
          <w:tcPr>
            <w:tcW w:w="10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100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c>
          <w:tcPr>
            <w:tcW w:w="114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(669,486)</w:t>
            </w:r>
          </w:p>
        </w:tc>
        <w:tc>
          <w:tcPr>
            <w:tcW w:w="1091"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(963,888)</w:t>
            </w:r>
          </w:p>
        </w:tc>
      </w:tr>
      <w:tr w:rsidR="00735613" w:rsidTr="00735613">
        <w:trPr>
          <w:trHeight w:val="465"/>
        </w:trPr>
        <w:tc>
          <w:tcPr>
            <w:tcW w:w="2492"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Total gains/(losses) recognised in Administered Equity</w:t>
            </w:r>
          </w:p>
        </w:tc>
        <w:tc>
          <w:tcPr>
            <w:tcW w:w="1117"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1145"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c>
          <w:tcPr>
            <w:tcW w:w="10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904 </w:t>
            </w:r>
          </w:p>
        </w:tc>
        <w:tc>
          <w:tcPr>
            <w:tcW w:w="100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142,920 </w:t>
            </w:r>
          </w:p>
        </w:tc>
        <w:tc>
          <w:tcPr>
            <w:tcW w:w="114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904 </w:t>
            </w:r>
          </w:p>
        </w:tc>
        <w:tc>
          <w:tcPr>
            <w:tcW w:w="1091"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142,920 </w:t>
            </w:r>
          </w:p>
        </w:tc>
      </w:tr>
      <w:tr w:rsidR="00735613" w:rsidTr="00735613">
        <w:trPr>
          <w:trHeight w:val="240"/>
        </w:trPr>
        <w:tc>
          <w:tcPr>
            <w:tcW w:w="2492"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Issues</w:t>
            </w:r>
          </w:p>
        </w:tc>
        <w:tc>
          <w:tcPr>
            <w:tcW w:w="1117"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7,944,246 </w:t>
            </w:r>
          </w:p>
        </w:tc>
        <w:tc>
          <w:tcPr>
            <w:tcW w:w="1145"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4,880,788 </w:t>
            </w:r>
          </w:p>
        </w:tc>
        <w:tc>
          <w:tcPr>
            <w:tcW w:w="10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100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c>
          <w:tcPr>
            <w:tcW w:w="114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7,944,246 </w:t>
            </w:r>
          </w:p>
        </w:tc>
        <w:tc>
          <w:tcPr>
            <w:tcW w:w="1091"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4,880,788 </w:t>
            </w:r>
          </w:p>
        </w:tc>
      </w:tr>
      <w:tr w:rsidR="00735613" w:rsidTr="00735613">
        <w:trPr>
          <w:trHeight w:val="240"/>
        </w:trPr>
        <w:tc>
          <w:tcPr>
            <w:tcW w:w="2492"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Settlements</w:t>
            </w:r>
          </w:p>
        </w:tc>
        <w:tc>
          <w:tcPr>
            <w:tcW w:w="1117"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(1,924,808)</w:t>
            </w:r>
          </w:p>
        </w:tc>
        <w:tc>
          <w:tcPr>
            <w:tcW w:w="1145"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(1,213,351)</w:t>
            </w:r>
          </w:p>
        </w:tc>
        <w:tc>
          <w:tcPr>
            <w:tcW w:w="101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100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c>
          <w:tcPr>
            <w:tcW w:w="1141"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(1,924,808)</w:t>
            </w:r>
          </w:p>
        </w:tc>
        <w:tc>
          <w:tcPr>
            <w:tcW w:w="1091"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(1,213,351)</w:t>
            </w:r>
          </w:p>
        </w:tc>
      </w:tr>
      <w:tr w:rsidR="00735613" w:rsidTr="00735613">
        <w:trPr>
          <w:trHeight w:val="240"/>
        </w:trPr>
        <w:tc>
          <w:tcPr>
            <w:tcW w:w="2492" w:type="dxa"/>
            <w:tcBorders>
              <w:top w:val="single" w:sz="4" w:space="0" w:color="auto"/>
              <w:left w:val="nil"/>
              <w:bottom w:val="single" w:sz="4" w:space="0" w:color="auto"/>
              <w:right w:val="nil"/>
            </w:tcBorders>
            <w:shd w:val="clear" w:color="000000" w:fill="D9D9D9"/>
            <w:vAlign w:val="bottom"/>
            <w:hideMark/>
          </w:tcPr>
          <w:p w:rsidR="00735613" w:rsidRDefault="00735613">
            <w:pPr>
              <w:rPr>
                <w:rFonts w:cs="Arial"/>
                <w:b/>
                <w:bCs/>
                <w:szCs w:val="18"/>
              </w:rPr>
            </w:pPr>
            <w:r>
              <w:rPr>
                <w:rFonts w:cs="Arial"/>
                <w:b/>
                <w:bCs/>
                <w:szCs w:val="18"/>
              </w:rPr>
              <w:t>Closing balance</w:t>
            </w:r>
          </w:p>
        </w:tc>
        <w:tc>
          <w:tcPr>
            <w:tcW w:w="1117"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30,497,818</w:t>
            </w:r>
          </w:p>
        </w:tc>
        <w:tc>
          <w:tcPr>
            <w:tcW w:w="114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25,147,866</w:t>
            </w:r>
          </w:p>
        </w:tc>
        <w:tc>
          <w:tcPr>
            <w:tcW w:w="1011"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2,149,930</w:t>
            </w:r>
          </w:p>
        </w:tc>
        <w:tc>
          <w:tcPr>
            <w:tcW w:w="100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2,149,026</w:t>
            </w:r>
          </w:p>
        </w:tc>
        <w:tc>
          <w:tcPr>
            <w:tcW w:w="1141"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32,647,748</w:t>
            </w:r>
          </w:p>
        </w:tc>
        <w:tc>
          <w:tcPr>
            <w:tcW w:w="1091"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27,296,892</w:t>
            </w:r>
          </w:p>
        </w:tc>
      </w:tr>
    </w:tbl>
    <w:p w:rsidR="00735613" w:rsidRPr="00942D95" w:rsidRDefault="00735613" w:rsidP="00735613">
      <w:pPr>
        <w:pStyle w:val="GreyShadeTableBreak"/>
      </w:pPr>
      <w:bookmarkStart w:id="455" w:name="RANGE!D7:F26"/>
      <w:bookmarkEnd w:id="453"/>
      <w:bookmarkEnd w:id="455"/>
      <w:r>
        <w:rPr>
          <w:vertAlign w:val="superscript"/>
        </w:rPr>
        <w:t xml:space="preserve">1 </w:t>
      </w:r>
      <w:r>
        <w:t>The gains or losses are presented in the Administered Schedule of Comprehensive Income under Notes 18C Personal benefits, 18E Finance costs, 18H Fair value losses, 19B Interest.</w:t>
      </w:r>
      <w:r>
        <w:br w:type="page"/>
      </w:r>
    </w:p>
    <w:p w:rsidR="00735613" w:rsidRDefault="00735613" w:rsidP="00735613">
      <w:pPr>
        <w:pStyle w:val="NotesHeading-Level1GreyShade"/>
        <w:numPr>
          <w:ilvl w:val="0"/>
          <w:numId w:val="9"/>
        </w:numPr>
      </w:pPr>
      <w:bookmarkStart w:id="456" w:name="_Toc420422390"/>
      <w:r>
        <w:t>Administered Financial Assets</w:t>
      </w:r>
      <w:bookmarkEnd w:id="456"/>
    </w:p>
    <w:p w:rsidR="00735613" w:rsidRDefault="00735613" w:rsidP="00735613">
      <w:pPr>
        <w:pStyle w:val="NotesHeading-Level1GreyShade"/>
        <w:numPr>
          <w:ilvl w:val="0"/>
          <w:numId w:val="0"/>
        </w:numPr>
        <w:outlineLvl w:val="9"/>
      </w:pPr>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bookmarkStart w:id="457" w:name="Note_ACSTABLE1" w:colFirst="0" w:colLast="0"/>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2014</w:t>
            </w:r>
          </w:p>
        </w:tc>
      </w:tr>
      <w:bookmarkEnd w:id="457"/>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6286" w:type="dxa"/>
            <w:tcBorders>
              <w:top w:val="nil"/>
              <w:left w:val="nil"/>
              <w:bottom w:val="nil"/>
              <w:right w:val="nil"/>
            </w:tcBorders>
            <w:shd w:val="clear" w:color="000000" w:fill="D9D9D9"/>
            <w:noWrap/>
            <w:hideMark/>
          </w:tcPr>
          <w:p w:rsidR="00735613" w:rsidRDefault="00735613">
            <w:pPr>
              <w:rPr>
                <w:rFonts w:cs="Arial"/>
                <w:b/>
                <w:bCs/>
                <w:szCs w:val="18"/>
                <w:u w:val="single"/>
              </w:rPr>
            </w:pPr>
            <w:r>
              <w:rPr>
                <w:rFonts w:cs="Arial"/>
                <w:b/>
                <w:bCs/>
                <w:szCs w:val="18"/>
                <w:u w:val="single"/>
              </w:rPr>
              <w:t>Note 21A: Cash and cash equivalents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Cash on hand or on deposit</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Special accounts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26,528</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91,293</w:t>
            </w:r>
          </w:p>
        </w:tc>
      </w:tr>
      <w:tr w:rsidR="00735613" w:rsidTr="00735613">
        <w:trPr>
          <w:trHeight w:val="276"/>
        </w:trPr>
        <w:tc>
          <w:tcPr>
            <w:tcW w:w="628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cash and cash equivalents</w:t>
            </w:r>
          </w:p>
        </w:tc>
        <w:tc>
          <w:tcPr>
            <w:tcW w:w="1235"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26,528</w:t>
            </w:r>
          </w:p>
        </w:tc>
        <w:tc>
          <w:tcPr>
            <w:tcW w:w="23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228"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91,293</w:t>
            </w:r>
          </w:p>
        </w:tc>
      </w:tr>
    </w:tbl>
    <w:p w:rsidR="00735613" w:rsidRDefault="00735613">
      <w:pPr>
        <w:pStyle w:val="GreyShadeTableBreak"/>
      </w:pPr>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5" w:type="dxa"/>
            <w:tcBorders>
              <w:top w:val="single" w:sz="4" w:space="0" w:color="D9D9D9"/>
              <w:left w:val="nil"/>
              <w:bottom w:val="single" w:sz="4" w:space="0" w:color="D9D9D9"/>
              <w:right w:val="nil"/>
            </w:tcBorders>
            <w:shd w:val="clear" w:color="000000" w:fill="D9D9D9"/>
            <w:noWrap/>
            <w:hideMark/>
          </w:tcPr>
          <w:p w:rsidR="00735613" w:rsidRDefault="00735613">
            <w:pPr>
              <w:rPr>
                <w:rFonts w:cs="Arial"/>
                <w:b/>
                <w:bCs/>
                <w:szCs w:val="18"/>
                <w:u w:val="single"/>
              </w:rPr>
            </w:pPr>
            <w:bookmarkStart w:id="458" w:name="RANGE!D7:G37"/>
            <w:bookmarkStart w:id="459" w:name="Note_ARETABLE1" w:colFirst="0" w:colLast="0"/>
            <w:r>
              <w:rPr>
                <w:rFonts w:cs="Arial"/>
                <w:b/>
                <w:bCs/>
                <w:szCs w:val="18"/>
                <w:u w:val="single"/>
              </w:rPr>
              <w:t>Note 21B: Receivables</w:t>
            </w:r>
            <w:bookmarkEnd w:id="458"/>
          </w:p>
        </w:tc>
        <w:tc>
          <w:tcPr>
            <w:tcW w:w="1235"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bookmarkEnd w:id="459"/>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6285"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Good and services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Goods and services - related parties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Goods and services - external parties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39,143</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33,921</w:t>
            </w:r>
          </w:p>
        </w:tc>
      </w:tr>
      <w:tr w:rsidR="00735613" w:rsidTr="00735613">
        <w:trPr>
          <w:trHeight w:val="276"/>
        </w:trPr>
        <w:tc>
          <w:tcPr>
            <w:tcW w:w="6285"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Total receivables for goods and services</w:t>
            </w:r>
          </w:p>
        </w:tc>
        <w:tc>
          <w:tcPr>
            <w:tcW w:w="123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39,143</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33,921</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6285"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Advances and loans</w:t>
            </w:r>
          </w:p>
        </w:tc>
        <w:tc>
          <w:tcPr>
            <w:tcW w:w="1235"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HECS\HELP</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30,444,858</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25,147,139</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Trade Support Loans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52,960</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Other loans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727</w:t>
            </w:r>
          </w:p>
        </w:tc>
      </w:tr>
      <w:tr w:rsidR="00735613" w:rsidTr="00735613">
        <w:trPr>
          <w:trHeight w:val="276"/>
        </w:trPr>
        <w:tc>
          <w:tcPr>
            <w:tcW w:w="6285"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Total advances and loans</w:t>
            </w:r>
          </w:p>
        </w:tc>
        <w:tc>
          <w:tcPr>
            <w:tcW w:w="123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30,497,818</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25,147,866</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6285"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Other receivables</w:t>
            </w:r>
          </w:p>
        </w:tc>
        <w:tc>
          <w:tcPr>
            <w:tcW w:w="1235"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GST receivable from  Australian Taxation Office</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16,536</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13,364</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Higher Education Superannuation Programme</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382,000</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1,622,250</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Personal benefits receivable</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368,692</w:t>
            </w:r>
          </w:p>
        </w:tc>
      </w:tr>
      <w:tr w:rsidR="00735613" w:rsidTr="00735613">
        <w:trPr>
          <w:trHeight w:val="276"/>
        </w:trPr>
        <w:tc>
          <w:tcPr>
            <w:tcW w:w="6285"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Total other receivables</w:t>
            </w:r>
          </w:p>
        </w:tc>
        <w:tc>
          <w:tcPr>
            <w:tcW w:w="123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398,536</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2,004,306</w:t>
            </w:r>
          </w:p>
        </w:tc>
      </w:tr>
      <w:tr w:rsidR="00735613" w:rsidTr="00735613">
        <w:trPr>
          <w:trHeight w:val="276"/>
        </w:trPr>
        <w:tc>
          <w:tcPr>
            <w:tcW w:w="6285" w:type="dxa"/>
            <w:tcBorders>
              <w:top w:val="nil"/>
              <w:left w:val="nil"/>
              <w:bottom w:val="single" w:sz="4" w:space="0" w:color="D9D9D9"/>
              <w:right w:val="nil"/>
            </w:tcBorders>
            <w:shd w:val="clear" w:color="000000" w:fill="D9D9D9"/>
            <w:vAlign w:val="bottom"/>
            <w:hideMark/>
          </w:tcPr>
          <w:p w:rsidR="00735613" w:rsidRDefault="00735613">
            <w:pPr>
              <w:rPr>
                <w:rFonts w:cs="Arial"/>
                <w:b/>
                <w:bCs/>
                <w:i/>
                <w:iCs/>
                <w:szCs w:val="18"/>
              </w:rPr>
            </w:pPr>
            <w:r>
              <w:rPr>
                <w:rFonts w:cs="Arial"/>
                <w:b/>
                <w:bCs/>
                <w:i/>
                <w:iCs/>
                <w:szCs w:val="18"/>
              </w:rPr>
              <w:t>Total receivables (gross)</w:t>
            </w:r>
          </w:p>
        </w:tc>
        <w:tc>
          <w:tcPr>
            <w:tcW w:w="1235"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30,935,497</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27,186,093</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6285"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 xml:space="preserve">Less impairment allowance </w:t>
            </w:r>
          </w:p>
        </w:tc>
        <w:tc>
          <w:tcPr>
            <w:tcW w:w="1235"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Goods and services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(7,523)</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(9,757)</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Higher Education Superannuation Programme</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(1,200,250)</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Personal benefits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(15,959)</w:t>
            </w:r>
          </w:p>
        </w:tc>
      </w:tr>
      <w:tr w:rsidR="00735613" w:rsidTr="00735613">
        <w:trPr>
          <w:trHeight w:val="276"/>
        </w:trPr>
        <w:tc>
          <w:tcPr>
            <w:tcW w:w="6285"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 xml:space="preserve">Total impairment allowance </w:t>
            </w:r>
          </w:p>
        </w:tc>
        <w:tc>
          <w:tcPr>
            <w:tcW w:w="123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(7,523)</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(1,225,966)</w:t>
            </w:r>
          </w:p>
        </w:tc>
      </w:tr>
      <w:tr w:rsidR="00735613" w:rsidTr="00735613">
        <w:trPr>
          <w:trHeight w:val="276"/>
        </w:trPr>
        <w:tc>
          <w:tcPr>
            <w:tcW w:w="6285" w:type="dxa"/>
            <w:tcBorders>
              <w:top w:val="nil"/>
              <w:left w:val="nil"/>
              <w:bottom w:val="single" w:sz="4" w:space="0" w:color="D9D9D9"/>
              <w:right w:val="nil"/>
            </w:tcBorders>
            <w:shd w:val="clear" w:color="000000" w:fill="D9D9D9"/>
            <w:vAlign w:val="bottom"/>
            <w:hideMark/>
          </w:tcPr>
          <w:p w:rsidR="00735613" w:rsidRDefault="00735613">
            <w:pPr>
              <w:rPr>
                <w:rFonts w:cs="Arial"/>
                <w:b/>
                <w:bCs/>
                <w:i/>
                <w:iCs/>
                <w:szCs w:val="18"/>
              </w:rPr>
            </w:pPr>
            <w:r>
              <w:rPr>
                <w:rFonts w:cs="Arial"/>
                <w:b/>
                <w:bCs/>
                <w:i/>
                <w:iCs/>
                <w:szCs w:val="18"/>
              </w:rPr>
              <w:t>Total receivables (net)</w:t>
            </w:r>
          </w:p>
        </w:tc>
        <w:tc>
          <w:tcPr>
            <w:tcW w:w="1235"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30,927,974</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25,960,127</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6285"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Receivables (net) expected to be recovered</w:t>
            </w:r>
          </w:p>
        </w:tc>
        <w:tc>
          <w:tcPr>
            <w:tcW w:w="1235"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No more than 12 months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48,156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xml:space="preserve">39,887 </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More than 12 months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30,879,818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25,920,240 </w:t>
            </w:r>
          </w:p>
        </w:tc>
      </w:tr>
      <w:tr w:rsidR="00735613" w:rsidTr="00735613">
        <w:trPr>
          <w:trHeight w:val="276"/>
        </w:trPr>
        <w:tc>
          <w:tcPr>
            <w:tcW w:w="6285" w:type="dxa"/>
            <w:tcBorders>
              <w:top w:val="nil"/>
              <w:left w:val="nil"/>
              <w:bottom w:val="single" w:sz="4" w:space="0" w:color="D9D9D9"/>
              <w:right w:val="nil"/>
            </w:tcBorders>
            <w:shd w:val="clear" w:color="000000" w:fill="D9D9D9"/>
            <w:vAlign w:val="bottom"/>
            <w:hideMark/>
          </w:tcPr>
          <w:p w:rsidR="00735613" w:rsidRDefault="00735613">
            <w:pPr>
              <w:rPr>
                <w:rFonts w:cs="Arial"/>
                <w:b/>
                <w:bCs/>
                <w:i/>
                <w:iCs/>
                <w:szCs w:val="18"/>
              </w:rPr>
            </w:pPr>
            <w:r>
              <w:rPr>
                <w:rFonts w:cs="Arial"/>
                <w:b/>
                <w:bCs/>
                <w:i/>
                <w:iCs/>
                <w:szCs w:val="18"/>
              </w:rPr>
              <w:t>Total receivables (net)</w:t>
            </w:r>
          </w:p>
        </w:tc>
        <w:tc>
          <w:tcPr>
            <w:tcW w:w="123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30,927,974</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25,960,127</w:t>
            </w:r>
          </w:p>
        </w:tc>
      </w:tr>
    </w:tbl>
    <w:p w:rsidR="00735613" w:rsidRDefault="00735613">
      <w:bookmarkStart w:id="460" w:name="RANGE!D7:G53"/>
      <w:bookmarkStart w:id="461" w:name="RANGE!D6:G52"/>
      <w:bookmarkEnd w:id="460"/>
      <w:bookmarkEnd w:id="461"/>
    </w:p>
    <w:p w:rsidR="00735613" w:rsidRDefault="00735613">
      <w:pPr>
        <w:spacing w:line="240" w:lineRule="auto"/>
      </w:pPr>
      <w:r>
        <w:br w:type="page"/>
      </w:r>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40"/>
        </w:trPr>
        <w:tc>
          <w:tcPr>
            <w:tcW w:w="6285"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bookmarkStart w:id="462" w:name="RANGE!D41:D84"/>
            <w:bookmarkStart w:id="463" w:name="Note_ARETABLE2" w:colFirst="0" w:colLast="0"/>
            <w:r>
              <w:rPr>
                <w:rFonts w:ascii="Arial" w:hAnsi="Arial" w:cs="Arial"/>
                <w:sz w:val="16"/>
                <w:szCs w:val="16"/>
              </w:rPr>
              <w:t> </w:t>
            </w:r>
            <w:bookmarkEnd w:id="462"/>
          </w:p>
        </w:tc>
        <w:tc>
          <w:tcPr>
            <w:tcW w:w="1235" w:type="dxa"/>
            <w:tcBorders>
              <w:top w:val="single" w:sz="4" w:space="0" w:color="D9D9D9"/>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2015</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2014</w:t>
            </w:r>
          </w:p>
        </w:tc>
      </w:tr>
      <w:bookmarkEnd w:id="463"/>
      <w:tr w:rsidR="00735613" w:rsidTr="00735613">
        <w:trPr>
          <w:trHeight w:val="240"/>
        </w:trPr>
        <w:tc>
          <w:tcPr>
            <w:tcW w:w="628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$'000</w:t>
            </w:r>
          </w:p>
        </w:tc>
      </w:tr>
      <w:tr w:rsidR="00735613" w:rsidTr="00735613">
        <w:trPr>
          <w:trHeight w:val="240"/>
        </w:trPr>
        <w:tc>
          <w:tcPr>
            <w:tcW w:w="6285"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Receivables (gross) aged as follows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40"/>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Not overdue</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30,926,104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xml:space="preserve">27,145,091 </w:t>
            </w:r>
          </w:p>
        </w:tc>
      </w:tr>
      <w:tr w:rsidR="00735613" w:rsidTr="00735613">
        <w:trPr>
          <w:trHeight w:val="240"/>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Overdue by</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200" w:firstLine="360"/>
              <w:rPr>
                <w:rFonts w:cs="Arial"/>
                <w:szCs w:val="18"/>
              </w:rPr>
            </w:pPr>
            <w:r>
              <w:rPr>
                <w:rFonts w:cs="Arial"/>
                <w:szCs w:val="18"/>
              </w:rPr>
              <w:t>0 to 30 days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549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xml:space="preserve">1,421 </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200" w:firstLine="360"/>
              <w:rPr>
                <w:rFonts w:cs="Arial"/>
                <w:szCs w:val="18"/>
              </w:rPr>
            </w:pPr>
            <w:r>
              <w:rPr>
                <w:rFonts w:cs="Arial"/>
                <w:szCs w:val="18"/>
              </w:rPr>
              <w:t>31 to 60 days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910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xml:space="preserve">447 </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200" w:firstLine="360"/>
              <w:rPr>
                <w:rFonts w:cs="Arial"/>
                <w:szCs w:val="18"/>
              </w:rPr>
            </w:pPr>
            <w:r>
              <w:rPr>
                <w:rFonts w:cs="Arial"/>
                <w:szCs w:val="18"/>
              </w:rPr>
              <w:t>61 to 90 days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33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xml:space="preserve">306 </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200" w:firstLine="360"/>
              <w:rPr>
                <w:rFonts w:cs="Arial"/>
                <w:szCs w:val="18"/>
              </w:rPr>
            </w:pPr>
            <w:r>
              <w:rPr>
                <w:rFonts w:cs="Arial"/>
                <w:szCs w:val="18"/>
              </w:rPr>
              <w:t>More than 90 days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7,901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38,828 </w:t>
            </w:r>
          </w:p>
        </w:tc>
      </w:tr>
      <w:tr w:rsidR="00735613" w:rsidTr="00735613">
        <w:trPr>
          <w:trHeight w:val="240"/>
        </w:trPr>
        <w:tc>
          <w:tcPr>
            <w:tcW w:w="6285" w:type="dxa"/>
            <w:tcBorders>
              <w:top w:val="nil"/>
              <w:left w:val="nil"/>
              <w:bottom w:val="single" w:sz="4" w:space="0" w:color="D9D9D9"/>
              <w:right w:val="nil"/>
            </w:tcBorders>
            <w:shd w:val="clear" w:color="000000" w:fill="D9D9D9"/>
            <w:vAlign w:val="bottom"/>
            <w:hideMark/>
          </w:tcPr>
          <w:p w:rsidR="00735613" w:rsidRDefault="00735613">
            <w:pPr>
              <w:rPr>
                <w:rFonts w:cs="Arial"/>
                <w:b/>
                <w:bCs/>
                <w:i/>
                <w:iCs/>
                <w:szCs w:val="18"/>
              </w:rPr>
            </w:pPr>
            <w:r>
              <w:rPr>
                <w:rFonts w:cs="Arial"/>
                <w:b/>
                <w:bCs/>
                <w:i/>
                <w:iCs/>
                <w:szCs w:val="18"/>
              </w:rPr>
              <w:t>Total receivables (gross)</w:t>
            </w:r>
          </w:p>
        </w:tc>
        <w:tc>
          <w:tcPr>
            <w:tcW w:w="123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30,935,497</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27,186,093</w:t>
            </w:r>
          </w:p>
        </w:tc>
      </w:tr>
      <w:tr w:rsidR="00735613" w:rsidTr="00735613">
        <w:trPr>
          <w:trHeight w:val="240"/>
        </w:trPr>
        <w:tc>
          <w:tcPr>
            <w:tcW w:w="628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 </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w:t>
            </w:r>
          </w:p>
        </w:tc>
      </w:tr>
      <w:tr w:rsidR="00735613" w:rsidTr="00735613">
        <w:trPr>
          <w:trHeight w:val="276"/>
        </w:trPr>
        <w:tc>
          <w:tcPr>
            <w:tcW w:w="6285"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The impairment allowance aged as follows</w:t>
            </w:r>
          </w:p>
        </w:tc>
        <w:tc>
          <w:tcPr>
            <w:tcW w:w="1235"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Not overdue</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(1,200,388)</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Overdue by</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200" w:firstLine="360"/>
              <w:rPr>
                <w:rFonts w:cs="Arial"/>
                <w:szCs w:val="18"/>
              </w:rPr>
            </w:pPr>
            <w:r>
              <w:rPr>
                <w:rFonts w:cs="Arial"/>
                <w:szCs w:val="18"/>
              </w:rPr>
              <w:t>0 to 30 days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(77)</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(43)</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200" w:firstLine="360"/>
              <w:rPr>
                <w:rFonts w:cs="Arial"/>
                <w:szCs w:val="18"/>
              </w:rPr>
            </w:pPr>
            <w:r>
              <w:rPr>
                <w:rFonts w:cs="Arial"/>
                <w:szCs w:val="18"/>
              </w:rPr>
              <w:t>31 to 60 days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(26)</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200" w:firstLine="360"/>
              <w:rPr>
                <w:rFonts w:cs="Arial"/>
                <w:szCs w:val="18"/>
              </w:rPr>
            </w:pPr>
            <w:r>
              <w:rPr>
                <w:rFonts w:cs="Arial"/>
                <w:szCs w:val="18"/>
              </w:rPr>
              <w:t>61 to 90 days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(34)</w:t>
            </w:r>
          </w:p>
        </w:tc>
      </w:tr>
      <w:tr w:rsidR="00735613" w:rsidTr="00735613">
        <w:trPr>
          <w:trHeight w:val="276"/>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200" w:firstLine="360"/>
              <w:rPr>
                <w:rFonts w:cs="Arial"/>
                <w:szCs w:val="18"/>
              </w:rPr>
            </w:pPr>
            <w:r>
              <w:rPr>
                <w:rFonts w:cs="Arial"/>
                <w:szCs w:val="18"/>
              </w:rPr>
              <w:t>More than 90 days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(7,446)</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(25,475)</w:t>
            </w:r>
          </w:p>
        </w:tc>
      </w:tr>
      <w:tr w:rsidR="00735613" w:rsidTr="00735613">
        <w:trPr>
          <w:trHeight w:val="276"/>
        </w:trPr>
        <w:tc>
          <w:tcPr>
            <w:tcW w:w="6285" w:type="dxa"/>
            <w:tcBorders>
              <w:top w:val="nil"/>
              <w:left w:val="nil"/>
              <w:bottom w:val="single" w:sz="4" w:space="0" w:color="D9D9D9"/>
              <w:right w:val="nil"/>
            </w:tcBorders>
            <w:shd w:val="clear" w:color="000000" w:fill="D9D9D9"/>
            <w:vAlign w:val="bottom"/>
            <w:hideMark/>
          </w:tcPr>
          <w:p w:rsidR="00735613" w:rsidRDefault="00735613">
            <w:pPr>
              <w:rPr>
                <w:rFonts w:cs="Arial"/>
                <w:b/>
                <w:bCs/>
                <w:i/>
                <w:iCs/>
                <w:szCs w:val="18"/>
              </w:rPr>
            </w:pPr>
            <w:r>
              <w:rPr>
                <w:rFonts w:cs="Arial"/>
                <w:b/>
                <w:bCs/>
                <w:i/>
                <w:iCs/>
                <w:szCs w:val="18"/>
              </w:rPr>
              <w:t xml:space="preserve">Total impairment allowance </w:t>
            </w:r>
          </w:p>
        </w:tc>
        <w:tc>
          <w:tcPr>
            <w:tcW w:w="123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(7,523)</w:t>
            </w:r>
          </w:p>
        </w:tc>
        <w:tc>
          <w:tcPr>
            <w:tcW w:w="236" w:type="dxa"/>
            <w:tcBorders>
              <w:top w:val="nil"/>
              <w:left w:val="nil"/>
              <w:bottom w:val="single" w:sz="4" w:space="0" w:color="D9D9D9"/>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22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(1,225,966)</w:t>
            </w:r>
          </w:p>
        </w:tc>
      </w:tr>
      <w:tr w:rsidR="00735613" w:rsidTr="00735613">
        <w:trPr>
          <w:trHeight w:val="264"/>
        </w:trPr>
        <w:tc>
          <w:tcPr>
            <w:tcW w:w="6285"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28"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w:t>
            </w:r>
          </w:p>
        </w:tc>
      </w:tr>
      <w:tr w:rsidR="00735613" w:rsidTr="00735613">
        <w:trPr>
          <w:trHeight w:val="480"/>
        </w:trPr>
        <w:tc>
          <w:tcPr>
            <w:tcW w:w="8984" w:type="dxa"/>
            <w:gridSpan w:val="4"/>
            <w:tcBorders>
              <w:top w:val="single" w:sz="4" w:space="0" w:color="D9D9D9"/>
              <w:left w:val="nil"/>
              <w:bottom w:val="single" w:sz="4" w:space="0" w:color="D9D9D9"/>
              <w:right w:val="nil"/>
            </w:tcBorders>
            <w:shd w:val="clear" w:color="000000" w:fill="D9D9D9"/>
            <w:vAlign w:val="bottom"/>
            <w:hideMark/>
          </w:tcPr>
          <w:p w:rsidR="00735613" w:rsidRDefault="00735613">
            <w:pPr>
              <w:rPr>
                <w:rFonts w:cs="Arial"/>
                <w:szCs w:val="18"/>
              </w:rPr>
            </w:pPr>
            <w:r>
              <w:rPr>
                <w:rFonts w:cs="Arial"/>
                <w:szCs w:val="18"/>
              </w:rPr>
              <w:t>Goods and services receivables are with entities external to the Australian Government.  Credit terms are payment within 30 days (2014: 30 days).</w:t>
            </w:r>
          </w:p>
        </w:tc>
      </w:tr>
      <w:tr w:rsidR="00735613" w:rsidTr="00735613">
        <w:trPr>
          <w:trHeight w:val="264"/>
        </w:trPr>
        <w:tc>
          <w:tcPr>
            <w:tcW w:w="6285"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28"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 </w:t>
            </w:r>
          </w:p>
        </w:tc>
      </w:tr>
      <w:tr w:rsidR="00735613" w:rsidTr="00735613">
        <w:trPr>
          <w:trHeight w:val="264"/>
        </w:trPr>
        <w:tc>
          <w:tcPr>
            <w:tcW w:w="6285"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Reconciliation of the Impairment Allowance Account:</w:t>
            </w:r>
          </w:p>
        </w:tc>
        <w:tc>
          <w:tcPr>
            <w:tcW w:w="1235"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28"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 </w:t>
            </w:r>
          </w:p>
        </w:tc>
      </w:tr>
      <w:tr w:rsidR="00735613" w:rsidTr="00735613">
        <w:trPr>
          <w:trHeight w:val="264"/>
        </w:trPr>
        <w:tc>
          <w:tcPr>
            <w:tcW w:w="6285"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28"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 </w:t>
            </w:r>
          </w:p>
        </w:tc>
      </w:tr>
      <w:tr w:rsidR="00735613" w:rsidTr="00735613">
        <w:trPr>
          <w:trHeight w:val="264"/>
        </w:trPr>
        <w:tc>
          <w:tcPr>
            <w:tcW w:w="6285"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Movements in relation to 2015</w:t>
            </w:r>
          </w:p>
        </w:tc>
        <w:tc>
          <w:tcPr>
            <w:tcW w:w="1235"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28"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w:t>
            </w:r>
          </w:p>
        </w:tc>
      </w:tr>
      <w:tr w:rsidR="00735613" w:rsidTr="00735613">
        <w:trPr>
          <w:trHeight w:val="264"/>
        </w:trPr>
        <w:tc>
          <w:tcPr>
            <w:tcW w:w="6285" w:type="dxa"/>
            <w:tcBorders>
              <w:top w:val="single" w:sz="4" w:space="0" w:color="auto"/>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single" w:sz="4" w:space="0" w:color="auto"/>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Receivables</w:t>
            </w:r>
          </w:p>
        </w:tc>
        <w:tc>
          <w:tcPr>
            <w:tcW w:w="236" w:type="dxa"/>
            <w:tcBorders>
              <w:top w:val="single" w:sz="4" w:space="0" w:color="auto"/>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28" w:type="dxa"/>
            <w:tcBorders>
              <w:top w:val="single" w:sz="4" w:space="0" w:color="auto"/>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Total</w:t>
            </w:r>
          </w:p>
        </w:tc>
      </w:tr>
      <w:tr w:rsidR="00735613" w:rsidTr="00735613">
        <w:trPr>
          <w:trHeight w:val="264"/>
        </w:trPr>
        <w:tc>
          <w:tcPr>
            <w:tcW w:w="6285" w:type="dxa"/>
            <w:tcBorders>
              <w:top w:val="single" w:sz="4" w:space="0" w:color="D9D9D9"/>
              <w:left w:val="nil"/>
              <w:bottom w:val="single" w:sz="4" w:space="0" w:color="auto"/>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single" w:sz="4" w:space="0" w:color="D9D9D9"/>
              <w:left w:val="nil"/>
              <w:bottom w:val="single" w:sz="4" w:space="0" w:color="auto"/>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236" w:type="dxa"/>
            <w:tcBorders>
              <w:top w:val="single" w:sz="4" w:space="0" w:color="D9D9D9"/>
              <w:left w:val="nil"/>
              <w:bottom w:val="single" w:sz="4" w:space="0" w:color="auto"/>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28" w:type="dxa"/>
            <w:tcBorders>
              <w:top w:val="single" w:sz="4" w:space="0" w:color="D9D9D9"/>
              <w:left w:val="nil"/>
              <w:bottom w:val="single" w:sz="4" w:space="0" w:color="auto"/>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r>
      <w:tr w:rsidR="00735613" w:rsidTr="00735613">
        <w:trPr>
          <w:trHeight w:val="264"/>
        </w:trPr>
        <w:tc>
          <w:tcPr>
            <w:tcW w:w="6285"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Opening balance at 1 July 2014</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(1,225,966)</w:t>
            </w:r>
          </w:p>
        </w:tc>
        <w:tc>
          <w:tcPr>
            <w:tcW w:w="23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(1,225,966)</w:t>
            </w:r>
          </w:p>
        </w:tc>
      </w:tr>
      <w:tr w:rsidR="00735613" w:rsidTr="00735613">
        <w:trPr>
          <w:trHeight w:val="264"/>
        </w:trPr>
        <w:tc>
          <w:tcPr>
            <w:tcW w:w="6285" w:type="dxa"/>
            <w:tcBorders>
              <w:top w:val="single" w:sz="4" w:space="0" w:color="D9D9D9"/>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Amounts written off</w:t>
            </w:r>
          </w:p>
        </w:tc>
        <w:tc>
          <w:tcPr>
            <w:tcW w:w="1235" w:type="dxa"/>
            <w:tcBorders>
              <w:top w:val="single" w:sz="4" w:space="0" w:color="D9D9D9"/>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(142)</w:t>
            </w:r>
          </w:p>
        </w:tc>
        <w:tc>
          <w:tcPr>
            <w:tcW w:w="236" w:type="dxa"/>
            <w:tcBorders>
              <w:top w:val="single" w:sz="4" w:space="0" w:color="D9D9D9"/>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(142)</w:t>
            </w:r>
          </w:p>
        </w:tc>
      </w:tr>
      <w:tr w:rsidR="00735613" w:rsidTr="00735613">
        <w:trPr>
          <w:trHeight w:val="264"/>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Amounts recovered and reversed</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142 </w:t>
            </w:r>
          </w:p>
        </w:tc>
        <w:tc>
          <w:tcPr>
            <w:tcW w:w="23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142</w:t>
            </w:r>
          </w:p>
        </w:tc>
      </w:tr>
      <w:tr w:rsidR="00735613" w:rsidTr="00735613">
        <w:trPr>
          <w:trHeight w:val="264"/>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Reversal of previous impairment</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1,200,266 </w:t>
            </w:r>
          </w:p>
        </w:tc>
        <w:tc>
          <w:tcPr>
            <w:tcW w:w="23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1,200,266</w:t>
            </w:r>
          </w:p>
        </w:tc>
      </w:tr>
      <w:tr w:rsidR="00735613" w:rsidTr="00735613">
        <w:trPr>
          <w:trHeight w:val="240"/>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Amounts transferred through restructuring</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36,559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36,559</w:t>
            </w:r>
          </w:p>
        </w:tc>
      </w:tr>
      <w:tr w:rsidR="00735613" w:rsidTr="00735613">
        <w:trPr>
          <w:trHeight w:val="264"/>
        </w:trPr>
        <w:tc>
          <w:tcPr>
            <w:tcW w:w="6285"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Increase (decrease) recognised in net cost of services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(18,382)</w:t>
            </w:r>
          </w:p>
        </w:tc>
        <w:tc>
          <w:tcPr>
            <w:tcW w:w="23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(18,382)</w:t>
            </w:r>
          </w:p>
        </w:tc>
      </w:tr>
      <w:tr w:rsidR="00735613" w:rsidTr="00735613">
        <w:trPr>
          <w:trHeight w:val="264"/>
        </w:trPr>
        <w:tc>
          <w:tcPr>
            <w:tcW w:w="6285" w:type="dxa"/>
            <w:tcBorders>
              <w:top w:val="single" w:sz="4" w:space="0" w:color="auto"/>
              <w:left w:val="nil"/>
              <w:bottom w:val="single" w:sz="4" w:space="0" w:color="auto"/>
              <w:right w:val="nil"/>
            </w:tcBorders>
            <w:shd w:val="clear" w:color="000000" w:fill="D9D9D9"/>
            <w:vAlign w:val="bottom"/>
            <w:hideMark/>
          </w:tcPr>
          <w:p w:rsidR="00735613" w:rsidRDefault="00735613">
            <w:pPr>
              <w:rPr>
                <w:rFonts w:cs="Arial"/>
                <w:b/>
                <w:bCs/>
                <w:i/>
                <w:iCs/>
                <w:szCs w:val="18"/>
              </w:rPr>
            </w:pPr>
            <w:r>
              <w:rPr>
                <w:rFonts w:cs="Arial"/>
                <w:b/>
                <w:bCs/>
                <w:i/>
                <w:iCs/>
                <w:szCs w:val="18"/>
              </w:rPr>
              <w:t>Closing balance at 30 June 2015</w:t>
            </w:r>
          </w:p>
        </w:tc>
        <w:tc>
          <w:tcPr>
            <w:tcW w:w="123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(7,523)</w:t>
            </w:r>
          </w:p>
        </w:tc>
        <w:tc>
          <w:tcPr>
            <w:tcW w:w="236" w:type="dxa"/>
            <w:tcBorders>
              <w:top w:val="single" w:sz="4" w:space="0" w:color="auto"/>
              <w:left w:val="nil"/>
              <w:bottom w:val="single" w:sz="4" w:space="0" w:color="auto"/>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2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(7,523)</w:t>
            </w:r>
          </w:p>
        </w:tc>
      </w:tr>
      <w:tr w:rsidR="00735613" w:rsidTr="00735613">
        <w:trPr>
          <w:trHeight w:val="264"/>
        </w:trPr>
        <w:tc>
          <w:tcPr>
            <w:tcW w:w="6285"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5"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Movements in relation to 2014</w:t>
            </w:r>
          </w:p>
        </w:tc>
        <w:tc>
          <w:tcPr>
            <w:tcW w:w="1235"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5" w:type="dxa"/>
            <w:tcBorders>
              <w:top w:val="single" w:sz="4" w:space="0" w:color="auto"/>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single" w:sz="4" w:space="0" w:color="auto"/>
              <w:left w:val="nil"/>
              <w:bottom w:val="nil"/>
              <w:right w:val="nil"/>
            </w:tcBorders>
            <w:shd w:val="clear" w:color="000000" w:fill="D9D9D9"/>
            <w:vAlign w:val="bottom"/>
            <w:hideMark/>
          </w:tcPr>
          <w:p w:rsidR="00735613" w:rsidRDefault="00735613">
            <w:pPr>
              <w:jc w:val="right"/>
              <w:rPr>
                <w:rFonts w:cs="Arial"/>
                <w:szCs w:val="18"/>
              </w:rPr>
            </w:pPr>
            <w:r>
              <w:rPr>
                <w:rFonts w:cs="Arial"/>
                <w:szCs w:val="18"/>
              </w:rPr>
              <w:t>Receivables</w:t>
            </w:r>
          </w:p>
        </w:tc>
        <w:tc>
          <w:tcPr>
            <w:tcW w:w="236" w:type="dxa"/>
            <w:tcBorders>
              <w:top w:val="single" w:sz="4" w:space="0" w:color="auto"/>
              <w:left w:val="nil"/>
              <w:bottom w:val="nil"/>
              <w:right w:val="nil"/>
            </w:tcBorders>
            <w:shd w:val="clear" w:color="000000" w:fill="D9D9D9"/>
            <w:vAlign w:val="bottom"/>
            <w:hideMark/>
          </w:tcPr>
          <w:p w:rsidR="00735613" w:rsidRDefault="00735613">
            <w:pPr>
              <w:jc w:val="right"/>
              <w:rPr>
                <w:rFonts w:cs="Arial"/>
                <w:szCs w:val="18"/>
              </w:rPr>
            </w:pPr>
            <w:r>
              <w:rPr>
                <w:rFonts w:cs="Arial"/>
                <w:szCs w:val="18"/>
              </w:rPr>
              <w:t> </w:t>
            </w:r>
          </w:p>
        </w:tc>
        <w:tc>
          <w:tcPr>
            <w:tcW w:w="1228" w:type="dxa"/>
            <w:tcBorders>
              <w:top w:val="single" w:sz="4" w:space="0" w:color="auto"/>
              <w:left w:val="nil"/>
              <w:bottom w:val="nil"/>
              <w:right w:val="nil"/>
            </w:tcBorders>
            <w:shd w:val="clear" w:color="000000" w:fill="D9D9D9"/>
            <w:vAlign w:val="bottom"/>
            <w:hideMark/>
          </w:tcPr>
          <w:p w:rsidR="00735613" w:rsidRDefault="00735613">
            <w:pPr>
              <w:jc w:val="right"/>
              <w:rPr>
                <w:rFonts w:cs="Arial"/>
                <w:szCs w:val="18"/>
              </w:rPr>
            </w:pPr>
            <w:r>
              <w:rPr>
                <w:rFonts w:cs="Arial"/>
                <w:szCs w:val="18"/>
              </w:rPr>
              <w:t>Total</w:t>
            </w:r>
          </w:p>
        </w:tc>
      </w:tr>
      <w:tr w:rsidR="00735613" w:rsidTr="00735613">
        <w:trPr>
          <w:trHeight w:val="264"/>
        </w:trPr>
        <w:tc>
          <w:tcPr>
            <w:tcW w:w="6285" w:type="dxa"/>
            <w:tcBorders>
              <w:top w:val="single" w:sz="4" w:space="0" w:color="D9D9D9"/>
              <w:left w:val="nil"/>
              <w:bottom w:val="single" w:sz="4" w:space="0" w:color="auto"/>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single" w:sz="4" w:space="0" w:color="D9D9D9"/>
              <w:left w:val="nil"/>
              <w:bottom w:val="single" w:sz="4" w:space="0" w:color="auto"/>
              <w:right w:val="nil"/>
            </w:tcBorders>
            <w:shd w:val="clear" w:color="000000" w:fill="D9D9D9"/>
            <w:vAlign w:val="bottom"/>
            <w:hideMark/>
          </w:tcPr>
          <w:p w:rsidR="00735613" w:rsidRDefault="00735613">
            <w:pPr>
              <w:jc w:val="right"/>
              <w:rPr>
                <w:rFonts w:cs="Arial"/>
                <w:szCs w:val="18"/>
              </w:rPr>
            </w:pPr>
            <w:r>
              <w:rPr>
                <w:rFonts w:cs="Arial"/>
                <w:szCs w:val="18"/>
              </w:rPr>
              <w:t>$'000</w:t>
            </w:r>
          </w:p>
        </w:tc>
        <w:tc>
          <w:tcPr>
            <w:tcW w:w="236" w:type="dxa"/>
            <w:tcBorders>
              <w:top w:val="single" w:sz="4" w:space="0" w:color="D9D9D9"/>
              <w:left w:val="nil"/>
              <w:bottom w:val="single" w:sz="4" w:space="0" w:color="auto"/>
              <w:right w:val="nil"/>
            </w:tcBorders>
            <w:shd w:val="clear" w:color="000000" w:fill="D9D9D9"/>
            <w:vAlign w:val="bottom"/>
            <w:hideMark/>
          </w:tcPr>
          <w:p w:rsidR="00735613" w:rsidRDefault="00735613">
            <w:pPr>
              <w:jc w:val="right"/>
              <w:rPr>
                <w:rFonts w:cs="Arial"/>
                <w:szCs w:val="18"/>
              </w:rPr>
            </w:pPr>
            <w:r>
              <w:rPr>
                <w:rFonts w:cs="Arial"/>
                <w:szCs w:val="18"/>
              </w:rPr>
              <w:t> </w:t>
            </w:r>
          </w:p>
        </w:tc>
        <w:tc>
          <w:tcPr>
            <w:tcW w:w="1228" w:type="dxa"/>
            <w:tcBorders>
              <w:top w:val="single" w:sz="4" w:space="0" w:color="D9D9D9"/>
              <w:left w:val="nil"/>
              <w:bottom w:val="single" w:sz="4" w:space="0" w:color="auto"/>
              <w:right w:val="nil"/>
            </w:tcBorders>
            <w:shd w:val="clear" w:color="000000" w:fill="D9D9D9"/>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6285"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Opening balance at 19 September 2013</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(1,188,060)</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(1,188,060)</w:t>
            </w:r>
          </w:p>
        </w:tc>
      </w:tr>
      <w:tr w:rsidR="00735613" w:rsidTr="00735613">
        <w:trPr>
          <w:trHeight w:val="264"/>
        </w:trPr>
        <w:tc>
          <w:tcPr>
            <w:tcW w:w="6285" w:type="dxa"/>
            <w:tcBorders>
              <w:top w:val="single" w:sz="4" w:space="0" w:color="D9D9D9"/>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Amounts written off</w:t>
            </w:r>
          </w:p>
        </w:tc>
        <w:tc>
          <w:tcPr>
            <w:tcW w:w="1235" w:type="dxa"/>
            <w:tcBorders>
              <w:top w:val="single" w:sz="4" w:space="0" w:color="D9D9D9"/>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(462)</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(462)</w:t>
            </w:r>
          </w:p>
        </w:tc>
      </w:tr>
      <w:tr w:rsidR="00735613" w:rsidTr="00735613">
        <w:trPr>
          <w:trHeight w:val="264"/>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Amounts recovered and reversed</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xml:space="preserve">12,873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12,873</w:t>
            </w:r>
          </w:p>
        </w:tc>
      </w:tr>
      <w:tr w:rsidR="00735613" w:rsidTr="00735613">
        <w:trPr>
          <w:trHeight w:val="264"/>
        </w:trPr>
        <w:tc>
          <w:tcPr>
            <w:tcW w:w="6285"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Reversal of previous impairment</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xml:space="preserve">9,331 </w:t>
            </w:r>
          </w:p>
        </w:tc>
        <w:tc>
          <w:tcPr>
            <w:tcW w:w="23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9,331</w:t>
            </w:r>
          </w:p>
        </w:tc>
      </w:tr>
      <w:tr w:rsidR="00735613" w:rsidTr="00735613">
        <w:trPr>
          <w:trHeight w:val="264"/>
        </w:trPr>
        <w:tc>
          <w:tcPr>
            <w:tcW w:w="6285"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Increase/decrease recognised in net surplus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(59,648)</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(59,648)</w:t>
            </w:r>
          </w:p>
        </w:tc>
      </w:tr>
      <w:tr w:rsidR="00735613" w:rsidTr="00735613">
        <w:trPr>
          <w:trHeight w:val="264"/>
        </w:trPr>
        <w:tc>
          <w:tcPr>
            <w:tcW w:w="6285" w:type="dxa"/>
            <w:tcBorders>
              <w:top w:val="single" w:sz="4" w:space="0" w:color="auto"/>
              <w:left w:val="nil"/>
              <w:bottom w:val="single" w:sz="4" w:space="0" w:color="auto"/>
              <w:right w:val="nil"/>
            </w:tcBorders>
            <w:shd w:val="clear" w:color="000000" w:fill="D9D9D9"/>
            <w:vAlign w:val="bottom"/>
            <w:hideMark/>
          </w:tcPr>
          <w:p w:rsidR="00735613" w:rsidRDefault="00735613">
            <w:pPr>
              <w:rPr>
                <w:rFonts w:cs="Arial"/>
                <w:b/>
                <w:bCs/>
                <w:i/>
                <w:iCs/>
                <w:szCs w:val="18"/>
              </w:rPr>
            </w:pPr>
            <w:r>
              <w:rPr>
                <w:rFonts w:cs="Arial"/>
                <w:b/>
                <w:bCs/>
                <w:i/>
                <w:iCs/>
                <w:szCs w:val="18"/>
              </w:rPr>
              <w:t>Closing balance at 30 June 2014</w:t>
            </w:r>
          </w:p>
        </w:tc>
        <w:tc>
          <w:tcPr>
            <w:tcW w:w="123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(1,225,966)</w:t>
            </w:r>
          </w:p>
        </w:tc>
        <w:tc>
          <w:tcPr>
            <w:tcW w:w="236" w:type="dxa"/>
            <w:tcBorders>
              <w:top w:val="single" w:sz="4" w:space="0" w:color="auto"/>
              <w:left w:val="nil"/>
              <w:bottom w:val="single" w:sz="4" w:space="0" w:color="auto"/>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2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(1,225,966)</w:t>
            </w:r>
          </w:p>
        </w:tc>
      </w:tr>
    </w:tbl>
    <w:p w:rsidR="00735613" w:rsidRDefault="00735613">
      <w:bookmarkStart w:id="464" w:name="RANGE!D41:G84"/>
      <w:bookmarkStart w:id="465" w:name="RANGE!D41:G83"/>
      <w:bookmarkStart w:id="466" w:name="RANGE!D41:H83"/>
      <w:bookmarkStart w:id="467" w:name="RANGE!D41:H82"/>
      <w:bookmarkStart w:id="468" w:name="RANGE!D41:H81"/>
      <w:bookmarkStart w:id="469" w:name="RANGE!D43:G83"/>
      <w:bookmarkEnd w:id="464"/>
      <w:bookmarkEnd w:id="465"/>
      <w:bookmarkEnd w:id="466"/>
      <w:bookmarkEnd w:id="467"/>
      <w:bookmarkEnd w:id="468"/>
      <w:bookmarkEnd w:id="469"/>
    </w:p>
    <w:p w:rsidR="00735613" w:rsidRDefault="00735613">
      <w:pPr>
        <w:spacing w:line="240" w:lineRule="auto"/>
      </w:pPr>
      <w:r>
        <w:br w:type="page"/>
      </w:r>
      <w:bookmarkStart w:id="470" w:name="RANGE!D42:G82"/>
      <w:bookmarkStart w:id="471" w:name="RANGE!D45:G85"/>
      <w:bookmarkStart w:id="472" w:name="RANGE!D44:G84"/>
      <w:bookmarkEnd w:id="470"/>
      <w:bookmarkEnd w:id="471"/>
      <w:bookmarkEnd w:id="472"/>
    </w:p>
    <w:p w:rsidR="00735613" w:rsidRDefault="00735613"/>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bookmarkStart w:id="473" w:name="Note_AOVTABLE1" w:colFirst="0" w:colLast="0"/>
            <w:r>
              <w:rPr>
                <w:rFonts w:ascii="Arial" w:hAnsi="Arial" w:cs="Arial"/>
                <w:sz w:val="16"/>
                <w:szCs w:val="16"/>
              </w:rPr>
              <w:t> </w:t>
            </w:r>
          </w:p>
        </w:tc>
        <w:tc>
          <w:tcPr>
            <w:tcW w:w="1235" w:type="dxa"/>
            <w:tcBorders>
              <w:top w:val="single" w:sz="4" w:space="0" w:color="D9D9D9"/>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2015</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2014</w:t>
            </w:r>
          </w:p>
        </w:tc>
      </w:tr>
      <w:bookmarkEnd w:id="473"/>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6286" w:type="dxa"/>
            <w:tcBorders>
              <w:top w:val="nil"/>
              <w:left w:val="nil"/>
              <w:bottom w:val="nil"/>
              <w:right w:val="nil"/>
            </w:tcBorders>
            <w:shd w:val="clear" w:color="000000" w:fill="D9D9D9"/>
            <w:noWrap/>
            <w:hideMark/>
          </w:tcPr>
          <w:p w:rsidR="00735613" w:rsidRDefault="00735613">
            <w:pPr>
              <w:rPr>
                <w:rFonts w:cs="Arial"/>
                <w:b/>
                <w:bCs/>
                <w:szCs w:val="18"/>
                <w:u w:val="single"/>
              </w:rPr>
            </w:pPr>
            <w:r>
              <w:rPr>
                <w:rFonts w:cs="Arial"/>
                <w:b/>
                <w:bCs/>
                <w:szCs w:val="18"/>
                <w:u w:val="single"/>
              </w:rPr>
              <w:t>Note 21C: Other investments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Other Investments: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628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Australian Institute for Teaching and School Leadership</w:t>
            </w:r>
            <w:r>
              <w:rPr>
                <w:rFonts w:cs="Arial"/>
                <w:szCs w:val="18"/>
                <w:vertAlign w:val="superscript"/>
              </w:rPr>
              <w:t>1</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4,687</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5,676</w:t>
            </w:r>
          </w:p>
        </w:tc>
      </w:tr>
      <w:tr w:rsidR="00735613" w:rsidTr="00735613">
        <w:trPr>
          <w:trHeight w:val="276"/>
        </w:trPr>
        <w:tc>
          <w:tcPr>
            <w:tcW w:w="628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Australian Curriculum, Assessment and Reporting Authority</w:t>
            </w:r>
            <w:r>
              <w:rPr>
                <w:rFonts w:cs="Arial"/>
                <w:szCs w:val="18"/>
                <w:vertAlign w:val="superscript"/>
              </w:rPr>
              <w:t>2</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2,108</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2,448</w:t>
            </w:r>
          </w:p>
        </w:tc>
      </w:tr>
      <w:tr w:rsidR="00735613" w:rsidTr="00735613">
        <w:trPr>
          <w:trHeight w:val="276"/>
        </w:trPr>
        <w:tc>
          <w:tcPr>
            <w:tcW w:w="6286"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Australian National University</w:t>
            </w:r>
            <w:r>
              <w:rPr>
                <w:rFonts w:cs="Arial"/>
                <w:szCs w:val="18"/>
                <w:vertAlign w:val="superscript"/>
              </w:rPr>
              <w:t>3</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2,104,675</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2,102,437</w:t>
            </w:r>
          </w:p>
        </w:tc>
      </w:tr>
      <w:tr w:rsidR="00735613" w:rsidTr="00735613">
        <w:trPr>
          <w:trHeight w:val="276"/>
        </w:trPr>
        <w:tc>
          <w:tcPr>
            <w:tcW w:w="628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Australian Institute of Aboriginal and Torres Strait Islander Studies</w:t>
            </w:r>
            <w:r>
              <w:rPr>
                <w:rFonts w:cs="Arial"/>
                <w:szCs w:val="18"/>
                <w:vertAlign w:val="superscript"/>
              </w:rPr>
              <w:t>4</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38,460</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38,465</w:t>
            </w:r>
          </w:p>
        </w:tc>
      </w:tr>
      <w:tr w:rsidR="00735613" w:rsidTr="00735613">
        <w:trPr>
          <w:trHeight w:val="264"/>
        </w:trPr>
        <w:tc>
          <w:tcPr>
            <w:tcW w:w="6286" w:type="dxa"/>
            <w:tcBorders>
              <w:top w:val="single" w:sz="4" w:space="0" w:color="D9D9D9"/>
              <w:left w:val="nil"/>
              <w:bottom w:val="single" w:sz="4" w:space="0" w:color="D9D9D9"/>
              <w:right w:val="nil"/>
            </w:tcBorders>
            <w:shd w:val="clear" w:color="000000" w:fill="D9D9D9"/>
            <w:vAlign w:val="bottom"/>
            <w:hideMark/>
          </w:tcPr>
          <w:p w:rsidR="00735613" w:rsidRDefault="00735613">
            <w:pPr>
              <w:rPr>
                <w:rFonts w:cs="Arial"/>
                <w:b/>
                <w:bCs/>
                <w:i/>
                <w:iCs/>
                <w:szCs w:val="18"/>
              </w:rPr>
            </w:pPr>
            <w:r>
              <w:rPr>
                <w:rFonts w:cs="Arial"/>
                <w:b/>
                <w:bCs/>
                <w:i/>
                <w:iCs/>
                <w:szCs w:val="18"/>
              </w:rPr>
              <w:t>Total other investments</w:t>
            </w:r>
          </w:p>
        </w:tc>
        <w:tc>
          <w:tcPr>
            <w:tcW w:w="123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2,149,930</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2,149,026</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single" w:sz="4" w:space="0" w:color="D9D9D9"/>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xml:space="preserve">Other investments expected to be recovered </w:t>
            </w:r>
          </w:p>
        </w:tc>
        <w:tc>
          <w:tcPr>
            <w:tcW w:w="1235"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No more than 12 months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More than 12 months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2,149,930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2,149,026 </w:t>
            </w:r>
          </w:p>
        </w:tc>
      </w:tr>
      <w:tr w:rsidR="00735613" w:rsidTr="00735613">
        <w:trPr>
          <w:trHeight w:val="276"/>
        </w:trPr>
        <w:tc>
          <w:tcPr>
            <w:tcW w:w="628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other investments</w:t>
            </w:r>
          </w:p>
        </w:tc>
        <w:tc>
          <w:tcPr>
            <w:tcW w:w="1235"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2,149,930</w:t>
            </w:r>
          </w:p>
        </w:tc>
        <w:tc>
          <w:tcPr>
            <w:tcW w:w="23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228"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2,149,026</w:t>
            </w:r>
          </w:p>
        </w:tc>
      </w:tr>
    </w:tbl>
    <w:p w:rsidR="00735613" w:rsidRDefault="00735613">
      <w:pPr>
        <w:pStyle w:val="GreyShadeTableBreak"/>
      </w:pPr>
      <w:bookmarkStart w:id="474" w:name="RANGE!D7:D21"/>
      <w:bookmarkStart w:id="475" w:name="RANGE!D7:G19"/>
      <w:bookmarkStart w:id="476" w:name="RANGE!D7:H25"/>
      <w:bookmarkStart w:id="477" w:name="RANGE!D6:G48"/>
      <w:bookmarkStart w:id="478" w:name="RANGE!D6:H54"/>
      <w:bookmarkEnd w:id="474"/>
      <w:bookmarkEnd w:id="475"/>
      <w:bookmarkEnd w:id="476"/>
      <w:bookmarkEnd w:id="477"/>
      <w:bookmarkEnd w:id="478"/>
    </w:p>
    <w:tbl>
      <w:tblPr>
        <w:tblW w:w="9090" w:type="dxa"/>
        <w:tblInd w:w="28" w:type="dxa"/>
        <w:shd w:val="clear" w:color="auto" w:fill="D9D9D9" w:themeFill="background1" w:themeFillShade="D9"/>
        <w:tblLayout w:type="fixed"/>
        <w:tblCellMar>
          <w:left w:w="57" w:type="dxa"/>
          <w:right w:w="57" w:type="dxa"/>
        </w:tblCellMar>
        <w:tblLook w:val="01E0" w:firstRow="1" w:lastRow="1" w:firstColumn="1" w:lastColumn="1" w:noHBand="0" w:noVBand="0"/>
      </w:tblPr>
      <w:tblGrid>
        <w:gridCol w:w="9090"/>
      </w:tblGrid>
      <w:tr w:rsidR="00735613">
        <w:trPr>
          <w:trHeight w:val="255"/>
        </w:trPr>
        <w:tc>
          <w:tcPr>
            <w:tcW w:w="9088" w:type="dxa"/>
            <w:shd w:val="clear" w:color="auto" w:fill="D9D9D9" w:themeFill="background1" w:themeFillShade="D9"/>
            <w:vAlign w:val="bottom"/>
            <w:hideMark/>
          </w:tcPr>
          <w:p w:rsidR="00735613" w:rsidRDefault="00735613" w:rsidP="00735613">
            <w:pPr>
              <w:pStyle w:val="AdminBlankGreyShade"/>
            </w:pPr>
            <w:r>
              <w:rPr>
                <w:sz w:val="22"/>
              </w:rPr>
              <w:br w:type="page"/>
            </w:r>
            <w:r>
              <w:t>The department retains 100 per cent ownership of each of the listed investments.  The principle activity of the department’s administered investments is as follows:</w:t>
            </w:r>
          </w:p>
          <w:p w:rsidR="00735613" w:rsidRDefault="00735613" w:rsidP="00735613">
            <w:pPr>
              <w:pStyle w:val="AdminBlankGreyShade"/>
            </w:pPr>
            <w:r>
              <w:rPr>
                <w:vertAlign w:val="superscript"/>
              </w:rPr>
              <w:t>1</w:t>
            </w:r>
            <w:r>
              <w:rPr>
                <w:i/>
              </w:rPr>
              <w:t xml:space="preserve"> Australian Institute for Teaching and School Leadership Ltd</w:t>
            </w:r>
            <w:r>
              <w:t xml:space="preserve"> – supports and enhances the teaching profession for the benefit of all Australians.</w:t>
            </w:r>
          </w:p>
          <w:p w:rsidR="00735613" w:rsidRDefault="00735613" w:rsidP="00735613">
            <w:pPr>
              <w:pStyle w:val="AdminBlankGreyShade"/>
            </w:pPr>
            <w:r>
              <w:rPr>
                <w:vertAlign w:val="superscript"/>
              </w:rPr>
              <w:t>2</w:t>
            </w:r>
            <w:r>
              <w:t xml:space="preserve"> </w:t>
            </w:r>
            <w:r>
              <w:rPr>
                <w:i/>
              </w:rPr>
              <w:t>Australian Curriculum, Assessment and Reporting Authority</w:t>
            </w:r>
            <w:r>
              <w:t xml:space="preserve"> – executes the policy directions that are determined by the Ministerial Council for Education, Early Childhood Development and Youth Affairs regarding curriculum, assessment, data collection and reporting at a national level.</w:t>
            </w:r>
          </w:p>
          <w:p w:rsidR="00735613" w:rsidRDefault="00735613" w:rsidP="00735613">
            <w:pPr>
              <w:pStyle w:val="AdminBlankGreyShade"/>
            </w:pPr>
            <w:r w:rsidRPr="00980EE1">
              <w:rPr>
                <w:vertAlign w:val="superscript"/>
              </w:rPr>
              <w:t>3</w:t>
            </w:r>
            <w:r>
              <w:t xml:space="preserve"> </w:t>
            </w:r>
            <w:r w:rsidRPr="00980EE1">
              <w:rPr>
                <w:i/>
              </w:rPr>
              <w:t>Australian National University</w:t>
            </w:r>
            <w:r>
              <w:t xml:space="preserve"> – provision of research and teaching services.</w:t>
            </w:r>
          </w:p>
          <w:p w:rsidR="00735613" w:rsidRDefault="00735613" w:rsidP="00735613">
            <w:pPr>
              <w:pStyle w:val="AdminBlankGreyShade"/>
            </w:pPr>
            <w:r>
              <w:rPr>
                <w:vertAlign w:val="superscript"/>
              </w:rPr>
              <w:t xml:space="preserve">4 </w:t>
            </w:r>
            <w:r>
              <w:rPr>
                <w:i/>
              </w:rPr>
              <w:t>Australian Institute of Aboriginal and Torres Strait Islander Studies</w:t>
            </w:r>
            <w:r>
              <w:t xml:space="preserve"> – building pathways for the knowledge of Aboriginal and Torres Strait Islander peoples to grow and share.</w:t>
            </w:r>
          </w:p>
          <w:p w:rsidR="00735613" w:rsidRDefault="00735613" w:rsidP="00735613">
            <w:pPr>
              <w:pStyle w:val="AdminBlankGreyShade"/>
            </w:pPr>
          </w:p>
        </w:tc>
      </w:tr>
    </w:tbl>
    <w:p w:rsidR="00735613" w:rsidRDefault="00735613">
      <w:pPr>
        <w:spacing w:line="240" w:lineRule="auto"/>
      </w:pPr>
    </w:p>
    <w:p w:rsidR="00735613" w:rsidRDefault="00735613">
      <w:pPr>
        <w:spacing w:line="240" w:lineRule="auto"/>
      </w:pPr>
    </w:p>
    <w:p w:rsidR="00735613" w:rsidRDefault="00735613">
      <w:pPr>
        <w:spacing w:line="240" w:lineRule="auto"/>
      </w:pPr>
    </w:p>
    <w:p w:rsidR="00735613" w:rsidRDefault="00735613">
      <w:pPr>
        <w:spacing w:line="240" w:lineRule="auto"/>
      </w:pPr>
    </w:p>
    <w:p w:rsidR="00735613" w:rsidRDefault="00735613">
      <w:pPr>
        <w:spacing w:line="240" w:lineRule="auto"/>
      </w:pPr>
      <w:r>
        <w:br w:type="page"/>
      </w:r>
    </w:p>
    <w:p w:rsidR="00735613" w:rsidRDefault="00735613" w:rsidP="00735613">
      <w:pPr>
        <w:pStyle w:val="NotesHeading-Level1GreyShade"/>
        <w:numPr>
          <w:ilvl w:val="0"/>
          <w:numId w:val="9"/>
        </w:numPr>
      </w:pPr>
      <w:bookmarkStart w:id="479" w:name="RANGE!D6:H27"/>
      <w:bookmarkStart w:id="480" w:name="_Toc420422391"/>
      <w:bookmarkEnd w:id="479"/>
      <w:r>
        <w:t>Administered Non-Financial Assets</w:t>
      </w:r>
      <w:bookmarkEnd w:id="480"/>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40"/>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bookmarkStart w:id="481" w:name="Note_ANFTABLE1" w:colFirst="0" w:colLast="0"/>
            <w:r>
              <w:rPr>
                <w:rFonts w:ascii="Arial" w:hAnsi="Arial" w:cs="Arial"/>
                <w:sz w:val="16"/>
                <w:szCs w:val="16"/>
              </w:rPr>
              <w:t> </w:t>
            </w:r>
          </w:p>
        </w:tc>
        <w:tc>
          <w:tcPr>
            <w:tcW w:w="1235"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2014</w:t>
            </w:r>
          </w:p>
        </w:tc>
      </w:tr>
      <w:bookmarkEnd w:id="481"/>
      <w:tr w:rsidR="00735613" w:rsidTr="00735613">
        <w:trPr>
          <w:trHeight w:val="240"/>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6286" w:type="dxa"/>
            <w:tcBorders>
              <w:top w:val="nil"/>
              <w:left w:val="nil"/>
              <w:bottom w:val="nil"/>
              <w:right w:val="nil"/>
            </w:tcBorders>
            <w:shd w:val="clear" w:color="000000" w:fill="D9D9D9"/>
            <w:noWrap/>
            <w:hideMark/>
          </w:tcPr>
          <w:p w:rsidR="00735613" w:rsidRDefault="00735613">
            <w:pPr>
              <w:rPr>
                <w:rFonts w:cs="Arial"/>
                <w:b/>
                <w:bCs/>
                <w:szCs w:val="18"/>
                <w:u w:val="single"/>
              </w:rPr>
            </w:pPr>
            <w:r>
              <w:rPr>
                <w:rFonts w:cs="Arial"/>
                <w:b/>
                <w:bCs/>
                <w:szCs w:val="18"/>
                <w:u w:val="single"/>
              </w:rPr>
              <w:t>Note: Other non-financial assets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Prepayments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523</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i/>
                <w:iCs/>
                <w:szCs w:val="18"/>
              </w:rPr>
            </w:pPr>
            <w:r>
              <w:rPr>
                <w:rFonts w:cs="Arial"/>
                <w:b/>
                <w:bCs/>
                <w:i/>
                <w:iCs/>
                <w:szCs w:val="18"/>
              </w:rPr>
              <w:t>Total other non-financial assets</w:t>
            </w:r>
          </w:p>
        </w:tc>
        <w:tc>
          <w:tcPr>
            <w:tcW w:w="123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523</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Other non-financial assets expected to be recovered</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No more than 12 months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523 </w:t>
            </w:r>
          </w:p>
        </w:tc>
      </w:tr>
      <w:tr w:rsidR="00735613" w:rsidTr="00735613">
        <w:trPr>
          <w:trHeight w:val="264"/>
        </w:trPr>
        <w:tc>
          <w:tcPr>
            <w:tcW w:w="6286" w:type="dxa"/>
            <w:tcBorders>
              <w:top w:val="nil"/>
              <w:left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More than 12 months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76"/>
        </w:trPr>
        <w:tc>
          <w:tcPr>
            <w:tcW w:w="6286" w:type="dxa"/>
            <w:tcBorders>
              <w:top w:val="nil"/>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other non-financial assets</w:t>
            </w:r>
          </w:p>
        </w:tc>
        <w:tc>
          <w:tcPr>
            <w:tcW w:w="1235"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228"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523</w:t>
            </w:r>
          </w:p>
        </w:tc>
      </w:tr>
    </w:tbl>
    <w:p w:rsidR="00735613" w:rsidRDefault="00735613">
      <w:pPr>
        <w:pStyle w:val="GreyShadeTableBreak"/>
      </w:pPr>
      <w:r>
        <w:t>No indicators of impairment were found for other non-financial assets.</w:t>
      </w:r>
    </w:p>
    <w:p w:rsidR="00735613" w:rsidRDefault="00735613">
      <w:pPr>
        <w:pStyle w:val="GreyShadeTableBreak"/>
      </w:pPr>
    </w:p>
    <w:p w:rsidR="00735613" w:rsidRDefault="00735613">
      <w:pPr>
        <w:spacing w:line="240" w:lineRule="auto"/>
        <w:rPr>
          <w:rFonts w:asciiTheme="minorHAnsi" w:hAnsiTheme="minorHAnsi" w:cstheme="minorHAnsi"/>
          <w:b/>
          <w:sz w:val="20"/>
        </w:rPr>
      </w:pPr>
      <w:r>
        <w:br w:type="page"/>
      </w:r>
    </w:p>
    <w:p w:rsidR="00735613" w:rsidRDefault="00735613" w:rsidP="00735613">
      <w:pPr>
        <w:pStyle w:val="NotesHeading-Level1GreyShade"/>
        <w:numPr>
          <w:ilvl w:val="0"/>
          <w:numId w:val="9"/>
        </w:numPr>
      </w:pPr>
      <w:bookmarkStart w:id="482" w:name="_Toc420422392"/>
      <w:r>
        <w:t>Administered Payables</w:t>
      </w:r>
      <w:bookmarkEnd w:id="482"/>
    </w:p>
    <w:p w:rsidR="00735613" w:rsidRDefault="00735613">
      <w:pPr>
        <w:pStyle w:val="GreyShadeTableBreak"/>
      </w:pPr>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szCs w:val="18"/>
              </w:rPr>
            </w:pPr>
            <w:bookmarkStart w:id="483" w:name="Note_ASPTABLE1" w:colFirst="0" w:colLast="0"/>
            <w:r>
              <w:rPr>
                <w:rFonts w:cs="Arial"/>
                <w:b/>
                <w:bCs/>
                <w:szCs w:val="18"/>
              </w:rPr>
              <w:t> </w:t>
            </w:r>
          </w:p>
        </w:tc>
        <w:tc>
          <w:tcPr>
            <w:tcW w:w="1235"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2014</w:t>
            </w:r>
          </w:p>
        </w:tc>
      </w:tr>
      <w:bookmarkEnd w:id="483"/>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35"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6286" w:type="dxa"/>
            <w:tcBorders>
              <w:top w:val="nil"/>
              <w:left w:val="nil"/>
              <w:bottom w:val="nil"/>
              <w:right w:val="nil"/>
            </w:tcBorders>
            <w:shd w:val="clear" w:color="000000" w:fill="D9D9D9"/>
            <w:noWrap/>
            <w:hideMark/>
          </w:tcPr>
          <w:p w:rsidR="00735613" w:rsidRDefault="00735613">
            <w:pPr>
              <w:rPr>
                <w:rFonts w:cs="Arial"/>
                <w:b/>
                <w:bCs/>
                <w:szCs w:val="18"/>
                <w:u w:val="single"/>
              </w:rPr>
            </w:pPr>
            <w:r>
              <w:rPr>
                <w:rFonts w:cs="Arial"/>
                <w:b/>
                <w:bCs/>
                <w:szCs w:val="18"/>
                <w:u w:val="single"/>
              </w:rPr>
              <w:t>Note 23A: Suppliers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Trade creditors and accruals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54,235</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36,884</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i/>
                <w:iCs/>
                <w:szCs w:val="18"/>
              </w:rPr>
            </w:pPr>
            <w:r>
              <w:rPr>
                <w:rFonts w:cs="Arial"/>
                <w:b/>
                <w:bCs/>
                <w:i/>
                <w:iCs/>
                <w:szCs w:val="18"/>
              </w:rPr>
              <w:t>Total suppliers</w:t>
            </w:r>
          </w:p>
        </w:tc>
        <w:tc>
          <w:tcPr>
            <w:tcW w:w="123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54,235</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36,884</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Suppliers in connection with</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Related parties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728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6286" w:type="dxa"/>
            <w:tcBorders>
              <w:top w:val="nil"/>
              <w:left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External parties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53,507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36,884 </w:t>
            </w:r>
          </w:p>
        </w:tc>
      </w:tr>
      <w:tr w:rsidR="00735613" w:rsidTr="00735613">
        <w:trPr>
          <w:trHeight w:val="276"/>
        </w:trPr>
        <w:tc>
          <w:tcPr>
            <w:tcW w:w="6286" w:type="dxa"/>
            <w:tcBorders>
              <w:top w:val="nil"/>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suppliers</w:t>
            </w:r>
          </w:p>
        </w:tc>
        <w:tc>
          <w:tcPr>
            <w:tcW w:w="1235"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54,235</w:t>
            </w:r>
          </w:p>
        </w:tc>
        <w:tc>
          <w:tcPr>
            <w:tcW w:w="23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228"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36,884</w:t>
            </w:r>
          </w:p>
        </w:tc>
      </w:tr>
    </w:tbl>
    <w:p w:rsidR="00735613" w:rsidRDefault="00735613">
      <w:pPr>
        <w:pStyle w:val="GreyShadeTableBreak"/>
      </w:pPr>
      <w:r>
        <w:t xml:space="preserve">Settlement was usually made within 30 days. All suppliers were expected to be settled no more than 12 months. </w:t>
      </w:r>
    </w:p>
    <w:p w:rsidR="00735613" w:rsidRDefault="00735613">
      <w:pPr>
        <w:pStyle w:val="GreyShadeTableBreak"/>
      </w:pPr>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000000" w:fill="D9D9D9"/>
            <w:noWrap/>
            <w:hideMark/>
          </w:tcPr>
          <w:p w:rsidR="00735613" w:rsidRDefault="00735613">
            <w:pPr>
              <w:rPr>
                <w:rFonts w:cs="Arial"/>
                <w:b/>
                <w:bCs/>
                <w:szCs w:val="18"/>
                <w:u w:val="single"/>
              </w:rPr>
            </w:pPr>
            <w:bookmarkStart w:id="484" w:name="Note_APPTABLE1" w:colFirst="0" w:colLast="0"/>
            <w:r>
              <w:rPr>
                <w:rFonts w:cs="Arial"/>
                <w:b/>
                <w:bCs/>
                <w:szCs w:val="18"/>
                <w:u w:val="single"/>
              </w:rPr>
              <w:t>Note 23B: Personal benefits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r>
      <w:bookmarkEnd w:id="484"/>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Direct</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10,952</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Indirect</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109,985</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i/>
                <w:iCs/>
                <w:szCs w:val="18"/>
              </w:rPr>
            </w:pPr>
            <w:r>
              <w:rPr>
                <w:rFonts w:cs="Arial"/>
                <w:b/>
                <w:bCs/>
                <w:i/>
                <w:iCs/>
                <w:szCs w:val="18"/>
              </w:rPr>
              <w:t>Total personal benefits</w:t>
            </w:r>
          </w:p>
        </w:tc>
        <w:tc>
          <w:tcPr>
            <w:tcW w:w="123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2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120,937</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xml:space="preserve">Personal benefits expected to be settled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No more than 12 months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120,937 </w:t>
            </w:r>
          </w:p>
        </w:tc>
      </w:tr>
      <w:tr w:rsidR="00735613" w:rsidTr="00735613">
        <w:trPr>
          <w:trHeight w:val="264"/>
        </w:trPr>
        <w:tc>
          <w:tcPr>
            <w:tcW w:w="6286" w:type="dxa"/>
            <w:tcBorders>
              <w:top w:val="nil"/>
              <w:left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More than 12 months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76"/>
        </w:trPr>
        <w:tc>
          <w:tcPr>
            <w:tcW w:w="6286" w:type="dxa"/>
            <w:tcBorders>
              <w:top w:val="nil"/>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personal benefits</w:t>
            </w:r>
          </w:p>
        </w:tc>
        <w:tc>
          <w:tcPr>
            <w:tcW w:w="1235"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3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228"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120,937</w:t>
            </w:r>
          </w:p>
        </w:tc>
      </w:tr>
    </w:tbl>
    <w:p w:rsidR="00735613" w:rsidRDefault="00735613">
      <w:pPr>
        <w:pStyle w:val="GreyShadeTableBreak"/>
      </w:pPr>
    </w:p>
    <w:tbl>
      <w:tblPr>
        <w:tblW w:w="9090" w:type="dxa"/>
        <w:tblInd w:w="80" w:type="dxa"/>
        <w:tblLayout w:type="fixed"/>
        <w:tblLook w:val="04A0" w:firstRow="1" w:lastRow="0" w:firstColumn="1" w:lastColumn="0" w:noHBand="0" w:noVBand="1"/>
      </w:tblPr>
      <w:tblGrid>
        <w:gridCol w:w="9090"/>
      </w:tblGrid>
      <w:tr w:rsidR="00735613" w:rsidTr="00735613">
        <w:trPr>
          <w:trHeight w:val="270"/>
        </w:trPr>
        <w:tc>
          <w:tcPr>
            <w:tcW w:w="9092" w:type="dxa"/>
            <w:tcBorders>
              <w:top w:val="single" w:sz="4" w:space="0" w:color="D8D8D8"/>
              <w:left w:val="nil"/>
              <w:bottom w:val="single" w:sz="24" w:space="0" w:color="D8D8D8"/>
              <w:right w:val="nil"/>
            </w:tcBorders>
            <w:shd w:val="clear" w:color="auto" w:fill="D8D8D8"/>
            <w:vAlign w:val="bottom"/>
          </w:tcPr>
          <w:p w:rsidR="00735613" w:rsidRDefault="00735613">
            <w:pPr>
              <w:pStyle w:val="AdminBlankGreyShade"/>
            </w:pPr>
          </w:p>
        </w:tc>
      </w:tr>
    </w:tbl>
    <w:p w:rsidR="00735613" w:rsidRDefault="00735613">
      <w:pPr>
        <w:pStyle w:val="GreyShadeTableBreak"/>
      </w:pPr>
    </w:p>
    <w:p w:rsidR="00735613" w:rsidRDefault="00735613">
      <w:pPr>
        <w:spacing w:line="240" w:lineRule="auto"/>
      </w:pPr>
      <w:r>
        <w:br w:type="page"/>
      </w:r>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40"/>
        </w:trPr>
        <w:tc>
          <w:tcPr>
            <w:tcW w:w="628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cs="Arial"/>
                <w:sz w:val="16"/>
                <w:szCs w:val="16"/>
              </w:rPr>
            </w:pPr>
            <w:bookmarkStart w:id="485" w:name="Note_AGPTABLE1" w:colFirst="0" w:colLast="0"/>
            <w:r>
              <w:rPr>
                <w:rFonts w:cs="Arial"/>
                <w:sz w:val="16"/>
                <w:szCs w:val="16"/>
              </w:rPr>
              <w:t> </w:t>
            </w:r>
          </w:p>
        </w:tc>
        <w:tc>
          <w:tcPr>
            <w:tcW w:w="1235" w:type="dxa"/>
            <w:tcBorders>
              <w:top w:val="single" w:sz="4" w:space="0" w:color="D9D9D9"/>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2015</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2014</w:t>
            </w:r>
          </w:p>
        </w:tc>
      </w:tr>
      <w:bookmarkEnd w:id="485"/>
      <w:tr w:rsidR="00735613" w:rsidTr="00735613">
        <w:trPr>
          <w:trHeight w:val="240"/>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35"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6286" w:type="dxa"/>
            <w:tcBorders>
              <w:top w:val="nil"/>
              <w:left w:val="nil"/>
              <w:bottom w:val="single" w:sz="4" w:space="0" w:color="D9D9D9"/>
              <w:right w:val="nil"/>
            </w:tcBorders>
            <w:shd w:val="clear" w:color="000000" w:fill="D9D9D9"/>
            <w:noWrap/>
            <w:hideMark/>
          </w:tcPr>
          <w:p w:rsidR="00735613" w:rsidRDefault="00735613">
            <w:pPr>
              <w:rPr>
                <w:rFonts w:cs="Arial"/>
                <w:b/>
                <w:bCs/>
                <w:szCs w:val="18"/>
                <w:u w:val="single"/>
              </w:rPr>
            </w:pPr>
            <w:r>
              <w:rPr>
                <w:rFonts w:cs="Arial"/>
                <w:b/>
                <w:bCs/>
                <w:szCs w:val="18"/>
                <w:u w:val="single"/>
              </w:rPr>
              <w:t>Note 23C: Grants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Public sector</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State and Territory Governments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4,435</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w:t>
            </w:r>
          </w:p>
        </w:tc>
      </w:tr>
      <w:tr w:rsidR="00735613" w:rsidTr="00735613">
        <w:trPr>
          <w:trHeight w:val="264"/>
        </w:trPr>
        <w:tc>
          <w:tcPr>
            <w:tcW w:w="628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Private sector</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Non-profit organisations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196</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2,748</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xml:space="preserve">     Other</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31,615</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21,686</w:t>
            </w:r>
          </w:p>
        </w:tc>
      </w:tr>
      <w:tr w:rsidR="00735613" w:rsidTr="00735613">
        <w:trPr>
          <w:trHeight w:val="264"/>
        </w:trPr>
        <w:tc>
          <w:tcPr>
            <w:tcW w:w="6286" w:type="dxa"/>
            <w:tcBorders>
              <w:top w:val="single" w:sz="4" w:space="0" w:color="D9D9D9"/>
              <w:left w:val="nil"/>
              <w:bottom w:val="single" w:sz="4" w:space="0" w:color="D9D9D9"/>
              <w:right w:val="nil"/>
            </w:tcBorders>
            <w:shd w:val="clear" w:color="000000" w:fill="D9D9D9"/>
            <w:vAlign w:val="bottom"/>
            <w:hideMark/>
          </w:tcPr>
          <w:p w:rsidR="00735613" w:rsidRDefault="00735613">
            <w:pPr>
              <w:rPr>
                <w:rFonts w:cs="Arial"/>
                <w:b/>
                <w:bCs/>
                <w:i/>
                <w:iCs/>
                <w:szCs w:val="18"/>
              </w:rPr>
            </w:pPr>
            <w:r>
              <w:rPr>
                <w:rFonts w:cs="Arial"/>
                <w:b/>
                <w:bCs/>
                <w:i/>
                <w:iCs/>
                <w:szCs w:val="18"/>
              </w:rPr>
              <w:t>Total grants</w:t>
            </w:r>
          </w:p>
        </w:tc>
        <w:tc>
          <w:tcPr>
            <w:tcW w:w="123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36,246</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24,434</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single" w:sz="4" w:space="0" w:color="D9D9D9"/>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Grants expected to be settled</w:t>
            </w:r>
          </w:p>
        </w:tc>
        <w:tc>
          <w:tcPr>
            <w:tcW w:w="1235"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No more than 12 months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36,246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 xml:space="preserve">24,434 </w:t>
            </w:r>
          </w:p>
        </w:tc>
      </w:tr>
      <w:tr w:rsidR="00735613" w:rsidTr="00735613">
        <w:trPr>
          <w:trHeight w:val="264"/>
        </w:trPr>
        <w:tc>
          <w:tcPr>
            <w:tcW w:w="6286"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More than 12 months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76"/>
        </w:trPr>
        <w:tc>
          <w:tcPr>
            <w:tcW w:w="628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grants</w:t>
            </w:r>
          </w:p>
        </w:tc>
        <w:tc>
          <w:tcPr>
            <w:tcW w:w="1235"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36,246</w:t>
            </w:r>
          </w:p>
        </w:tc>
        <w:tc>
          <w:tcPr>
            <w:tcW w:w="23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228"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24,434</w:t>
            </w:r>
          </w:p>
        </w:tc>
      </w:tr>
    </w:tbl>
    <w:p w:rsidR="00735613" w:rsidRDefault="00735613">
      <w:pPr>
        <w:pStyle w:val="GreyShadeTableBreak"/>
      </w:pPr>
      <w:bookmarkStart w:id="486" w:name="RANGE!D7:D23"/>
      <w:bookmarkEnd w:id="486"/>
      <w:r>
        <w:t>Settlement is usually made according to the terms and conditions of each grant.  This is usually within 30 days of performance or eligibility.</w:t>
      </w:r>
    </w:p>
    <w:p w:rsidR="00735613" w:rsidRDefault="00735613">
      <w:pPr>
        <w:pStyle w:val="GreyShadeTableBreak"/>
      </w:pPr>
    </w:p>
    <w:tbl>
      <w:tblPr>
        <w:tblW w:w="9087" w:type="dxa"/>
        <w:tblInd w:w="80" w:type="dxa"/>
        <w:tblLayout w:type="fixed"/>
        <w:tblLook w:val="04A0" w:firstRow="1" w:lastRow="0" w:firstColumn="1" w:lastColumn="0" w:noHBand="0" w:noVBand="1"/>
      </w:tblPr>
      <w:tblGrid>
        <w:gridCol w:w="6357"/>
        <w:gridCol w:w="1249"/>
        <w:gridCol w:w="239"/>
        <w:gridCol w:w="1242"/>
      </w:tblGrid>
      <w:tr w:rsidR="00735613" w:rsidTr="00735613">
        <w:trPr>
          <w:trHeight w:val="264"/>
        </w:trPr>
        <w:tc>
          <w:tcPr>
            <w:tcW w:w="6286" w:type="dxa"/>
            <w:tcBorders>
              <w:top w:val="nil"/>
              <w:left w:val="nil"/>
              <w:bottom w:val="nil"/>
              <w:right w:val="nil"/>
            </w:tcBorders>
            <w:shd w:val="clear" w:color="000000" w:fill="D9D9D9"/>
            <w:noWrap/>
            <w:hideMark/>
          </w:tcPr>
          <w:p w:rsidR="00735613" w:rsidRDefault="00735613">
            <w:pPr>
              <w:rPr>
                <w:rFonts w:cs="Arial"/>
                <w:b/>
                <w:bCs/>
                <w:szCs w:val="18"/>
                <w:u w:val="single"/>
              </w:rPr>
            </w:pPr>
            <w:bookmarkStart w:id="487" w:name="Note_AOPTABLE1" w:colFirst="0" w:colLast="0"/>
            <w:r>
              <w:rPr>
                <w:rFonts w:cs="Arial"/>
                <w:b/>
                <w:bCs/>
                <w:szCs w:val="18"/>
                <w:u w:val="single"/>
              </w:rPr>
              <w:t>Note 23D: Other payables</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bookmarkEnd w:id="487"/>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Statutory payable</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17,701</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8,692</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i/>
                <w:iCs/>
                <w:szCs w:val="18"/>
              </w:rPr>
            </w:pPr>
            <w:r>
              <w:rPr>
                <w:rFonts w:cs="Arial"/>
                <w:b/>
                <w:bCs/>
                <w:i/>
                <w:iCs/>
                <w:szCs w:val="18"/>
              </w:rPr>
              <w:t>Total other payables</w:t>
            </w:r>
          </w:p>
        </w:tc>
        <w:tc>
          <w:tcPr>
            <w:tcW w:w="123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17,701</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8,692</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Other payables expected to be settled</w:t>
            </w:r>
          </w:p>
        </w:tc>
        <w:tc>
          <w:tcPr>
            <w:tcW w:w="1235"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28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No more than 12 months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17,701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8,692 </w:t>
            </w:r>
          </w:p>
        </w:tc>
      </w:tr>
      <w:tr w:rsidR="00735613" w:rsidTr="00735613">
        <w:trPr>
          <w:trHeight w:val="264"/>
        </w:trPr>
        <w:tc>
          <w:tcPr>
            <w:tcW w:w="6286" w:type="dxa"/>
            <w:tcBorders>
              <w:top w:val="nil"/>
              <w:left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More than 12 months</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2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76"/>
        </w:trPr>
        <w:tc>
          <w:tcPr>
            <w:tcW w:w="6286" w:type="dxa"/>
            <w:tcBorders>
              <w:top w:val="nil"/>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other payables</w:t>
            </w:r>
          </w:p>
        </w:tc>
        <w:tc>
          <w:tcPr>
            <w:tcW w:w="1235"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17,701</w:t>
            </w:r>
          </w:p>
        </w:tc>
        <w:tc>
          <w:tcPr>
            <w:tcW w:w="23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228"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8,692</w:t>
            </w:r>
          </w:p>
        </w:tc>
      </w:tr>
    </w:tbl>
    <w:p w:rsidR="00735613" w:rsidRDefault="00735613" w:rsidP="00735613">
      <w:pPr>
        <w:pStyle w:val="NotesHeading-Level1GreyShade"/>
        <w:numPr>
          <w:ilvl w:val="0"/>
          <w:numId w:val="0"/>
        </w:numPr>
        <w:tabs>
          <w:tab w:val="left" w:pos="8959"/>
        </w:tabs>
        <w:outlineLvl w:val="9"/>
      </w:pPr>
      <w:bookmarkStart w:id="488" w:name="RANGE!D7:D15"/>
      <w:bookmarkEnd w:id="488"/>
    </w:p>
    <w:p w:rsidR="00735613" w:rsidRDefault="00735613">
      <w:pPr>
        <w:spacing w:line="240" w:lineRule="auto"/>
        <w:rPr>
          <w:rFonts w:asciiTheme="minorHAnsi" w:hAnsiTheme="minorHAnsi" w:cstheme="minorHAnsi"/>
          <w:b/>
          <w:sz w:val="20"/>
        </w:rPr>
      </w:pPr>
      <w:r>
        <w:br w:type="page"/>
      </w:r>
    </w:p>
    <w:p w:rsidR="00735613" w:rsidRDefault="00735613" w:rsidP="00735613">
      <w:pPr>
        <w:pStyle w:val="NotesHeading-Level1GreyShade"/>
        <w:numPr>
          <w:ilvl w:val="0"/>
          <w:numId w:val="9"/>
        </w:numPr>
      </w:pPr>
      <w:bookmarkStart w:id="489" w:name="_Toc420422393"/>
      <w:r>
        <w:t>Administered Provisions</w:t>
      </w:r>
      <w:bookmarkEnd w:id="489"/>
    </w:p>
    <w:p w:rsidR="00735613" w:rsidRDefault="00735613" w:rsidP="00735613">
      <w:pPr>
        <w:pStyle w:val="NotesHeading-Level1GreyShade"/>
        <w:numPr>
          <w:ilvl w:val="0"/>
          <w:numId w:val="0"/>
        </w:numPr>
        <w:tabs>
          <w:tab w:val="left" w:pos="8959"/>
        </w:tabs>
        <w:outlineLvl w:val="9"/>
      </w:pPr>
    </w:p>
    <w:tbl>
      <w:tblPr>
        <w:tblW w:w="9087" w:type="dxa"/>
        <w:tblInd w:w="80" w:type="dxa"/>
        <w:tblLayout w:type="fixed"/>
        <w:tblLook w:val="04A0" w:firstRow="1" w:lastRow="0" w:firstColumn="1" w:lastColumn="0" w:noHBand="0" w:noVBand="1"/>
      </w:tblPr>
      <w:tblGrid>
        <w:gridCol w:w="6492"/>
        <w:gridCol w:w="1155"/>
        <w:gridCol w:w="285"/>
        <w:gridCol w:w="1155"/>
      </w:tblGrid>
      <w:tr w:rsidR="00735613" w:rsidTr="00735613">
        <w:trPr>
          <w:trHeight w:val="240"/>
        </w:trPr>
        <w:tc>
          <w:tcPr>
            <w:tcW w:w="5936"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bookmarkStart w:id="490" w:name="Note_APRTABLE1" w:colFirst="0" w:colLast="0"/>
            <w:r>
              <w:rPr>
                <w:rFonts w:cs="Arial"/>
                <w:sz w:val="16"/>
                <w:szCs w:val="16"/>
              </w:rPr>
              <w:t> </w:t>
            </w:r>
          </w:p>
        </w:tc>
        <w:tc>
          <w:tcPr>
            <w:tcW w:w="1056"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2015</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2014</w:t>
            </w:r>
          </w:p>
        </w:tc>
      </w:tr>
      <w:bookmarkEnd w:id="490"/>
      <w:tr w:rsidR="00735613" w:rsidTr="00735613">
        <w:trPr>
          <w:trHeight w:val="240"/>
        </w:trPr>
        <w:tc>
          <w:tcPr>
            <w:tcW w:w="5936"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056"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5936" w:type="dxa"/>
            <w:tcBorders>
              <w:top w:val="nil"/>
              <w:left w:val="nil"/>
              <w:bottom w:val="nil"/>
              <w:right w:val="nil"/>
            </w:tcBorders>
            <w:shd w:val="clear" w:color="000000" w:fill="D9D9D9"/>
            <w:noWrap/>
            <w:hideMark/>
          </w:tcPr>
          <w:p w:rsidR="00735613" w:rsidRDefault="00735613">
            <w:pPr>
              <w:rPr>
                <w:rFonts w:cs="Arial"/>
                <w:b/>
                <w:bCs/>
                <w:szCs w:val="18"/>
                <w:u w:val="single"/>
              </w:rPr>
            </w:pPr>
            <w:r>
              <w:rPr>
                <w:rFonts w:cs="Arial"/>
                <w:b/>
                <w:bCs/>
                <w:szCs w:val="18"/>
                <w:u w:val="single"/>
              </w:rPr>
              <w:t>Note 24A: Provisions for personal benefits</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93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Provisions for personal benefits</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801,010</w:t>
            </w:r>
          </w:p>
        </w:tc>
      </w:tr>
      <w:tr w:rsidR="00735613" w:rsidTr="00735613">
        <w:trPr>
          <w:trHeight w:val="264"/>
        </w:trPr>
        <w:tc>
          <w:tcPr>
            <w:tcW w:w="593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Total provisions for personal benefits</w:t>
            </w:r>
          </w:p>
        </w:tc>
        <w:tc>
          <w:tcPr>
            <w:tcW w:w="10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801,010</w:t>
            </w:r>
          </w:p>
        </w:tc>
      </w:tr>
      <w:tr w:rsidR="00735613" w:rsidTr="00735613">
        <w:trPr>
          <w:trHeight w:val="264"/>
        </w:trPr>
        <w:tc>
          <w:tcPr>
            <w:tcW w:w="59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93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Provisions for personal benefits expected to be settled</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93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No more than 12 months</w:t>
            </w:r>
          </w:p>
        </w:tc>
        <w:tc>
          <w:tcPr>
            <w:tcW w:w="105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801,010 </w:t>
            </w:r>
          </w:p>
        </w:tc>
      </w:tr>
      <w:tr w:rsidR="00735613" w:rsidTr="00735613">
        <w:trPr>
          <w:trHeight w:val="264"/>
        </w:trPr>
        <w:tc>
          <w:tcPr>
            <w:tcW w:w="5936" w:type="dxa"/>
            <w:tcBorders>
              <w:top w:val="nil"/>
              <w:left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More than 12 months</w:t>
            </w:r>
          </w:p>
        </w:tc>
        <w:tc>
          <w:tcPr>
            <w:tcW w:w="105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76"/>
        </w:trPr>
        <w:tc>
          <w:tcPr>
            <w:tcW w:w="5936" w:type="dxa"/>
            <w:tcBorders>
              <w:top w:val="nil"/>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other provisions</w:t>
            </w:r>
          </w:p>
        </w:tc>
        <w:tc>
          <w:tcPr>
            <w:tcW w:w="105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61"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05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801,010</w:t>
            </w:r>
          </w:p>
        </w:tc>
      </w:tr>
    </w:tbl>
    <w:p w:rsidR="00735613" w:rsidRDefault="00735613" w:rsidP="00735613">
      <w:pPr>
        <w:pStyle w:val="NotesHeading-Level1GreyShade"/>
        <w:numPr>
          <w:ilvl w:val="0"/>
          <w:numId w:val="0"/>
        </w:numPr>
        <w:tabs>
          <w:tab w:val="left" w:pos="8959"/>
        </w:tabs>
        <w:outlineLvl w:val="9"/>
      </w:pPr>
      <w:bookmarkStart w:id="491" w:name="RANGE!D7:H14"/>
      <w:bookmarkStart w:id="492" w:name="RANGE!D7:H15"/>
      <w:bookmarkEnd w:id="491"/>
      <w:bookmarkEnd w:id="492"/>
    </w:p>
    <w:tbl>
      <w:tblPr>
        <w:tblW w:w="9087" w:type="dxa"/>
        <w:tblInd w:w="80" w:type="dxa"/>
        <w:tblLayout w:type="fixed"/>
        <w:tblLook w:val="04A0" w:firstRow="1" w:lastRow="0" w:firstColumn="1" w:lastColumn="0" w:noHBand="0" w:noVBand="1"/>
      </w:tblPr>
      <w:tblGrid>
        <w:gridCol w:w="6296"/>
        <w:gridCol w:w="1242"/>
        <w:gridCol w:w="307"/>
        <w:gridCol w:w="1242"/>
      </w:tblGrid>
      <w:tr w:rsidR="00735613" w:rsidTr="00735613">
        <w:trPr>
          <w:trHeight w:val="240"/>
        </w:trPr>
        <w:tc>
          <w:tcPr>
            <w:tcW w:w="5356" w:type="dxa"/>
            <w:tcBorders>
              <w:top w:val="nil"/>
              <w:left w:val="nil"/>
              <w:bottom w:val="nil"/>
              <w:right w:val="nil"/>
            </w:tcBorders>
            <w:shd w:val="clear" w:color="000000" w:fill="D9D9D9"/>
            <w:noWrap/>
            <w:hideMark/>
          </w:tcPr>
          <w:p w:rsidR="00735613" w:rsidRDefault="00735613">
            <w:pPr>
              <w:rPr>
                <w:rFonts w:cs="Arial"/>
                <w:b/>
                <w:bCs/>
                <w:szCs w:val="18"/>
                <w:u w:val="single"/>
              </w:rPr>
            </w:pPr>
            <w:bookmarkStart w:id="493" w:name="Note_APGTABLE1" w:colFirst="0" w:colLast="0"/>
            <w:r>
              <w:rPr>
                <w:rFonts w:cs="Arial"/>
                <w:b/>
                <w:bCs/>
                <w:szCs w:val="18"/>
                <w:u w:val="single"/>
              </w:rPr>
              <w:t>Note 24B: Provision for Grants</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bookmarkEnd w:id="493"/>
      <w:tr w:rsidR="00735613" w:rsidTr="00735613">
        <w:trPr>
          <w:trHeight w:val="240"/>
        </w:trPr>
        <w:tc>
          <w:tcPr>
            <w:tcW w:w="53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40"/>
        </w:trPr>
        <w:tc>
          <w:tcPr>
            <w:tcW w:w="535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Higher Education Superannuation Programme</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6,068,013</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6,867,769</w:t>
            </w:r>
          </w:p>
        </w:tc>
      </w:tr>
      <w:tr w:rsidR="00735613" w:rsidTr="00735613">
        <w:trPr>
          <w:trHeight w:val="240"/>
        </w:trPr>
        <w:tc>
          <w:tcPr>
            <w:tcW w:w="5356" w:type="dxa"/>
            <w:tcBorders>
              <w:top w:val="nil"/>
              <w:left w:val="nil"/>
              <w:bottom w:val="nil"/>
              <w:right w:val="nil"/>
            </w:tcBorders>
            <w:shd w:val="clear" w:color="000000" w:fill="D9D9D9"/>
            <w:vAlign w:val="bottom"/>
            <w:hideMark/>
          </w:tcPr>
          <w:p w:rsidR="00735613" w:rsidRDefault="00735613">
            <w:pPr>
              <w:rPr>
                <w:rFonts w:cs="Arial"/>
                <w:b/>
                <w:bCs/>
                <w:i/>
                <w:iCs/>
                <w:szCs w:val="18"/>
              </w:rPr>
            </w:pPr>
            <w:r>
              <w:rPr>
                <w:rFonts w:cs="Arial"/>
                <w:b/>
                <w:bCs/>
                <w:i/>
                <w:iCs/>
                <w:szCs w:val="18"/>
              </w:rPr>
              <w:t>Total provision for grants</w:t>
            </w:r>
          </w:p>
        </w:tc>
        <w:tc>
          <w:tcPr>
            <w:tcW w:w="105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6,068,013</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6,867,769</w:t>
            </w:r>
          </w:p>
        </w:tc>
      </w:tr>
      <w:tr w:rsidR="00735613" w:rsidTr="00735613">
        <w:trPr>
          <w:trHeight w:val="240"/>
        </w:trPr>
        <w:tc>
          <w:tcPr>
            <w:tcW w:w="535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40"/>
        </w:trPr>
        <w:tc>
          <w:tcPr>
            <w:tcW w:w="535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Provision for grants expected to be settled</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40"/>
        </w:trPr>
        <w:tc>
          <w:tcPr>
            <w:tcW w:w="535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No more than 12 months</w:t>
            </w:r>
          </w:p>
        </w:tc>
        <w:tc>
          <w:tcPr>
            <w:tcW w:w="105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40"/>
        </w:trPr>
        <w:tc>
          <w:tcPr>
            <w:tcW w:w="5356" w:type="dxa"/>
            <w:tcBorders>
              <w:top w:val="nil"/>
              <w:left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More than 12 months</w:t>
            </w:r>
          </w:p>
        </w:tc>
        <w:tc>
          <w:tcPr>
            <w:tcW w:w="105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6,068,013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6,867,769 </w:t>
            </w:r>
          </w:p>
        </w:tc>
      </w:tr>
      <w:tr w:rsidR="00735613" w:rsidTr="00735613">
        <w:trPr>
          <w:trHeight w:val="240"/>
        </w:trPr>
        <w:tc>
          <w:tcPr>
            <w:tcW w:w="5356" w:type="dxa"/>
            <w:tcBorders>
              <w:top w:val="nil"/>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Total provisions for grants</w:t>
            </w:r>
          </w:p>
        </w:tc>
        <w:tc>
          <w:tcPr>
            <w:tcW w:w="105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6,068,013</w:t>
            </w:r>
          </w:p>
        </w:tc>
        <w:tc>
          <w:tcPr>
            <w:tcW w:w="261"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05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6,867,769</w:t>
            </w:r>
          </w:p>
        </w:tc>
      </w:tr>
    </w:tbl>
    <w:p w:rsidR="00735613" w:rsidRDefault="00735613" w:rsidP="00735613">
      <w:pPr>
        <w:pStyle w:val="NotesHeading-Level1GreyShade"/>
        <w:numPr>
          <w:ilvl w:val="0"/>
          <w:numId w:val="0"/>
        </w:numPr>
        <w:tabs>
          <w:tab w:val="left" w:pos="8959"/>
        </w:tabs>
        <w:outlineLvl w:val="9"/>
      </w:pPr>
    </w:p>
    <w:p w:rsidR="00735613" w:rsidRDefault="00735613" w:rsidP="00735613">
      <w:pPr>
        <w:pStyle w:val="NotesHeading-Level1GreyShade"/>
        <w:numPr>
          <w:ilvl w:val="0"/>
          <w:numId w:val="0"/>
        </w:numPr>
        <w:tabs>
          <w:tab w:val="left" w:pos="8959"/>
        </w:tabs>
        <w:outlineLvl w:val="9"/>
      </w:pPr>
    </w:p>
    <w:tbl>
      <w:tblPr>
        <w:tblW w:w="9087" w:type="dxa"/>
        <w:tblInd w:w="80" w:type="dxa"/>
        <w:tblLayout w:type="fixed"/>
        <w:tblLook w:val="04A0" w:firstRow="1" w:lastRow="0" w:firstColumn="1" w:lastColumn="0" w:noHBand="0" w:noVBand="1"/>
      </w:tblPr>
      <w:tblGrid>
        <w:gridCol w:w="5021"/>
        <w:gridCol w:w="1190"/>
        <w:gridCol w:w="1438"/>
        <w:gridCol w:w="1438"/>
      </w:tblGrid>
      <w:tr w:rsidR="00735613" w:rsidTr="00735613">
        <w:trPr>
          <w:trHeight w:val="264"/>
        </w:trPr>
        <w:tc>
          <w:tcPr>
            <w:tcW w:w="445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bookmarkStart w:id="494" w:name="Note_APTTABLE1" w:colFirst="0" w:colLast="0"/>
            <w:r>
              <w:rPr>
                <w:rFonts w:cs="Arial"/>
                <w:b/>
                <w:bCs/>
                <w:szCs w:val="18"/>
              </w:rPr>
              <w:t>Reconciliation of movements in provisions</w:t>
            </w:r>
          </w:p>
        </w:tc>
        <w:tc>
          <w:tcPr>
            <w:tcW w:w="1056" w:type="dxa"/>
            <w:tcBorders>
              <w:top w:val="nil"/>
              <w:left w:val="nil"/>
              <w:bottom w:val="single" w:sz="4" w:space="0" w:color="auto"/>
              <w:right w:val="nil"/>
            </w:tcBorders>
            <w:shd w:val="clear" w:color="000000" w:fill="D9D9D9"/>
            <w:vAlign w:val="bottom"/>
            <w:hideMark/>
          </w:tcPr>
          <w:p w:rsidR="00735613" w:rsidRDefault="00735613">
            <w:pPr>
              <w:jc w:val="right"/>
              <w:rPr>
                <w:rFonts w:cs="Arial"/>
                <w:b/>
                <w:bCs/>
                <w:szCs w:val="18"/>
              </w:rPr>
            </w:pPr>
            <w:r>
              <w:rPr>
                <w:rFonts w:cs="Arial"/>
                <w:b/>
                <w:bCs/>
                <w:szCs w:val="18"/>
              </w:rPr>
              <w:t> </w:t>
            </w:r>
          </w:p>
        </w:tc>
        <w:tc>
          <w:tcPr>
            <w:tcW w:w="1276" w:type="dxa"/>
            <w:tcBorders>
              <w:top w:val="nil"/>
              <w:left w:val="nil"/>
              <w:bottom w:val="single" w:sz="4" w:space="0" w:color="auto"/>
              <w:right w:val="nil"/>
            </w:tcBorders>
            <w:shd w:val="clear" w:color="000000" w:fill="D9D9D9"/>
            <w:vAlign w:val="bottom"/>
            <w:hideMark/>
          </w:tcPr>
          <w:p w:rsidR="00735613" w:rsidRDefault="00735613">
            <w:pPr>
              <w:jc w:val="right"/>
              <w:rPr>
                <w:rFonts w:cs="Arial"/>
                <w:b/>
                <w:bCs/>
                <w:szCs w:val="18"/>
              </w:rPr>
            </w:pPr>
            <w:r>
              <w:rPr>
                <w:rFonts w:cs="Arial"/>
                <w:b/>
                <w:bCs/>
                <w:szCs w:val="18"/>
              </w:rPr>
              <w:t> </w:t>
            </w:r>
          </w:p>
        </w:tc>
        <w:tc>
          <w:tcPr>
            <w:tcW w:w="1276" w:type="dxa"/>
            <w:tcBorders>
              <w:top w:val="nil"/>
              <w:left w:val="nil"/>
              <w:bottom w:val="single" w:sz="4" w:space="0" w:color="auto"/>
              <w:right w:val="nil"/>
            </w:tcBorders>
            <w:shd w:val="clear" w:color="000000" w:fill="D9D9D9"/>
            <w:vAlign w:val="bottom"/>
            <w:hideMark/>
          </w:tcPr>
          <w:p w:rsidR="00735613" w:rsidRDefault="00735613">
            <w:pPr>
              <w:jc w:val="right"/>
              <w:rPr>
                <w:rFonts w:cs="Arial"/>
                <w:b/>
                <w:bCs/>
                <w:szCs w:val="18"/>
              </w:rPr>
            </w:pPr>
            <w:r>
              <w:rPr>
                <w:rFonts w:cs="Arial"/>
                <w:b/>
                <w:bCs/>
                <w:szCs w:val="18"/>
              </w:rPr>
              <w:t> </w:t>
            </w:r>
          </w:p>
        </w:tc>
      </w:tr>
      <w:bookmarkEnd w:id="494"/>
      <w:tr w:rsidR="00735613" w:rsidTr="00735613">
        <w:trPr>
          <w:trHeight w:val="720"/>
        </w:trPr>
        <w:tc>
          <w:tcPr>
            <w:tcW w:w="4456" w:type="dxa"/>
            <w:tcBorders>
              <w:top w:val="single" w:sz="4" w:space="0" w:color="auto"/>
              <w:left w:val="nil"/>
              <w:bottom w:val="single" w:sz="4" w:space="0" w:color="D9D9D9"/>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056"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Provisions for grants</w:t>
            </w:r>
          </w:p>
        </w:tc>
        <w:tc>
          <w:tcPr>
            <w:tcW w:w="1276"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Provisions for personal benefits</w:t>
            </w:r>
          </w:p>
        </w:tc>
        <w:tc>
          <w:tcPr>
            <w:tcW w:w="1276"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Total</w:t>
            </w:r>
          </w:p>
        </w:tc>
      </w:tr>
      <w:tr w:rsidR="00735613" w:rsidTr="00735613">
        <w:trPr>
          <w:trHeight w:val="264"/>
        </w:trPr>
        <w:tc>
          <w:tcPr>
            <w:tcW w:w="4456" w:type="dxa"/>
            <w:tcBorders>
              <w:top w:val="nil"/>
              <w:left w:val="nil"/>
              <w:bottom w:val="single" w:sz="4" w:space="0" w:color="auto"/>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056" w:type="dxa"/>
            <w:tcBorders>
              <w:top w:val="nil"/>
              <w:left w:val="nil"/>
              <w:bottom w:val="single" w:sz="4" w:space="0" w:color="auto"/>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1276" w:type="dxa"/>
            <w:tcBorders>
              <w:top w:val="nil"/>
              <w:left w:val="nil"/>
              <w:bottom w:val="single" w:sz="4" w:space="0" w:color="auto"/>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1276" w:type="dxa"/>
            <w:tcBorders>
              <w:top w:val="nil"/>
              <w:left w:val="nil"/>
              <w:bottom w:val="single" w:sz="4" w:space="0" w:color="auto"/>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r>
      <w:tr w:rsidR="00735613" w:rsidTr="00735613">
        <w:trPr>
          <w:trHeight w:val="264"/>
        </w:trPr>
        <w:tc>
          <w:tcPr>
            <w:tcW w:w="445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Opening balance</w:t>
            </w:r>
          </w:p>
        </w:tc>
        <w:tc>
          <w:tcPr>
            <w:tcW w:w="105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6,867,769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801,010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7,668,779 </w:t>
            </w:r>
          </w:p>
        </w:tc>
      </w:tr>
      <w:tr w:rsidR="00735613" w:rsidTr="00735613">
        <w:trPr>
          <w:trHeight w:val="264"/>
        </w:trPr>
        <w:tc>
          <w:tcPr>
            <w:tcW w:w="4456" w:type="dxa"/>
            <w:tcBorders>
              <w:top w:val="nil"/>
              <w:left w:val="nil"/>
              <w:bottom w:val="single" w:sz="4" w:space="0" w:color="D9D9D9"/>
              <w:right w:val="nil"/>
            </w:tcBorders>
            <w:shd w:val="clear" w:color="000000" w:fill="D9D9D9"/>
            <w:vAlign w:val="bottom"/>
            <w:hideMark/>
          </w:tcPr>
          <w:p w:rsidR="00735613" w:rsidRDefault="00735613">
            <w:pPr>
              <w:rPr>
                <w:rFonts w:cs="Arial"/>
                <w:szCs w:val="18"/>
              </w:rPr>
            </w:pPr>
            <w:r>
              <w:rPr>
                <w:rFonts w:cs="Arial"/>
                <w:szCs w:val="18"/>
              </w:rPr>
              <w:t>Additional provisions made</w:t>
            </w:r>
          </w:p>
        </w:tc>
        <w:tc>
          <w:tcPr>
            <w:tcW w:w="105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r>
      <w:tr w:rsidR="00735613" w:rsidTr="00735613">
        <w:trPr>
          <w:trHeight w:val="264"/>
        </w:trPr>
        <w:tc>
          <w:tcPr>
            <w:tcW w:w="4456" w:type="dxa"/>
            <w:tcBorders>
              <w:top w:val="nil"/>
              <w:left w:val="nil"/>
              <w:bottom w:val="single" w:sz="4" w:space="0" w:color="D9D9D9"/>
              <w:right w:val="nil"/>
            </w:tcBorders>
            <w:shd w:val="clear" w:color="000000" w:fill="D9D9D9"/>
            <w:vAlign w:val="bottom"/>
            <w:hideMark/>
          </w:tcPr>
          <w:p w:rsidR="00735613" w:rsidRDefault="00735613">
            <w:pPr>
              <w:rPr>
                <w:rFonts w:cs="Arial"/>
                <w:szCs w:val="18"/>
              </w:rPr>
            </w:pPr>
            <w:r>
              <w:rPr>
                <w:rFonts w:cs="Arial"/>
                <w:szCs w:val="18"/>
              </w:rPr>
              <w:t>Reversed during reporting period</w:t>
            </w:r>
          </w:p>
        </w:tc>
        <w:tc>
          <w:tcPr>
            <w:tcW w:w="105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(1,140,000)</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(1,140,000)</w:t>
            </w:r>
          </w:p>
        </w:tc>
      </w:tr>
      <w:tr w:rsidR="00735613" w:rsidTr="00735613">
        <w:trPr>
          <w:trHeight w:val="264"/>
        </w:trPr>
        <w:tc>
          <w:tcPr>
            <w:tcW w:w="4456" w:type="dxa"/>
            <w:tcBorders>
              <w:top w:val="nil"/>
              <w:left w:val="nil"/>
              <w:bottom w:val="single" w:sz="4" w:space="0" w:color="D9D9D9"/>
              <w:right w:val="nil"/>
            </w:tcBorders>
            <w:shd w:val="clear" w:color="000000" w:fill="D9D9D9"/>
            <w:vAlign w:val="bottom"/>
            <w:hideMark/>
          </w:tcPr>
          <w:p w:rsidR="00735613" w:rsidRDefault="00735613">
            <w:pPr>
              <w:rPr>
                <w:rFonts w:cs="Arial"/>
                <w:szCs w:val="18"/>
              </w:rPr>
            </w:pPr>
            <w:r>
              <w:rPr>
                <w:rFonts w:cs="Arial"/>
                <w:szCs w:val="18"/>
              </w:rPr>
              <w:t>Amounts used</w:t>
            </w:r>
          </w:p>
        </w:tc>
        <w:tc>
          <w:tcPr>
            <w:tcW w:w="105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(161,342)</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(97,721)</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(259,063)</w:t>
            </w:r>
          </w:p>
        </w:tc>
      </w:tr>
      <w:tr w:rsidR="00735613" w:rsidTr="00735613">
        <w:trPr>
          <w:trHeight w:val="264"/>
        </w:trPr>
        <w:tc>
          <w:tcPr>
            <w:tcW w:w="4456" w:type="dxa"/>
            <w:tcBorders>
              <w:top w:val="nil"/>
              <w:left w:val="nil"/>
              <w:bottom w:val="single" w:sz="4" w:space="0" w:color="D9D9D9"/>
              <w:right w:val="nil"/>
            </w:tcBorders>
            <w:shd w:val="clear" w:color="000000" w:fill="D9D9D9"/>
            <w:vAlign w:val="bottom"/>
            <w:hideMark/>
          </w:tcPr>
          <w:p w:rsidR="00735613" w:rsidRDefault="00735613">
            <w:pPr>
              <w:rPr>
                <w:rFonts w:cs="Arial"/>
                <w:szCs w:val="18"/>
              </w:rPr>
            </w:pPr>
            <w:r>
              <w:rPr>
                <w:rFonts w:cs="Arial"/>
                <w:szCs w:val="18"/>
              </w:rPr>
              <w:t>Increase (decrease) in net cost of services</w:t>
            </w:r>
          </w:p>
        </w:tc>
        <w:tc>
          <w:tcPr>
            <w:tcW w:w="105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121,355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121,355 </w:t>
            </w:r>
          </w:p>
        </w:tc>
      </w:tr>
      <w:tr w:rsidR="00735613" w:rsidTr="00735613">
        <w:trPr>
          <w:trHeight w:val="264"/>
        </w:trPr>
        <w:tc>
          <w:tcPr>
            <w:tcW w:w="4456" w:type="dxa"/>
            <w:tcBorders>
              <w:top w:val="nil"/>
              <w:left w:val="nil"/>
              <w:bottom w:val="single" w:sz="4" w:space="0" w:color="D9D9D9"/>
              <w:right w:val="nil"/>
            </w:tcBorders>
            <w:shd w:val="clear" w:color="000000" w:fill="D9D9D9"/>
            <w:vAlign w:val="bottom"/>
            <w:hideMark/>
          </w:tcPr>
          <w:p w:rsidR="00735613" w:rsidRDefault="00735613">
            <w:pPr>
              <w:rPr>
                <w:rFonts w:cs="Arial"/>
                <w:szCs w:val="18"/>
              </w:rPr>
            </w:pPr>
            <w:r>
              <w:rPr>
                <w:rFonts w:cs="Arial"/>
                <w:szCs w:val="18"/>
              </w:rPr>
              <w:t>Restructuring</w:t>
            </w:r>
          </w:p>
        </w:tc>
        <w:tc>
          <w:tcPr>
            <w:tcW w:w="105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(703,289)</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(703,289)</w:t>
            </w:r>
          </w:p>
        </w:tc>
      </w:tr>
      <w:tr w:rsidR="00735613" w:rsidTr="00735613">
        <w:trPr>
          <w:trHeight w:val="264"/>
        </w:trPr>
        <w:tc>
          <w:tcPr>
            <w:tcW w:w="4456" w:type="dxa"/>
            <w:tcBorders>
              <w:top w:val="nil"/>
              <w:left w:val="nil"/>
              <w:bottom w:val="single" w:sz="4" w:space="0" w:color="D9D9D9"/>
              <w:right w:val="nil"/>
            </w:tcBorders>
            <w:shd w:val="clear" w:color="000000" w:fill="D9D9D9"/>
            <w:vAlign w:val="bottom"/>
            <w:hideMark/>
          </w:tcPr>
          <w:p w:rsidR="00735613" w:rsidRDefault="00735613">
            <w:pPr>
              <w:rPr>
                <w:rFonts w:cs="Arial"/>
                <w:szCs w:val="18"/>
              </w:rPr>
            </w:pPr>
            <w:r>
              <w:rPr>
                <w:rFonts w:cs="Arial"/>
                <w:szCs w:val="18"/>
              </w:rPr>
              <w:t>Unwinding of discount or change in discount rate</w:t>
            </w:r>
          </w:p>
        </w:tc>
        <w:tc>
          <w:tcPr>
            <w:tcW w:w="105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380,231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380,231 </w:t>
            </w:r>
          </w:p>
        </w:tc>
      </w:tr>
      <w:tr w:rsidR="00735613" w:rsidTr="00735613">
        <w:trPr>
          <w:trHeight w:val="264"/>
        </w:trPr>
        <w:tc>
          <w:tcPr>
            <w:tcW w:w="4456" w:type="dxa"/>
            <w:tcBorders>
              <w:top w:val="single" w:sz="4" w:space="0" w:color="auto"/>
              <w:left w:val="nil"/>
              <w:bottom w:val="single" w:sz="4" w:space="0" w:color="auto"/>
              <w:right w:val="nil"/>
            </w:tcBorders>
            <w:shd w:val="clear" w:color="000000" w:fill="D9D9D9"/>
            <w:vAlign w:val="bottom"/>
            <w:hideMark/>
          </w:tcPr>
          <w:p w:rsidR="00735613" w:rsidRDefault="00735613">
            <w:pPr>
              <w:rPr>
                <w:rFonts w:cs="Arial"/>
                <w:b/>
                <w:bCs/>
                <w:szCs w:val="18"/>
              </w:rPr>
            </w:pPr>
            <w:r>
              <w:rPr>
                <w:rFonts w:cs="Arial"/>
                <w:b/>
                <w:bCs/>
                <w:szCs w:val="18"/>
              </w:rPr>
              <w:t>Total as at 30 June 2015</w:t>
            </w:r>
          </w:p>
        </w:tc>
        <w:tc>
          <w:tcPr>
            <w:tcW w:w="10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6,068,013</w:t>
            </w:r>
          </w:p>
        </w:tc>
        <w:tc>
          <w:tcPr>
            <w:tcW w:w="12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12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6,068,013</w:t>
            </w:r>
          </w:p>
        </w:tc>
      </w:tr>
    </w:tbl>
    <w:p w:rsidR="00735613" w:rsidRDefault="00735613">
      <w:bookmarkStart w:id="495" w:name="RANGE!D7:D16"/>
      <w:bookmarkEnd w:id="495"/>
    </w:p>
    <w:p w:rsidR="00735613" w:rsidRDefault="00735613"/>
    <w:p w:rsidR="00735613" w:rsidRDefault="00735613"/>
    <w:p w:rsidR="00735613" w:rsidRDefault="00735613">
      <w:pPr>
        <w:spacing w:line="240" w:lineRule="auto"/>
      </w:pPr>
      <w:r>
        <w:br w:type="page"/>
      </w:r>
    </w:p>
    <w:p w:rsidR="00735613" w:rsidRDefault="00735613">
      <w:pPr>
        <w:spacing w:line="240" w:lineRule="auto"/>
        <w:sectPr w:rsidR="00735613">
          <w:pgSz w:w="11906" w:h="16838"/>
          <w:pgMar w:top="1134" w:right="1134" w:bottom="1134" w:left="1134" w:header="958" w:footer="737" w:gutter="0"/>
          <w:cols w:space="720"/>
        </w:sectPr>
      </w:pPr>
    </w:p>
    <w:p w:rsidR="00735613" w:rsidRDefault="00735613" w:rsidP="00735613">
      <w:pPr>
        <w:pStyle w:val="NotesHeading-Level1GreyShade"/>
        <w:numPr>
          <w:ilvl w:val="0"/>
          <w:numId w:val="9"/>
        </w:numPr>
      </w:pPr>
      <w:bookmarkStart w:id="496" w:name="_Toc420422394"/>
      <w:r>
        <w:t>Administered Cash Flow Reconciliation</w:t>
      </w:r>
      <w:bookmarkEnd w:id="496"/>
      <w:r>
        <w:t xml:space="preserve"> </w:t>
      </w:r>
    </w:p>
    <w:tbl>
      <w:tblPr>
        <w:tblW w:w="9087" w:type="dxa"/>
        <w:tblInd w:w="80" w:type="dxa"/>
        <w:tblLayout w:type="fixed"/>
        <w:tblLook w:val="04A0" w:firstRow="1" w:lastRow="0" w:firstColumn="1" w:lastColumn="0" w:noHBand="0" w:noVBand="1"/>
      </w:tblPr>
      <w:tblGrid>
        <w:gridCol w:w="6230"/>
        <w:gridCol w:w="1296"/>
        <w:gridCol w:w="265"/>
        <w:gridCol w:w="1296"/>
      </w:tblGrid>
      <w:tr w:rsidR="00735613" w:rsidTr="00735613">
        <w:trPr>
          <w:trHeight w:val="264"/>
        </w:trPr>
        <w:tc>
          <w:tcPr>
            <w:tcW w:w="61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bookmarkStart w:id="497" w:name="Note_AFRTABLE1" w:colFirst="0" w:colLast="0"/>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2015</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2014</w:t>
            </w:r>
          </w:p>
        </w:tc>
      </w:tr>
      <w:bookmarkEnd w:id="497"/>
      <w:tr w:rsidR="00735613" w:rsidTr="00735613">
        <w:trPr>
          <w:trHeight w:val="264"/>
        </w:trPr>
        <w:tc>
          <w:tcPr>
            <w:tcW w:w="61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$'000</w:t>
            </w:r>
          </w:p>
        </w:tc>
      </w:tr>
      <w:tr w:rsidR="00735613" w:rsidTr="00735613">
        <w:trPr>
          <w:trHeight w:val="480"/>
        </w:trPr>
        <w:tc>
          <w:tcPr>
            <w:tcW w:w="613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Reconciliation of cash and cash equivalents as per administered schedule of assets and liabilities to administered cash flow statement</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1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13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Cash and cash equivalents as per</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13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Schedule of administered cash flows</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613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Schedule of administered assets and liabilities</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76"/>
        </w:trPr>
        <w:tc>
          <w:tcPr>
            <w:tcW w:w="613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Discrepancy</w:t>
            </w:r>
          </w:p>
        </w:tc>
        <w:tc>
          <w:tcPr>
            <w:tcW w:w="127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w:t>
            </w:r>
          </w:p>
        </w:tc>
      </w:tr>
      <w:tr w:rsidR="00735613" w:rsidTr="00735613">
        <w:trPr>
          <w:trHeight w:val="276"/>
        </w:trPr>
        <w:tc>
          <w:tcPr>
            <w:tcW w:w="613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7412" w:type="dxa"/>
            <w:gridSpan w:val="2"/>
            <w:tcBorders>
              <w:top w:val="single" w:sz="4" w:space="0" w:color="D9D9D9"/>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Reconciliation of net cost of services to net cash from (used by) operating activities</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136"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Net (cost of) contribution by services</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(27,889,199)</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(21,817,072)</w:t>
            </w:r>
          </w:p>
        </w:tc>
      </w:tr>
      <w:tr w:rsidR="00735613" w:rsidTr="00735613">
        <w:trPr>
          <w:trHeight w:val="264"/>
        </w:trPr>
        <w:tc>
          <w:tcPr>
            <w:tcW w:w="61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13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Adjustments for non-cash items</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13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Net write down of non-financial assets</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26,237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60,940 </w:t>
            </w:r>
          </w:p>
        </w:tc>
      </w:tr>
      <w:tr w:rsidR="00735613" w:rsidTr="00735613">
        <w:trPr>
          <w:trHeight w:val="264"/>
        </w:trPr>
        <w:tc>
          <w:tcPr>
            <w:tcW w:w="613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Concessional loan discount</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801,980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592,890 </w:t>
            </w:r>
          </w:p>
        </w:tc>
      </w:tr>
      <w:tr w:rsidR="00735613" w:rsidTr="00735613">
        <w:trPr>
          <w:trHeight w:val="264"/>
        </w:trPr>
        <w:tc>
          <w:tcPr>
            <w:tcW w:w="613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Fair value losses</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702,638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860,240 </w:t>
            </w:r>
          </w:p>
        </w:tc>
      </w:tr>
      <w:tr w:rsidR="00735613" w:rsidTr="00735613">
        <w:trPr>
          <w:trHeight w:val="264"/>
        </w:trPr>
        <w:tc>
          <w:tcPr>
            <w:tcW w:w="613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Interest on loans</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(567,434)</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(408,815)</w:t>
            </w:r>
          </w:p>
        </w:tc>
      </w:tr>
      <w:tr w:rsidR="00735613" w:rsidTr="00735613">
        <w:trPr>
          <w:trHeight w:val="264"/>
        </w:trPr>
        <w:tc>
          <w:tcPr>
            <w:tcW w:w="613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Other revenues not providing cash</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326,859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(43,448)</w:t>
            </w:r>
          </w:p>
        </w:tc>
      </w:tr>
      <w:tr w:rsidR="00735613" w:rsidTr="00735613">
        <w:trPr>
          <w:trHeight w:val="264"/>
        </w:trPr>
        <w:tc>
          <w:tcPr>
            <w:tcW w:w="613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Fair value gains</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(96,221)</w:t>
            </w:r>
          </w:p>
        </w:tc>
      </w:tr>
      <w:tr w:rsidR="00735613" w:rsidTr="00735613">
        <w:trPr>
          <w:trHeight w:val="264"/>
        </w:trPr>
        <w:tc>
          <w:tcPr>
            <w:tcW w:w="613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Unwinding of the discount</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(15,363)</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(98,024)</w:t>
            </w:r>
          </w:p>
        </w:tc>
      </w:tr>
      <w:tr w:rsidR="00735613" w:rsidTr="00735613">
        <w:trPr>
          <w:trHeight w:val="264"/>
        </w:trPr>
        <w:tc>
          <w:tcPr>
            <w:tcW w:w="613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13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Movements in assets and liabilities</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13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Assets</w:t>
            </w:r>
          </w:p>
        </w:tc>
        <w:tc>
          <w:tcPr>
            <w:tcW w:w="127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613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(Increase) / decrease in net receivables</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(34,943)</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(254,092)</w:t>
            </w:r>
          </w:p>
        </w:tc>
      </w:tr>
      <w:tr w:rsidR="00735613" w:rsidTr="00735613">
        <w:trPr>
          <w:trHeight w:val="264"/>
        </w:trPr>
        <w:tc>
          <w:tcPr>
            <w:tcW w:w="613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(Increase) / decrease in other non-financial assets</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523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3,341 </w:t>
            </w:r>
          </w:p>
        </w:tc>
      </w:tr>
      <w:tr w:rsidR="00735613" w:rsidTr="00735613">
        <w:trPr>
          <w:trHeight w:val="264"/>
        </w:trPr>
        <w:tc>
          <w:tcPr>
            <w:tcW w:w="613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Liabilities</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613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Increase / (decrease) in supplier payables</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39,401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(334,601)</w:t>
            </w:r>
          </w:p>
        </w:tc>
      </w:tr>
      <w:tr w:rsidR="00735613" w:rsidTr="00735613">
        <w:trPr>
          <w:trHeight w:val="264"/>
        </w:trPr>
        <w:tc>
          <w:tcPr>
            <w:tcW w:w="613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Increase / (decrease) in grants payable</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(1,306,416)</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10,771 </w:t>
            </w:r>
          </w:p>
        </w:tc>
      </w:tr>
      <w:tr w:rsidR="00735613" w:rsidTr="00735613">
        <w:trPr>
          <w:trHeight w:val="264"/>
        </w:trPr>
        <w:tc>
          <w:tcPr>
            <w:tcW w:w="613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Increase / (decrease) in personal benefits payable</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14,742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23,837 </w:t>
            </w:r>
          </w:p>
        </w:tc>
      </w:tr>
      <w:tr w:rsidR="00735613" w:rsidTr="00735613">
        <w:trPr>
          <w:trHeight w:val="264"/>
        </w:trPr>
        <w:tc>
          <w:tcPr>
            <w:tcW w:w="613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Increase / (decrease) in other payables</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(3,864)</w:t>
            </w:r>
          </w:p>
        </w:tc>
      </w:tr>
      <w:tr w:rsidR="00735613" w:rsidTr="00735613">
        <w:trPr>
          <w:trHeight w:val="264"/>
        </w:trPr>
        <w:tc>
          <w:tcPr>
            <w:tcW w:w="6136" w:type="dxa"/>
            <w:tcBorders>
              <w:top w:val="nil"/>
              <w:left w:val="nil"/>
              <w:right w:val="nil"/>
            </w:tcBorders>
            <w:shd w:val="clear" w:color="000000" w:fill="D9D9D9"/>
            <w:vAlign w:val="bottom"/>
            <w:hideMark/>
          </w:tcPr>
          <w:p w:rsidR="00735613" w:rsidRDefault="00735613">
            <w:pPr>
              <w:rPr>
                <w:rFonts w:cs="Arial"/>
                <w:szCs w:val="18"/>
              </w:rPr>
            </w:pPr>
            <w:r>
              <w:rPr>
                <w:rFonts w:cs="Arial"/>
                <w:szCs w:val="18"/>
              </w:rPr>
              <w:t>Increase / (decrease) in provisions</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(97,721)</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372,663 </w:t>
            </w:r>
          </w:p>
        </w:tc>
      </w:tr>
      <w:tr w:rsidR="00735613" w:rsidTr="00735613">
        <w:trPr>
          <w:trHeight w:val="276"/>
        </w:trPr>
        <w:tc>
          <w:tcPr>
            <w:tcW w:w="6136" w:type="dxa"/>
            <w:tcBorders>
              <w:top w:val="nil"/>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Net cash from (used by) operating activities</w:t>
            </w:r>
          </w:p>
        </w:tc>
        <w:tc>
          <w:tcPr>
            <w:tcW w:w="127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(27,998,696)</w:t>
            </w:r>
          </w:p>
        </w:tc>
        <w:tc>
          <w:tcPr>
            <w:tcW w:w="261"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i/>
                <w:iCs/>
                <w:szCs w:val="18"/>
              </w:rPr>
            </w:pPr>
            <w:r>
              <w:rPr>
                <w:rFonts w:cs="Arial"/>
                <w:b/>
                <w:bCs/>
                <w:i/>
                <w:iCs/>
                <w:szCs w:val="18"/>
              </w:rPr>
              <w:t> </w:t>
            </w:r>
          </w:p>
        </w:tc>
        <w:tc>
          <w:tcPr>
            <w:tcW w:w="127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(21,131,455)</w:t>
            </w:r>
          </w:p>
        </w:tc>
      </w:tr>
    </w:tbl>
    <w:p w:rsidR="00735613" w:rsidRDefault="00735613">
      <w:pPr>
        <w:spacing w:line="240" w:lineRule="auto"/>
        <w:sectPr w:rsidR="00735613">
          <w:pgSz w:w="11906" w:h="16838"/>
          <w:pgMar w:top="1134" w:right="1134" w:bottom="1134" w:left="1134" w:header="958" w:footer="737" w:gutter="0"/>
          <w:cols w:space="720"/>
        </w:sectPr>
      </w:pPr>
      <w:bookmarkStart w:id="498" w:name="RANGE!E7:H39"/>
      <w:bookmarkStart w:id="499" w:name="RANGE!E7:H38"/>
      <w:bookmarkStart w:id="500" w:name="RANGE!E7:H36"/>
      <w:bookmarkEnd w:id="498"/>
      <w:bookmarkEnd w:id="499"/>
      <w:bookmarkEnd w:id="500"/>
    </w:p>
    <w:p w:rsidR="00735613" w:rsidRDefault="00735613" w:rsidP="00735613">
      <w:pPr>
        <w:pStyle w:val="NotesHeading-Level1GreyShade"/>
        <w:numPr>
          <w:ilvl w:val="0"/>
          <w:numId w:val="9"/>
        </w:numPr>
      </w:pPr>
      <w:bookmarkStart w:id="501" w:name="RANGE!E7:H34"/>
      <w:bookmarkStart w:id="502" w:name="RANGE!E7:H33"/>
      <w:bookmarkStart w:id="503" w:name="RANGE!E7:H32"/>
      <w:bookmarkStart w:id="504" w:name="RANGE!E6:H31"/>
      <w:bookmarkStart w:id="505" w:name="RANGE!E6:H36"/>
      <w:bookmarkStart w:id="506" w:name="RANGE!E6:H37"/>
      <w:bookmarkStart w:id="507" w:name="_Ref317489659"/>
      <w:bookmarkStart w:id="508" w:name="_Toc420422395"/>
      <w:bookmarkEnd w:id="501"/>
      <w:bookmarkEnd w:id="502"/>
      <w:bookmarkEnd w:id="503"/>
      <w:bookmarkEnd w:id="504"/>
      <w:bookmarkEnd w:id="505"/>
      <w:bookmarkEnd w:id="506"/>
      <w:r>
        <w:t>Administered Contingent Assets and Liabilities</w:t>
      </w:r>
      <w:bookmarkEnd w:id="507"/>
      <w:bookmarkEnd w:id="508"/>
    </w:p>
    <w:p w:rsidR="00735613" w:rsidRDefault="00735613" w:rsidP="00735613">
      <w:pPr>
        <w:pStyle w:val="NotesHeading-Level1GreyShade"/>
        <w:numPr>
          <w:ilvl w:val="0"/>
          <w:numId w:val="0"/>
        </w:numPr>
        <w:ind w:left="360" w:hanging="360"/>
        <w:outlineLvl w:val="9"/>
        <w:rPr>
          <w:rFonts w:ascii="Arial" w:hAnsi="Arial" w:cs="Arial"/>
          <w:sz w:val="16"/>
          <w:szCs w:val="16"/>
        </w:rPr>
      </w:pPr>
    </w:p>
    <w:tbl>
      <w:tblPr>
        <w:tblW w:w="9087" w:type="dxa"/>
        <w:tblInd w:w="80" w:type="dxa"/>
        <w:tblLayout w:type="fixed"/>
        <w:tblLook w:val="04A0" w:firstRow="1" w:lastRow="0" w:firstColumn="1" w:lastColumn="0" w:noHBand="0" w:noVBand="1"/>
      </w:tblPr>
      <w:tblGrid>
        <w:gridCol w:w="9087"/>
      </w:tblGrid>
      <w:tr w:rsidR="00735613" w:rsidTr="00735613">
        <w:trPr>
          <w:trHeight w:val="264"/>
        </w:trPr>
        <w:tc>
          <w:tcPr>
            <w:tcW w:w="9087"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p>
        </w:tc>
      </w:tr>
      <w:tr w:rsidR="00735613" w:rsidTr="00735613">
        <w:trPr>
          <w:trHeight w:val="264"/>
        </w:trPr>
        <w:tc>
          <w:tcPr>
            <w:tcW w:w="908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Quantifiable Contingencies</w:t>
            </w:r>
          </w:p>
        </w:tc>
      </w:tr>
      <w:tr w:rsidR="00735613" w:rsidTr="00735613">
        <w:trPr>
          <w:trHeight w:val="264"/>
        </w:trPr>
        <w:tc>
          <w:tcPr>
            <w:tcW w:w="908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The department does not hold quantifiable contingent assets and liabilities (2014: nil).</w:t>
            </w:r>
          </w:p>
        </w:tc>
      </w:tr>
      <w:tr w:rsidR="00735613" w:rsidTr="00735613">
        <w:trPr>
          <w:trHeight w:val="264"/>
        </w:trPr>
        <w:tc>
          <w:tcPr>
            <w:tcW w:w="9087"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908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Unquantifiable Contingencies</w:t>
            </w:r>
          </w:p>
        </w:tc>
      </w:tr>
      <w:tr w:rsidR="00735613" w:rsidTr="00735613">
        <w:trPr>
          <w:trHeight w:val="264"/>
        </w:trPr>
        <w:tc>
          <w:tcPr>
            <w:tcW w:w="908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xml:space="preserve">At 30 June 2015, the department had no legal claims against it (2014: nil). </w:t>
            </w:r>
          </w:p>
          <w:p w:rsidR="00735613" w:rsidRDefault="00735613">
            <w:pPr>
              <w:rPr>
                <w:rFonts w:cs="Arial"/>
                <w:szCs w:val="18"/>
              </w:rPr>
            </w:pPr>
          </w:p>
          <w:p w:rsidR="00735613" w:rsidRDefault="00735613" w:rsidP="00735613">
            <w:pPr>
              <w:rPr>
                <w:rFonts w:cs="Arial"/>
                <w:szCs w:val="18"/>
              </w:rPr>
            </w:pPr>
            <w:r>
              <w:rPr>
                <w:rFonts w:cs="Arial"/>
                <w:szCs w:val="18"/>
              </w:rPr>
              <w:t>There are currently a number of cases before the Administrative Appeals Tribunal (AAT) for which the outcomes are not yet known or able to be quantified.</w:t>
            </w:r>
          </w:p>
        </w:tc>
      </w:tr>
      <w:tr w:rsidR="00735613" w:rsidTr="00735613">
        <w:trPr>
          <w:trHeight w:val="264"/>
        </w:trPr>
        <w:tc>
          <w:tcPr>
            <w:tcW w:w="9087"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9087"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Significant Remote Contingencies</w:t>
            </w:r>
          </w:p>
        </w:tc>
      </w:tr>
      <w:tr w:rsidR="00735613" w:rsidTr="00735613">
        <w:trPr>
          <w:trHeight w:val="264"/>
        </w:trPr>
        <w:tc>
          <w:tcPr>
            <w:tcW w:w="9087"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The department had no significant remote contingencies (2014: nil).</w:t>
            </w:r>
          </w:p>
        </w:tc>
      </w:tr>
      <w:tr w:rsidR="00735613" w:rsidTr="00735613">
        <w:trPr>
          <w:trHeight w:val="264"/>
        </w:trPr>
        <w:tc>
          <w:tcPr>
            <w:tcW w:w="9087"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bl>
    <w:p w:rsidR="00735613" w:rsidRDefault="00735613" w:rsidP="00735613">
      <w:pPr>
        <w:pStyle w:val="NotesHeading-Level1GreyShade"/>
        <w:numPr>
          <w:ilvl w:val="0"/>
          <w:numId w:val="0"/>
        </w:numPr>
        <w:outlineLvl w:val="9"/>
        <w:rPr>
          <w:rFonts w:ascii="Arial" w:hAnsi="Arial" w:cs="Arial"/>
          <w:sz w:val="16"/>
          <w:szCs w:val="16"/>
        </w:rPr>
      </w:pPr>
      <w:bookmarkStart w:id="509" w:name="RANGE!D7:M37"/>
      <w:bookmarkEnd w:id="509"/>
    </w:p>
    <w:p w:rsidR="00735613" w:rsidRDefault="00735613">
      <w:bookmarkStart w:id="510" w:name="RANGE!D7:M25"/>
      <w:bookmarkStart w:id="511" w:name="RANGE!D6:M24"/>
      <w:bookmarkStart w:id="512" w:name="RANGE!D6:M23"/>
      <w:bookmarkStart w:id="513" w:name="RANGE!D6:K23"/>
      <w:bookmarkEnd w:id="510"/>
      <w:bookmarkEnd w:id="511"/>
      <w:bookmarkEnd w:id="512"/>
      <w:bookmarkEnd w:id="513"/>
    </w:p>
    <w:p w:rsidR="00735613" w:rsidRDefault="00735613">
      <w:r>
        <w:br w:type="page"/>
      </w:r>
    </w:p>
    <w:p w:rsidR="00735613" w:rsidRDefault="00735613" w:rsidP="00735613">
      <w:pPr>
        <w:pStyle w:val="NotesHeading-Level1GreyShade"/>
        <w:numPr>
          <w:ilvl w:val="0"/>
          <w:numId w:val="9"/>
        </w:numPr>
      </w:pPr>
      <w:bookmarkStart w:id="514" w:name="_Toc420422396"/>
      <w:r>
        <w:t>Administered Financial Instruments</w:t>
      </w:r>
      <w:bookmarkEnd w:id="514"/>
    </w:p>
    <w:tbl>
      <w:tblPr>
        <w:tblW w:w="9087" w:type="dxa"/>
        <w:tblInd w:w="80" w:type="dxa"/>
        <w:tblLayout w:type="fixed"/>
        <w:tblLook w:val="04A0" w:firstRow="1" w:lastRow="0" w:firstColumn="1" w:lastColumn="0" w:noHBand="0" w:noVBand="1"/>
      </w:tblPr>
      <w:tblGrid>
        <w:gridCol w:w="5895"/>
        <w:gridCol w:w="1448"/>
        <w:gridCol w:w="296"/>
        <w:gridCol w:w="1448"/>
      </w:tblGrid>
      <w:tr w:rsidR="00735613" w:rsidTr="00735613">
        <w:trPr>
          <w:trHeight w:val="264"/>
        </w:trPr>
        <w:tc>
          <w:tcPr>
            <w:tcW w:w="519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bookmarkStart w:id="515" w:name="Note_AFATABLE1" w:colFirst="0" w:colLast="0"/>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2015</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2014</w:t>
            </w:r>
          </w:p>
        </w:tc>
      </w:tr>
      <w:bookmarkEnd w:id="515"/>
      <w:tr w:rsidR="00735613" w:rsidTr="00735613">
        <w:trPr>
          <w:trHeight w:val="264"/>
        </w:trPr>
        <w:tc>
          <w:tcPr>
            <w:tcW w:w="519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5196" w:type="dxa"/>
            <w:tcBorders>
              <w:top w:val="nil"/>
              <w:left w:val="nil"/>
              <w:bottom w:val="nil"/>
              <w:right w:val="nil"/>
            </w:tcBorders>
            <w:shd w:val="clear" w:color="000000" w:fill="D9D9D9"/>
            <w:noWrap/>
            <w:hideMark/>
          </w:tcPr>
          <w:p w:rsidR="00735613" w:rsidRDefault="00735613">
            <w:pPr>
              <w:rPr>
                <w:rFonts w:cs="Arial"/>
                <w:b/>
                <w:bCs/>
                <w:szCs w:val="18"/>
                <w:u w:val="single"/>
              </w:rPr>
            </w:pPr>
            <w:r>
              <w:rPr>
                <w:rFonts w:cs="Arial"/>
                <w:b/>
                <w:bCs/>
                <w:szCs w:val="18"/>
                <w:u w:val="single"/>
              </w:rPr>
              <w:t>Note 27A: Categories of financial instruments</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19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19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Financial assets</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19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Available for sale financial assets</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19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Investments</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2,149,930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2,149,026 </w:t>
            </w:r>
          </w:p>
        </w:tc>
      </w:tr>
      <w:tr w:rsidR="00735613" w:rsidTr="00735613">
        <w:trPr>
          <w:trHeight w:val="264"/>
        </w:trPr>
        <w:tc>
          <w:tcPr>
            <w:tcW w:w="519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Total available-for sale financial assets</w:t>
            </w:r>
          </w:p>
        </w:tc>
        <w:tc>
          <w:tcPr>
            <w:tcW w:w="12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2,149,930</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2,149,026</w:t>
            </w:r>
          </w:p>
        </w:tc>
      </w:tr>
      <w:tr w:rsidR="00735613" w:rsidTr="00735613">
        <w:trPr>
          <w:trHeight w:val="264"/>
        </w:trPr>
        <w:tc>
          <w:tcPr>
            <w:tcW w:w="519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76" w:type="dxa"/>
            <w:tcBorders>
              <w:top w:val="nil"/>
              <w:left w:val="nil"/>
              <w:bottom w:val="nil"/>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19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Loans and receivables</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19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Cash and cash equivalents</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519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Goods and services receivable</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31,620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24,164 </w:t>
            </w:r>
          </w:p>
        </w:tc>
      </w:tr>
      <w:tr w:rsidR="00735613" w:rsidTr="00735613">
        <w:trPr>
          <w:trHeight w:val="264"/>
        </w:trPr>
        <w:tc>
          <w:tcPr>
            <w:tcW w:w="519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Total loans and receivables</w:t>
            </w:r>
          </w:p>
        </w:tc>
        <w:tc>
          <w:tcPr>
            <w:tcW w:w="12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31,620</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24,164</w:t>
            </w:r>
          </w:p>
        </w:tc>
      </w:tr>
      <w:tr w:rsidR="00735613" w:rsidTr="00735613">
        <w:trPr>
          <w:trHeight w:val="264"/>
        </w:trPr>
        <w:tc>
          <w:tcPr>
            <w:tcW w:w="519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76" w:type="dxa"/>
            <w:tcBorders>
              <w:top w:val="nil"/>
              <w:left w:val="nil"/>
              <w:bottom w:val="nil"/>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64"/>
        </w:trPr>
        <w:tc>
          <w:tcPr>
            <w:tcW w:w="519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Financial assets at fair value through profit or loss (designated)</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19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HECS\HELP Loans</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30,444,858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25,147,139 </w:t>
            </w:r>
          </w:p>
        </w:tc>
      </w:tr>
      <w:tr w:rsidR="00735613" w:rsidTr="00735613">
        <w:trPr>
          <w:trHeight w:val="264"/>
        </w:trPr>
        <w:tc>
          <w:tcPr>
            <w:tcW w:w="519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Trade support loans</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52,960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519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Other loans</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727 </w:t>
            </w:r>
          </w:p>
        </w:tc>
      </w:tr>
      <w:tr w:rsidR="00735613" w:rsidTr="00735613">
        <w:trPr>
          <w:trHeight w:val="264"/>
        </w:trPr>
        <w:tc>
          <w:tcPr>
            <w:tcW w:w="519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Total assets at fair value through profit or loss (designated)</w:t>
            </w:r>
          </w:p>
        </w:tc>
        <w:tc>
          <w:tcPr>
            <w:tcW w:w="12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30,497,818</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25,147,866</w:t>
            </w:r>
          </w:p>
        </w:tc>
      </w:tr>
      <w:tr w:rsidR="00735613" w:rsidTr="00735613">
        <w:trPr>
          <w:trHeight w:val="264"/>
        </w:trPr>
        <w:tc>
          <w:tcPr>
            <w:tcW w:w="519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519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Total financial assets categorised as financial instruments</w:t>
            </w:r>
          </w:p>
        </w:tc>
        <w:tc>
          <w:tcPr>
            <w:tcW w:w="127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32,679,368</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27,321,056</w:t>
            </w:r>
          </w:p>
        </w:tc>
      </w:tr>
      <w:tr w:rsidR="00735613" w:rsidTr="00735613">
        <w:trPr>
          <w:trHeight w:val="276"/>
        </w:trPr>
        <w:tc>
          <w:tcPr>
            <w:tcW w:w="519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19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Financial liabilities</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19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Financial liabilities measured at amortised cost</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19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Trade creditors and accruals</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54,235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36,884 </w:t>
            </w:r>
          </w:p>
        </w:tc>
      </w:tr>
      <w:tr w:rsidR="00735613" w:rsidTr="00735613">
        <w:trPr>
          <w:trHeight w:val="264"/>
        </w:trPr>
        <w:tc>
          <w:tcPr>
            <w:tcW w:w="519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Grants payable</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36,246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24,434 </w:t>
            </w:r>
          </w:p>
        </w:tc>
      </w:tr>
      <w:tr w:rsidR="00735613" w:rsidTr="00735613">
        <w:trPr>
          <w:trHeight w:val="264"/>
        </w:trPr>
        <w:tc>
          <w:tcPr>
            <w:tcW w:w="519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Total financial liabilities measured at amortised cost</w:t>
            </w:r>
          </w:p>
        </w:tc>
        <w:tc>
          <w:tcPr>
            <w:tcW w:w="12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90,481</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61,318</w:t>
            </w:r>
          </w:p>
        </w:tc>
      </w:tr>
      <w:tr w:rsidR="00735613" w:rsidTr="00735613">
        <w:trPr>
          <w:trHeight w:val="264"/>
        </w:trPr>
        <w:tc>
          <w:tcPr>
            <w:tcW w:w="5196" w:type="dxa"/>
            <w:tcBorders>
              <w:top w:val="nil"/>
              <w:left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5196" w:type="dxa"/>
            <w:tcBorders>
              <w:top w:val="nil"/>
              <w:left w:val="nil"/>
              <w:bottom w:val="single" w:sz="24" w:space="0" w:color="D8D8D8"/>
              <w:right w:val="nil"/>
            </w:tcBorders>
            <w:shd w:val="clear" w:color="000000" w:fill="D9D9D9"/>
            <w:vAlign w:val="bottom"/>
            <w:hideMark/>
          </w:tcPr>
          <w:p w:rsidR="00735613" w:rsidRDefault="00735613">
            <w:pPr>
              <w:rPr>
                <w:rFonts w:cs="Arial"/>
                <w:b/>
                <w:bCs/>
                <w:szCs w:val="18"/>
              </w:rPr>
            </w:pPr>
            <w:r>
              <w:rPr>
                <w:rFonts w:cs="Arial"/>
                <w:b/>
                <w:bCs/>
                <w:szCs w:val="18"/>
              </w:rPr>
              <w:t>Total financial liabilities</w:t>
            </w:r>
          </w:p>
        </w:tc>
        <w:tc>
          <w:tcPr>
            <w:tcW w:w="127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90,481</w:t>
            </w:r>
          </w:p>
        </w:tc>
        <w:tc>
          <w:tcPr>
            <w:tcW w:w="261" w:type="dxa"/>
            <w:tcBorders>
              <w:top w:val="single" w:sz="4" w:space="0" w:color="D9D9D9"/>
              <w:left w:val="nil"/>
              <w:bottom w:val="single" w:sz="24" w:space="0" w:color="D8D8D8"/>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61,318</w:t>
            </w:r>
          </w:p>
        </w:tc>
      </w:tr>
    </w:tbl>
    <w:p w:rsidR="00735613" w:rsidRDefault="00735613" w:rsidP="00735613">
      <w:pPr>
        <w:pStyle w:val="NotesHeading-Level1GreyShade"/>
        <w:numPr>
          <w:ilvl w:val="0"/>
          <w:numId w:val="0"/>
        </w:numPr>
        <w:ind w:left="360" w:hanging="360"/>
        <w:outlineLvl w:val="9"/>
        <w:rPr>
          <w:rFonts w:ascii="Arial" w:hAnsi="Arial" w:cs="Arial"/>
          <w:sz w:val="16"/>
          <w:szCs w:val="16"/>
        </w:rPr>
      </w:pPr>
      <w:bookmarkStart w:id="516" w:name="RANGE!D7:D35"/>
      <w:bookmarkEnd w:id="516"/>
    </w:p>
    <w:tbl>
      <w:tblPr>
        <w:tblW w:w="9087" w:type="dxa"/>
        <w:tblInd w:w="80" w:type="dxa"/>
        <w:tblLayout w:type="fixed"/>
        <w:tblLook w:val="04A0" w:firstRow="1" w:lastRow="0" w:firstColumn="1" w:lastColumn="0" w:noHBand="0" w:noVBand="1"/>
      </w:tblPr>
      <w:tblGrid>
        <w:gridCol w:w="5928"/>
        <w:gridCol w:w="1433"/>
        <w:gridCol w:w="293"/>
        <w:gridCol w:w="1433"/>
      </w:tblGrid>
      <w:tr w:rsidR="00735613" w:rsidTr="00735613">
        <w:trPr>
          <w:trHeight w:val="264"/>
        </w:trPr>
        <w:tc>
          <w:tcPr>
            <w:tcW w:w="5276" w:type="dxa"/>
            <w:tcBorders>
              <w:top w:val="nil"/>
              <w:left w:val="nil"/>
              <w:bottom w:val="nil"/>
              <w:right w:val="nil"/>
            </w:tcBorders>
            <w:shd w:val="clear" w:color="000000" w:fill="D9D9D9"/>
            <w:noWrap/>
            <w:hideMark/>
          </w:tcPr>
          <w:p w:rsidR="00735613" w:rsidRDefault="00735613">
            <w:pPr>
              <w:rPr>
                <w:rFonts w:cs="Arial"/>
                <w:b/>
                <w:bCs/>
                <w:szCs w:val="18"/>
                <w:u w:val="single"/>
              </w:rPr>
            </w:pPr>
            <w:bookmarkStart w:id="517" w:name="Note_AFBTABLE1" w:colFirst="0" w:colLast="0"/>
            <w:r>
              <w:rPr>
                <w:rFonts w:cs="Arial"/>
                <w:b/>
                <w:bCs/>
                <w:szCs w:val="18"/>
                <w:u w:val="single"/>
              </w:rPr>
              <w:t>Note 27B: Net gains or losses on financial assets</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bookmarkEnd w:id="517"/>
      <w:tr w:rsidR="00735613" w:rsidTr="00735613">
        <w:trPr>
          <w:trHeight w:val="264"/>
        </w:trPr>
        <w:tc>
          <w:tcPr>
            <w:tcW w:w="5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27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Available for sale financial assets</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276" w:type="dxa"/>
            <w:tcBorders>
              <w:top w:val="nil"/>
              <w:left w:val="nil"/>
              <w:bottom w:val="single" w:sz="4" w:space="0" w:color="D9D9D9"/>
              <w:right w:val="nil"/>
            </w:tcBorders>
            <w:shd w:val="clear" w:color="000000" w:fill="D9D9D9"/>
            <w:vAlign w:val="bottom"/>
            <w:hideMark/>
          </w:tcPr>
          <w:p w:rsidR="00735613" w:rsidRDefault="00735613">
            <w:pPr>
              <w:rPr>
                <w:rFonts w:cs="Arial"/>
                <w:szCs w:val="18"/>
              </w:rPr>
            </w:pPr>
            <w:r>
              <w:rPr>
                <w:rFonts w:cs="Arial"/>
                <w:szCs w:val="18"/>
              </w:rPr>
              <w:t>Gain (loss) recognised in equity</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904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142,920 </w:t>
            </w:r>
          </w:p>
        </w:tc>
      </w:tr>
      <w:tr w:rsidR="00735613" w:rsidTr="00735613">
        <w:trPr>
          <w:trHeight w:val="264"/>
        </w:trPr>
        <w:tc>
          <w:tcPr>
            <w:tcW w:w="527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Net gains (losses) from available-for-sale financial assets</w:t>
            </w:r>
          </w:p>
        </w:tc>
        <w:tc>
          <w:tcPr>
            <w:tcW w:w="12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904</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142,920</w:t>
            </w:r>
          </w:p>
        </w:tc>
      </w:tr>
      <w:tr w:rsidR="00735613" w:rsidTr="00735613">
        <w:trPr>
          <w:trHeight w:val="264"/>
        </w:trPr>
        <w:tc>
          <w:tcPr>
            <w:tcW w:w="5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27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Loans and receivables</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276" w:type="dxa"/>
            <w:tcBorders>
              <w:top w:val="nil"/>
              <w:left w:val="nil"/>
              <w:bottom w:val="single" w:sz="4" w:space="0" w:color="D9D9D9"/>
              <w:right w:val="nil"/>
            </w:tcBorders>
            <w:shd w:val="clear" w:color="000000" w:fill="D9D9D9"/>
            <w:vAlign w:val="bottom"/>
            <w:hideMark/>
          </w:tcPr>
          <w:p w:rsidR="00735613" w:rsidRDefault="00735613">
            <w:pPr>
              <w:rPr>
                <w:rFonts w:cs="Arial"/>
                <w:szCs w:val="18"/>
              </w:rPr>
            </w:pPr>
            <w:r>
              <w:rPr>
                <w:rFonts w:cs="Arial"/>
                <w:szCs w:val="18"/>
              </w:rPr>
              <w:t>Interest revenue</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337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381 </w:t>
            </w:r>
          </w:p>
        </w:tc>
      </w:tr>
      <w:tr w:rsidR="00735613" w:rsidTr="00735613">
        <w:trPr>
          <w:trHeight w:val="264"/>
        </w:trPr>
        <w:tc>
          <w:tcPr>
            <w:tcW w:w="5276" w:type="dxa"/>
            <w:tcBorders>
              <w:top w:val="nil"/>
              <w:left w:val="nil"/>
              <w:bottom w:val="single" w:sz="4" w:space="0" w:color="D9D9D9"/>
              <w:right w:val="nil"/>
            </w:tcBorders>
            <w:shd w:val="clear" w:color="000000" w:fill="D9D9D9"/>
            <w:vAlign w:val="bottom"/>
            <w:hideMark/>
          </w:tcPr>
          <w:p w:rsidR="00735613" w:rsidRDefault="00735613">
            <w:pPr>
              <w:rPr>
                <w:rFonts w:cs="Arial"/>
                <w:szCs w:val="18"/>
              </w:rPr>
            </w:pPr>
            <w:r>
              <w:rPr>
                <w:rFonts w:cs="Arial"/>
                <w:szCs w:val="18"/>
              </w:rPr>
              <w:t>Write-down and impairment</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(7,031)</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(3,190)</w:t>
            </w:r>
          </w:p>
        </w:tc>
      </w:tr>
      <w:tr w:rsidR="00735613" w:rsidTr="00735613">
        <w:trPr>
          <w:trHeight w:val="264"/>
        </w:trPr>
        <w:tc>
          <w:tcPr>
            <w:tcW w:w="527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Net gains (losses) from loans and receivables</w:t>
            </w:r>
          </w:p>
        </w:tc>
        <w:tc>
          <w:tcPr>
            <w:tcW w:w="12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(6,694)</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(2,809)</w:t>
            </w:r>
          </w:p>
        </w:tc>
      </w:tr>
      <w:tr w:rsidR="00735613" w:rsidTr="00735613">
        <w:trPr>
          <w:trHeight w:val="264"/>
        </w:trPr>
        <w:tc>
          <w:tcPr>
            <w:tcW w:w="5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27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Financial assets at fair value through profit or loss (designated)</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5276"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Interest revenue</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582,797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506,459 </w:t>
            </w:r>
          </w:p>
        </w:tc>
      </w:tr>
      <w:tr w:rsidR="00735613" w:rsidTr="00735613">
        <w:trPr>
          <w:trHeight w:val="264"/>
        </w:trPr>
        <w:tc>
          <w:tcPr>
            <w:tcW w:w="5276"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Unwinding of discount</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(801,980)</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(592,890)</w:t>
            </w:r>
          </w:p>
        </w:tc>
      </w:tr>
      <w:tr w:rsidR="00735613" w:rsidTr="00735613">
        <w:trPr>
          <w:trHeight w:val="264"/>
        </w:trPr>
        <w:tc>
          <w:tcPr>
            <w:tcW w:w="5276" w:type="dxa"/>
            <w:tcBorders>
              <w:top w:val="nil"/>
              <w:left w:val="nil"/>
              <w:bottom w:val="single" w:sz="4" w:space="0" w:color="D9D9D9"/>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Fair value gain/(losses)</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(702,638)</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(860,240)</w:t>
            </w:r>
          </w:p>
        </w:tc>
      </w:tr>
      <w:tr w:rsidR="00735613" w:rsidTr="00735613">
        <w:trPr>
          <w:trHeight w:val="264"/>
        </w:trPr>
        <w:tc>
          <w:tcPr>
            <w:tcW w:w="5276" w:type="dxa"/>
            <w:tcBorders>
              <w:top w:val="nil"/>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Net gains (losses) at fair value through profit or loss (designated)</w:t>
            </w:r>
          </w:p>
        </w:tc>
        <w:tc>
          <w:tcPr>
            <w:tcW w:w="12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(921,821)</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(946,671)</w:t>
            </w:r>
          </w:p>
        </w:tc>
      </w:tr>
      <w:tr w:rsidR="00735613" w:rsidTr="00735613">
        <w:trPr>
          <w:trHeight w:val="264"/>
        </w:trPr>
        <w:tc>
          <w:tcPr>
            <w:tcW w:w="5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6"/>
        </w:trPr>
        <w:tc>
          <w:tcPr>
            <w:tcW w:w="5276" w:type="dxa"/>
            <w:tcBorders>
              <w:top w:val="single" w:sz="4" w:space="0" w:color="D9D9D9"/>
              <w:left w:val="nil"/>
              <w:bottom w:val="single" w:sz="24" w:space="0" w:color="D8D8D8"/>
              <w:right w:val="nil"/>
            </w:tcBorders>
            <w:shd w:val="clear" w:color="000000" w:fill="D9D9D9"/>
            <w:vAlign w:val="bottom"/>
            <w:hideMark/>
          </w:tcPr>
          <w:p w:rsidR="00735613" w:rsidRDefault="00735613">
            <w:pPr>
              <w:rPr>
                <w:rFonts w:cs="Arial"/>
                <w:b/>
                <w:bCs/>
                <w:szCs w:val="18"/>
              </w:rPr>
            </w:pPr>
            <w:r>
              <w:rPr>
                <w:rFonts w:cs="Arial"/>
                <w:b/>
                <w:bCs/>
                <w:szCs w:val="18"/>
              </w:rPr>
              <w:t>Net gains (losses) on financial assets</w:t>
            </w:r>
          </w:p>
        </w:tc>
        <w:tc>
          <w:tcPr>
            <w:tcW w:w="127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(927,611)</w:t>
            </w:r>
          </w:p>
        </w:tc>
        <w:tc>
          <w:tcPr>
            <w:tcW w:w="261" w:type="dxa"/>
            <w:tcBorders>
              <w:top w:val="single" w:sz="4" w:space="0" w:color="D9D9D9"/>
              <w:left w:val="nil"/>
              <w:bottom w:val="single" w:sz="24" w:space="0" w:color="D8D8D8"/>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(806,560)</w:t>
            </w:r>
          </w:p>
        </w:tc>
      </w:tr>
    </w:tbl>
    <w:p w:rsidR="00735613" w:rsidRDefault="00735613">
      <w:pPr>
        <w:spacing w:line="240" w:lineRule="auto"/>
        <w:sectPr w:rsidR="00735613">
          <w:pgSz w:w="11906" w:h="16838"/>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9087"/>
      </w:tblGrid>
      <w:tr w:rsidR="00735613" w:rsidTr="00735613">
        <w:trPr>
          <w:trHeight w:val="264"/>
        </w:trPr>
        <w:tc>
          <w:tcPr>
            <w:tcW w:w="8260" w:type="dxa"/>
            <w:tcBorders>
              <w:top w:val="nil"/>
              <w:left w:val="nil"/>
              <w:bottom w:val="nil"/>
              <w:right w:val="nil"/>
            </w:tcBorders>
            <w:shd w:val="clear" w:color="000000" w:fill="D9D9D9"/>
            <w:noWrap/>
            <w:hideMark/>
          </w:tcPr>
          <w:p w:rsidR="00735613" w:rsidRDefault="00735613">
            <w:pPr>
              <w:rPr>
                <w:rFonts w:cs="Arial"/>
                <w:b/>
                <w:bCs/>
                <w:szCs w:val="18"/>
                <w:u w:val="single"/>
              </w:rPr>
            </w:pPr>
            <w:bookmarkStart w:id="518" w:name="Note_AFGTABLE1" w:colFirst="0" w:colLast="0"/>
            <w:r>
              <w:rPr>
                <w:rFonts w:cs="Arial"/>
                <w:b/>
                <w:bCs/>
                <w:szCs w:val="18"/>
                <w:u w:val="single"/>
              </w:rPr>
              <w:t>Note 27C: Fair value of financial instruments</w:t>
            </w:r>
          </w:p>
        </w:tc>
      </w:tr>
    </w:tbl>
    <w:p w:rsidR="00735613" w:rsidRPr="00657D10" w:rsidRDefault="00735613" w:rsidP="00735613">
      <w:pPr>
        <w:pStyle w:val="NotesHeading-Level1GreyShade"/>
        <w:numPr>
          <w:ilvl w:val="0"/>
          <w:numId w:val="0"/>
        </w:numPr>
        <w:ind w:left="360" w:hanging="360"/>
        <w:outlineLvl w:val="9"/>
        <w:rPr>
          <w:rFonts w:ascii="Arial" w:hAnsi="Arial" w:cs="Arial"/>
          <w:b w:val="0"/>
          <w:sz w:val="16"/>
          <w:szCs w:val="16"/>
        </w:rPr>
      </w:pPr>
      <w:bookmarkStart w:id="519" w:name="RANGE!D7:D29"/>
      <w:bookmarkStart w:id="520" w:name="RANGE!D7:I29"/>
      <w:bookmarkStart w:id="521" w:name="RANGE!D7:J29"/>
      <w:bookmarkStart w:id="522" w:name="RANGE!D7:G27"/>
      <w:bookmarkStart w:id="523" w:name="RANGE!D7:L30"/>
      <w:bookmarkStart w:id="524" w:name="RANGE!D7:L31"/>
      <w:bookmarkStart w:id="525" w:name="RANGE!D7:L32"/>
      <w:bookmarkStart w:id="526" w:name="RANGE!D6:L31"/>
      <w:bookmarkStart w:id="527" w:name="RANGE!D6:L30"/>
      <w:bookmarkStart w:id="528" w:name="RANGE!D55:J78"/>
      <w:bookmarkStart w:id="529" w:name="RANGE!D56:L79"/>
      <w:bookmarkStart w:id="530" w:name="RANGE!D57:L80"/>
      <w:bookmarkEnd w:id="518"/>
      <w:bookmarkEnd w:id="519"/>
      <w:bookmarkEnd w:id="520"/>
      <w:bookmarkEnd w:id="521"/>
      <w:bookmarkEnd w:id="522"/>
      <w:bookmarkEnd w:id="523"/>
      <w:bookmarkEnd w:id="524"/>
      <w:bookmarkEnd w:id="525"/>
      <w:bookmarkEnd w:id="526"/>
      <w:bookmarkEnd w:id="527"/>
      <w:bookmarkEnd w:id="528"/>
      <w:bookmarkEnd w:id="529"/>
      <w:bookmarkEnd w:id="530"/>
      <w:r>
        <w:rPr>
          <w:rFonts w:ascii="Arial" w:hAnsi="Arial" w:cs="Arial"/>
          <w:b w:val="0"/>
          <w:sz w:val="16"/>
          <w:szCs w:val="16"/>
        </w:rPr>
        <w:t xml:space="preserve"> The fair value of financial instruments is the same as their carrying amounts for 2015.</w:t>
      </w:r>
    </w:p>
    <w:p w:rsidR="00735613" w:rsidRDefault="00735613" w:rsidP="00735613">
      <w:pPr>
        <w:pStyle w:val="NotesHeading-Level1GreyShade"/>
        <w:numPr>
          <w:ilvl w:val="0"/>
          <w:numId w:val="0"/>
        </w:numPr>
        <w:ind w:left="360" w:hanging="360"/>
        <w:outlineLvl w:val="9"/>
        <w:rPr>
          <w:rFonts w:ascii="Arial" w:hAnsi="Arial" w:cs="Arial"/>
          <w:sz w:val="16"/>
          <w:szCs w:val="16"/>
        </w:rPr>
      </w:pPr>
    </w:p>
    <w:tbl>
      <w:tblPr>
        <w:tblW w:w="9087" w:type="dxa"/>
        <w:tblInd w:w="80" w:type="dxa"/>
        <w:tblLayout w:type="fixed"/>
        <w:tblLook w:val="04A0" w:firstRow="1" w:lastRow="0" w:firstColumn="1" w:lastColumn="0" w:noHBand="0" w:noVBand="1"/>
      </w:tblPr>
      <w:tblGrid>
        <w:gridCol w:w="3522"/>
        <w:gridCol w:w="985"/>
        <w:gridCol w:w="1074"/>
        <w:gridCol w:w="982"/>
        <w:gridCol w:w="1180"/>
        <w:gridCol w:w="1344"/>
      </w:tblGrid>
      <w:tr w:rsidR="00735613" w:rsidTr="00735613">
        <w:trPr>
          <w:trHeight w:val="264"/>
        </w:trPr>
        <w:tc>
          <w:tcPr>
            <w:tcW w:w="3484" w:type="dxa"/>
            <w:tcBorders>
              <w:top w:val="nil"/>
              <w:left w:val="nil"/>
              <w:bottom w:val="nil"/>
              <w:right w:val="nil"/>
            </w:tcBorders>
            <w:shd w:val="clear" w:color="000000" w:fill="D9D9D9"/>
            <w:noWrap/>
            <w:hideMark/>
          </w:tcPr>
          <w:p w:rsidR="00735613" w:rsidRDefault="00735613">
            <w:pPr>
              <w:rPr>
                <w:rFonts w:cs="Arial"/>
                <w:b/>
                <w:bCs/>
                <w:szCs w:val="18"/>
                <w:u w:val="single"/>
              </w:rPr>
            </w:pPr>
            <w:bookmarkStart w:id="531" w:name="RANGE!D8:I24"/>
            <w:bookmarkStart w:id="532" w:name="Note_AFJTABLE1" w:colFirst="0" w:colLast="0"/>
            <w:bookmarkEnd w:id="531"/>
            <w:r>
              <w:rPr>
                <w:rFonts w:cs="Arial"/>
                <w:b/>
                <w:bCs/>
                <w:szCs w:val="18"/>
                <w:u w:val="single"/>
              </w:rPr>
              <w:t>Note 27D: Credit risk</w:t>
            </w:r>
          </w:p>
        </w:tc>
        <w:tc>
          <w:tcPr>
            <w:tcW w:w="97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63"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972"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168"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330"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bookmarkEnd w:id="532"/>
      <w:tr w:rsidR="00735613" w:rsidTr="00735613">
        <w:trPr>
          <w:trHeight w:val="1365"/>
        </w:trPr>
        <w:tc>
          <w:tcPr>
            <w:tcW w:w="8991" w:type="dxa"/>
            <w:gridSpan w:val="6"/>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The administered loans and receivables of the department are not exposed to a high level of credit risk as the majority of financial assets are cash or cash equivalents, trade receivables or advances and loans to state, territory and local governments.  The department manages its credit risk by undertaking background and credit checks prior to allowing a debtor relationship.  In addition the department has policies and procedures that guide employees’ debt recovery techniques that are to be applied.</w:t>
            </w:r>
          </w:p>
        </w:tc>
      </w:tr>
      <w:tr w:rsidR="00735613" w:rsidTr="00735613">
        <w:trPr>
          <w:trHeight w:val="1050"/>
        </w:trPr>
        <w:tc>
          <w:tcPr>
            <w:tcW w:w="8991" w:type="dxa"/>
            <w:gridSpan w:val="6"/>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The recoverability and credit quality of the fair value through profit and loss (designated) amounts are factored into the actuarial assessment each year.  No separate account is maintained of the write offs in the department’s accounts rather just the movement in the assessment as a gain or loss in the Schedule of Administered Items.  This accounting treatment is consistent with the basis for accounting for these instruments.</w:t>
            </w:r>
          </w:p>
        </w:tc>
      </w:tr>
    </w:tbl>
    <w:p w:rsidR="00735613" w:rsidRDefault="00735613">
      <w:pPr>
        <w:pStyle w:val="GreyShadeTableBreak"/>
      </w:pPr>
      <w:bookmarkStart w:id="533" w:name="RANGE!D7:I22"/>
      <w:bookmarkStart w:id="534" w:name="RANGE!D7:I23"/>
      <w:bookmarkStart w:id="535" w:name="RANGE!D7:I24"/>
      <w:bookmarkStart w:id="536" w:name="RANGE!D7:I25"/>
      <w:bookmarkStart w:id="537" w:name="RANGE!D7:I26"/>
      <w:bookmarkStart w:id="538" w:name="RANGE!D6:I24"/>
      <w:bookmarkStart w:id="539" w:name="RANGE!D6:I25"/>
      <w:bookmarkStart w:id="540" w:name="RANGE!D6:I27"/>
      <w:bookmarkStart w:id="541" w:name="RANGE!D6:I58"/>
      <w:bookmarkEnd w:id="533"/>
      <w:bookmarkEnd w:id="534"/>
      <w:bookmarkEnd w:id="535"/>
      <w:bookmarkEnd w:id="536"/>
      <w:bookmarkEnd w:id="537"/>
      <w:bookmarkEnd w:id="538"/>
      <w:bookmarkEnd w:id="539"/>
      <w:bookmarkEnd w:id="540"/>
      <w:bookmarkEnd w:id="541"/>
    </w:p>
    <w:tbl>
      <w:tblPr>
        <w:tblW w:w="9090" w:type="dxa"/>
        <w:tblInd w:w="80" w:type="dxa"/>
        <w:tblLayout w:type="fixed"/>
        <w:tblLook w:val="04A0" w:firstRow="1" w:lastRow="0" w:firstColumn="1" w:lastColumn="0" w:noHBand="0" w:noVBand="1"/>
      </w:tblPr>
      <w:tblGrid>
        <w:gridCol w:w="9090"/>
      </w:tblGrid>
      <w:tr w:rsidR="00735613" w:rsidTr="00735613">
        <w:trPr>
          <w:trHeight w:val="270"/>
        </w:trPr>
        <w:tc>
          <w:tcPr>
            <w:tcW w:w="9090" w:type="dxa"/>
            <w:tcBorders>
              <w:top w:val="single" w:sz="4" w:space="0" w:color="D8D8D8"/>
              <w:left w:val="nil"/>
              <w:bottom w:val="single" w:sz="24" w:space="0" w:color="D8D8D8"/>
              <w:right w:val="nil"/>
            </w:tcBorders>
            <w:shd w:val="clear" w:color="auto" w:fill="D8D8D8"/>
            <w:vAlign w:val="bottom"/>
          </w:tcPr>
          <w:p w:rsidR="00735613" w:rsidRDefault="00735613">
            <w:pPr>
              <w:pStyle w:val="AdminBlankGreyShade"/>
            </w:pPr>
            <w:r>
              <w:t>The department has assessed the risk of the default on payment and has allocated the following to an impairment allowance for doubtful debts:</w:t>
            </w:r>
          </w:p>
          <w:p w:rsidR="00735613" w:rsidRDefault="00735613">
            <w:pPr>
              <w:pStyle w:val="AdminBlankGreyShade"/>
            </w:pPr>
          </w:p>
          <w:p w:rsidR="00735613" w:rsidRDefault="00735613">
            <w:pPr>
              <w:pStyle w:val="AdminBlankGreyShade"/>
            </w:pPr>
            <w:r>
              <w:t>Goods and services receivables 2015:$7.523 million (2014: $9.757 million).</w:t>
            </w:r>
          </w:p>
          <w:p w:rsidR="00735613" w:rsidRDefault="00735613">
            <w:pPr>
              <w:pStyle w:val="AdminBlankGreyShade"/>
            </w:pPr>
          </w:p>
          <w:p w:rsidR="00735613" w:rsidRDefault="00735613" w:rsidP="00735613">
            <w:pPr>
              <w:pStyle w:val="AdminBlankGreyShade"/>
            </w:pPr>
            <w:r>
              <w:t xml:space="preserve">In relation to the department's gross credit risk and the financial effect in respect of the amount that best represents the maximum exposure to credit risk there is no collateral held. </w:t>
            </w:r>
          </w:p>
        </w:tc>
      </w:tr>
    </w:tbl>
    <w:p w:rsidR="00735613" w:rsidRDefault="00735613" w:rsidP="00735613">
      <w:pPr>
        <w:pStyle w:val="NotesHeading-Level1GreyShade"/>
        <w:numPr>
          <w:ilvl w:val="0"/>
          <w:numId w:val="0"/>
        </w:numPr>
        <w:ind w:left="360" w:hanging="360"/>
        <w:outlineLvl w:val="9"/>
        <w:rPr>
          <w:rFonts w:ascii="Arial" w:hAnsi="Arial" w:cs="Arial"/>
          <w:sz w:val="16"/>
          <w:szCs w:val="16"/>
        </w:rPr>
      </w:pPr>
    </w:p>
    <w:tbl>
      <w:tblPr>
        <w:tblW w:w="9087" w:type="dxa"/>
        <w:tblInd w:w="80" w:type="dxa"/>
        <w:tblLayout w:type="fixed"/>
        <w:tblLook w:val="04A0" w:firstRow="1" w:lastRow="0" w:firstColumn="1" w:lastColumn="0" w:noHBand="0" w:noVBand="1"/>
      </w:tblPr>
      <w:tblGrid>
        <w:gridCol w:w="3522"/>
        <w:gridCol w:w="985"/>
        <w:gridCol w:w="1074"/>
        <w:gridCol w:w="982"/>
        <w:gridCol w:w="1180"/>
        <w:gridCol w:w="1344"/>
      </w:tblGrid>
      <w:tr w:rsidR="00735613" w:rsidTr="00735613">
        <w:trPr>
          <w:trHeight w:val="264"/>
        </w:trPr>
        <w:tc>
          <w:tcPr>
            <w:tcW w:w="8991" w:type="dxa"/>
            <w:gridSpan w:val="6"/>
            <w:tcBorders>
              <w:top w:val="nil"/>
              <w:left w:val="nil"/>
              <w:bottom w:val="nil"/>
              <w:right w:val="nil"/>
            </w:tcBorders>
            <w:shd w:val="clear" w:color="000000" w:fill="D9D9D9"/>
            <w:vAlign w:val="bottom"/>
            <w:hideMark/>
          </w:tcPr>
          <w:p w:rsidR="00735613" w:rsidRDefault="00735613">
            <w:pPr>
              <w:rPr>
                <w:rFonts w:cs="Arial"/>
                <w:b/>
                <w:bCs/>
                <w:szCs w:val="18"/>
              </w:rPr>
            </w:pPr>
            <w:bookmarkStart w:id="542" w:name="RANGE!D28:I55"/>
            <w:bookmarkStart w:id="543" w:name="Note_AFJTABLE2" w:colFirst="0" w:colLast="0"/>
            <w:r>
              <w:rPr>
                <w:rFonts w:cs="Arial"/>
                <w:b/>
                <w:bCs/>
                <w:szCs w:val="18"/>
              </w:rPr>
              <w:t>Credit quality of financial assets not past due or individually determined as impaired</w:t>
            </w:r>
            <w:bookmarkEnd w:id="542"/>
          </w:p>
        </w:tc>
      </w:tr>
      <w:tr w:rsidR="00735613" w:rsidTr="00735613">
        <w:trPr>
          <w:trHeight w:val="480"/>
        </w:trPr>
        <w:tc>
          <w:tcPr>
            <w:tcW w:w="348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bookmarkStart w:id="544" w:name="RANGE!D29:D41"/>
            <w:bookmarkEnd w:id="543"/>
            <w:r>
              <w:rPr>
                <w:rFonts w:ascii="Arial" w:hAnsi="Arial" w:cs="Arial"/>
                <w:sz w:val="16"/>
                <w:szCs w:val="16"/>
              </w:rPr>
              <w:t> </w:t>
            </w:r>
            <w:bookmarkEnd w:id="544"/>
          </w:p>
        </w:tc>
        <w:tc>
          <w:tcPr>
            <w:tcW w:w="97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63"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Not past due nor impaired</w:t>
            </w:r>
          </w:p>
        </w:tc>
        <w:tc>
          <w:tcPr>
            <w:tcW w:w="972"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Past due or impaired</w:t>
            </w:r>
          </w:p>
        </w:tc>
        <w:tc>
          <w:tcPr>
            <w:tcW w:w="1168" w:type="dxa"/>
            <w:tcBorders>
              <w:top w:val="nil"/>
              <w:left w:val="nil"/>
              <w:bottom w:val="nil"/>
              <w:right w:val="nil"/>
            </w:tcBorders>
            <w:shd w:val="clear" w:color="000000" w:fill="D9D9D9"/>
            <w:vAlign w:val="bottom"/>
            <w:hideMark/>
          </w:tcPr>
          <w:p w:rsidR="00735613" w:rsidRDefault="00735613">
            <w:pPr>
              <w:jc w:val="right"/>
              <w:rPr>
                <w:rFonts w:cs="Arial"/>
                <w:szCs w:val="18"/>
              </w:rPr>
            </w:pPr>
            <w:r>
              <w:rPr>
                <w:rFonts w:cs="Arial"/>
                <w:szCs w:val="18"/>
              </w:rPr>
              <w:t>Not past due nor impaired</w:t>
            </w:r>
          </w:p>
        </w:tc>
        <w:tc>
          <w:tcPr>
            <w:tcW w:w="1330" w:type="dxa"/>
            <w:tcBorders>
              <w:top w:val="nil"/>
              <w:left w:val="nil"/>
              <w:bottom w:val="nil"/>
              <w:right w:val="nil"/>
            </w:tcBorders>
            <w:shd w:val="clear" w:color="000000" w:fill="D9D9D9"/>
            <w:vAlign w:val="bottom"/>
            <w:hideMark/>
          </w:tcPr>
          <w:p w:rsidR="00735613" w:rsidRDefault="00735613">
            <w:pPr>
              <w:jc w:val="right"/>
              <w:rPr>
                <w:rFonts w:cs="Arial"/>
                <w:szCs w:val="18"/>
              </w:rPr>
            </w:pPr>
            <w:r>
              <w:rPr>
                <w:rFonts w:cs="Arial"/>
                <w:szCs w:val="18"/>
              </w:rPr>
              <w:t>Past due or impaired</w:t>
            </w:r>
          </w:p>
        </w:tc>
      </w:tr>
      <w:tr w:rsidR="00735613" w:rsidTr="00735613">
        <w:trPr>
          <w:trHeight w:val="264"/>
        </w:trPr>
        <w:tc>
          <w:tcPr>
            <w:tcW w:w="348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97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63"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2015</w:t>
            </w:r>
          </w:p>
        </w:tc>
        <w:tc>
          <w:tcPr>
            <w:tcW w:w="972"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2015</w:t>
            </w:r>
          </w:p>
        </w:tc>
        <w:tc>
          <w:tcPr>
            <w:tcW w:w="1168" w:type="dxa"/>
            <w:tcBorders>
              <w:top w:val="nil"/>
              <w:left w:val="nil"/>
              <w:bottom w:val="nil"/>
              <w:right w:val="nil"/>
            </w:tcBorders>
            <w:shd w:val="clear" w:color="000000" w:fill="D9D9D9"/>
            <w:vAlign w:val="bottom"/>
            <w:hideMark/>
          </w:tcPr>
          <w:p w:rsidR="00735613" w:rsidRDefault="00735613">
            <w:pPr>
              <w:jc w:val="right"/>
              <w:rPr>
                <w:rFonts w:cs="Arial"/>
                <w:szCs w:val="18"/>
              </w:rPr>
            </w:pPr>
            <w:r>
              <w:rPr>
                <w:rFonts w:cs="Arial"/>
                <w:szCs w:val="18"/>
              </w:rPr>
              <w:t>2014</w:t>
            </w:r>
          </w:p>
        </w:tc>
        <w:tc>
          <w:tcPr>
            <w:tcW w:w="1330" w:type="dxa"/>
            <w:tcBorders>
              <w:top w:val="nil"/>
              <w:left w:val="nil"/>
              <w:bottom w:val="nil"/>
              <w:right w:val="nil"/>
            </w:tcBorders>
            <w:shd w:val="clear" w:color="000000" w:fill="D9D9D9"/>
            <w:vAlign w:val="bottom"/>
            <w:hideMark/>
          </w:tcPr>
          <w:p w:rsidR="00735613" w:rsidRDefault="00735613">
            <w:pPr>
              <w:jc w:val="right"/>
              <w:rPr>
                <w:rFonts w:cs="Arial"/>
                <w:szCs w:val="18"/>
              </w:rPr>
            </w:pPr>
            <w:r>
              <w:rPr>
                <w:rFonts w:cs="Arial"/>
                <w:szCs w:val="18"/>
              </w:rPr>
              <w:t>2014</w:t>
            </w:r>
          </w:p>
        </w:tc>
      </w:tr>
      <w:tr w:rsidR="00735613" w:rsidTr="00735613">
        <w:trPr>
          <w:trHeight w:val="264"/>
        </w:trPr>
        <w:tc>
          <w:tcPr>
            <w:tcW w:w="348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97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63"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972"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1168" w:type="dxa"/>
            <w:tcBorders>
              <w:top w:val="nil"/>
              <w:left w:val="nil"/>
              <w:bottom w:val="nil"/>
              <w:right w:val="nil"/>
            </w:tcBorders>
            <w:shd w:val="clear" w:color="000000" w:fill="D9D9D9"/>
            <w:vAlign w:val="bottom"/>
            <w:hideMark/>
          </w:tcPr>
          <w:p w:rsidR="00735613" w:rsidRDefault="00735613">
            <w:pPr>
              <w:jc w:val="right"/>
              <w:rPr>
                <w:rFonts w:cs="Arial"/>
                <w:szCs w:val="18"/>
              </w:rPr>
            </w:pPr>
            <w:r>
              <w:rPr>
                <w:rFonts w:cs="Arial"/>
                <w:szCs w:val="18"/>
              </w:rPr>
              <w:t>$'000</w:t>
            </w:r>
          </w:p>
        </w:tc>
        <w:tc>
          <w:tcPr>
            <w:tcW w:w="1330" w:type="dxa"/>
            <w:tcBorders>
              <w:top w:val="nil"/>
              <w:left w:val="nil"/>
              <w:bottom w:val="nil"/>
              <w:right w:val="nil"/>
            </w:tcBorders>
            <w:shd w:val="clear" w:color="000000" w:fill="D9D9D9"/>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3484"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Available for sale</w:t>
            </w:r>
          </w:p>
        </w:tc>
        <w:tc>
          <w:tcPr>
            <w:tcW w:w="974"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 </w:t>
            </w:r>
          </w:p>
        </w:tc>
        <w:tc>
          <w:tcPr>
            <w:tcW w:w="1063"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972"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6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w:t>
            </w:r>
          </w:p>
        </w:tc>
        <w:tc>
          <w:tcPr>
            <w:tcW w:w="1330"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3484"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Investments</w:t>
            </w:r>
          </w:p>
        </w:tc>
        <w:tc>
          <w:tcPr>
            <w:tcW w:w="974"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 </w:t>
            </w:r>
          </w:p>
        </w:tc>
        <w:tc>
          <w:tcPr>
            <w:tcW w:w="1063"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2,149,930 </w:t>
            </w:r>
          </w:p>
        </w:tc>
        <w:tc>
          <w:tcPr>
            <w:tcW w:w="972"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116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2,149,026 </w:t>
            </w:r>
          </w:p>
        </w:tc>
        <w:tc>
          <w:tcPr>
            <w:tcW w:w="1330"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3484"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Loans and receivables</w:t>
            </w:r>
          </w:p>
        </w:tc>
        <w:tc>
          <w:tcPr>
            <w:tcW w:w="974"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 </w:t>
            </w:r>
          </w:p>
        </w:tc>
        <w:tc>
          <w:tcPr>
            <w:tcW w:w="1063"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972"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6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w:t>
            </w:r>
          </w:p>
        </w:tc>
        <w:tc>
          <w:tcPr>
            <w:tcW w:w="1330"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3484"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Goods and services receivables</w:t>
            </w:r>
          </w:p>
        </w:tc>
        <w:tc>
          <w:tcPr>
            <w:tcW w:w="974"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 </w:t>
            </w:r>
          </w:p>
        </w:tc>
        <w:tc>
          <w:tcPr>
            <w:tcW w:w="1063"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29,749 </w:t>
            </w:r>
          </w:p>
        </w:tc>
        <w:tc>
          <w:tcPr>
            <w:tcW w:w="972"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9,394 </w:t>
            </w:r>
          </w:p>
        </w:tc>
        <w:tc>
          <w:tcPr>
            <w:tcW w:w="116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20,038 </w:t>
            </w:r>
          </w:p>
        </w:tc>
        <w:tc>
          <w:tcPr>
            <w:tcW w:w="1330"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13,883 </w:t>
            </w:r>
          </w:p>
        </w:tc>
      </w:tr>
      <w:tr w:rsidR="00735613" w:rsidTr="00735613">
        <w:trPr>
          <w:trHeight w:val="264"/>
        </w:trPr>
        <w:tc>
          <w:tcPr>
            <w:tcW w:w="3484"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Fair value through profit or loss (designated)</w:t>
            </w:r>
          </w:p>
        </w:tc>
        <w:tc>
          <w:tcPr>
            <w:tcW w:w="974"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 </w:t>
            </w:r>
          </w:p>
        </w:tc>
        <w:tc>
          <w:tcPr>
            <w:tcW w:w="1063"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972"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6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w:t>
            </w:r>
          </w:p>
        </w:tc>
        <w:tc>
          <w:tcPr>
            <w:tcW w:w="1330"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3484"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HECS\HELP loans</w:t>
            </w:r>
          </w:p>
        </w:tc>
        <w:tc>
          <w:tcPr>
            <w:tcW w:w="974"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 </w:t>
            </w:r>
          </w:p>
        </w:tc>
        <w:tc>
          <w:tcPr>
            <w:tcW w:w="1063"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30,444,858 </w:t>
            </w:r>
          </w:p>
        </w:tc>
        <w:tc>
          <w:tcPr>
            <w:tcW w:w="972"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116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25,147,139 </w:t>
            </w:r>
          </w:p>
        </w:tc>
        <w:tc>
          <w:tcPr>
            <w:tcW w:w="1330"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3484"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Trade support loans</w:t>
            </w:r>
          </w:p>
        </w:tc>
        <w:tc>
          <w:tcPr>
            <w:tcW w:w="974"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 </w:t>
            </w:r>
          </w:p>
        </w:tc>
        <w:tc>
          <w:tcPr>
            <w:tcW w:w="1063"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52,960 </w:t>
            </w:r>
          </w:p>
        </w:tc>
        <w:tc>
          <w:tcPr>
            <w:tcW w:w="972"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116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c>
          <w:tcPr>
            <w:tcW w:w="1330"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3484"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Other loans</w:t>
            </w:r>
          </w:p>
        </w:tc>
        <w:tc>
          <w:tcPr>
            <w:tcW w:w="974"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 </w:t>
            </w:r>
          </w:p>
        </w:tc>
        <w:tc>
          <w:tcPr>
            <w:tcW w:w="1063"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972"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116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727 </w:t>
            </w:r>
          </w:p>
        </w:tc>
        <w:tc>
          <w:tcPr>
            <w:tcW w:w="1330"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64"/>
        </w:trPr>
        <w:tc>
          <w:tcPr>
            <w:tcW w:w="3484" w:type="dxa"/>
            <w:tcBorders>
              <w:top w:val="single" w:sz="4" w:space="0" w:color="D9D9D9"/>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Total</w:t>
            </w:r>
          </w:p>
        </w:tc>
        <w:tc>
          <w:tcPr>
            <w:tcW w:w="974" w:type="dxa"/>
            <w:tcBorders>
              <w:top w:val="single" w:sz="4" w:space="0" w:color="D9D9D9"/>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c>
          <w:tcPr>
            <w:tcW w:w="1063"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32,677,497</w:t>
            </w:r>
          </w:p>
        </w:tc>
        <w:tc>
          <w:tcPr>
            <w:tcW w:w="972"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9,394</w:t>
            </w:r>
          </w:p>
        </w:tc>
        <w:tc>
          <w:tcPr>
            <w:tcW w:w="116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27,316,930</w:t>
            </w:r>
          </w:p>
        </w:tc>
        <w:tc>
          <w:tcPr>
            <w:tcW w:w="1330"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13,883</w:t>
            </w:r>
          </w:p>
        </w:tc>
      </w:tr>
      <w:tr w:rsidR="00735613" w:rsidTr="00735613">
        <w:trPr>
          <w:trHeight w:val="264"/>
        </w:trPr>
        <w:tc>
          <w:tcPr>
            <w:tcW w:w="348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97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63"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972"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168"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330"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64"/>
        </w:trPr>
        <w:tc>
          <w:tcPr>
            <w:tcW w:w="8991" w:type="dxa"/>
            <w:gridSpan w:val="6"/>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Ageing of financial assets that were past due but not impaired for 2015</w:t>
            </w:r>
          </w:p>
        </w:tc>
      </w:tr>
      <w:tr w:rsidR="00735613" w:rsidTr="00735613">
        <w:trPr>
          <w:trHeight w:val="264"/>
        </w:trPr>
        <w:tc>
          <w:tcPr>
            <w:tcW w:w="348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974"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 xml:space="preserve">0 to 30 </w:t>
            </w:r>
          </w:p>
        </w:tc>
        <w:tc>
          <w:tcPr>
            <w:tcW w:w="1063"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31 to 60</w:t>
            </w:r>
          </w:p>
        </w:tc>
        <w:tc>
          <w:tcPr>
            <w:tcW w:w="972"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61 to 90</w:t>
            </w:r>
          </w:p>
        </w:tc>
        <w:tc>
          <w:tcPr>
            <w:tcW w:w="1168"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90+</w:t>
            </w:r>
          </w:p>
        </w:tc>
        <w:tc>
          <w:tcPr>
            <w:tcW w:w="1330"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 </w:t>
            </w:r>
          </w:p>
        </w:tc>
      </w:tr>
      <w:tr w:rsidR="00735613" w:rsidTr="00735613">
        <w:trPr>
          <w:trHeight w:val="264"/>
        </w:trPr>
        <w:tc>
          <w:tcPr>
            <w:tcW w:w="348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974"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days</w:t>
            </w:r>
          </w:p>
        </w:tc>
        <w:tc>
          <w:tcPr>
            <w:tcW w:w="1063"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days</w:t>
            </w:r>
          </w:p>
        </w:tc>
        <w:tc>
          <w:tcPr>
            <w:tcW w:w="972"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days</w:t>
            </w:r>
          </w:p>
        </w:tc>
        <w:tc>
          <w:tcPr>
            <w:tcW w:w="1168"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days</w:t>
            </w:r>
          </w:p>
        </w:tc>
        <w:tc>
          <w:tcPr>
            <w:tcW w:w="1330"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Total</w:t>
            </w:r>
          </w:p>
        </w:tc>
      </w:tr>
      <w:tr w:rsidR="00735613" w:rsidTr="00735613">
        <w:trPr>
          <w:trHeight w:val="264"/>
        </w:trPr>
        <w:tc>
          <w:tcPr>
            <w:tcW w:w="348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974"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1063"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972"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1168"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1330" w:type="dxa"/>
            <w:tcBorders>
              <w:top w:val="nil"/>
              <w:left w:val="nil"/>
              <w:bottom w:val="nil"/>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r>
      <w:tr w:rsidR="00735613" w:rsidTr="00735613">
        <w:trPr>
          <w:trHeight w:val="264"/>
        </w:trPr>
        <w:tc>
          <w:tcPr>
            <w:tcW w:w="3484"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Goods and services and other receivables</w:t>
            </w:r>
          </w:p>
        </w:tc>
        <w:tc>
          <w:tcPr>
            <w:tcW w:w="974"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472 </w:t>
            </w:r>
          </w:p>
        </w:tc>
        <w:tc>
          <w:tcPr>
            <w:tcW w:w="1063"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910 </w:t>
            </w:r>
          </w:p>
        </w:tc>
        <w:tc>
          <w:tcPr>
            <w:tcW w:w="972"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33 </w:t>
            </w:r>
          </w:p>
        </w:tc>
        <w:tc>
          <w:tcPr>
            <w:tcW w:w="1168"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456 </w:t>
            </w:r>
          </w:p>
        </w:tc>
        <w:tc>
          <w:tcPr>
            <w:tcW w:w="1330"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1,871 </w:t>
            </w:r>
          </w:p>
        </w:tc>
      </w:tr>
      <w:tr w:rsidR="00735613" w:rsidTr="00735613">
        <w:trPr>
          <w:trHeight w:val="264"/>
        </w:trPr>
        <w:tc>
          <w:tcPr>
            <w:tcW w:w="3484" w:type="dxa"/>
            <w:tcBorders>
              <w:top w:val="single" w:sz="4" w:space="0" w:color="D9D9D9"/>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Total</w:t>
            </w:r>
          </w:p>
        </w:tc>
        <w:tc>
          <w:tcPr>
            <w:tcW w:w="974"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472</w:t>
            </w:r>
          </w:p>
        </w:tc>
        <w:tc>
          <w:tcPr>
            <w:tcW w:w="1063"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910</w:t>
            </w:r>
          </w:p>
        </w:tc>
        <w:tc>
          <w:tcPr>
            <w:tcW w:w="972"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33</w:t>
            </w:r>
          </w:p>
        </w:tc>
        <w:tc>
          <w:tcPr>
            <w:tcW w:w="116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456</w:t>
            </w:r>
          </w:p>
        </w:tc>
        <w:tc>
          <w:tcPr>
            <w:tcW w:w="1330"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1,871</w:t>
            </w:r>
          </w:p>
        </w:tc>
      </w:tr>
      <w:tr w:rsidR="00735613" w:rsidTr="00735613">
        <w:trPr>
          <w:trHeight w:val="264"/>
        </w:trPr>
        <w:tc>
          <w:tcPr>
            <w:tcW w:w="348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97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63"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972"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168"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330"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55"/>
        </w:trPr>
        <w:tc>
          <w:tcPr>
            <w:tcW w:w="8991" w:type="dxa"/>
            <w:gridSpan w:val="6"/>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Ageing of financial assets that were past due but not impaired for 2014</w:t>
            </w:r>
          </w:p>
        </w:tc>
      </w:tr>
      <w:tr w:rsidR="00735613" w:rsidTr="00735613">
        <w:trPr>
          <w:trHeight w:val="264"/>
        </w:trPr>
        <w:tc>
          <w:tcPr>
            <w:tcW w:w="348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974"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0 to 30 </w:t>
            </w:r>
          </w:p>
        </w:tc>
        <w:tc>
          <w:tcPr>
            <w:tcW w:w="1063"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31 to 60</w:t>
            </w:r>
          </w:p>
        </w:tc>
        <w:tc>
          <w:tcPr>
            <w:tcW w:w="97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61 to 90</w:t>
            </w:r>
          </w:p>
        </w:tc>
        <w:tc>
          <w:tcPr>
            <w:tcW w:w="116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90+</w:t>
            </w:r>
          </w:p>
        </w:tc>
        <w:tc>
          <w:tcPr>
            <w:tcW w:w="1330"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w:t>
            </w:r>
          </w:p>
        </w:tc>
      </w:tr>
      <w:tr w:rsidR="00735613" w:rsidTr="00735613">
        <w:trPr>
          <w:trHeight w:val="264"/>
        </w:trPr>
        <w:tc>
          <w:tcPr>
            <w:tcW w:w="348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974"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days</w:t>
            </w:r>
          </w:p>
        </w:tc>
        <w:tc>
          <w:tcPr>
            <w:tcW w:w="1063"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days</w:t>
            </w:r>
          </w:p>
        </w:tc>
        <w:tc>
          <w:tcPr>
            <w:tcW w:w="97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days</w:t>
            </w:r>
          </w:p>
        </w:tc>
        <w:tc>
          <w:tcPr>
            <w:tcW w:w="116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days</w:t>
            </w:r>
          </w:p>
        </w:tc>
        <w:tc>
          <w:tcPr>
            <w:tcW w:w="1330"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Total</w:t>
            </w:r>
          </w:p>
        </w:tc>
      </w:tr>
      <w:tr w:rsidR="00735613" w:rsidTr="00735613">
        <w:trPr>
          <w:trHeight w:val="264"/>
        </w:trPr>
        <w:tc>
          <w:tcPr>
            <w:tcW w:w="3484"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974"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$'000</w:t>
            </w:r>
          </w:p>
        </w:tc>
        <w:tc>
          <w:tcPr>
            <w:tcW w:w="1063"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$'000</w:t>
            </w:r>
          </w:p>
        </w:tc>
        <w:tc>
          <w:tcPr>
            <w:tcW w:w="97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$'000</w:t>
            </w:r>
          </w:p>
        </w:tc>
        <w:tc>
          <w:tcPr>
            <w:tcW w:w="116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$'000</w:t>
            </w:r>
          </w:p>
        </w:tc>
        <w:tc>
          <w:tcPr>
            <w:tcW w:w="1330"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3484"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Goods and services and other receivables</w:t>
            </w:r>
          </w:p>
        </w:tc>
        <w:tc>
          <w:tcPr>
            <w:tcW w:w="974"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1,250 </w:t>
            </w:r>
          </w:p>
        </w:tc>
        <w:tc>
          <w:tcPr>
            <w:tcW w:w="1063"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345 </w:t>
            </w:r>
          </w:p>
        </w:tc>
        <w:tc>
          <w:tcPr>
            <w:tcW w:w="972"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169 </w:t>
            </w:r>
          </w:p>
        </w:tc>
        <w:tc>
          <w:tcPr>
            <w:tcW w:w="1168"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2,362 </w:t>
            </w:r>
          </w:p>
        </w:tc>
        <w:tc>
          <w:tcPr>
            <w:tcW w:w="1330"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4,126 </w:t>
            </w:r>
          </w:p>
        </w:tc>
      </w:tr>
      <w:tr w:rsidR="00735613" w:rsidTr="00735613">
        <w:trPr>
          <w:trHeight w:val="264"/>
        </w:trPr>
        <w:tc>
          <w:tcPr>
            <w:tcW w:w="3484" w:type="dxa"/>
            <w:tcBorders>
              <w:top w:val="single" w:sz="4" w:space="0" w:color="D9D9D9"/>
              <w:left w:val="nil"/>
              <w:bottom w:val="single" w:sz="4" w:space="0" w:color="D9D9D9"/>
              <w:right w:val="nil"/>
            </w:tcBorders>
            <w:shd w:val="clear" w:color="000000" w:fill="D9D9D9"/>
            <w:vAlign w:val="bottom"/>
            <w:hideMark/>
          </w:tcPr>
          <w:p w:rsidR="00735613" w:rsidRDefault="00735613">
            <w:pPr>
              <w:rPr>
                <w:rFonts w:cs="Arial"/>
                <w:b/>
                <w:bCs/>
                <w:szCs w:val="18"/>
              </w:rPr>
            </w:pPr>
            <w:r>
              <w:rPr>
                <w:rFonts w:cs="Arial"/>
                <w:b/>
                <w:bCs/>
                <w:szCs w:val="18"/>
              </w:rPr>
              <w:t>Total</w:t>
            </w:r>
          </w:p>
        </w:tc>
        <w:tc>
          <w:tcPr>
            <w:tcW w:w="974"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1,250</w:t>
            </w:r>
          </w:p>
        </w:tc>
        <w:tc>
          <w:tcPr>
            <w:tcW w:w="1063"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345</w:t>
            </w:r>
          </w:p>
        </w:tc>
        <w:tc>
          <w:tcPr>
            <w:tcW w:w="972"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169</w:t>
            </w:r>
          </w:p>
        </w:tc>
        <w:tc>
          <w:tcPr>
            <w:tcW w:w="116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2,362</w:t>
            </w:r>
          </w:p>
        </w:tc>
        <w:tc>
          <w:tcPr>
            <w:tcW w:w="1330"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Cs w:val="18"/>
              </w:rPr>
            </w:pPr>
            <w:r>
              <w:rPr>
                <w:rFonts w:cs="Arial"/>
                <w:szCs w:val="18"/>
              </w:rPr>
              <w:t>4,126</w:t>
            </w:r>
          </w:p>
        </w:tc>
      </w:tr>
    </w:tbl>
    <w:p w:rsidR="00735613" w:rsidRDefault="00735613">
      <w:pPr>
        <w:spacing w:line="240" w:lineRule="auto"/>
      </w:pPr>
    </w:p>
    <w:p w:rsidR="00735613" w:rsidRDefault="00735613">
      <w:r>
        <w:br w:type="page"/>
      </w:r>
    </w:p>
    <w:tbl>
      <w:tblPr>
        <w:tblW w:w="9087" w:type="dxa"/>
        <w:tblInd w:w="80" w:type="dxa"/>
        <w:tblLayout w:type="fixed"/>
        <w:tblLook w:val="04A0" w:firstRow="1" w:lastRow="0" w:firstColumn="1" w:lastColumn="0" w:noHBand="0" w:noVBand="1"/>
      </w:tblPr>
      <w:tblGrid>
        <w:gridCol w:w="2865"/>
        <w:gridCol w:w="1037"/>
        <w:gridCol w:w="1037"/>
        <w:gridCol w:w="1037"/>
        <w:gridCol w:w="1037"/>
        <w:gridCol w:w="1037"/>
        <w:gridCol w:w="1037"/>
      </w:tblGrid>
      <w:tr w:rsidR="00735613" w:rsidTr="00735613">
        <w:trPr>
          <w:trHeight w:val="264"/>
        </w:trPr>
        <w:tc>
          <w:tcPr>
            <w:tcW w:w="2833" w:type="dxa"/>
            <w:tcBorders>
              <w:top w:val="nil"/>
              <w:left w:val="nil"/>
              <w:bottom w:val="nil"/>
              <w:right w:val="nil"/>
            </w:tcBorders>
            <w:shd w:val="clear" w:color="000000" w:fill="D9D9D9"/>
            <w:noWrap/>
            <w:hideMark/>
          </w:tcPr>
          <w:p w:rsidR="00735613" w:rsidRDefault="00735613">
            <w:pPr>
              <w:rPr>
                <w:rFonts w:cs="Arial"/>
                <w:b/>
                <w:bCs/>
                <w:szCs w:val="18"/>
                <w:u w:val="single"/>
              </w:rPr>
            </w:pPr>
            <w:bookmarkStart w:id="545" w:name="Note_AFLTABLE1" w:colFirst="0" w:colLast="0"/>
            <w:r>
              <w:rPr>
                <w:rFonts w:cs="Arial"/>
                <w:b/>
                <w:bCs/>
                <w:szCs w:val="18"/>
                <w:u w:val="single"/>
              </w:rPr>
              <w:t>Note 27E: Liquidity risk</w:t>
            </w:r>
          </w:p>
        </w:tc>
        <w:tc>
          <w:tcPr>
            <w:tcW w:w="1025"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bookmarkEnd w:id="545"/>
      <w:tr w:rsidR="00735613" w:rsidTr="00735613">
        <w:trPr>
          <w:trHeight w:val="264"/>
        </w:trPr>
        <w:tc>
          <w:tcPr>
            <w:tcW w:w="2833"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025"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025"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025"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025"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025"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025"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r>
      <w:tr w:rsidR="00735613" w:rsidTr="00735613">
        <w:trPr>
          <w:trHeight w:val="750"/>
        </w:trPr>
        <w:tc>
          <w:tcPr>
            <w:tcW w:w="8983" w:type="dxa"/>
            <w:gridSpan w:val="7"/>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The department is exposed to minimal liquidity risk and is appropriated funding from the Australian Government.  The department manages its budgeted funds to ensure it has adequate funds to meet payments as they fall due. In addition, the department has policies in place to ensure timely payments are made when due and has no past experience of default.</w:t>
            </w:r>
          </w:p>
        </w:tc>
      </w:tr>
      <w:tr w:rsidR="00735613" w:rsidTr="00735613">
        <w:trPr>
          <w:trHeight w:val="264"/>
        </w:trPr>
        <w:tc>
          <w:tcPr>
            <w:tcW w:w="2833"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025"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025"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025"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025"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025"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025"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r>
    </w:tbl>
    <w:p w:rsidR="00735613" w:rsidRDefault="00735613">
      <w:pPr>
        <w:pStyle w:val="GreyShadeTableBreak"/>
      </w:pPr>
      <w:bookmarkStart w:id="546" w:name="RANGE!D7:D33"/>
      <w:bookmarkStart w:id="547" w:name="RANGE!D7:J33"/>
      <w:bookmarkStart w:id="548" w:name="RANGE!D6:J32"/>
      <w:bookmarkEnd w:id="546"/>
      <w:bookmarkEnd w:id="547"/>
      <w:bookmarkEnd w:id="548"/>
    </w:p>
    <w:tbl>
      <w:tblPr>
        <w:tblW w:w="9087" w:type="dxa"/>
        <w:tblInd w:w="80" w:type="dxa"/>
        <w:tblLayout w:type="fixed"/>
        <w:tblLook w:val="04A0" w:firstRow="1" w:lastRow="0" w:firstColumn="1" w:lastColumn="0" w:noHBand="0" w:noVBand="1"/>
      </w:tblPr>
      <w:tblGrid>
        <w:gridCol w:w="5652"/>
        <w:gridCol w:w="1145"/>
        <w:gridCol w:w="1145"/>
        <w:gridCol w:w="1145"/>
      </w:tblGrid>
      <w:tr w:rsidR="00735613" w:rsidTr="00735613">
        <w:trPr>
          <w:trHeight w:val="264"/>
        </w:trPr>
        <w:tc>
          <w:tcPr>
            <w:tcW w:w="5216" w:type="dxa"/>
            <w:tcBorders>
              <w:top w:val="nil"/>
              <w:left w:val="nil"/>
              <w:bottom w:val="nil"/>
              <w:right w:val="nil"/>
            </w:tcBorders>
            <w:shd w:val="clear" w:color="000000" w:fill="D9D9D9"/>
            <w:noWrap/>
            <w:hideMark/>
          </w:tcPr>
          <w:p w:rsidR="00735613" w:rsidRDefault="00735613">
            <w:pPr>
              <w:rPr>
                <w:rFonts w:cs="Arial"/>
                <w:b/>
                <w:bCs/>
                <w:szCs w:val="18"/>
                <w:u w:val="single"/>
              </w:rPr>
            </w:pPr>
            <w:bookmarkStart w:id="549" w:name="Note_AFKTABLE1" w:colFirst="0" w:colLast="0"/>
            <w:r>
              <w:rPr>
                <w:rFonts w:cs="Arial"/>
                <w:b/>
                <w:bCs/>
                <w:szCs w:val="18"/>
                <w:u w:val="single"/>
              </w:rPr>
              <w:t>Note 27F: Market risk</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bookmarkEnd w:id="549"/>
      <w:tr w:rsidR="00735613" w:rsidTr="00735613">
        <w:trPr>
          <w:trHeight w:val="264"/>
        </w:trPr>
        <w:tc>
          <w:tcPr>
            <w:tcW w:w="521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480"/>
        </w:trPr>
        <w:tc>
          <w:tcPr>
            <w:tcW w:w="8384" w:type="dxa"/>
            <w:gridSpan w:val="4"/>
            <w:tcBorders>
              <w:top w:val="nil"/>
              <w:left w:val="nil"/>
              <w:bottom w:val="single" w:sz="4" w:space="0" w:color="D9D9D9"/>
              <w:right w:val="nil"/>
            </w:tcBorders>
            <w:shd w:val="clear" w:color="000000" w:fill="D9D9D9"/>
            <w:vAlign w:val="bottom"/>
            <w:hideMark/>
          </w:tcPr>
          <w:p w:rsidR="00735613" w:rsidRDefault="00735613">
            <w:pPr>
              <w:rPr>
                <w:rFonts w:cs="Arial"/>
                <w:szCs w:val="18"/>
              </w:rPr>
            </w:pPr>
            <w:r>
              <w:rPr>
                <w:rFonts w:cs="Arial"/>
                <w:szCs w:val="18"/>
              </w:rPr>
              <w:t xml:space="preserve">The department holds basic financial instruments that do not expose it to certain market risks including to ‘currency risk’ and ‘other price risks’.  </w:t>
            </w:r>
          </w:p>
        </w:tc>
      </w:tr>
    </w:tbl>
    <w:p w:rsidR="00735613" w:rsidRDefault="00735613">
      <w:pPr>
        <w:pStyle w:val="GreyShadeTableBreak"/>
      </w:pPr>
      <w:bookmarkStart w:id="550" w:name="RANGE!D6:J27"/>
      <w:bookmarkEnd w:id="550"/>
    </w:p>
    <w:p w:rsidR="00735613" w:rsidRDefault="00735613">
      <w:pPr>
        <w:pStyle w:val="GreyShadeTableBreak"/>
      </w:pPr>
      <w:bookmarkStart w:id="551" w:name="RANGE!D7:G24"/>
      <w:bookmarkEnd w:id="551"/>
    </w:p>
    <w:p w:rsidR="00735613" w:rsidRDefault="00735613">
      <w:pPr>
        <w:spacing w:line="240" w:lineRule="auto"/>
        <w:sectPr w:rsidR="00735613">
          <w:pgSz w:w="11906" w:h="16838"/>
          <w:pgMar w:top="1134" w:right="1134" w:bottom="1134" w:left="1134" w:header="958" w:footer="737" w:gutter="0"/>
          <w:cols w:space="720"/>
        </w:sectPr>
      </w:pPr>
    </w:p>
    <w:p w:rsidR="00735613" w:rsidRDefault="00735613" w:rsidP="00735613">
      <w:pPr>
        <w:pStyle w:val="GreyShadeTableBreak"/>
      </w:pPr>
      <w:bookmarkStart w:id="552" w:name="RANGE!D6:F24"/>
      <w:bookmarkStart w:id="553" w:name="RANGE!D6:F25"/>
      <w:bookmarkStart w:id="554" w:name="RANGE!D6:F22"/>
      <w:bookmarkStart w:id="555" w:name="RANGE!D6:F23"/>
      <w:bookmarkEnd w:id="552"/>
      <w:bookmarkEnd w:id="553"/>
      <w:bookmarkEnd w:id="554"/>
      <w:bookmarkEnd w:id="555"/>
    </w:p>
    <w:p w:rsidR="00735613" w:rsidRDefault="00735613" w:rsidP="00735613">
      <w:pPr>
        <w:pStyle w:val="NotesHeading-Level1GreyShade"/>
        <w:numPr>
          <w:ilvl w:val="0"/>
          <w:numId w:val="9"/>
        </w:numPr>
        <w:ind w:left="0" w:firstLine="0"/>
      </w:pPr>
      <w:bookmarkStart w:id="556" w:name="_Toc420422397"/>
      <w:r>
        <w:t>Administered Financial Assets Reconciliation</w:t>
      </w:r>
      <w:bookmarkEnd w:id="556"/>
      <w:r>
        <w:t xml:space="preserve"> </w:t>
      </w:r>
    </w:p>
    <w:tbl>
      <w:tblPr>
        <w:tblW w:w="9087" w:type="dxa"/>
        <w:tblInd w:w="80" w:type="dxa"/>
        <w:tblLayout w:type="fixed"/>
        <w:tblLook w:val="04A0" w:firstRow="1" w:lastRow="0" w:firstColumn="1" w:lastColumn="0" w:noHBand="0" w:noVBand="1"/>
      </w:tblPr>
      <w:tblGrid>
        <w:gridCol w:w="4960"/>
        <w:gridCol w:w="770"/>
        <w:gridCol w:w="1453"/>
        <w:gridCol w:w="451"/>
        <w:gridCol w:w="1453"/>
      </w:tblGrid>
      <w:tr w:rsidR="00735613" w:rsidTr="00735613">
        <w:trPr>
          <w:trHeight w:val="240"/>
        </w:trPr>
        <w:tc>
          <w:tcPr>
            <w:tcW w:w="435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bookmarkStart w:id="557" w:name="Note_AARTABLE1" w:colFirst="0" w:colLast="0"/>
            <w:r>
              <w:rPr>
                <w:rFonts w:ascii="Arial" w:hAnsi="Arial" w:cs="Arial"/>
                <w:sz w:val="16"/>
                <w:szCs w:val="16"/>
              </w:rPr>
              <w:t> </w:t>
            </w:r>
          </w:p>
        </w:tc>
        <w:tc>
          <w:tcPr>
            <w:tcW w:w="6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2015</w:t>
            </w:r>
          </w:p>
        </w:tc>
        <w:tc>
          <w:tcPr>
            <w:tcW w:w="39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2014</w:t>
            </w:r>
          </w:p>
        </w:tc>
      </w:tr>
      <w:bookmarkEnd w:id="557"/>
      <w:tr w:rsidR="00735613" w:rsidTr="00735613">
        <w:trPr>
          <w:trHeight w:val="240"/>
        </w:trPr>
        <w:tc>
          <w:tcPr>
            <w:tcW w:w="435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6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vAlign w:val="bottom"/>
            <w:hideMark/>
          </w:tcPr>
          <w:p w:rsidR="00735613" w:rsidRDefault="00735613">
            <w:pPr>
              <w:jc w:val="right"/>
              <w:rPr>
                <w:rFonts w:cs="Arial"/>
                <w:b/>
                <w:bCs/>
                <w:szCs w:val="18"/>
              </w:rPr>
            </w:pPr>
            <w:r>
              <w:rPr>
                <w:rFonts w:cs="Arial"/>
                <w:b/>
                <w:bCs/>
                <w:szCs w:val="18"/>
              </w:rPr>
              <w:t>$'000</w:t>
            </w:r>
          </w:p>
        </w:tc>
        <w:tc>
          <w:tcPr>
            <w:tcW w:w="39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$'000</w:t>
            </w:r>
          </w:p>
        </w:tc>
      </w:tr>
      <w:tr w:rsidR="00735613" w:rsidTr="00735613">
        <w:trPr>
          <w:trHeight w:val="240"/>
        </w:trPr>
        <w:tc>
          <w:tcPr>
            <w:tcW w:w="4356" w:type="dxa"/>
            <w:tcBorders>
              <w:top w:val="nil"/>
              <w:left w:val="nil"/>
              <w:bottom w:val="nil"/>
              <w:right w:val="nil"/>
            </w:tcBorders>
            <w:shd w:val="clear" w:color="000000" w:fill="D9D9D9"/>
            <w:noWrap/>
            <w:hideMark/>
          </w:tcPr>
          <w:p w:rsidR="00735613" w:rsidRDefault="00735613">
            <w:pPr>
              <w:rPr>
                <w:rFonts w:cs="Arial"/>
                <w:b/>
                <w:bCs/>
                <w:szCs w:val="18"/>
              </w:rPr>
            </w:pPr>
            <w:r>
              <w:rPr>
                <w:rFonts w:cs="Arial"/>
                <w:b/>
                <w:bCs/>
                <w:szCs w:val="18"/>
              </w:rPr>
              <w:t> </w:t>
            </w:r>
          </w:p>
        </w:tc>
        <w:tc>
          <w:tcPr>
            <w:tcW w:w="676" w:type="dxa"/>
            <w:tcBorders>
              <w:top w:val="nil"/>
              <w:left w:val="nil"/>
              <w:bottom w:val="nil"/>
              <w:right w:val="nil"/>
            </w:tcBorders>
            <w:shd w:val="clear" w:color="000000" w:fill="D9D9D9"/>
            <w:vAlign w:val="bottom"/>
            <w:hideMark/>
          </w:tcPr>
          <w:p w:rsidR="00735613" w:rsidRDefault="00735613">
            <w:pPr>
              <w:jc w:val="center"/>
              <w:rPr>
                <w:rFonts w:cs="Arial"/>
                <w:b/>
                <w:bCs/>
                <w:szCs w:val="18"/>
              </w:rPr>
            </w:pPr>
            <w:r>
              <w:rPr>
                <w:rFonts w:cs="Arial"/>
                <w:b/>
                <w:bCs/>
                <w:szCs w:val="18"/>
              </w:rPr>
              <w:t>Notes</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39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40"/>
        </w:trPr>
        <w:tc>
          <w:tcPr>
            <w:tcW w:w="43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67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39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510"/>
        </w:trPr>
        <w:tc>
          <w:tcPr>
            <w:tcW w:w="435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Total financial assets as per administered schedule of assets and liabilities</w:t>
            </w:r>
          </w:p>
        </w:tc>
        <w:tc>
          <w:tcPr>
            <w:tcW w:w="676" w:type="dxa"/>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b/>
                <w:bCs/>
                <w:szCs w:val="18"/>
              </w:rPr>
            </w:pPr>
            <w:r>
              <w:rPr>
                <w:rFonts w:cs="Arial"/>
                <w:b/>
                <w:bCs/>
                <w:szCs w:val="18"/>
              </w:rPr>
              <w:t>33,104,432</w:t>
            </w:r>
          </w:p>
        </w:tc>
        <w:tc>
          <w:tcPr>
            <w:tcW w:w="39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jc w:val="right"/>
              <w:rPr>
                <w:rFonts w:cs="Arial"/>
                <w:szCs w:val="18"/>
              </w:rPr>
            </w:pPr>
            <w:r>
              <w:rPr>
                <w:rFonts w:cs="Arial"/>
                <w:szCs w:val="18"/>
              </w:rPr>
              <w:t>28,200,446</w:t>
            </w:r>
          </w:p>
        </w:tc>
      </w:tr>
      <w:tr w:rsidR="00735613" w:rsidTr="00735613">
        <w:trPr>
          <w:trHeight w:val="240"/>
        </w:trPr>
        <w:tc>
          <w:tcPr>
            <w:tcW w:w="435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Less: non-financial instrument components</w:t>
            </w:r>
          </w:p>
        </w:tc>
        <w:tc>
          <w:tcPr>
            <w:tcW w:w="67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cs="Arial"/>
                <w:b/>
                <w:bCs/>
                <w:szCs w:val="18"/>
              </w:rPr>
            </w:pPr>
            <w:r>
              <w:rPr>
                <w:rFonts w:cs="Arial"/>
                <w:b/>
                <w:bCs/>
                <w:szCs w:val="18"/>
              </w:rPr>
              <w:t> </w:t>
            </w:r>
          </w:p>
        </w:tc>
        <w:tc>
          <w:tcPr>
            <w:tcW w:w="39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single" w:sz="4" w:space="0" w:color="D9D9D9"/>
              <w:right w:val="nil"/>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40"/>
        </w:trPr>
        <w:tc>
          <w:tcPr>
            <w:tcW w:w="435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Statutory receivable from Australian Taxation Office</w:t>
            </w:r>
          </w:p>
        </w:tc>
        <w:tc>
          <w:tcPr>
            <w:tcW w:w="67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16,536 </w:t>
            </w:r>
          </w:p>
        </w:tc>
        <w:tc>
          <w:tcPr>
            <w:tcW w:w="39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13,364 </w:t>
            </w:r>
          </w:p>
        </w:tc>
      </w:tr>
      <w:tr w:rsidR="00735613" w:rsidTr="00735613">
        <w:trPr>
          <w:trHeight w:val="240"/>
        </w:trPr>
        <w:tc>
          <w:tcPr>
            <w:tcW w:w="435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Personal benefits receivable (net)</w:t>
            </w:r>
          </w:p>
        </w:tc>
        <w:tc>
          <w:tcPr>
            <w:tcW w:w="67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39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352,733 </w:t>
            </w:r>
          </w:p>
        </w:tc>
      </w:tr>
      <w:tr w:rsidR="00735613" w:rsidTr="00735613">
        <w:trPr>
          <w:trHeight w:val="240"/>
        </w:trPr>
        <w:tc>
          <w:tcPr>
            <w:tcW w:w="435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Higher Education Superannuation Programme (net)</w:t>
            </w:r>
          </w:p>
        </w:tc>
        <w:tc>
          <w:tcPr>
            <w:tcW w:w="67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382,000 </w:t>
            </w:r>
          </w:p>
        </w:tc>
        <w:tc>
          <w:tcPr>
            <w:tcW w:w="39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422,000 </w:t>
            </w:r>
          </w:p>
        </w:tc>
      </w:tr>
      <w:tr w:rsidR="00735613" w:rsidTr="00735613">
        <w:trPr>
          <w:trHeight w:val="240"/>
        </w:trPr>
        <w:tc>
          <w:tcPr>
            <w:tcW w:w="4356" w:type="dxa"/>
            <w:tcBorders>
              <w:top w:val="nil"/>
              <w:left w:val="nil"/>
              <w:bottom w:val="nil"/>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 xml:space="preserve">Special accounts </w:t>
            </w:r>
          </w:p>
        </w:tc>
        <w:tc>
          <w:tcPr>
            <w:tcW w:w="67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b/>
                <w:bCs/>
                <w:szCs w:val="18"/>
              </w:rPr>
            </w:pPr>
            <w:r>
              <w:rPr>
                <w:rFonts w:cs="Arial"/>
                <w:b/>
                <w:bCs/>
                <w:szCs w:val="18"/>
              </w:rPr>
              <w:t xml:space="preserve">26,528 </w:t>
            </w:r>
          </w:p>
        </w:tc>
        <w:tc>
          <w:tcPr>
            <w:tcW w:w="39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nil"/>
              <w:left w:val="nil"/>
              <w:bottom w:val="nil"/>
              <w:right w:val="nil"/>
            </w:tcBorders>
            <w:shd w:val="clear" w:color="000000" w:fill="D9D9D9"/>
            <w:noWrap/>
            <w:vAlign w:val="bottom"/>
            <w:hideMark/>
          </w:tcPr>
          <w:p w:rsidR="00735613" w:rsidRDefault="00735613">
            <w:pPr>
              <w:jc w:val="right"/>
              <w:rPr>
                <w:rFonts w:cs="Arial"/>
                <w:szCs w:val="18"/>
              </w:rPr>
            </w:pPr>
            <w:r>
              <w:rPr>
                <w:rFonts w:cs="Arial"/>
                <w:szCs w:val="18"/>
              </w:rPr>
              <w:t xml:space="preserve">91,293 </w:t>
            </w:r>
          </w:p>
        </w:tc>
      </w:tr>
      <w:tr w:rsidR="00735613" w:rsidTr="00735613">
        <w:trPr>
          <w:trHeight w:val="240"/>
        </w:trPr>
        <w:tc>
          <w:tcPr>
            <w:tcW w:w="4356" w:type="dxa"/>
            <w:tcBorders>
              <w:top w:val="nil"/>
              <w:left w:val="nil"/>
              <w:right w:val="nil"/>
            </w:tcBorders>
            <w:shd w:val="clear" w:color="000000" w:fill="D9D9D9"/>
            <w:vAlign w:val="bottom"/>
            <w:hideMark/>
          </w:tcPr>
          <w:p w:rsidR="00735613" w:rsidRDefault="00735613">
            <w:pPr>
              <w:rPr>
                <w:rFonts w:cs="Arial"/>
                <w:szCs w:val="18"/>
              </w:rPr>
            </w:pPr>
            <w:r>
              <w:rPr>
                <w:rFonts w:cs="Arial"/>
                <w:szCs w:val="18"/>
              </w:rPr>
              <w:t>Total non-financial instrument components</w:t>
            </w:r>
          </w:p>
        </w:tc>
        <w:tc>
          <w:tcPr>
            <w:tcW w:w="676" w:type="dxa"/>
            <w:tcBorders>
              <w:top w:val="nil"/>
              <w:left w:val="nil"/>
              <w:right w:val="nil"/>
            </w:tcBorders>
            <w:shd w:val="clear" w:color="000000" w:fill="D9D9D9"/>
            <w:vAlign w:val="bottom"/>
            <w:hideMark/>
          </w:tcPr>
          <w:p w:rsidR="00735613" w:rsidRDefault="00735613">
            <w:pPr>
              <w:rPr>
                <w:rFonts w:cs="Arial"/>
                <w:b/>
                <w:bCs/>
                <w:szCs w:val="18"/>
              </w:rPr>
            </w:pPr>
            <w:r>
              <w:rPr>
                <w:rFonts w:cs="Arial"/>
                <w:b/>
                <w:bCs/>
                <w:szCs w:val="18"/>
              </w:rPr>
              <w:t> </w:t>
            </w:r>
          </w:p>
        </w:tc>
        <w:tc>
          <w:tcPr>
            <w:tcW w:w="12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425,064</w:t>
            </w:r>
          </w:p>
        </w:tc>
        <w:tc>
          <w:tcPr>
            <w:tcW w:w="39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879,390</w:t>
            </w:r>
          </w:p>
        </w:tc>
      </w:tr>
      <w:tr w:rsidR="00735613" w:rsidTr="00735613">
        <w:trPr>
          <w:trHeight w:val="555"/>
        </w:trPr>
        <w:tc>
          <w:tcPr>
            <w:tcW w:w="4356" w:type="dxa"/>
            <w:tcBorders>
              <w:top w:val="nil"/>
              <w:left w:val="nil"/>
              <w:bottom w:val="single" w:sz="24" w:space="0" w:color="D8D8D8"/>
              <w:right w:val="nil"/>
            </w:tcBorders>
            <w:shd w:val="clear" w:color="000000" w:fill="D9D9D9"/>
            <w:vAlign w:val="bottom"/>
            <w:hideMark/>
          </w:tcPr>
          <w:p w:rsidR="00735613" w:rsidRDefault="00735613">
            <w:pPr>
              <w:rPr>
                <w:rFonts w:cs="Arial"/>
                <w:b/>
                <w:bCs/>
                <w:szCs w:val="18"/>
              </w:rPr>
            </w:pPr>
            <w:r>
              <w:rPr>
                <w:rFonts w:cs="Arial"/>
                <w:b/>
                <w:bCs/>
                <w:szCs w:val="18"/>
              </w:rPr>
              <w:t>Total financial assets as per administered financial instruments note</w:t>
            </w:r>
          </w:p>
        </w:tc>
        <w:tc>
          <w:tcPr>
            <w:tcW w:w="676" w:type="dxa"/>
            <w:tcBorders>
              <w:top w:val="nil"/>
              <w:left w:val="nil"/>
              <w:bottom w:val="single" w:sz="24" w:space="0" w:color="D8D8D8"/>
              <w:right w:val="nil"/>
            </w:tcBorders>
            <w:shd w:val="clear" w:color="000000" w:fill="D9D9D9"/>
            <w:vAlign w:val="bottom"/>
            <w:hideMark/>
          </w:tcPr>
          <w:p w:rsidR="00735613" w:rsidRDefault="00735613">
            <w:pPr>
              <w:rPr>
                <w:rFonts w:cs="Arial"/>
                <w:b/>
                <w:bCs/>
                <w:szCs w:val="18"/>
              </w:rPr>
            </w:pPr>
            <w:r>
              <w:rPr>
                <w:rFonts w:cs="Arial"/>
                <w:b/>
                <w:bCs/>
                <w:szCs w:val="18"/>
              </w:rPr>
              <w:t>27A</w:t>
            </w:r>
          </w:p>
        </w:tc>
        <w:tc>
          <w:tcPr>
            <w:tcW w:w="1276" w:type="dxa"/>
            <w:tcBorders>
              <w:top w:val="nil"/>
              <w:left w:val="nil"/>
              <w:bottom w:val="double" w:sz="6" w:space="0" w:color="auto"/>
              <w:right w:val="nil"/>
            </w:tcBorders>
            <w:shd w:val="clear" w:color="000000" w:fill="D9D9D9"/>
            <w:noWrap/>
            <w:vAlign w:val="bottom"/>
            <w:hideMark/>
          </w:tcPr>
          <w:p w:rsidR="00735613" w:rsidRDefault="00735613">
            <w:pPr>
              <w:jc w:val="right"/>
              <w:rPr>
                <w:rFonts w:cs="Arial"/>
                <w:b/>
                <w:bCs/>
                <w:szCs w:val="18"/>
              </w:rPr>
            </w:pPr>
            <w:r>
              <w:rPr>
                <w:rFonts w:cs="Arial"/>
                <w:b/>
                <w:bCs/>
                <w:szCs w:val="18"/>
              </w:rPr>
              <w:t>32,679,368</w:t>
            </w:r>
          </w:p>
        </w:tc>
        <w:tc>
          <w:tcPr>
            <w:tcW w:w="396" w:type="dxa"/>
            <w:tcBorders>
              <w:top w:val="single" w:sz="4" w:space="0" w:color="D9D9D9"/>
              <w:left w:val="nil"/>
              <w:bottom w:val="single" w:sz="24" w:space="0" w:color="D8D8D8"/>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7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Cs w:val="18"/>
              </w:rPr>
            </w:pPr>
            <w:r>
              <w:rPr>
                <w:rFonts w:cs="Arial"/>
                <w:szCs w:val="18"/>
              </w:rPr>
              <w:t>27,321,056</w:t>
            </w:r>
          </w:p>
        </w:tc>
      </w:tr>
    </w:tbl>
    <w:p w:rsidR="00735613" w:rsidRDefault="00735613">
      <w:pPr>
        <w:spacing w:line="240" w:lineRule="auto"/>
        <w:rPr>
          <w:rFonts w:asciiTheme="minorHAnsi" w:hAnsiTheme="minorHAnsi" w:cstheme="minorHAnsi"/>
          <w:b/>
          <w:sz w:val="20"/>
        </w:rPr>
      </w:pPr>
      <w:r>
        <w:rPr>
          <w:rFonts w:cstheme="minorHAnsi"/>
        </w:rPr>
        <w:br w:type="page"/>
      </w:r>
    </w:p>
    <w:p w:rsidR="00735613" w:rsidRDefault="00735613">
      <w:pPr>
        <w:spacing w:line="240" w:lineRule="auto"/>
        <w:sectPr w:rsidR="00735613">
          <w:pgSz w:w="11906" w:h="16838"/>
          <w:pgMar w:top="1134" w:right="1134" w:bottom="1134" w:left="1134" w:header="958" w:footer="737" w:gutter="0"/>
          <w:cols w:space="720"/>
        </w:sectPr>
      </w:pPr>
    </w:p>
    <w:p w:rsidR="00735613" w:rsidRDefault="00735613" w:rsidP="00735613">
      <w:pPr>
        <w:pStyle w:val="NotesHeading-Level1"/>
        <w:numPr>
          <w:ilvl w:val="0"/>
          <w:numId w:val="9"/>
        </w:numPr>
      </w:pPr>
      <w:bookmarkStart w:id="558" w:name="RANGE!D7:D18"/>
      <w:bookmarkStart w:id="559" w:name="RANGE!D7:H18"/>
      <w:bookmarkStart w:id="560" w:name="RANGE!D6:H17"/>
      <w:bookmarkStart w:id="561" w:name="_Toc420422398"/>
      <w:bookmarkEnd w:id="558"/>
      <w:bookmarkEnd w:id="559"/>
      <w:bookmarkEnd w:id="560"/>
      <w:r>
        <w:t>Appropriations</w:t>
      </w:r>
      <w:bookmarkEnd w:id="561"/>
    </w:p>
    <w:tbl>
      <w:tblPr>
        <w:tblW w:w="13991" w:type="dxa"/>
        <w:tblInd w:w="80" w:type="dxa"/>
        <w:tblLayout w:type="fixed"/>
        <w:tblLook w:val="04A0" w:firstRow="1" w:lastRow="0" w:firstColumn="1" w:lastColumn="0" w:noHBand="0" w:noVBand="1"/>
      </w:tblPr>
      <w:tblGrid>
        <w:gridCol w:w="3149"/>
        <w:gridCol w:w="1425"/>
        <w:gridCol w:w="1166"/>
        <w:gridCol w:w="963"/>
        <w:gridCol w:w="886"/>
        <w:gridCol w:w="1239"/>
        <w:gridCol w:w="1276"/>
        <w:gridCol w:w="1351"/>
        <w:gridCol w:w="1353"/>
        <w:gridCol w:w="1183"/>
      </w:tblGrid>
      <w:tr w:rsidR="00735613" w:rsidTr="00735613">
        <w:trPr>
          <w:trHeight w:val="255"/>
        </w:trPr>
        <w:tc>
          <w:tcPr>
            <w:tcW w:w="13890" w:type="dxa"/>
            <w:gridSpan w:val="10"/>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562" w:name="RANGE!D7:M26"/>
            <w:bookmarkStart w:id="563" w:name="Note_DAPTABLE1" w:colFirst="0" w:colLast="0"/>
            <w:bookmarkEnd w:id="562"/>
            <w:r>
              <w:rPr>
                <w:rFonts w:cs="Arial"/>
                <w:b/>
                <w:bCs/>
                <w:szCs w:val="18"/>
                <w:u w:val="single"/>
              </w:rPr>
              <w:t>Note 29A: Annual Appropriations ('Recoverable GST exclusive')</w:t>
            </w:r>
          </w:p>
        </w:tc>
      </w:tr>
      <w:bookmarkEnd w:id="563"/>
      <w:tr w:rsidR="00735613" w:rsidTr="00735613">
        <w:trPr>
          <w:trHeight w:val="276"/>
        </w:trPr>
        <w:tc>
          <w:tcPr>
            <w:tcW w:w="312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415"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158"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95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880"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0"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67"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341"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343"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174"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r>
      <w:tr w:rsidR="00735613" w:rsidTr="00735613">
        <w:trPr>
          <w:trHeight w:val="255"/>
        </w:trPr>
        <w:tc>
          <w:tcPr>
            <w:tcW w:w="3126" w:type="dxa"/>
            <w:tcBorders>
              <w:top w:val="single" w:sz="4" w:space="0" w:color="auto"/>
              <w:left w:val="single" w:sz="4" w:space="0" w:color="auto"/>
              <w:bottom w:val="nil"/>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 </w:t>
            </w:r>
          </w:p>
        </w:tc>
        <w:tc>
          <w:tcPr>
            <w:tcW w:w="5639" w:type="dxa"/>
            <w:gridSpan w:val="5"/>
            <w:tcBorders>
              <w:top w:val="single" w:sz="4" w:space="0" w:color="auto"/>
              <w:left w:val="nil"/>
              <w:bottom w:val="single" w:sz="4" w:space="0" w:color="auto"/>
              <w:right w:val="single" w:sz="4" w:space="0" w:color="000000"/>
            </w:tcBorders>
            <w:shd w:val="clear" w:color="FFFFFF" w:fill="FFFFFF"/>
            <w:vAlign w:val="bottom"/>
            <w:hideMark/>
          </w:tcPr>
          <w:p w:rsidR="00735613" w:rsidRDefault="00735613">
            <w:pPr>
              <w:jc w:val="center"/>
              <w:rPr>
                <w:rFonts w:cs="Arial"/>
                <w:b/>
                <w:bCs/>
                <w:sz w:val="16"/>
                <w:szCs w:val="16"/>
              </w:rPr>
            </w:pPr>
            <w:r>
              <w:rPr>
                <w:rFonts w:cs="Arial"/>
                <w:b/>
                <w:bCs/>
                <w:sz w:val="16"/>
                <w:szCs w:val="16"/>
              </w:rPr>
              <w:t>2015 Appropriations</w:t>
            </w:r>
          </w:p>
        </w:tc>
        <w:tc>
          <w:tcPr>
            <w:tcW w:w="1267" w:type="dxa"/>
            <w:vMerge w:val="restart"/>
            <w:tcBorders>
              <w:top w:val="single" w:sz="4" w:space="0" w:color="auto"/>
              <w:left w:val="single" w:sz="4" w:space="0" w:color="auto"/>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Appropriation applied in 2015 (current and prior years)</w:t>
            </w:r>
          </w:p>
        </w:tc>
        <w:tc>
          <w:tcPr>
            <w:tcW w:w="1341" w:type="dxa"/>
            <w:tcBorders>
              <w:top w:val="single" w:sz="4" w:space="0" w:color="auto"/>
              <w:left w:val="nil"/>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 </w:t>
            </w:r>
          </w:p>
        </w:tc>
        <w:tc>
          <w:tcPr>
            <w:tcW w:w="1343" w:type="dxa"/>
            <w:tcBorders>
              <w:top w:val="single" w:sz="4" w:space="0" w:color="auto"/>
              <w:left w:val="nil"/>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 </w:t>
            </w:r>
          </w:p>
        </w:tc>
        <w:tc>
          <w:tcPr>
            <w:tcW w:w="1174"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tr w:rsidR="00735613" w:rsidTr="00735613">
        <w:trPr>
          <w:trHeight w:val="255"/>
        </w:trPr>
        <w:tc>
          <w:tcPr>
            <w:tcW w:w="3126" w:type="dxa"/>
            <w:tcBorders>
              <w:top w:val="nil"/>
              <w:left w:val="single" w:sz="4" w:space="0" w:color="auto"/>
              <w:bottom w:val="nil"/>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 </w:t>
            </w:r>
          </w:p>
        </w:tc>
        <w:tc>
          <w:tcPr>
            <w:tcW w:w="2573" w:type="dxa"/>
            <w:gridSpan w:val="2"/>
            <w:tcBorders>
              <w:top w:val="single" w:sz="4" w:space="0" w:color="auto"/>
              <w:left w:val="nil"/>
              <w:bottom w:val="single" w:sz="4" w:space="0" w:color="auto"/>
              <w:right w:val="single" w:sz="4" w:space="0" w:color="000000"/>
            </w:tcBorders>
            <w:shd w:val="clear" w:color="FFFFFF" w:fill="FFFFFF"/>
            <w:vAlign w:val="bottom"/>
            <w:hideMark/>
          </w:tcPr>
          <w:p w:rsidR="00735613" w:rsidRDefault="00735613">
            <w:pPr>
              <w:jc w:val="center"/>
              <w:rPr>
                <w:rFonts w:cs="Arial"/>
                <w:b/>
                <w:bCs/>
                <w:i/>
                <w:iCs/>
                <w:color w:val="000000"/>
                <w:sz w:val="16"/>
                <w:szCs w:val="16"/>
              </w:rPr>
            </w:pPr>
            <w:r>
              <w:rPr>
                <w:rFonts w:cs="Arial"/>
                <w:b/>
                <w:bCs/>
                <w:i/>
                <w:iCs/>
                <w:color w:val="000000"/>
                <w:sz w:val="16"/>
                <w:szCs w:val="16"/>
              </w:rPr>
              <w:t>Appropriation Act</w:t>
            </w:r>
          </w:p>
        </w:tc>
        <w:tc>
          <w:tcPr>
            <w:tcW w:w="1836" w:type="dxa"/>
            <w:gridSpan w:val="2"/>
            <w:tcBorders>
              <w:top w:val="single" w:sz="4" w:space="0" w:color="auto"/>
              <w:left w:val="nil"/>
              <w:bottom w:val="single" w:sz="4" w:space="0" w:color="auto"/>
              <w:right w:val="single" w:sz="4" w:space="0" w:color="000000"/>
            </w:tcBorders>
            <w:shd w:val="clear" w:color="FFFFFF" w:fill="FFFFFF"/>
            <w:vAlign w:val="bottom"/>
            <w:hideMark/>
          </w:tcPr>
          <w:p w:rsidR="00735613" w:rsidRDefault="00735613">
            <w:pPr>
              <w:jc w:val="center"/>
              <w:rPr>
                <w:rFonts w:cs="Arial"/>
                <w:b/>
                <w:bCs/>
                <w:i/>
                <w:iCs/>
                <w:color w:val="000000"/>
                <w:sz w:val="16"/>
                <w:szCs w:val="16"/>
              </w:rPr>
            </w:pPr>
            <w:r>
              <w:rPr>
                <w:rFonts w:cs="Arial"/>
                <w:b/>
                <w:bCs/>
                <w:i/>
                <w:iCs/>
                <w:color w:val="000000"/>
                <w:sz w:val="16"/>
                <w:szCs w:val="16"/>
              </w:rPr>
              <w:t>PGPA Act</w:t>
            </w:r>
          </w:p>
        </w:tc>
        <w:tc>
          <w:tcPr>
            <w:tcW w:w="1230" w:type="dxa"/>
            <w:vMerge w:val="restart"/>
            <w:tcBorders>
              <w:top w:val="nil"/>
              <w:left w:val="single" w:sz="4" w:space="0" w:color="auto"/>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Total appropriation</w:t>
            </w:r>
          </w:p>
        </w:tc>
        <w:tc>
          <w:tcPr>
            <w:tcW w:w="1267" w:type="dxa"/>
            <w:vMerge/>
            <w:tcBorders>
              <w:top w:val="single" w:sz="4" w:space="0" w:color="auto"/>
              <w:left w:val="single" w:sz="4" w:space="0" w:color="auto"/>
              <w:bottom w:val="nil"/>
              <w:right w:val="single" w:sz="4" w:space="0" w:color="auto"/>
            </w:tcBorders>
            <w:vAlign w:val="center"/>
            <w:hideMark/>
          </w:tcPr>
          <w:p w:rsidR="00735613" w:rsidRDefault="00735613">
            <w:pPr>
              <w:rPr>
                <w:rFonts w:cs="Arial"/>
                <w:b/>
                <w:bCs/>
                <w:sz w:val="16"/>
                <w:szCs w:val="16"/>
              </w:rPr>
            </w:pPr>
          </w:p>
        </w:tc>
        <w:tc>
          <w:tcPr>
            <w:tcW w:w="1341" w:type="dxa"/>
            <w:tcBorders>
              <w:top w:val="nil"/>
              <w:left w:val="nil"/>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 </w:t>
            </w:r>
          </w:p>
        </w:tc>
        <w:tc>
          <w:tcPr>
            <w:tcW w:w="1343" w:type="dxa"/>
            <w:tcBorders>
              <w:top w:val="nil"/>
              <w:left w:val="nil"/>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 </w:t>
            </w:r>
          </w:p>
        </w:tc>
        <w:tc>
          <w:tcPr>
            <w:tcW w:w="1174"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tr w:rsidR="00735613" w:rsidTr="00735613">
        <w:trPr>
          <w:trHeight w:val="675"/>
        </w:trPr>
        <w:tc>
          <w:tcPr>
            <w:tcW w:w="3126" w:type="dxa"/>
            <w:tcBorders>
              <w:top w:val="nil"/>
              <w:left w:val="single" w:sz="4" w:space="0" w:color="auto"/>
              <w:bottom w:val="nil"/>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 </w:t>
            </w:r>
          </w:p>
        </w:tc>
        <w:tc>
          <w:tcPr>
            <w:tcW w:w="1415" w:type="dxa"/>
            <w:tcBorders>
              <w:top w:val="nil"/>
              <w:left w:val="nil"/>
              <w:bottom w:val="nil"/>
              <w:right w:val="nil"/>
            </w:tcBorders>
            <w:shd w:val="clear" w:color="FFFFFF" w:fill="FFFFFF"/>
            <w:vAlign w:val="bottom"/>
            <w:hideMark/>
          </w:tcPr>
          <w:p w:rsidR="00735613" w:rsidRDefault="00735613">
            <w:pPr>
              <w:jc w:val="right"/>
              <w:rPr>
                <w:rFonts w:cs="Arial"/>
                <w:b/>
                <w:bCs/>
                <w:sz w:val="16"/>
                <w:szCs w:val="16"/>
              </w:rPr>
            </w:pPr>
            <w:r>
              <w:rPr>
                <w:rFonts w:cs="Arial"/>
                <w:b/>
                <w:bCs/>
                <w:sz w:val="16"/>
                <w:szCs w:val="16"/>
              </w:rPr>
              <w:t>Annual Appropriation</w:t>
            </w:r>
            <w:r>
              <w:rPr>
                <w:rFonts w:cs="Arial"/>
                <w:b/>
                <w:bCs/>
                <w:sz w:val="16"/>
                <w:szCs w:val="16"/>
                <w:vertAlign w:val="superscript"/>
              </w:rPr>
              <w:t>1</w:t>
            </w:r>
          </w:p>
        </w:tc>
        <w:tc>
          <w:tcPr>
            <w:tcW w:w="1158" w:type="dxa"/>
            <w:tcBorders>
              <w:top w:val="nil"/>
              <w:left w:val="nil"/>
              <w:bottom w:val="nil"/>
              <w:right w:val="nil"/>
            </w:tcBorders>
            <w:shd w:val="clear" w:color="FFFFFF" w:fill="FFFFFF"/>
            <w:vAlign w:val="bottom"/>
            <w:hideMark/>
          </w:tcPr>
          <w:p w:rsidR="00735613" w:rsidRDefault="00735613">
            <w:pPr>
              <w:jc w:val="right"/>
              <w:rPr>
                <w:rFonts w:cs="Arial"/>
                <w:b/>
                <w:bCs/>
                <w:sz w:val="16"/>
                <w:szCs w:val="16"/>
              </w:rPr>
            </w:pPr>
            <w:r>
              <w:rPr>
                <w:rFonts w:cs="Arial"/>
                <w:b/>
                <w:bCs/>
                <w:sz w:val="16"/>
                <w:szCs w:val="16"/>
              </w:rPr>
              <w:t>AFM</w:t>
            </w:r>
          </w:p>
        </w:tc>
        <w:tc>
          <w:tcPr>
            <w:tcW w:w="956" w:type="dxa"/>
            <w:tcBorders>
              <w:top w:val="nil"/>
              <w:left w:val="single" w:sz="4" w:space="0" w:color="auto"/>
              <w:bottom w:val="nil"/>
              <w:right w:val="nil"/>
            </w:tcBorders>
            <w:shd w:val="clear" w:color="FFFFFF" w:fill="FFFFFF"/>
            <w:vAlign w:val="bottom"/>
            <w:hideMark/>
          </w:tcPr>
          <w:p w:rsidR="00735613" w:rsidRDefault="00735613">
            <w:pPr>
              <w:jc w:val="right"/>
              <w:rPr>
                <w:rFonts w:cs="Arial"/>
                <w:b/>
                <w:bCs/>
                <w:sz w:val="16"/>
                <w:szCs w:val="16"/>
              </w:rPr>
            </w:pPr>
            <w:r>
              <w:rPr>
                <w:rFonts w:cs="Arial"/>
                <w:b/>
                <w:bCs/>
                <w:sz w:val="16"/>
                <w:szCs w:val="16"/>
              </w:rPr>
              <w:t>Section 74</w:t>
            </w:r>
          </w:p>
        </w:tc>
        <w:tc>
          <w:tcPr>
            <w:tcW w:w="880" w:type="dxa"/>
            <w:tcBorders>
              <w:top w:val="nil"/>
              <w:left w:val="nil"/>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Section 75</w:t>
            </w:r>
          </w:p>
        </w:tc>
        <w:tc>
          <w:tcPr>
            <w:tcW w:w="1230" w:type="dxa"/>
            <w:vMerge/>
            <w:tcBorders>
              <w:top w:val="nil"/>
              <w:left w:val="single" w:sz="4" w:space="0" w:color="auto"/>
              <w:bottom w:val="nil"/>
              <w:right w:val="single" w:sz="4" w:space="0" w:color="auto"/>
            </w:tcBorders>
            <w:vAlign w:val="center"/>
            <w:hideMark/>
          </w:tcPr>
          <w:p w:rsidR="00735613" w:rsidRDefault="00735613">
            <w:pPr>
              <w:rPr>
                <w:rFonts w:cs="Arial"/>
                <w:b/>
                <w:bCs/>
                <w:sz w:val="16"/>
                <w:szCs w:val="16"/>
              </w:rPr>
            </w:pPr>
          </w:p>
        </w:tc>
        <w:tc>
          <w:tcPr>
            <w:tcW w:w="1267" w:type="dxa"/>
            <w:vMerge/>
            <w:tcBorders>
              <w:top w:val="single" w:sz="4" w:space="0" w:color="auto"/>
              <w:left w:val="single" w:sz="4" w:space="0" w:color="auto"/>
              <w:bottom w:val="nil"/>
              <w:right w:val="single" w:sz="4" w:space="0" w:color="auto"/>
            </w:tcBorders>
            <w:vAlign w:val="center"/>
            <w:hideMark/>
          </w:tcPr>
          <w:p w:rsidR="00735613" w:rsidRDefault="00735613">
            <w:pPr>
              <w:rPr>
                <w:rFonts w:cs="Arial"/>
                <w:b/>
                <w:bCs/>
                <w:sz w:val="16"/>
                <w:szCs w:val="16"/>
              </w:rPr>
            </w:pPr>
          </w:p>
        </w:tc>
        <w:tc>
          <w:tcPr>
            <w:tcW w:w="1341" w:type="dxa"/>
            <w:tcBorders>
              <w:top w:val="nil"/>
              <w:left w:val="nil"/>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Variance</w:t>
            </w:r>
            <w:r>
              <w:rPr>
                <w:rFonts w:cs="Arial"/>
                <w:b/>
                <w:bCs/>
                <w:sz w:val="16"/>
                <w:szCs w:val="16"/>
                <w:vertAlign w:val="superscript"/>
              </w:rPr>
              <w:t>2</w:t>
            </w:r>
          </w:p>
        </w:tc>
        <w:tc>
          <w:tcPr>
            <w:tcW w:w="1343" w:type="dxa"/>
            <w:tcBorders>
              <w:top w:val="nil"/>
              <w:left w:val="nil"/>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Section 51 determinations</w:t>
            </w:r>
            <w:r>
              <w:rPr>
                <w:rFonts w:cs="Arial"/>
                <w:b/>
                <w:bCs/>
                <w:sz w:val="16"/>
                <w:szCs w:val="16"/>
                <w:vertAlign w:val="superscript"/>
              </w:rPr>
              <w:t>3</w:t>
            </w:r>
          </w:p>
        </w:tc>
        <w:tc>
          <w:tcPr>
            <w:tcW w:w="1174"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tr w:rsidR="00735613" w:rsidTr="00735613">
        <w:trPr>
          <w:trHeight w:val="276"/>
        </w:trPr>
        <w:tc>
          <w:tcPr>
            <w:tcW w:w="3126" w:type="dxa"/>
            <w:tcBorders>
              <w:top w:val="nil"/>
              <w:left w:val="single" w:sz="4" w:space="0" w:color="auto"/>
              <w:bottom w:val="single" w:sz="4" w:space="0" w:color="auto"/>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 </w:t>
            </w:r>
          </w:p>
        </w:tc>
        <w:tc>
          <w:tcPr>
            <w:tcW w:w="1415"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158"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95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880"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230"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267"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341"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343"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174"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tr w:rsidR="00735613" w:rsidTr="00735613">
        <w:trPr>
          <w:trHeight w:val="276"/>
        </w:trPr>
        <w:tc>
          <w:tcPr>
            <w:tcW w:w="3126" w:type="dxa"/>
            <w:tcBorders>
              <w:top w:val="nil"/>
              <w:left w:val="single" w:sz="4" w:space="0" w:color="auto"/>
              <w:bottom w:val="nil"/>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DEPARTMENTAL</w:t>
            </w:r>
          </w:p>
        </w:tc>
        <w:tc>
          <w:tcPr>
            <w:tcW w:w="1415" w:type="dxa"/>
            <w:tcBorders>
              <w:top w:val="nil"/>
              <w:left w:val="nil"/>
              <w:bottom w:val="nil"/>
              <w:right w:val="nil"/>
            </w:tcBorders>
            <w:shd w:val="clear" w:color="FFFFFF" w:fill="FFFFFF"/>
            <w:vAlign w:val="bottom"/>
            <w:hideMark/>
          </w:tcPr>
          <w:p w:rsidR="00735613" w:rsidRDefault="00735613">
            <w:pPr>
              <w:rPr>
                <w:rFonts w:cs="Arial"/>
                <w:sz w:val="16"/>
                <w:szCs w:val="16"/>
              </w:rPr>
            </w:pPr>
            <w:r>
              <w:rPr>
                <w:rFonts w:cs="Arial"/>
                <w:sz w:val="16"/>
                <w:szCs w:val="16"/>
              </w:rPr>
              <w:t> </w:t>
            </w:r>
          </w:p>
        </w:tc>
        <w:tc>
          <w:tcPr>
            <w:tcW w:w="1158"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956" w:type="dxa"/>
            <w:tcBorders>
              <w:top w:val="nil"/>
              <w:left w:val="nil"/>
              <w:bottom w:val="nil"/>
              <w:right w:val="nil"/>
            </w:tcBorders>
            <w:shd w:val="clear" w:color="FFFFFF" w:fill="FFFFFF"/>
            <w:vAlign w:val="bottom"/>
            <w:hideMark/>
          </w:tcPr>
          <w:p w:rsidR="00735613" w:rsidRDefault="00735613">
            <w:pPr>
              <w:rPr>
                <w:rFonts w:cs="Arial"/>
                <w:sz w:val="16"/>
                <w:szCs w:val="16"/>
              </w:rPr>
            </w:pPr>
            <w:r>
              <w:rPr>
                <w:rFonts w:cs="Arial"/>
                <w:sz w:val="16"/>
                <w:szCs w:val="16"/>
              </w:rPr>
              <w:t> </w:t>
            </w:r>
          </w:p>
        </w:tc>
        <w:tc>
          <w:tcPr>
            <w:tcW w:w="880"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1230"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1267" w:type="dxa"/>
            <w:tcBorders>
              <w:top w:val="nil"/>
              <w:left w:val="nil"/>
              <w:bottom w:val="nil"/>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 </w:t>
            </w:r>
          </w:p>
        </w:tc>
        <w:tc>
          <w:tcPr>
            <w:tcW w:w="1341"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1343"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1174" w:type="dxa"/>
            <w:tcBorders>
              <w:top w:val="nil"/>
              <w:left w:val="nil"/>
              <w:bottom w:val="nil"/>
              <w:right w:val="nil"/>
            </w:tcBorders>
            <w:shd w:val="clear" w:color="auto" w:fill="auto"/>
            <w:noWrap/>
            <w:vAlign w:val="bottom"/>
            <w:hideMark/>
          </w:tcPr>
          <w:p w:rsidR="00735613" w:rsidRDefault="00735613">
            <w:pPr>
              <w:rPr>
                <w:rFonts w:cs="Arial"/>
                <w:sz w:val="16"/>
                <w:szCs w:val="16"/>
              </w:rPr>
            </w:pPr>
          </w:p>
        </w:tc>
      </w:tr>
      <w:tr w:rsidR="00735613" w:rsidTr="00735613">
        <w:trPr>
          <w:trHeight w:val="276"/>
        </w:trPr>
        <w:tc>
          <w:tcPr>
            <w:tcW w:w="3126" w:type="dxa"/>
            <w:tcBorders>
              <w:top w:val="nil"/>
              <w:left w:val="single" w:sz="4" w:space="0" w:color="auto"/>
              <w:bottom w:val="nil"/>
              <w:right w:val="single" w:sz="4" w:space="0" w:color="auto"/>
            </w:tcBorders>
            <w:shd w:val="clear" w:color="FFFFFF" w:fill="FFFFFF"/>
            <w:vAlign w:val="bottom"/>
            <w:hideMark/>
          </w:tcPr>
          <w:p w:rsidR="00735613" w:rsidRDefault="00735613">
            <w:pPr>
              <w:ind w:firstLineChars="100" w:firstLine="161"/>
              <w:rPr>
                <w:rFonts w:cs="Arial"/>
                <w:b/>
                <w:bCs/>
                <w:color w:val="000000"/>
                <w:sz w:val="16"/>
                <w:szCs w:val="16"/>
              </w:rPr>
            </w:pPr>
            <w:r>
              <w:rPr>
                <w:rFonts w:cs="Arial"/>
                <w:b/>
                <w:bCs/>
                <w:color w:val="000000"/>
                <w:sz w:val="16"/>
                <w:szCs w:val="16"/>
              </w:rPr>
              <w:t>Ordinary annual services</w:t>
            </w:r>
          </w:p>
        </w:tc>
        <w:tc>
          <w:tcPr>
            <w:tcW w:w="1415" w:type="dxa"/>
            <w:tcBorders>
              <w:top w:val="nil"/>
              <w:left w:val="nil"/>
              <w:bottom w:val="nil"/>
              <w:right w:val="nil"/>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295,586 </w:t>
            </w:r>
          </w:p>
        </w:tc>
        <w:tc>
          <w:tcPr>
            <w:tcW w:w="1158"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 -</w:t>
            </w:r>
          </w:p>
        </w:tc>
        <w:tc>
          <w:tcPr>
            <w:tcW w:w="956" w:type="dxa"/>
            <w:tcBorders>
              <w:top w:val="nil"/>
              <w:left w:val="nil"/>
              <w:bottom w:val="nil"/>
              <w:right w:val="nil"/>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47,837 </w:t>
            </w:r>
          </w:p>
        </w:tc>
        <w:tc>
          <w:tcPr>
            <w:tcW w:w="880"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9,695 </w:t>
            </w:r>
          </w:p>
        </w:tc>
        <w:tc>
          <w:tcPr>
            <w:tcW w:w="1230"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353,118 </w:t>
            </w:r>
          </w:p>
        </w:tc>
        <w:tc>
          <w:tcPr>
            <w:tcW w:w="1267"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326,500 </w:t>
            </w:r>
          </w:p>
        </w:tc>
        <w:tc>
          <w:tcPr>
            <w:tcW w:w="1341"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26,618 </w:t>
            </w:r>
          </w:p>
        </w:tc>
        <w:tc>
          <w:tcPr>
            <w:tcW w:w="1343"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5,546 </w:t>
            </w:r>
          </w:p>
        </w:tc>
        <w:tc>
          <w:tcPr>
            <w:tcW w:w="1174"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tr w:rsidR="00735613" w:rsidTr="00735613">
        <w:trPr>
          <w:trHeight w:val="276"/>
        </w:trPr>
        <w:tc>
          <w:tcPr>
            <w:tcW w:w="3126" w:type="dxa"/>
            <w:tcBorders>
              <w:top w:val="nil"/>
              <w:left w:val="single" w:sz="4" w:space="0" w:color="auto"/>
              <w:bottom w:val="nil"/>
              <w:right w:val="single" w:sz="4" w:space="0" w:color="auto"/>
            </w:tcBorders>
            <w:shd w:val="clear" w:color="FFFFFF" w:fill="FFFFFF"/>
            <w:vAlign w:val="bottom"/>
            <w:hideMark/>
          </w:tcPr>
          <w:p w:rsidR="00735613" w:rsidRDefault="00735613">
            <w:pPr>
              <w:ind w:firstLineChars="100" w:firstLine="161"/>
              <w:rPr>
                <w:rFonts w:cs="Arial"/>
                <w:b/>
                <w:bCs/>
                <w:color w:val="000000"/>
                <w:sz w:val="16"/>
                <w:szCs w:val="16"/>
              </w:rPr>
            </w:pPr>
            <w:r>
              <w:rPr>
                <w:rFonts w:cs="Arial"/>
                <w:b/>
                <w:bCs/>
                <w:color w:val="000000"/>
                <w:sz w:val="16"/>
                <w:szCs w:val="16"/>
              </w:rPr>
              <w:t>Other services</w:t>
            </w:r>
          </w:p>
        </w:tc>
        <w:tc>
          <w:tcPr>
            <w:tcW w:w="1415" w:type="dxa"/>
            <w:tcBorders>
              <w:top w:val="nil"/>
              <w:left w:val="nil"/>
              <w:bottom w:val="nil"/>
              <w:right w:val="nil"/>
            </w:tcBorders>
            <w:shd w:val="clear" w:color="FFFFFF" w:fill="FFFFFF"/>
            <w:vAlign w:val="bottom"/>
            <w:hideMark/>
          </w:tcPr>
          <w:p w:rsidR="00735613" w:rsidRDefault="00735613">
            <w:pPr>
              <w:rPr>
                <w:rFonts w:cs="Arial"/>
                <w:b/>
                <w:bCs/>
                <w:sz w:val="16"/>
                <w:szCs w:val="16"/>
              </w:rPr>
            </w:pPr>
            <w:r>
              <w:rPr>
                <w:rFonts w:cs="Arial"/>
                <w:b/>
                <w:bCs/>
                <w:sz w:val="16"/>
                <w:szCs w:val="16"/>
              </w:rPr>
              <w:t> </w:t>
            </w:r>
          </w:p>
        </w:tc>
        <w:tc>
          <w:tcPr>
            <w:tcW w:w="1158" w:type="dxa"/>
            <w:tcBorders>
              <w:top w:val="nil"/>
              <w:left w:val="nil"/>
              <w:bottom w:val="nil"/>
              <w:right w:val="single" w:sz="4" w:space="0" w:color="auto"/>
            </w:tcBorders>
            <w:shd w:val="clear" w:color="FFFFFF" w:fill="FFFFFF"/>
            <w:vAlign w:val="bottom"/>
            <w:hideMark/>
          </w:tcPr>
          <w:p w:rsidR="00735613" w:rsidRDefault="00735613">
            <w:pPr>
              <w:rPr>
                <w:rFonts w:cs="Arial"/>
                <w:b/>
                <w:bCs/>
                <w:sz w:val="16"/>
                <w:szCs w:val="16"/>
              </w:rPr>
            </w:pPr>
            <w:r>
              <w:rPr>
                <w:rFonts w:cs="Arial"/>
                <w:b/>
                <w:bCs/>
                <w:sz w:val="16"/>
                <w:szCs w:val="16"/>
              </w:rPr>
              <w:t> </w:t>
            </w:r>
          </w:p>
        </w:tc>
        <w:tc>
          <w:tcPr>
            <w:tcW w:w="956" w:type="dxa"/>
            <w:tcBorders>
              <w:top w:val="nil"/>
              <w:left w:val="nil"/>
              <w:bottom w:val="nil"/>
              <w:right w:val="nil"/>
            </w:tcBorders>
            <w:shd w:val="clear" w:color="FFFFFF" w:fill="FFFFFF"/>
            <w:vAlign w:val="bottom"/>
            <w:hideMark/>
          </w:tcPr>
          <w:p w:rsidR="00735613" w:rsidRDefault="00735613">
            <w:pPr>
              <w:rPr>
                <w:rFonts w:cs="Arial"/>
                <w:b/>
                <w:bCs/>
                <w:sz w:val="16"/>
                <w:szCs w:val="16"/>
              </w:rPr>
            </w:pPr>
            <w:r>
              <w:rPr>
                <w:rFonts w:cs="Arial"/>
                <w:b/>
                <w:bCs/>
                <w:sz w:val="16"/>
                <w:szCs w:val="16"/>
              </w:rPr>
              <w:t> </w:t>
            </w:r>
          </w:p>
        </w:tc>
        <w:tc>
          <w:tcPr>
            <w:tcW w:w="880" w:type="dxa"/>
            <w:tcBorders>
              <w:top w:val="nil"/>
              <w:left w:val="nil"/>
              <w:bottom w:val="nil"/>
              <w:right w:val="single" w:sz="4" w:space="0" w:color="auto"/>
            </w:tcBorders>
            <w:shd w:val="clear" w:color="FFFFFF" w:fill="FFFFFF"/>
            <w:vAlign w:val="bottom"/>
            <w:hideMark/>
          </w:tcPr>
          <w:p w:rsidR="00735613" w:rsidRDefault="00735613">
            <w:pPr>
              <w:rPr>
                <w:rFonts w:cs="Arial"/>
                <w:b/>
                <w:bCs/>
                <w:sz w:val="16"/>
                <w:szCs w:val="16"/>
              </w:rPr>
            </w:pPr>
            <w:r>
              <w:rPr>
                <w:rFonts w:cs="Arial"/>
                <w:b/>
                <w:bCs/>
                <w:sz w:val="16"/>
                <w:szCs w:val="16"/>
              </w:rPr>
              <w:t> </w:t>
            </w:r>
          </w:p>
        </w:tc>
        <w:tc>
          <w:tcPr>
            <w:tcW w:w="1230" w:type="dxa"/>
            <w:tcBorders>
              <w:top w:val="nil"/>
              <w:left w:val="nil"/>
              <w:bottom w:val="nil"/>
              <w:right w:val="single" w:sz="4" w:space="0" w:color="auto"/>
            </w:tcBorders>
            <w:shd w:val="clear" w:color="FFFFFF" w:fill="FFFFFF"/>
            <w:vAlign w:val="bottom"/>
            <w:hideMark/>
          </w:tcPr>
          <w:p w:rsidR="00735613" w:rsidRDefault="00735613">
            <w:pPr>
              <w:rPr>
                <w:rFonts w:cs="Arial"/>
                <w:b/>
                <w:bCs/>
                <w:sz w:val="16"/>
                <w:szCs w:val="16"/>
              </w:rPr>
            </w:pPr>
            <w:r>
              <w:rPr>
                <w:rFonts w:cs="Arial"/>
                <w:b/>
                <w:bCs/>
                <w:sz w:val="16"/>
                <w:szCs w:val="16"/>
              </w:rPr>
              <w:t> </w:t>
            </w:r>
          </w:p>
        </w:tc>
        <w:tc>
          <w:tcPr>
            <w:tcW w:w="1267" w:type="dxa"/>
            <w:tcBorders>
              <w:top w:val="nil"/>
              <w:left w:val="nil"/>
              <w:bottom w:val="nil"/>
              <w:right w:val="single" w:sz="4" w:space="0" w:color="auto"/>
            </w:tcBorders>
            <w:shd w:val="clear" w:color="FFFFFF" w:fill="FFFFFF"/>
            <w:vAlign w:val="bottom"/>
            <w:hideMark/>
          </w:tcPr>
          <w:p w:rsidR="00735613" w:rsidRDefault="00735613">
            <w:pPr>
              <w:rPr>
                <w:rFonts w:cs="Arial"/>
                <w:b/>
                <w:bCs/>
                <w:sz w:val="16"/>
                <w:szCs w:val="16"/>
              </w:rPr>
            </w:pPr>
            <w:r>
              <w:rPr>
                <w:rFonts w:cs="Arial"/>
                <w:b/>
                <w:bCs/>
                <w:sz w:val="16"/>
                <w:szCs w:val="16"/>
              </w:rPr>
              <w:t> </w:t>
            </w:r>
          </w:p>
        </w:tc>
        <w:tc>
          <w:tcPr>
            <w:tcW w:w="1341" w:type="dxa"/>
            <w:tcBorders>
              <w:top w:val="nil"/>
              <w:left w:val="nil"/>
              <w:bottom w:val="nil"/>
              <w:right w:val="single" w:sz="4" w:space="0" w:color="auto"/>
            </w:tcBorders>
            <w:shd w:val="clear" w:color="FFFFFF" w:fill="FFFFFF"/>
            <w:vAlign w:val="bottom"/>
            <w:hideMark/>
          </w:tcPr>
          <w:p w:rsidR="00735613" w:rsidRDefault="00735613">
            <w:pPr>
              <w:rPr>
                <w:rFonts w:cs="Arial"/>
                <w:b/>
                <w:bCs/>
                <w:sz w:val="16"/>
                <w:szCs w:val="16"/>
              </w:rPr>
            </w:pPr>
            <w:r>
              <w:rPr>
                <w:rFonts w:cs="Arial"/>
                <w:b/>
                <w:bCs/>
                <w:sz w:val="16"/>
                <w:szCs w:val="16"/>
              </w:rPr>
              <w:t> </w:t>
            </w:r>
          </w:p>
        </w:tc>
        <w:tc>
          <w:tcPr>
            <w:tcW w:w="1343" w:type="dxa"/>
            <w:tcBorders>
              <w:top w:val="nil"/>
              <w:left w:val="nil"/>
              <w:bottom w:val="nil"/>
              <w:right w:val="single" w:sz="4" w:space="0" w:color="auto"/>
            </w:tcBorders>
            <w:shd w:val="clear" w:color="FFFFFF" w:fill="FFFFFF"/>
            <w:vAlign w:val="bottom"/>
            <w:hideMark/>
          </w:tcPr>
          <w:p w:rsidR="00735613" w:rsidRDefault="00735613">
            <w:pPr>
              <w:rPr>
                <w:rFonts w:cs="Arial"/>
                <w:b/>
                <w:bCs/>
                <w:sz w:val="16"/>
                <w:szCs w:val="16"/>
              </w:rPr>
            </w:pPr>
            <w:r>
              <w:rPr>
                <w:rFonts w:cs="Arial"/>
                <w:b/>
                <w:bCs/>
                <w:sz w:val="16"/>
                <w:szCs w:val="16"/>
              </w:rPr>
              <w:t> </w:t>
            </w:r>
          </w:p>
        </w:tc>
        <w:tc>
          <w:tcPr>
            <w:tcW w:w="1174" w:type="dxa"/>
            <w:tcBorders>
              <w:top w:val="nil"/>
              <w:left w:val="nil"/>
              <w:bottom w:val="nil"/>
              <w:right w:val="nil"/>
            </w:tcBorders>
            <w:shd w:val="clear" w:color="auto" w:fill="auto"/>
            <w:noWrap/>
            <w:vAlign w:val="bottom"/>
            <w:hideMark/>
          </w:tcPr>
          <w:p w:rsidR="00735613" w:rsidRDefault="00735613">
            <w:pPr>
              <w:rPr>
                <w:rFonts w:cs="Arial"/>
                <w:b/>
                <w:bCs/>
                <w:sz w:val="16"/>
                <w:szCs w:val="16"/>
              </w:rPr>
            </w:pPr>
          </w:p>
        </w:tc>
      </w:tr>
      <w:tr w:rsidR="00735613" w:rsidTr="00735613">
        <w:trPr>
          <w:trHeight w:val="276"/>
        </w:trPr>
        <w:tc>
          <w:tcPr>
            <w:tcW w:w="3126" w:type="dxa"/>
            <w:tcBorders>
              <w:top w:val="nil"/>
              <w:left w:val="single" w:sz="4" w:space="0" w:color="auto"/>
              <w:bottom w:val="nil"/>
              <w:right w:val="single" w:sz="4" w:space="0" w:color="auto"/>
            </w:tcBorders>
            <w:shd w:val="clear" w:color="FFFFFF" w:fill="FFFFFF"/>
            <w:vAlign w:val="bottom"/>
            <w:hideMark/>
          </w:tcPr>
          <w:p w:rsidR="00735613" w:rsidRDefault="00735613">
            <w:pPr>
              <w:ind w:firstLineChars="200" w:firstLine="320"/>
              <w:rPr>
                <w:rFonts w:cs="Arial"/>
                <w:color w:val="000000"/>
                <w:sz w:val="16"/>
                <w:szCs w:val="16"/>
              </w:rPr>
            </w:pPr>
            <w:r>
              <w:rPr>
                <w:rFonts w:cs="Arial"/>
                <w:color w:val="000000"/>
                <w:sz w:val="16"/>
                <w:szCs w:val="16"/>
              </w:rPr>
              <w:t>Equity</w:t>
            </w:r>
          </w:p>
        </w:tc>
        <w:tc>
          <w:tcPr>
            <w:tcW w:w="1415"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3,489 </w:t>
            </w:r>
          </w:p>
        </w:tc>
        <w:tc>
          <w:tcPr>
            <w:tcW w:w="1158"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 -</w:t>
            </w:r>
          </w:p>
        </w:tc>
        <w:tc>
          <w:tcPr>
            <w:tcW w:w="956"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 -</w:t>
            </w:r>
          </w:p>
        </w:tc>
        <w:tc>
          <w:tcPr>
            <w:tcW w:w="880"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 -</w:t>
            </w:r>
          </w:p>
        </w:tc>
        <w:tc>
          <w:tcPr>
            <w:tcW w:w="1230"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3,489 </w:t>
            </w:r>
          </w:p>
        </w:tc>
        <w:tc>
          <w:tcPr>
            <w:tcW w:w="1267"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3,836 </w:t>
            </w:r>
          </w:p>
        </w:tc>
        <w:tc>
          <w:tcPr>
            <w:tcW w:w="1341"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(347)</w:t>
            </w:r>
          </w:p>
        </w:tc>
        <w:tc>
          <w:tcPr>
            <w:tcW w:w="1343"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 -</w:t>
            </w:r>
          </w:p>
        </w:tc>
        <w:tc>
          <w:tcPr>
            <w:tcW w:w="1174"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tr w:rsidR="00735613" w:rsidTr="00735613">
        <w:trPr>
          <w:trHeight w:val="276"/>
        </w:trPr>
        <w:tc>
          <w:tcPr>
            <w:tcW w:w="3126" w:type="dxa"/>
            <w:tcBorders>
              <w:top w:val="single" w:sz="4" w:space="0" w:color="auto"/>
              <w:left w:val="single" w:sz="4" w:space="0" w:color="auto"/>
              <w:bottom w:val="single" w:sz="4" w:space="0" w:color="auto"/>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Total departmental</w:t>
            </w:r>
          </w:p>
        </w:tc>
        <w:tc>
          <w:tcPr>
            <w:tcW w:w="1415"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299,075</w:t>
            </w:r>
          </w:p>
        </w:tc>
        <w:tc>
          <w:tcPr>
            <w:tcW w:w="1158"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w:t>
            </w:r>
          </w:p>
        </w:tc>
        <w:tc>
          <w:tcPr>
            <w:tcW w:w="956" w:type="dxa"/>
            <w:tcBorders>
              <w:top w:val="nil"/>
              <w:left w:val="nil"/>
              <w:bottom w:val="single" w:sz="4" w:space="0" w:color="auto"/>
              <w:right w:val="nil"/>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47,837</w:t>
            </w:r>
          </w:p>
        </w:tc>
        <w:tc>
          <w:tcPr>
            <w:tcW w:w="880"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9,695</w:t>
            </w:r>
          </w:p>
        </w:tc>
        <w:tc>
          <w:tcPr>
            <w:tcW w:w="1230"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356,607</w:t>
            </w:r>
          </w:p>
        </w:tc>
        <w:tc>
          <w:tcPr>
            <w:tcW w:w="1267"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330,336</w:t>
            </w:r>
          </w:p>
        </w:tc>
        <w:tc>
          <w:tcPr>
            <w:tcW w:w="1341" w:type="dxa"/>
            <w:tcBorders>
              <w:top w:val="single" w:sz="4" w:space="0" w:color="auto"/>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26,271</w:t>
            </w:r>
          </w:p>
        </w:tc>
        <w:tc>
          <w:tcPr>
            <w:tcW w:w="1343"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5,546</w:t>
            </w:r>
          </w:p>
        </w:tc>
        <w:tc>
          <w:tcPr>
            <w:tcW w:w="1174"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tr w:rsidR="00735613" w:rsidTr="00735613">
        <w:trPr>
          <w:trHeight w:val="276"/>
        </w:trPr>
        <w:tc>
          <w:tcPr>
            <w:tcW w:w="3126" w:type="dxa"/>
            <w:tcBorders>
              <w:top w:val="nil"/>
              <w:left w:val="single" w:sz="4" w:space="0" w:color="auto"/>
              <w:bottom w:val="nil"/>
              <w:right w:val="single" w:sz="4" w:space="0" w:color="auto"/>
            </w:tcBorders>
            <w:shd w:val="clear" w:color="000000" w:fill="D9D9D9"/>
            <w:vAlign w:val="bottom"/>
            <w:hideMark/>
          </w:tcPr>
          <w:p w:rsidR="00735613" w:rsidRDefault="00735613">
            <w:pPr>
              <w:rPr>
                <w:rFonts w:cs="Arial"/>
                <w:b/>
                <w:bCs/>
                <w:sz w:val="16"/>
                <w:szCs w:val="16"/>
              </w:rPr>
            </w:pPr>
            <w:r>
              <w:rPr>
                <w:rFonts w:cs="Arial"/>
                <w:b/>
                <w:bCs/>
                <w:sz w:val="16"/>
                <w:szCs w:val="16"/>
              </w:rPr>
              <w:t>ADMINISTERED</w:t>
            </w:r>
          </w:p>
        </w:tc>
        <w:tc>
          <w:tcPr>
            <w:tcW w:w="1415"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158" w:type="dxa"/>
            <w:tcBorders>
              <w:top w:val="nil"/>
              <w:left w:val="nil"/>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956"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880"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30" w:type="dxa"/>
            <w:tcBorders>
              <w:top w:val="nil"/>
              <w:left w:val="single" w:sz="4" w:space="0" w:color="auto"/>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67" w:type="dxa"/>
            <w:tcBorders>
              <w:top w:val="nil"/>
              <w:left w:val="nil"/>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341" w:type="dxa"/>
            <w:tcBorders>
              <w:top w:val="nil"/>
              <w:left w:val="nil"/>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343" w:type="dxa"/>
            <w:tcBorders>
              <w:top w:val="nil"/>
              <w:left w:val="nil"/>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174" w:type="dxa"/>
            <w:tcBorders>
              <w:top w:val="nil"/>
              <w:left w:val="nil"/>
              <w:bottom w:val="nil"/>
              <w:right w:val="nil"/>
            </w:tcBorders>
            <w:shd w:val="clear" w:color="auto" w:fill="auto"/>
            <w:noWrap/>
            <w:vAlign w:val="bottom"/>
            <w:hideMark/>
          </w:tcPr>
          <w:p w:rsidR="00735613" w:rsidRDefault="00735613">
            <w:pPr>
              <w:rPr>
                <w:rFonts w:cs="Arial"/>
                <w:sz w:val="16"/>
                <w:szCs w:val="16"/>
              </w:rPr>
            </w:pPr>
          </w:p>
        </w:tc>
      </w:tr>
      <w:tr w:rsidR="00735613" w:rsidTr="00735613">
        <w:trPr>
          <w:trHeight w:val="276"/>
        </w:trPr>
        <w:tc>
          <w:tcPr>
            <w:tcW w:w="3126" w:type="dxa"/>
            <w:tcBorders>
              <w:top w:val="nil"/>
              <w:left w:val="single" w:sz="4" w:space="0" w:color="auto"/>
              <w:bottom w:val="nil"/>
              <w:right w:val="single" w:sz="4" w:space="0" w:color="auto"/>
            </w:tcBorders>
            <w:shd w:val="clear" w:color="000000" w:fill="D9D9D9"/>
            <w:vAlign w:val="bottom"/>
            <w:hideMark/>
          </w:tcPr>
          <w:p w:rsidR="00735613" w:rsidRDefault="00735613">
            <w:pPr>
              <w:ind w:firstLineChars="100" w:firstLine="161"/>
              <w:rPr>
                <w:rFonts w:cs="Arial"/>
                <w:b/>
                <w:bCs/>
                <w:sz w:val="16"/>
                <w:szCs w:val="16"/>
              </w:rPr>
            </w:pPr>
            <w:r>
              <w:rPr>
                <w:rFonts w:cs="Arial"/>
                <w:b/>
                <w:bCs/>
                <w:sz w:val="16"/>
                <w:szCs w:val="16"/>
              </w:rPr>
              <w:t>Ordinary annual services</w:t>
            </w:r>
          </w:p>
        </w:tc>
        <w:tc>
          <w:tcPr>
            <w:tcW w:w="1415"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158" w:type="dxa"/>
            <w:tcBorders>
              <w:top w:val="nil"/>
              <w:left w:val="nil"/>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956"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880"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30" w:type="dxa"/>
            <w:tcBorders>
              <w:top w:val="nil"/>
              <w:left w:val="single" w:sz="4" w:space="0" w:color="auto"/>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67" w:type="dxa"/>
            <w:tcBorders>
              <w:top w:val="nil"/>
              <w:left w:val="nil"/>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341" w:type="dxa"/>
            <w:tcBorders>
              <w:top w:val="nil"/>
              <w:left w:val="nil"/>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343" w:type="dxa"/>
            <w:tcBorders>
              <w:top w:val="nil"/>
              <w:left w:val="nil"/>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174" w:type="dxa"/>
            <w:tcBorders>
              <w:top w:val="nil"/>
              <w:left w:val="nil"/>
              <w:bottom w:val="nil"/>
              <w:right w:val="nil"/>
            </w:tcBorders>
            <w:shd w:val="clear" w:color="auto" w:fill="auto"/>
            <w:noWrap/>
            <w:vAlign w:val="bottom"/>
            <w:hideMark/>
          </w:tcPr>
          <w:p w:rsidR="00735613" w:rsidRDefault="00735613">
            <w:pPr>
              <w:rPr>
                <w:rFonts w:cs="Arial"/>
                <w:sz w:val="16"/>
                <w:szCs w:val="16"/>
              </w:rPr>
            </w:pPr>
          </w:p>
        </w:tc>
      </w:tr>
      <w:tr w:rsidR="00735613" w:rsidTr="00735613">
        <w:trPr>
          <w:trHeight w:val="276"/>
        </w:trPr>
        <w:tc>
          <w:tcPr>
            <w:tcW w:w="3126" w:type="dxa"/>
            <w:tcBorders>
              <w:top w:val="nil"/>
              <w:left w:val="single" w:sz="4" w:space="0" w:color="auto"/>
              <w:bottom w:val="nil"/>
              <w:right w:val="single" w:sz="4" w:space="0" w:color="auto"/>
            </w:tcBorders>
            <w:shd w:val="clear" w:color="000000" w:fill="D9D9D9"/>
            <w:vAlign w:val="bottom"/>
            <w:hideMark/>
          </w:tcPr>
          <w:p w:rsidR="00735613" w:rsidRDefault="00735613">
            <w:pPr>
              <w:ind w:firstLineChars="200" w:firstLine="320"/>
              <w:rPr>
                <w:rFonts w:cs="Arial"/>
                <w:color w:val="000000"/>
                <w:sz w:val="16"/>
                <w:szCs w:val="16"/>
              </w:rPr>
            </w:pPr>
            <w:r>
              <w:rPr>
                <w:rFonts w:cs="Arial"/>
                <w:color w:val="000000"/>
                <w:sz w:val="16"/>
                <w:szCs w:val="16"/>
              </w:rPr>
              <w:t>Administered items</w:t>
            </w:r>
          </w:p>
        </w:tc>
        <w:tc>
          <w:tcPr>
            <w:tcW w:w="1415"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996,201 </w:t>
            </w:r>
          </w:p>
        </w:tc>
        <w:tc>
          <w:tcPr>
            <w:tcW w:w="1158"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w:t>
            </w:r>
          </w:p>
        </w:tc>
        <w:tc>
          <w:tcPr>
            <w:tcW w:w="956"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 -</w:t>
            </w:r>
          </w:p>
        </w:tc>
        <w:tc>
          <w:tcPr>
            <w:tcW w:w="880"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316,252 </w:t>
            </w:r>
          </w:p>
        </w:tc>
        <w:tc>
          <w:tcPr>
            <w:tcW w:w="1230" w:type="dxa"/>
            <w:tcBorders>
              <w:top w:val="nil"/>
              <w:left w:val="single" w:sz="4" w:space="0" w:color="auto"/>
              <w:bottom w:val="nil"/>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1,312,453 </w:t>
            </w:r>
          </w:p>
        </w:tc>
        <w:tc>
          <w:tcPr>
            <w:tcW w:w="1267"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1,082,706 </w:t>
            </w:r>
          </w:p>
        </w:tc>
        <w:tc>
          <w:tcPr>
            <w:tcW w:w="1341"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229,747 </w:t>
            </w:r>
          </w:p>
        </w:tc>
        <w:tc>
          <w:tcPr>
            <w:tcW w:w="1343"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6,117 </w:t>
            </w:r>
          </w:p>
        </w:tc>
        <w:tc>
          <w:tcPr>
            <w:tcW w:w="1174"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tr w:rsidR="00735613" w:rsidTr="00735613">
        <w:trPr>
          <w:trHeight w:val="432"/>
        </w:trPr>
        <w:tc>
          <w:tcPr>
            <w:tcW w:w="3126" w:type="dxa"/>
            <w:tcBorders>
              <w:top w:val="nil"/>
              <w:left w:val="single" w:sz="4" w:space="0" w:color="auto"/>
              <w:bottom w:val="nil"/>
              <w:right w:val="single" w:sz="4" w:space="0" w:color="auto"/>
            </w:tcBorders>
            <w:shd w:val="clear" w:color="000000" w:fill="D9D9D9"/>
            <w:vAlign w:val="bottom"/>
            <w:hideMark/>
          </w:tcPr>
          <w:p w:rsidR="00735613" w:rsidRDefault="00735613">
            <w:pPr>
              <w:ind w:firstLineChars="200" w:firstLine="320"/>
              <w:rPr>
                <w:rFonts w:cs="Arial"/>
                <w:color w:val="000000"/>
                <w:sz w:val="16"/>
                <w:szCs w:val="16"/>
              </w:rPr>
            </w:pPr>
            <w:r>
              <w:rPr>
                <w:rFonts w:cs="Arial"/>
                <w:color w:val="000000"/>
                <w:sz w:val="16"/>
                <w:szCs w:val="16"/>
              </w:rPr>
              <w:t>Payments to Corporate Commonwealth Entities</w:t>
            </w:r>
          </w:p>
        </w:tc>
        <w:tc>
          <w:tcPr>
            <w:tcW w:w="1415"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13,295 </w:t>
            </w:r>
          </w:p>
        </w:tc>
        <w:tc>
          <w:tcPr>
            <w:tcW w:w="1158"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 -</w:t>
            </w:r>
          </w:p>
        </w:tc>
        <w:tc>
          <w:tcPr>
            <w:tcW w:w="956"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 -</w:t>
            </w:r>
          </w:p>
        </w:tc>
        <w:tc>
          <w:tcPr>
            <w:tcW w:w="880"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 -</w:t>
            </w:r>
          </w:p>
        </w:tc>
        <w:tc>
          <w:tcPr>
            <w:tcW w:w="1230" w:type="dxa"/>
            <w:tcBorders>
              <w:top w:val="nil"/>
              <w:left w:val="single" w:sz="4" w:space="0" w:color="auto"/>
              <w:bottom w:val="nil"/>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13,295 </w:t>
            </w:r>
          </w:p>
        </w:tc>
        <w:tc>
          <w:tcPr>
            <w:tcW w:w="1267"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13,295 </w:t>
            </w:r>
          </w:p>
        </w:tc>
        <w:tc>
          <w:tcPr>
            <w:tcW w:w="1341"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 -</w:t>
            </w:r>
          </w:p>
        </w:tc>
        <w:tc>
          <w:tcPr>
            <w:tcW w:w="1343"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 -</w:t>
            </w:r>
          </w:p>
        </w:tc>
        <w:tc>
          <w:tcPr>
            <w:tcW w:w="1174"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tr w:rsidR="00735613" w:rsidTr="00735613">
        <w:trPr>
          <w:trHeight w:val="276"/>
        </w:trPr>
        <w:tc>
          <w:tcPr>
            <w:tcW w:w="3126" w:type="dxa"/>
            <w:tcBorders>
              <w:top w:val="nil"/>
              <w:left w:val="single" w:sz="4" w:space="0" w:color="auto"/>
              <w:bottom w:val="nil"/>
              <w:right w:val="single" w:sz="4" w:space="0" w:color="auto"/>
            </w:tcBorders>
            <w:shd w:val="clear" w:color="000000" w:fill="D9D9D9"/>
            <w:vAlign w:val="bottom"/>
            <w:hideMark/>
          </w:tcPr>
          <w:p w:rsidR="00735613" w:rsidRDefault="00735613">
            <w:pPr>
              <w:ind w:firstLineChars="100" w:firstLine="161"/>
              <w:rPr>
                <w:rFonts w:cs="Arial"/>
                <w:b/>
                <w:bCs/>
                <w:sz w:val="16"/>
                <w:szCs w:val="16"/>
              </w:rPr>
            </w:pPr>
            <w:r>
              <w:rPr>
                <w:rFonts w:cs="Arial"/>
                <w:b/>
                <w:bCs/>
                <w:sz w:val="16"/>
                <w:szCs w:val="16"/>
              </w:rPr>
              <w:t>Other services</w:t>
            </w:r>
          </w:p>
        </w:tc>
        <w:tc>
          <w:tcPr>
            <w:tcW w:w="1415"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158" w:type="dxa"/>
            <w:tcBorders>
              <w:top w:val="nil"/>
              <w:left w:val="nil"/>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956"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880"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30" w:type="dxa"/>
            <w:tcBorders>
              <w:top w:val="nil"/>
              <w:left w:val="single" w:sz="4" w:space="0" w:color="auto"/>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67" w:type="dxa"/>
            <w:tcBorders>
              <w:top w:val="nil"/>
              <w:left w:val="nil"/>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341" w:type="dxa"/>
            <w:tcBorders>
              <w:top w:val="nil"/>
              <w:left w:val="nil"/>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343" w:type="dxa"/>
            <w:tcBorders>
              <w:top w:val="nil"/>
              <w:left w:val="nil"/>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174" w:type="dxa"/>
            <w:tcBorders>
              <w:top w:val="nil"/>
              <w:left w:val="nil"/>
              <w:bottom w:val="nil"/>
              <w:right w:val="nil"/>
            </w:tcBorders>
            <w:shd w:val="clear" w:color="auto" w:fill="auto"/>
            <w:noWrap/>
            <w:vAlign w:val="bottom"/>
            <w:hideMark/>
          </w:tcPr>
          <w:p w:rsidR="00735613" w:rsidRDefault="00735613">
            <w:pPr>
              <w:rPr>
                <w:rFonts w:cs="Arial"/>
                <w:sz w:val="16"/>
                <w:szCs w:val="16"/>
              </w:rPr>
            </w:pPr>
          </w:p>
        </w:tc>
      </w:tr>
      <w:tr w:rsidR="00735613" w:rsidTr="00735613">
        <w:trPr>
          <w:trHeight w:val="276"/>
        </w:trPr>
        <w:tc>
          <w:tcPr>
            <w:tcW w:w="3126" w:type="dxa"/>
            <w:tcBorders>
              <w:top w:val="nil"/>
              <w:left w:val="single" w:sz="4" w:space="0" w:color="auto"/>
              <w:bottom w:val="nil"/>
              <w:right w:val="single" w:sz="4" w:space="0" w:color="auto"/>
            </w:tcBorders>
            <w:shd w:val="clear" w:color="000000" w:fill="D9D9D9"/>
            <w:noWrap/>
            <w:vAlign w:val="bottom"/>
            <w:hideMark/>
          </w:tcPr>
          <w:p w:rsidR="00735613" w:rsidRDefault="00735613">
            <w:pPr>
              <w:ind w:firstLineChars="200" w:firstLine="320"/>
              <w:rPr>
                <w:rFonts w:cs="Arial"/>
                <w:color w:val="000000"/>
                <w:sz w:val="16"/>
                <w:szCs w:val="16"/>
              </w:rPr>
            </w:pPr>
            <w:r>
              <w:rPr>
                <w:rFonts w:cs="Arial"/>
                <w:color w:val="000000"/>
                <w:sz w:val="16"/>
                <w:szCs w:val="16"/>
              </w:rPr>
              <w:t>States, ACT, NT and local government</w:t>
            </w:r>
          </w:p>
        </w:tc>
        <w:tc>
          <w:tcPr>
            <w:tcW w:w="1415"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100,431 </w:t>
            </w:r>
          </w:p>
        </w:tc>
        <w:tc>
          <w:tcPr>
            <w:tcW w:w="1158"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 -</w:t>
            </w:r>
          </w:p>
        </w:tc>
        <w:tc>
          <w:tcPr>
            <w:tcW w:w="956"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 -</w:t>
            </w:r>
          </w:p>
        </w:tc>
        <w:tc>
          <w:tcPr>
            <w:tcW w:w="880"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 -</w:t>
            </w:r>
          </w:p>
        </w:tc>
        <w:tc>
          <w:tcPr>
            <w:tcW w:w="1230" w:type="dxa"/>
            <w:tcBorders>
              <w:top w:val="nil"/>
              <w:left w:val="single" w:sz="4" w:space="0" w:color="auto"/>
              <w:bottom w:val="nil"/>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100,431 </w:t>
            </w:r>
          </w:p>
        </w:tc>
        <w:tc>
          <w:tcPr>
            <w:tcW w:w="1267"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96,677 </w:t>
            </w:r>
          </w:p>
        </w:tc>
        <w:tc>
          <w:tcPr>
            <w:tcW w:w="1341"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3,754 </w:t>
            </w:r>
          </w:p>
        </w:tc>
        <w:tc>
          <w:tcPr>
            <w:tcW w:w="1343"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810 </w:t>
            </w:r>
          </w:p>
        </w:tc>
        <w:tc>
          <w:tcPr>
            <w:tcW w:w="1174"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tr w:rsidR="00735613" w:rsidTr="00735613">
        <w:trPr>
          <w:trHeight w:val="432"/>
        </w:trPr>
        <w:tc>
          <w:tcPr>
            <w:tcW w:w="3126" w:type="dxa"/>
            <w:tcBorders>
              <w:top w:val="nil"/>
              <w:left w:val="single" w:sz="4" w:space="0" w:color="auto"/>
              <w:bottom w:val="nil"/>
              <w:right w:val="single" w:sz="4" w:space="0" w:color="auto"/>
            </w:tcBorders>
            <w:shd w:val="clear" w:color="000000" w:fill="D9D9D9"/>
            <w:vAlign w:val="bottom"/>
            <w:hideMark/>
          </w:tcPr>
          <w:p w:rsidR="00735613" w:rsidRDefault="00735613">
            <w:pPr>
              <w:ind w:firstLineChars="200" w:firstLine="320"/>
              <w:rPr>
                <w:rFonts w:cs="Arial"/>
                <w:color w:val="000000"/>
                <w:sz w:val="16"/>
                <w:szCs w:val="16"/>
              </w:rPr>
            </w:pPr>
            <w:r>
              <w:rPr>
                <w:rFonts w:cs="Arial"/>
                <w:color w:val="000000"/>
                <w:sz w:val="16"/>
                <w:szCs w:val="16"/>
              </w:rPr>
              <w:t>Payments to Corporate Commonwealth Entities</w:t>
            </w:r>
          </w:p>
        </w:tc>
        <w:tc>
          <w:tcPr>
            <w:tcW w:w="1415"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75 </w:t>
            </w:r>
          </w:p>
        </w:tc>
        <w:tc>
          <w:tcPr>
            <w:tcW w:w="1158"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 -</w:t>
            </w:r>
          </w:p>
        </w:tc>
        <w:tc>
          <w:tcPr>
            <w:tcW w:w="956"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 -</w:t>
            </w:r>
          </w:p>
        </w:tc>
        <w:tc>
          <w:tcPr>
            <w:tcW w:w="880"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 -</w:t>
            </w:r>
          </w:p>
        </w:tc>
        <w:tc>
          <w:tcPr>
            <w:tcW w:w="1230" w:type="dxa"/>
            <w:tcBorders>
              <w:top w:val="nil"/>
              <w:left w:val="single" w:sz="4" w:space="0" w:color="auto"/>
              <w:bottom w:val="nil"/>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75 </w:t>
            </w:r>
          </w:p>
        </w:tc>
        <w:tc>
          <w:tcPr>
            <w:tcW w:w="1267"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75 </w:t>
            </w:r>
          </w:p>
        </w:tc>
        <w:tc>
          <w:tcPr>
            <w:tcW w:w="1341"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 -</w:t>
            </w:r>
          </w:p>
        </w:tc>
        <w:tc>
          <w:tcPr>
            <w:tcW w:w="1343"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 -</w:t>
            </w:r>
          </w:p>
        </w:tc>
        <w:tc>
          <w:tcPr>
            <w:tcW w:w="1174"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tr w:rsidR="00735613" w:rsidTr="00735613">
        <w:trPr>
          <w:trHeight w:val="276"/>
        </w:trPr>
        <w:tc>
          <w:tcPr>
            <w:tcW w:w="3126"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735613" w:rsidRDefault="00735613">
            <w:pPr>
              <w:rPr>
                <w:rFonts w:cs="Arial"/>
                <w:b/>
                <w:bCs/>
                <w:sz w:val="16"/>
                <w:szCs w:val="16"/>
              </w:rPr>
            </w:pPr>
            <w:r>
              <w:rPr>
                <w:rFonts w:cs="Arial"/>
                <w:b/>
                <w:bCs/>
                <w:sz w:val="16"/>
                <w:szCs w:val="16"/>
              </w:rPr>
              <w:t>Total administered</w:t>
            </w:r>
          </w:p>
        </w:tc>
        <w:tc>
          <w:tcPr>
            <w:tcW w:w="1415"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1,110,002</w:t>
            </w:r>
          </w:p>
        </w:tc>
        <w:tc>
          <w:tcPr>
            <w:tcW w:w="1158" w:type="dxa"/>
            <w:tcBorders>
              <w:top w:val="single" w:sz="4" w:space="0" w:color="auto"/>
              <w:left w:val="nil"/>
              <w:bottom w:val="single" w:sz="4" w:space="0" w:color="auto"/>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w:t>
            </w:r>
          </w:p>
        </w:tc>
        <w:tc>
          <w:tcPr>
            <w:tcW w:w="9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w:t>
            </w:r>
          </w:p>
        </w:tc>
        <w:tc>
          <w:tcPr>
            <w:tcW w:w="880"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316,252</w:t>
            </w:r>
          </w:p>
        </w:tc>
        <w:tc>
          <w:tcPr>
            <w:tcW w:w="123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1,426,254</w:t>
            </w:r>
          </w:p>
        </w:tc>
        <w:tc>
          <w:tcPr>
            <w:tcW w:w="1267" w:type="dxa"/>
            <w:tcBorders>
              <w:top w:val="single" w:sz="4" w:space="0" w:color="auto"/>
              <w:left w:val="nil"/>
              <w:bottom w:val="single" w:sz="4" w:space="0" w:color="auto"/>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1,192,753</w:t>
            </w:r>
          </w:p>
        </w:tc>
        <w:tc>
          <w:tcPr>
            <w:tcW w:w="1341" w:type="dxa"/>
            <w:tcBorders>
              <w:top w:val="single" w:sz="4" w:space="0" w:color="auto"/>
              <w:left w:val="nil"/>
              <w:bottom w:val="single" w:sz="4" w:space="0" w:color="auto"/>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233,501</w:t>
            </w:r>
          </w:p>
        </w:tc>
        <w:tc>
          <w:tcPr>
            <w:tcW w:w="1343" w:type="dxa"/>
            <w:tcBorders>
              <w:top w:val="single" w:sz="4" w:space="0" w:color="auto"/>
              <w:left w:val="nil"/>
              <w:bottom w:val="single" w:sz="4" w:space="0" w:color="auto"/>
              <w:right w:val="single" w:sz="4" w:space="0" w:color="auto"/>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6,927</w:t>
            </w:r>
          </w:p>
        </w:tc>
        <w:tc>
          <w:tcPr>
            <w:tcW w:w="1174"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tbl>
    <w:p w:rsidR="00735613" w:rsidRPr="00807405" w:rsidRDefault="00735613" w:rsidP="00735613">
      <w:pPr>
        <w:pStyle w:val="AdminBlankGreyShade"/>
      </w:pPr>
      <w:bookmarkStart w:id="564" w:name="RANGE!D7:L28"/>
      <w:bookmarkStart w:id="565" w:name="RANGE!D7:M27"/>
      <w:bookmarkStart w:id="566" w:name="RANGE!D7:M28"/>
      <w:bookmarkStart w:id="567" w:name="RANGE!D7:M29"/>
      <w:bookmarkEnd w:id="564"/>
      <w:bookmarkEnd w:id="565"/>
      <w:bookmarkEnd w:id="566"/>
      <w:bookmarkEnd w:id="567"/>
      <w:r>
        <w:t>Notes</w:t>
      </w:r>
      <w:proofErr w:type="gramStart"/>
      <w:r>
        <w:t>:</w:t>
      </w:r>
      <w:proofErr w:type="gramEnd"/>
      <w:r>
        <w:br/>
      </w:r>
      <w:r w:rsidRPr="00807405">
        <w:t xml:space="preserve">1. In </w:t>
      </w:r>
      <w:r>
        <w:t>2014–15</w:t>
      </w:r>
      <w:r w:rsidRPr="00807405">
        <w:t xml:space="preserve">, </w:t>
      </w:r>
      <w:r>
        <w:t xml:space="preserve">there were $12.473 million reductions to appropriation made under a section 51 determination and a further $3.690 million quarantined. </w:t>
      </w:r>
      <w:r w:rsidRPr="00807405">
        <w:t xml:space="preserve">In </w:t>
      </w:r>
      <w:r>
        <w:t>2014–15</w:t>
      </w:r>
      <w:r w:rsidRPr="00807405">
        <w:t xml:space="preserve">, there was </w:t>
      </w:r>
      <w:r>
        <w:t>$3.690 million</w:t>
      </w:r>
      <w:r w:rsidRPr="00807405">
        <w:t xml:space="preserve"> that met the recognition criteria of a formal addition or reduction in revenue (in accordance with FRR Part 6 Div 3) but at law the appropriation has not been amended before the end of the reporting period.</w:t>
      </w:r>
    </w:p>
    <w:p w:rsidR="00735613" w:rsidRDefault="00735613" w:rsidP="00735613">
      <w:pPr>
        <w:pStyle w:val="12line"/>
        <w:rPr>
          <w:sz w:val="18"/>
          <w:szCs w:val="18"/>
          <w:lang w:eastAsia="en-AU"/>
        </w:rPr>
      </w:pPr>
      <w:r>
        <w:rPr>
          <w:sz w:val="18"/>
          <w:szCs w:val="18"/>
          <w:lang w:eastAsia="en-AU"/>
        </w:rPr>
        <w:t>2</w:t>
      </w:r>
      <w:r w:rsidRPr="00807405">
        <w:rPr>
          <w:sz w:val="18"/>
          <w:szCs w:val="18"/>
          <w:lang w:eastAsia="en-AU"/>
        </w:rPr>
        <w:t xml:space="preserve">. </w:t>
      </w:r>
      <w:r>
        <w:rPr>
          <w:sz w:val="18"/>
          <w:szCs w:val="18"/>
          <w:lang w:eastAsia="en-AU"/>
        </w:rPr>
        <w:t>Administered and departmental variances are primarily due to the movements in liability balances between 2013–14 and 2014–15, and amounts subject to quarantine and available to be reduced. Further explanations on variances can be found in Note 34: Budgetary Reports and Explanations of Major Variances.</w:t>
      </w:r>
    </w:p>
    <w:p w:rsidR="00735613" w:rsidRDefault="00735613" w:rsidP="00735613">
      <w:pPr>
        <w:pStyle w:val="12line"/>
        <w:rPr>
          <w:sz w:val="18"/>
          <w:szCs w:val="18"/>
          <w:lang w:eastAsia="en-AU"/>
        </w:rPr>
      </w:pPr>
      <w:r>
        <w:rPr>
          <w:sz w:val="18"/>
          <w:szCs w:val="18"/>
          <w:lang w:eastAsia="en-AU"/>
        </w:rPr>
        <w:t xml:space="preserve">3. The department recognised $12.473 million as reductions to appropriation under section 51 of the PGPA Act. These amounts were reduced as a result of the finalisation of the 2013–14 machinery of government changes and changes due to government measures. </w:t>
      </w:r>
    </w:p>
    <w:p w:rsidR="00735613" w:rsidRPr="00807405" w:rsidRDefault="00735613" w:rsidP="00735613">
      <w:pPr>
        <w:pStyle w:val="12line"/>
        <w:rPr>
          <w:sz w:val="18"/>
          <w:szCs w:val="18"/>
          <w:lang w:eastAsia="en-AU"/>
        </w:rPr>
      </w:pPr>
    </w:p>
    <w:p w:rsidR="00735613" w:rsidRDefault="00735613">
      <w:pPr>
        <w:spacing w:line="240" w:lineRule="auto"/>
        <w:rPr>
          <w:sz w:val="20"/>
          <w:lang w:eastAsia="en-AU"/>
        </w:rPr>
      </w:pPr>
      <w:r>
        <w:rPr>
          <w:lang w:eastAsia="en-AU"/>
        </w:rPr>
        <w:br w:type="page"/>
      </w:r>
    </w:p>
    <w:p w:rsidR="00735613" w:rsidRPr="00BD4856" w:rsidRDefault="00735613" w:rsidP="00735613">
      <w:pPr>
        <w:pStyle w:val="12line"/>
        <w:rPr>
          <w:lang w:eastAsia="en-AU"/>
        </w:rPr>
      </w:pPr>
    </w:p>
    <w:tbl>
      <w:tblPr>
        <w:tblW w:w="13991" w:type="dxa"/>
        <w:tblInd w:w="80" w:type="dxa"/>
        <w:tblLayout w:type="fixed"/>
        <w:tblLook w:val="04A0" w:firstRow="1" w:lastRow="0" w:firstColumn="1" w:lastColumn="0" w:noHBand="0" w:noVBand="1"/>
      </w:tblPr>
      <w:tblGrid>
        <w:gridCol w:w="3149"/>
        <w:gridCol w:w="1425"/>
        <w:gridCol w:w="1166"/>
        <w:gridCol w:w="963"/>
        <w:gridCol w:w="886"/>
        <w:gridCol w:w="1239"/>
        <w:gridCol w:w="1276"/>
        <w:gridCol w:w="1351"/>
        <w:gridCol w:w="1353"/>
        <w:gridCol w:w="1183"/>
      </w:tblGrid>
      <w:tr w:rsidR="00735613" w:rsidTr="00735613">
        <w:trPr>
          <w:trHeight w:val="255"/>
        </w:trPr>
        <w:tc>
          <w:tcPr>
            <w:tcW w:w="3126" w:type="dxa"/>
            <w:tcBorders>
              <w:top w:val="single" w:sz="4" w:space="0" w:color="auto"/>
              <w:left w:val="single" w:sz="4" w:space="0" w:color="auto"/>
              <w:bottom w:val="nil"/>
              <w:right w:val="single" w:sz="4" w:space="0" w:color="auto"/>
            </w:tcBorders>
            <w:shd w:val="clear" w:color="FFFFFF" w:fill="FFFFFF"/>
            <w:vAlign w:val="bottom"/>
            <w:hideMark/>
          </w:tcPr>
          <w:p w:rsidR="00735613" w:rsidRDefault="00735613">
            <w:pPr>
              <w:rPr>
                <w:rFonts w:cs="Arial"/>
                <w:b/>
                <w:bCs/>
                <w:color w:val="000000"/>
                <w:sz w:val="16"/>
                <w:szCs w:val="16"/>
              </w:rPr>
            </w:pPr>
            <w:bookmarkStart w:id="568" w:name="RANGE!D34:M53"/>
            <w:bookmarkStart w:id="569" w:name="RANGE!D34:D53"/>
            <w:bookmarkStart w:id="570" w:name="Note_DAPTABLE2" w:colFirst="0" w:colLast="0"/>
            <w:bookmarkEnd w:id="568"/>
            <w:r>
              <w:rPr>
                <w:rFonts w:cs="Arial"/>
                <w:b/>
                <w:bCs/>
                <w:color w:val="000000"/>
                <w:sz w:val="16"/>
                <w:szCs w:val="16"/>
              </w:rPr>
              <w:t> </w:t>
            </w:r>
            <w:bookmarkEnd w:id="569"/>
          </w:p>
        </w:tc>
        <w:tc>
          <w:tcPr>
            <w:tcW w:w="8247" w:type="dxa"/>
            <w:gridSpan w:val="7"/>
            <w:tcBorders>
              <w:top w:val="single" w:sz="4" w:space="0" w:color="auto"/>
              <w:left w:val="nil"/>
              <w:bottom w:val="single" w:sz="4" w:space="0" w:color="auto"/>
              <w:right w:val="single" w:sz="4" w:space="0" w:color="000000"/>
            </w:tcBorders>
            <w:shd w:val="clear" w:color="FFFFFF" w:fill="FFFFFF"/>
            <w:vAlign w:val="bottom"/>
            <w:hideMark/>
          </w:tcPr>
          <w:p w:rsidR="00735613" w:rsidRDefault="00735613">
            <w:pPr>
              <w:jc w:val="center"/>
              <w:rPr>
                <w:rFonts w:cs="Arial"/>
                <w:b/>
                <w:bCs/>
                <w:sz w:val="16"/>
                <w:szCs w:val="16"/>
              </w:rPr>
            </w:pPr>
            <w:r>
              <w:rPr>
                <w:rFonts w:cs="Arial"/>
                <w:b/>
                <w:bCs/>
                <w:sz w:val="16"/>
                <w:szCs w:val="16"/>
              </w:rPr>
              <w:t>2014 Appropriations</w:t>
            </w:r>
          </w:p>
        </w:tc>
        <w:tc>
          <w:tcPr>
            <w:tcW w:w="1343" w:type="dxa"/>
            <w:vMerge w:val="restart"/>
            <w:tcBorders>
              <w:top w:val="single" w:sz="4" w:space="0" w:color="auto"/>
              <w:left w:val="single" w:sz="4" w:space="0" w:color="auto"/>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Appropriation applied in 2014 (current and prior years)</w:t>
            </w:r>
          </w:p>
        </w:tc>
        <w:tc>
          <w:tcPr>
            <w:tcW w:w="1174" w:type="dxa"/>
            <w:vMerge w:val="restart"/>
            <w:tcBorders>
              <w:top w:val="single" w:sz="4" w:space="0" w:color="auto"/>
              <w:left w:val="single" w:sz="4" w:space="0" w:color="auto"/>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Variance</w:t>
            </w:r>
          </w:p>
        </w:tc>
      </w:tr>
      <w:bookmarkEnd w:id="570"/>
      <w:tr w:rsidR="00735613" w:rsidTr="00735613">
        <w:trPr>
          <w:trHeight w:val="255"/>
        </w:trPr>
        <w:tc>
          <w:tcPr>
            <w:tcW w:w="3126" w:type="dxa"/>
            <w:tcBorders>
              <w:top w:val="nil"/>
              <w:left w:val="single" w:sz="4" w:space="0" w:color="auto"/>
              <w:bottom w:val="nil"/>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 </w:t>
            </w:r>
          </w:p>
        </w:tc>
        <w:tc>
          <w:tcPr>
            <w:tcW w:w="3529" w:type="dxa"/>
            <w:gridSpan w:val="3"/>
            <w:tcBorders>
              <w:top w:val="single" w:sz="4" w:space="0" w:color="auto"/>
              <w:left w:val="nil"/>
              <w:bottom w:val="single" w:sz="4" w:space="0" w:color="auto"/>
              <w:right w:val="single" w:sz="4" w:space="0" w:color="000000"/>
            </w:tcBorders>
            <w:shd w:val="clear" w:color="FFFFFF" w:fill="FFFFFF"/>
            <w:vAlign w:val="bottom"/>
            <w:hideMark/>
          </w:tcPr>
          <w:p w:rsidR="00735613" w:rsidRDefault="00735613">
            <w:pPr>
              <w:jc w:val="center"/>
              <w:rPr>
                <w:rFonts w:cs="Arial"/>
                <w:b/>
                <w:bCs/>
                <w:i/>
                <w:iCs/>
                <w:color w:val="000000"/>
                <w:sz w:val="16"/>
                <w:szCs w:val="16"/>
              </w:rPr>
            </w:pPr>
            <w:r>
              <w:rPr>
                <w:rFonts w:cs="Arial"/>
                <w:b/>
                <w:bCs/>
                <w:i/>
                <w:iCs/>
                <w:color w:val="000000"/>
                <w:sz w:val="16"/>
                <w:szCs w:val="16"/>
              </w:rPr>
              <w:t>Appropriation Act</w:t>
            </w:r>
          </w:p>
        </w:tc>
        <w:tc>
          <w:tcPr>
            <w:tcW w:w="3377" w:type="dxa"/>
            <w:gridSpan w:val="3"/>
            <w:tcBorders>
              <w:top w:val="single" w:sz="4" w:space="0" w:color="auto"/>
              <w:left w:val="nil"/>
              <w:bottom w:val="single" w:sz="4" w:space="0" w:color="auto"/>
              <w:right w:val="single" w:sz="4" w:space="0" w:color="000000"/>
            </w:tcBorders>
            <w:shd w:val="clear" w:color="FFFFFF" w:fill="FFFFFF"/>
            <w:vAlign w:val="bottom"/>
            <w:hideMark/>
          </w:tcPr>
          <w:p w:rsidR="00735613" w:rsidRDefault="00735613">
            <w:pPr>
              <w:jc w:val="center"/>
              <w:rPr>
                <w:rFonts w:cs="Arial"/>
                <w:b/>
                <w:bCs/>
                <w:i/>
                <w:iCs/>
                <w:color w:val="000000"/>
                <w:sz w:val="16"/>
                <w:szCs w:val="16"/>
              </w:rPr>
            </w:pPr>
            <w:r>
              <w:rPr>
                <w:rFonts w:cs="Arial"/>
                <w:b/>
                <w:bCs/>
                <w:i/>
                <w:iCs/>
                <w:color w:val="000000"/>
                <w:sz w:val="16"/>
                <w:szCs w:val="16"/>
              </w:rPr>
              <w:t>FMA Act</w:t>
            </w:r>
          </w:p>
        </w:tc>
        <w:tc>
          <w:tcPr>
            <w:tcW w:w="1341" w:type="dxa"/>
            <w:vMerge w:val="restart"/>
            <w:tcBorders>
              <w:top w:val="nil"/>
              <w:left w:val="single" w:sz="4" w:space="0" w:color="auto"/>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Total appropriation</w:t>
            </w:r>
          </w:p>
        </w:tc>
        <w:tc>
          <w:tcPr>
            <w:tcW w:w="1343" w:type="dxa"/>
            <w:vMerge/>
            <w:tcBorders>
              <w:top w:val="single" w:sz="4" w:space="0" w:color="auto"/>
              <w:left w:val="single" w:sz="4" w:space="0" w:color="auto"/>
              <w:bottom w:val="nil"/>
              <w:right w:val="single" w:sz="4" w:space="0" w:color="auto"/>
            </w:tcBorders>
            <w:vAlign w:val="center"/>
            <w:hideMark/>
          </w:tcPr>
          <w:p w:rsidR="00735613" w:rsidRDefault="00735613">
            <w:pPr>
              <w:rPr>
                <w:rFonts w:cs="Arial"/>
                <w:b/>
                <w:bCs/>
                <w:sz w:val="16"/>
                <w:szCs w:val="16"/>
              </w:rPr>
            </w:pPr>
          </w:p>
        </w:tc>
        <w:tc>
          <w:tcPr>
            <w:tcW w:w="1174" w:type="dxa"/>
            <w:vMerge/>
            <w:tcBorders>
              <w:top w:val="single" w:sz="4" w:space="0" w:color="auto"/>
              <w:left w:val="single" w:sz="4" w:space="0" w:color="auto"/>
              <w:bottom w:val="nil"/>
              <w:right w:val="single" w:sz="4" w:space="0" w:color="auto"/>
            </w:tcBorders>
            <w:vAlign w:val="center"/>
            <w:hideMark/>
          </w:tcPr>
          <w:p w:rsidR="00735613" w:rsidRDefault="00735613">
            <w:pPr>
              <w:rPr>
                <w:rFonts w:cs="Arial"/>
                <w:b/>
                <w:bCs/>
                <w:sz w:val="16"/>
                <w:szCs w:val="16"/>
              </w:rPr>
            </w:pPr>
          </w:p>
        </w:tc>
      </w:tr>
      <w:tr w:rsidR="00735613" w:rsidTr="00735613">
        <w:trPr>
          <w:trHeight w:val="615"/>
        </w:trPr>
        <w:tc>
          <w:tcPr>
            <w:tcW w:w="3126" w:type="dxa"/>
            <w:tcBorders>
              <w:top w:val="nil"/>
              <w:left w:val="single" w:sz="4" w:space="0" w:color="auto"/>
              <w:bottom w:val="nil"/>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 </w:t>
            </w:r>
          </w:p>
        </w:tc>
        <w:tc>
          <w:tcPr>
            <w:tcW w:w="1415" w:type="dxa"/>
            <w:tcBorders>
              <w:top w:val="nil"/>
              <w:left w:val="nil"/>
              <w:bottom w:val="nil"/>
              <w:right w:val="nil"/>
            </w:tcBorders>
            <w:shd w:val="clear" w:color="FFFFFF" w:fill="FFFFFF"/>
            <w:vAlign w:val="bottom"/>
            <w:hideMark/>
          </w:tcPr>
          <w:p w:rsidR="00735613" w:rsidRDefault="00735613">
            <w:pPr>
              <w:jc w:val="right"/>
              <w:rPr>
                <w:rFonts w:cs="Arial"/>
                <w:b/>
                <w:bCs/>
                <w:sz w:val="16"/>
                <w:szCs w:val="16"/>
              </w:rPr>
            </w:pPr>
            <w:r>
              <w:rPr>
                <w:rFonts w:cs="Arial"/>
                <w:b/>
                <w:bCs/>
                <w:sz w:val="16"/>
                <w:szCs w:val="16"/>
              </w:rPr>
              <w:t>Annual Appropriation</w:t>
            </w:r>
          </w:p>
        </w:tc>
        <w:tc>
          <w:tcPr>
            <w:tcW w:w="1158" w:type="dxa"/>
            <w:tcBorders>
              <w:top w:val="nil"/>
              <w:left w:val="nil"/>
              <w:bottom w:val="nil"/>
              <w:right w:val="nil"/>
            </w:tcBorders>
            <w:shd w:val="clear" w:color="FFFFFF" w:fill="FFFFFF"/>
            <w:vAlign w:val="bottom"/>
            <w:hideMark/>
          </w:tcPr>
          <w:p w:rsidR="00735613" w:rsidRDefault="00735613">
            <w:pPr>
              <w:jc w:val="right"/>
              <w:rPr>
                <w:rFonts w:cs="Arial"/>
                <w:b/>
                <w:bCs/>
                <w:sz w:val="16"/>
                <w:szCs w:val="16"/>
              </w:rPr>
            </w:pPr>
            <w:r>
              <w:rPr>
                <w:rFonts w:cs="Arial"/>
                <w:b/>
                <w:bCs/>
                <w:sz w:val="16"/>
                <w:szCs w:val="16"/>
              </w:rPr>
              <w:t>Appropriation reduced</w:t>
            </w:r>
            <w:r>
              <w:rPr>
                <w:rFonts w:cs="Arial"/>
                <w:b/>
                <w:bCs/>
                <w:sz w:val="16"/>
                <w:szCs w:val="16"/>
                <w:vertAlign w:val="superscript"/>
              </w:rPr>
              <w:t xml:space="preserve"> 1</w:t>
            </w:r>
          </w:p>
        </w:tc>
        <w:tc>
          <w:tcPr>
            <w:tcW w:w="956" w:type="dxa"/>
            <w:tcBorders>
              <w:top w:val="nil"/>
              <w:left w:val="nil"/>
              <w:bottom w:val="nil"/>
              <w:right w:val="nil"/>
            </w:tcBorders>
            <w:shd w:val="clear" w:color="FFFFFF" w:fill="FFFFFF"/>
            <w:vAlign w:val="bottom"/>
            <w:hideMark/>
          </w:tcPr>
          <w:p w:rsidR="00735613" w:rsidRDefault="00735613">
            <w:pPr>
              <w:jc w:val="right"/>
              <w:rPr>
                <w:rFonts w:cs="Arial"/>
                <w:b/>
                <w:bCs/>
                <w:sz w:val="16"/>
                <w:szCs w:val="16"/>
              </w:rPr>
            </w:pPr>
            <w:r>
              <w:rPr>
                <w:rFonts w:cs="Arial"/>
                <w:b/>
                <w:bCs/>
                <w:sz w:val="16"/>
                <w:szCs w:val="16"/>
              </w:rPr>
              <w:t>AFM</w:t>
            </w:r>
            <w:r>
              <w:rPr>
                <w:rFonts w:ascii="Arial" w:hAnsi="Arial" w:cs="Arial"/>
                <w:b/>
                <w:bCs/>
                <w:sz w:val="16"/>
                <w:szCs w:val="16"/>
                <w:vertAlign w:val="superscript"/>
              </w:rPr>
              <w:t>2</w:t>
            </w:r>
          </w:p>
        </w:tc>
        <w:tc>
          <w:tcPr>
            <w:tcW w:w="880" w:type="dxa"/>
            <w:tcBorders>
              <w:top w:val="nil"/>
              <w:left w:val="single" w:sz="4" w:space="0" w:color="auto"/>
              <w:bottom w:val="nil"/>
              <w:right w:val="nil"/>
            </w:tcBorders>
            <w:shd w:val="clear" w:color="FFFFFF" w:fill="FFFFFF"/>
            <w:vAlign w:val="bottom"/>
            <w:hideMark/>
          </w:tcPr>
          <w:p w:rsidR="00735613" w:rsidRDefault="00735613">
            <w:pPr>
              <w:jc w:val="right"/>
              <w:rPr>
                <w:rFonts w:cs="Arial"/>
                <w:b/>
                <w:bCs/>
                <w:sz w:val="16"/>
                <w:szCs w:val="16"/>
              </w:rPr>
            </w:pPr>
            <w:r>
              <w:rPr>
                <w:rFonts w:cs="Arial"/>
                <w:b/>
                <w:bCs/>
                <w:sz w:val="16"/>
                <w:szCs w:val="16"/>
              </w:rPr>
              <w:t>Section 30</w:t>
            </w:r>
          </w:p>
        </w:tc>
        <w:tc>
          <w:tcPr>
            <w:tcW w:w="1230" w:type="dxa"/>
            <w:tcBorders>
              <w:top w:val="nil"/>
              <w:left w:val="nil"/>
              <w:bottom w:val="nil"/>
              <w:right w:val="nil"/>
            </w:tcBorders>
            <w:shd w:val="clear" w:color="FFFFFF" w:fill="FFFFFF"/>
            <w:vAlign w:val="bottom"/>
            <w:hideMark/>
          </w:tcPr>
          <w:p w:rsidR="00735613" w:rsidRDefault="00735613">
            <w:pPr>
              <w:jc w:val="right"/>
              <w:rPr>
                <w:rFonts w:cs="Arial"/>
                <w:b/>
                <w:bCs/>
                <w:sz w:val="16"/>
                <w:szCs w:val="16"/>
              </w:rPr>
            </w:pPr>
            <w:r>
              <w:rPr>
                <w:rFonts w:cs="Arial"/>
                <w:b/>
                <w:bCs/>
                <w:sz w:val="16"/>
                <w:szCs w:val="16"/>
              </w:rPr>
              <w:t>Section 31</w:t>
            </w:r>
          </w:p>
        </w:tc>
        <w:tc>
          <w:tcPr>
            <w:tcW w:w="1267" w:type="dxa"/>
            <w:tcBorders>
              <w:top w:val="nil"/>
              <w:left w:val="nil"/>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Section 32</w:t>
            </w:r>
          </w:p>
        </w:tc>
        <w:tc>
          <w:tcPr>
            <w:tcW w:w="1341" w:type="dxa"/>
            <w:vMerge/>
            <w:tcBorders>
              <w:top w:val="nil"/>
              <w:left w:val="single" w:sz="4" w:space="0" w:color="auto"/>
              <w:bottom w:val="nil"/>
              <w:right w:val="single" w:sz="4" w:space="0" w:color="auto"/>
            </w:tcBorders>
            <w:vAlign w:val="center"/>
            <w:hideMark/>
          </w:tcPr>
          <w:p w:rsidR="00735613" w:rsidRDefault="00735613">
            <w:pPr>
              <w:rPr>
                <w:rFonts w:cs="Arial"/>
                <w:b/>
                <w:bCs/>
                <w:sz w:val="16"/>
                <w:szCs w:val="16"/>
              </w:rPr>
            </w:pPr>
          </w:p>
        </w:tc>
        <w:tc>
          <w:tcPr>
            <w:tcW w:w="1343" w:type="dxa"/>
            <w:vMerge/>
            <w:tcBorders>
              <w:top w:val="single" w:sz="4" w:space="0" w:color="auto"/>
              <w:left w:val="single" w:sz="4" w:space="0" w:color="auto"/>
              <w:bottom w:val="nil"/>
              <w:right w:val="single" w:sz="4" w:space="0" w:color="auto"/>
            </w:tcBorders>
            <w:vAlign w:val="center"/>
            <w:hideMark/>
          </w:tcPr>
          <w:p w:rsidR="00735613" w:rsidRDefault="00735613">
            <w:pPr>
              <w:rPr>
                <w:rFonts w:cs="Arial"/>
                <w:b/>
                <w:bCs/>
                <w:sz w:val="16"/>
                <w:szCs w:val="16"/>
              </w:rPr>
            </w:pPr>
          </w:p>
        </w:tc>
        <w:tc>
          <w:tcPr>
            <w:tcW w:w="1174" w:type="dxa"/>
            <w:vMerge/>
            <w:tcBorders>
              <w:top w:val="single" w:sz="4" w:space="0" w:color="auto"/>
              <w:left w:val="single" w:sz="4" w:space="0" w:color="auto"/>
              <w:bottom w:val="nil"/>
              <w:right w:val="single" w:sz="4" w:space="0" w:color="auto"/>
            </w:tcBorders>
            <w:vAlign w:val="center"/>
            <w:hideMark/>
          </w:tcPr>
          <w:p w:rsidR="00735613" w:rsidRDefault="00735613">
            <w:pPr>
              <w:rPr>
                <w:rFonts w:cs="Arial"/>
                <w:b/>
                <w:bCs/>
                <w:sz w:val="16"/>
                <w:szCs w:val="16"/>
              </w:rPr>
            </w:pPr>
          </w:p>
        </w:tc>
      </w:tr>
      <w:tr w:rsidR="00735613" w:rsidTr="00735613">
        <w:trPr>
          <w:trHeight w:val="276"/>
        </w:trPr>
        <w:tc>
          <w:tcPr>
            <w:tcW w:w="3126" w:type="dxa"/>
            <w:tcBorders>
              <w:top w:val="nil"/>
              <w:left w:val="single" w:sz="4" w:space="0" w:color="auto"/>
              <w:bottom w:val="single" w:sz="4" w:space="0" w:color="auto"/>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 </w:t>
            </w:r>
          </w:p>
        </w:tc>
        <w:tc>
          <w:tcPr>
            <w:tcW w:w="1415"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158"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 w:val="16"/>
                <w:szCs w:val="16"/>
              </w:rPr>
            </w:pPr>
            <w:r>
              <w:rPr>
                <w:rFonts w:cs="Arial"/>
                <w:b/>
                <w:bCs/>
                <w:sz w:val="16"/>
                <w:szCs w:val="16"/>
              </w:rPr>
              <w:t> </w:t>
            </w:r>
          </w:p>
        </w:tc>
        <w:tc>
          <w:tcPr>
            <w:tcW w:w="95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880"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230"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267"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341"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343"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174"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r>
      <w:tr w:rsidR="00735613" w:rsidTr="00735613">
        <w:trPr>
          <w:trHeight w:val="276"/>
        </w:trPr>
        <w:tc>
          <w:tcPr>
            <w:tcW w:w="3126" w:type="dxa"/>
            <w:tcBorders>
              <w:top w:val="nil"/>
              <w:left w:val="single" w:sz="4" w:space="0" w:color="auto"/>
              <w:bottom w:val="nil"/>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DEPARTMENTAL</w:t>
            </w:r>
          </w:p>
        </w:tc>
        <w:tc>
          <w:tcPr>
            <w:tcW w:w="1415" w:type="dxa"/>
            <w:tcBorders>
              <w:top w:val="nil"/>
              <w:left w:val="nil"/>
              <w:bottom w:val="nil"/>
              <w:right w:val="nil"/>
            </w:tcBorders>
            <w:shd w:val="clear" w:color="FFFFFF" w:fill="FFFFFF"/>
            <w:vAlign w:val="bottom"/>
            <w:hideMark/>
          </w:tcPr>
          <w:p w:rsidR="00735613" w:rsidRDefault="00735613">
            <w:pPr>
              <w:rPr>
                <w:rFonts w:cs="Arial"/>
                <w:sz w:val="16"/>
                <w:szCs w:val="16"/>
              </w:rPr>
            </w:pPr>
            <w:r>
              <w:rPr>
                <w:rFonts w:cs="Arial"/>
                <w:sz w:val="16"/>
                <w:szCs w:val="16"/>
              </w:rPr>
              <w:t> </w:t>
            </w:r>
          </w:p>
        </w:tc>
        <w:tc>
          <w:tcPr>
            <w:tcW w:w="1158" w:type="dxa"/>
            <w:tcBorders>
              <w:top w:val="nil"/>
              <w:left w:val="nil"/>
              <w:bottom w:val="nil"/>
              <w:right w:val="nil"/>
            </w:tcBorders>
            <w:shd w:val="clear" w:color="FFFFFF" w:fill="FFFFFF"/>
            <w:vAlign w:val="bottom"/>
            <w:hideMark/>
          </w:tcPr>
          <w:p w:rsidR="00735613" w:rsidRDefault="00735613">
            <w:pPr>
              <w:rPr>
                <w:rFonts w:cs="Arial"/>
                <w:sz w:val="16"/>
                <w:szCs w:val="16"/>
              </w:rPr>
            </w:pPr>
            <w:r>
              <w:rPr>
                <w:rFonts w:cs="Arial"/>
                <w:sz w:val="16"/>
                <w:szCs w:val="16"/>
              </w:rPr>
              <w:t> </w:t>
            </w:r>
          </w:p>
        </w:tc>
        <w:tc>
          <w:tcPr>
            <w:tcW w:w="956"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880" w:type="dxa"/>
            <w:tcBorders>
              <w:top w:val="nil"/>
              <w:left w:val="nil"/>
              <w:bottom w:val="nil"/>
              <w:right w:val="nil"/>
            </w:tcBorders>
            <w:shd w:val="clear" w:color="FFFFFF" w:fill="FFFFFF"/>
            <w:vAlign w:val="bottom"/>
            <w:hideMark/>
          </w:tcPr>
          <w:p w:rsidR="00735613" w:rsidRDefault="00735613">
            <w:pPr>
              <w:rPr>
                <w:rFonts w:cs="Arial"/>
                <w:sz w:val="16"/>
                <w:szCs w:val="16"/>
              </w:rPr>
            </w:pPr>
            <w:r>
              <w:rPr>
                <w:rFonts w:cs="Arial"/>
                <w:sz w:val="16"/>
                <w:szCs w:val="16"/>
              </w:rPr>
              <w:t> </w:t>
            </w:r>
          </w:p>
        </w:tc>
        <w:tc>
          <w:tcPr>
            <w:tcW w:w="1230" w:type="dxa"/>
            <w:tcBorders>
              <w:top w:val="nil"/>
              <w:left w:val="nil"/>
              <w:bottom w:val="nil"/>
              <w:right w:val="nil"/>
            </w:tcBorders>
            <w:shd w:val="clear" w:color="FFFFFF" w:fill="FFFFFF"/>
            <w:vAlign w:val="bottom"/>
            <w:hideMark/>
          </w:tcPr>
          <w:p w:rsidR="00735613" w:rsidRDefault="00735613">
            <w:pPr>
              <w:rPr>
                <w:rFonts w:cs="Arial"/>
                <w:sz w:val="16"/>
                <w:szCs w:val="16"/>
              </w:rPr>
            </w:pPr>
            <w:r>
              <w:rPr>
                <w:rFonts w:cs="Arial"/>
                <w:sz w:val="16"/>
                <w:szCs w:val="16"/>
              </w:rPr>
              <w:t> </w:t>
            </w:r>
          </w:p>
        </w:tc>
        <w:tc>
          <w:tcPr>
            <w:tcW w:w="1267"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1341" w:type="dxa"/>
            <w:tcBorders>
              <w:top w:val="nil"/>
              <w:left w:val="nil"/>
              <w:bottom w:val="nil"/>
              <w:right w:val="nil"/>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 </w:t>
            </w:r>
          </w:p>
        </w:tc>
        <w:tc>
          <w:tcPr>
            <w:tcW w:w="1343" w:type="dxa"/>
            <w:tcBorders>
              <w:top w:val="nil"/>
              <w:left w:val="single" w:sz="4" w:space="0" w:color="auto"/>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1174" w:type="dxa"/>
            <w:tcBorders>
              <w:top w:val="nil"/>
              <w:left w:val="nil"/>
              <w:bottom w:val="nil"/>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 </w:t>
            </w:r>
          </w:p>
        </w:tc>
      </w:tr>
      <w:tr w:rsidR="00735613" w:rsidTr="00735613">
        <w:trPr>
          <w:trHeight w:val="276"/>
        </w:trPr>
        <w:tc>
          <w:tcPr>
            <w:tcW w:w="3126" w:type="dxa"/>
            <w:tcBorders>
              <w:top w:val="nil"/>
              <w:left w:val="single" w:sz="4" w:space="0" w:color="auto"/>
              <w:bottom w:val="nil"/>
              <w:right w:val="single" w:sz="4" w:space="0" w:color="auto"/>
            </w:tcBorders>
            <w:shd w:val="clear" w:color="FFFFFF" w:fill="FFFFFF"/>
            <w:vAlign w:val="bottom"/>
            <w:hideMark/>
          </w:tcPr>
          <w:p w:rsidR="00735613" w:rsidRDefault="00735613">
            <w:pPr>
              <w:ind w:firstLineChars="100" w:firstLine="161"/>
              <w:rPr>
                <w:rFonts w:cs="Arial"/>
                <w:b/>
                <w:bCs/>
                <w:color w:val="000000"/>
                <w:sz w:val="16"/>
                <w:szCs w:val="16"/>
              </w:rPr>
            </w:pPr>
            <w:r>
              <w:rPr>
                <w:rFonts w:cs="Arial"/>
                <w:b/>
                <w:bCs/>
                <w:color w:val="000000"/>
                <w:sz w:val="16"/>
                <w:szCs w:val="16"/>
              </w:rPr>
              <w:t>Ordinary annual services</w:t>
            </w:r>
          </w:p>
        </w:tc>
        <w:tc>
          <w:tcPr>
            <w:tcW w:w="1415" w:type="dxa"/>
            <w:tcBorders>
              <w:top w:val="nil"/>
              <w:left w:val="nil"/>
              <w:bottom w:val="nil"/>
              <w:right w:val="nil"/>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 -</w:t>
            </w:r>
          </w:p>
        </w:tc>
        <w:tc>
          <w:tcPr>
            <w:tcW w:w="1158" w:type="dxa"/>
            <w:tcBorders>
              <w:top w:val="nil"/>
              <w:left w:val="nil"/>
              <w:bottom w:val="nil"/>
              <w:right w:val="nil"/>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 -</w:t>
            </w:r>
          </w:p>
        </w:tc>
        <w:tc>
          <w:tcPr>
            <w:tcW w:w="956"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 -</w:t>
            </w:r>
          </w:p>
        </w:tc>
        <w:tc>
          <w:tcPr>
            <w:tcW w:w="880" w:type="dxa"/>
            <w:tcBorders>
              <w:top w:val="nil"/>
              <w:left w:val="nil"/>
              <w:bottom w:val="nil"/>
              <w:right w:val="nil"/>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 -</w:t>
            </w:r>
          </w:p>
        </w:tc>
        <w:tc>
          <w:tcPr>
            <w:tcW w:w="1230" w:type="dxa"/>
            <w:tcBorders>
              <w:top w:val="nil"/>
              <w:left w:val="nil"/>
              <w:bottom w:val="nil"/>
              <w:right w:val="nil"/>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13,108 </w:t>
            </w:r>
          </w:p>
        </w:tc>
        <w:tc>
          <w:tcPr>
            <w:tcW w:w="1267"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227,527 </w:t>
            </w:r>
          </w:p>
        </w:tc>
        <w:tc>
          <w:tcPr>
            <w:tcW w:w="1341"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240,635 </w:t>
            </w:r>
          </w:p>
        </w:tc>
        <w:tc>
          <w:tcPr>
            <w:tcW w:w="1343"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220,402 </w:t>
            </w:r>
          </w:p>
        </w:tc>
        <w:tc>
          <w:tcPr>
            <w:tcW w:w="1174"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20,233 </w:t>
            </w:r>
          </w:p>
        </w:tc>
      </w:tr>
      <w:tr w:rsidR="00735613" w:rsidTr="00735613">
        <w:trPr>
          <w:trHeight w:val="276"/>
        </w:trPr>
        <w:tc>
          <w:tcPr>
            <w:tcW w:w="3126" w:type="dxa"/>
            <w:tcBorders>
              <w:top w:val="nil"/>
              <w:left w:val="single" w:sz="4" w:space="0" w:color="auto"/>
              <w:bottom w:val="nil"/>
              <w:right w:val="single" w:sz="4" w:space="0" w:color="auto"/>
            </w:tcBorders>
            <w:shd w:val="clear" w:color="FFFFFF" w:fill="FFFFFF"/>
            <w:vAlign w:val="bottom"/>
            <w:hideMark/>
          </w:tcPr>
          <w:p w:rsidR="00735613" w:rsidRDefault="00735613">
            <w:pPr>
              <w:ind w:firstLineChars="100" w:firstLine="161"/>
              <w:rPr>
                <w:rFonts w:cs="Arial"/>
                <w:b/>
                <w:bCs/>
                <w:color w:val="000000"/>
                <w:sz w:val="16"/>
                <w:szCs w:val="16"/>
              </w:rPr>
            </w:pPr>
            <w:r>
              <w:rPr>
                <w:rFonts w:cs="Arial"/>
                <w:b/>
                <w:bCs/>
                <w:color w:val="000000"/>
                <w:sz w:val="16"/>
                <w:szCs w:val="16"/>
              </w:rPr>
              <w:t>Other services</w:t>
            </w:r>
          </w:p>
        </w:tc>
        <w:tc>
          <w:tcPr>
            <w:tcW w:w="1415" w:type="dxa"/>
            <w:tcBorders>
              <w:top w:val="nil"/>
              <w:left w:val="nil"/>
              <w:bottom w:val="nil"/>
              <w:right w:val="nil"/>
            </w:tcBorders>
            <w:shd w:val="clear" w:color="FFFFFF" w:fill="FFFFFF"/>
            <w:vAlign w:val="bottom"/>
            <w:hideMark/>
          </w:tcPr>
          <w:p w:rsidR="00735613" w:rsidRDefault="00735613">
            <w:pPr>
              <w:rPr>
                <w:rFonts w:cs="Arial"/>
                <w:sz w:val="16"/>
                <w:szCs w:val="16"/>
              </w:rPr>
            </w:pPr>
            <w:r>
              <w:rPr>
                <w:rFonts w:cs="Arial"/>
                <w:sz w:val="16"/>
                <w:szCs w:val="16"/>
              </w:rPr>
              <w:t> </w:t>
            </w:r>
          </w:p>
        </w:tc>
        <w:tc>
          <w:tcPr>
            <w:tcW w:w="1158" w:type="dxa"/>
            <w:tcBorders>
              <w:top w:val="nil"/>
              <w:left w:val="nil"/>
              <w:bottom w:val="nil"/>
              <w:right w:val="nil"/>
            </w:tcBorders>
            <w:shd w:val="clear" w:color="FFFFFF" w:fill="FFFFFF"/>
            <w:vAlign w:val="bottom"/>
            <w:hideMark/>
          </w:tcPr>
          <w:p w:rsidR="00735613" w:rsidRDefault="00735613">
            <w:pPr>
              <w:rPr>
                <w:rFonts w:cs="Arial"/>
                <w:sz w:val="16"/>
                <w:szCs w:val="16"/>
              </w:rPr>
            </w:pPr>
            <w:r>
              <w:rPr>
                <w:rFonts w:cs="Arial"/>
                <w:sz w:val="16"/>
                <w:szCs w:val="16"/>
              </w:rPr>
              <w:t> </w:t>
            </w:r>
          </w:p>
        </w:tc>
        <w:tc>
          <w:tcPr>
            <w:tcW w:w="956"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880" w:type="dxa"/>
            <w:tcBorders>
              <w:top w:val="nil"/>
              <w:left w:val="nil"/>
              <w:bottom w:val="nil"/>
              <w:right w:val="nil"/>
            </w:tcBorders>
            <w:shd w:val="clear" w:color="FFFFFF" w:fill="FFFFFF"/>
            <w:vAlign w:val="bottom"/>
            <w:hideMark/>
          </w:tcPr>
          <w:p w:rsidR="00735613" w:rsidRDefault="00735613">
            <w:pPr>
              <w:rPr>
                <w:rFonts w:cs="Arial"/>
                <w:sz w:val="16"/>
                <w:szCs w:val="16"/>
              </w:rPr>
            </w:pPr>
            <w:r>
              <w:rPr>
                <w:rFonts w:cs="Arial"/>
                <w:sz w:val="16"/>
                <w:szCs w:val="16"/>
              </w:rPr>
              <w:t> </w:t>
            </w:r>
          </w:p>
        </w:tc>
        <w:tc>
          <w:tcPr>
            <w:tcW w:w="1230" w:type="dxa"/>
            <w:tcBorders>
              <w:top w:val="nil"/>
              <w:left w:val="nil"/>
              <w:bottom w:val="nil"/>
              <w:right w:val="nil"/>
            </w:tcBorders>
            <w:shd w:val="clear" w:color="FFFFFF" w:fill="FFFFFF"/>
            <w:vAlign w:val="bottom"/>
            <w:hideMark/>
          </w:tcPr>
          <w:p w:rsidR="00735613" w:rsidRDefault="00735613">
            <w:pPr>
              <w:rPr>
                <w:rFonts w:cs="Arial"/>
                <w:sz w:val="16"/>
                <w:szCs w:val="16"/>
              </w:rPr>
            </w:pPr>
            <w:r>
              <w:rPr>
                <w:rFonts w:cs="Arial"/>
                <w:sz w:val="16"/>
                <w:szCs w:val="16"/>
              </w:rPr>
              <w:t> </w:t>
            </w:r>
          </w:p>
        </w:tc>
        <w:tc>
          <w:tcPr>
            <w:tcW w:w="1267"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1341"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1343"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1174"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r>
      <w:tr w:rsidR="00735613" w:rsidTr="00735613">
        <w:trPr>
          <w:trHeight w:val="276"/>
        </w:trPr>
        <w:tc>
          <w:tcPr>
            <w:tcW w:w="3126" w:type="dxa"/>
            <w:tcBorders>
              <w:top w:val="nil"/>
              <w:left w:val="single" w:sz="4" w:space="0" w:color="auto"/>
              <w:bottom w:val="nil"/>
              <w:right w:val="single" w:sz="4" w:space="0" w:color="auto"/>
            </w:tcBorders>
            <w:shd w:val="clear" w:color="FFFFFF" w:fill="FFFFFF"/>
            <w:vAlign w:val="bottom"/>
            <w:hideMark/>
          </w:tcPr>
          <w:p w:rsidR="00735613" w:rsidRDefault="00735613">
            <w:pPr>
              <w:ind w:firstLineChars="200" w:firstLine="320"/>
              <w:rPr>
                <w:rFonts w:cs="Arial"/>
                <w:color w:val="000000"/>
                <w:sz w:val="16"/>
                <w:szCs w:val="16"/>
              </w:rPr>
            </w:pPr>
            <w:r>
              <w:rPr>
                <w:rFonts w:cs="Arial"/>
                <w:color w:val="000000"/>
                <w:sz w:val="16"/>
                <w:szCs w:val="16"/>
              </w:rPr>
              <w:t>Equity</w:t>
            </w:r>
          </w:p>
        </w:tc>
        <w:tc>
          <w:tcPr>
            <w:tcW w:w="1415" w:type="dxa"/>
            <w:tcBorders>
              <w:top w:val="nil"/>
              <w:left w:val="nil"/>
              <w:bottom w:val="nil"/>
              <w:right w:val="nil"/>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13,636 </w:t>
            </w:r>
          </w:p>
        </w:tc>
        <w:tc>
          <w:tcPr>
            <w:tcW w:w="1158" w:type="dxa"/>
            <w:tcBorders>
              <w:top w:val="nil"/>
              <w:left w:val="nil"/>
              <w:bottom w:val="nil"/>
              <w:right w:val="nil"/>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 -</w:t>
            </w:r>
          </w:p>
        </w:tc>
        <w:tc>
          <w:tcPr>
            <w:tcW w:w="956"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 -</w:t>
            </w:r>
          </w:p>
        </w:tc>
        <w:tc>
          <w:tcPr>
            <w:tcW w:w="880" w:type="dxa"/>
            <w:tcBorders>
              <w:top w:val="nil"/>
              <w:left w:val="nil"/>
              <w:bottom w:val="nil"/>
              <w:right w:val="nil"/>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 -</w:t>
            </w:r>
          </w:p>
        </w:tc>
        <w:tc>
          <w:tcPr>
            <w:tcW w:w="1230" w:type="dxa"/>
            <w:tcBorders>
              <w:top w:val="nil"/>
              <w:left w:val="nil"/>
              <w:bottom w:val="nil"/>
              <w:right w:val="nil"/>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 -</w:t>
            </w:r>
          </w:p>
        </w:tc>
        <w:tc>
          <w:tcPr>
            <w:tcW w:w="1267"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1,475 </w:t>
            </w:r>
          </w:p>
        </w:tc>
        <w:tc>
          <w:tcPr>
            <w:tcW w:w="1341"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15,111 </w:t>
            </w:r>
          </w:p>
        </w:tc>
        <w:tc>
          <w:tcPr>
            <w:tcW w:w="1343"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8,861 </w:t>
            </w:r>
          </w:p>
        </w:tc>
        <w:tc>
          <w:tcPr>
            <w:tcW w:w="1174"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6,250 </w:t>
            </w:r>
          </w:p>
        </w:tc>
      </w:tr>
      <w:tr w:rsidR="00735613" w:rsidTr="00735613">
        <w:trPr>
          <w:trHeight w:val="276"/>
        </w:trPr>
        <w:tc>
          <w:tcPr>
            <w:tcW w:w="3126" w:type="dxa"/>
            <w:tcBorders>
              <w:top w:val="single" w:sz="4" w:space="0" w:color="auto"/>
              <w:left w:val="single" w:sz="4" w:space="0" w:color="auto"/>
              <w:bottom w:val="single" w:sz="4" w:space="0" w:color="auto"/>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Total departmental</w:t>
            </w:r>
          </w:p>
        </w:tc>
        <w:tc>
          <w:tcPr>
            <w:tcW w:w="1415"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 w:val="16"/>
                <w:szCs w:val="16"/>
              </w:rPr>
            </w:pPr>
            <w:r>
              <w:rPr>
                <w:rFonts w:cs="Arial"/>
                <w:sz w:val="16"/>
                <w:szCs w:val="16"/>
              </w:rPr>
              <w:t>13,636</w:t>
            </w:r>
          </w:p>
        </w:tc>
        <w:tc>
          <w:tcPr>
            <w:tcW w:w="1158"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 w:val="16"/>
                <w:szCs w:val="16"/>
              </w:rPr>
            </w:pPr>
            <w:r>
              <w:rPr>
                <w:rFonts w:cs="Arial"/>
                <w:sz w:val="16"/>
                <w:szCs w:val="16"/>
              </w:rPr>
              <w:t> </w:t>
            </w:r>
          </w:p>
        </w:tc>
        <w:tc>
          <w:tcPr>
            <w:tcW w:w="956" w:type="dxa"/>
            <w:tcBorders>
              <w:top w:val="single" w:sz="4" w:space="0" w:color="auto"/>
              <w:left w:val="nil"/>
              <w:bottom w:val="single" w:sz="4" w:space="0" w:color="auto"/>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w:t>
            </w:r>
          </w:p>
        </w:tc>
        <w:tc>
          <w:tcPr>
            <w:tcW w:w="880"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 w:val="16"/>
                <w:szCs w:val="16"/>
              </w:rPr>
            </w:pPr>
            <w:r>
              <w:rPr>
                <w:rFonts w:cs="Arial"/>
                <w:sz w:val="16"/>
                <w:szCs w:val="16"/>
              </w:rPr>
              <w:t>-</w:t>
            </w:r>
          </w:p>
        </w:tc>
        <w:tc>
          <w:tcPr>
            <w:tcW w:w="1230"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 w:val="16"/>
                <w:szCs w:val="16"/>
              </w:rPr>
            </w:pPr>
            <w:r>
              <w:rPr>
                <w:rFonts w:cs="Arial"/>
                <w:sz w:val="16"/>
                <w:szCs w:val="16"/>
              </w:rPr>
              <w:t>13,108</w:t>
            </w:r>
          </w:p>
        </w:tc>
        <w:tc>
          <w:tcPr>
            <w:tcW w:w="1267" w:type="dxa"/>
            <w:tcBorders>
              <w:top w:val="single" w:sz="4" w:space="0" w:color="auto"/>
              <w:left w:val="nil"/>
              <w:bottom w:val="single" w:sz="4" w:space="0" w:color="auto"/>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229,002</w:t>
            </w:r>
          </w:p>
        </w:tc>
        <w:tc>
          <w:tcPr>
            <w:tcW w:w="1341" w:type="dxa"/>
            <w:tcBorders>
              <w:top w:val="single" w:sz="4" w:space="0" w:color="auto"/>
              <w:left w:val="nil"/>
              <w:bottom w:val="single" w:sz="4" w:space="0" w:color="auto"/>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255,746</w:t>
            </w:r>
          </w:p>
        </w:tc>
        <w:tc>
          <w:tcPr>
            <w:tcW w:w="1343" w:type="dxa"/>
            <w:tcBorders>
              <w:top w:val="single" w:sz="4" w:space="0" w:color="auto"/>
              <w:left w:val="nil"/>
              <w:bottom w:val="single" w:sz="4" w:space="0" w:color="auto"/>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229,263</w:t>
            </w:r>
          </w:p>
        </w:tc>
        <w:tc>
          <w:tcPr>
            <w:tcW w:w="1174" w:type="dxa"/>
            <w:tcBorders>
              <w:top w:val="single" w:sz="4" w:space="0" w:color="auto"/>
              <w:left w:val="nil"/>
              <w:bottom w:val="single" w:sz="4" w:space="0" w:color="auto"/>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26,483</w:t>
            </w:r>
          </w:p>
        </w:tc>
      </w:tr>
      <w:tr w:rsidR="00735613" w:rsidTr="00735613">
        <w:trPr>
          <w:trHeight w:val="276"/>
        </w:trPr>
        <w:tc>
          <w:tcPr>
            <w:tcW w:w="3126" w:type="dxa"/>
            <w:tcBorders>
              <w:top w:val="nil"/>
              <w:left w:val="single" w:sz="4" w:space="0" w:color="auto"/>
              <w:bottom w:val="nil"/>
              <w:right w:val="single" w:sz="4" w:space="0" w:color="auto"/>
            </w:tcBorders>
            <w:shd w:val="clear" w:color="000000" w:fill="D9D9D9"/>
            <w:vAlign w:val="bottom"/>
            <w:hideMark/>
          </w:tcPr>
          <w:p w:rsidR="00735613" w:rsidRDefault="00735613">
            <w:pPr>
              <w:rPr>
                <w:rFonts w:cs="Arial"/>
                <w:b/>
                <w:bCs/>
                <w:sz w:val="16"/>
                <w:szCs w:val="16"/>
              </w:rPr>
            </w:pPr>
            <w:r>
              <w:rPr>
                <w:rFonts w:cs="Arial"/>
                <w:b/>
                <w:bCs/>
                <w:sz w:val="16"/>
                <w:szCs w:val="16"/>
              </w:rPr>
              <w:t>ADMINISTERED</w:t>
            </w:r>
          </w:p>
        </w:tc>
        <w:tc>
          <w:tcPr>
            <w:tcW w:w="1415"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158"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956"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880" w:type="dxa"/>
            <w:tcBorders>
              <w:top w:val="nil"/>
              <w:left w:val="single" w:sz="4" w:space="0" w:color="auto"/>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30"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67" w:type="dxa"/>
            <w:tcBorders>
              <w:top w:val="nil"/>
              <w:left w:val="nil"/>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341"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343" w:type="dxa"/>
            <w:tcBorders>
              <w:top w:val="nil"/>
              <w:left w:val="single" w:sz="4" w:space="0" w:color="auto"/>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174" w:type="dxa"/>
            <w:tcBorders>
              <w:top w:val="nil"/>
              <w:left w:val="nil"/>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r>
      <w:tr w:rsidR="00735613" w:rsidTr="00735613">
        <w:trPr>
          <w:trHeight w:val="276"/>
        </w:trPr>
        <w:tc>
          <w:tcPr>
            <w:tcW w:w="3126" w:type="dxa"/>
            <w:tcBorders>
              <w:top w:val="nil"/>
              <w:left w:val="single" w:sz="4" w:space="0" w:color="auto"/>
              <w:bottom w:val="nil"/>
              <w:right w:val="single" w:sz="4" w:space="0" w:color="auto"/>
            </w:tcBorders>
            <w:shd w:val="clear" w:color="000000" w:fill="D9D9D9"/>
            <w:vAlign w:val="bottom"/>
            <w:hideMark/>
          </w:tcPr>
          <w:p w:rsidR="00735613" w:rsidRDefault="00735613">
            <w:pPr>
              <w:ind w:firstLineChars="100" w:firstLine="161"/>
              <w:rPr>
                <w:rFonts w:cs="Arial"/>
                <w:b/>
                <w:bCs/>
                <w:sz w:val="16"/>
                <w:szCs w:val="16"/>
              </w:rPr>
            </w:pPr>
            <w:r>
              <w:rPr>
                <w:rFonts w:cs="Arial"/>
                <w:b/>
                <w:bCs/>
                <w:sz w:val="16"/>
                <w:szCs w:val="16"/>
              </w:rPr>
              <w:t>Ordinary annual services</w:t>
            </w:r>
          </w:p>
        </w:tc>
        <w:tc>
          <w:tcPr>
            <w:tcW w:w="1415"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158"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956"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880" w:type="dxa"/>
            <w:tcBorders>
              <w:top w:val="nil"/>
              <w:left w:val="single" w:sz="4" w:space="0" w:color="auto"/>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30"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67" w:type="dxa"/>
            <w:tcBorders>
              <w:top w:val="nil"/>
              <w:left w:val="nil"/>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341"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343" w:type="dxa"/>
            <w:tcBorders>
              <w:top w:val="nil"/>
              <w:left w:val="single" w:sz="4" w:space="0" w:color="auto"/>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174" w:type="dxa"/>
            <w:tcBorders>
              <w:top w:val="nil"/>
              <w:left w:val="nil"/>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r>
      <w:tr w:rsidR="00735613" w:rsidTr="00735613">
        <w:trPr>
          <w:trHeight w:val="276"/>
        </w:trPr>
        <w:tc>
          <w:tcPr>
            <w:tcW w:w="3126" w:type="dxa"/>
            <w:tcBorders>
              <w:top w:val="nil"/>
              <w:left w:val="single" w:sz="4" w:space="0" w:color="auto"/>
              <w:bottom w:val="nil"/>
              <w:right w:val="single" w:sz="4" w:space="0" w:color="auto"/>
            </w:tcBorders>
            <w:shd w:val="clear" w:color="000000" w:fill="D9D9D9"/>
            <w:vAlign w:val="bottom"/>
            <w:hideMark/>
          </w:tcPr>
          <w:p w:rsidR="00735613" w:rsidRDefault="00735613">
            <w:pPr>
              <w:ind w:firstLineChars="200" w:firstLine="320"/>
              <w:rPr>
                <w:rFonts w:cs="Arial"/>
                <w:color w:val="000000"/>
                <w:sz w:val="16"/>
                <w:szCs w:val="16"/>
              </w:rPr>
            </w:pPr>
            <w:r>
              <w:rPr>
                <w:rFonts w:cs="Arial"/>
                <w:color w:val="000000"/>
                <w:sz w:val="16"/>
                <w:szCs w:val="16"/>
              </w:rPr>
              <w:t>Administered items</w:t>
            </w:r>
          </w:p>
        </w:tc>
        <w:tc>
          <w:tcPr>
            <w:tcW w:w="1415"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180,183 </w:t>
            </w:r>
          </w:p>
        </w:tc>
        <w:tc>
          <w:tcPr>
            <w:tcW w:w="1158"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(76,493)</w:t>
            </w:r>
          </w:p>
        </w:tc>
        <w:tc>
          <w:tcPr>
            <w:tcW w:w="956"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c>
          <w:tcPr>
            <w:tcW w:w="880" w:type="dxa"/>
            <w:tcBorders>
              <w:top w:val="nil"/>
              <w:left w:val="single" w:sz="4" w:space="0" w:color="auto"/>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3,250 </w:t>
            </w:r>
          </w:p>
        </w:tc>
        <w:tc>
          <w:tcPr>
            <w:tcW w:w="1230"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c>
          <w:tcPr>
            <w:tcW w:w="1267"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697,145 </w:t>
            </w:r>
          </w:p>
        </w:tc>
        <w:tc>
          <w:tcPr>
            <w:tcW w:w="1341"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804,085 </w:t>
            </w:r>
          </w:p>
        </w:tc>
        <w:tc>
          <w:tcPr>
            <w:tcW w:w="1343" w:type="dxa"/>
            <w:tcBorders>
              <w:top w:val="nil"/>
              <w:left w:val="single" w:sz="4" w:space="0" w:color="auto"/>
              <w:bottom w:val="nil"/>
              <w:right w:val="single" w:sz="4" w:space="0" w:color="auto"/>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734,179 </w:t>
            </w:r>
          </w:p>
        </w:tc>
        <w:tc>
          <w:tcPr>
            <w:tcW w:w="1174"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69,906 </w:t>
            </w:r>
          </w:p>
        </w:tc>
      </w:tr>
      <w:tr w:rsidR="00735613" w:rsidTr="00735613">
        <w:trPr>
          <w:trHeight w:val="276"/>
        </w:trPr>
        <w:tc>
          <w:tcPr>
            <w:tcW w:w="3126" w:type="dxa"/>
            <w:tcBorders>
              <w:top w:val="nil"/>
              <w:left w:val="single" w:sz="4" w:space="0" w:color="auto"/>
              <w:bottom w:val="nil"/>
              <w:right w:val="single" w:sz="4" w:space="0" w:color="auto"/>
            </w:tcBorders>
            <w:shd w:val="clear" w:color="000000" w:fill="D9D9D9"/>
            <w:vAlign w:val="bottom"/>
            <w:hideMark/>
          </w:tcPr>
          <w:p w:rsidR="00735613" w:rsidRDefault="00735613">
            <w:pPr>
              <w:ind w:firstLineChars="200" w:firstLine="320"/>
              <w:rPr>
                <w:rFonts w:cs="Arial"/>
                <w:color w:val="000000"/>
                <w:sz w:val="16"/>
                <w:szCs w:val="16"/>
              </w:rPr>
            </w:pPr>
            <w:r>
              <w:rPr>
                <w:rFonts w:cs="Arial"/>
                <w:color w:val="000000"/>
                <w:sz w:val="16"/>
                <w:szCs w:val="16"/>
              </w:rPr>
              <w:t>Payments to CAC Act bodies</w:t>
            </w:r>
            <w:r>
              <w:rPr>
                <w:rFonts w:cs="Arial"/>
                <w:color w:val="000000"/>
                <w:sz w:val="16"/>
                <w:szCs w:val="16"/>
                <w:vertAlign w:val="superscript"/>
              </w:rPr>
              <w:t>3</w:t>
            </w:r>
          </w:p>
        </w:tc>
        <w:tc>
          <w:tcPr>
            <w:tcW w:w="1415"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5,360 </w:t>
            </w:r>
          </w:p>
        </w:tc>
        <w:tc>
          <w:tcPr>
            <w:tcW w:w="1158"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c>
          <w:tcPr>
            <w:tcW w:w="956"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c>
          <w:tcPr>
            <w:tcW w:w="880" w:type="dxa"/>
            <w:tcBorders>
              <w:top w:val="nil"/>
              <w:left w:val="single" w:sz="4" w:space="0" w:color="auto"/>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c>
          <w:tcPr>
            <w:tcW w:w="1230"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c>
          <w:tcPr>
            <w:tcW w:w="1267"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c>
          <w:tcPr>
            <w:tcW w:w="1341"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5,360 </w:t>
            </w:r>
          </w:p>
        </w:tc>
        <w:tc>
          <w:tcPr>
            <w:tcW w:w="1343" w:type="dxa"/>
            <w:tcBorders>
              <w:top w:val="nil"/>
              <w:left w:val="single" w:sz="4" w:space="0" w:color="auto"/>
              <w:bottom w:val="nil"/>
              <w:right w:val="single" w:sz="4" w:space="0" w:color="auto"/>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5,360 </w:t>
            </w:r>
          </w:p>
        </w:tc>
        <w:tc>
          <w:tcPr>
            <w:tcW w:w="1174"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r>
      <w:tr w:rsidR="00735613" w:rsidTr="00735613">
        <w:trPr>
          <w:trHeight w:val="276"/>
        </w:trPr>
        <w:tc>
          <w:tcPr>
            <w:tcW w:w="3126" w:type="dxa"/>
            <w:tcBorders>
              <w:top w:val="nil"/>
              <w:left w:val="single" w:sz="4" w:space="0" w:color="auto"/>
              <w:bottom w:val="nil"/>
              <w:right w:val="single" w:sz="4" w:space="0" w:color="auto"/>
            </w:tcBorders>
            <w:shd w:val="clear" w:color="000000" w:fill="D9D9D9"/>
            <w:vAlign w:val="bottom"/>
            <w:hideMark/>
          </w:tcPr>
          <w:p w:rsidR="00735613" w:rsidRDefault="00735613">
            <w:pPr>
              <w:ind w:firstLineChars="100" w:firstLine="161"/>
              <w:rPr>
                <w:rFonts w:cs="Arial"/>
                <w:b/>
                <w:bCs/>
                <w:sz w:val="16"/>
                <w:szCs w:val="16"/>
              </w:rPr>
            </w:pPr>
            <w:r>
              <w:rPr>
                <w:rFonts w:cs="Arial"/>
                <w:b/>
                <w:bCs/>
                <w:sz w:val="16"/>
                <w:szCs w:val="16"/>
              </w:rPr>
              <w:t>Other services</w:t>
            </w:r>
          </w:p>
        </w:tc>
        <w:tc>
          <w:tcPr>
            <w:tcW w:w="1415"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158"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956"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880" w:type="dxa"/>
            <w:tcBorders>
              <w:top w:val="nil"/>
              <w:left w:val="single" w:sz="4" w:space="0" w:color="auto"/>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30"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267" w:type="dxa"/>
            <w:tcBorders>
              <w:top w:val="nil"/>
              <w:left w:val="nil"/>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341" w:type="dxa"/>
            <w:tcBorders>
              <w:top w:val="nil"/>
              <w:left w:val="nil"/>
              <w:bottom w:val="nil"/>
              <w:right w:val="nil"/>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343" w:type="dxa"/>
            <w:tcBorders>
              <w:top w:val="nil"/>
              <w:left w:val="single" w:sz="4" w:space="0" w:color="auto"/>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c>
          <w:tcPr>
            <w:tcW w:w="1174" w:type="dxa"/>
            <w:tcBorders>
              <w:top w:val="nil"/>
              <w:left w:val="nil"/>
              <w:bottom w:val="nil"/>
              <w:right w:val="single" w:sz="4" w:space="0" w:color="auto"/>
            </w:tcBorders>
            <w:shd w:val="clear" w:color="000000" w:fill="D9D9D9"/>
            <w:noWrap/>
            <w:vAlign w:val="bottom"/>
            <w:hideMark/>
          </w:tcPr>
          <w:p w:rsidR="00735613" w:rsidRDefault="00735613">
            <w:pPr>
              <w:rPr>
                <w:rFonts w:cs="Arial"/>
                <w:sz w:val="16"/>
                <w:szCs w:val="16"/>
              </w:rPr>
            </w:pPr>
            <w:r>
              <w:rPr>
                <w:rFonts w:cs="Arial"/>
                <w:sz w:val="16"/>
                <w:szCs w:val="16"/>
              </w:rPr>
              <w:t> </w:t>
            </w:r>
          </w:p>
        </w:tc>
      </w:tr>
      <w:tr w:rsidR="00735613" w:rsidTr="00735613">
        <w:trPr>
          <w:trHeight w:val="276"/>
        </w:trPr>
        <w:tc>
          <w:tcPr>
            <w:tcW w:w="3126" w:type="dxa"/>
            <w:tcBorders>
              <w:top w:val="nil"/>
              <w:left w:val="single" w:sz="4" w:space="0" w:color="auto"/>
              <w:bottom w:val="nil"/>
              <w:right w:val="single" w:sz="4" w:space="0" w:color="auto"/>
            </w:tcBorders>
            <w:shd w:val="clear" w:color="000000" w:fill="D9D9D9"/>
            <w:noWrap/>
            <w:vAlign w:val="bottom"/>
            <w:hideMark/>
          </w:tcPr>
          <w:p w:rsidR="00735613" w:rsidRDefault="00735613">
            <w:pPr>
              <w:ind w:firstLineChars="200" w:firstLine="320"/>
              <w:rPr>
                <w:rFonts w:cs="Arial"/>
                <w:color w:val="000000"/>
                <w:sz w:val="16"/>
                <w:szCs w:val="16"/>
              </w:rPr>
            </w:pPr>
            <w:r>
              <w:rPr>
                <w:rFonts w:cs="Arial"/>
                <w:color w:val="000000"/>
                <w:sz w:val="16"/>
                <w:szCs w:val="16"/>
              </w:rPr>
              <w:t>States, ACT, NT and Local government</w:t>
            </w:r>
          </w:p>
        </w:tc>
        <w:tc>
          <w:tcPr>
            <w:tcW w:w="1415"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c>
          <w:tcPr>
            <w:tcW w:w="1158"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c>
          <w:tcPr>
            <w:tcW w:w="956"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c>
          <w:tcPr>
            <w:tcW w:w="880" w:type="dxa"/>
            <w:tcBorders>
              <w:top w:val="nil"/>
              <w:left w:val="single" w:sz="4" w:space="0" w:color="auto"/>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c>
          <w:tcPr>
            <w:tcW w:w="1230"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c>
          <w:tcPr>
            <w:tcW w:w="1267"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41,092 </w:t>
            </w:r>
          </w:p>
        </w:tc>
        <w:tc>
          <w:tcPr>
            <w:tcW w:w="1341"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41,092 </w:t>
            </w:r>
          </w:p>
        </w:tc>
        <w:tc>
          <w:tcPr>
            <w:tcW w:w="1343" w:type="dxa"/>
            <w:tcBorders>
              <w:top w:val="nil"/>
              <w:left w:val="single" w:sz="4" w:space="0" w:color="auto"/>
              <w:bottom w:val="nil"/>
              <w:right w:val="single" w:sz="4" w:space="0" w:color="auto"/>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38,554 </w:t>
            </w:r>
          </w:p>
        </w:tc>
        <w:tc>
          <w:tcPr>
            <w:tcW w:w="1174"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2,538 </w:t>
            </w:r>
          </w:p>
        </w:tc>
      </w:tr>
      <w:tr w:rsidR="00735613" w:rsidTr="00735613">
        <w:trPr>
          <w:trHeight w:val="276"/>
        </w:trPr>
        <w:tc>
          <w:tcPr>
            <w:tcW w:w="3126" w:type="dxa"/>
            <w:tcBorders>
              <w:top w:val="nil"/>
              <w:left w:val="single" w:sz="4" w:space="0" w:color="auto"/>
              <w:bottom w:val="nil"/>
              <w:right w:val="single" w:sz="4" w:space="0" w:color="auto"/>
            </w:tcBorders>
            <w:shd w:val="clear" w:color="000000" w:fill="D9D9D9"/>
            <w:vAlign w:val="bottom"/>
            <w:hideMark/>
          </w:tcPr>
          <w:p w:rsidR="00735613" w:rsidRDefault="00735613">
            <w:pPr>
              <w:ind w:firstLineChars="200" w:firstLine="320"/>
              <w:rPr>
                <w:rFonts w:cs="Arial"/>
                <w:color w:val="000000"/>
                <w:sz w:val="16"/>
                <w:szCs w:val="16"/>
              </w:rPr>
            </w:pPr>
            <w:r>
              <w:rPr>
                <w:rFonts w:cs="Arial"/>
                <w:color w:val="000000"/>
                <w:sz w:val="16"/>
                <w:szCs w:val="16"/>
              </w:rPr>
              <w:t>Administered assets and liabilities</w:t>
            </w:r>
          </w:p>
        </w:tc>
        <w:tc>
          <w:tcPr>
            <w:tcW w:w="1415"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2,897 </w:t>
            </w:r>
          </w:p>
        </w:tc>
        <w:tc>
          <w:tcPr>
            <w:tcW w:w="1158"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(2,897)</w:t>
            </w:r>
          </w:p>
        </w:tc>
        <w:tc>
          <w:tcPr>
            <w:tcW w:w="956"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c>
          <w:tcPr>
            <w:tcW w:w="880" w:type="dxa"/>
            <w:tcBorders>
              <w:top w:val="nil"/>
              <w:left w:val="single" w:sz="4" w:space="0" w:color="auto"/>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c>
          <w:tcPr>
            <w:tcW w:w="1230"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c>
          <w:tcPr>
            <w:tcW w:w="1267"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c>
          <w:tcPr>
            <w:tcW w:w="1341"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c>
          <w:tcPr>
            <w:tcW w:w="1343" w:type="dxa"/>
            <w:tcBorders>
              <w:top w:val="nil"/>
              <w:left w:val="single" w:sz="4" w:space="0" w:color="auto"/>
              <w:bottom w:val="nil"/>
              <w:right w:val="single" w:sz="4" w:space="0" w:color="auto"/>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c>
          <w:tcPr>
            <w:tcW w:w="1174" w:type="dxa"/>
            <w:tcBorders>
              <w:top w:val="nil"/>
              <w:left w:val="nil"/>
              <w:bottom w:val="nil"/>
              <w:right w:val="single" w:sz="4" w:space="0" w:color="auto"/>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r>
      <w:tr w:rsidR="00735613" w:rsidTr="00735613">
        <w:trPr>
          <w:trHeight w:val="276"/>
        </w:trPr>
        <w:tc>
          <w:tcPr>
            <w:tcW w:w="3126" w:type="dxa"/>
            <w:tcBorders>
              <w:top w:val="nil"/>
              <w:left w:val="single" w:sz="4" w:space="0" w:color="auto"/>
              <w:bottom w:val="single" w:sz="4" w:space="0" w:color="auto"/>
              <w:right w:val="nil"/>
            </w:tcBorders>
            <w:shd w:val="clear" w:color="000000" w:fill="D9D9D9"/>
            <w:vAlign w:val="bottom"/>
            <w:hideMark/>
          </w:tcPr>
          <w:p w:rsidR="00735613" w:rsidRDefault="00735613">
            <w:pPr>
              <w:rPr>
                <w:rFonts w:cs="Arial"/>
                <w:b/>
                <w:bCs/>
                <w:sz w:val="16"/>
                <w:szCs w:val="16"/>
              </w:rPr>
            </w:pPr>
            <w:r>
              <w:rPr>
                <w:rFonts w:cs="Arial"/>
                <w:b/>
                <w:bCs/>
                <w:sz w:val="16"/>
                <w:szCs w:val="16"/>
              </w:rPr>
              <w:t>Total administered</w:t>
            </w:r>
          </w:p>
        </w:tc>
        <w:tc>
          <w:tcPr>
            <w:tcW w:w="1415" w:type="dxa"/>
            <w:tcBorders>
              <w:top w:val="single" w:sz="4" w:space="0" w:color="auto"/>
              <w:left w:val="single" w:sz="4" w:space="0" w:color="auto"/>
              <w:bottom w:val="single" w:sz="4" w:space="0" w:color="auto"/>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188,440</w:t>
            </w:r>
          </w:p>
        </w:tc>
        <w:tc>
          <w:tcPr>
            <w:tcW w:w="1158"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(79,390)</w:t>
            </w:r>
          </w:p>
        </w:tc>
        <w:tc>
          <w:tcPr>
            <w:tcW w:w="956" w:type="dxa"/>
            <w:tcBorders>
              <w:top w:val="single" w:sz="4" w:space="0" w:color="auto"/>
              <w:left w:val="nil"/>
              <w:bottom w:val="single" w:sz="4" w:space="0" w:color="auto"/>
              <w:right w:val="single" w:sz="4" w:space="0" w:color="auto"/>
            </w:tcBorders>
            <w:shd w:val="clear" w:color="000000" w:fill="D9D9D9"/>
            <w:noWrap/>
            <w:vAlign w:val="bottom"/>
            <w:hideMark/>
          </w:tcPr>
          <w:p w:rsidR="00735613" w:rsidRDefault="00735613">
            <w:pPr>
              <w:jc w:val="right"/>
              <w:rPr>
                <w:rFonts w:cs="Arial"/>
                <w:sz w:val="16"/>
                <w:szCs w:val="16"/>
              </w:rPr>
            </w:pPr>
            <w:r>
              <w:rPr>
                <w:rFonts w:cs="Arial"/>
                <w:sz w:val="16"/>
                <w:szCs w:val="16"/>
              </w:rPr>
              <w:t>-</w:t>
            </w:r>
          </w:p>
        </w:tc>
        <w:tc>
          <w:tcPr>
            <w:tcW w:w="880"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3,250</w:t>
            </w:r>
          </w:p>
        </w:tc>
        <w:tc>
          <w:tcPr>
            <w:tcW w:w="1230"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w:t>
            </w:r>
          </w:p>
        </w:tc>
        <w:tc>
          <w:tcPr>
            <w:tcW w:w="1267" w:type="dxa"/>
            <w:tcBorders>
              <w:top w:val="single" w:sz="4" w:space="0" w:color="auto"/>
              <w:left w:val="nil"/>
              <w:bottom w:val="single" w:sz="4" w:space="0" w:color="auto"/>
              <w:right w:val="single" w:sz="4" w:space="0" w:color="auto"/>
            </w:tcBorders>
            <w:shd w:val="clear" w:color="000000" w:fill="D9D9D9"/>
            <w:noWrap/>
            <w:vAlign w:val="bottom"/>
            <w:hideMark/>
          </w:tcPr>
          <w:p w:rsidR="00735613" w:rsidRDefault="00735613">
            <w:pPr>
              <w:jc w:val="right"/>
              <w:rPr>
                <w:rFonts w:cs="Arial"/>
                <w:sz w:val="16"/>
                <w:szCs w:val="16"/>
              </w:rPr>
            </w:pPr>
            <w:r>
              <w:rPr>
                <w:rFonts w:cs="Arial"/>
                <w:sz w:val="16"/>
                <w:szCs w:val="16"/>
              </w:rPr>
              <w:t>738,237</w:t>
            </w:r>
          </w:p>
        </w:tc>
        <w:tc>
          <w:tcPr>
            <w:tcW w:w="1341" w:type="dxa"/>
            <w:tcBorders>
              <w:top w:val="single" w:sz="4" w:space="0" w:color="auto"/>
              <w:left w:val="nil"/>
              <w:bottom w:val="single" w:sz="4" w:space="0" w:color="auto"/>
              <w:right w:val="single" w:sz="4" w:space="0" w:color="auto"/>
            </w:tcBorders>
            <w:shd w:val="clear" w:color="000000" w:fill="D9D9D9"/>
            <w:noWrap/>
            <w:vAlign w:val="bottom"/>
            <w:hideMark/>
          </w:tcPr>
          <w:p w:rsidR="00735613" w:rsidRDefault="00735613">
            <w:pPr>
              <w:jc w:val="right"/>
              <w:rPr>
                <w:rFonts w:cs="Arial"/>
                <w:sz w:val="16"/>
                <w:szCs w:val="16"/>
              </w:rPr>
            </w:pPr>
            <w:r>
              <w:rPr>
                <w:rFonts w:cs="Arial"/>
                <w:sz w:val="16"/>
                <w:szCs w:val="16"/>
              </w:rPr>
              <w:t>850,537</w:t>
            </w:r>
          </w:p>
        </w:tc>
        <w:tc>
          <w:tcPr>
            <w:tcW w:w="1343" w:type="dxa"/>
            <w:tcBorders>
              <w:top w:val="single" w:sz="4" w:space="0" w:color="auto"/>
              <w:left w:val="nil"/>
              <w:bottom w:val="single" w:sz="4" w:space="0" w:color="auto"/>
              <w:right w:val="single" w:sz="4" w:space="0" w:color="auto"/>
            </w:tcBorders>
            <w:shd w:val="clear" w:color="000000" w:fill="D9D9D9"/>
            <w:noWrap/>
            <w:vAlign w:val="bottom"/>
            <w:hideMark/>
          </w:tcPr>
          <w:p w:rsidR="00735613" w:rsidRDefault="00735613">
            <w:pPr>
              <w:jc w:val="right"/>
              <w:rPr>
                <w:rFonts w:cs="Arial"/>
                <w:sz w:val="16"/>
                <w:szCs w:val="16"/>
              </w:rPr>
            </w:pPr>
            <w:r>
              <w:rPr>
                <w:rFonts w:cs="Arial"/>
                <w:sz w:val="16"/>
                <w:szCs w:val="16"/>
              </w:rPr>
              <w:t>778,093</w:t>
            </w:r>
          </w:p>
        </w:tc>
        <w:tc>
          <w:tcPr>
            <w:tcW w:w="1174" w:type="dxa"/>
            <w:tcBorders>
              <w:top w:val="single" w:sz="4" w:space="0" w:color="auto"/>
              <w:left w:val="nil"/>
              <w:bottom w:val="single" w:sz="4" w:space="0" w:color="auto"/>
              <w:right w:val="single" w:sz="4" w:space="0" w:color="auto"/>
            </w:tcBorders>
            <w:shd w:val="clear" w:color="000000" w:fill="D9D9D9"/>
            <w:noWrap/>
            <w:vAlign w:val="bottom"/>
            <w:hideMark/>
          </w:tcPr>
          <w:p w:rsidR="00735613" w:rsidRDefault="00735613">
            <w:pPr>
              <w:jc w:val="right"/>
              <w:rPr>
                <w:rFonts w:cs="Arial"/>
                <w:sz w:val="16"/>
                <w:szCs w:val="16"/>
              </w:rPr>
            </w:pPr>
            <w:r>
              <w:rPr>
                <w:rFonts w:cs="Arial"/>
                <w:sz w:val="16"/>
                <w:szCs w:val="16"/>
              </w:rPr>
              <w:t>72,444</w:t>
            </w:r>
          </w:p>
        </w:tc>
      </w:tr>
    </w:tbl>
    <w:p w:rsidR="00735613" w:rsidRDefault="00735613" w:rsidP="00735613">
      <w:pPr>
        <w:pStyle w:val="AdminBlankGreyShade"/>
      </w:pPr>
      <w:bookmarkStart w:id="571" w:name="RANGE!D35:M54"/>
      <w:bookmarkStart w:id="572" w:name="RANGE!D36:L55"/>
      <w:bookmarkEnd w:id="571"/>
      <w:bookmarkEnd w:id="572"/>
      <w:r>
        <w:t>Notes:</w:t>
      </w:r>
    </w:p>
    <w:p w:rsidR="00735613" w:rsidRPr="00662F0E" w:rsidRDefault="00735613" w:rsidP="00735613">
      <w:pPr>
        <w:pStyle w:val="12line"/>
        <w:numPr>
          <w:ilvl w:val="6"/>
          <w:numId w:val="9"/>
        </w:numPr>
        <w:tabs>
          <w:tab w:val="clear" w:pos="2520"/>
          <w:tab w:val="num" w:pos="284"/>
        </w:tabs>
        <w:ind w:left="0" w:firstLine="0"/>
        <w:rPr>
          <w:sz w:val="18"/>
          <w:szCs w:val="18"/>
          <w:lang w:eastAsia="en-AU"/>
        </w:rPr>
      </w:pPr>
      <w:r w:rsidRPr="00662F0E">
        <w:rPr>
          <w:sz w:val="18"/>
          <w:szCs w:val="18"/>
          <w:lang w:eastAsia="en-AU"/>
        </w:rPr>
        <w:t>Appropriation reduced under Appropriation Acts (No. 1</w:t>
      </w:r>
      <w:proofErr w:type="gramStart"/>
      <w:r w:rsidRPr="00662F0E">
        <w:rPr>
          <w:sz w:val="18"/>
          <w:szCs w:val="18"/>
          <w:lang w:eastAsia="en-AU"/>
        </w:rPr>
        <w:t>,3</w:t>
      </w:r>
      <w:proofErr w:type="gramEnd"/>
      <w:r w:rsidRPr="00662F0E">
        <w:rPr>
          <w:sz w:val="18"/>
          <w:szCs w:val="18"/>
          <w:lang w:eastAsia="en-AU"/>
        </w:rPr>
        <w:t xml:space="preserve"> &amp; 5) </w:t>
      </w:r>
      <w:r>
        <w:rPr>
          <w:sz w:val="18"/>
          <w:szCs w:val="18"/>
          <w:lang w:eastAsia="en-AU"/>
        </w:rPr>
        <w:t>2013–14</w:t>
      </w:r>
      <w:r w:rsidRPr="00662F0E">
        <w:rPr>
          <w:sz w:val="18"/>
          <w:szCs w:val="18"/>
          <w:lang w:eastAsia="en-AU"/>
        </w:rPr>
        <w:t xml:space="preserve">: sections 10, 11 and 12 and under Appropriation Acts (No. 2,4 &amp; 6) </w:t>
      </w:r>
      <w:r>
        <w:rPr>
          <w:sz w:val="18"/>
          <w:szCs w:val="18"/>
          <w:lang w:eastAsia="en-AU"/>
        </w:rPr>
        <w:t>2013–14</w:t>
      </w:r>
      <w:r w:rsidRPr="00662F0E">
        <w:rPr>
          <w:sz w:val="18"/>
          <w:szCs w:val="18"/>
          <w:lang w:eastAsia="en-AU"/>
        </w:rPr>
        <w:t xml:space="preserve">: sections 12,13 and 14. Departmental appropriations do not lapse at financial year end. However, the responsible Minister may decide that part or all of a departmental appropriation is not required and request the Finance </w:t>
      </w:r>
      <w:r>
        <w:rPr>
          <w:sz w:val="18"/>
          <w:szCs w:val="18"/>
          <w:lang w:eastAsia="en-AU"/>
        </w:rPr>
        <w:br/>
      </w:r>
      <w:r w:rsidRPr="00662F0E">
        <w:rPr>
          <w:sz w:val="18"/>
          <w:szCs w:val="18"/>
          <w:lang w:eastAsia="en-AU"/>
        </w:rPr>
        <w:t>Minister to reduce that appropriation. The reduction is effected by the Finance Minister’s determination and is disallowable by Parliament.</w:t>
      </w:r>
    </w:p>
    <w:p w:rsidR="00735613" w:rsidRPr="00662F0E" w:rsidRDefault="00735613" w:rsidP="00735613">
      <w:pPr>
        <w:pStyle w:val="12line"/>
        <w:rPr>
          <w:sz w:val="18"/>
          <w:szCs w:val="18"/>
          <w:lang w:eastAsia="en-AU"/>
        </w:rPr>
      </w:pPr>
      <w:r w:rsidRPr="00662F0E">
        <w:rPr>
          <w:sz w:val="18"/>
          <w:szCs w:val="18"/>
          <w:lang w:eastAsia="en-AU"/>
        </w:rPr>
        <w:t xml:space="preserve">As with departmental appropriations, the responsible Minister may decide that part or all of an administered appropriation is not required and request that the Finance Minister reduce that appropriation. For administered appropriations reduced under section 11 of the Appropriation Acts (Nos 1,3 &amp; 5) </w:t>
      </w:r>
      <w:r>
        <w:rPr>
          <w:sz w:val="18"/>
          <w:szCs w:val="18"/>
          <w:lang w:eastAsia="en-AU"/>
        </w:rPr>
        <w:t>2013–14</w:t>
      </w:r>
      <w:r w:rsidRPr="00662F0E">
        <w:rPr>
          <w:sz w:val="18"/>
          <w:szCs w:val="18"/>
          <w:lang w:eastAsia="en-AU"/>
        </w:rPr>
        <w:t xml:space="preserve"> and section 12 of Appropriation acts (No. 2,4 &amp; 6) </w:t>
      </w:r>
      <w:r>
        <w:rPr>
          <w:sz w:val="18"/>
          <w:szCs w:val="18"/>
          <w:lang w:eastAsia="en-AU"/>
        </w:rPr>
        <w:t>2013–14</w:t>
      </w:r>
      <w:r w:rsidRPr="00662F0E">
        <w:rPr>
          <w:sz w:val="18"/>
          <w:szCs w:val="18"/>
          <w:lang w:eastAsia="en-AU"/>
        </w:rPr>
        <w:t xml:space="preserve">, the </w:t>
      </w:r>
      <w:r>
        <w:rPr>
          <w:sz w:val="18"/>
          <w:szCs w:val="18"/>
          <w:lang w:eastAsia="en-AU"/>
        </w:rPr>
        <w:br/>
      </w:r>
      <w:r w:rsidRPr="00662F0E">
        <w:rPr>
          <w:sz w:val="18"/>
          <w:szCs w:val="18"/>
          <w:lang w:eastAsia="en-AU"/>
        </w:rPr>
        <w:t xml:space="preserve">Finance Minister’s determination which is disallowable by Parliament. In </w:t>
      </w:r>
      <w:r>
        <w:rPr>
          <w:sz w:val="18"/>
          <w:szCs w:val="18"/>
          <w:lang w:eastAsia="en-AU"/>
        </w:rPr>
        <w:t>2013–14</w:t>
      </w:r>
      <w:r w:rsidRPr="00662F0E">
        <w:rPr>
          <w:sz w:val="18"/>
          <w:szCs w:val="18"/>
          <w:lang w:eastAsia="en-AU"/>
        </w:rPr>
        <w:t xml:space="preserve"> there was no reduction in administered appropriations.</w:t>
      </w:r>
    </w:p>
    <w:p w:rsidR="00735613" w:rsidRPr="00662F0E" w:rsidRDefault="00735613" w:rsidP="00735613">
      <w:pPr>
        <w:pStyle w:val="12line"/>
        <w:numPr>
          <w:ilvl w:val="6"/>
          <w:numId w:val="9"/>
        </w:numPr>
        <w:tabs>
          <w:tab w:val="clear" w:pos="2520"/>
          <w:tab w:val="num" w:pos="284"/>
        </w:tabs>
        <w:ind w:left="0" w:firstLine="0"/>
        <w:rPr>
          <w:sz w:val="18"/>
          <w:szCs w:val="18"/>
          <w:lang w:eastAsia="en-AU"/>
        </w:rPr>
      </w:pPr>
      <w:r w:rsidRPr="00662F0E">
        <w:rPr>
          <w:sz w:val="18"/>
          <w:szCs w:val="18"/>
          <w:lang w:eastAsia="en-AU"/>
        </w:rPr>
        <w:t>Advance to the Finance Minister (AFM) – Appropriation Acts (No. 1</w:t>
      </w:r>
      <w:proofErr w:type="gramStart"/>
      <w:r w:rsidRPr="00662F0E">
        <w:rPr>
          <w:sz w:val="18"/>
          <w:szCs w:val="18"/>
          <w:lang w:eastAsia="en-AU"/>
        </w:rPr>
        <w:t>,3</w:t>
      </w:r>
      <w:proofErr w:type="gramEnd"/>
      <w:r w:rsidRPr="00662F0E">
        <w:rPr>
          <w:sz w:val="18"/>
          <w:szCs w:val="18"/>
          <w:lang w:eastAsia="en-AU"/>
        </w:rPr>
        <w:t xml:space="preserve"> &amp; 5) </w:t>
      </w:r>
      <w:r>
        <w:rPr>
          <w:sz w:val="18"/>
          <w:szCs w:val="18"/>
          <w:lang w:eastAsia="en-AU"/>
        </w:rPr>
        <w:t>2013–14</w:t>
      </w:r>
      <w:r w:rsidRPr="00662F0E">
        <w:rPr>
          <w:sz w:val="18"/>
          <w:szCs w:val="18"/>
          <w:lang w:eastAsia="en-AU"/>
        </w:rPr>
        <w:t xml:space="preserve">: section 13 and Appropriation Acts (No. 2, 4 &amp; 6) </w:t>
      </w:r>
      <w:r>
        <w:rPr>
          <w:sz w:val="18"/>
          <w:szCs w:val="18"/>
          <w:lang w:eastAsia="en-AU"/>
        </w:rPr>
        <w:t>2013–14</w:t>
      </w:r>
      <w:r w:rsidRPr="00662F0E">
        <w:rPr>
          <w:sz w:val="18"/>
          <w:szCs w:val="18"/>
          <w:lang w:eastAsia="en-AU"/>
        </w:rPr>
        <w:t>: section 15.</w:t>
      </w:r>
    </w:p>
    <w:p w:rsidR="00735613" w:rsidRPr="00662F0E" w:rsidRDefault="00735613" w:rsidP="00735613">
      <w:pPr>
        <w:pStyle w:val="12line"/>
        <w:numPr>
          <w:ilvl w:val="6"/>
          <w:numId w:val="9"/>
        </w:numPr>
        <w:tabs>
          <w:tab w:val="clear" w:pos="2520"/>
          <w:tab w:val="num" w:pos="284"/>
        </w:tabs>
        <w:ind w:left="0" w:firstLine="0"/>
        <w:rPr>
          <w:sz w:val="18"/>
          <w:szCs w:val="18"/>
          <w:lang w:eastAsia="en-AU"/>
        </w:rPr>
      </w:pPr>
      <w:r w:rsidRPr="00662F0E">
        <w:rPr>
          <w:sz w:val="18"/>
          <w:szCs w:val="18"/>
          <w:lang w:eastAsia="en-AU"/>
        </w:rPr>
        <w:t xml:space="preserve">The Department of the Prime Minister and Cabinet made payments to the Australian Institute of Aboriginal and Torres Strait Islander Studies on behalf of the Department of Education. </w:t>
      </w:r>
      <w:r>
        <w:rPr>
          <w:sz w:val="18"/>
          <w:szCs w:val="18"/>
          <w:lang w:eastAsia="en-AU"/>
        </w:rPr>
        <w:br/>
      </w:r>
      <w:r w:rsidRPr="00662F0E">
        <w:rPr>
          <w:sz w:val="18"/>
          <w:szCs w:val="18"/>
          <w:lang w:eastAsia="en-AU"/>
        </w:rPr>
        <w:t>The administered variances reflect the creditor balances at 30 June 2014.</w:t>
      </w:r>
    </w:p>
    <w:p w:rsidR="00735613" w:rsidRPr="002867DC" w:rsidRDefault="00735613" w:rsidP="00735613">
      <w:pPr>
        <w:pStyle w:val="12line"/>
        <w:rPr>
          <w:lang w:eastAsia="en-AU"/>
        </w:rPr>
      </w:pPr>
    </w:p>
    <w:p w:rsidR="00735613" w:rsidRDefault="00735613" w:rsidP="00735613">
      <w:pPr>
        <w:pStyle w:val="12line"/>
        <w:rPr>
          <w:lang w:eastAsia="en-AU"/>
        </w:rPr>
      </w:pPr>
    </w:p>
    <w:p w:rsidR="00735613" w:rsidRDefault="00735613" w:rsidP="00735613">
      <w:pPr>
        <w:pStyle w:val="AdminBlankGreyShade"/>
      </w:pPr>
      <w:bookmarkStart w:id="573" w:name="RANGE!D36:M55"/>
      <w:bookmarkStart w:id="574" w:name="RANGE!D37:M56"/>
      <w:bookmarkStart w:id="575" w:name="RANGE!D34:M54"/>
      <w:bookmarkStart w:id="576" w:name="RANGE!D35:M55"/>
      <w:bookmarkStart w:id="577" w:name="RANGE!D39:M59"/>
      <w:bookmarkStart w:id="578" w:name="RANGE!D33:M53"/>
      <w:bookmarkEnd w:id="573"/>
      <w:bookmarkEnd w:id="574"/>
      <w:bookmarkEnd w:id="575"/>
      <w:bookmarkEnd w:id="576"/>
      <w:bookmarkEnd w:id="577"/>
      <w:bookmarkEnd w:id="578"/>
    </w:p>
    <w:p w:rsidR="00735613" w:rsidRDefault="00735613"/>
    <w:p w:rsidR="00735613" w:rsidRDefault="00735613">
      <w:r>
        <w:br w:type="page"/>
      </w:r>
    </w:p>
    <w:tbl>
      <w:tblPr>
        <w:tblW w:w="13991" w:type="dxa"/>
        <w:tblInd w:w="80" w:type="dxa"/>
        <w:tblLayout w:type="fixed"/>
        <w:tblLook w:val="04A0" w:firstRow="1" w:lastRow="0" w:firstColumn="1" w:lastColumn="0" w:noHBand="0" w:noVBand="1"/>
      </w:tblPr>
      <w:tblGrid>
        <w:gridCol w:w="2315"/>
        <w:gridCol w:w="1579"/>
        <w:gridCol w:w="1579"/>
        <w:gridCol w:w="1340"/>
        <w:gridCol w:w="1579"/>
        <w:gridCol w:w="1579"/>
        <w:gridCol w:w="1340"/>
        <w:gridCol w:w="1340"/>
        <w:gridCol w:w="1340"/>
      </w:tblGrid>
      <w:tr w:rsidR="00735613" w:rsidTr="00735613">
        <w:trPr>
          <w:trHeight w:val="255"/>
        </w:trPr>
        <w:tc>
          <w:tcPr>
            <w:tcW w:w="11668" w:type="dxa"/>
            <w:gridSpan w:val="8"/>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579" w:name="Note_DCBTABLE1" w:colFirst="0" w:colLast="0"/>
            <w:r>
              <w:rPr>
                <w:rFonts w:cs="Arial"/>
                <w:b/>
                <w:bCs/>
                <w:szCs w:val="18"/>
                <w:u w:val="single"/>
              </w:rPr>
              <w:t>Note 29B: Departmental and Administered Capital Budgets ('Recoverable GST exclusive')</w:t>
            </w:r>
          </w:p>
        </w:tc>
        <w:tc>
          <w:tcPr>
            <w:tcW w:w="1236" w:type="dxa"/>
            <w:tcBorders>
              <w:top w:val="nil"/>
              <w:left w:val="nil"/>
              <w:bottom w:val="nil"/>
              <w:right w:val="nil"/>
            </w:tcBorders>
            <w:shd w:val="clear" w:color="auto" w:fill="auto"/>
            <w:noWrap/>
            <w:vAlign w:val="bottom"/>
            <w:hideMark/>
          </w:tcPr>
          <w:p w:rsidR="00735613" w:rsidRDefault="00735613">
            <w:pPr>
              <w:rPr>
                <w:rFonts w:cs="Arial"/>
                <w:b/>
                <w:bCs/>
                <w:szCs w:val="18"/>
                <w:u w:val="single"/>
              </w:rPr>
            </w:pPr>
          </w:p>
        </w:tc>
      </w:tr>
      <w:bookmarkEnd w:id="579"/>
      <w:tr w:rsidR="00735613" w:rsidTr="00735613">
        <w:trPr>
          <w:trHeight w:val="276"/>
        </w:trPr>
        <w:tc>
          <w:tcPr>
            <w:tcW w:w="21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45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45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45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45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236" w:type="dxa"/>
            <w:tcBorders>
              <w:top w:val="nil"/>
              <w:left w:val="nil"/>
              <w:bottom w:val="nil"/>
              <w:right w:val="nil"/>
            </w:tcBorders>
            <w:shd w:val="clear" w:color="auto" w:fill="auto"/>
            <w:noWrap/>
            <w:vAlign w:val="bottom"/>
            <w:hideMark/>
          </w:tcPr>
          <w:p w:rsidR="00735613" w:rsidRDefault="00735613">
            <w:pPr>
              <w:rPr>
                <w:rFonts w:cs="Arial"/>
                <w:szCs w:val="18"/>
              </w:rPr>
            </w:pPr>
          </w:p>
        </w:tc>
      </w:tr>
      <w:tr w:rsidR="00735613" w:rsidTr="00735613">
        <w:trPr>
          <w:trHeight w:val="276"/>
        </w:trPr>
        <w:tc>
          <w:tcPr>
            <w:tcW w:w="2136" w:type="dxa"/>
            <w:tcBorders>
              <w:top w:val="single" w:sz="4" w:space="0" w:color="auto"/>
              <w:left w:val="single" w:sz="4" w:space="0" w:color="auto"/>
              <w:bottom w:val="nil"/>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 </w:t>
            </w:r>
          </w:p>
        </w:tc>
        <w:tc>
          <w:tcPr>
            <w:tcW w:w="4148" w:type="dxa"/>
            <w:gridSpan w:val="3"/>
            <w:tcBorders>
              <w:top w:val="single" w:sz="4" w:space="0" w:color="auto"/>
              <w:left w:val="nil"/>
              <w:bottom w:val="single" w:sz="4" w:space="0" w:color="auto"/>
              <w:right w:val="single" w:sz="4" w:space="0" w:color="000000"/>
            </w:tcBorders>
            <w:shd w:val="clear" w:color="FFFFFF" w:fill="FFFFFF"/>
            <w:vAlign w:val="bottom"/>
            <w:hideMark/>
          </w:tcPr>
          <w:p w:rsidR="00735613" w:rsidRDefault="00735613">
            <w:pPr>
              <w:jc w:val="center"/>
              <w:rPr>
                <w:rFonts w:cs="Arial"/>
                <w:b/>
                <w:bCs/>
                <w:sz w:val="16"/>
                <w:szCs w:val="16"/>
              </w:rPr>
            </w:pPr>
            <w:r>
              <w:rPr>
                <w:rFonts w:cs="Arial"/>
                <w:b/>
                <w:bCs/>
                <w:sz w:val="16"/>
                <w:szCs w:val="16"/>
              </w:rPr>
              <w:t>2015 Capital Budget Appropriations</w:t>
            </w:r>
          </w:p>
        </w:tc>
        <w:tc>
          <w:tcPr>
            <w:tcW w:w="4148" w:type="dxa"/>
            <w:gridSpan w:val="3"/>
            <w:tcBorders>
              <w:top w:val="single" w:sz="4" w:space="0" w:color="auto"/>
              <w:left w:val="nil"/>
              <w:bottom w:val="single" w:sz="4" w:space="0" w:color="auto"/>
              <w:right w:val="single" w:sz="4" w:space="0" w:color="000000"/>
            </w:tcBorders>
            <w:shd w:val="clear" w:color="FFFFFF" w:fill="FFFFFF"/>
            <w:vAlign w:val="bottom"/>
            <w:hideMark/>
          </w:tcPr>
          <w:p w:rsidR="00735613" w:rsidRDefault="00735613">
            <w:pPr>
              <w:jc w:val="center"/>
              <w:rPr>
                <w:rFonts w:cs="Arial"/>
                <w:b/>
                <w:bCs/>
                <w:sz w:val="16"/>
                <w:szCs w:val="16"/>
              </w:rPr>
            </w:pPr>
            <w:r>
              <w:rPr>
                <w:rFonts w:cs="Arial"/>
                <w:b/>
                <w:bCs/>
                <w:sz w:val="16"/>
                <w:szCs w:val="16"/>
              </w:rPr>
              <w:t>Capital Budget Appropriations applied in 2015</w:t>
            </w:r>
          </w:p>
        </w:tc>
        <w:tc>
          <w:tcPr>
            <w:tcW w:w="1236" w:type="dxa"/>
            <w:vMerge w:val="restart"/>
            <w:tcBorders>
              <w:top w:val="single" w:sz="4" w:space="0" w:color="auto"/>
              <w:left w:val="single" w:sz="4" w:space="0" w:color="auto"/>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Variance</w:t>
            </w:r>
            <w:r>
              <w:rPr>
                <w:rFonts w:cs="Arial"/>
                <w:b/>
                <w:bCs/>
                <w:sz w:val="16"/>
                <w:szCs w:val="16"/>
                <w:vertAlign w:val="superscript"/>
              </w:rPr>
              <w:t>3</w:t>
            </w:r>
          </w:p>
        </w:tc>
        <w:tc>
          <w:tcPr>
            <w:tcW w:w="1236"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tr w:rsidR="00735613" w:rsidTr="00735613">
        <w:trPr>
          <w:trHeight w:val="255"/>
        </w:trPr>
        <w:tc>
          <w:tcPr>
            <w:tcW w:w="2136" w:type="dxa"/>
            <w:tcBorders>
              <w:top w:val="nil"/>
              <w:left w:val="single" w:sz="4" w:space="0" w:color="auto"/>
              <w:bottom w:val="nil"/>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 </w:t>
            </w:r>
          </w:p>
        </w:tc>
        <w:tc>
          <w:tcPr>
            <w:tcW w:w="1456" w:type="dxa"/>
            <w:tcBorders>
              <w:top w:val="nil"/>
              <w:left w:val="nil"/>
              <w:bottom w:val="single" w:sz="4" w:space="0" w:color="auto"/>
              <w:right w:val="single" w:sz="4" w:space="0" w:color="auto"/>
            </w:tcBorders>
            <w:shd w:val="clear" w:color="FFFFFF" w:fill="FFFFFF"/>
            <w:vAlign w:val="bottom"/>
            <w:hideMark/>
          </w:tcPr>
          <w:p w:rsidR="00735613" w:rsidRDefault="00735613">
            <w:pPr>
              <w:rPr>
                <w:rFonts w:cs="Arial"/>
                <w:b/>
                <w:bCs/>
                <w:i/>
                <w:iCs/>
                <w:color w:val="000000"/>
                <w:sz w:val="16"/>
                <w:szCs w:val="16"/>
              </w:rPr>
            </w:pPr>
            <w:r>
              <w:rPr>
                <w:rFonts w:cs="Arial"/>
                <w:b/>
                <w:bCs/>
                <w:i/>
                <w:iCs/>
                <w:color w:val="000000"/>
                <w:sz w:val="16"/>
                <w:szCs w:val="16"/>
              </w:rPr>
              <w:t>Appropriation Act</w:t>
            </w:r>
          </w:p>
        </w:tc>
        <w:tc>
          <w:tcPr>
            <w:tcW w:w="1456" w:type="dxa"/>
            <w:tcBorders>
              <w:top w:val="nil"/>
              <w:left w:val="nil"/>
              <w:bottom w:val="single" w:sz="4" w:space="0" w:color="auto"/>
              <w:right w:val="single" w:sz="4" w:space="0" w:color="auto"/>
            </w:tcBorders>
            <w:shd w:val="clear" w:color="FFFFFF" w:fill="FFFFFF"/>
            <w:vAlign w:val="bottom"/>
            <w:hideMark/>
          </w:tcPr>
          <w:p w:rsidR="00735613" w:rsidRDefault="00735613">
            <w:pPr>
              <w:jc w:val="center"/>
              <w:rPr>
                <w:rFonts w:cs="Arial"/>
                <w:b/>
                <w:bCs/>
                <w:i/>
                <w:iCs/>
                <w:color w:val="000000"/>
                <w:sz w:val="16"/>
                <w:szCs w:val="16"/>
              </w:rPr>
            </w:pPr>
            <w:r>
              <w:rPr>
                <w:rFonts w:cs="Arial"/>
                <w:b/>
                <w:bCs/>
                <w:i/>
                <w:iCs/>
                <w:color w:val="000000"/>
                <w:sz w:val="16"/>
                <w:szCs w:val="16"/>
              </w:rPr>
              <w:t>PGPA Act</w:t>
            </w:r>
          </w:p>
        </w:tc>
        <w:tc>
          <w:tcPr>
            <w:tcW w:w="1236" w:type="dxa"/>
            <w:vMerge w:val="restart"/>
            <w:tcBorders>
              <w:top w:val="nil"/>
              <w:left w:val="single" w:sz="4" w:space="0" w:color="auto"/>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Total Capital Budget Appropriations</w:t>
            </w:r>
          </w:p>
        </w:tc>
        <w:tc>
          <w:tcPr>
            <w:tcW w:w="1456" w:type="dxa"/>
            <w:vMerge w:val="restart"/>
            <w:tcBorders>
              <w:top w:val="nil"/>
              <w:left w:val="single" w:sz="4" w:space="0" w:color="auto"/>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Payments for non-financial assets</w:t>
            </w:r>
            <w:r>
              <w:rPr>
                <w:rFonts w:cs="Arial"/>
                <w:b/>
                <w:bCs/>
                <w:sz w:val="16"/>
                <w:szCs w:val="16"/>
                <w:vertAlign w:val="superscript"/>
              </w:rPr>
              <w:t>2</w:t>
            </w:r>
          </w:p>
        </w:tc>
        <w:tc>
          <w:tcPr>
            <w:tcW w:w="1456" w:type="dxa"/>
            <w:vMerge w:val="restart"/>
            <w:tcBorders>
              <w:top w:val="nil"/>
              <w:left w:val="single" w:sz="4" w:space="0" w:color="auto"/>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Payments for other purposes</w:t>
            </w:r>
          </w:p>
        </w:tc>
        <w:tc>
          <w:tcPr>
            <w:tcW w:w="1236" w:type="dxa"/>
            <w:vMerge w:val="restart"/>
            <w:tcBorders>
              <w:top w:val="nil"/>
              <w:left w:val="single" w:sz="4" w:space="0" w:color="auto"/>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Total payments</w:t>
            </w:r>
          </w:p>
        </w:tc>
        <w:tc>
          <w:tcPr>
            <w:tcW w:w="1236" w:type="dxa"/>
            <w:vMerge/>
            <w:tcBorders>
              <w:top w:val="single" w:sz="4" w:space="0" w:color="auto"/>
              <w:left w:val="single" w:sz="4" w:space="0" w:color="auto"/>
              <w:bottom w:val="nil"/>
              <w:right w:val="single" w:sz="4" w:space="0" w:color="auto"/>
            </w:tcBorders>
            <w:vAlign w:val="center"/>
            <w:hideMark/>
          </w:tcPr>
          <w:p w:rsidR="00735613" w:rsidRDefault="00735613">
            <w:pPr>
              <w:rPr>
                <w:rFonts w:cs="Arial"/>
                <w:b/>
                <w:bCs/>
                <w:sz w:val="16"/>
                <w:szCs w:val="16"/>
              </w:rPr>
            </w:pPr>
          </w:p>
        </w:tc>
        <w:tc>
          <w:tcPr>
            <w:tcW w:w="1236"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tr w:rsidR="00735613" w:rsidTr="00735613">
        <w:trPr>
          <w:trHeight w:val="432"/>
        </w:trPr>
        <w:tc>
          <w:tcPr>
            <w:tcW w:w="2136" w:type="dxa"/>
            <w:tcBorders>
              <w:top w:val="nil"/>
              <w:left w:val="single" w:sz="4" w:space="0" w:color="auto"/>
              <w:bottom w:val="nil"/>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 </w:t>
            </w:r>
          </w:p>
        </w:tc>
        <w:tc>
          <w:tcPr>
            <w:tcW w:w="1456" w:type="dxa"/>
            <w:tcBorders>
              <w:top w:val="nil"/>
              <w:left w:val="nil"/>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Annual Capital Budget</w:t>
            </w:r>
          </w:p>
        </w:tc>
        <w:tc>
          <w:tcPr>
            <w:tcW w:w="1456" w:type="dxa"/>
            <w:tcBorders>
              <w:top w:val="nil"/>
              <w:left w:val="nil"/>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Section 75</w:t>
            </w:r>
          </w:p>
        </w:tc>
        <w:tc>
          <w:tcPr>
            <w:tcW w:w="1236" w:type="dxa"/>
            <w:vMerge/>
            <w:tcBorders>
              <w:top w:val="nil"/>
              <w:left w:val="single" w:sz="4" w:space="0" w:color="auto"/>
              <w:bottom w:val="nil"/>
              <w:right w:val="single" w:sz="4" w:space="0" w:color="auto"/>
            </w:tcBorders>
            <w:vAlign w:val="center"/>
            <w:hideMark/>
          </w:tcPr>
          <w:p w:rsidR="00735613" w:rsidRDefault="00735613">
            <w:pPr>
              <w:rPr>
                <w:rFonts w:cs="Arial"/>
                <w:b/>
                <w:bCs/>
                <w:sz w:val="16"/>
                <w:szCs w:val="16"/>
              </w:rPr>
            </w:pPr>
          </w:p>
        </w:tc>
        <w:tc>
          <w:tcPr>
            <w:tcW w:w="1456" w:type="dxa"/>
            <w:vMerge/>
            <w:tcBorders>
              <w:top w:val="nil"/>
              <w:left w:val="single" w:sz="4" w:space="0" w:color="auto"/>
              <w:bottom w:val="nil"/>
              <w:right w:val="single" w:sz="4" w:space="0" w:color="auto"/>
            </w:tcBorders>
            <w:vAlign w:val="center"/>
            <w:hideMark/>
          </w:tcPr>
          <w:p w:rsidR="00735613" w:rsidRDefault="00735613">
            <w:pPr>
              <w:rPr>
                <w:rFonts w:cs="Arial"/>
                <w:b/>
                <w:bCs/>
                <w:sz w:val="16"/>
                <w:szCs w:val="16"/>
              </w:rPr>
            </w:pPr>
          </w:p>
        </w:tc>
        <w:tc>
          <w:tcPr>
            <w:tcW w:w="1456" w:type="dxa"/>
            <w:vMerge/>
            <w:tcBorders>
              <w:top w:val="nil"/>
              <w:left w:val="single" w:sz="4" w:space="0" w:color="auto"/>
              <w:bottom w:val="nil"/>
              <w:right w:val="single" w:sz="4" w:space="0" w:color="auto"/>
            </w:tcBorders>
            <w:vAlign w:val="center"/>
            <w:hideMark/>
          </w:tcPr>
          <w:p w:rsidR="00735613" w:rsidRDefault="00735613">
            <w:pPr>
              <w:rPr>
                <w:rFonts w:cs="Arial"/>
                <w:b/>
                <w:bCs/>
                <w:sz w:val="16"/>
                <w:szCs w:val="16"/>
              </w:rPr>
            </w:pPr>
          </w:p>
        </w:tc>
        <w:tc>
          <w:tcPr>
            <w:tcW w:w="1236" w:type="dxa"/>
            <w:vMerge/>
            <w:tcBorders>
              <w:top w:val="nil"/>
              <w:left w:val="single" w:sz="4" w:space="0" w:color="auto"/>
              <w:bottom w:val="nil"/>
              <w:right w:val="single" w:sz="4" w:space="0" w:color="auto"/>
            </w:tcBorders>
            <w:vAlign w:val="center"/>
            <w:hideMark/>
          </w:tcPr>
          <w:p w:rsidR="00735613" w:rsidRDefault="00735613">
            <w:pPr>
              <w:rPr>
                <w:rFonts w:cs="Arial"/>
                <w:b/>
                <w:bCs/>
                <w:sz w:val="16"/>
                <w:szCs w:val="16"/>
              </w:rPr>
            </w:pPr>
          </w:p>
        </w:tc>
        <w:tc>
          <w:tcPr>
            <w:tcW w:w="1236" w:type="dxa"/>
            <w:vMerge/>
            <w:tcBorders>
              <w:top w:val="single" w:sz="4" w:space="0" w:color="auto"/>
              <w:left w:val="single" w:sz="4" w:space="0" w:color="auto"/>
              <w:bottom w:val="nil"/>
              <w:right w:val="single" w:sz="4" w:space="0" w:color="auto"/>
            </w:tcBorders>
            <w:vAlign w:val="center"/>
            <w:hideMark/>
          </w:tcPr>
          <w:p w:rsidR="00735613" w:rsidRDefault="00735613">
            <w:pPr>
              <w:rPr>
                <w:rFonts w:cs="Arial"/>
                <w:b/>
                <w:bCs/>
                <w:sz w:val="16"/>
                <w:szCs w:val="16"/>
              </w:rPr>
            </w:pPr>
          </w:p>
        </w:tc>
        <w:tc>
          <w:tcPr>
            <w:tcW w:w="1236"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tr w:rsidR="00735613" w:rsidTr="00735613">
        <w:trPr>
          <w:trHeight w:val="276"/>
        </w:trPr>
        <w:tc>
          <w:tcPr>
            <w:tcW w:w="2136" w:type="dxa"/>
            <w:tcBorders>
              <w:top w:val="nil"/>
              <w:left w:val="single" w:sz="4" w:space="0" w:color="auto"/>
              <w:bottom w:val="single" w:sz="4" w:space="0" w:color="auto"/>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 </w:t>
            </w:r>
          </w:p>
        </w:tc>
        <w:tc>
          <w:tcPr>
            <w:tcW w:w="145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45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23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45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45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23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23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236"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tr w:rsidR="00735613" w:rsidTr="00735613">
        <w:trPr>
          <w:trHeight w:val="276"/>
        </w:trPr>
        <w:tc>
          <w:tcPr>
            <w:tcW w:w="2136" w:type="dxa"/>
            <w:tcBorders>
              <w:top w:val="nil"/>
              <w:left w:val="single" w:sz="4" w:space="0" w:color="auto"/>
              <w:bottom w:val="nil"/>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DEPARTMENTAL</w:t>
            </w:r>
          </w:p>
        </w:tc>
        <w:tc>
          <w:tcPr>
            <w:tcW w:w="1456"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1456"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1236"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1456"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1456"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1236"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1236"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1236" w:type="dxa"/>
            <w:tcBorders>
              <w:top w:val="nil"/>
              <w:left w:val="nil"/>
              <w:bottom w:val="nil"/>
              <w:right w:val="nil"/>
            </w:tcBorders>
            <w:shd w:val="clear" w:color="auto" w:fill="auto"/>
            <w:noWrap/>
            <w:vAlign w:val="bottom"/>
            <w:hideMark/>
          </w:tcPr>
          <w:p w:rsidR="00735613" w:rsidRDefault="00735613">
            <w:pPr>
              <w:rPr>
                <w:rFonts w:cs="Arial"/>
                <w:sz w:val="16"/>
                <w:szCs w:val="16"/>
              </w:rPr>
            </w:pPr>
          </w:p>
        </w:tc>
      </w:tr>
      <w:tr w:rsidR="00735613" w:rsidTr="00735613">
        <w:trPr>
          <w:trHeight w:val="276"/>
        </w:trPr>
        <w:tc>
          <w:tcPr>
            <w:tcW w:w="2136" w:type="dxa"/>
            <w:tcBorders>
              <w:top w:val="nil"/>
              <w:left w:val="single" w:sz="4" w:space="0" w:color="auto"/>
              <w:bottom w:val="nil"/>
              <w:right w:val="single" w:sz="4" w:space="0" w:color="auto"/>
            </w:tcBorders>
            <w:shd w:val="clear" w:color="FFFFFF" w:fill="FFFFFF"/>
            <w:vAlign w:val="bottom"/>
            <w:hideMark/>
          </w:tcPr>
          <w:p w:rsidR="00735613" w:rsidRDefault="00735613">
            <w:pPr>
              <w:ind w:firstLineChars="100" w:firstLine="161"/>
              <w:rPr>
                <w:rFonts w:cs="Arial"/>
                <w:b/>
                <w:bCs/>
                <w:color w:val="000000"/>
                <w:sz w:val="16"/>
                <w:szCs w:val="16"/>
              </w:rPr>
            </w:pPr>
            <w:r>
              <w:rPr>
                <w:rFonts w:cs="Arial"/>
                <w:b/>
                <w:bCs/>
                <w:color w:val="000000"/>
                <w:sz w:val="16"/>
                <w:szCs w:val="16"/>
              </w:rPr>
              <w:t>Ordinary annual services</w:t>
            </w:r>
          </w:p>
        </w:tc>
        <w:tc>
          <w:tcPr>
            <w:tcW w:w="1456"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w:t>
            </w:r>
          </w:p>
        </w:tc>
        <w:tc>
          <w:tcPr>
            <w:tcW w:w="1456"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w:t>
            </w:r>
          </w:p>
        </w:tc>
        <w:tc>
          <w:tcPr>
            <w:tcW w:w="1236"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w:t>
            </w:r>
          </w:p>
        </w:tc>
        <w:tc>
          <w:tcPr>
            <w:tcW w:w="1456"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w:t>
            </w:r>
          </w:p>
        </w:tc>
        <w:tc>
          <w:tcPr>
            <w:tcW w:w="1456"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w:t>
            </w:r>
          </w:p>
        </w:tc>
        <w:tc>
          <w:tcPr>
            <w:tcW w:w="1236"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w:t>
            </w:r>
          </w:p>
        </w:tc>
        <w:tc>
          <w:tcPr>
            <w:tcW w:w="1236"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w:t>
            </w:r>
          </w:p>
        </w:tc>
        <w:tc>
          <w:tcPr>
            <w:tcW w:w="1236"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tr w:rsidR="00735613" w:rsidTr="00735613">
        <w:trPr>
          <w:trHeight w:val="276"/>
        </w:trPr>
        <w:tc>
          <w:tcPr>
            <w:tcW w:w="2136" w:type="dxa"/>
            <w:tcBorders>
              <w:top w:val="nil"/>
              <w:left w:val="single" w:sz="4" w:space="0" w:color="auto"/>
              <w:bottom w:val="single" w:sz="4" w:space="0" w:color="auto"/>
              <w:right w:val="single" w:sz="4" w:space="0" w:color="auto"/>
            </w:tcBorders>
            <w:shd w:val="clear" w:color="FFFFFF" w:fill="FFFFFF"/>
            <w:vAlign w:val="bottom"/>
            <w:hideMark/>
          </w:tcPr>
          <w:p w:rsidR="00735613" w:rsidRDefault="00735613">
            <w:pPr>
              <w:ind w:firstLineChars="200" w:firstLine="320"/>
              <w:rPr>
                <w:rFonts w:cs="Arial"/>
                <w:color w:val="000000"/>
                <w:sz w:val="16"/>
                <w:szCs w:val="16"/>
              </w:rPr>
            </w:pPr>
            <w:r>
              <w:rPr>
                <w:rFonts w:cs="Arial"/>
                <w:color w:val="000000"/>
                <w:sz w:val="16"/>
                <w:szCs w:val="16"/>
              </w:rPr>
              <w:t>Capital Budget</w:t>
            </w:r>
            <w:r>
              <w:rPr>
                <w:rFonts w:cs="Arial"/>
                <w:color w:val="000000"/>
                <w:sz w:val="16"/>
                <w:szCs w:val="16"/>
                <w:vertAlign w:val="superscript"/>
              </w:rPr>
              <w:t>1</w:t>
            </w:r>
          </w:p>
        </w:tc>
        <w:tc>
          <w:tcPr>
            <w:tcW w:w="145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22,536 </w:t>
            </w:r>
          </w:p>
        </w:tc>
        <w:tc>
          <w:tcPr>
            <w:tcW w:w="145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505 </w:t>
            </w:r>
          </w:p>
        </w:tc>
        <w:tc>
          <w:tcPr>
            <w:tcW w:w="123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23,041 </w:t>
            </w:r>
          </w:p>
        </w:tc>
        <w:tc>
          <w:tcPr>
            <w:tcW w:w="145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18,299 </w:t>
            </w:r>
          </w:p>
        </w:tc>
        <w:tc>
          <w:tcPr>
            <w:tcW w:w="145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 -</w:t>
            </w:r>
          </w:p>
        </w:tc>
        <w:tc>
          <w:tcPr>
            <w:tcW w:w="123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18,299 </w:t>
            </w:r>
          </w:p>
        </w:tc>
        <w:tc>
          <w:tcPr>
            <w:tcW w:w="123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4,742 </w:t>
            </w:r>
          </w:p>
        </w:tc>
        <w:tc>
          <w:tcPr>
            <w:tcW w:w="1236"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tbl>
    <w:p w:rsidR="00735613" w:rsidRDefault="00735613" w:rsidP="00735613">
      <w:pPr>
        <w:pStyle w:val="AdminBlankGreyShade"/>
      </w:pPr>
      <w:bookmarkStart w:id="580" w:name="RANGE!D7:L18"/>
      <w:bookmarkStart w:id="581" w:name="RANGE!D7:L19"/>
      <w:bookmarkEnd w:id="580"/>
      <w:bookmarkEnd w:id="581"/>
      <w:r>
        <w:t>Notes:</w:t>
      </w:r>
    </w:p>
    <w:p w:rsidR="00735613" w:rsidRDefault="00735613" w:rsidP="00735613">
      <w:pPr>
        <w:pStyle w:val="AdminBlankGreyShade"/>
      </w:pPr>
      <w:r>
        <w:t xml:space="preserve">1. Departmental and Administered Capital Budgets are appropriated through Appropriation Acts (No.1, 3 &amp; 5). They form part of ordinary annual services and are not separately </w:t>
      </w:r>
      <w:r>
        <w:br/>
        <w:t>identified in the Appropriation Acts. For more information on ordinary annual services appropriation, please see Table A: Annual appropriations.</w:t>
      </w:r>
    </w:p>
    <w:p w:rsidR="00735613" w:rsidRDefault="00735613" w:rsidP="00735613">
      <w:pPr>
        <w:pStyle w:val="AdminBlankGreyShade"/>
      </w:pPr>
      <w:r>
        <w:t xml:space="preserve">2. Payments made on non–financial assets include purchase of assets, expenditure on assets which has been capitalised, costs incurred to make good an asset to its original </w:t>
      </w:r>
      <w:r>
        <w:br/>
        <w:t xml:space="preserve">condition, and the capital repayment component of finance leases. </w:t>
      </w:r>
    </w:p>
    <w:p w:rsidR="00735613" w:rsidRDefault="00735613" w:rsidP="00735613">
      <w:pPr>
        <w:pStyle w:val="AdminBlankGreyShade"/>
      </w:pPr>
      <w:r>
        <w:t xml:space="preserve">3. In 2014–15 there was a $3.850 million reduction to appropriation made under a section 51 determination. </w:t>
      </w:r>
    </w:p>
    <w:p w:rsidR="00735613" w:rsidRPr="000E1B70" w:rsidRDefault="00735613" w:rsidP="00735613">
      <w:pPr>
        <w:pStyle w:val="12line"/>
        <w:rPr>
          <w:lang w:eastAsia="en-AU"/>
        </w:rPr>
      </w:pPr>
    </w:p>
    <w:tbl>
      <w:tblPr>
        <w:tblW w:w="13991" w:type="dxa"/>
        <w:tblInd w:w="80" w:type="dxa"/>
        <w:tblLayout w:type="fixed"/>
        <w:tblLook w:val="04A0" w:firstRow="1" w:lastRow="0" w:firstColumn="1" w:lastColumn="0" w:noHBand="0" w:noVBand="1"/>
      </w:tblPr>
      <w:tblGrid>
        <w:gridCol w:w="2315"/>
        <w:gridCol w:w="1579"/>
        <w:gridCol w:w="1579"/>
        <w:gridCol w:w="1340"/>
        <w:gridCol w:w="1579"/>
        <w:gridCol w:w="1579"/>
        <w:gridCol w:w="1340"/>
        <w:gridCol w:w="1340"/>
        <w:gridCol w:w="1340"/>
      </w:tblGrid>
      <w:tr w:rsidR="00735613" w:rsidTr="00735613">
        <w:trPr>
          <w:trHeight w:val="276"/>
        </w:trPr>
        <w:tc>
          <w:tcPr>
            <w:tcW w:w="2136" w:type="dxa"/>
            <w:tcBorders>
              <w:top w:val="single" w:sz="4" w:space="0" w:color="auto"/>
              <w:left w:val="single" w:sz="4" w:space="0" w:color="auto"/>
              <w:bottom w:val="nil"/>
              <w:right w:val="single" w:sz="4" w:space="0" w:color="auto"/>
            </w:tcBorders>
            <w:shd w:val="clear" w:color="FFFFFF" w:fill="FFFFFF"/>
            <w:vAlign w:val="bottom"/>
            <w:hideMark/>
          </w:tcPr>
          <w:p w:rsidR="00735613" w:rsidRDefault="00735613">
            <w:pPr>
              <w:rPr>
                <w:rFonts w:cs="Arial"/>
                <w:b/>
                <w:bCs/>
                <w:color w:val="000000"/>
                <w:sz w:val="16"/>
                <w:szCs w:val="16"/>
              </w:rPr>
            </w:pPr>
            <w:bookmarkStart w:id="582" w:name="Note_DCBTABLE2" w:colFirst="0" w:colLast="0"/>
            <w:r>
              <w:rPr>
                <w:rFonts w:cs="Arial"/>
                <w:b/>
                <w:bCs/>
                <w:color w:val="000000"/>
                <w:sz w:val="16"/>
                <w:szCs w:val="16"/>
              </w:rPr>
              <w:t> </w:t>
            </w:r>
          </w:p>
        </w:tc>
        <w:tc>
          <w:tcPr>
            <w:tcW w:w="4148" w:type="dxa"/>
            <w:gridSpan w:val="3"/>
            <w:tcBorders>
              <w:top w:val="single" w:sz="4" w:space="0" w:color="auto"/>
              <w:left w:val="nil"/>
              <w:bottom w:val="single" w:sz="4" w:space="0" w:color="auto"/>
              <w:right w:val="single" w:sz="4" w:space="0" w:color="000000"/>
            </w:tcBorders>
            <w:shd w:val="clear" w:color="FFFFFF" w:fill="FFFFFF"/>
            <w:vAlign w:val="bottom"/>
            <w:hideMark/>
          </w:tcPr>
          <w:p w:rsidR="00735613" w:rsidRDefault="00735613">
            <w:pPr>
              <w:jc w:val="center"/>
              <w:rPr>
                <w:rFonts w:cs="Arial"/>
                <w:b/>
                <w:bCs/>
                <w:sz w:val="16"/>
                <w:szCs w:val="16"/>
              </w:rPr>
            </w:pPr>
            <w:r>
              <w:rPr>
                <w:rFonts w:cs="Arial"/>
                <w:b/>
                <w:bCs/>
                <w:sz w:val="16"/>
                <w:szCs w:val="16"/>
              </w:rPr>
              <w:t>2014 Capital Budget Appropriations</w:t>
            </w:r>
          </w:p>
        </w:tc>
        <w:tc>
          <w:tcPr>
            <w:tcW w:w="4148" w:type="dxa"/>
            <w:gridSpan w:val="3"/>
            <w:tcBorders>
              <w:top w:val="single" w:sz="4" w:space="0" w:color="auto"/>
              <w:left w:val="nil"/>
              <w:bottom w:val="single" w:sz="4" w:space="0" w:color="auto"/>
              <w:right w:val="single" w:sz="4" w:space="0" w:color="000000"/>
            </w:tcBorders>
            <w:shd w:val="clear" w:color="FFFFFF" w:fill="FFFFFF"/>
            <w:vAlign w:val="bottom"/>
            <w:hideMark/>
          </w:tcPr>
          <w:p w:rsidR="00735613" w:rsidRDefault="00735613">
            <w:pPr>
              <w:jc w:val="center"/>
              <w:rPr>
                <w:rFonts w:cs="Arial"/>
                <w:b/>
                <w:bCs/>
                <w:sz w:val="16"/>
                <w:szCs w:val="16"/>
              </w:rPr>
            </w:pPr>
            <w:r>
              <w:rPr>
                <w:rFonts w:cs="Arial"/>
                <w:b/>
                <w:bCs/>
                <w:sz w:val="16"/>
                <w:szCs w:val="16"/>
              </w:rPr>
              <w:t>Capital Budget Appropriations applied in 2014</w:t>
            </w:r>
          </w:p>
        </w:tc>
        <w:tc>
          <w:tcPr>
            <w:tcW w:w="1236" w:type="dxa"/>
            <w:vMerge w:val="restart"/>
            <w:tcBorders>
              <w:top w:val="single" w:sz="4" w:space="0" w:color="auto"/>
              <w:left w:val="single" w:sz="4" w:space="0" w:color="auto"/>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Variance</w:t>
            </w:r>
          </w:p>
        </w:tc>
        <w:tc>
          <w:tcPr>
            <w:tcW w:w="1236"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bookmarkEnd w:id="582"/>
      <w:tr w:rsidR="00735613" w:rsidTr="00735613">
        <w:trPr>
          <w:trHeight w:val="255"/>
        </w:trPr>
        <w:tc>
          <w:tcPr>
            <w:tcW w:w="2136" w:type="dxa"/>
            <w:tcBorders>
              <w:top w:val="nil"/>
              <w:left w:val="single" w:sz="4" w:space="0" w:color="auto"/>
              <w:bottom w:val="nil"/>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 </w:t>
            </w:r>
          </w:p>
        </w:tc>
        <w:tc>
          <w:tcPr>
            <w:tcW w:w="1456" w:type="dxa"/>
            <w:tcBorders>
              <w:top w:val="nil"/>
              <w:left w:val="nil"/>
              <w:bottom w:val="single" w:sz="4" w:space="0" w:color="auto"/>
              <w:right w:val="single" w:sz="4" w:space="0" w:color="auto"/>
            </w:tcBorders>
            <w:shd w:val="clear" w:color="FFFFFF" w:fill="FFFFFF"/>
            <w:vAlign w:val="bottom"/>
            <w:hideMark/>
          </w:tcPr>
          <w:p w:rsidR="00735613" w:rsidRDefault="00735613">
            <w:pPr>
              <w:rPr>
                <w:rFonts w:cs="Arial"/>
                <w:b/>
                <w:bCs/>
                <w:i/>
                <w:iCs/>
                <w:color w:val="000000"/>
                <w:sz w:val="16"/>
                <w:szCs w:val="16"/>
              </w:rPr>
            </w:pPr>
            <w:r>
              <w:rPr>
                <w:rFonts w:cs="Arial"/>
                <w:b/>
                <w:bCs/>
                <w:i/>
                <w:iCs/>
                <w:color w:val="000000"/>
                <w:sz w:val="16"/>
                <w:szCs w:val="16"/>
              </w:rPr>
              <w:t>Appropriation Act</w:t>
            </w:r>
          </w:p>
        </w:tc>
        <w:tc>
          <w:tcPr>
            <w:tcW w:w="1456" w:type="dxa"/>
            <w:tcBorders>
              <w:top w:val="nil"/>
              <w:left w:val="nil"/>
              <w:bottom w:val="single" w:sz="4" w:space="0" w:color="auto"/>
              <w:right w:val="single" w:sz="4" w:space="0" w:color="auto"/>
            </w:tcBorders>
            <w:shd w:val="clear" w:color="FFFFFF" w:fill="FFFFFF"/>
            <w:vAlign w:val="bottom"/>
            <w:hideMark/>
          </w:tcPr>
          <w:p w:rsidR="00735613" w:rsidRDefault="00735613">
            <w:pPr>
              <w:jc w:val="center"/>
              <w:rPr>
                <w:rFonts w:cs="Arial"/>
                <w:b/>
                <w:bCs/>
                <w:i/>
                <w:iCs/>
                <w:color w:val="000000"/>
                <w:sz w:val="16"/>
                <w:szCs w:val="16"/>
              </w:rPr>
            </w:pPr>
            <w:r>
              <w:rPr>
                <w:rFonts w:cs="Arial"/>
                <w:b/>
                <w:bCs/>
                <w:i/>
                <w:iCs/>
                <w:color w:val="000000"/>
                <w:sz w:val="16"/>
                <w:szCs w:val="16"/>
              </w:rPr>
              <w:t>FMA Act</w:t>
            </w:r>
          </w:p>
        </w:tc>
        <w:tc>
          <w:tcPr>
            <w:tcW w:w="1236" w:type="dxa"/>
            <w:vMerge w:val="restart"/>
            <w:tcBorders>
              <w:top w:val="nil"/>
              <w:left w:val="single" w:sz="4" w:space="0" w:color="auto"/>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Total Capital Budget Appropriations</w:t>
            </w:r>
          </w:p>
        </w:tc>
        <w:tc>
          <w:tcPr>
            <w:tcW w:w="1456" w:type="dxa"/>
            <w:vMerge w:val="restart"/>
            <w:tcBorders>
              <w:top w:val="nil"/>
              <w:left w:val="single" w:sz="4" w:space="0" w:color="auto"/>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Payments for non-financial assets</w:t>
            </w:r>
            <w:r>
              <w:rPr>
                <w:rFonts w:cs="Arial"/>
                <w:b/>
                <w:bCs/>
                <w:sz w:val="16"/>
                <w:szCs w:val="16"/>
                <w:vertAlign w:val="superscript"/>
              </w:rPr>
              <w:t>2</w:t>
            </w:r>
          </w:p>
        </w:tc>
        <w:tc>
          <w:tcPr>
            <w:tcW w:w="1456" w:type="dxa"/>
            <w:vMerge w:val="restart"/>
            <w:tcBorders>
              <w:top w:val="nil"/>
              <w:left w:val="single" w:sz="4" w:space="0" w:color="auto"/>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Payments for other purposes</w:t>
            </w:r>
          </w:p>
        </w:tc>
        <w:tc>
          <w:tcPr>
            <w:tcW w:w="1236" w:type="dxa"/>
            <w:vMerge w:val="restart"/>
            <w:tcBorders>
              <w:top w:val="nil"/>
              <w:left w:val="single" w:sz="4" w:space="0" w:color="auto"/>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Total payments</w:t>
            </w:r>
          </w:p>
        </w:tc>
        <w:tc>
          <w:tcPr>
            <w:tcW w:w="1236" w:type="dxa"/>
            <w:vMerge/>
            <w:tcBorders>
              <w:top w:val="single" w:sz="4" w:space="0" w:color="auto"/>
              <w:left w:val="single" w:sz="4" w:space="0" w:color="auto"/>
              <w:bottom w:val="nil"/>
              <w:right w:val="single" w:sz="4" w:space="0" w:color="auto"/>
            </w:tcBorders>
            <w:vAlign w:val="center"/>
            <w:hideMark/>
          </w:tcPr>
          <w:p w:rsidR="00735613" w:rsidRDefault="00735613">
            <w:pPr>
              <w:rPr>
                <w:rFonts w:cs="Arial"/>
                <w:b/>
                <w:bCs/>
                <w:sz w:val="16"/>
                <w:szCs w:val="16"/>
              </w:rPr>
            </w:pPr>
          </w:p>
        </w:tc>
        <w:tc>
          <w:tcPr>
            <w:tcW w:w="1236"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tr w:rsidR="00735613" w:rsidTr="00735613">
        <w:trPr>
          <w:trHeight w:val="432"/>
        </w:trPr>
        <w:tc>
          <w:tcPr>
            <w:tcW w:w="2136" w:type="dxa"/>
            <w:tcBorders>
              <w:top w:val="nil"/>
              <w:left w:val="single" w:sz="4" w:space="0" w:color="auto"/>
              <w:bottom w:val="nil"/>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 </w:t>
            </w:r>
          </w:p>
        </w:tc>
        <w:tc>
          <w:tcPr>
            <w:tcW w:w="1456" w:type="dxa"/>
            <w:tcBorders>
              <w:top w:val="nil"/>
              <w:left w:val="nil"/>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Annual Capital Budget</w:t>
            </w:r>
          </w:p>
        </w:tc>
        <w:tc>
          <w:tcPr>
            <w:tcW w:w="1456" w:type="dxa"/>
            <w:tcBorders>
              <w:top w:val="nil"/>
              <w:left w:val="nil"/>
              <w:bottom w:val="nil"/>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Section 32</w:t>
            </w:r>
          </w:p>
        </w:tc>
        <w:tc>
          <w:tcPr>
            <w:tcW w:w="1236" w:type="dxa"/>
            <w:vMerge/>
            <w:tcBorders>
              <w:top w:val="nil"/>
              <w:left w:val="single" w:sz="4" w:space="0" w:color="auto"/>
              <w:bottom w:val="nil"/>
              <w:right w:val="single" w:sz="4" w:space="0" w:color="auto"/>
            </w:tcBorders>
            <w:vAlign w:val="center"/>
            <w:hideMark/>
          </w:tcPr>
          <w:p w:rsidR="00735613" w:rsidRDefault="00735613">
            <w:pPr>
              <w:rPr>
                <w:rFonts w:cs="Arial"/>
                <w:b/>
                <w:bCs/>
                <w:sz w:val="16"/>
                <w:szCs w:val="16"/>
              </w:rPr>
            </w:pPr>
          </w:p>
        </w:tc>
        <w:tc>
          <w:tcPr>
            <w:tcW w:w="1456" w:type="dxa"/>
            <w:vMerge/>
            <w:tcBorders>
              <w:top w:val="nil"/>
              <w:left w:val="single" w:sz="4" w:space="0" w:color="auto"/>
              <w:bottom w:val="nil"/>
              <w:right w:val="single" w:sz="4" w:space="0" w:color="auto"/>
            </w:tcBorders>
            <w:vAlign w:val="center"/>
            <w:hideMark/>
          </w:tcPr>
          <w:p w:rsidR="00735613" w:rsidRDefault="00735613">
            <w:pPr>
              <w:rPr>
                <w:rFonts w:cs="Arial"/>
                <w:b/>
                <w:bCs/>
                <w:sz w:val="16"/>
                <w:szCs w:val="16"/>
              </w:rPr>
            </w:pPr>
          </w:p>
        </w:tc>
        <w:tc>
          <w:tcPr>
            <w:tcW w:w="1456" w:type="dxa"/>
            <w:vMerge/>
            <w:tcBorders>
              <w:top w:val="nil"/>
              <w:left w:val="single" w:sz="4" w:space="0" w:color="auto"/>
              <w:bottom w:val="nil"/>
              <w:right w:val="single" w:sz="4" w:space="0" w:color="auto"/>
            </w:tcBorders>
            <w:vAlign w:val="center"/>
            <w:hideMark/>
          </w:tcPr>
          <w:p w:rsidR="00735613" w:rsidRDefault="00735613">
            <w:pPr>
              <w:rPr>
                <w:rFonts w:cs="Arial"/>
                <w:b/>
                <w:bCs/>
                <w:sz w:val="16"/>
                <w:szCs w:val="16"/>
              </w:rPr>
            </w:pPr>
          </w:p>
        </w:tc>
        <w:tc>
          <w:tcPr>
            <w:tcW w:w="1236" w:type="dxa"/>
            <w:vMerge/>
            <w:tcBorders>
              <w:top w:val="nil"/>
              <w:left w:val="single" w:sz="4" w:space="0" w:color="auto"/>
              <w:bottom w:val="nil"/>
              <w:right w:val="single" w:sz="4" w:space="0" w:color="auto"/>
            </w:tcBorders>
            <w:vAlign w:val="center"/>
            <w:hideMark/>
          </w:tcPr>
          <w:p w:rsidR="00735613" w:rsidRDefault="00735613">
            <w:pPr>
              <w:rPr>
                <w:rFonts w:cs="Arial"/>
                <w:b/>
                <w:bCs/>
                <w:sz w:val="16"/>
                <w:szCs w:val="16"/>
              </w:rPr>
            </w:pPr>
          </w:p>
        </w:tc>
        <w:tc>
          <w:tcPr>
            <w:tcW w:w="1236" w:type="dxa"/>
            <w:vMerge/>
            <w:tcBorders>
              <w:top w:val="single" w:sz="4" w:space="0" w:color="auto"/>
              <w:left w:val="single" w:sz="4" w:space="0" w:color="auto"/>
              <w:bottom w:val="nil"/>
              <w:right w:val="single" w:sz="4" w:space="0" w:color="auto"/>
            </w:tcBorders>
            <w:vAlign w:val="center"/>
            <w:hideMark/>
          </w:tcPr>
          <w:p w:rsidR="00735613" w:rsidRDefault="00735613">
            <w:pPr>
              <w:rPr>
                <w:rFonts w:cs="Arial"/>
                <w:b/>
                <w:bCs/>
                <w:sz w:val="16"/>
                <w:szCs w:val="16"/>
              </w:rPr>
            </w:pPr>
          </w:p>
        </w:tc>
        <w:tc>
          <w:tcPr>
            <w:tcW w:w="1236"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tr w:rsidR="00735613" w:rsidTr="00735613">
        <w:trPr>
          <w:trHeight w:val="276"/>
        </w:trPr>
        <w:tc>
          <w:tcPr>
            <w:tcW w:w="2136" w:type="dxa"/>
            <w:tcBorders>
              <w:top w:val="nil"/>
              <w:left w:val="single" w:sz="4" w:space="0" w:color="auto"/>
              <w:bottom w:val="single" w:sz="4" w:space="0" w:color="auto"/>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 </w:t>
            </w:r>
          </w:p>
        </w:tc>
        <w:tc>
          <w:tcPr>
            <w:tcW w:w="145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45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23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45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45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23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23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 w:val="16"/>
                <w:szCs w:val="16"/>
              </w:rPr>
            </w:pPr>
            <w:r>
              <w:rPr>
                <w:rFonts w:cs="Arial"/>
                <w:b/>
                <w:bCs/>
                <w:sz w:val="16"/>
                <w:szCs w:val="16"/>
              </w:rPr>
              <w:t>$'000</w:t>
            </w:r>
          </w:p>
        </w:tc>
        <w:tc>
          <w:tcPr>
            <w:tcW w:w="1236" w:type="dxa"/>
            <w:tcBorders>
              <w:top w:val="nil"/>
              <w:left w:val="nil"/>
              <w:bottom w:val="nil"/>
              <w:right w:val="nil"/>
            </w:tcBorders>
            <w:shd w:val="clear" w:color="auto" w:fill="auto"/>
            <w:noWrap/>
            <w:vAlign w:val="bottom"/>
            <w:hideMark/>
          </w:tcPr>
          <w:p w:rsidR="00735613" w:rsidRDefault="00735613">
            <w:pPr>
              <w:jc w:val="right"/>
              <w:rPr>
                <w:rFonts w:cs="Arial"/>
                <w:b/>
                <w:bCs/>
                <w:sz w:val="16"/>
                <w:szCs w:val="16"/>
              </w:rPr>
            </w:pPr>
          </w:p>
        </w:tc>
      </w:tr>
      <w:tr w:rsidR="00735613" w:rsidTr="00735613">
        <w:trPr>
          <w:trHeight w:val="276"/>
        </w:trPr>
        <w:tc>
          <w:tcPr>
            <w:tcW w:w="2136" w:type="dxa"/>
            <w:tcBorders>
              <w:top w:val="nil"/>
              <w:left w:val="single" w:sz="4" w:space="0" w:color="auto"/>
              <w:bottom w:val="nil"/>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DEPARTMENTAL</w:t>
            </w:r>
          </w:p>
        </w:tc>
        <w:tc>
          <w:tcPr>
            <w:tcW w:w="1456"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1456"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1236"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1456"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1456" w:type="dxa"/>
            <w:tcBorders>
              <w:top w:val="nil"/>
              <w:left w:val="nil"/>
              <w:bottom w:val="nil"/>
              <w:right w:val="single" w:sz="4" w:space="0" w:color="auto"/>
            </w:tcBorders>
            <w:shd w:val="clear" w:color="FFFFFF" w:fill="FFFFFF"/>
            <w:vAlign w:val="bottom"/>
            <w:hideMark/>
          </w:tcPr>
          <w:p w:rsidR="00735613" w:rsidRDefault="00735613">
            <w:pPr>
              <w:rPr>
                <w:rFonts w:cs="Arial"/>
                <w:sz w:val="16"/>
                <w:szCs w:val="16"/>
              </w:rPr>
            </w:pPr>
            <w:r>
              <w:rPr>
                <w:rFonts w:cs="Arial"/>
                <w:sz w:val="16"/>
                <w:szCs w:val="16"/>
              </w:rPr>
              <w:t> </w:t>
            </w:r>
          </w:p>
        </w:tc>
        <w:tc>
          <w:tcPr>
            <w:tcW w:w="1236" w:type="dxa"/>
            <w:tcBorders>
              <w:top w:val="nil"/>
              <w:left w:val="nil"/>
              <w:bottom w:val="nil"/>
              <w:right w:val="nil"/>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 </w:t>
            </w:r>
          </w:p>
        </w:tc>
        <w:tc>
          <w:tcPr>
            <w:tcW w:w="1236" w:type="dxa"/>
            <w:tcBorders>
              <w:top w:val="nil"/>
              <w:left w:val="single" w:sz="4" w:space="0" w:color="auto"/>
              <w:bottom w:val="nil"/>
              <w:right w:val="single" w:sz="4" w:space="0" w:color="auto"/>
            </w:tcBorders>
            <w:shd w:val="clear" w:color="FFFFFF" w:fill="FFFFFF"/>
            <w:vAlign w:val="bottom"/>
            <w:hideMark/>
          </w:tcPr>
          <w:p w:rsidR="00735613" w:rsidRDefault="00735613">
            <w:pPr>
              <w:rPr>
                <w:rFonts w:cs="Arial"/>
                <w:b/>
                <w:bCs/>
                <w:color w:val="000000"/>
                <w:sz w:val="16"/>
                <w:szCs w:val="16"/>
              </w:rPr>
            </w:pPr>
            <w:r>
              <w:rPr>
                <w:rFonts w:cs="Arial"/>
                <w:b/>
                <w:bCs/>
                <w:color w:val="000000"/>
                <w:sz w:val="16"/>
                <w:szCs w:val="16"/>
              </w:rPr>
              <w:t> </w:t>
            </w:r>
          </w:p>
        </w:tc>
        <w:tc>
          <w:tcPr>
            <w:tcW w:w="1236" w:type="dxa"/>
            <w:tcBorders>
              <w:top w:val="nil"/>
              <w:left w:val="nil"/>
              <w:bottom w:val="nil"/>
              <w:right w:val="nil"/>
            </w:tcBorders>
            <w:shd w:val="clear" w:color="auto" w:fill="auto"/>
            <w:noWrap/>
            <w:vAlign w:val="bottom"/>
            <w:hideMark/>
          </w:tcPr>
          <w:p w:rsidR="00735613" w:rsidRDefault="00735613">
            <w:pPr>
              <w:rPr>
                <w:rFonts w:cs="Arial"/>
                <w:b/>
                <w:bCs/>
                <w:color w:val="000000"/>
                <w:sz w:val="16"/>
                <w:szCs w:val="16"/>
              </w:rPr>
            </w:pPr>
          </w:p>
        </w:tc>
      </w:tr>
      <w:tr w:rsidR="00735613" w:rsidTr="00735613">
        <w:trPr>
          <w:trHeight w:val="276"/>
        </w:trPr>
        <w:tc>
          <w:tcPr>
            <w:tcW w:w="2136" w:type="dxa"/>
            <w:tcBorders>
              <w:top w:val="nil"/>
              <w:left w:val="single" w:sz="4" w:space="0" w:color="auto"/>
              <w:bottom w:val="nil"/>
              <w:right w:val="single" w:sz="4" w:space="0" w:color="auto"/>
            </w:tcBorders>
            <w:shd w:val="clear" w:color="FFFFFF" w:fill="FFFFFF"/>
            <w:vAlign w:val="bottom"/>
            <w:hideMark/>
          </w:tcPr>
          <w:p w:rsidR="00735613" w:rsidRDefault="00735613">
            <w:pPr>
              <w:ind w:firstLineChars="100" w:firstLine="161"/>
              <w:rPr>
                <w:rFonts w:cs="Arial"/>
                <w:b/>
                <w:bCs/>
                <w:color w:val="000000"/>
                <w:sz w:val="16"/>
                <w:szCs w:val="16"/>
              </w:rPr>
            </w:pPr>
            <w:r>
              <w:rPr>
                <w:rFonts w:cs="Arial"/>
                <w:b/>
                <w:bCs/>
                <w:color w:val="000000"/>
                <w:sz w:val="16"/>
                <w:szCs w:val="16"/>
              </w:rPr>
              <w:t>Ordinary annual services</w:t>
            </w:r>
          </w:p>
        </w:tc>
        <w:tc>
          <w:tcPr>
            <w:tcW w:w="1456"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w:t>
            </w:r>
          </w:p>
        </w:tc>
        <w:tc>
          <w:tcPr>
            <w:tcW w:w="1456"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w:t>
            </w:r>
          </w:p>
        </w:tc>
        <w:tc>
          <w:tcPr>
            <w:tcW w:w="1236"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w:t>
            </w:r>
          </w:p>
        </w:tc>
        <w:tc>
          <w:tcPr>
            <w:tcW w:w="1456"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w:t>
            </w:r>
          </w:p>
        </w:tc>
        <w:tc>
          <w:tcPr>
            <w:tcW w:w="1456"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w:t>
            </w:r>
          </w:p>
        </w:tc>
        <w:tc>
          <w:tcPr>
            <w:tcW w:w="1236"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w:t>
            </w:r>
          </w:p>
        </w:tc>
        <w:tc>
          <w:tcPr>
            <w:tcW w:w="1236" w:type="dxa"/>
            <w:tcBorders>
              <w:top w:val="nil"/>
              <w:left w:val="nil"/>
              <w:bottom w:val="nil"/>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w:t>
            </w:r>
          </w:p>
        </w:tc>
        <w:tc>
          <w:tcPr>
            <w:tcW w:w="1236" w:type="dxa"/>
            <w:tcBorders>
              <w:top w:val="nil"/>
              <w:left w:val="nil"/>
              <w:bottom w:val="nil"/>
              <w:right w:val="nil"/>
            </w:tcBorders>
            <w:shd w:val="clear" w:color="auto" w:fill="auto"/>
            <w:noWrap/>
            <w:vAlign w:val="bottom"/>
            <w:hideMark/>
          </w:tcPr>
          <w:p w:rsidR="00735613" w:rsidRDefault="00735613">
            <w:pPr>
              <w:jc w:val="right"/>
              <w:rPr>
                <w:rFonts w:cs="Arial"/>
                <w:sz w:val="16"/>
                <w:szCs w:val="16"/>
              </w:rPr>
            </w:pPr>
          </w:p>
        </w:tc>
      </w:tr>
      <w:tr w:rsidR="00735613" w:rsidTr="00735613">
        <w:trPr>
          <w:trHeight w:val="276"/>
        </w:trPr>
        <w:tc>
          <w:tcPr>
            <w:tcW w:w="2136" w:type="dxa"/>
            <w:tcBorders>
              <w:top w:val="nil"/>
              <w:left w:val="single" w:sz="4" w:space="0" w:color="auto"/>
              <w:bottom w:val="single" w:sz="4" w:space="0" w:color="auto"/>
              <w:right w:val="single" w:sz="4" w:space="0" w:color="auto"/>
            </w:tcBorders>
            <w:shd w:val="clear" w:color="FFFFFF" w:fill="FFFFFF"/>
            <w:vAlign w:val="bottom"/>
            <w:hideMark/>
          </w:tcPr>
          <w:p w:rsidR="00735613" w:rsidRDefault="00735613">
            <w:pPr>
              <w:ind w:firstLineChars="200" w:firstLine="320"/>
              <w:rPr>
                <w:rFonts w:cs="Arial"/>
                <w:color w:val="000000"/>
                <w:sz w:val="16"/>
                <w:szCs w:val="16"/>
              </w:rPr>
            </w:pPr>
            <w:r>
              <w:rPr>
                <w:rFonts w:cs="Arial"/>
                <w:color w:val="000000"/>
                <w:sz w:val="16"/>
                <w:szCs w:val="16"/>
              </w:rPr>
              <w:t>Capital Budget</w:t>
            </w:r>
            <w:r>
              <w:rPr>
                <w:rFonts w:cs="Arial"/>
                <w:color w:val="000000"/>
                <w:sz w:val="16"/>
                <w:szCs w:val="16"/>
                <w:vertAlign w:val="superscript"/>
              </w:rPr>
              <w:t>1</w:t>
            </w:r>
          </w:p>
        </w:tc>
        <w:tc>
          <w:tcPr>
            <w:tcW w:w="145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 -</w:t>
            </w:r>
          </w:p>
        </w:tc>
        <w:tc>
          <w:tcPr>
            <w:tcW w:w="145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20,164 </w:t>
            </w:r>
          </w:p>
        </w:tc>
        <w:tc>
          <w:tcPr>
            <w:tcW w:w="123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20,164 </w:t>
            </w:r>
          </w:p>
        </w:tc>
        <w:tc>
          <w:tcPr>
            <w:tcW w:w="145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16,226 </w:t>
            </w:r>
          </w:p>
        </w:tc>
        <w:tc>
          <w:tcPr>
            <w:tcW w:w="145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 -</w:t>
            </w:r>
          </w:p>
        </w:tc>
        <w:tc>
          <w:tcPr>
            <w:tcW w:w="123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16,226 </w:t>
            </w:r>
          </w:p>
        </w:tc>
        <w:tc>
          <w:tcPr>
            <w:tcW w:w="123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3,938 </w:t>
            </w:r>
          </w:p>
        </w:tc>
        <w:tc>
          <w:tcPr>
            <w:tcW w:w="1236" w:type="dxa"/>
            <w:tcBorders>
              <w:top w:val="nil"/>
              <w:left w:val="nil"/>
              <w:bottom w:val="nil"/>
              <w:right w:val="nil"/>
            </w:tcBorders>
            <w:shd w:val="clear" w:color="auto" w:fill="auto"/>
            <w:noWrap/>
            <w:vAlign w:val="bottom"/>
            <w:hideMark/>
          </w:tcPr>
          <w:p w:rsidR="00735613" w:rsidRDefault="00735613">
            <w:pPr>
              <w:jc w:val="right"/>
              <w:rPr>
                <w:rFonts w:cs="Arial"/>
                <w:sz w:val="16"/>
                <w:szCs w:val="16"/>
              </w:rPr>
            </w:pPr>
          </w:p>
        </w:tc>
      </w:tr>
    </w:tbl>
    <w:p w:rsidR="00735613" w:rsidRDefault="00735613" w:rsidP="00735613">
      <w:pPr>
        <w:pStyle w:val="AdminBlankGreyShade"/>
      </w:pPr>
      <w:bookmarkStart w:id="583" w:name="RANGE!D25:L35"/>
      <w:bookmarkStart w:id="584" w:name="RANGE!D26:L36"/>
      <w:bookmarkEnd w:id="583"/>
      <w:bookmarkEnd w:id="584"/>
      <w:r>
        <w:t>Notes:</w:t>
      </w:r>
    </w:p>
    <w:p w:rsidR="00735613" w:rsidRDefault="00735613" w:rsidP="00735613">
      <w:pPr>
        <w:pStyle w:val="AdminBlankGreyShade"/>
      </w:pPr>
      <w:r w:rsidRPr="007E6ECE">
        <w:rPr>
          <w:vertAlign w:val="superscript"/>
        </w:rPr>
        <w:t>1</w:t>
      </w:r>
      <w:r>
        <w:t xml:space="preserve"> Departmental and Administered Capital Budgets are appropriated through Appropriation Acts (No.1, 3 &amp; 5). They form part of ordinary annual services and are not separately </w:t>
      </w:r>
      <w:r>
        <w:br/>
        <w:t>identified in the Appropriation Acts. For more information on ordinary annual services appropriation, please see 29A: Annual appropriations.</w:t>
      </w:r>
    </w:p>
    <w:p w:rsidR="00735613" w:rsidRDefault="00735613">
      <w:pPr>
        <w:spacing w:line="240" w:lineRule="auto"/>
        <w:sectPr w:rsidR="00735613">
          <w:pgSz w:w="16838" w:h="11906" w:orient="landscape"/>
          <w:pgMar w:top="1134" w:right="1134" w:bottom="1134" w:left="1134" w:header="958" w:footer="737" w:gutter="0"/>
          <w:cols w:space="720"/>
        </w:sectPr>
      </w:pPr>
      <w:r>
        <w:rPr>
          <w:vertAlign w:val="superscript"/>
        </w:rPr>
        <w:t>2</w:t>
      </w:r>
      <w:r>
        <w:t xml:space="preserve"> Payments made on non–financial assets include purchase of assets, expenditure on assets which has been capitalised, costs incurred to make good an asset to its original </w:t>
      </w:r>
      <w:r>
        <w:br/>
        <w:t>condition, and the capital repayment component of finance leases.</w:t>
      </w:r>
      <w:bookmarkStart w:id="585" w:name="RANGE!D26:L37"/>
      <w:bookmarkStart w:id="586" w:name="RANGE!D24:L33"/>
      <w:bookmarkStart w:id="587" w:name="RANGE!D24:L34"/>
      <w:bookmarkEnd w:id="585"/>
      <w:bookmarkEnd w:id="586"/>
      <w:bookmarkEnd w:id="587"/>
    </w:p>
    <w:p w:rsidR="00735613" w:rsidRDefault="00735613"/>
    <w:tbl>
      <w:tblPr>
        <w:tblW w:w="9087" w:type="dxa"/>
        <w:tblInd w:w="80" w:type="dxa"/>
        <w:tblLayout w:type="fixed"/>
        <w:tblLook w:val="04A0" w:firstRow="1" w:lastRow="0" w:firstColumn="1" w:lastColumn="0" w:noHBand="0" w:noVBand="1"/>
      </w:tblPr>
      <w:tblGrid>
        <w:gridCol w:w="6588"/>
        <w:gridCol w:w="1250"/>
        <w:gridCol w:w="1249"/>
      </w:tblGrid>
      <w:tr w:rsidR="00735613" w:rsidTr="00735613">
        <w:trPr>
          <w:trHeight w:val="264"/>
        </w:trPr>
        <w:tc>
          <w:tcPr>
            <w:tcW w:w="8984" w:type="dxa"/>
            <w:gridSpan w:val="3"/>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588" w:name="Note_DUATABLE1" w:colFirst="0" w:colLast="0"/>
            <w:r>
              <w:rPr>
                <w:rFonts w:cs="Arial"/>
                <w:b/>
                <w:bCs/>
                <w:szCs w:val="18"/>
                <w:u w:val="single"/>
              </w:rPr>
              <w:t>Note 29C: Unspent Annual Appropriations ('Recoverable GST exclusive')</w:t>
            </w:r>
          </w:p>
        </w:tc>
      </w:tr>
      <w:bookmarkEnd w:id="588"/>
      <w:tr w:rsidR="00735613" w:rsidTr="00735613">
        <w:trPr>
          <w:trHeight w:val="264"/>
        </w:trPr>
        <w:tc>
          <w:tcPr>
            <w:tcW w:w="651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64"/>
        </w:trPr>
        <w:tc>
          <w:tcPr>
            <w:tcW w:w="6513" w:type="dxa"/>
            <w:vMerge w:val="restart"/>
            <w:tcBorders>
              <w:top w:val="single" w:sz="4" w:space="0" w:color="auto"/>
              <w:left w:val="nil"/>
              <w:bottom w:val="single" w:sz="4" w:space="0" w:color="000000"/>
              <w:right w:val="nil"/>
            </w:tcBorders>
            <w:shd w:val="clear" w:color="FFFFFF" w:fill="FFFFFF"/>
            <w:vAlign w:val="bottom"/>
            <w:hideMark/>
          </w:tcPr>
          <w:p w:rsidR="00735613" w:rsidRDefault="00735613">
            <w:pPr>
              <w:rPr>
                <w:rFonts w:cs="Arial"/>
                <w:b/>
                <w:bCs/>
                <w:szCs w:val="18"/>
              </w:rPr>
            </w:pPr>
            <w:r>
              <w:rPr>
                <w:rFonts w:cs="Arial"/>
                <w:b/>
                <w:bCs/>
                <w:szCs w:val="18"/>
              </w:rPr>
              <w:t> </w:t>
            </w:r>
          </w:p>
        </w:tc>
        <w:tc>
          <w:tcPr>
            <w:tcW w:w="1236" w:type="dxa"/>
            <w:tcBorders>
              <w:top w:val="single" w:sz="4" w:space="0" w:color="auto"/>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1235" w:type="dxa"/>
            <w:tcBorders>
              <w:top w:val="single" w:sz="4" w:space="0" w:color="auto"/>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2014</w:t>
            </w:r>
          </w:p>
        </w:tc>
      </w:tr>
      <w:tr w:rsidR="00735613" w:rsidTr="00735613">
        <w:trPr>
          <w:trHeight w:val="264"/>
        </w:trPr>
        <w:tc>
          <w:tcPr>
            <w:tcW w:w="6513" w:type="dxa"/>
            <w:vMerge/>
            <w:tcBorders>
              <w:top w:val="single" w:sz="4" w:space="0" w:color="auto"/>
              <w:left w:val="nil"/>
              <w:bottom w:val="single" w:sz="4" w:space="0" w:color="000000"/>
              <w:right w:val="nil"/>
            </w:tcBorders>
            <w:vAlign w:val="center"/>
            <w:hideMark/>
          </w:tcPr>
          <w:p w:rsidR="00735613" w:rsidRDefault="00735613">
            <w:pPr>
              <w:rPr>
                <w:rFonts w:cs="Arial"/>
                <w:b/>
                <w:bCs/>
                <w:szCs w:val="18"/>
              </w:rPr>
            </w:pPr>
          </w:p>
        </w:tc>
        <w:tc>
          <w:tcPr>
            <w:tcW w:w="1236" w:type="dxa"/>
            <w:tcBorders>
              <w:top w:val="nil"/>
              <w:left w:val="nil"/>
              <w:bottom w:val="single" w:sz="4" w:space="0" w:color="auto"/>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235" w:type="dxa"/>
            <w:tcBorders>
              <w:top w:val="nil"/>
              <w:left w:val="nil"/>
              <w:bottom w:val="single" w:sz="4" w:space="0" w:color="auto"/>
              <w:right w:val="nil"/>
            </w:tcBorders>
            <w:shd w:val="clear" w:color="FFFFFF" w:fill="FFFFFF"/>
            <w:vAlign w:val="bottom"/>
            <w:hideMark/>
          </w:tcPr>
          <w:p w:rsidR="00735613" w:rsidRDefault="00735613">
            <w:pPr>
              <w:jc w:val="right"/>
              <w:rPr>
                <w:rFonts w:cs="Arial"/>
                <w:szCs w:val="18"/>
              </w:rPr>
            </w:pPr>
            <w:r>
              <w:rPr>
                <w:rFonts w:cs="Arial"/>
                <w:szCs w:val="18"/>
              </w:rPr>
              <w:t>$'000</w:t>
            </w:r>
          </w:p>
        </w:tc>
      </w:tr>
      <w:tr w:rsidR="00735613" w:rsidTr="00735613">
        <w:trPr>
          <w:trHeight w:val="264"/>
        </w:trPr>
        <w:tc>
          <w:tcPr>
            <w:tcW w:w="6513" w:type="dxa"/>
            <w:vMerge w:val="restart"/>
            <w:tcBorders>
              <w:top w:val="nil"/>
              <w:left w:val="nil"/>
              <w:bottom w:val="nil"/>
              <w:right w:val="nil"/>
            </w:tcBorders>
            <w:shd w:val="clear" w:color="FFFFFF" w:fill="FFFFFF"/>
            <w:vAlign w:val="bottom"/>
            <w:hideMark/>
          </w:tcPr>
          <w:p w:rsidR="00735613" w:rsidRDefault="00735613">
            <w:pPr>
              <w:rPr>
                <w:rFonts w:cs="Arial"/>
                <w:b/>
                <w:bCs/>
                <w:szCs w:val="18"/>
              </w:rPr>
            </w:pPr>
            <w:r>
              <w:rPr>
                <w:rFonts w:cs="Arial"/>
                <w:b/>
                <w:bCs/>
                <w:szCs w:val="18"/>
              </w:rPr>
              <w:t>Departmental</w:t>
            </w:r>
          </w:p>
        </w:tc>
        <w:tc>
          <w:tcPr>
            <w:tcW w:w="123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 </w:t>
            </w:r>
          </w:p>
        </w:tc>
      </w:tr>
      <w:tr w:rsidR="00735613" w:rsidTr="00735613">
        <w:trPr>
          <w:trHeight w:val="264"/>
        </w:trPr>
        <w:tc>
          <w:tcPr>
            <w:tcW w:w="6513" w:type="dxa"/>
            <w:vMerge/>
            <w:tcBorders>
              <w:top w:val="nil"/>
              <w:left w:val="nil"/>
              <w:bottom w:val="nil"/>
              <w:right w:val="nil"/>
            </w:tcBorders>
            <w:vAlign w:val="center"/>
            <w:hideMark/>
          </w:tcPr>
          <w:p w:rsidR="00735613" w:rsidRDefault="00735613">
            <w:pPr>
              <w:rPr>
                <w:rFonts w:cs="Arial"/>
                <w:b/>
                <w:bCs/>
                <w:szCs w:val="18"/>
              </w:rPr>
            </w:pPr>
          </w:p>
        </w:tc>
        <w:tc>
          <w:tcPr>
            <w:tcW w:w="1236"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 </w:t>
            </w:r>
          </w:p>
        </w:tc>
      </w:tr>
      <w:tr w:rsidR="00735613" w:rsidTr="00735613">
        <w:trPr>
          <w:trHeight w:val="264"/>
        </w:trPr>
        <w:tc>
          <w:tcPr>
            <w:tcW w:w="6513"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Appropriation Act (No.1) 2014–15</w:t>
            </w:r>
          </w:p>
        </w:tc>
        <w:tc>
          <w:tcPr>
            <w:tcW w:w="1236" w:type="dxa"/>
            <w:tcBorders>
              <w:top w:val="nil"/>
              <w:left w:val="nil"/>
              <w:bottom w:val="nil"/>
              <w:right w:val="nil"/>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42,874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 -</w:t>
            </w:r>
          </w:p>
        </w:tc>
      </w:tr>
      <w:tr w:rsidR="00735613" w:rsidTr="00735613">
        <w:trPr>
          <w:trHeight w:val="264"/>
        </w:trPr>
        <w:tc>
          <w:tcPr>
            <w:tcW w:w="6513"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Appropriation Act (No.1) 2013–14</w:t>
            </w:r>
          </w:p>
        </w:tc>
        <w:tc>
          <w:tcPr>
            <w:tcW w:w="1236" w:type="dxa"/>
            <w:tcBorders>
              <w:top w:val="nil"/>
              <w:left w:val="nil"/>
              <w:bottom w:val="nil"/>
              <w:right w:val="nil"/>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1,468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27,935 </w:t>
            </w:r>
          </w:p>
        </w:tc>
      </w:tr>
      <w:tr w:rsidR="00735613" w:rsidTr="00735613">
        <w:trPr>
          <w:trHeight w:val="264"/>
        </w:trPr>
        <w:tc>
          <w:tcPr>
            <w:tcW w:w="6513"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Appropriation Act (No.2) 2013–14</w:t>
            </w:r>
          </w:p>
        </w:tc>
        <w:tc>
          <w:tcPr>
            <w:tcW w:w="1236" w:type="dxa"/>
            <w:tcBorders>
              <w:top w:val="nil"/>
              <w:left w:val="nil"/>
              <w:bottom w:val="nil"/>
              <w:right w:val="nil"/>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3,860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 -</w:t>
            </w:r>
          </w:p>
        </w:tc>
      </w:tr>
      <w:tr w:rsidR="00735613" w:rsidTr="00735613">
        <w:trPr>
          <w:trHeight w:val="264"/>
        </w:trPr>
        <w:tc>
          <w:tcPr>
            <w:tcW w:w="6513"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Appropriation Act (No.4) 2013–14</w:t>
            </w:r>
          </w:p>
        </w:tc>
        <w:tc>
          <w:tcPr>
            <w:tcW w:w="1236" w:type="dxa"/>
            <w:tcBorders>
              <w:top w:val="nil"/>
              <w:left w:val="nil"/>
              <w:bottom w:val="nil"/>
              <w:right w:val="nil"/>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14,255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 -</w:t>
            </w:r>
          </w:p>
        </w:tc>
      </w:tr>
      <w:tr w:rsidR="00735613" w:rsidTr="00735613">
        <w:trPr>
          <w:trHeight w:val="264"/>
        </w:trPr>
        <w:tc>
          <w:tcPr>
            <w:tcW w:w="6513" w:type="dxa"/>
            <w:tcBorders>
              <w:top w:val="nil"/>
              <w:left w:val="nil"/>
              <w:bottom w:val="nil"/>
              <w:right w:val="nil"/>
            </w:tcBorders>
            <w:shd w:val="clear" w:color="FFFFFF" w:fill="FFFFFF"/>
            <w:vAlign w:val="bottom"/>
            <w:hideMark/>
          </w:tcPr>
          <w:p w:rsidR="00735613" w:rsidRDefault="00735613">
            <w:pPr>
              <w:rPr>
                <w:rFonts w:cs="Arial"/>
                <w:szCs w:val="18"/>
              </w:rPr>
            </w:pPr>
            <w:r>
              <w:rPr>
                <w:rFonts w:cs="Arial"/>
                <w:szCs w:val="18"/>
              </w:rPr>
              <w:t>Appropriation Act (No.4) 2012–13</w:t>
            </w:r>
          </w:p>
        </w:tc>
        <w:tc>
          <w:tcPr>
            <w:tcW w:w="1236" w:type="dxa"/>
            <w:tcBorders>
              <w:top w:val="nil"/>
              <w:left w:val="nil"/>
              <w:bottom w:val="nil"/>
              <w:right w:val="nil"/>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2,508 </w:t>
            </w:r>
          </w:p>
        </w:tc>
        <w:tc>
          <w:tcPr>
            <w:tcW w:w="1235" w:type="dxa"/>
            <w:tcBorders>
              <w:top w:val="nil"/>
              <w:left w:val="nil"/>
              <w:bottom w:val="nil"/>
              <w:right w:val="nil"/>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 -</w:t>
            </w:r>
          </w:p>
        </w:tc>
      </w:tr>
      <w:tr w:rsidR="00735613" w:rsidTr="00735613">
        <w:trPr>
          <w:trHeight w:val="276"/>
        </w:trPr>
        <w:tc>
          <w:tcPr>
            <w:tcW w:w="6513" w:type="dxa"/>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Total departmental</w:t>
            </w:r>
          </w:p>
        </w:tc>
        <w:tc>
          <w:tcPr>
            <w:tcW w:w="123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64,965</w:t>
            </w:r>
          </w:p>
        </w:tc>
        <w:tc>
          <w:tcPr>
            <w:tcW w:w="1235"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Arial"/>
                <w:sz w:val="16"/>
                <w:szCs w:val="16"/>
              </w:rPr>
            </w:pPr>
            <w:r>
              <w:rPr>
                <w:rFonts w:cs="Arial"/>
                <w:sz w:val="16"/>
                <w:szCs w:val="16"/>
              </w:rPr>
              <w:t>27,935</w:t>
            </w:r>
          </w:p>
        </w:tc>
      </w:tr>
      <w:tr w:rsidR="00735613" w:rsidTr="00735613">
        <w:trPr>
          <w:trHeight w:val="276"/>
        </w:trPr>
        <w:tc>
          <w:tcPr>
            <w:tcW w:w="6513" w:type="dxa"/>
            <w:vMerge w:val="restart"/>
            <w:tcBorders>
              <w:top w:val="nil"/>
              <w:left w:val="nil"/>
              <w:bottom w:val="nil"/>
              <w:right w:val="nil"/>
            </w:tcBorders>
            <w:shd w:val="clear" w:color="000000" w:fill="D9D9D9"/>
            <w:vAlign w:val="bottom"/>
            <w:hideMark/>
          </w:tcPr>
          <w:p w:rsidR="00735613" w:rsidRDefault="00735613">
            <w:pPr>
              <w:rPr>
                <w:rFonts w:cs="Arial"/>
                <w:b/>
                <w:bCs/>
                <w:szCs w:val="18"/>
              </w:rPr>
            </w:pPr>
            <w:r>
              <w:rPr>
                <w:rFonts w:cs="Arial"/>
                <w:b/>
                <w:bCs/>
                <w:szCs w:val="18"/>
              </w:rPr>
              <w:t>Administered</w:t>
            </w:r>
          </w:p>
        </w:tc>
        <w:tc>
          <w:tcPr>
            <w:tcW w:w="123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r>
      <w:tr w:rsidR="00735613" w:rsidTr="00735613">
        <w:trPr>
          <w:trHeight w:val="264"/>
        </w:trPr>
        <w:tc>
          <w:tcPr>
            <w:tcW w:w="6513" w:type="dxa"/>
            <w:vMerge/>
            <w:tcBorders>
              <w:top w:val="nil"/>
              <w:left w:val="nil"/>
              <w:bottom w:val="nil"/>
              <w:right w:val="nil"/>
            </w:tcBorders>
            <w:vAlign w:val="center"/>
            <w:hideMark/>
          </w:tcPr>
          <w:p w:rsidR="00735613" w:rsidRDefault="00735613">
            <w:pPr>
              <w:rPr>
                <w:rFonts w:cs="Arial"/>
                <w:b/>
                <w:bCs/>
                <w:szCs w:val="18"/>
              </w:rPr>
            </w:pPr>
          </w:p>
        </w:tc>
        <w:tc>
          <w:tcPr>
            <w:tcW w:w="1236"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c>
          <w:tcPr>
            <w:tcW w:w="1235"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 </w:t>
            </w:r>
          </w:p>
        </w:tc>
      </w:tr>
      <w:tr w:rsidR="00735613" w:rsidTr="00735613">
        <w:trPr>
          <w:trHeight w:val="264"/>
        </w:trPr>
        <w:tc>
          <w:tcPr>
            <w:tcW w:w="6513"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Appropriation Act (No.1) 2014–15</w:t>
            </w:r>
          </w:p>
        </w:tc>
        <w:tc>
          <w:tcPr>
            <w:tcW w:w="1236"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227,511 </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r>
      <w:tr w:rsidR="00735613" w:rsidTr="00735613">
        <w:trPr>
          <w:trHeight w:val="264"/>
        </w:trPr>
        <w:tc>
          <w:tcPr>
            <w:tcW w:w="6513"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Appropriation Act (No.3) 2014–15</w:t>
            </w:r>
          </w:p>
        </w:tc>
        <w:tc>
          <w:tcPr>
            <w:tcW w:w="1236"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14,836 </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r>
      <w:tr w:rsidR="00735613" w:rsidTr="00735613">
        <w:trPr>
          <w:trHeight w:val="264"/>
        </w:trPr>
        <w:tc>
          <w:tcPr>
            <w:tcW w:w="6513"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Appropriation Act (No.2) 2014–15</w:t>
            </w:r>
          </w:p>
        </w:tc>
        <w:tc>
          <w:tcPr>
            <w:tcW w:w="1236"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6,292 </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r>
      <w:tr w:rsidR="00735613" w:rsidTr="00735613">
        <w:trPr>
          <w:trHeight w:val="264"/>
        </w:trPr>
        <w:tc>
          <w:tcPr>
            <w:tcW w:w="6513"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Appropriation Act (No.1) 2013–14</w:t>
            </w:r>
          </w:p>
        </w:tc>
        <w:tc>
          <w:tcPr>
            <w:tcW w:w="1236"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110 </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28,216 </w:t>
            </w:r>
          </w:p>
        </w:tc>
      </w:tr>
      <w:tr w:rsidR="00735613" w:rsidTr="00735613">
        <w:trPr>
          <w:trHeight w:val="264"/>
        </w:trPr>
        <w:tc>
          <w:tcPr>
            <w:tcW w:w="6513"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Appropriation Act (No.3) 2013–14</w:t>
            </w:r>
          </w:p>
        </w:tc>
        <w:tc>
          <w:tcPr>
            <w:tcW w:w="1236"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8,144 </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125,302 </w:t>
            </w:r>
          </w:p>
        </w:tc>
      </w:tr>
      <w:tr w:rsidR="00735613" w:rsidTr="00735613">
        <w:trPr>
          <w:trHeight w:val="264"/>
        </w:trPr>
        <w:tc>
          <w:tcPr>
            <w:tcW w:w="6513"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Appropriation Act (No. 2) 2013–14</w:t>
            </w:r>
          </w:p>
        </w:tc>
        <w:tc>
          <w:tcPr>
            <w:tcW w:w="1236"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 -</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2,538 </w:t>
            </w:r>
          </w:p>
        </w:tc>
      </w:tr>
      <w:tr w:rsidR="00735613" w:rsidTr="00735613">
        <w:trPr>
          <w:trHeight w:val="264"/>
        </w:trPr>
        <w:tc>
          <w:tcPr>
            <w:tcW w:w="6513" w:type="dxa"/>
            <w:tcBorders>
              <w:top w:val="nil"/>
              <w:left w:val="nil"/>
              <w:bottom w:val="nil"/>
              <w:right w:val="nil"/>
            </w:tcBorders>
            <w:shd w:val="clear" w:color="000000" w:fill="D9D9D9"/>
            <w:vAlign w:val="bottom"/>
            <w:hideMark/>
          </w:tcPr>
          <w:p w:rsidR="00735613" w:rsidRDefault="00735613">
            <w:pPr>
              <w:rPr>
                <w:rFonts w:cs="Arial"/>
                <w:szCs w:val="18"/>
              </w:rPr>
            </w:pPr>
            <w:r>
              <w:rPr>
                <w:rFonts w:cs="Arial"/>
                <w:szCs w:val="18"/>
              </w:rPr>
              <w:t>Appropriation Act (No. 4) 2013–14</w:t>
            </w:r>
          </w:p>
        </w:tc>
        <w:tc>
          <w:tcPr>
            <w:tcW w:w="1236"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 -</w:t>
            </w:r>
          </w:p>
        </w:tc>
        <w:tc>
          <w:tcPr>
            <w:tcW w:w="1235"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2,897 </w:t>
            </w:r>
          </w:p>
        </w:tc>
      </w:tr>
      <w:tr w:rsidR="00735613" w:rsidTr="00735613">
        <w:trPr>
          <w:trHeight w:val="276"/>
        </w:trPr>
        <w:tc>
          <w:tcPr>
            <w:tcW w:w="6513" w:type="dxa"/>
            <w:tcBorders>
              <w:top w:val="nil"/>
              <w:left w:val="nil"/>
              <w:bottom w:val="single" w:sz="12" w:space="0" w:color="D9D9D9"/>
              <w:right w:val="nil"/>
            </w:tcBorders>
            <w:shd w:val="clear" w:color="000000" w:fill="D9D9D9"/>
            <w:vAlign w:val="bottom"/>
            <w:hideMark/>
          </w:tcPr>
          <w:p w:rsidR="00735613" w:rsidRDefault="00735613">
            <w:pPr>
              <w:rPr>
                <w:rFonts w:cs="Arial"/>
                <w:b/>
                <w:bCs/>
                <w:i/>
                <w:iCs/>
                <w:szCs w:val="18"/>
              </w:rPr>
            </w:pPr>
            <w:r>
              <w:rPr>
                <w:rFonts w:cs="Arial"/>
                <w:b/>
                <w:bCs/>
                <w:i/>
                <w:iCs/>
                <w:szCs w:val="18"/>
              </w:rPr>
              <w:t>Total administered</w:t>
            </w:r>
          </w:p>
        </w:tc>
        <w:tc>
          <w:tcPr>
            <w:tcW w:w="123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256,893</w:t>
            </w:r>
          </w:p>
        </w:tc>
        <w:tc>
          <w:tcPr>
            <w:tcW w:w="1235"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158,953</w:t>
            </w:r>
          </w:p>
        </w:tc>
      </w:tr>
    </w:tbl>
    <w:p w:rsidR="00735613" w:rsidRDefault="00735613">
      <w:pPr>
        <w:spacing w:line="240" w:lineRule="auto"/>
        <w:rPr>
          <w:i/>
        </w:rPr>
        <w:sectPr w:rsidR="00735613">
          <w:pgSz w:w="11906" w:h="16838"/>
          <w:pgMar w:top="1134" w:right="1134" w:bottom="1134" w:left="1134" w:header="958" w:footer="737" w:gutter="0"/>
          <w:cols w:space="720"/>
        </w:sectPr>
      </w:pPr>
      <w:bookmarkStart w:id="589" w:name="RANGE!D7:F39"/>
      <w:bookmarkStart w:id="590" w:name="RANGE!D7:F32"/>
      <w:bookmarkStart w:id="591" w:name="RANGE!D7:F31"/>
      <w:bookmarkStart w:id="592" w:name="RANGE!D7:F29"/>
      <w:bookmarkStart w:id="593" w:name="RANGE!D7:F34"/>
      <w:bookmarkStart w:id="594" w:name="RANGE!D7:F30"/>
      <w:bookmarkStart w:id="595" w:name="RANGE!D6:F15"/>
      <w:bookmarkStart w:id="596" w:name="RANGE!D6:F16"/>
      <w:bookmarkStart w:id="597" w:name="RANGE!D6:I16"/>
      <w:bookmarkStart w:id="598" w:name="RANGE!D20:F31"/>
      <w:bookmarkStart w:id="599" w:name="RANGE!D20:F27"/>
      <w:bookmarkEnd w:id="589"/>
      <w:bookmarkEnd w:id="590"/>
      <w:bookmarkEnd w:id="591"/>
      <w:bookmarkEnd w:id="592"/>
      <w:bookmarkEnd w:id="593"/>
      <w:bookmarkEnd w:id="594"/>
      <w:bookmarkEnd w:id="595"/>
      <w:bookmarkEnd w:id="596"/>
      <w:bookmarkEnd w:id="597"/>
      <w:bookmarkEnd w:id="598"/>
      <w:bookmarkEnd w:id="599"/>
    </w:p>
    <w:tbl>
      <w:tblPr>
        <w:tblW w:w="13991" w:type="dxa"/>
        <w:tblInd w:w="80" w:type="dxa"/>
        <w:tblLayout w:type="fixed"/>
        <w:tblLook w:val="04A0" w:firstRow="1" w:lastRow="0" w:firstColumn="1" w:lastColumn="0" w:noHBand="0" w:noVBand="1"/>
      </w:tblPr>
      <w:tblGrid>
        <w:gridCol w:w="5062"/>
        <w:gridCol w:w="1786"/>
        <w:gridCol w:w="4684"/>
        <w:gridCol w:w="1230"/>
        <w:gridCol w:w="1229"/>
      </w:tblGrid>
      <w:tr w:rsidR="00735613" w:rsidTr="00735613">
        <w:trPr>
          <w:trHeight w:val="255"/>
        </w:trPr>
        <w:tc>
          <w:tcPr>
            <w:tcW w:w="13884" w:type="dxa"/>
            <w:gridSpan w:val="5"/>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600" w:name="Note_DSATABLE1" w:colFirst="0" w:colLast="0"/>
            <w:r>
              <w:rPr>
                <w:rFonts w:cs="Arial"/>
                <w:b/>
                <w:bCs/>
                <w:szCs w:val="18"/>
                <w:u w:val="single"/>
              </w:rPr>
              <w:t>Note 29D: Special Appropriations ('Recoverable GST exclusive')</w:t>
            </w:r>
          </w:p>
        </w:tc>
      </w:tr>
      <w:bookmarkEnd w:id="600"/>
      <w:tr w:rsidR="00735613" w:rsidTr="00735613">
        <w:trPr>
          <w:trHeight w:val="264"/>
        </w:trPr>
        <w:tc>
          <w:tcPr>
            <w:tcW w:w="5023"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772"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4648"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220"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525"/>
        </w:trPr>
        <w:tc>
          <w:tcPr>
            <w:tcW w:w="5023" w:type="dxa"/>
            <w:vMerge w:val="restart"/>
            <w:tcBorders>
              <w:top w:val="single" w:sz="4" w:space="0" w:color="auto"/>
              <w:left w:val="single" w:sz="4" w:space="0" w:color="auto"/>
              <w:bottom w:val="single" w:sz="4" w:space="0" w:color="auto"/>
              <w:right w:val="single" w:sz="4" w:space="0" w:color="auto"/>
            </w:tcBorders>
            <w:shd w:val="clear" w:color="FFFFFF" w:fill="FFFFFF"/>
            <w:vAlign w:val="bottom"/>
            <w:hideMark/>
          </w:tcPr>
          <w:p w:rsidR="00735613" w:rsidRDefault="00735613">
            <w:pPr>
              <w:rPr>
                <w:rFonts w:cs="Arial"/>
                <w:b/>
                <w:bCs/>
                <w:szCs w:val="18"/>
              </w:rPr>
            </w:pPr>
            <w:r>
              <w:rPr>
                <w:rFonts w:cs="Arial"/>
                <w:b/>
                <w:bCs/>
                <w:szCs w:val="18"/>
              </w:rPr>
              <w:t>Authority</w:t>
            </w:r>
          </w:p>
        </w:tc>
        <w:tc>
          <w:tcPr>
            <w:tcW w:w="1772" w:type="dxa"/>
            <w:vMerge w:val="restart"/>
            <w:tcBorders>
              <w:top w:val="single" w:sz="4" w:space="0" w:color="auto"/>
              <w:left w:val="single" w:sz="4" w:space="0" w:color="auto"/>
              <w:bottom w:val="single" w:sz="4" w:space="0" w:color="auto"/>
              <w:right w:val="single" w:sz="4" w:space="0" w:color="auto"/>
            </w:tcBorders>
            <w:shd w:val="clear" w:color="FFFFFF" w:fill="FFFFFF"/>
            <w:vAlign w:val="bottom"/>
            <w:hideMark/>
          </w:tcPr>
          <w:p w:rsidR="00735613" w:rsidRDefault="00735613">
            <w:pPr>
              <w:rPr>
                <w:rFonts w:cs="Arial"/>
                <w:b/>
                <w:bCs/>
                <w:szCs w:val="18"/>
              </w:rPr>
            </w:pPr>
            <w:r>
              <w:rPr>
                <w:rFonts w:cs="Arial"/>
                <w:b/>
                <w:bCs/>
                <w:szCs w:val="18"/>
              </w:rPr>
              <w:t>Type</w:t>
            </w:r>
          </w:p>
        </w:tc>
        <w:tc>
          <w:tcPr>
            <w:tcW w:w="4648" w:type="dxa"/>
            <w:vMerge w:val="restart"/>
            <w:tcBorders>
              <w:top w:val="single" w:sz="4" w:space="0" w:color="auto"/>
              <w:left w:val="single" w:sz="4" w:space="0" w:color="auto"/>
              <w:bottom w:val="single" w:sz="4" w:space="0" w:color="auto"/>
              <w:right w:val="single" w:sz="4" w:space="0" w:color="auto"/>
            </w:tcBorders>
            <w:shd w:val="clear" w:color="FFFFFF" w:fill="FFFFFF"/>
            <w:vAlign w:val="bottom"/>
            <w:hideMark/>
          </w:tcPr>
          <w:p w:rsidR="00735613" w:rsidRDefault="00735613">
            <w:pPr>
              <w:rPr>
                <w:rFonts w:cs="Arial"/>
                <w:b/>
                <w:bCs/>
                <w:szCs w:val="18"/>
              </w:rPr>
            </w:pPr>
            <w:r>
              <w:rPr>
                <w:rFonts w:cs="Arial"/>
                <w:b/>
                <w:bCs/>
                <w:szCs w:val="18"/>
              </w:rPr>
              <w:t>Purpose</w:t>
            </w:r>
          </w:p>
        </w:tc>
        <w:tc>
          <w:tcPr>
            <w:tcW w:w="2441" w:type="dxa"/>
            <w:gridSpan w:val="2"/>
            <w:tcBorders>
              <w:top w:val="single" w:sz="4" w:space="0" w:color="auto"/>
              <w:left w:val="nil"/>
              <w:bottom w:val="single" w:sz="4" w:space="0" w:color="auto"/>
              <w:right w:val="single" w:sz="4" w:space="0" w:color="000000"/>
            </w:tcBorders>
            <w:shd w:val="clear" w:color="FFFFFF" w:fill="FFFFFF"/>
            <w:vAlign w:val="bottom"/>
            <w:hideMark/>
          </w:tcPr>
          <w:p w:rsidR="00735613" w:rsidRDefault="00735613">
            <w:pPr>
              <w:jc w:val="center"/>
              <w:rPr>
                <w:rFonts w:cs="Arial"/>
                <w:b/>
                <w:bCs/>
                <w:szCs w:val="18"/>
              </w:rPr>
            </w:pPr>
            <w:r>
              <w:rPr>
                <w:rFonts w:cs="Arial"/>
                <w:b/>
                <w:bCs/>
                <w:szCs w:val="18"/>
              </w:rPr>
              <w:t>Appropriation applied</w:t>
            </w:r>
          </w:p>
        </w:tc>
      </w:tr>
      <w:tr w:rsidR="00735613" w:rsidTr="00735613">
        <w:trPr>
          <w:trHeight w:val="264"/>
        </w:trPr>
        <w:tc>
          <w:tcPr>
            <w:tcW w:w="5023" w:type="dxa"/>
            <w:vMerge/>
            <w:tcBorders>
              <w:top w:val="single" w:sz="4" w:space="0" w:color="auto"/>
              <w:left w:val="single" w:sz="4" w:space="0" w:color="auto"/>
              <w:bottom w:val="single" w:sz="4" w:space="0" w:color="auto"/>
              <w:right w:val="single" w:sz="4" w:space="0" w:color="auto"/>
            </w:tcBorders>
            <w:vAlign w:val="center"/>
            <w:hideMark/>
          </w:tcPr>
          <w:p w:rsidR="00735613" w:rsidRDefault="00735613">
            <w:pPr>
              <w:rPr>
                <w:rFonts w:cs="Arial"/>
                <w:b/>
                <w:bCs/>
                <w:szCs w:val="18"/>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rsidR="00735613" w:rsidRDefault="00735613">
            <w:pPr>
              <w:rPr>
                <w:rFonts w:cs="Arial"/>
                <w:b/>
                <w:bCs/>
                <w:szCs w:val="18"/>
              </w:rPr>
            </w:pPr>
          </w:p>
        </w:tc>
        <w:tc>
          <w:tcPr>
            <w:tcW w:w="4648" w:type="dxa"/>
            <w:vMerge/>
            <w:tcBorders>
              <w:top w:val="single" w:sz="4" w:space="0" w:color="auto"/>
              <w:left w:val="single" w:sz="4" w:space="0" w:color="auto"/>
              <w:bottom w:val="single" w:sz="4" w:space="0" w:color="auto"/>
              <w:right w:val="single" w:sz="4" w:space="0" w:color="auto"/>
            </w:tcBorders>
            <w:vAlign w:val="center"/>
            <w:hideMark/>
          </w:tcPr>
          <w:p w:rsidR="00735613" w:rsidRDefault="00735613">
            <w:pPr>
              <w:rPr>
                <w:rFonts w:cs="Arial"/>
                <w:b/>
                <w:bCs/>
                <w:szCs w:val="18"/>
              </w:rPr>
            </w:pPr>
          </w:p>
        </w:tc>
        <w:tc>
          <w:tcPr>
            <w:tcW w:w="1221" w:type="dxa"/>
            <w:tcBorders>
              <w:top w:val="nil"/>
              <w:left w:val="nil"/>
              <w:bottom w:val="nil"/>
              <w:right w:val="single" w:sz="4" w:space="0" w:color="auto"/>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1220" w:type="dxa"/>
            <w:tcBorders>
              <w:top w:val="nil"/>
              <w:left w:val="nil"/>
              <w:bottom w:val="nil"/>
              <w:right w:val="single" w:sz="4" w:space="0" w:color="auto"/>
            </w:tcBorders>
            <w:shd w:val="clear" w:color="FFFFFF" w:fill="FFFFFF"/>
            <w:vAlign w:val="bottom"/>
            <w:hideMark/>
          </w:tcPr>
          <w:p w:rsidR="00735613" w:rsidRDefault="00735613">
            <w:pPr>
              <w:jc w:val="right"/>
              <w:rPr>
                <w:rFonts w:cs="Arial"/>
                <w:szCs w:val="18"/>
              </w:rPr>
            </w:pPr>
            <w:r>
              <w:rPr>
                <w:rFonts w:cs="Arial"/>
                <w:szCs w:val="18"/>
              </w:rPr>
              <w:t>2014</w:t>
            </w:r>
          </w:p>
        </w:tc>
      </w:tr>
      <w:tr w:rsidR="00735613" w:rsidTr="00735613">
        <w:trPr>
          <w:trHeight w:val="264"/>
        </w:trPr>
        <w:tc>
          <w:tcPr>
            <w:tcW w:w="5023" w:type="dxa"/>
            <w:vMerge/>
            <w:tcBorders>
              <w:top w:val="single" w:sz="4" w:space="0" w:color="auto"/>
              <w:left w:val="single" w:sz="4" w:space="0" w:color="auto"/>
              <w:bottom w:val="single" w:sz="4" w:space="0" w:color="auto"/>
              <w:right w:val="single" w:sz="4" w:space="0" w:color="auto"/>
            </w:tcBorders>
            <w:vAlign w:val="center"/>
            <w:hideMark/>
          </w:tcPr>
          <w:p w:rsidR="00735613" w:rsidRDefault="00735613">
            <w:pPr>
              <w:rPr>
                <w:rFonts w:cs="Arial"/>
                <w:b/>
                <w:bCs/>
                <w:szCs w:val="18"/>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rsidR="00735613" w:rsidRDefault="00735613">
            <w:pPr>
              <w:rPr>
                <w:rFonts w:cs="Arial"/>
                <w:b/>
                <w:bCs/>
                <w:szCs w:val="18"/>
              </w:rPr>
            </w:pPr>
          </w:p>
        </w:tc>
        <w:tc>
          <w:tcPr>
            <w:tcW w:w="4648" w:type="dxa"/>
            <w:vMerge/>
            <w:tcBorders>
              <w:top w:val="single" w:sz="4" w:space="0" w:color="auto"/>
              <w:left w:val="single" w:sz="4" w:space="0" w:color="auto"/>
              <w:bottom w:val="single" w:sz="4" w:space="0" w:color="auto"/>
              <w:right w:val="single" w:sz="4" w:space="0" w:color="auto"/>
            </w:tcBorders>
            <w:vAlign w:val="center"/>
            <w:hideMark/>
          </w:tcPr>
          <w:p w:rsidR="00735613" w:rsidRDefault="00735613">
            <w:pPr>
              <w:rPr>
                <w:rFonts w:cs="Arial"/>
                <w:b/>
                <w:bCs/>
                <w:szCs w:val="18"/>
              </w:rPr>
            </w:pPr>
          </w:p>
        </w:tc>
        <w:tc>
          <w:tcPr>
            <w:tcW w:w="1221"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220"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szCs w:val="18"/>
              </w:rPr>
            </w:pPr>
            <w:r>
              <w:rPr>
                <w:rFonts w:cs="Arial"/>
                <w:szCs w:val="18"/>
              </w:rPr>
              <w:t>$'000</w:t>
            </w:r>
          </w:p>
        </w:tc>
      </w:tr>
      <w:tr w:rsidR="00735613" w:rsidTr="00735613">
        <w:trPr>
          <w:trHeight w:val="480"/>
        </w:trPr>
        <w:tc>
          <w:tcPr>
            <w:tcW w:w="5023" w:type="dxa"/>
            <w:tcBorders>
              <w:top w:val="nil"/>
              <w:left w:val="single" w:sz="4" w:space="0" w:color="auto"/>
              <w:bottom w:val="single" w:sz="4" w:space="0" w:color="auto"/>
              <w:right w:val="single" w:sz="4" w:space="0" w:color="auto"/>
            </w:tcBorders>
            <w:shd w:val="clear" w:color="FFFFFF" w:fill="FFFFFF"/>
            <w:hideMark/>
          </w:tcPr>
          <w:p w:rsidR="00735613" w:rsidRDefault="00735613">
            <w:pPr>
              <w:rPr>
                <w:rFonts w:cs="Arial"/>
                <w:szCs w:val="18"/>
              </w:rPr>
            </w:pPr>
            <w:r>
              <w:rPr>
                <w:rFonts w:cs="Arial"/>
                <w:szCs w:val="18"/>
              </w:rPr>
              <w:t>A New Tax System (Family Assistance) (Administration) Act 1999 (Administered)</w:t>
            </w:r>
          </w:p>
        </w:tc>
        <w:tc>
          <w:tcPr>
            <w:tcW w:w="1772" w:type="dxa"/>
            <w:tcBorders>
              <w:top w:val="nil"/>
              <w:left w:val="nil"/>
              <w:bottom w:val="single" w:sz="4" w:space="0" w:color="auto"/>
              <w:right w:val="single" w:sz="4" w:space="0" w:color="auto"/>
            </w:tcBorders>
            <w:shd w:val="clear" w:color="FFFFFF" w:fill="FFFFFF"/>
            <w:hideMark/>
          </w:tcPr>
          <w:p w:rsidR="00735613" w:rsidRDefault="00735613">
            <w:pPr>
              <w:rPr>
                <w:rFonts w:cs="Arial"/>
                <w:szCs w:val="18"/>
              </w:rPr>
            </w:pPr>
            <w:r>
              <w:rPr>
                <w:rFonts w:cs="Arial"/>
                <w:szCs w:val="18"/>
              </w:rPr>
              <w:t>Unlimited Amount</w:t>
            </w:r>
          </w:p>
        </w:tc>
        <w:tc>
          <w:tcPr>
            <w:tcW w:w="4648" w:type="dxa"/>
            <w:tcBorders>
              <w:top w:val="nil"/>
              <w:left w:val="nil"/>
              <w:bottom w:val="single" w:sz="4" w:space="0" w:color="auto"/>
              <w:right w:val="single" w:sz="4" w:space="0" w:color="auto"/>
            </w:tcBorders>
            <w:shd w:val="clear" w:color="FFFFFF" w:fill="FFFFFF"/>
            <w:hideMark/>
          </w:tcPr>
          <w:p w:rsidR="00735613" w:rsidRDefault="00735613">
            <w:pPr>
              <w:rPr>
                <w:rFonts w:cs="Arial"/>
                <w:szCs w:val="18"/>
              </w:rPr>
            </w:pPr>
            <w:r>
              <w:rPr>
                <w:rFonts w:cs="Arial"/>
                <w:szCs w:val="18"/>
              </w:rPr>
              <w:t>An Act to enable the payment of family assistance to support families.</w:t>
            </w:r>
          </w:p>
        </w:tc>
        <w:tc>
          <w:tcPr>
            <w:tcW w:w="1221"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3,448,822 </w:t>
            </w:r>
          </w:p>
        </w:tc>
        <w:tc>
          <w:tcPr>
            <w:tcW w:w="1220"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4,248,003 </w:t>
            </w:r>
          </w:p>
        </w:tc>
      </w:tr>
      <w:tr w:rsidR="00735613" w:rsidTr="00735613">
        <w:trPr>
          <w:trHeight w:val="480"/>
        </w:trPr>
        <w:tc>
          <w:tcPr>
            <w:tcW w:w="5023" w:type="dxa"/>
            <w:tcBorders>
              <w:top w:val="nil"/>
              <w:left w:val="single" w:sz="4" w:space="0" w:color="auto"/>
              <w:bottom w:val="single" w:sz="4" w:space="0" w:color="auto"/>
              <w:right w:val="single" w:sz="4" w:space="0" w:color="auto"/>
            </w:tcBorders>
            <w:shd w:val="clear" w:color="FFFFFF" w:fill="FFFFFF"/>
            <w:hideMark/>
          </w:tcPr>
          <w:p w:rsidR="00735613" w:rsidRDefault="00735613">
            <w:pPr>
              <w:rPr>
                <w:rFonts w:cs="Arial"/>
                <w:szCs w:val="18"/>
              </w:rPr>
            </w:pPr>
            <w:r>
              <w:rPr>
                <w:rFonts w:cs="Arial"/>
                <w:szCs w:val="18"/>
              </w:rPr>
              <w:t>Australian Education Act 2013 - (Administered)</w:t>
            </w:r>
          </w:p>
        </w:tc>
        <w:tc>
          <w:tcPr>
            <w:tcW w:w="1772" w:type="dxa"/>
            <w:tcBorders>
              <w:top w:val="nil"/>
              <w:left w:val="nil"/>
              <w:bottom w:val="single" w:sz="4" w:space="0" w:color="auto"/>
              <w:right w:val="single" w:sz="4" w:space="0" w:color="auto"/>
            </w:tcBorders>
            <w:shd w:val="clear" w:color="FFFFFF" w:fill="FFFFFF"/>
            <w:hideMark/>
          </w:tcPr>
          <w:p w:rsidR="00735613" w:rsidRDefault="00735613">
            <w:pPr>
              <w:rPr>
                <w:rFonts w:cs="Arial"/>
                <w:szCs w:val="18"/>
              </w:rPr>
            </w:pPr>
            <w:r>
              <w:rPr>
                <w:rFonts w:cs="Arial"/>
                <w:szCs w:val="18"/>
              </w:rPr>
              <w:t>Unlimited Amount</w:t>
            </w:r>
          </w:p>
        </w:tc>
        <w:tc>
          <w:tcPr>
            <w:tcW w:w="4648" w:type="dxa"/>
            <w:tcBorders>
              <w:top w:val="nil"/>
              <w:left w:val="nil"/>
              <w:bottom w:val="single" w:sz="4" w:space="0" w:color="auto"/>
              <w:right w:val="single" w:sz="4" w:space="0" w:color="auto"/>
            </w:tcBorders>
            <w:shd w:val="clear" w:color="FFFFFF" w:fill="FFFFFF"/>
            <w:hideMark/>
          </w:tcPr>
          <w:p w:rsidR="00735613" w:rsidRDefault="00735613">
            <w:pPr>
              <w:rPr>
                <w:rFonts w:cs="Arial"/>
                <w:szCs w:val="18"/>
              </w:rPr>
            </w:pPr>
            <w:r>
              <w:rPr>
                <w:rFonts w:cs="Arial"/>
                <w:szCs w:val="18"/>
              </w:rPr>
              <w:t>An Act to grant financial assistance to the states for primary and secondary education and for related purposes</w:t>
            </w:r>
          </w:p>
        </w:tc>
        <w:tc>
          <w:tcPr>
            <w:tcW w:w="1221"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14,632,883 </w:t>
            </w:r>
          </w:p>
        </w:tc>
        <w:tc>
          <w:tcPr>
            <w:tcW w:w="1220"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6,724,976 </w:t>
            </w:r>
          </w:p>
        </w:tc>
      </w:tr>
      <w:tr w:rsidR="00735613" w:rsidTr="00735613">
        <w:trPr>
          <w:trHeight w:val="720"/>
        </w:trPr>
        <w:tc>
          <w:tcPr>
            <w:tcW w:w="5023" w:type="dxa"/>
            <w:tcBorders>
              <w:top w:val="nil"/>
              <w:left w:val="single" w:sz="4" w:space="0" w:color="auto"/>
              <w:bottom w:val="single" w:sz="4" w:space="0" w:color="auto"/>
              <w:right w:val="single" w:sz="4" w:space="0" w:color="auto"/>
            </w:tcBorders>
            <w:shd w:val="clear" w:color="FFFFFF" w:fill="FFFFFF"/>
            <w:hideMark/>
          </w:tcPr>
          <w:p w:rsidR="00735613" w:rsidRDefault="00735613">
            <w:pPr>
              <w:rPr>
                <w:rFonts w:cs="Arial"/>
                <w:szCs w:val="18"/>
              </w:rPr>
            </w:pPr>
            <w:r>
              <w:rPr>
                <w:rFonts w:cs="Arial"/>
                <w:szCs w:val="18"/>
              </w:rPr>
              <w:t>Schools Assistance Act 2008 - Section 167 (Administered)</w:t>
            </w:r>
          </w:p>
        </w:tc>
        <w:tc>
          <w:tcPr>
            <w:tcW w:w="1772" w:type="dxa"/>
            <w:tcBorders>
              <w:top w:val="nil"/>
              <w:left w:val="nil"/>
              <w:bottom w:val="single" w:sz="4" w:space="0" w:color="auto"/>
              <w:right w:val="single" w:sz="4" w:space="0" w:color="auto"/>
            </w:tcBorders>
            <w:shd w:val="clear" w:color="FFFFFF" w:fill="FFFFFF"/>
            <w:hideMark/>
          </w:tcPr>
          <w:p w:rsidR="00735613" w:rsidRDefault="00735613">
            <w:pPr>
              <w:rPr>
                <w:rFonts w:cs="Arial"/>
                <w:szCs w:val="18"/>
              </w:rPr>
            </w:pPr>
            <w:r>
              <w:rPr>
                <w:rFonts w:cs="Arial"/>
                <w:szCs w:val="18"/>
              </w:rPr>
              <w:t>Unlimited Amount</w:t>
            </w:r>
          </w:p>
        </w:tc>
        <w:tc>
          <w:tcPr>
            <w:tcW w:w="4648" w:type="dxa"/>
            <w:tcBorders>
              <w:top w:val="nil"/>
              <w:left w:val="nil"/>
              <w:bottom w:val="single" w:sz="4" w:space="0" w:color="auto"/>
              <w:right w:val="single" w:sz="4" w:space="0" w:color="auto"/>
            </w:tcBorders>
            <w:shd w:val="clear" w:color="FFFFFF" w:fill="FFFFFF"/>
            <w:hideMark/>
          </w:tcPr>
          <w:p w:rsidR="00735613" w:rsidRDefault="00735613">
            <w:pPr>
              <w:rPr>
                <w:rFonts w:cs="Arial"/>
                <w:szCs w:val="18"/>
              </w:rPr>
            </w:pPr>
            <w:r>
              <w:rPr>
                <w:rFonts w:cs="Arial"/>
                <w:szCs w:val="18"/>
              </w:rPr>
              <w:t xml:space="preserve">An Act to grant financial assistance to the states for 2009 to 2013 programme years for primary and secondary education, and for related purposes. </w:t>
            </w:r>
          </w:p>
        </w:tc>
        <w:tc>
          <w:tcPr>
            <w:tcW w:w="1221"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 -</w:t>
            </w:r>
          </w:p>
        </w:tc>
        <w:tc>
          <w:tcPr>
            <w:tcW w:w="1220"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2,401,002 </w:t>
            </w:r>
          </w:p>
        </w:tc>
      </w:tr>
      <w:tr w:rsidR="00735613" w:rsidTr="00735613">
        <w:trPr>
          <w:trHeight w:val="480"/>
        </w:trPr>
        <w:tc>
          <w:tcPr>
            <w:tcW w:w="5023" w:type="dxa"/>
            <w:tcBorders>
              <w:top w:val="nil"/>
              <w:left w:val="single" w:sz="4" w:space="0" w:color="auto"/>
              <w:bottom w:val="single" w:sz="4" w:space="0" w:color="auto"/>
              <w:right w:val="single" w:sz="4" w:space="0" w:color="auto"/>
            </w:tcBorders>
            <w:shd w:val="clear" w:color="FFFFFF" w:fill="FFFFFF"/>
            <w:hideMark/>
          </w:tcPr>
          <w:p w:rsidR="00735613" w:rsidRDefault="00735613">
            <w:pPr>
              <w:rPr>
                <w:rFonts w:cs="Arial"/>
                <w:szCs w:val="18"/>
              </w:rPr>
            </w:pPr>
            <w:r>
              <w:rPr>
                <w:rFonts w:cs="Arial"/>
                <w:szCs w:val="18"/>
              </w:rPr>
              <w:t>Higher Education Support Act 2003 - Section 238-12 (Administered)</w:t>
            </w:r>
          </w:p>
        </w:tc>
        <w:tc>
          <w:tcPr>
            <w:tcW w:w="1772" w:type="dxa"/>
            <w:tcBorders>
              <w:top w:val="nil"/>
              <w:left w:val="nil"/>
              <w:bottom w:val="single" w:sz="4" w:space="0" w:color="auto"/>
              <w:right w:val="single" w:sz="4" w:space="0" w:color="auto"/>
            </w:tcBorders>
            <w:shd w:val="clear" w:color="FFFFFF" w:fill="FFFFFF"/>
            <w:hideMark/>
          </w:tcPr>
          <w:p w:rsidR="00735613" w:rsidRDefault="00735613">
            <w:pPr>
              <w:rPr>
                <w:rFonts w:cs="Arial"/>
                <w:szCs w:val="18"/>
              </w:rPr>
            </w:pPr>
            <w:r>
              <w:rPr>
                <w:rFonts w:cs="Arial"/>
                <w:szCs w:val="18"/>
              </w:rPr>
              <w:t>Unlimited Amount</w:t>
            </w:r>
          </w:p>
        </w:tc>
        <w:tc>
          <w:tcPr>
            <w:tcW w:w="4648" w:type="dxa"/>
            <w:tcBorders>
              <w:top w:val="nil"/>
              <w:left w:val="nil"/>
              <w:bottom w:val="single" w:sz="4" w:space="0" w:color="auto"/>
              <w:right w:val="single" w:sz="4" w:space="0" w:color="auto"/>
            </w:tcBorders>
            <w:shd w:val="clear" w:color="FFFFFF" w:fill="FFFFFF"/>
            <w:hideMark/>
          </w:tcPr>
          <w:p w:rsidR="00735613" w:rsidRDefault="00735613">
            <w:pPr>
              <w:rPr>
                <w:rFonts w:cs="Arial"/>
                <w:szCs w:val="18"/>
              </w:rPr>
            </w:pPr>
            <w:r>
              <w:rPr>
                <w:rFonts w:cs="Arial"/>
                <w:szCs w:val="18"/>
              </w:rPr>
              <w:t>An Act to grant financial assistance to support the higher education system for individuals and universities.</w:t>
            </w:r>
          </w:p>
        </w:tc>
        <w:tc>
          <w:tcPr>
            <w:tcW w:w="1221"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16,616,684 </w:t>
            </w:r>
          </w:p>
        </w:tc>
        <w:tc>
          <w:tcPr>
            <w:tcW w:w="1220"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11,817,312 </w:t>
            </w:r>
          </w:p>
        </w:tc>
      </w:tr>
      <w:tr w:rsidR="00735613" w:rsidTr="00735613">
        <w:trPr>
          <w:trHeight w:val="480"/>
        </w:trPr>
        <w:tc>
          <w:tcPr>
            <w:tcW w:w="5023" w:type="dxa"/>
            <w:tcBorders>
              <w:top w:val="nil"/>
              <w:left w:val="single" w:sz="4" w:space="0" w:color="auto"/>
              <w:bottom w:val="single" w:sz="4" w:space="0" w:color="auto"/>
              <w:right w:val="single" w:sz="4" w:space="0" w:color="auto"/>
            </w:tcBorders>
            <w:shd w:val="clear" w:color="FFFFFF" w:fill="FFFFFF"/>
            <w:hideMark/>
          </w:tcPr>
          <w:p w:rsidR="00735613" w:rsidRDefault="00735613">
            <w:pPr>
              <w:rPr>
                <w:rFonts w:cs="Arial"/>
                <w:szCs w:val="18"/>
              </w:rPr>
            </w:pPr>
            <w:r>
              <w:rPr>
                <w:rFonts w:cs="Arial"/>
                <w:szCs w:val="18"/>
              </w:rPr>
              <w:t>Trade Support Loans Act 2014 - Section 104</w:t>
            </w:r>
          </w:p>
        </w:tc>
        <w:tc>
          <w:tcPr>
            <w:tcW w:w="1772" w:type="dxa"/>
            <w:tcBorders>
              <w:top w:val="nil"/>
              <w:left w:val="nil"/>
              <w:bottom w:val="single" w:sz="4" w:space="0" w:color="auto"/>
              <w:right w:val="single" w:sz="4" w:space="0" w:color="auto"/>
            </w:tcBorders>
            <w:shd w:val="clear" w:color="FFFFFF" w:fill="FFFFFF"/>
            <w:hideMark/>
          </w:tcPr>
          <w:p w:rsidR="00735613" w:rsidRDefault="00735613">
            <w:pPr>
              <w:rPr>
                <w:rFonts w:cs="Arial"/>
                <w:szCs w:val="18"/>
              </w:rPr>
            </w:pPr>
            <w:r>
              <w:rPr>
                <w:rFonts w:cs="Arial"/>
                <w:szCs w:val="18"/>
              </w:rPr>
              <w:t>Unlimited Amount</w:t>
            </w:r>
          </w:p>
        </w:tc>
        <w:tc>
          <w:tcPr>
            <w:tcW w:w="4648" w:type="dxa"/>
            <w:tcBorders>
              <w:top w:val="nil"/>
              <w:left w:val="nil"/>
              <w:bottom w:val="single" w:sz="4" w:space="0" w:color="auto"/>
              <w:right w:val="single" w:sz="4" w:space="0" w:color="auto"/>
            </w:tcBorders>
            <w:shd w:val="clear" w:color="FFFFFF" w:fill="FFFFFF"/>
            <w:hideMark/>
          </w:tcPr>
          <w:p w:rsidR="00735613" w:rsidRDefault="00735613">
            <w:pPr>
              <w:rPr>
                <w:rFonts w:cs="Arial"/>
                <w:szCs w:val="18"/>
              </w:rPr>
            </w:pPr>
            <w:r>
              <w:rPr>
                <w:rFonts w:cs="Arial"/>
                <w:szCs w:val="18"/>
              </w:rPr>
              <w:t>An Act to provide for trade support loans for certain apprentices, and for related purposes</w:t>
            </w:r>
          </w:p>
        </w:tc>
        <w:tc>
          <w:tcPr>
            <w:tcW w:w="1221"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 xml:space="preserve">57,113 </w:t>
            </w:r>
          </w:p>
        </w:tc>
        <w:tc>
          <w:tcPr>
            <w:tcW w:w="1220"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 xml:space="preserve"> -</w:t>
            </w:r>
          </w:p>
        </w:tc>
      </w:tr>
      <w:tr w:rsidR="00735613" w:rsidTr="00735613">
        <w:trPr>
          <w:trHeight w:val="264"/>
        </w:trPr>
        <w:tc>
          <w:tcPr>
            <w:tcW w:w="5023" w:type="dxa"/>
            <w:tcBorders>
              <w:top w:val="nil"/>
              <w:left w:val="single" w:sz="4" w:space="0" w:color="auto"/>
              <w:bottom w:val="single" w:sz="4" w:space="0" w:color="auto"/>
              <w:right w:val="single" w:sz="4" w:space="0" w:color="auto"/>
            </w:tcBorders>
            <w:shd w:val="clear" w:color="FFFFFF" w:fill="FFFFFF"/>
            <w:vAlign w:val="bottom"/>
            <w:hideMark/>
          </w:tcPr>
          <w:p w:rsidR="00735613" w:rsidRDefault="00735613">
            <w:pPr>
              <w:rPr>
                <w:rFonts w:cs="Arial"/>
                <w:b/>
                <w:bCs/>
                <w:szCs w:val="18"/>
              </w:rPr>
            </w:pPr>
            <w:r>
              <w:rPr>
                <w:rFonts w:cs="Arial"/>
                <w:b/>
                <w:bCs/>
                <w:szCs w:val="18"/>
              </w:rPr>
              <w:t>Total special appropriations applied</w:t>
            </w:r>
          </w:p>
        </w:tc>
        <w:tc>
          <w:tcPr>
            <w:tcW w:w="1772" w:type="dxa"/>
            <w:tcBorders>
              <w:top w:val="nil"/>
              <w:left w:val="nil"/>
              <w:bottom w:val="single" w:sz="4" w:space="0" w:color="auto"/>
              <w:right w:val="single" w:sz="4" w:space="0" w:color="auto"/>
            </w:tcBorders>
            <w:shd w:val="clear" w:color="FFFFFF" w:fill="FFFFFF"/>
            <w:vAlign w:val="bottom"/>
            <w:hideMark/>
          </w:tcPr>
          <w:p w:rsidR="00735613" w:rsidRDefault="00735613">
            <w:pPr>
              <w:rPr>
                <w:rFonts w:cs="Arial"/>
                <w:b/>
                <w:bCs/>
                <w:szCs w:val="18"/>
              </w:rPr>
            </w:pPr>
            <w:r>
              <w:rPr>
                <w:rFonts w:cs="Arial"/>
                <w:b/>
                <w:bCs/>
                <w:szCs w:val="18"/>
              </w:rPr>
              <w:t> </w:t>
            </w:r>
          </w:p>
        </w:tc>
        <w:tc>
          <w:tcPr>
            <w:tcW w:w="4648" w:type="dxa"/>
            <w:tcBorders>
              <w:top w:val="nil"/>
              <w:left w:val="nil"/>
              <w:bottom w:val="single" w:sz="4" w:space="0" w:color="auto"/>
              <w:right w:val="single" w:sz="4" w:space="0" w:color="auto"/>
            </w:tcBorders>
            <w:shd w:val="clear" w:color="FFFFFF" w:fill="FFFFFF"/>
            <w:vAlign w:val="bottom"/>
            <w:hideMark/>
          </w:tcPr>
          <w:p w:rsidR="00735613" w:rsidRDefault="00735613">
            <w:pPr>
              <w:rPr>
                <w:rFonts w:cs="Arial"/>
                <w:b/>
                <w:bCs/>
                <w:szCs w:val="18"/>
              </w:rPr>
            </w:pPr>
            <w:r>
              <w:rPr>
                <w:rFonts w:cs="Arial"/>
                <w:b/>
                <w:bCs/>
                <w:szCs w:val="18"/>
              </w:rPr>
              <w:t> </w:t>
            </w:r>
          </w:p>
        </w:tc>
        <w:tc>
          <w:tcPr>
            <w:tcW w:w="1221"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 w:val="16"/>
                <w:szCs w:val="16"/>
              </w:rPr>
            </w:pPr>
            <w:r>
              <w:rPr>
                <w:rFonts w:cs="Arial"/>
                <w:b/>
                <w:bCs/>
                <w:sz w:val="16"/>
                <w:szCs w:val="16"/>
              </w:rPr>
              <w:t>34,755,502</w:t>
            </w:r>
          </w:p>
        </w:tc>
        <w:tc>
          <w:tcPr>
            <w:tcW w:w="1220"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 w:val="16"/>
                <w:szCs w:val="16"/>
              </w:rPr>
            </w:pPr>
            <w:r>
              <w:rPr>
                <w:rFonts w:cs="Arial"/>
                <w:sz w:val="16"/>
                <w:szCs w:val="16"/>
              </w:rPr>
              <w:t>25,191,293</w:t>
            </w:r>
          </w:p>
        </w:tc>
      </w:tr>
    </w:tbl>
    <w:p w:rsidR="00735613" w:rsidRDefault="00735613">
      <w:bookmarkStart w:id="601" w:name="RANGE!D7:H16"/>
      <w:bookmarkStart w:id="602" w:name="RANGE!D7:H21"/>
      <w:bookmarkStart w:id="603" w:name="RANGE!D7:H30"/>
      <w:bookmarkStart w:id="604" w:name="RANGE!D7:H29"/>
      <w:bookmarkStart w:id="605" w:name="RANGE!D7:H24"/>
      <w:bookmarkStart w:id="606" w:name="RANGE!D7:H26"/>
      <w:bookmarkStart w:id="607" w:name="RANGE!D6:H25"/>
      <w:bookmarkStart w:id="608" w:name="RANGE!D6:I15"/>
      <w:bookmarkEnd w:id="601"/>
      <w:bookmarkEnd w:id="602"/>
      <w:bookmarkEnd w:id="603"/>
      <w:bookmarkEnd w:id="604"/>
      <w:bookmarkEnd w:id="605"/>
      <w:bookmarkEnd w:id="606"/>
      <w:bookmarkEnd w:id="607"/>
      <w:bookmarkEnd w:id="608"/>
    </w:p>
    <w:p w:rsidR="00735613" w:rsidRDefault="00735613" w:rsidP="00735613">
      <w:pPr>
        <w:pStyle w:val="AdminBlankGreyShade"/>
      </w:pPr>
    </w:p>
    <w:p w:rsidR="00735613" w:rsidRDefault="00735613" w:rsidP="00735613">
      <w:pPr>
        <w:pStyle w:val="AdminBlankGreyShade"/>
      </w:pPr>
    </w:p>
    <w:p w:rsidR="00735613" w:rsidRDefault="00735613" w:rsidP="00735613">
      <w:pPr>
        <w:pStyle w:val="12line"/>
        <w:rPr>
          <w:lang w:eastAsia="en-AU"/>
        </w:rPr>
      </w:pPr>
    </w:p>
    <w:p w:rsidR="00735613" w:rsidRDefault="00735613" w:rsidP="00735613">
      <w:pPr>
        <w:pStyle w:val="12line"/>
        <w:rPr>
          <w:lang w:eastAsia="en-AU"/>
        </w:rPr>
      </w:pPr>
    </w:p>
    <w:p w:rsidR="00735613" w:rsidRPr="00A778E6" w:rsidRDefault="00735613" w:rsidP="00735613">
      <w:pPr>
        <w:pStyle w:val="12line"/>
        <w:rPr>
          <w:lang w:eastAsia="en-AU"/>
        </w:rPr>
        <w:sectPr w:rsidR="00735613" w:rsidRPr="00A778E6">
          <w:pgSz w:w="16838" w:h="11906" w:orient="landscape"/>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2565"/>
        <w:gridCol w:w="1032"/>
        <w:gridCol w:w="915"/>
        <w:gridCol w:w="915"/>
        <w:gridCol w:w="915"/>
        <w:gridCol w:w="915"/>
        <w:gridCol w:w="915"/>
        <w:gridCol w:w="915"/>
      </w:tblGrid>
      <w:tr w:rsidR="00735613" w:rsidTr="00735613">
        <w:trPr>
          <w:trHeight w:val="255"/>
        </w:trPr>
        <w:tc>
          <w:tcPr>
            <w:tcW w:w="8981" w:type="dxa"/>
            <w:gridSpan w:val="8"/>
            <w:tcBorders>
              <w:top w:val="nil"/>
              <w:left w:val="nil"/>
              <w:bottom w:val="nil"/>
              <w:right w:val="nil"/>
            </w:tcBorders>
            <w:shd w:val="clear" w:color="FFFFFF" w:fill="FFFFFF"/>
            <w:noWrap/>
            <w:vAlign w:val="bottom"/>
            <w:hideMark/>
          </w:tcPr>
          <w:p w:rsidR="00735613" w:rsidRDefault="00735613">
            <w:pPr>
              <w:rPr>
                <w:rFonts w:cs="Calibri"/>
                <w:b/>
                <w:bCs/>
                <w:szCs w:val="18"/>
                <w:u w:val="single"/>
              </w:rPr>
            </w:pPr>
            <w:bookmarkStart w:id="609" w:name="Note_DACTABLE1" w:colFirst="0" w:colLast="0"/>
            <w:r>
              <w:rPr>
                <w:rFonts w:cs="Calibri"/>
                <w:b/>
                <w:bCs/>
                <w:szCs w:val="18"/>
                <w:u w:val="single"/>
              </w:rPr>
              <w:t>Note 29E: Disclosure by Agent in Relation to Annual and Special Appropriations ('Recoverable GST exclusive')</w:t>
            </w:r>
          </w:p>
        </w:tc>
      </w:tr>
      <w:bookmarkEnd w:id="609"/>
      <w:tr w:rsidR="00735613" w:rsidTr="00735613">
        <w:trPr>
          <w:trHeight w:val="255"/>
        </w:trPr>
        <w:tc>
          <w:tcPr>
            <w:tcW w:w="253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021"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r>
      <w:tr w:rsidR="00735613" w:rsidTr="00735613">
        <w:trPr>
          <w:trHeight w:val="930"/>
        </w:trPr>
        <w:tc>
          <w:tcPr>
            <w:tcW w:w="2536" w:type="dxa"/>
            <w:tcBorders>
              <w:top w:val="single" w:sz="4" w:space="0" w:color="auto"/>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 </w:t>
            </w:r>
          </w:p>
        </w:tc>
        <w:tc>
          <w:tcPr>
            <w:tcW w:w="1021" w:type="dxa"/>
            <w:tcBorders>
              <w:top w:val="single" w:sz="4" w:space="0" w:color="auto"/>
              <w:left w:val="nil"/>
              <w:bottom w:val="nil"/>
              <w:right w:val="nil"/>
            </w:tcBorders>
            <w:shd w:val="clear" w:color="FFFFFF" w:fill="FFFFFF"/>
            <w:noWrap/>
            <w:vAlign w:val="bottom"/>
            <w:hideMark/>
          </w:tcPr>
          <w:p w:rsidR="00735613" w:rsidRDefault="00735613">
            <w:pPr>
              <w:rPr>
                <w:rFonts w:cs="Calibri"/>
                <w:b/>
                <w:bCs/>
                <w:szCs w:val="18"/>
              </w:rPr>
            </w:pPr>
            <w:r>
              <w:rPr>
                <w:rFonts w:cs="Calibri"/>
                <w:b/>
                <w:bCs/>
                <w:szCs w:val="18"/>
              </w:rPr>
              <w:t> </w:t>
            </w:r>
          </w:p>
        </w:tc>
        <w:tc>
          <w:tcPr>
            <w:tcW w:w="1808" w:type="dxa"/>
            <w:gridSpan w:val="2"/>
            <w:tcBorders>
              <w:top w:val="single" w:sz="4" w:space="0" w:color="auto"/>
              <w:left w:val="nil"/>
              <w:bottom w:val="nil"/>
              <w:right w:val="nil"/>
            </w:tcBorders>
            <w:shd w:val="clear" w:color="FFFFFF" w:fill="FFFFFF"/>
            <w:vAlign w:val="bottom"/>
            <w:hideMark/>
          </w:tcPr>
          <w:p w:rsidR="00735613" w:rsidRDefault="00735613">
            <w:pPr>
              <w:jc w:val="right"/>
              <w:rPr>
                <w:rFonts w:cs="Calibri"/>
                <w:b/>
                <w:bCs/>
                <w:szCs w:val="18"/>
              </w:rPr>
            </w:pPr>
            <w:r>
              <w:rPr>
                <w:rFonts w:cs="Calibri"/>
                <w:b/>
                <w:bCs/>
                <w:szCs w:val="18"/>
              </w:rPr>
              <w:t>Department of Prime Minister and Cabinet</w:t>
            </w:r>
            <w:r>
              <w:rPr>
                <w:rFonts w:cs="Calibri"/>
                <w:b/>
                <w:bCs/>
                <w:szCs w:val="18"/>
                <w:vertAlign w:val="superscript"/>
              </w:rPr>
              <w:t>1</w:t>
            </w:r>
          </w:p>
        </w:tc>
        <w:tc>
          <w:tcPr>
            <w:tcW w:w="1808" w:type="dxa"/>
            <w:gridSpan w:val="2"/>
            <w:tcBorders>
              <w:top w:val="single" w:sz="4" w:space="0" w:color="auto"/>
              <w:left w:val="nil"/>
              <w:bottom w:val="nil"/>
              <w:right w:val="nil"/>
            </w:tcBorders>
            <w:shd w:val="clear" w:color="FFFFFF" w:fill="FFFFFF"/>
            <w:vAlign w:val="bottom"/>
            <w:hideMark/>
          </w:tcPr>
          <w:p w:rsidR="00735613" w:rsidRDefault="00735613">
            <w:pPr>
              <w:jc w:val="right"/>
              <w:rPr>
                <w:rFonts w:cs="Calibri"/>
                <w:b/>
                <w:bCs/>
                <w:szCs w:val="18"/>
              </w:rPr>
            </w:pPr>
            <w:r>
              <w:rPr>
                <w:rFonts w:cs="Calibri"/>
                <w:b/>
                <w:bCs/>
                <w:szCs w:val="18"/>
              </w:rPr>
              <w:t>Department of Foreign Affairs and Trade</w:t>
            </w:r>
            <w:r>
              <w:rPr>
                <w:rFonts w:cs="Calibri"/>
                <w:b/>
                <w:bCs/>
                <w:szCs w:val="18"/>
                <w:vertAlign w:val="superscript"/>
              </w:rPr>
              <w:t>2</w:t>
            </w:r>
          </w:p>
        </w:tc>
        <w:tc>
          <w:tcPr>
            <w:tcW w:w="1808" w:type="dxa"/>
            <w:gridSpan w:val="2"/>
            <w:tcBorders>
              <w:top w:val="single" w:sz="4" w:space="0" w:color="auto"/>
              <w:left w:val="nil"/>
              <w:bottom w:val="nil"/>
              <w:right w:val="nil"/>
            </w:tcBorders>
            <w:shd w:val="clear" w:color="FFFFFF" w:fill="FFFFFF"/>
            <w:vAlign w:val="bottom"/>
            <w:hideMark/>
          </w:tcPr>
          <w:p w:rsidR="00735613" w:rsidRDefault="00735613">
            <w:pPr>
              <w:jc w:val="right"/>
              <w:rPr>
                <w:rFonts w:cs="Calibri"/>
                <w:b/>
                <w:bCs/>
                <w:szCs w:val="18"/>
              </w:rPr>
            </w:pPr>
            <w:r>
              <w:rPr>
                <w:rFonts w:cs="Calibri"/>
                <w:b/>
                <w:bCs/>
                <w:szCs w:val="18"/>
              </w:rPr>
              <w:t>Department of Social Services</w:t>
            </w:r>
            <w:r>
              <w:rPr>
                <w:rFonts w:cs="Calibri"/>
                <w:b/>
                <w:bCs/>
                <w:szCs w:val="18"/>
                <w:vertAlign w:val="superscript"/>
              </w:rPr>
              <w:t>3</w:t>
            </w:r>
          </w:p>
        </w:tc>
      </w:tr>
      <w:tr w:rsidR="00735613" w:rsidTr="00735613">
        <w:trPr>
          <w:trHeight w:val="255"/>
        </w:trPr>
        <w:tc>
          <w:tcPr>
            <w:tcW w:w="2536" w:type="dxa"/>
            <w:tcBorders>
              <w:top w:val="nil"/>
              <w:left w:val="nil"/>
              <w:bottom w:val="single" w:sz="4" w:space="0" w:color="auto"/>
              <w:right w:val="nil"/>
            </w:tcBorders>
            <w:shd w:val="clear" w:color="FFFFFF" w:fill="FFFFFF"/>
            <w:vAlign w:val="bottom"/>
            <w:hideMark/>
          </w:tcPr>
          <w:p w:rsidR="00735613" w:rsidRDefault="00735613">
            <w:pPr>
              <w:rPr>
                <w:rFonts w:cs="Calibri"/>
                <w:b/>
                <w:bCs/>
                <w:szCs w:val="18"/>
              </w:rPr>
            </w:pPr>
            <w:r>
              <w:rPr>
                <w:rFonts w:cs="Calibri"/>
                <w:b/>
                <w:bCs/>
                <w:szCs w:val="18"/>
              </w:rPr>
              <w:t>2015</w:t>
            </w:r>
          </w:p>
        </w:tc>
        <w:tc>
          <w:tcPr>
            <w:tcW w:w="1021" w:type="dxa"/>
            <w:tcBorders>
              <w:top w:val="nil"/>
              <w:left w:val="nil"/>
              <w:bottom w:val="single" w:sz="4" w:space="0" w:color="auto"/>
              <w:right w:val="nil"/>
            </w:tcBorders>
            <w:shd w:val="clear" w:color="FFFFFF" w:fill="FFFFFF"/>
            <w:noWrap/>
            <w:vAlign w:val="bottom"/>
            <w:hideMark/>
          </w:tcPr>
          <w:p w:rsidR="00735613" w:rsidRDefault="00735613">
            <w:pPr>
              <w:rPr>
                <w:rFonts w:cs="Calibri"/>
                <w:b/>
                <w:bCs/>
                <w:szCs w:val="18"/>
              </w:rPr>
            </w:pPr>
            <w:r>
              <w:rPr>
                <w:rFonts w:cs="Calibri"/>
                <w:b/>
                <w:bCs/>
                <w:szCs w:val="18"/>
              </w:rPr>
              <w:t> </w:t>
            </w:r>
          </w:p>
        </w:tc>
        <w:tc>
          <w:tcPr>
            <w:tcW w:w="1808" w:type="dxa"/>
            <w:gridSpan w:val="2"/>
            <w:tcBorders>
              <w:top w:val="nil"/>
              <w:left w:val="nil"/>
              <w:bottom w:val="single" w:sz="4" w:space="0" w:color="auto"/>
              <w:right w:val="nil"/>
            </w:tcBorders>
            <w:shd w:val="clear" w:color="FFFFFF" w:fill="FFFFFF"/>
            <w:vAlign w:val="bottom"/>
            <w:hideMark/>
          </w:tcPr>
          <w:p w:rsidR="00735613" w:rsidRDefault="00735613">
            <w:pPr>
              <w:jc w:val="right"/>
              <w:rPr>
                <w:rFonts w:cs="Calibri"/>
                <w:b/>
                <w:bCs/>
                <w:szCs w:val="18"/>
              </w:rPr>
            </w:pPr>
            <w:r>
              <w:rPr>
                <w:rFonts w:cs="Calibri"/>
                <w:b/>
                <w:bCs/>
                <w:szCs w:val="18"/>
              </w:rPr>
              <w:t>$'000</w:t>
            </w:r>
          </w:p>
        </w:tc>
        <w:tc>
          <w:tcPr>
            <w:tcW w:w="1808" w:type="dxa"/>
            <w:gridSpan w:val="2"/>
            <w:tcBorders>
              <w:top w:val="nil"/>
              <w:left w:val="nil"/>
              <w:bottom w:val="single" w:sz="4" w:space="0" w:color="auto"/>
              <w:right w:val="nil"/>
            </w:tcBorders>
            <w:shd w:val="clear" w:color="FFFFFF" w:fill="FFFFFF"/>
            <w:vAlign w:val="bottom"/>
            <w:hideMark/>
          </w:tcPr>
          <w:p w:rsidR="00735613" w:rsidRDefault="00735613">
            <w:pPr>
              <w:jc w:val="right"/>
              <w:rPr>
                <w:rFonts w:cs="Calibri"/>
                <w:b/>
                <w:bCs/>
                <w:szCs w:val="18"/>
              </w:rPr>
            </w:pPr>
            <w:r>
              <w:rPr>
                <w:rFonts w:cs="Calibri"/>
                <w:b/>
                <w:bCs/>
                <w:szCs w:val="18"/>
              </w:rPr>
              <w:t>$'000</w:t>
            </w:r>
          </w:p>
        </w:tc>
        <w:tc>
          <w:tcPr>
            <w:tcW w:w="1808" w:type="dxa"/>
            <w:gridSpan w:val="2"/>
            <w:tcBorders>
              <w:top w:val="nil"/>
              <w:left w:val="nil"/>
              <w:bottom w:val="single" w:sz="4" w:space="0" w:color="auto"/>
              <w:right w:val="nil"/>
            </w:tcBorders>
            <w:shd w:val="clear" w:color="FFFFFF" w:fill="FFFFFF"/>
            <w:vAlign w:val="bottom"/>
            <w:hideMark/>
          </w:tcPr>
          <w:p w:rsidR="00735613" w:rsidRDefault="00735613">
            <w:pPr>
              <w:jc w:val="right"/>
              <w:rPr>
                <w:rFonts w:cs="Calibri"/>
                <w:b/>
                <w:bCs/>
                <w:szCs w:val="18"/>
              </w:rPr>
            </w:pPr>
            <w:r>
              <w:rPr>
                <w:rFonts w:cs="Calibri"/>
                <w:b/>
                <w:bCs/>
                <w:szCs w:val="18"/>
              </w:rPr>
              <w:t>$'000</w:t>
            </w:r>
          </w:p>
        </w:tc>
      </w:tr>
      <w:tr w:rsidR="00735613" w:rsidTr="00735613">
        <w:trPr>
          <w:trHeight w:val="255"/>
        </w:trPr>
        <w:tc>
          <w:tcPr>
            <w:tcW w:w="253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Total receipts</w:t>
            </w:r>
          </w:p>
        </w:tc>
        <w:tc>
          <w:tcPr>
            <w:tcW w:w="1021"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808" w:type="dxa"/>
            <w:gridSpan w:val="2"/>
            <w:tcBorders>
              <w:top w:val="single" w:sz="4" w:space="0" w:color="auto"/>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250 </w:t>
            </w:r>
          </w:p>
        </w:tc>
        <w:tc>
          <w:tcPr>
            <w:tcW w:w="1808" w:type="dxa"/>
            <w:gridSpan w:val="2"/>
            <w:tcBorders>
              <w:top w:val="single" w:sz="4" w:space="0" w:color="auto"/>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9,978 </w:t>
            </w:r>
          </w:p>
        </w:tc>
        <w:tc>
          <w:tcPr>
            <w:tcW w:w="1808" w:type="dxa"/>
            <w:gridSpan w:val="2"/>
            <w:tcBorders>
              <w:top w:val="single" w:sz="4" w:space="0" w:color="auto"/>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605,050 </w:t>
            </w:r>
          </w:p>
        </w:tc>
      </w:tr>
      <w:tr w:rsidR="00735613" w:rsidTr="00735613">
        <w:trPr>
          <w:trHeight w:val="255"/>
        </w:trPr>
        <w:tc>
          <w:tcPr>
            <w:tcW w:w="2536" w:type="dxa"/>
            <w:tcBorders>
              <w:top w:val="nil"/>
              <w:left w:val="nil"/>
              <w:bottom w:val="single" w:sz="4" w:space="0" w:color="auto"/>
              <w:right w:val="nil"/>
            </w:tcBorders>
            <w:shd w:val="clear" w:color="FFFFFF" w:fill="FFFFFF"/>
            <w:vAlign w:val="bottom"/>
            <w:hideMark/>
          </w:tcPr>
          <w:p w:rsidR="00735613" w:rsidRDefault="00735613">
            <w:pPr>
              <w:rPr>
                <w:rFonts w:cs="Calibri"/>
                <w:szCs w:val="18"/>
              </w:rPr>
            </w:pPr>
            <w:r>
              <w:rPr>
                <w:rFonts w:cs="Calibri"/>
                <w:szCs w:val="18"/>
              </w:rPr>
              <w:t>Total payments</w:t>
            </w:r>
          </w:p>
        </w:tc>
        <w:tc>
          <w:tcPr>
            <w:tcW w:w="1021" w:type="dxa"/>
            <w:tcBorders>
              <w:top w:val="nil"/>
              <w:left w:val="nil"/>
              <w:bottom w:val="single" w:sz="4" w:space="0" w:color="auto"/>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808" w:type="dxa"/>
            <w:gridSpan w:val="2"/>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250 </w:t>
            </w:r>
          </w:p>
        </w:tc>
        <w:tc>
          <w:tcPr>
            <w:tcW w:w="1808" w:type="dxa"/>
            <w:gridSpan w:val="2"/>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9,978 </w:t>
            </w:r>
          </w:p>
        </w:tc>
        <w:tc>
          <w:tcPr>
            <w:tcW w:w="1808" w:type="dxa"/>
            <w:gridSpan w:val="2"/>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605,050 </w:t>
            </w:r>
          </w:p>
        </w:tc>
      </w:tr>
      <w:tr w:rsidR="00735613" w:rsidTr="00735613">
        <w:trPr>
          <w:trHeight w:val="255"/>
        </w:trPr>
        <w:tc>
          <w:tcPr>
            <w:tcW w:w="253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021"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r>
      <w:tr w:rsidR="00735613" w:rsidTr="00735613">
        <w:trPr>
          <w:trHeight w:val="255"/>
        </w:trPr>
        <w:tc>
          <w:tcPr>
            <w:tcW w:w="253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021"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r>
      <w:tr w:rsidR="00735613" w:rsidTr="00735613">
        <w:trPr>
          <w:trHeight w:val="945"/>
        </w:trPr>
        <w:tc>
          <w:tcPr>
            <w:tcW w:w="2536" w:type="dxa"/>
            <w:tcBorders>
              <w:top w:val="single" w:sz="4" w:space="0" w:color="auto"/>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 </w:t>
            </w:r>
          </w:p>
        </w:tc>
        <w:tc>
          <w:tcPr>
            <w:tcW w:w="1021" w:type="dxa"/>
            <w:tcBorders>
              <w:top w:val="single" w:sz="4" w:space="0" w:color="auto"/>
              <w:left w:val="nil"/>
              <w:bottom w:val="nil"/>
              <w:right w:val="nil"/>
            </w:tcBorders>
            <w:shd w:val="clear" w:color="FFFFFF" w:fill="FFFFFF"/>
            <w:noWrap/>
            <w:vAlign w:val="bottom"/>
            <w:hideMark/>
          </w:tcPr>
          <w:p w:rsidR="00735613" w:rsidRDefault="00735613">
            <w:pPr>
              <w:rPr>
                <w:rFonts w:cs="Calibri"/>
                <w:b/>
                <w:bCs/>
                <w:szCs w:val="18"/>
              </w:rPr>
            </w:pPr>
            <w:r>
              <w:rPr>
                <w:rFonts w:cs="Calibri"/>
                <w:b/>
                <w:bCs/>
                <w:szCs w:val="18"/>
              </w:rPr>
              <w:t> </w:t>
            </w:r>
          </w:p>
        </w:tc>
        <w:tc>
          <w:tcPr>
            <w:tcW w:w="1808" w:type="dxa"/>
            <w:gridSpan w:val="2"/>
            <w:tcBorders>
              <w:top w:val="single" w:sz="4" w:space="0" w:color="auto"/>
              <w:left w:val="nil"/>
              <w:bottom w:val="nil"/>
              <w:right w:val="nil"/>
            </w:tcBorders>
            <w:shd w:val="clear" w:color="FFFFFF" w:fill="FFFFFF"/>
            <w:vAlign w:val="bottom"/>
            <w:hideMark/>
          </w:tcPr>
          <w:p w:rsidR="00735613" w:rsidRDefault="00735613">
            <w:pPr>
              <w:jc w:val="right"/>
              <w:rPr>
                <w:rFonts w:cs="Calibri"/>
                <w:b/>
                <w:bCs/>
                <w:szCs w:val="18"/>
              </w:rPr>
            </w:pPr>
            <w:r>
              <w:rPr>
                <w:rFonts w:cs="Calibri"/>
                <w:b/>
                <w:bCs/>
                <w:szCs w:val="18"/>
              </w:rPr>
              <w:t>Department of Prime Minister and Cabinet</w:t>
            </w:r>
            <w:r>
              <w:rPr>
                <w:rFonts w:cs="Calibri"/>
                <w:b/>
                <w:bCs/>
                <w:szCs w:val="18"/>
                <w:vertAlign w:val="superscript"/>
              </w:rPr>
              <w:t>1</w:t>
            </w:r>
          </w:p>
        </w:tc>
        <w:tc>
          <w:tcPr>
            <w:tcW w:w="1808" w:type="dxa"/>
            <w:gridSpan w:val="2"/>
            <w:tcBorders>
              <w:top w:val="single" w:sz="4" w:space="0" w:color="auto"/>
              <w:left w:val="nil"/>
              <w:bottom w:val="nil"/>
              <w:right w:val="nil"/>
            </w:tcBorders>
            <w:shd w:val="clear" w:color="FFFFFF" w:fill="FFFFFF"/>
            <w:vAlign w:val="bottom"/>
            <w:hideMark/>
          </w:tcPr>
          <w:p w:rsidR="00735613" w:rsidRDefault="00735613">
            <w:pPr>
              <w:jc w:val="right"/>
              <w:rPr>
                <w:rFonts w:cs="Calibri"/>
                <w:b/>
                <w:bCs/>
                <w:szCs w:val="18"/>
              </w:rPr>
            </w:pPr>
            <w:r>
              <w:rPr>
                <w:rFonts w:cs="Calibri"/>
                <w:b/>
                <w:bCs/>
                <w:szCs w:val="18"/>
              </w:rPr>
              <w:t>Department of Foreign Affairs and Trade</w:t>
            </w:r>
            <w:r>
              <w:rPr>
                <w:rFonts w:cs="Calibri"/>
                <w:b/>
                <w:bCs/>
                <w:szCs w:val="18"/>
                <w:vertAlign w:val="superscript"/>
              </w:rPr>
              <w:t>2</w:t>
            </w:r>
          </w:p>
        </w:tc>
        <w:tc>
          <w:tcPr>
            <w:tcW w:w="1808" w:type="dxa"/>
            <w:gridSpan w:val="2"/>
            <w:tcBorders>
              <w:top w:val="single" w:sz="4" w:space="0" w:color="auto"/>
              <w:left w:val="nil"/>
              <w:bottom w:val="nil"/>
              <w:right w:val="nil"/>
            </w:tcBorders>
            <w:shd w:val="clear" w:color="FFFFFF" w:fill="FFFFFF"/>
            <w:vAlign w:val="bottom"/>
            <w:hideMark/>
          </w:tcPr>
          <w:p w:rsidR="00735613" w:rsidRDefault="00735613">
            <w:pPr>
              <w:jc w:val="right"/>
              <w:rPr>
                <w:rFonts w:cs="Calibri"/>
                <w:b/>
                <w:bCs/>
                <w:szCs w:val="18"/>
              </w:rPr>
            </w:pPr>
            <w:r>
              <w:rPr>
                <w:rFonts w:cs="Calibri"/>
                <w:b/>
                <w:bCs/>
                <w:szCs w:val="18"/>
              </w:rPr>
              <w:t>Department of Social Services</w:t>
            </w:r>
            <w:r>
              <w:rPr>
                <w:rFonts w:cs="Calibri"/>
                <w:b/>
                <w:bCs/>
                <w:szCs w:val="18"/>
                <w:vertAlign w:val="superscript"/>
              </w:rPr>
              <w:t>3</w:t>
            </w:r>
          </w:p>
        </w:tc>
      </w:tr>
      <w:tr w:rsidR="00735613" w:rsidTr="00735613">
        <w:trPr>
          <w:trHeight w:val="255"/>
        </w:trPr>
        <w:tc>
          <w:tcPr>
            <w:tcW w:w="2536" w:type="dxa"/>
            <w:tcBorders>
              <w:top w:val="nil"/>
              <w:left w:val="nil"/>
              <w:bottom w:val="single" w:sz="4" w:space="0" w:color="auto"/>
              <w:right w:val="nil"/>
            </w:tcBorders>
            <w:shd w:val="clear" w:color="FFFFFF" w:fill="FFFFFF"/>
            <w:vAlign w:val="bottom"/>
            <w:hideMark/>
          </w:tcPr>
          <w:p w:rsidR="00735613" w:rsidRDefault="00735613">
            <w:pPr>
              <w:rPr>
                <w:rFonts w:cs="Calibri"/>
                <w:b/>
                <w:bCs/>
                <w:szCs w:val="18"/>
              </w:rPr>
            </w:pPr>
            <w:r>
              <w:rPr>
                <w:rFonts w:cs="Calibri"/>
                <w:b/>
                <w:bCs/>
                <w:szCs w:val="18"/>
              </w:rPr>
              <w:t>2014</w:t>
            </w:r>
          </w:p>
        </w:tc>
        <w:tc>
          <w:tcPr>
            <w:tcW w:w="1021" w:type="dxa"/>
            <w:tcBorders>
              <w:top w:val="nil"/>
              <w:left w:val="nil"/>
              <w:bottom w:val="single" w:sz="4" w:space="0" w:color="auto"/>
              <w:right w:val="nil"/>
            </w:tcBorders>
            <w:shd w:val="clear" w:color="FFFFFF" w:fill="FFFFFF"/>
            <w:noWrap/>
            <w:vAlign w:val="bottom"/>
            <w:hideMark/>
          </w:tcPr>
          <w:p w:rsidR="00735613" w:rsidRDefault="00735613">
            <w:pPr>
              <w:rPr>
                <w:rFonts w:cs="Calibri"/>
                <w:b/>
                <w:bCs/>
                <w:szCs w:val="18"/>
              </w:rPr>
            </w:pPr>
            <w:r>
              <w:rPr>
                <w:rFonts w:cs="Calibri"/>
                <w:b/>
                <w:bCs/>
                <w:szCs w:val="18"/>
              </w:rPr>
              <w:t> </w:t>
            </w:r>
          </w:p>
        </w:tc>
        <w:tc>
          <w:tcPr>
            <w:tcW w:w="1808" w:type="dxa"/>
            <w:gridSpan w:val="2"/>
            <w:tcBorders>
              <w:top w:val="nil"/>
              <w:left w:val="nil"/>
              <w:bottom w:val="single" w:sz="4" w:space="0" w:color="auto"/>
              <w:right w:val="nil"/>
            </w:tcBorders>
            <w:shd w:val="clear" w:color="FFFFFF" w:fill="FFFFFF"/>
            <w:vAlign w:val="bottom"/>
            <w:hideMark/>
          </w:tcPr>
          <w:p w:rsidR="00735613" w:rsidRDefault="00735613">
            <w:pPr>
              <w:jc w:val="right"/>
              <w:rPr>
                <w:rFonts w:cs="Calibri"/>
                <w:b/>
                <w:bCs/>
                <w:szCs w:val="18"/>
              </w:rPr>
            </w:pPr>
            <w:r>
              <w:rPr>
                <w:rFonts w:cs="Calibri"/>
                <w:b/>
                <w:bCs/>
                <w:szCs w:val="18"/>
              </w:rPr>
              <w:t>$'000</w:t>
            </w:r>
          </w:p>
        </w:tc>
        <w:tc>
          <w:tcPr>
            <w:tcW w:w="1808" w:type="dxa"/>
            <w:gridSpan w:val="2"/>
            <w:tcBorders>
              <w:top w:val="nil"/>
              <w:left w:val="nil"/>
              <w:bottom w:val="single" w:sz="4" w:space="0" w:color="auto"/>
              <w:right w:val="nil"/>
            </w:tcBorders>
            <w:shd w:val="clear" w:color="FFFFFF" w:fill="FFFFFF"/>
            <w:vAlign w:val="bottom"/>
            <w:hideMark/>
          </w:tcPr>
          <w:p w:rsidR="00735613" w:rsidRDefault="00735613">
            <w:pPr>
              <w:jc w:val="right"/>
              <w:rPr>
                <w:rFonts w:cs="Calibri"/>
                <w:b/>
                <w:bCs/>
                <w:szCs w:val="18"/>
              </w:rPr>
            </w:pPr>
            <w:r>
              <w:rPr>
                <w:rFonts w:cs="Calibri"/>
                <w:b/>
                <w:bCs/>
                <w:szCs w:val="18"/>
              </w:rPr>
              <w:t>$'000</w:t>
            </w:r>
          </w:p>
        </w:tc>
        <w:tc>
          <w:tcPr>
            <w:tcW w:w="1808" w:type="dxa"/>
            <w:gridSpan w:val="2"/>
            <w:tcBorders>
              <w:top w:val="nil"/>
              <w:left w:val="nil"/>
              <w:bottom w:val="single" w:sz="4" w:space="0" w:color="auto"/>
              <w:right w:val="nil"/>
            </w:tcBorders>
            <w:shd w:val="clear" w:color="FFFFFF" w:fill="FFFFFF"/>
            <w:vAlign w:val="bottom"/>
            <w:hideMark/>
          </w:tcPr>
          <w:p w:rsidR="00735613" w:rsidRDefault="00735613">
            <w:pPr>
              <w:jc w:val="right"/>
              <w:rPr>
                <w:rFonts w:cs="Calibri"/>
                <w:b/>
                <w:bCs/>
                <w:szCs w:val="18"/>
              </w:rPr>
            </w:pPr>
            <w:r>
              <w:rPr>
                <w:rFonts w:cs="Calibri"/>
                <w:b/>
                <w:bCs/>
                <w:szCs w:val="18"/>
              </w:rPr>
              <w:t>$'000</w:t>
            </w:r>
          </w:p>
        </w:tc>
      </w:tr>
      <w:tr w:rsidR="00735613" w:rsidTr="00735613">
        <w:trPr>
          <w:trHeight w:val="255"/>
        </w:trPr>
        <w:tc>
          <w:tcPr>
            <w:tcW w:w="253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Total receipts</w:t>
            </w:r>
          </w:p>
        </w:tc>
        <w:tc>
          <w:tcPr>
            <w:tcW w:w="1021"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808" w:type="dxa"/>
            <w:gridSpan w:val="2"/>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xml:space="preserve">92,471 </w:t>
            </w:r>
          </w:p>
        </w:tc>
        <w:tc>
          <w:tcPr>
            <w:tcW w:w="1808" w:type="dxa"/>
            <w:gridSpan w:val="2"/>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xml:space="preserve">3,688 </w:t>
            </w:r>
          </w:p>
        </w:tc>
        <w:tc>
          <w:tcPr>
            <w:tcW w:w="1808" w:type="dxa"/>
            <w:gridSpan w:val="2"/>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xml:space="preserve">300 </w:t>
            </w:r>
          </w:p>
        </w:tc>
      </w:tr>
      <w:tr w:rsidR="00735613" w:rsidTr="00735613">
        <w:trPr>
          <w:trHeight w:val="255"/>
        </w:trPr>
        <w:tc>
          <w:tcPr>
            <w:tcW w:w="2536" w:type="dxa"/>
            <w:tcBorders>
              <w:top w:val="nil"/>
              <w:left w:val="nil"/>
              <w:bottom w:val="single" w:sz="4" w:space="0" w:color="auto"/>
              <w:right w:val="nil"/>
            </w:tcBorders>
            <w:shd w:val="clear" w:color="FFFFFF" w:fill="FFFFFF"/>
            <w:vAlign w:val="bottom"/>
            <w:hideMark/>
          </w:tcPr>
          <w:p w:rsidR="00735613" w:rsidRDefault="00735613">
            <w:pPr>
              <w:rPr>
                <w:rFonts w:cs="Calibri"/>
                <w:szCs w:val="18"/>
              </w:rPr>
            </w:pPr>
            <w:r>
              <w:rPr>
                <w:rFonts w:cs="Calibri"/>
                <w:szCs w:val="18"/>
              </w:rPr>
              <w:t>Total payments</w:t>
            </w:r>
          </w:p>
        </w:tc>
        <w:tc>
          <w:tcPr>
            <w:tcW w:w="1021" w:type="dxa"/>
            <w:tcBorders>
              <w:top w:val="nil"/>
              <w:left w:val="nil"/>
              <w:bottom w:val="single" w:sz="4" w:space="0" w:color="auto"/>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808" w:type="dxa"/>
            <w:gridSpan w:val="2"/>
            <w:tcBorders>
              <w:top w:val="nil"/>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 xml:space="preserve">92,471 </w:t>
            </w:r>
          </w:p>
        </w:tc>
        <w:tc>
          <w:tcPr>
            <w:tcW w:w="1808" w:type="dxa"/>
            <w:gridSpan w:val="2"/>
            <w:tcBorders>
              <w:top w:val="nil"/>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 xml:space="preserve">3,688 </w:t>
            </w:r>
          </w:p>
        </w:tc>
        <w:tc>
          <w:tcPr>
            <w:tcW w:w="1808" w:type="dxa"/>
            <w:gridSpan w:val="2"/>
            <w:tcBorders>
              <w:top w:val="nil"/>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 xml:space="preserve">300 </w:t>
            </w:r>
          </w:p>
        </w:tc>
      </w:tr>
    </w:tbl>
    <w:p w:rsidR="00735613" w:rsidRDefault="00735613">
      <w:pPr>
        <w:spacing w:line="240" w:lineRule="auto"/>
      </w:pPr>
      <w:bookmarkStart w:id="610" w:name="RANGE!D8:K19"/>
      <w:bookmarkStart w:id="611" w:name="RANGE!D7:K18"/>
      <w:bookmarkStart w:id="612" w:name="RANGE!D25:H32"/>
      <w:bookmarkEnd w:id="610"/>
      <w:bookmarkEnd w:id="611"/>
      <w:bookmarkEnd w:id="612"/>
    </w:p>
    <w:p w:rsidR="00735613" w:rsidRDefault="00735613" w:rsidP="00735613">
      <w:pPr>
        <w:pStyle w:val="ListParagraph"/>
        <w:numPr>
          <w:ilvl w:val="0"/>
          <w:numId w:val="35"/>
        </w:numPr>
        <w:ind w:left="142" w:hanging="142"/>
      </w:pPr>
      <w:r>
        <w:t>The department made a payment for the Office of Women programme for the Department of Prime Minister and Cabinet. In 2013–14 the department had drawing rights for annual and special appropriations to support Indigenous education functions that were relinquished to the Department of Prime Minister and Cabinet during 2013–14 due to the Administrative Arrangement Orders of 18 September 2013.</w:t>
      </w:r>
    </w:p>
    <w:p w:rsidR="00735613" w:rsidRDefault="00735613" w:rsidP="00735613">
      <w:pPr>
        <w:pStyle w:val="ListParagraph"/>
        <w:numPr>
          <w:ilvl w:val="0"/>
          <w:numId w:val="35"/>
        </w:numPr>
        <w:ind w:left="142" w:hanging="142"/>
      </w:pPr>
      <w:r>
        <w:t>The department has drawing rights for the Department of Foreign Affairs and Trade annual appropriation for the New Colombo Plan programme.</w:t>
      </w:r>
    </w:p>
    <w:p w:rsidR="00735613" w:rsidRPr="00455C0D" w:rsidRDefault="00735613" w:rsidP="00735613">
      <w:pPr>
        <w:pStyle w:val="ListParagraph"/>
        <w:numPr>
          <w:ilvl w:val="0"/>
          <w:numId w:val="35"/>
        </w:numPr>
        <w:ind w:left="142" w:hanging="142"/>
      </w:pPr>
      <w:r w:rsidRPr="00455C0D">
        <w:t>The department has drawing rights for the Department of Social Services special appropriation for the</w:t>
      </w:r>
      <w:r>
        <w:t xml:space="preserve"> payment of Child Care Benefit,</w:t>
      </w:r>
      <w:r w:rsidRPr="00455C0D">
        <w:t xml:space="preserve"> Child Care Rebate</w:t>
      </w:r>
      <w:r>
        <w:t xml:space="preserve"> and the Early Years Quality Fund Special Account</w:t>
      </w:r>
      <w:r w:rsidRPr="00455C0D">
        <w:t xml:space="preserve">. The functions in relation to these payments were transferred to the Department of Social Services following the Administrative Arrangement Order of 23 December 2014. </w:t>
      </w:r>
    </w:p>
    <w:p w:rsidR="00735613" w:rsidRPr="00A778E6" w:rsidRDefault="00735613" w:rsidP="00735613"/>
    <w:p w:rsidR="00735613" w:rsidRPr="00A778E6" w:rsidRDefault="00735613" w:rsidP="00735613"/>
    <w:p w:rsidR="00735613" w:rsidRPr="00A778E6" w:rsidRDefault="00735613" w:rsidP="00735613"/>
    <w:p w:rsidR="00735613" w:rsidRPr="00A778E6" w:rsidRDefault="00735613" w:rsidP="00735613"/>
    <w:p w:rsidR="00735613" w:rsidRPr="00A778E6" w:rsidRDefault="00735613" w:rsidP="00735613"/>
    <w:p w:rsidR="00735613" w:rsidRPr="00A778E6" w:rsidRDefault="00735613" w:rsidP="00735613"/>
    <w:p w:rsidR="00735613" w:rsidRDefault="00735613" w:rsidP="00735613"/>
    <w:p w:rsidR="00735613" w:rsidRDefault="00735613" w:rsidP="00735613">
      <w:pPr>
        <w:sectPr w:rsidR="00735613">
          <w:pgSz w:w="11906" w:h="16838"/>
          <w:pgMar w:top="1134" w:right="1134" w:bottom="1134" w:left="1134" w:header="958" w:footer="737" w:gutter="0"/>
          <w:cols w:space="720"/>
        </w:sectPr>
      </w:pPr>
    </w:p>
    <w:p w:rsidR="00735613" w:rsidRDefault="00735613" w:rsidP="00735613">
      <w:pPr>
        <w:pStyle w:val="NotesHeading-Level1"/>
        <w:numPr>
          <w:ilvl w:val="0"/>
          <w:numId w:val="9"/>
        </w:numPr>
      </w:pPr>
      <w:bookmarkStart w:id="613" w:name="RANGE!D7:J16"/>
      <w:bookmarkStart w:id="614" w:name="RANGE!D7:J19"/>
      <w:bookmarkStart w:id="615" w:name="RANGE!D7:J17"/>
      <w:bookmarkStart w:id="616" w:name="RANGE!D6:I17"/>
      <w:bookmarkStart w:id="617" w:name="RANGE!D7:I18"/>
      <w:bookmarkStart w:id="618" w:name="RANGE!D7:J18"/>
      <w:bookmarkStart w:id="619" w:name="RANGE!D6:J17"/>
      <w:bookmarkStart w:id="620" w:name="RANGE!D6:L17"/>
      <w:bookmarkStart w:id="621" w:name="RANGE!D6:K19"/>
      <w:bookmarkStart w:id="622" w:name="RANGE!D6:K20"/>
      <w:bookmarkStart w:id="623" w:name="_Toc420422399"/>
      <w:bookmarkEnd w:id="613"/>
      <w:bookmarkEnd w:id="614"/>
      <w:bookmarkEnd w:id="615"/>
      <w:bookmarkEnd w:id="616"/>
      <w:bookmarkEnd w:id="617"/>
      <w:bookmarkEnd w:id="618"/>
      <w:bookmarkEnd w:id="619"/>
      <w:bookmarkEnd w:id="620"/>
      <w:bookmarkEnd w:id="621"/>
      <w:bookmarkEnd w:id="622"/>
      <w:r>
        <w:t>Special Accounts</w:t>
      </w:r>
      <w:bookmarkEnd w:id="623"/>
    </w:p>
    <w:p w:rsidR="00735613" w:rsidRDefault="00735613"/>
    <w:tbl>
      <w:tblPr>
        <w:tblW w:w="13991" w:type="dxa"/>
        <w:tblInd w:w="80" w:type="dxa"/>
        <w:tblLayout w:type="fixed"/>
        <w:tblLook w:val="04A0" w:firstRow="1" w:lastRow="0" w:firstColumn="1" w:lastColumn="0" w:noHBand="0" w:noVBand="1"/>
      </w:tblPr>
      <w:tblGrid>
        <w:gridCol w:w="4973"/>
        <w:gridCol w:w="1503"/>
        <w:gridCol w:w="1503"/>
        <w:gridCol w:w="1503"/>
        <w:gridCol w:w="1503"/>
        <w:gridCol w:w="1503"/>
        <w:gridCol w:w="1503"/>
      </w:tblGrid>
      <w:tr w:rsidR="00735613" w:rsidTr="00735613">
        <w:trPr>
          <w:trHeight w:val="276"/>
        </w:trPr>
        <w:tc>
          <w:tcPr>
            <w:tcW w:w="9936" w:type="dxa"/>
            <w:gridSpan w:val="6"/>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624" w:name="Note_SACTABLE1" w:colFirst="0" w:colLast="0"/>
            <w:r>
              <w:rPr>
                <w:rFonts w:cs="Arial"/>
                <w:b/>
                <w:bCs/>
                <w:szCs w:val="18"/>
                <w:u w:val="single"/>
              </w:rPr>
              <w:t>Note 30A: Special Accounts ('Recoverable GST exclusive')</w:t>
            </w:r>
          </w:p>
        </w:tc>
        <w:tc>
          <w:tcPr>
            <w:tcW w:w="1196" w:type="dxa"/>
            <w:tcBorders>
              <w:top w:val="nil"/>
              <w:left w:val="nil"/>
              <w:bottom w:val="nil"/>
              <w:right w:val="nil"/>
            </w:tcBorders>
            <w:shd w:val="clear" w:color="FFFFFF" w:fill="FFFFFF"/>
            <w:noWrap/>
            <w:vAlign w:val="bottom"/>
            <w:hideMark/>
          </w:tcPr>
          <w:p w:rsidR="00735613" w:rsidRDefault="00735613">
            <w:pPr>
              <w:rPr>
                <w:rFonts w:cs="Arial"/>
                <w:sz w:val="20"/>
              </w:rPr>
            </w:pPr>
            <w:r>
              <w:rPr>
                <w:rFonts w:cs="Arial"/>
                <w:sz w:val="20"/>
              </w:rPr>
              <w:t> </w:t>
            </w:r>
          </w:p>
        </w:tc>
      </w:tr>
      <w:bookmarkEnd w:id="624"/>
      <w:tr w:rsidR="00735613" w:rsidTr="00735613">
        <w:trPr>
          <w:trHeight w:val="276"/>
        </w:trPr>
        <w:tc>
          <w:tcPr>
            <w:tcW w:w="3956" w:type="dxa"/>
            <w:tcBorders>
              <w:top w:val="nil"/>
              <w:left w:val="nil"/>
              <w:bottom w:val="nil"/>
              <w:right w:val="nil"/>
            </w:tcBorders>
            <w:shd w:val="clear" w:color="FFFFFF" w:fill="FFFFFF"/>
            <w:noWrap/>
            <w:vAlign w:val="bottom"/>
            <w:hideMark/>
          </w:tcPr>
          <w:p w:rsidR="00735613" w:rsidRDefault="00735613">
            <w:pPr>
              <w:rPr>
                <w:rFonts w:cs="Arial"/>
                <w:sz w:val="20"/>
              </w:rPr>
            </w:pPr>
            <w:r>
              <w:rPr>
                <w:rFonts w:cs="Arial"/>
                <w:sz w:val="20"/>
              </w:rPr>
              <w:t> </w:t>
            </w:r>
          </w:p>
        </w:tc>
        <w:tc>
          <w:tcPr>
            <w:tcW w:w="1196" w:type="dxa"/>
            <w:tcBorders>
              <w:top w:val="nil"/>
              <w:left w:val="nil"/>
              <w:bottom w:val="nil"/>
              <w:right w:val="nil"/>
            </w:tcBorders>
            <w:shd w:val="clear" w:color="FFFFFF" w:fill="FFFFFF"/>
            <w:noWrap/>
            <w:vAlign w:val="bottom"/>
            <w:hideMark/>
          </w:tcPr>
          <w:p w:rsidR="00735613" w:rsidRDefault="00735613">
            <w:pPr>
              <w:rPr>
                <w:rFonts w:cs="Arial"/>
                <w:sz w:val="20"/>
              </w:rPr>
            </w:pPr>
            <w:r>
              <w:rPr>
                <w:rFonts w:cs="Arial"/>
                <w:sz w:val="20"/>
              </w:rPr>
              <w:t> </w:t>
            </w:r>
          </w:p>
        </w:tc>
        <w:tc>
          <w:tcPr>
            <w:tcW w:w="1196" w:type="dxa"/>
            <w:tcBorders>
              <w:top w:val="nil"/>
              <w:left w:val="nil"/>
              <w:bottom w:val="nil"/>
              <w:right w:val="nil"/>
            </w:tcBorders>
            <w:shd w:val="clear" w:color="FFFFFF" w:fill="FFFFFF"/>
            <w:noWrap/>
            <w:vAlign w:val="bottom"/>
            <w:hideMark/>
          </w:tcPr>
          <w:p w:rsidR="00735613" w:rsidRDefault="00735613">
            <w:pPr>
              <w:rPr>
                <w:rFonts w:cs="Arial"/>
                <w:sz w:val="20"/>
              </w:rPr>
            </w:pPr>
            <w:r>
              <w:rPr>
                <w:rFonts w:cs="Arial"/>
                <w:sz w:val="20"/>
              </w:rPr>
              <w:t> </w:t>
            </w:r>
          </w:p>
        </w:tc>
        <w:tc>
          <w:tcPr>
            <w:tcW w:w="1196" w:type="dxa"/>
            <w:tcBorders>
              <w:top w:val="nil"/>
              <w:left w:val="nil"/>
              <w:bottom w:val="nil"/>
              <w:right w:val="nil"/>
            </w:tcBorders>
            <w:shd w:val="clear" w:color="FFFFFF" w:fill="FFFFFF"/>
            <w:noWrap/>
            <w:vAlign w:val="bottom"/>
            <w:hideMark/>
          </w:tcPr>
          <w:p w:rsidR="00735613" w:rsidRDefault="00735613">
            <w:pPr>
              <w:rPr>
                <w:rFonts w:cs="Arial"/>
                <w:sz w:val="20"/>
              </w:rPr>
            </w:pPr>
            <w:r>
              <w:rPr>
                <w:rFonts w:cs="Arial"/>
                <w:sz w:val="20"/>
              </w:rPr>
              <w:t> </w:t>
            </w:r>
          </w:p>
        </w:tc>
        <w:tc>
          <w:tcPr>
            <w:tcW w:w="1196" w:type="dxa"/>
            <w:tcBorders>
              <w:top w:val="nil"/>
              <w:left w:val="nil"/>
              <w:bottom w:val="nil"/>
              <w:right w:val="nil"/>
            </w:tcBorders>
            <w:shd w:val="clear" w:color="FFFFFF" w:fill="FFFFFF"/>
            <w:noWrap/>
            <w:vAlign w:val="bottom"/>
            <w:hideMark/>
          </w:tcPr>
          <w:p w:rsidR="00735613" w:rsidRDefault="00735613">
            <w:pPr>
              <w:rPr>
                <w:rFonts w:cs="Arial"/>
                <w:sz w:val="20"/>
              </w:rPr>
            </w:pPr>
            <w:r>
              <w:rPr>
                <w:rFonts w:cs="Arial"/>
                <w:sz w:val="20"/>
              </w:rPr>
              <w:t> </w:t>
            </w:r>
          </w:p>
        </w:tc>
        <w:tc>
          <w:tcPr>
            <w:tcW w:w="1196" w:type="dxa"/>
            <w:tcBorders>
              <w:top w:val="nil"/>
              <w:left w:val="nil"/>
              <w:bottom w:val="nil"/>
              <w:right w:val="nil"/>
            </w:tcBorders>
            <w:shd w:val="clear" w:color="FFFFFF" w:fill="FFFFFF"/>
            <w:noWrap/>
            <w:vAlign w:val="bottom"/>
            <w:hideMark/>
          </w:tcPr>
          <w:p w:rsidR="00735613" w:rsidRDefault="00735613">
            <w:pPr>
              <w:rPr>
                <w:rFonts w:cs="Arial"/>
                <w:sz w:val="20"/>
              </w:rPr>
            </w:pPr>
            <w:r>
              <w:rPr>
                <w:rFonts w:cs="Arial"/>
                <w:sz w:val="20"/>
              </w:rPr>
              <w:t> </w:t>
            </w:r>
          </w:p>
        </w:tc>
        <w:tc>
          <w:tcPr>
            <w:tcW w:w="1196" w:type="dxa"/>
            <w:tcBorders>
              <w:top w:val="nil"/>
              <w:left w:val="nil"/>
              <w:bottom w:val="nil"/>
              <w:right w:val="nil"/>
            </w:tcBorders>
            <w:shd w:val="clear" w:color="FFFFFF" w:fill="FFFFFF"/>
            <w:noWrap/>
            <w:vAlign w:val="bottom"/>
            <w:hideMark/>
          </w:tcPr>
          <w:p w:rsidR="00735613" w:rsidRDefault="00735613">
            <w:pPr>
              <w:rPr>
                <w:rFonts w:cs="Arial"/>
                <w:sz w:val="20"/>
              </w:rPr>
            </w:pPr>
            <w:r>
              <w:rPr>
                <w:rFonts w:cs="Arial"/>
                <w:sz w:val="20"/>
              </w:rPr>
              <w:t> </w:t>
            </w:r>
          </w:p>
        </w:tc>
      </w:tr>
      <w:tr w:rsidR="00735613" w:rsidTr="00735613">
        <w:trPr>
          <w:trHeight w:val="1020"/>
        </w:trPr>
        <w:tc>
          <w:tcPr>
            <w:tcW w:w="3956"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rsidR="00735613" w:rsidRDefault="00735613">
            <w:pPr>
              <w:rPr>
                <w:rFonts w:cs="Arial"/>
                <w:b/>
                <w:bCs/>
                <w:szCs w:val="18"/>
              </w:rPr>
            </w:pPr>
            <w:r>
              <w:rPr>
                <w:rFonts w:cs="Arial"/>
                <w:b/>
                <w:bCs/>
                <w:szCs w:val="18"/>
              </w:rPr>
              <w:t> </w:t>
            </w:r>
          </w:p>
        </w:tc>
        <w:tc>
          <w:tcPr>
            <w:tcW w:w="2392" w:type="dxa"/>
            <w:gridSpan w:val="2"/>
            <w:tcBorders>
              <w:top w:val="single" w:sz="4" w:space="0" w:color="auto"/>
              <w:left w:val="nil"/>
              <w:bottom w:val="single" w:sz="4" w:space="0" w:color="auto"/>
              <w:right w:val="single" w:sz="4" w:space="0" w:color="000000"/>
            </w:tcBorders>
            <w:shd w:val="clear" w:color="FFFFFF" w:fill="FFFFFF"/>
            <w:hideMark/>
          </w:tcPr>
          <w:p w:rsidR="00735613" w:rsidRDefault="00735613">
            <w:pPr>
              <w:jc w:val="center"/>
              <w:rPr>
                <w:rFonts w:cs="Arial"/>
                <w:b/>
                <w:bCs/>
                <w:szCs w:val="18"/>
              </w:rPr>
            </w:pPr>
            <w:r>
              <w:rPr>
                <w:rFonts w:cs="Arial"/>
                <w:b/>
                <w:bCs/>
                <w:szCs w:val="18"/>
              </w:rPr>
              <w:t>Education Investment Fund - Research Portfolio Special Account</w:t>
            </w:r>
            <w:r>
              <w:rPr>
                <w:rFonts w:cs="Arial"/>
                <w:b/>
                <w:bCs/>
                <w:szCs w:val="18"/>
                <w:vertAlign w:val="superscript"/>
              </w:rPr>
              <w:t>1</w:t>
            </w:r>
          </w:p>
        </w:tc>
        <w:tc>
          <w:tcPr>
            <w:tcW w:w="2392" w:type="dxa"/>
            <w:gridSpan w:val="2"/>
            <w:tcBorders>
              <w:top w:val="single" w:sz="4" w:space="0" w:color="auto"/>
              <w:left w:val="nil"/>
              <w:bottom w:val="single" w:sz="4" w:space="0" w:color="auto"/>
              <w:right w:val="single" w:sz="4" w:space="0" w:color="000000"/>
            </w:tcBorders>
            <w:shd w:val="clear" w:color="FFFFFF" w:fill="FFFFFF"/>
            <w:hideMark/>
          </w:tcPr>
          <w:p w:rsidR="00735613" w:rsidRDefault="00735613">
            <w:pPr>
              <w:jc w:val="center"/>
              <w:rPr>
                <w:rFonts w:cs="Arial"/>
                <w:b/>
                <w:bCs/>
                <w:szCs w:val="18"/>
              </w:rPr>
            </w:pPr>
            <w:r>
              <w:rPr>
                <w:rFonts w:cs="Arial"/>
                <w:b/>
                <w:bCs/>
                <w:szCs w:val="18"/>
              </w:rPr>
              <w:t>Education Investment Fund - Education Portfolio Special Account</w:t>
            </w:r>
            <w:r>
              <w:rPr>
                <w:rFonts w:cs="Arial"/>
                <w:b/>
                <w:bCs/>
                <w:szCs w:val="18"/>
                <w:vertAlign w:val="superscript"/>
              </w:rPr>
              <w:t>2</w:t>
            </w:r>
          </w:p>
        </w:tc>
        <w:tc>
          <w:tcPr>
            <w:tcW w:w="2392" w:type="dxa"/>
            <w:gridSpan w:val="2"/>
            <w:tcBorders>
              <w:top w:val="single" w:sz="4" w:space="0" w:color="auto"/>
              <w:left w:val="nil"/>
              <w:bottom w:val="single" w:sz="4" w:space="0" w:color="auto"/>
              <w:right w:val="single" w:sz="4" w:space="0" w:color="000000"/>
            </w:tcBorders>
            <w:shd w:val="clear" w:color="FFFFFF" w:fill="FFFFFF"/>
            <w:hideMark/>
          </w:tcPr>
          <w:p w:rsidR="00735613" w:rsidRDefault="00735613">
            <w:pPr>
              <w:jc w:val="center"/>
              <w:rPr>
                <w:rFonts w:cs="Arial"/>
                <w:b/>
                <w:bCs/>
                <w:szCs w:val="18"/>
              </w:rPr>
            </w:pPr>
            <w:r>
              <w:rPr>
                <w:rFonts w:cs="Arial"/>
                <w:b/>
                <w:bCs/>
                <w:szCs w:val="18"/>
              </w:rPr>
              <w:t>National Youth Affairs Research Scheme</w:t>
            </w:r>
            <w:r>
              <w:rPr>
                <w:rFonts w:cs="Arial"/>
                <w:b/>
                <w:bCs/>
                <w:szCs w:val="18"/>
                <w:vertAlign w:val="superscript"/>
              </w:rPr>
              <w:t>3</w:t>
            </w:r>
          </w:p>
        </w:tc>
      </w:tr>
      <w:tr w:rsidR="00735613" w:rsidTr="00735613">
        <w:trPr>
          <w:trHeight w:val="276"/>
        </w:trPr>
        <w:tc>
          <w:tcPr>
            <w:tcW w:w="3956" w:type="dxa"/>
            <w:vMerge w:val="restart"/>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pPr>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szCs w:val="18"/>
              </w:rPr>
            </w:pPr>
            <w:r>
              <w:rPr>
                <w:rFonts w:cs="Arial"/>
                <w:szCs w:val="18"/>
              </w:rPr>
              <w:t>2014</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szCs w:val="18"/>
              </w:rPr>
            </w:pPr>
            <w:r>
              <w:rPr>
                <w:rFonts w:cs="Arial"/>
                <w:szCs w:val="18"/>
              </w:rPr>
              <w:t>2014</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szCs w:val="18"/>
              </w:rPr>
            </w:pPr>
            <w:r>
              <w:rPr>
                <w:rFonts w:cs="Arial"/>
                <w:szCs w:val="18"/>
              </w:rPr>
              <w:t>2014</w:t>
            </w:r>
          </w:p>
        </w:tc>
      </w:tr>
      <w:tr w:rsidR="00735613" w:rsidTr="00735613">
        <w:trPr>
          <w:trHeight w:val="276"/>
        </w:trPr>
        <w:tc>
          <w:tcPr>
            <w:tcW w:w="3956" w:type="dxa"/>
            <w:vMerge/>
            <w:tcBorders>
              <w:top w:val="nil"/>
              <w:left w:val="single" w:sz="4" w:space="0" w:color="auto"/>
              <w:bottom w:val="single" w:sz="4" w:space="0" w:color="auto"/>
              <w:right w:val="single" w:sz="4" w:space="0" w:color="auto"/>
            </w:tcBorders>
            <w:vAlign w:val="center"/>
            <w:hideMark/>
          </w:tcPr>
          <w:p w:rsidR="00735613" w:rsidRDefault="00735613">
            <w:pPr>
              <w:rPr>
                <w:rFonts w:cs="Arial"/>
                <w:b/>
                <w:bCs/>
                <w:szCs w:val="18"/>
              </w:rPr>
            </w:pP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szCs w:val="18"/>
              </w:rPr>
            </w:pPr>
            <w:r>
              <w:rPr>
                <w:rFonts w:cs="Arial"/>
                <w:szCs w:val="18"/>
              </w:rPr>
              <w:t>$'000</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szCs w:val="18"/>
              </w:rPr>
            </w:pPr>
            <w:r>
              <w:rPr>
                <w:rFonts w:cs="Arial"/>
                <w:szCs w:val="18"/>
              </w:rPr>
              <w:t>$'000</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szCs w:val="18"/>
              </w:rPr>
            </w:pPr>
            <w:r>
              <w:rPr>
                <w:rFonts w:cs="Arial"/>
                <w:szCs w:val="18"/>
              </w:rPr>
              <w:t>$'000</w:t>
            </w:r>
          </w:p>
        </w:tc>
      </w:tr>
      <w:tr w:rsidR="00735613" w:rsidTr="00735613">
        <w:trPr>
          <w:trHeight w:val="276"/>
        </w:trPr>
        <w:tc>
          <w:tcPr>
            <w:tcW w:w="3956" w:type="dxa"/>
            <w:tcBorders>
              <w:top w:val="nil"/>
              <w:left w:val="single" w:sz="4" w:space="0" w:color="auto"/>
              <w:bottom w:val="single" w:sz="4" w:space="0" w:color="auto"/>
              <w:right w:val="single" w:sz="4" w:space="0" w:color="auto"/>
            </w:tcBorders>
            <w:shd w:val="clear" w:color="FFFFFF" w:fill="FFFFFF"/>
            <w:vAlign w:val="bottom"/>
            <w:hideMark/>
          </w:tcPr>
          <w:p w:rsidR="00735613" w:rsidRDefault="00735613">
            <w:pPr>
              <w:rPr>
                <w:rFonts w:cs="Arial"/>
                <w:b/>
                <w:bCs/>
                <w:szCs w:val="18"/>
              </w:rPr>
            </w:pPr>
            <w:r>
              <w:rPr>
                <w:rFonts w:cs="Arial"/>
                <w:b/>
                <w:bCs/>
                <w:szCs w:val="18"/>
              </w:rPr>
              <w:t>Balance brought forward from previous period</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251</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76"/>
        </w:trPr>
        <w:tc>
          <w:tcPr>
            <w:tcW w:w="3956" w:type="dxa"/>
            <w:tcBorders>
              <w:top w:val="nil"/>
              <w:left w:val="single" w:sz="4" w:space="0" w:color="auto"/>
              <w:bottom w:val="single" w:sz="4" w:space="0" w:color="auto"/>
              <w:right w:val="single" w:sz="4" w:space="0" w:color="auto"/>
            </w:tcBorders>
            <w:shd w:val="clear" w:color="FFFFFF" w:fill="FFFFFF"/>
            <w:vAlign w:val="bottom"/>
            <w:hideMark/>
          </w:tcPr>
          <w:p w:rsidR="00735613" w:rsidRDefault="00735613">
            <w:pPr>
              <w:rPr>
                <w:rFonts w:cs="Arial"/>
                <w:b/>
                <w:bCs/>
                <w:szCs w:val="18"/>
              </w:rPr>
            </w:pPr>
            <w:r>
              <w:rPr>
                <w:rFonts w:cs="Arial"/>
                <w:b/>
                <w:bCs/>
                <w:szCs w:val="18"/>
              </w:rPr>
              <w:t>Increases</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76"/>
        </w:trPr>
        <w:tc>
          <w:tcPr>
            <w:tcW w:w="3956"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pPr>
              <w:ind w:firstLineChars="100" w:firstLine="180"/>
              <w:rPr>
                <w:rFonts w:cs="Arial"/>
                <w:szCs w:val="18"/>
              </w:rPr>
            </w:pPr>
            <w:r>
              <w:rPr>
                <w:rFonts w:cs="Arial"/>
                <w:szCs w:val="18"/>
              </w:rPr>
              <w:t>Appropriation credited to special account</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xml:space="preserve">70,950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92,985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xml:space="preserve">146,463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141,222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76"/>
        </w:trPr>
        <w:tc>
          <w:tcPr>
            <w:tcW w:w="3956"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pPr>
              <w:ind w:firstLineChars="100" w:firstLine="180"/>
              <w:rPr>
                <w:rFonts w:cs="Arial"/>
                <w:szCs w:val="18"/>
              </w:rPr>
            </w:pPr>
            <w:r>
              <w:rPr>
                <w:rFonts w:cs="Arial"/>
                <w:szCs w:val="18"/>
              </w:rPr>
              <w:t>Transfer through restructuring</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251 </w:t>
            </w:r>
          </w:p>
        </w:tc>
      </w:tr>
      <w:tr w:rsidR="00735613" w:rsidTr="00735613">
        <w:trPr>
          <w:trHeight w:val="276"/>
        </w:trPr>
        <w:tc>
          <w:tcPr>
            <w:tcW w:w="3956" w:type="dxa"/>
            <w:tcBorders>
              <w:top w:val="nil"/>
              <w:left w:val="single" w:sz="4" w:space="0" w:color="auto"/>
              <w:bottom w:val="single" w:sz="4" w:space="0" w:color="auto"/>
              <w:right w:val="single" w:sz="4" w:space="0" w:color="auto"/>
            </w:tcBorders>
            <w:shd w:val="clear" w:color="FFFFFF" w:fill="FFFFFF"/>
            <w:vAlign w:val="bottom"/>
            <w:hideMark/>
          </w:tcPr>
          <w:p w:rsidR="00735613" w:rsidRDefault="00735613">
            <w:pPr>
              <w:rPr>
                <w:rFonts w:cs="Arial"/>
                <w:b/>
                <w:bCs/>
                <w:i/>
                <w:iCs/>
                <w:szCs w:val="18"/>
              </w:rPr>
            </w:pPr>
            <w:r>
              <w:rPr>
                <w:rFonts w:cs="Arial"/>
                <w:b/>
                <w:bCs/>
                <w:i/>
                <w:iCs/>
                <w:szCs w:val="18"/>
              </w:rPr>
              <w:t>Total increases</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70,950</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92,985</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146,463</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141,222</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251</w:t>
            </w:r>
          </w:p>
        </w:tc>
      </w:tr>
      <w:tr w:rsidR="00735613" w:rsidTr="00735613">
        <w:trPr>
          <w:trHeight w:val="276"/>
        </w:trPr>
        <w:tc>
          <w:tcPr>
            <w:tcW w:w="3956" w:type="dxa"/>
            <w:tcBorders>
              <w:top w:val="nil"/>
              <w:left w:val="single" w:sz="4" w:space="0" w:color="auto"/>
              <w:bottom w:val="single" w:sz="4" w:space="0" w:color="auto"/>
              <w:right w:val="single" w:sz="4" w:space="0" w:color="auto"/>
            </w:tcBorders>
            <w:shd w:val="clear" w:color="FFFFFF" w:fill="FFFFFF"/>
            <w:vAlign w:val="bottom"/>
            <w:hideMark/>
          </w:tcPr>
          <w:p w:rsidR="00735613" w:rsidRDefault="00735613">
            <w:pPr>
              <w:rPr>
                <w:rFonts w:cs="Arial"/>
                <w:b/>
                <w:bCs/>
                <w:szCs w:val="18"/>
              </w:rPr>
            </w:pPr>
            <w:r>
              <w:rPr>
                <w:rFonts w:cs="Arial"/>
                <w:b/>
                <w:bCs/>
                <w:szCs w:val="18"/>
              </w:rPr>
              <w:t>Available for payments</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70,950</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92,985</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146,463</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141,222</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251</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251</w:t>
            </w:r>
          </w:p>
        </w:tc>
      </w:tr>
      <w:tr w:rsidR="00735613" w:rsidTr="00735613">
        <w:trPr>
          <w:trHeight w:val="276"/>
        </w:trPr>
        <w:tc>
          <w:tcPr>
            <w:tcW w:w="3956" w:type="dxa"/>
            <w:tcBorders>
              <w:top w:val="nil"/>
              <w:left w:val="single" w:sz="4" w:space="0" w:color="auto"/>
              <w:bottom w:val="single" w:sz="4" w:space="0" w:color="auto"/>
              <w:right w:val="single" w:sz="4" w:space="0" w:color="auto"/>
            </w:tcBorders>
            <w:shd w:val="clear" w:color="FFFFFF" w:fill="FFFFFF"/>
            <w:vAlign w:val="bottom"/>
            <w:hideMark/>
          </w:tcPr>
          <w:p w:rsidR="00735613" w:rsidRDefault="00735613">
            <w:pPr>
              <w:rPr>
                <w:rFonts w:cs="Arial"/>
                <w:b/>
                <w:bCs/>
                <w:szCs w:val="18"/>
              </w:rPr>
            </w:pPr>
            <w:r>
              <w:rPr>
                <w:rFonts w:cs="Arial"/>
                <w:b/>
                <w:bCs/>
                <w:szCs w:val="18"/>
              </w:rPr>
              <w:t>Decreases</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76"/>
        </w:trPr>
        <w:tc>
          <w:tcPr>
            <w:tcW w:w="3956" w:type="dxa"/>
            <w:tcBorders>
              <w:top w:val="nil"/>
              <w:left w:val="single" w:sz="4" w:space="0" w:color="auto"/>
              <w:bottom w:val="single" w:sz="4" w:space="0" w:color="auto"/>
              <w:right w:val="nil"/>
            </w:tcBorders>
            <w:shd w:val="clear" w:color="000000" w:fill="D9D9D9"/>
            <w:vAlign w:val="bottom"/>
            <w:hideMark/>
          </w:tcPr>
          <w:p w:rsidR="00735613" w:rsidRDefault="00735613">
            <w:pPr>
              <w:rPr>
                <w:rFonts w:cs="Arial"/>
                <w:b/>
                <w:bCs/>
                <w:szCs w:val="18"/>
              </w:rPr>
            </w:pPr>
            <w:r>
              <w:rPr>
                <w:rFonts w:cs="Arial"/>
                <w:b/>
                <w:bCs/>
                <w:szCs w:val="18"/>
              </w:rPr>
              <w:t>Administered</w:t>
            </w:r>
          </w:p>
        </w:tc>
        <w:tc>
          <w:tcPr>
            <w:tcW w:w="1196" w:type="dxa"/>
            <w:tcBorders>
              <w:top w:val="nil"/>
              <w:left w:val="single" w:sz="4" w:space="0" w:color="auto"/>
              <w:bottom w:val="single" w:sz="4" w:space="0" w:color="auto"/>
              <w:right w:val="single" w:sz="4" w:space="0" w:color="auto"/>
            </w:tcBorders>
            <w:shd w:val="clear" w:color="000000" w:fill="D9D9D9"/>
            <w:noWrap/>
            <w:vAlign w:val="bottom"/>
            <w:hideMark/>
          </w:tcPr>
          <w:p w:rsidR="00735613" w:rsidRDefault="00735613">
            <w:pPr>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rPr>
                <w:rFonts w:cs="Arial"/>
                <w:szCs w:val="18"/>
              </w:rPr>
            </w:pPr>
            <w:r>
              <w:rPr>
                <w:rFonts w:cs="Arial"/>
                <w:szCs w:val="18"/>
              </w:rPr>
              <w:t>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rPr>
                <w:rFonts w:cs="Arial"/>
                <w:szCs w:val="18"/>
              </w:rPr>
            </w:pPr>
            <w:r>
              <w:rPr>
                <w:rFonts w:cs="Arial"/>
                <w:szCs w:val="18"/>
              </w:rPr>
              <w:t>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76"/>
        </w:trPr>
        <w:tc>
          <w:tcPr>
            <w:tcW w:w="3956" w:type="dxa"/>
            <w:tcBorders>
              <w:top w:val="nil"/>
              <w:left w:val="single" w:sz="4" w:space="0" w:color="auto"/>
              <w:bottom w:val="single" w:sz="4" w:space="0" w:color="auto"/>
              <w:right w:val="single" w:sz="4" w:space="0" w:color="auto"/>
            </w:tcBorders>
            <w:shd w:val="clear" w:color="000000" w:fill="D9D9D9"/>
            <w:noWrap/>
            <w:vAlign w:val="bottom"/>
            <w:hideMark/>
          </w:tcPr>
          <w:p w:rsidR="00735613" w:rsidRDefault="00735613">
            <w:pPr>
              <w:ind w:firstLineChars="100" w:firstLine="180"/>
              <w:rPr>
                <w:rFonts w:cs="Arial"/>
                <w:szCs w:val="18"/>
              </w:rPr>
            </w:pPr>
            <w:r>
              <w:rPr>
                <w:rFonts w:cs="Arial"/>
                <w:szCs w:val="18"/>
              </w:rPr>
              <w:t>Payments made</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b/>
                <w:bCs/>
                <w:szCs w:val="18"/>
              </w:rPr>
            </w:pPr>
            <w:r>
              <w:rPr>
                <w:rFonts w:cs="Arial"/>
                <w:b/>
                <w:bCs/>
                <w:szCs w:val="18"/>
              </w:rPr>
              <w:t>(70,950)</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szCs w:val="18"/>
              </w:rPr>
            </w:pPr>
            <w:r>
              <w:rPr>
                <w:rFonts w:cs="Arial"/>
                <w:szCs w:val="18"/>
              </w:rPr>
              <w:t>(92,985)</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b/>
                <w:bCs/>
                <w:szCs w:val="18"/>
              </w:rPr>
            </w:pPr>
            <w:r>
              <w:rPr>
                <w:rFonts w:cs="Arial"/>
                <w:b/>
                <w:bCs/>
                <w:szCs w:val="18"/>
              </w:rPr>
              <w:t>(146,463)</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szCs w:val="18"/>
              </w:rPr>
            </w:pPr>
            <w:r>
              <w:rPr>
                <w:rFonts w:cs="Arial"/>
                <w:szCs w:val="18"/>
              </w:rPr>
              <w:t>(141,222)</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b/>
                <w:bCs/>
                <w:szCs w:val="18"/>
              </w:rPr>
            </w:pPr>
            <w:r>
              <w:rPr>
                <w:rFonts w:cs="Arial"/>
                <w:b/>
                <w:bCs/>
                <w:szCs w:val="18"/>
              </w:rPr>
              <w:t>(80)</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76"/>
        </w:trPr>
        <w:tc>
          <w:tcPr>
            <w:tcW w:w="3956" w:type="dxa"/>
            <w:tcBorders>
              <w:top w:val="nil"/>
              <w:left w:val="single" w:sz="4" w:space="0" w:color="auto"/>
              <w:bottom w:val="single" w:sz="4" w:space="0" w:color="auto"/>
              <w:right w:val="single" w:sz="4" w:space="0" w:color="auto"/>
            </w:tcBorders>
            <w:shd w:val="clear" w:color="000000" w:fill="D9D9D9"/>
            <w:noWrap/>
            <w:vAlign w:val="bottom"/>
            <w:hideMark/>
          </w:tcPr>
          <w:p w:rsidR="00735613" w:rsidRDefault="00735613">
            <w:pPr>
              <w:ind w:firstLineChars="100" w:firstLine="180"/>
              <w:rPr>
                <w:rFonts w:cs="Arial"/>
                <w:szCs w:val="18"/>
              </w:rPr>
            </w:pPr>
            <w:r>
              <w:rPr>
                <w:rFonts w:cs="Arial"/>
                <w:szCs w:val="18"/>
              </w:rPr>
              <w:t>Transfer through restructuring</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szCs w:val="18"/>
              </w:rPr>
            </w:pPr>
            <w:r>
              <w:rPr>
                <w:rFonts w:cs="Arial"/>
                <w:szCs w:val="18"/>
              </w:rPr>
              <w:t xml:space="preserve">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szCs w:val="18"/>
              </w:rPr>
            </w:pPr>
            <w:r>
              <w:rPr>
                <w:rFonts w:cs="Arial"/>
                <w:szCs w:val="18"/>
              </w:rPr>
              <w:t xml:space="preserve">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76"/>
        </w:trPr>
        <w:tc>
          <w:tcPr>
            <w:tcW w:w="3956" w:type="dxa"/>
            <w:tcBorders>
              <w:top w:val="nil"/>
              <w:left w:val="single" w:sz="4" w:space="0" w:color="auto"/>
              <w:bottom w:val="single" w:sz="4" w:space="0" w:color="auto"/>
              <w:right w:val="nil"/>
            </w:tcBorders>
            <w:shd w:val="clear" w:color="000000" w:fill="D9D9D9"/>
            <w:vAlign w:val="bottom"/>
            <w:hideMark/>
          </w:tcPr>
          <w:p w:rsidR="00735613" w:rsidRDefault="00735613">
            <w:pPr>
              <w:rPr>
                <w:rFonts w:cs="Arial"/>
                <w:b/>
                <w:bCs/>
                <w:szCs w:val="18"/>
              </w:rPr>
            </w:pPr>
            <w:r>
              <w:rPr>
                <w:rFonts w:cs="Arial"/>
                <w:b/>
                <w:bCs/>
                <w:szCs w:val="18"/>
              </w:rPr>
              <w:t xml:space="preserve">Total Administered </w:t>
            </w:r>
          </w:p>
        </w:tc>
        <w:tc>
          <w:tcPr>
            <w:tcW w:w="1196" w:type="dxa"/>
            <w:tcBorders>
              <w:top w:val="nil"/>
              <w:left w:val="single" w:sz="4" w:space="0" w:color="auto"/>
              <w:bottom w:val="single" w:sz="4" w:space="0" w:color="auto"/>
              <w:right w:val="single" w:sz="4" w:space="0" w:color="auto"/>
            </w:tcBorders>
            <w:shd w:val="clear" w:color="000000" w:fill="D9D9D9"/>
            <w:noWrap/>
            <w:vAlign w:val="bottom"/>
            <w:hideMark/>
          </w:tcPr>
          <w:p w:rsidR="00735613" w:rsidRDefault="00735613">
            <w:pPr>
              <w:jc w:val="right"/>
              <w:rPr>
                <w:rFonts w:cs="Arial"/>
                <w:b/>
                <w:bCs/>
                <w:szCs w:val="18"/>
              </w:rPr>
            </w:pPr>
            <w:r>
              <w:rPr>
                <w:rFonts w:cs="Arial"/>
                <w:b/>
                <w:bCs/>
                <w:szCs w:val="18"/>
              </w:rPr>
              <w:t>(70,950)</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szCs w:val="18"/>
              </w:rPr>
            </w:pPr>
            <w:r>
              <w:rPr>
                <w:rFonts w:cs="Arial"/>
                <w:szCs w:val="18"/>
              </w:rPr>
              <w:t>(92,985)</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b/>
                <w:bCs/>
                <w:szCs w:val="18"/>
              </w:rPr>
            </w:pPr>
            <w:r>
              <w:rPr>
                <w:rFonts w:cs="Arial"/>
                <w:b/>
                <w:bCs/>
                <w:szCs w:val="18"/>
              </w:rPr>
              <w:t>(146,463)</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szCs w:val="18"/>
              </w:rPr>
            </w:pPr>
            <w:r>
              <w:rPr>
                <w:rFonts w:cs="Arial"/>
                <w:szCs w:val="18"/>
              </w:rPr>
              <w:t>(141,222)</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b/>
                <w:bCs/>
                <w:szCs w:val="18"/>
              </w:rPr>
            </w:pPr>
            <w:r>
              <w:rPr>
                <w:rFonts w:cs="Arial"/>
                <w:b/>
                <w:bCs/>
                <w:szCs w:val="18"/>
              </w:rPr>
              <w:t>(80)</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szCs w:val="18"/>
              </w:rPr>
            </w:pPr>
            <w:r>
              <w:rPr>
                <w:rFonts w:cs="Arial"/>
                <w:szCs w:val="18"/>
              </w:rPr>
              <w:t>-</w:t>
            </w:r>
          </w:p>
        </w:tc>
      </w:tr>
      <w:tr w:rsidR="00735613" w:rsidTr="00735613">
        <w:trPr>
          <w:trHeight w:val="276"/>
        </w:trPr>
        <w:tc>
          <w:tcPr>
            <w:tcW w:w="3956" w:type="dxa"/>
            <w:tcBorders>
              <w:top w:val="nil"/>
              <w:left w:val="single" w:sz="4" w:space="0" w:color="auto"/>
              <w:bottom w:val="single" w:sz="4" w:space="0" w:color="auto"/>
              <w:right w:val="single" w:sz="4" w:space="0" w:color="auto"/>
            </w:tcBorders>
            <w:shd w:val="clear" w:color="FFFFFF" w:fill="FFFFFF"/>
            <w:vAlign w:val="bottom"/>
            <w:hideMark/>
          </w:tcPr>
          <w:p w:rsidR="00735613" w:rsidRDefault="00735613">
            <w:pPr>
              <w:rPr>
                <w:rFonts w:cs="Arial"/>
                <w:b/>
                <w:bCs/>
                <w:i/>
                <w:iCs/>
                <w:szCs w:val="18"/>
              </w:rPr>
            </w:pPr>
            <w:r>
              <w:rPr>
                <w:rFonts w:cs="Arial"/>
                <w:b/>
                <w:bCs/>
                <w:i/>
                <w:iCs/>
                <w:szCs w:val="18"/>
              </w:rPr>
              <w:t>Total decreases</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(70,950)</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(92,985)</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(146,463)</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(141,222)</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(80)</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w:t>
            </w:r>
          </w:p>
        </w:tc>
      </w:tr>
      <w:tr w:rsidR="00735613" w:rsidTr="00735613">
        <w:trPr>
          <w:trHeight w:val="276"/>
        </w:trPr>
        <w:tc>
          <w:tcPr>
            <w:tcW w:w="3956" w:type="dxa"/>
            <w:tcBorders>
              <w:top w:val="nil"/>
              <w:left w:val="single" w:sz="4" w:space="0" w:color="auto"/>
              <w:bottom w:val="single" w:sz="4" w:space="0" w:color="auto"/>
              <w:right w:val="single" w:sz="4" w:space="0" w:color="auto"/>
            </w:tcBorders>
            <w:shd w:val="clear" w:color="FFFFFF" w:fill="FFFFFF"/>
            <w:vAlign w:val="bottom"/>
            <w:hideMark/>
          </w:tcPr>
          <w:p w:rsidR="00735613" w:rsidRDefault="00735613">
            <w:pPr>
              <w:rPr>
                <w:rFonts w:cs="Arial"/>
                <w:b/>
                <w:bCs/>
                <w:i/>
                <w:iCs/>
                <w:szCs w:val="18"/>
              </w:rPr>
            </w:pPr>
            <w:r>
              <w:rPr>
                <w:rFonts w:cs="Arial"/>
                <w:b/>
                <w:bCs/>
                <w:i/>
                <w:iCs/>
                <w:szCs w:val="18"/>
              </w:rPr>
              <w:t>Total balance carried to the next period</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171</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251</w:t>
            </w:r>
          </w:p>
        </w:tc>
      </w:tr>
    </w:tbl>
    <w:p w:rsidR="00735613" w:rsidRDefault="00735613">
      <w:bookmarkStart w:id="625" w:name="RANGE!D9:J30"/>
      <w:bookmarkEnd w:id="625"/>
    </w:p>
    <w:p w:rsidR="00735613" w:rsidRDefault="00735613">
      <w:pPr>
        <w:spacing w:line="240" w:lineRule="auto"/>
        <w:rPr>
          <w:b/>
        </w:rPr>
      </w:pPr>
      <w:r>
        <w:rPr>
          <w:b/>
        </w:rPr>
        <w:br w:type="page"/>
      </w:r>
    </w:p>
    <w:tbl>
      <w:tblPr>
        <w:tblW w:w="13991" w:type="dxa"/>
        <w:tblInd w:w="80" w:type="dxa"/>
        <w:tblLayout w:type="fixed"/>
        <w:tblLook w:val="04A0" w:firstRow="1" w:lastRow="0" w:firstColumn="1" w:lastColumn="0" w:noHBand="0" w:noVBand="1"/>
      </w:tblPr>
      <w:tblGrid>
        <w:gridCol w:w="4302"/>
        <w:gridCol w:w="1219"/>
        <w:gridCol w:w="1210"/>
        <w:gridCol w:w="1210"/>
        <w:gridCol w:w="1210"/>
        <w:gridCol w:w="1210"/>
        <w:gridCol w:w="1210"/>
        <w:gridCol w:w="1210"/>
        <w:gridCol w:w="1210"/>
      </w:tblGrid>
      <w:tr w:rsidR="00735613" w:rsidTr="00735613">
        <w:trPr>
          <w:trHeight w:val="276"/>
        </w:trPr>
        <w:tc>
          <w:tcPr>
            <w:tcW w:w="4253" w:type="dxa"/>
            <w:tcBorders>
              <w:top w:val="nil"/>
              <w:left w:val="nil"/>
              <w:bottom w:val="nil"/>
              <w:right w:val="nil"/>
            </w:tcBorders>
            <w:shd w:val="clear" w:color="FFFFFF" w:fill="FFFFFF"/>
            <w:noWrap/>
            <w:vAlign w:val="bottom"/>
            <w:hideMark/>
          </w:tcPr>
          <w:p w:rsidR="00735613" w:rsidRDefault="00735613">
            <w:pPr>
              <w:rPr>
                <w:rFonts w:cs="Arial"/>
                <w:b/>
                <w:bCs/>
                <w:szCs w:val="18"/>
                <w:u w:val="single"/>
              </w:rPr>
            </w:pPr>
            <w:bookmarkStart w:id="626" w:name="Note_SACTABLE2" w:colFirst="0" w:colLast="0"/>
            <w:r>
              <w:rPr>
                <w:rFonts w:cs="Arial"/>
                <w:b/>
                <w:bCs/>
                <w:szCs w:val="18"/>
                <w:u w:val="single"/>
              </w:rPr>
              <w:t>Note 30A: Special Accounts ('Recoverable GST exclusive')</w:t>
            </w:r>
          </w:p>
        </w:tc>
        <w:tc>
          <w:tcPr>
            <w:tcW w:w="1205" w:type="dxa"/>
            <w:tcBorders>
              <w:top w:val="nil"/>
              <w:left w:val="nil"/>
              <w:bottom w:val="nil"/>
              <w:right w:val="nil"/>
            </w:tcBorders>
            <w:shd w:val="clear" w:color="auto" w:fill="auto"/>
            <w:noWrap/>
            <w:vAlign w:val="bottom"/>
            <w:hideMark/>
          </w:tcPr>
          <w:p w:rsidR="00735613" w:rsidRDefault="00735613">
            <w:pPr>
              <w:rPr>
                <w:rFonts w:cs="Arial"/>
                <w:b/>
                <w:bCs/>
                <w:szCs w:val="18"/>
                <w:u w:val="single"/>
              </w:rPr>
            </w:pPr>
          </w:p>
        </w:tc>
        <w:tc>
          <w:tcPr>
            <w:tcW w:w="1196" w:type="dxa"/>
            <w:tcBorders>
              <w:top w:val="nil"/>
              <w:left w:val="nil"/>
              <w:bottom w:val="nil"/>
              <w:right w:val="nil"/>
            </w:tcBorders>
            <w:shd w:val="clear" w:color="auto" w:fill="auto"/>
            <w:noWrap/>
            <w:vAlign w:val="bottom"/>
            <w:hideMark/>
          </w:tcPr>
          <w:p w:rsidR="00735613" w:rsidRDefault="00735613">
            <w:pPr>
              <w:rPr>
                <w:sz w:val="20"/>
              </w:rPr>
            </w:pPr>
          </w:p>
        </w:tc>
        <w:tc>
          <w:tcPr>
            <w:tcW w:w="1196" w:type="dxa"/>
            <w:tcBorders>
              <w:top w:val="nil"/>
              <w:left w:val="nil"/>
              <w:bottom w:val="nil"/>
              <w:right w:val="nil"/>
            </w:tcBorders>
            <w:shd w:val="clear" w:color="auto" w:fill="auto"/>
            <w:noWrap/>
            <w:vAlign w:val="bottom"/>
            <w:hideMark/>
          </w:tcPr>
          <w:p w:rsidR="00735613" w:rsidRDefault="00735613">
            <w:pPr>
              <w:rPr>
                <w:sz w:val="20"/>
              </w:rPr>
            </w:pPr>
          </w:p>
        </w:tc>
        <w:tc>
          <w:tcPr>
            <w:tcW w:w="1196" w:type="dxa"/>
            <w:tcBorders>
              <w:top w:val="nil"/>
              <w:left w:val="nil"/>
              <w:bottom w:val="nil"/>
              <w:right w:val="nil"/>
            </w:tcBorders>
            <w:shd w:val="clear" w:color="auto" w:fill="auto"/>
            <w:noWrap/>
            <w:vAlign w:val="bottom"/>
            <w:hideMark/>
          </w:tcPr>
          <w:p w:rsidR="00735613" w:rsidRDefault="00735613">
            <w:pPr>
              <w:rPr>
                <w:sz w:val="20"/>
              </w:rPr>
            </w:pPr>
          </w:p>
        </w:tc>
        <w:tc>
          <w:tcPr>
            <w:tcW w:w="1196" w:type="dxa"/>
            <w:tcBorders>
              <w:top w:val="nil"/>
              <w:left w:val="nil"/>
              <w:bottom w:val="nil"/>
              <w:right w:val="nil"/>
            </w:tcBorders>
            <w:shd w:val="clear" w:color="auto" w:fill="auto"/>
            <w:noWrap/>
            <w:vAlign w:val="bottom"/>
            <w:hideMark/>
          </w:tcPr>
          <w:p w:rsidR="00735613" w:rsidRDefault="00735613">
            <w:pPr>
              <w:rPr>
                <w:sz w:val="20"/>
              </w:rPr>
            </w:pPr>
          </w:p>
        </w:tc>
        <w:tc>
          <w:tcPr>
            <w:tcW w:w="1196" w:type="dxa"/>
            <w:tcBorders>
              <w:top w:val="nil"/>
              <w:left w:val="nil"/>
              <w:bottom w:val="nil"/>
              <w:right w:val="nil"/>
            </w:tcBorders>
            <w:shd w:val="clear" w:color="auto" w:fill="auto"/>
            <w:noWrap/>
            <w:vAlign w:val="bottom"/>
            <w:hideMark/>
          </w:tcPr>
          <w:p w:rsidR="00735613" w:rsidRDefault="00735613">
            <w:pPr>
              <w:rPr>
                <w:sz w:val="20"/>
              </w:rPr>
            </w:pPr>
          </w:p>
        </w:tc>
        <w:tc>
          <w:tcPr>
            <w:tcW w:w="1196" w:type="dxa"/>
            <w:tcBorders>
              <w:top w:val="nil"/>
              <w:left w:val="nil"/>
              <w:bottom w:val="nil"/>
              <w:right w:val="nil"/>
            </w:tcBorders>
            <w:shd w:val="clear" w:color="auto" w:fill="auto"/>
            <w:noWrap/>
            <w:vAlign w:val="bottom"/>
            <w:hideMark/>
          </w:tcPr>
          <w:p w:rsidR="00735613" w:rsidRDefault="00735613">
            <w:pPr>
              <w:rPr>
                <w:sz w:val="20"/>
              </w:rPr>
            </w:pPr>
          </w:p>
        </w:tc>
        <w:tc>
          <w:tcPr>
            <w:tcW w:w="1196" w:type="dxa"/>
            <w:tcBorders>
              <w:top w:val="nil"/>
              <w:left w:val="nil"/>
              <w:bottom w:val="nil"/>
              <w:right w:val="nil"/>
            </w:tcBorders>
            <w:shd w:val="clear" w:color="FFFFFF" w:fill="FFFFFF"/>
            <w:noWrap/>
            <w:vAlign w:val="bottom"/>
            <w:hideMark/>
          </w:tcPr>
          <w:p w:rsidR="00735613" w:rsidRDefault="00735613">
            <w:pPr>
              <w:rPr>
                <w:rFonts w:cs="Arial"/>
                <w:sz w:val="20"/>
              </w:rPr>
            </w:pPr>
            <w:r>
              <w:rPr>
                <w:rFonts w:cs="Arial"/>
                <w:sz w:val="20"/>
              </w:rPr>
              <w:t> </w:t>
            </w:r>
          </w:p>
        </w:tc>
      </w:tr>
      <w:bookmarkEnd w:id="626"/>
      <w:tr w:rsidR="00735613" w:rsidTr="00735613">
        <w:trPr>
          <w:trHeight w:val="276"/>
        </w:trPr>
        <w:tc>
          <w:tcPr>
            <w:tcW w:w="4253" w:type="dxa"/>
            <w:tcBorders>
              <w:top w:val="nil"/>
              <w:left w:val="nil"/>
              <w:bottom w:val="nil"/>
              <w:right w:val="nil"/>
            </w:tcBorders>
            <w:shd w:val="clear" w:color="FFFFFF" w:fill="FFFFFF"/>
            <w:noWrap/>
            <w:vAlign w:val="bottom"/>
            <w:hideMark/>
          </w:tcPr>
          <w:p w:rsidR="00735613" w:rsidRDefault="00735613">
            <w:pPr>
              <w:rPr>
                <w:rFonts w:cs="Arial"/>
                <w:sz w:val="20"/>
              </w:rPr>
            </w:pPr>
            <w:r>
              <w:rPr>
                <w:rFonts w:cs="Arial"/>
                <w:sz w:val="20"/>
              </w:rPr>
              <w:t> </w:t>
            </w:r>
          </w:p>
        </w:tc>
        <w:tc>
          <w:tcPr>
            <w:tcW w:w="1205" w:type="dxa"/>
            <w:tcBorders>
              <w:top w:val="nil"/>
              <w:left w:val="nil"/>
              <w:bottom w:val="nil"/>
              <w:right w:val="nil"/>
            </w:tcBorders>
            <w:shd w:val="clear" w:color="FFFFFF" w:fill="FFFFFF"/>
            <w:noWrap/>
            <w:vAlign w:val="bottom"/>
            <w:hideMark/>
          </w:tcPr>
          <w:p w:rsidR="00735613" w:rsidRDefault="00735613">
            <w:pPr>
              <w:rPr>
                <w:rFonts w:cs="Arial"/>
                <w:sz w:val="20"/>
              </w:rPr>
            </w:pPr>
            <w:r>
              <w:rPr>
                <w:rFonts w:cs="Arial"/>
                <w:sz w:val="20"/>
              </w:rPr>
              <w:t> </w:t>
            </w:r>
          </w:p>
        </w:tc>
        <w:tc>
          <w:tcPr>
            <w:tcW w:w="1196" w:type="dxa"/>
            <w:tcBorders>
              <w:top w:val="nil"/>
              <w:left w:val="nil"/>
              <w:bottom w:val="nil"/>
              <w:right w:val="nil"/>
            </w:tcBorders>
            <w:shd w:val="clear" w:color="FFFFFF" w:fill="FFFFFF"/>
            <w:noWrap/>
            <w:vAlign w:val="bottom"/>
            <w:hideMark/>
          </w:tcPr>
          <w:p w:rsidR="00735613" w:rsidRDefault="00735613">
            <w:pPr>
              <w:rPr>
                <w:rFonts w:cs="Arial"/>
                <w:sz w:val="20"/>
              </w:rPr>
            </w:pPr>
            <w:r>
              <w:rPr>
                <w:rFonts w:cs="Arial"/>
                <w:sz w:val="20"/>
              </w:rPr>
              <w:t> </w:t>
            </w:r>
          </w:p>
        </w:tc>
        <w:tc>
          <w:tcPr>
            <w:tcW w:w="1196" w:type="dxa"/>
            <w:tcBorders>
              <w:top w:val="nil"/>
              <w:left w:val="nil"/>
              <w:bottom w:val="nil"/>
              <w:right w:val="nil"/>
            </w:tcBorders>
            <w:shd w:val="clear" w:color="FFFFFF" w:fill="FFFFFF"/>
            <w:noWrap/>
            <w:vAlign w:val="bottom"/>
            <w:hideMark/>
          </w:tcPr>
          <w:p w:rsidR="00735613" w:rsidRDefault="00735613">
            <w:pPr>
              <w:rPr>
                <w:rFonts w:cs="Arial"/>
                <w:sz w:val="20"/>
              </w:rPr>
            </w:pPr>
            <w:r>
              <w:rPr>
                <w:rFonts w:cs="Arial"/>
                <w:sz w:val="20"/>
              </w:rPr>
              <w:t> </w:t>
            </w:r>
          </w:p>
        </w:tc>
        <w:tc>
          <w:tcPr>
            <w:tcW w:w="1196" w:type="dxa"/>
            <w:tcBorders>
              <w:top w:val="nil"/>
              <w:left w:val="nil"/>
              <w:bottom w:val="nil"/>
              <w:right w:val="nil"/>
            </w:tcBorders>
            <w:shd w:val="clear" w:color="FFFFFF" w:fill="FFFFFF"/>
            <w:noWrap/>
            <w:vAlign w:val="bottom"/>
            <w:hideMark/>
          </w:tcPr>
          <w:p w:rsidR="00735613" w:rsidRDefault="00735613">
            <w:pPr>
              <w:rPr>
                <w:rFonts w:cs="Arial"/>
                <w:sz w:val="20"/>
              </w:rPr>
            </w:pPr>
            <w:r>
              <w:rPr>
                <w:rFonts w:cs="Arial"/>
                <w:sz w:val="20"/>
              </w:rPr>
              <w:t> </w:t>
            </w:r>
          </w:p>
        </w:tc>
        <w:tc>
          <w:tcPr>
            <w:tcW w:w="1196" w:type="dxa"/>
            <w:tcBorders>
              <w:top w:val="nil"/>
              <w:left w:val="nil"/>
              <w:bottom w:val="nil"/>
              <w:right w:val="nil"/>
            </w:tcBorders>
            <w:shd w:val="clear" w:color="FFFFFF" w:fill="FFFFFF"/>
            <w:noWrap/>
            <w:vAlign w:val="bottom"/>
            <w:hideMark/>
          </w:tcPr>
          <w:p w:rsidR="00735613" w:rsidRDefault="00735613">
            <w:pPr>
              <w:rPr>
                <w:rFonts w:cs="Arial"/>
                <w:sz w:val="20"/>
              </w:rPr>
            </w:pPr>
            <w:r>
              <w:rPr>
                <w:rFonts w:cs="Arial"/>
                <w:sz w:val="20"/>
              </w:rPr>
              <w:t> </w:t>
            </w:r>
          </w:p>
        </w:tc>
        <w:tc>
          <w:tcPr>
            <w:tcW w:w="1196" w:type="dxa"/>
            <w:tcBorders>
              <w:top w:val="nil"/>
              <w:left w:val="nil"/>
              <w:bottom w:val="nil"/>
              <w:right w:val="nil"/>
            </w:tcBorders>
            <w:shd w:val="clear" w:color="FFFFFF" w:fill="FFFFFF"/>
            <w:noWrap/>
            <w:vAlign w:val="bottom"/>
            <w:hideMark/>
          </w:tcPr>
          <w:p w:rsidR="00735613" w:rsidRDefault="00735613">
            <w:pPr>
              <w:rPr>
                <w:rFonts w:cs="Arial"/>
                <w:sz w:val="20"/>
              </w:rPr>
            </w:pPr>
            <w:r>
              <w:rPr>
                <w:rFonts w:cs="Arial"/>
                <w:sz w:val="20"/>
              </w:rPr>
              <w:t> </w:t>
            </w:r>
          </w:p>
        </w:tc>
        <w:tc>
          <w:tcPr>
            <w:tcW w:w="1196" w:type="dxa"/>
            <w:tcBorders>
              <w:top w:val="nil"/>
              <w:left w:val="nil"/>
              <w:bottom w:val="nil"/>
              <w:right w:val="nil"/>
            </w:tcBorders>
            <w:shd w:val="clear" w:color="FFFFFF" w:fill="FFFFFF"/>
            <w:noWrap/>
            <w:vAlign w:val="bottom"/>
            <w:hideMark/>
          </w:tcPr>
          <w:p w:rsidR="00735613" w:rsidRDefault="00735613">
            <w:pPr>
              <w:rPr>
                <w:rFonts w:cs="Arial"/>
                <w:sz w:val="20"/>
              </w:rPr>
            </w:pPr>
            <w:r>
              <w:rPr>
                <w:rFonts w:cs="Arial"/>
                <w:sz w:val="20"/>
              </w:rPr>
              <w:t> </w:t>
            </w:r>
          </w:p>
        </w:tc>
        <w:tc>
          <w:tcPr>
            <w:tcW w:w="1196" w:type="dxa"/>
            <w:tcBorders>
              <w:top w:val="nil"/>
              <w:left w:val="nil"/>
              <w:bottom w:val="nil"/>
              <w:right w:val="nil"/>
            </w:tcBorders>
            <w:shd w:val="clear" w:color="FFFFFF" w:fill="FFFFFF"/>
            <w:noWrap/>
            <w:vAlign w:val="bottom"/>
            <w:hideMark/>
          </w:tcPr>
          <w:p w:rsidR="00735613" w:rsidRDefault="00735613">
            <w:pPr>
              <w:rPr>
                <w:rFonts w:cs="Arial"/>
                <w:sz w:val="20"/>
              </w:rPr>
            </w:pPr>
            <w:r>
              <w:rPr>
                <w:rFonts w:cs="Arial"/>
                <w:sz w:val="20"/>
              </w:rPr>
              <w:t> </w:t>
            </w:r>
          </w:p>
        </w:tc>
      </w:tr>
      <w:tr w:rsidR="00735613" w:rsidTr="00735613">
        <w:trPr>
          <w:trHeight w:val="840"/>
        </w:trPr>
        <w:tc>
          <w:tcPr>
            <w:tcW w:w="4253" w:type="dxa"/>
            <w:tcBorders>
              <w:top w:val="single" w:sz="4" w:space="0" w:color="auto"/>
              <w:left w:val="single" w:sz="4" w:space="0" w:color="auto"/>
              <w:bottom w:val="single" w:sz="4" w:space="0" w:color="auto"/>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2401" w:type="dxa"/>
            <w:gridSpan w:val="2"/>
            <w:tcBorders>
              <w:top w:val="single" w:sz="4" w:space="0" w:color="auto"/>
              <w:left w:val="single" w:sz="4" w:space="0" w:color="auto"/>
              <w:bottom w:val="single" w:sz="4" w:space="0" w:color="auto"/>
              <w:right w:val="single" w:sz="4" w:space="0" w:color="000000"/>
            </w:tcBorders>
            <w:shd w:val="clear" w:color="FFFFFF" w:fill="FFFFFF"/>
            <w:hideMark/>
          </w:tcPr>
          <w:p w:rsidR="00735613" w:rsidRDefault="00735613">
            <w:pPr>
              <w:jc w:val="center"/>
              <w:rPr>
                <w:rFonts w:cs="Arial"/>
                <w:b/>
                <w:bCs/>
                <w:szCs w:val="18"/>
              </w:rPr>
            </w:pPr>
            <w:r>
              <w:rPr>
                <w:rFonts w:cs="Arial"/>
                <w:b/>
                <w:bCs/>
                <w:szCs w:val="18"/>
              </w:rPr>
              <w:t>Early Years Quality Fund</w:t>
            </w:r>
            <w:r>
              <w:rPr>
                <w:rFonts w:cs="Arial"/>
                <w:b/>
                <w:bCs/>
                <w:szCs w:val="18"/>
                <w:vertAlign w:val="superscript"/>
              </w:rPr>
              <w:t>4</w:t>
            </w:r>
          </w:p>
        </w:tc>
        <w:tc>
          <w:tcPr>
            <w:tcW w:w="2392" w:type="dxa"/>
            <w:gridSpan w:val="2"/>
            <w:tcBorders>
              <w:top w:val="single" w:sz="4" w:space="0" w:color="auto"/>
              <w:left w:val="nil"/>
              <w:bottom w:val="single" w:sz="4" w:space="0" w:color="auto"/>
              <w:right w:val="single" w:sz="4" w:space="0" w:color="000000"/>
            </w:tcBorders>
            <w:shd w:val="clear" w:color="FFFFFF" w:fill="FFFFFF"/>
            <w:hideMark/>
          </w:tcPr>
          <w:p w:rsidR="00735613" w:rsidRDefault="00735613">
            <w:pPr>
              <w:jc w:val="center"/>
              <w:rPr>
                <w:rFonts w:cs="Arial"/>
                <w:b/>
                <w:bCs/>
                <w:szCs w:val="18"/>
              </w:rPr>
            </w:pPr>
            <w:r>
              <w:rPr>
                <w:rFonts w:cs="Arial"/>
                <w:b/>
                <w:bCs/>
                <w:szCs w:val="18"/>
              </w:rPr>
              <w:t>Overseas Student Tuition Fund</w:t>
            </w:r>
            <w:r>
              <w:rPr>
                <w:rFonts w:cs="Arial"/>
                <w:b/>
                <w:bCs/>
                <w:szCs w:val="18"/>
                <w:vertAlign w:val="superscript"/>
              </w:rPr>
              <w:t>5</w:t>
            </w:r>
          </w:p>
        </w:tc>
        <w:tc>
          <w:tcPr>
            <w:tcW w:w="2392" w:type="dxa"/>
            <w:gridSpan w:val="2"/>
            <w:tcBorders>
              <w:top w:val="single" w:sz="4" w:space="0" w:color="auto"/>
              <w:left w:val="nil"/>
              <w:bottom w:val="single" w:sz="4" w:space="0" w:color="auto"/>
              <w:right w:val="single" w:sz="4" w:space="0" w:color="000000"/>
            </w:tcBorders>
            <w:shd w:val="clear" w:color="FFFFFF" w:fill="FFFFFF"/>
            <w:hideMark/>
          </w:tcPr>
          <w:p w:rsidR="00735613" w:rsidRDefault="00735613">
            <w:pPr>
              <w:jc w:val="center"/>
              <w:rPr>
                <w:rFonts w:cs="Arial"/>
                <w:b/>
                <w:bCs/>
                <w:szCs w:val="18"/>
              </w:rPr>
            </w:pPr>
            <w:r>
              <w:rPr>
                <w:rFonts w:cs="Arial"/>
                <w:b/>
                <w:bCs/>
                <w:szCs w:val="18"/>
              </w:rPr>
              <w:t>Unique Student Identifier</w:t>
            </w:r>
            <w:r>
              <w:rPr>
                <w:rFonts w:cs="Arial"/>
                <w:b/>
                <w:bCs/>
                <w:szCs w:val="18"/>
                <w:vertAlign w:val="superscript"/>
              </w:rPr>
              <w:t>6</w:t>
            </w:r>
          </w:p>
        </w:tc>
        <w:tc>
          <w:tcPr>
            <w:tcW w:w="2392" w:type="dxa"/>
            <w:gridSpan w:val="2"/>
            <w:tcBorders>
              <w:top w:val="single" w:sz="4" w:space="0" w:color="auto"/>
              <w:left w:val="nil"/>
              <w:bottom w:val="single" w:sz="4" w:space="0" w:color="auto"/>
              <w:right w:val="single" w:sz="4" w:space="0" w:color="000000"/>
            </w:tcBorders>
            <w:shd w:val="clear" w:color="FFFFFF" w:fill="FFFFFF"/>
            <w:hideMark/>
          </w:tcPr>
          <w:p w:rsidR="00735613" w:rsidRDefault="00735613">
            <w:pPr>
              <w:jc w:val="center"/>
              <w:rPr>
                <w:rFonts w:cs="Arial"/>
                <w:b/>
                <w:bCs/>
                <w:szCs w:val="18"/>
              </w:rPr>
            </w:pPr>
            <w:r>
              <w:rPr>
                <w:rFonts w:cs="Arial"/>
                <w:b/>
                <w:bCs/>
                <w:szCs w:val="18"/>
              </w:rPr>
              <w:t>Services for Other Entities and Trust Money</w:t>
            </w:r>
            <w:r>
              <w:rPr>
                <w:rFonts w:cs="Arial"/>
                <w:b/>
                <w:bCs/>
                <w:szCs w:val="18"/>
                <w:vertAlign w:val="superscript"/>
              </w:rPr>
              <w:t>7</w:t>
            </w:r>
          </w:p>
        </w:tc>
      </w:tr>
      <w:tr w:rsidR="00735613" w:rsidTr="00735613">
        <w:trPr>
          <w:trHeight w:val="276"/>
        </w:trPr>
        <w:tc>
          <w:tcPr>
            <w:tcW w:w="4253" w:type="dxa"/>
            <w:vMerge w:val="restart"/>
            <w:tcBorders>
              <w:top w:val="nil"/>
              <w:left w:val="single" w:sz="4" w:space="0" w:color="auto"/>
              <w:bottom w:val="single" w:sz="4" w:space="0" w:color="auto"/>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205" w:type="dxa"/>
            <w:tcBorders>
              <w:top w:val="nil"/>
              <w:left w:val="single" w:sz="4" w:space="0" w:color="auto"/>
              <w:bottom w:val="single" w:sz="4" w:space="0" w:color="auto"/>
              <w:right w:val="single" w:sz="4" w:space="0" w:color="auto"/>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szCs w:val="18"/>
              </w:rPr>
            </w:pPr>
            <w:r>
              <w:rPr>
                <w:rFonts w:cs="Arial"/>
                <w:szCs w:val="18"/>
              </w:rPr>
              <w:t>2014</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szCs w:val="18"/>
              </w:rPr>
            </w:pPr>
            <w:r>
              <w:rPr>
                <w:rFonts w:cs="Arial"/>
                <w:szCs w:val="18"/>
              </w:rPr>
              <w:t>2014</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szCs w:val="18"/>
              </w:rPr>
            </w:pPr>
            <w:r>
              <w:rPr>
                <w:rFonts w:cs="Arial"/>
                <w:szCs w:val="18"/>
              </w:rPr>
              <w:t>2014</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szCs w:val="18"/>
              </w:rPr>
            </w:pPr>
            <w:r>
              <w:rPr>
                <w:rFonts w:cs="Arial"/>
                <w:szCs w:val="18"/>
              </w:rPr>
              <w:t>2014</w:t>
            </w:r>
          </w:p>
        </w:tc>
      </w:tr>
      <w:tr w:rsidR="00735613" w:rsidTr="00735613">
        <w:trPr>
          <w:trHeight w:val="276"/>
        </w:trPr>
        <w:tc>
          <w:tcPr>
            <w:tcW w:w="4253" w:type="dxa"/>
            <w:vMerge/>
            <w:tcBorders>
              <w:top w:val="nil"/>
              <w:left w:val="single" w:sz="4" w:space="0" w:color="auto"/>
              <w:bottom w:val="single" w:sz="4" w:space="0" w:color="auto"/>
              <w:right w:val="nil"/>
            </w:tcBorders>
            <w:vAlign w:val="center"/>
            <w:hideMark/>
          </w:tcPr>
          <w:p w:rsidR="00735613" w:rsidRDefault="00735613">
            <w:pPr>
              <w:rPr>
                <w:rFonts w:cs="Arial"/>
                <w:b/>
                <w:bCs/>
                <w:szCs w:val="18"/>
              </w:rPr>
            </w:pPr>
          </w:p>
        </w:tc>
        <w:tc>
          <w:tcPr>
            <w:tcW w:w="1205" w:type="dxa"/>
            <w:tcBorders>
              <w:top w:val="nil"/>
              <w:left w:val="single" w:sz="4" w:space="0" w:color="auto"/>
              <w:bottom w:val="single" w:sz="4" w:space="0" w:color="auto"/>
              <w:right w:val="single" w:sz="4" w:space="0" w:color="auto"/>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szCs w:val="18"/>
              </w:rPr>
            </w:pPr>
            <w:r>
              <w:rPr>
                <w:rFonts w:cs="Arial"/>
                <w:szCs w:val="18"/>
              </w:rPr>
              <w:t>$'000</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szCs w:val="18"/>
              </w:rPr>
            </w:pPr>
            <w:r>
              <w:rPr>
                <w:rFonts w:cs="Arial"/>
                <w:szCs w:val="18"/>
              </w:rPr>
              <w:t>$'000</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szCs w:val="18"/>
              </w:rPr>
            </w:pPr>
            <w:r>
              <w:rPr>
                <w:rFonts w:cs="Arial"/>
                <w:szCs w:val="18"/>
              </w:rPr>
              <w:t>$'000</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1196" w:type="dxa"/>
            <w:tcBorders>
              <w:top w:val="nil"/>
              <w:left w:val="nil"/>
              <w:bottom w:val="single" w:sz="4" w:space="0" w:color="auto"/>
              <w:right w:val="single" w:sz="4" w:space="0" w:color="auto"/>
            </w:tcBorders>
            <w:shd w:val="clear" w:color="FFFFFF" w:fill="FFFFFF"/>
            <w:vAlign w:val="bottom"/>
            <w:hideMark/>
          </w:tcPr>
          <w:p w:rsidR="00735613" w:rsidRDefault="00735613">
            <w:pPr>
              <w:jc w:val="right"/>
              <w:rPr>
                <w:rFonts w:cs="Arial"/>
                <w:szCs w:val="18"/>
              </w:rPr>
            </w:pPr>
            <w:r>
              <w:rPr>
                <w:rFonts w:cs="Arial"/>
                <w:szCs w:val="18"/>
              </w:rPr>
              <w:t>$'000</w:t>
            </w:r>
          </w:p>
        </w:tc>
      </w:tr>
      <w:tr w:rsidR="00735613" w:rsidTr="00735613">
        <w:trPr>
          <w:trHeight w:val="276"/>
        </w:trPr>
        <w:tc>
          <w:tcPr>
            <w:tcW w:w="4253" w:type="dxa"/>
            <w:tcBorders>
              <w:top w:val="nil"/>
              <w:left w:val="single" w:sz="4" w:space="0" w:color="auto"/>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Balance brought forward from previous period</w:t>
            </w:r>
          </w:p>
        </w:tc>
        <w:tc>
          <w:tcPr>
            <w:tcW w:w="1205"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72,297</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12,157</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6,588</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76"/>
        </w:trPr>
        <w:tc>
          <w:tcPr>
            <w:tcW w:w="4253" w:type="dxa"/>
            <w:tcBorders>
              <w:top w:val="nil"/>
              <w:left w:val="single" w:sz="4" w:space="0" w:color="auto"/>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Increases</w:t>
            </w:r>
          </w:p>
        </w:tc>
        <w:tc>
          <w:tcPr>
            <w:tcW w:w="1205"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76"/>
        </w:trPr>
        <w:tc>
          <w:tcPr>
            <w:tcW w:w="4253" w:type="dxa"/>
            <w:tcBorders>
              <w:top w:val="nil"/>
              <w:left w:val="single" w:sz="4" w:space="0" w:color="auto"/>
              <w:bottom w:val="single" w:sz="4" w:space="0" w:color="auto"/>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Appropriations credited to special account</w:t>
            </w:r>
          </w:p>
        </w:tc>
        <w:tc>
          <w:tcPr>
            <w:tcW w:w="1205"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xml:space="preserve">3,508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76"/>
        </w:trPr>
        <w:tc>
          <w:tcPr>
            <w:tcW w:w="4253" w:type="dxa"/>
            <w:tcBorders>
              <w:top w:val="nil"/>
              <w:left w:val="single" w:sz="4" w:space="0" w:color="auto"/>
              <w:bottom w:val="single" w:sz="4" w:space="0" w:color="auto"/>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Receipts</w:t>
            </w:r>
          </w:p>
        </w:tc>
        <w:tc>
          <w:tcPr>
            <w:tcW w:w="1205"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xml:space="preserve">8,591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6,518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xml:space="preserve">886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6,852 </w:t>
            </w:r>
          </w:p>
        </w:tc>
      </w:tr>
      <w:tr w:rsidR="00735613" w:rsidTr="00735613">
        <w:trPr>
          <w:trHeight w:val="276"/>
        </w:trPr>
        <w:tc>
          <w:tcPr>
            <w:tcW w:w="4253" w:type="dxa"/>
            <w:tcBorders>
              <w:top w:val="nil"/>
              <w:left w:val="single" w:sz="4" w:space="0" w:color="auto"/>
              <w:bottom w:val="single" w:sz="4" w:space="0" w:color="auto"/>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Transfer through restructuring</w:t>
            </w:r>
          </w:p>
        </w:tc>
        <w:tc>
          <w:tcPr>
            <w:tcW w:w="1205"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135,000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5,847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xml:space="preserve">2,186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xml:space="preserve">424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4,042 </w:t>
            </w:r>
          </w:p>
        </w:tc>
      </w:tr>
      <w:tr w:rsidR="00735613" w:rsidTr="00735613">
        <w:trPr>
          <w:trHeight w:val="276"/>
        </w:trPr>
        <w:tc>
          <w:tcPr>
            <w:tcW w:w="4253" w:type="dxa"/>
            <w:tcBorders>
              <w:top w:val="nil"/>
              <w:left w:val="single" w:sz="4" w:space="0" w:color="auto"/>
              <w:bottom w:val="single" w:sz="4" w:space="0" w:color="auto"/>
              <w:right w:val="nil"/>
            </w:tcBorders>
            <w:shd w:val="clear" w:color="FFFFFF" w:fill="FFFFFF"/>
            <w:vAlign w:val="bottom"/>
            <w:hideMark/>
          </w:tcPr>
          <w:p w:rsidR="00735613" w:rsidRDefault="00735613">
            <w:pPr>
              <w:rPr>
                <w:rFonts w:cs="Arial"/>
                <w:b/>
                <w:bCs/>
                <w:i/>
                <w:iCs/>
                <w:szCs w:val="18"/>
              </w:rPr>
            </w:pPr>
            <w:r>
              <w:rPr>
                <w:rFonts w:cs="Arial"/>
                <w:b/>
                <w:bCs/>
                <w:i/>
                <w:iCs/>
                <w:szCs w:val="18"/>
              </w:rPr>
              <w:t>Total increases</w:t>
            </w:r>
          </w:p>
        </w:tc>
        <w:tc>
          <w:tcPr>
            <w:tcW w:w="1205"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135,000</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8,591</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12,365</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5,694</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1,310</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10,894</w:t>
            </w:r>
          </w:p>
        </w:tc>
      </w:tr>
      <w:tr w:rsidR="00735613" w:rsidTr="00735613">
        <w:trPr>
          <w:trHeight w:val="276"/>
        </w:trPr>
        <w:tc>
          <w:tcPr>
            <w:tcW w:w="4253" w:type="dxa"/>
            <w:tcBorders>
              <w:top w:val="nil"/>
              <w:left w:val="single" w:sz="4" w:space="0" w:color="auto"/>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Available for payments</w:t>
            </w:r>
          </w:p>
        </w:tc>
        <w:tc>
          <w:tcPr>
            <w:tcW w:w="1205"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72,297</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135,000</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20,748</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12,365</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5,694</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7,898</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10,894</w:t>
            </w:r>
          </w:p>
        </w:tc>
      </w:tr>
      <w:tr w:rsidR="00735613" w:rsidTr="00735613">
        <w:trPr>
          <w:trHeight w:val="276"/>
        </w:trPr>
        <w:tc>
          <w:tcPr>
            <w:tcW w:w="4253" w:type="dxa"/>
            <w:tcBorders>
              <w:top w:val="nil"/>
              <w:left w:val="single" w:sz="4" w:space="0" w:color="auto"/>
              <w:bottom w:val="single" w:sz="4" w:space="0" w:color="auto"/>
              <w:right w:val="nil"/>
            </w:tcBorders>
            <w:shd w:val="clear" w:color="FFFFFF" w:fill="FFFFFF"/>
            <w:vAlign w:val="bottom"/>
            <w:hideMark/>
          </w:tcPr>
          <w:p w:rsidR="00735613" w:rsidRDefault="00735613">
            <w:pPr>
              <w:rPr>
                <w:rFonts w:cs="Arial"/>
                <w:b/>
                <w:bCs/>
                <w:szCs w:val="18"/>
              </w:rPr>
            </w:pPr>
            <w:r>
              <w:rPr>
                <w:rFonts w:cs="Arial"/>
                <w:b/>
                <w:bCs/>
                <w:szCs w:val="18"/>
              </w:rPr>
              <w:t>Decreases</w:t>
            </w:r>
          </w:p>
        </w:tc>
        <w:tc>
          <w:tcPr>
            <w:tcW w:w="1205"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76"/>
        </w:trPr>
        <w:tc>
          <w:tcPr>
            <w:tcW w:w="4253" w:type="dxa"/>
            <w:tcBorders>
              <w:top w:val="nil"/>
              <w:left w:val="single" w:sz="4" w:space="0" w:color="auto"/>
              <w:bottom w:val="single" w:sz="4" w:space="0" w:color="auto"/>
              <w:right w:val="nil"/>
            </w:tcBorders>
            <w:shd w:val="clear" w:color="FFFFFF" w:fill="FFFFFF"/>
            <w:noWrap/>
            <w:vAlign w:val="bottom"/>
            <w:hideMark/>
          </w:tcPr>
          <w:p w:rsidR="00735613" w:rsidRDefault="00735613">
            <w:pPr>
              <w:rPr>
                <w:rFonts w:cs="Arial"/>
                <w:b/>
                <w:bCs/>
                <w:szCs w:val="18"/>
              </w:rPr>
            </w:pPr>
            <w:r>
              <w:rPr>
                <w:rFonts w:cs="Arial"/>
                <w:b/>
                <w:bCs/>
                <w:szCs w:val="18"/>
              </w:rPr>
              <w:t>Departmental</w:t>
            </w:r>
          </w:p>
        </w:tc>
        <w:tc>
          <w:tcPr>
            <w:tcW w:w="1205"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w:t>
            </w:r>
          </w:p>
        </w:tc>
      </w:tr>
      <w:tr w:rsidR="00735613" w:rsidTr="00735613">
        <w:trPr>
          <w:trHeight w:val="276"/>
        </w:trPr>
        <w:tc>
          <w:tcPr>
            <w:tcW w:w="4253" w:type="dxa"/>
            <w:tcBorders>
              <w:top w:val="nil"/>
              <w:left w:val="single" w:sz="4" w:space="0" w:color="auto"/>
              <w:bottom w:val="single" w:sz="4" w:space="0" w:color="auto"/>
              <w:right w:val="nil"/>
            </w:tcBorders>
            <w:shd w:val="clear" w:color="FFFFFF" w:fill="FFFFFF"/>
            <w:noWrap/>
            <w:vAlign w:val="bottom"/>
            <w:hideMark/>
          </w:tcPr>
          <w:p w:rsidR="00735613" w:rsidRDefault="00735613">
            <w:pPr>
              <w:ind w:firstLineChars="100" w:firstLine="180"/>
              <w:rPr>
                <w:rFonts w:cs="Arial"/>
                <w:szCs w:val="18"/>
              </w:rPr>
            </w:pPr>
            <w:r>
              <w:rPr>
                <w:rFonts w:cs="Arial"/>
                <w:szCs w:val="18"/>
              </w:rPr>
              <w:t>Other Payments</w:t>
            </w:r>
          </w:p>
        </w:tc>
        <w:tc>
          <w:tcPr>
            <w:tcW w:w="1205"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(3,408)</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 xml:space="preserve"> -</w:t>
            </w:r>
          </w:p>
        </w:tc>
      </w:tr>
      <w:tr w:rsidR="00735613" w:rsidTr="00735613">
        <w:trPr>
          <w:trHeight w:val="276"/>
        </w:trPr>
        <w:tc>
          <w:tcPr>
            <w:tcW w:w="4253" w:type="dxa"/>
            <w:tcBorders>
              <w:top w:val="nil"/>
              <w:left w:val="single" w:sz="4" w:space="0" w:color="auto"/>
              <w:bottom w:val="single" w:sz="4" w:space="0" w:color="auto"/>
              <w:right w:val="nil"/>
            </w:tcBorders>
            <w:shd w:val="clear" w:color="FFFFFF" w:fill="FFFFFF"/>
            <w:vAlign w:val="bottom"/>
            <w:hideMark/>
          </w:tcPr>
          <w:p w:rsidR="00735613" w:rsidRDefault="00735613">
            <w:pPr>
              <w:rPr>
                <w:rFonts w:cs="Arial"/>
                <w:b/>
                <w:bCs/>
                <w:i/>
                <w:iCs/>
                <w:szCs w:val="18"/>
              </w:rPr>
            </w:pPr>
            <w:r>
              <w:rPr>
                <w:rFonts w:cs="Arial"/>
                <w:b/>
                <w:bCs/>
                <w:i/>
                <w:iCs/>
                <w:szCs w:val="18"/>
              </w:rPr>
              <w:t>Total Departmental</w:t>
            </w:r>
          </w:p>
        </w:tc>
        <w:tc>
          <w:tcPr>
            <w:tcW w:w="1205"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(3,408)</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w:t>
            </w:r>
          </w:p>
        </w:tc>
      </w:tr>
      <w:tr w:rsidR="00735613" w:rsidTr="00735613">
        <w:trPr>
          <w:trHeight w:val="276"/>
        </w:trPr>
        <w:tc>
          <w:tcPr>
            <w:tcW w:w="4253" w:type="dxa"/>
            <w:tcBorders>
              <w:top w:val="nil"/>
              <w:left w:val="single" w:sz="4" w:space="0" w:color="auto"/>
              <w:bottom w:val="single" w:sz="4" w:space="0" w:color="auto"/>
              <w:right w:val="nil"/>
            </w:tcBorders>
            <w:shd w:val="clear" w:color="000000" w:fill="D9D9D9"/>
            <w:vAlign w:val="bottom"/>
            <w:hideMark/>
          </w:tcPr>
          <w:p w:rsidR="00735613" w:rsidRDefault="00735613">
            <w:pPr>
              <w:rPr>
                <w:rFonts w:cs="Arial"/>
                <w:b/>
                <w:bCs/>
                <w:szCs w:val="18"/>
              </w:rPr>
            </w:pPr>
            <w:r>
              <w:rPr>
                <w:rFonts w:cs="Arial"/>
                <w:b/>
                <w:bCs/>
                <w:szCs w:val="18"/>
              </w:rPr>
              <w:t>Administered</w:t>
            </w:r>
          </w:p>
        </w:tc>
        <w:tc>
          <w:tcPr>
            <w:tcW w:w="1205" w:type="dxa"/>
            <w:tcBorders>
              <w:top w:val="nil"/>
              <w:left w:val="single" w:sz="4" w:space="0" w:color="auto"/>
              <w:bottom w:val="single" w:sz="4" w:space="0" w:color="auto"/>
              <w:right w:val="single" w:sz="4" w:space="0" w:color="auto"/>
            </w:tcBorders>
            <w:shd w:val="clear" w:color="000000" w:fill="D9D9D9"/>
            <w:noWrap/>
            <w:vAlign w:val="bottom"/>
            <w:hideMark/>
          </w:tcPr>
          <w:p w:rsidR="00735613" w:rsidRDefault="00735613">
            <w:pPr>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rPr>
                <w:rFonts w:cs="Arial"/>
                <w:szCs w:val="18"/>
              </w:rPr>
            </w:pPr>
            <w:r>
              <w:rPr>
                <w:rFonts w:cs="Arial"/>
                <w:szCs w:val="18"/>
              </w:rPr>
              <w:t>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rPr>
                <w:rFonts w:cs="Arial"/>
                <w:szCs w:val="18"/>
              </w:rPr>
            </w:pPr>
            <w:r>
              <w:rPr>
                <w:rFonts w:cs="Arial"/>
                <w:szCs w:val="18"/>
              </w:rPr>
              <w:t>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rPr>
                <w:rFonts w:cs="Arial"/>
                <w:szCs w:val="18"/>
              </w:rPr>
            </w:pPr>
            <w:r>
              <w:rPr>
                <w:rFonts w:cs="Arial"/>
                <w:szCs w:val="18"/>
              </w:rPr>
              <w:t>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rPr>
                <w:rFonts w:cs="Arial"/>
                <w:szCs w:val="18"/>
              </w:rPr>
            </w:pPr>
            <w:r>
              <w:rPr>
                <w:rFonts w:cs="Arial"/>
                <w:szCs w:val="18"/>
              </w:rPr>
              <w:t> </w:t>
            </w:r>
          </w:p>
        </w:tc>
      </w:tr>
      <w:tr w:rsidR="00735613" w:rsidTr="00735613">
        <w:trPr>
          <w:trHeight w:val="276"/>
        </w:trPr>
        <w:tc>
          <w:tcPr>
            <w:tcW w:w="4253" w:type="dxa"/>
            <w:tcBorders>
              <w:top w:val="nil"/>
              <w:left w:val="single" w:sz="4" w:space="0" w:color="auto"/>
              <w:bottom w:val="single" w:sz="4" w:space="0" w:color="auto"/>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Payments made</w:t>
            </w:r>
          </w:p>
        </w:tc>
        <w:tc>
          <w:tcPr>
            <w:tcW w:w="1205" w:type="dxa"/>
            <w:tcBorders>
              <w:top w:val="nil"/>
              <w:left w:val="single" w:sz="4" w:space="0" w:color="auto"/>
              <w:bottom w:val="single" w:sz="4" w:space="0" w:color="auto"/>
              <w:right w:val="single" w:sz="4" w:space="0" w:color="auto"/>
            </w:tcBorders>
            <w:shd w:val="clear" w:color="000000" w:fill="D9D9D9"/>
            <w:noWrap/>
            <w:vAlign w:val="bottom"/>
            <w:hideMark/>
          </w:tcPr>
          <w:p w:rsidR="00735613" w:rsidRDefault="00735613">
            <w:pPr>
              <w:jc w:val="right"/>
              <w:rPr>
                <w:rFonts w:cs="Arial"/>
                <w:b/>
                <w:bCs/>
                <w:szCs w:val="18"/>
              </w:rPr>
            </w:pPr>
            <w:r>
              <w:rPr>
                <w:rFonts w:cs="Arial"/>
                <w:b/>
                <w:bCs/>
                <w:szCs w:val="18"/>
              </w:rPr>
              <w:t>(47,588)</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szCs w:val="18"/>
              </w:rPr>
            </w:pPr>
            <w:r>
              <w:rPr>
                <w:rFonts w:cs="Arial"/>
                <w:szCs w:val="18"/>
              </w:rPr>
              <w:t>(62,703)</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b/>
                <w:bCs/>
                <w:szCs w:val="18"/>
              </w:rPr>
            </w:pPr>
            <w:r>
              <w:rPr>
                <w:rFonts w:cs="Arial"/>
                <w:b/>
                <w:bCs/>
                <w:szCs w:val="18"/>
              </w:rPr>
              <w:t>(879)</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szCs w:val="18"/>
              </w:rPr>
            </w:pPr>
            <w:r>
              <w:rPr>
                <w:rFonts w:cs="Arial"/>
                <w:szCs w:val="18"/>
              </w:rPr>
              <w:t>(208)</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szCs w:val="18"/>
              </w:rPr>
            </w:pPr>
            <w:r>
              <w:rPr>
                <w:rFonts w:cs="Arial"/>
                <w:szCs w:val="18"/>
              </w:rPr>
              <w:t>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b/>
                <w:bCs/>
                <w:szCs w:val="18"/>
              </w:rPr>
            </w:pPr>
            <w:r>
              <w:rPr>
                <w:rFonts w:cs="Arial"/>
                <w:b/>
                <w:bCs/>
                <w:szCs w:val="18"/>
              </w:rPr>
              <w:t>(1,422)</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szCs w:val="18"/>
              </w:rPr>
            </w:pPr>
            <w:r>
              <w:rPr>
                <w:rFonts w:cs="Arial"/>
                <w:szCs w:val="18"/>
              </w:rPr>
              <w:t>(4,001)</w:t>
            </w:r>
          </w:p>
        </w:tc>
      </w:tr>
      <w:tr w:rsidR="00735613" w:rsidTr="00735613">
        <w:trPr>
          <w:trHeight w:val="276"/>
        </w:trPr>
        <w:tc>
          <w:tcPr>
            <w:tcW w:w="4253" w:type="dxa"/>
            <w:tcBorders>
              <w:top w:val="nil"/>
              <w:left w:val="single" w:sz="4" w:space="0" w:color="auto"/>
              <w:bottom w:val="single" w:sz="4" w:space="0" w:color="auto"/>
              <w:right w:val="nil"/>
            </w:tcBorders>
            <w:shd w:val="clear" w:color="000000" w:fill="D9D9D9"/>
            <w:noWrap/>
            <w:vAlign w:val="bottom"/>
            <w:hideMark/>
          </w:tcPr>
          <w:p w:rsidR="00735613" w:rsidRDefault="00735613">
            <w:pPr>
              <w:ind w:firstLineChars="100" w:firstLine="180"/>
              <w:rPr>
                <w:rFonts w:cs="Arial"/>
                <w:szCs w:val="18"/>
              </w:rPr>
            </w:pPr>
            <w:r>
              <w:rPr>
                <w:rFonts w:cs="Arial"/>
                <w:szCs w:val="18"/>
              </w:rPr>
              <w:t>Transfer through restructuring</w:t>
            </w:r>
          </w:p>
        </w:tc>
        <w:tc>
          <w:tcPr>
            <w:tcW w:w="1205" w:type="dxa"/>
            <w:tcBorders>
              <w:top w:val="nil"/>
              <w:left w:val="single" w:sz="4" w:space="0" w:color="auto"/>
              <w:bottom w:val="single" w:sz="4" w:space="0" w:color="auto"/>
              <w:right w:val="single" w:sz="4" w:space="0" w:color="auto"/>
            </w:tcBorders>
            <w:shd w:val="clear" w:color="000000" w:fill="D9D9D9"/>
            <w:noWrap/>
            <w:vAlign w:val="bottom"/>
            <w:hideMark/>
          </w:tcPr>
          <w:p w:rsidR="00735613" w:rsidRDefault="00735613">
            <w:pPr>
              <w:jc w:val="right"/>
              <w:rPr>
                <w:rFonts w:cs="Arial"/>
                <w:b/>
                <w:bCs/>
                <w:szCs w:val="18"/>
              </w:rPr>
            </w:pPr>
            <w:r>
              <w:rPr>
                <w:rFonts w:cs="Arial"/>
                <w:b/>
                <w:bCs/>
                <w:szCs w:val="18"/>
              </w:rPr>
              <w:t>(24,709)</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szCs w:val="18"/>
              </w:rPr>
            </w:pPr>
            <w:r>
              <w:rPr>
                <w:rFonts w:cs="Arial"/>
                <w:szCs w:val="18"/>
              </w:rPr>
              <w:t xml:space="preserve">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szCs w:val="18"/>
              </w:rPr>
            </w:pPr>
            <w:r>
              <w:rPr>
                <w:rFonts w:cs="Arial"/>
                <w:szCs w:val="18"/>
              </w:rPr>
              <w:t xml:space="preserve">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b/>
                <w:bCs/>
                <w:szCs w:val="18"/>
              </w:rPr>
            </w:pPr>
            <w:r>
              <w:rPr>
                <w:rFonts w:cs="Arial"/>
                <w:b/>
                <w:bCs/>
                <w:szCs w:val="18"/>
              </w:rPr>
              <w:t>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szCs w:val="18"/>
              </w:rPr>
            </w:pPr>
            <w:r>
              <w:rPr>
                <w:rFonts w:cs="Arial"/>
                <w:szCs w:val="18"/>
              </w:rPr>
              <w:t>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b/>
                <w:bCs/>
                <w:szCs w:val="18"/>
              </w:rPr>
            </w:pPr>
            <w:r>
              <w:rPr>
                <w:rFonts w:cs="Arial"/>
                <w:b/>
                <w:bCs/>
                <w:szCs w:val="18"/>
              </w:rPr>
              <w:t xml:space="preserve"> -</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szCs w:val="18"/>
              </w:rPr>
            </w:pPr>
            <w:r>
              <w:rPr>
                <w:rFonts w:cs="Arial"/>
                <w:szCs w:val="18"/>
              </w:rPr>
              <w:t>(305)</w:t>
            </w:r>
          </w:p>
        </w:tc>
      </w:tr>
      <w:tr w:rsidR="00735613" w:rsidTr="00735613">
        <w:trPr>
          <w:trHeight w:val="276"/>
        </w:trPr>
        <w:tc>
          <w:tcPr>
            <w:tcW w:w="4253" w:type="dxa"/>
            <w:tcBorders>
              <w:top w:val="nil"/>
              <w:left w:val="single" w:sz="4" w:space="0" w:color="auto"/>
              <w:bottom w:val="single" w:sz="4" w:space="0" w:color="auto"/>
              <w:right w:val="nil"/>
            </w:tcBorders>
            <w:shd w:val="clear" w:color="000000" w:fill="D9D9D9"/>
            <w:vAlign w:val="bottom"/>
            <w:hideMark/>
          </w:tcPr>
          <w:p w:rsidR="00735613" w:rsidRDefault="00735613">
            <w:pPr>
              <w:rPr>
                <w:rFonts w:cs="Arial"/>
                <w:b/>
                <w:bCs/>
                <w:szCs w:val="18"/>
              </w:rPr>
            </w:pPr>
            <w:r>
              <w:rPr>
                <w:rFonts w:cs="Arial"/>
                <w:b/>
                <w:bCs/>
                <w:szCs w:val="18"/>
              </w:rPr>
              <w:t>Total Administered</w:t>
            </w:r>
          </w:p>
        </w:tc>
        <w:tc>
          <w:tcPr>
            <w:tcW w:w="1205" w:type="dxa"/>
            <w:tcBorders>
              <w:top w:val="nil"/>
              <w:left w:val="single" w:sz="4" w:space="0" w:color="auto"/>
              <w:bottom w:val="single" w:sz="4" w:space="0" w:color="auto"/>
              <w:right w:val="single" w:sz="4" w:space="0" w:color="auto"/>
            </w:tcBorders>
            <w:shd w:val="clear" w:color="000000" w:fill="D9D9D9"/>
            <w:noWrap/>
            <w:vAlign w:val="bottom"/>
            <w:hideMark/>
          </w:tcPr>
          <w:p w:rsidR="00735613" w:rsidRDefault="00735613">
            <w:pPr>
              <w:jc w:val="right"/>
              <w:rPr>
                <w:rFonts w:cs="Arial"/>
                <w:b/>
                <w:bCs/>
                <w:szCs w:val="18"/>
              </w:rPr>
            </w:pPr>
            <w:r>
              <w:rPr>
                <w:rFonts w:cs="Arial"/>
                <w:b/>
                <w:bCs/>
                <w:szCs w:val="18"/>
              </w:rPr>
              <w:t>(72,297)</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szCs w:val="18"/>
              </w:rPr>
            </w:pPr>
            <w:r>
              <w:rPr>
                <w:rFonts w:cs="Arial"/>
                <w:szCs w:val="18"/>
              </w:rPr>
              <w:t>(62,703)</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b/>
                <w:bCs/>
                <w:szCs w:val="18"/>
              </w:rPr>
            </w:pPr>
            <w:r>
              <w:rPr>
                <w:rFonts w:cs="Arial"/>
                <w:b/>
                <w:bCs/>
                <w:szCs w:val="18"/>
              </w:rPr>
              <w:t>(879)</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szCs w:val="18"/>
              </w:rPr>
            </w:pPr>
            <w:r>
              <w:rPr>
                <w:rFonts w:cs="Arial"/>
                <w:szCs w:val="18"/>
              </w:rPr>
              <w:t>(208)</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b/>
                <w:bCs/>
                <w:szCs w:val="18"/>
              </w:rPr>
            </w:pPr>
            <w:r>
              <w:rPr>
                <w:rFonts w:cs="Arial"/>
                <w:b/>
                <w:bCs/>
                <w:szCs w:val="18"/>
              </w:rPr>
              <w:t>-</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szCs w:val="18"/>
              </w:rPr>
            </w:pPr>
            <w:r>
              <w:rPr>
                <w:rFonts w:cs="Arial"/>
                <w:szCs w:val="18"/>
              </w:rPr>
              <w:t>-</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b/>
                <w:bCs/>
                <w:szCs w:val="18"/>
              </w:rPr>
            </w:pPr>
            <w:r>
              <w:rPr>
                <w:rFonts w:cs="Arial"/>
                <w:b/>
                <w:bCs/>
                <w:szCs w:val="18"/>
              </w:rPr>
              <w:t>(1,422)</w:t>
            </w:r>
          </w:p>
        </w:tc>
        <w:tc>
          <w:tcPr>
            <w:tcW w:w="1196" w:type="dxa"/>
            <w:tcBorders>
              <w:top w:val="nil"/>
              <w:left w:val="nil"/>
              <w:bottom w:val="single" w:sz="4" w:space="0" w:color="auto"/>
              <w:right w:val="single" w:sz="4" w:space="0" w:color="auto"/>
            </w:tcBorders>
            <w:shd w:val="clear" w:color="000000" w:fill="D9D9D9"/>
            <w:noWrap/>
            <w:vAlign w:val="bottom"/>
            <w:hideMark/>
          </w:tcPr>
          <w:p w:rsidR="00735613" w:rsidRDefault="00735613">
            <w:pPr>
              <w:jc w:val="right"/>
              <w:rPr>
                <w:rFonts w:cs="Arial"/>
                <w:szCs w:val="18"/>
              </w:rPr>
            </w:pPr>
            <w:r>
              <w:rPr>
                <w:rFonts w:cs="Arial"/>
                <w:szCs w:val="18"/>
              </w:rPr>
              <w:t>(4,306)</w:t>
            </w:r>
          </w:p>
        </w:tc>
      </w:tr>
      <w:tr w:rsidR="00735613" w:rsidTr="00735613">
        <w:trPr>
          <w:trHeight w:val="276"/>
        </w:trPr>
        <w:tc>
          <w:tcPr>
            <w:tcW w:w="4253" w:type="dxa"/>
            <w:tcBorders>
              <w:top w:val="nil"/>
              <w:left w:val="single" w:sz="4" w:space="0" w:color="auto"/>
              <w:bottom w:val="single" w:sz="4" w:space="0" w:color="auto"/>
              <w:right w:val="nil"/>
            </w:tcBorders>
            <w:shd w:val="clear" w:color="FFFFFF" w:fill="FFFFFF"/>
            <w:vAlign w:val="bottom"/>
            <w:hideMark/>
          </w:tcPr>
          <w:p w:rsidR="00735613" w:rsidRDefault="00735613">
            <w:pPr>
              <w:rPr>
                <w:rFonts w:cs="Arial"/>
                <w:b/>
                <w:bCs/>
                <w:i/>
                <w:iCs/>
                <w:szCs w:val="18"/>
              </w:rPr>
            </w:pPr>
            <w:r>
              <w:rPr>
                <w:rFonts w:cs="Arial"/>
                <w:b/>
                <w:bCs/>
                <w:i/>
                <w:iCs/>
                <w:szCs w:val="18"/>
              </w:rPr>
              <w:t>Total decreases</w:t>
            </w:r>
          </w:p>
        </w:tc>
        <w:tc>
          <w:tcPr>
            <w:tcW w:w="1205"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(72,297)</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(62,703)</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(879)</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(208)</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(3,408)</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(1,422)</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(4,306)</w:t>
            </w:r>
          </w:p>
        </w:tc>
      </w:tr>
      <w:tr w:rsidR="00735613" w:rsidTr="00735613">
        <w:trPr>
          <w:trHeight w:val="276"/>
        </w:trPr>
        <w:tc>
          <w:tcPr>
            <w:tcW w:w="4253" w:type="dxa"/>
            <w:tcBorders>
              <w:top w:val="nil"/>
              <w:left w:val="single" w:sz="4" w:space="0" w:color="auto"/>
              <w:bottom w:val="single" w:sz="4" w:space="0" w:color="auto"/>
              <w:right w:val="nil"/>
            </w:tcBorders>
            <w:shd w:val="clear" w:color="FFFFFF" w:fill="FFFFFF"/>
            <w:vAlign w:val="bottom"/>
            <w:hideMark/>
          </w:tcPr>
          <w:p w:rsidR="00735613" w:rsidRDefault="00735613">
            <w:pPr>
              <w:rPr>
                <w:rFonts w:cs="Arial"/>
                <w:b/>
                <w:bCs/>
                <w:i/>
                <w:iCs/>
                <w:szCs w:val="18"/>
              </w:rPr>
            </w:pPr>
            <w:r>
              <w:rPr>
                <w:rFonts w:cs="Arial"/>
                <w:b/>
                <w:bCs/>
                <w:i/>
                <w:iCs/>
                <w:szCs w:val="18"/>
              </w:rPr>
              <w:t>Total balance carried to the next period</w:t>
            </w:r>
          </w:p>
        </w:tc>
        <w:tc>
          <w:tcPr>
            <w:tcW w:w="1205"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72,297</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19,869</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12,157</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2,286</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szCs w:val="18"/>
              </w:rPr>
            </w:pPr>
            <w:r>
              <w:rPr>
                <w:rFonts w:cs="Arial"/>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6,476</w:t>
            </w:r>
          </w:p>
        </w:tc>
        <w:tc>
          <w:tcPr>
            <w:tcW w:w="1196" w:type="dxa"/>
            <w:tcBorders>
              <w:top w:val="nil"/>
              <w:left w:val="nil"/>
              <w:bottom w:val="single" w:sz="4" w:space="0" w:color="auto"/>
              <w:right w:val="single" w:sz="4" w:space="0" w:color="auto"/>
            </w:tcBorders>
            <w:shd w:val="clear" w:color="FFFFFF" w:fill="FFFFFF"/>
            <w:noWrap/>
            <w:vAlign w:val="bottom"/>
            <w:hideMark/>
          </w:tcPr>
          <w:p w:rsidR="00735613" w:rsidRDefault="00735613">
            <w:pPr>
              <w:jc w:val="right"/>
              <w:rPr>
                <w:rFonts w:cs="Arial"/>
                <w:b/>
                <w:bCs/>
                <w:szCs w:val="18"/>
              </w:rPr>
            </w:pPr>
            <w:r>
              <w:rPr>
                <w:rFonts w:cs="Arial"/>
                <w:b/>
                <w:bCs/>
                <w:szCs w:val="18"/>
              </w:rPr>
              <w:t>6,588</w:t>
            </w:r>
          </w:p>
        </w:tc>
      </w:tr>
    </w:tbl>
    <w:p w:rsidR="00735613" w:rsidRDefault="00735613">
      <w:r>
        <w:rPr>
          <w:b/>
        </w:rPr>
        <w:br w:type="page"/>
      </w:r>
    </w:p>
    <w:p w:rsidR="00735613" w:rsidRDefault="00735613">
      <w:pPr>
        <w:spacing w:line="240" w:lineRule="auto"/>
        <w:sectPr w:rsidR="00735613">
          <w:pgSz w:w="16838" w:h="11906" w:orient="landscape"/>
          <w:pgMar w:top="1134" w:right="1134" w:bottom="1134" w:left="1134" w:header="958" w:footer="737" w:gutter="0"/>
          <w:cols w:space="720"/>
        </w:sectPr>
      </w:pPr>
      <w:bookmarkStart w:id="627" w:name="RANGE!D31:J56"/>
      <w:bookmarkEnd w:id="627"/>
    </w:p>
    <w:p w:rsidR="00735613" w:rsidRDefault="00735613"/>
    <w:tbl>
      <w:tblPr>
        <w:tblW w:w="9072" w:type="dxa"/>
        <w:tblLook w:val="04A0" w:firstRow="1" w:lastRow="0" w:firstColumn="1" w:lastColumn="0" w:noHBand="0" w:noVBand="1"/>
      </w:tblPr>
      <w:tblGrid>
        <w:gridCol w:w="9072"/>
      </w:tblGrid>
      <w:tr w:rsidR="00735613">
        <w:trPr>
          <w:trHeight w:val="255"/>
        </w:trPr>
        <w:tc>
          <w:tcPr>
            <w:tcW w:w="9072" w:type="dxa"/>
            <w:shd w:val="clear" w:color="auto" w:fill="FFFFFF"/>
            <w:vAlign w:val="bottom"/>
            <w:hideMark/>
          </w:tcPr>
          <w:p w:rsidR="00735613" w:rsidRDefault="00735613">
            <w:pPr>
              <w:spacing w:line="240" w:lineRule="auto"/>
              <w:rPr>
                <w:rFonts w:cs="Arial"/>
                <w:szCs w:val="18"/>
                <w:lang w:eastAsia="en-AU"/>
              </w:rPr>
            </w:pPr>
            <w:r>
              <w:rPr>
                <w:rFonts w:cs="Arial"/>
                <w:szCs w:val="18"/>
                <w:vertAlign w:val="superscript"/>
                <w:lang w:eastAsia="en-AU"/>
              </w:rPr>
              <w:t xml:space="preserve">1 </w:t>
            </w:r>
            <w:r w:rsidRPr="00975BAD">
              <w:rPr>
                <w:rFonts w:cs="Arial"/>
                <w:szCs w:val="18"/>
                <w:lang w:eastAsia="en-AU"/>
              </w:rPr>
              <w:t>Education Investment Fund - Research Portfolio Spe</w:t>
            </w:r>
            <w:r>
              <w:rPr>
                <w:rFonts w:cs="Arial"/>
                <w:szCs w:val="18"/>
                <w:lang w:eastAsia="en-AU"/>
              </w:rPr>
              <w:t>cial Account</w:t>
            </w:r>
          </w:p>
          <w:p w:rsidR="00735613" w:rsidRDefault="00735613" w:rsidP="00735613">
            <w:pPr>
              <w:spacing w:line="240" w:lineRule="auto"/>
              <w:rPr>
                <w:rFonts w:cs="Arial"/>
                <w:szCs w:val="18"/>
                <w:lang w:eastAsia="en-AU"/>
              </w:rPr>
            </w:pPr>
            <w:r>
              <w:rPr>
                <w:rFonts w:cs="Arial"/>
                <w:szCs w:val="18"/>
                <w:lang w:eastAsia="en-AU"/>
              </w:rPr>
              <w:t>Appropriation:</w:t>
            </w:r>
            <w:r>
              <w:rPr>
                <w:rFonts w:cs="Arial"/>
                <w:i/>
                <w:iCs/>
                <w:szCs w:val="18"/>
                <w:lang w:eastAsia="en-AU"/>
              </w:rPr>
              <w:t xml:space="preserve"> Public Governance, Performance and Accountability Act 2013; </w:t>
            </w:r>
            <w:r>
              <w:rPr>
                <w:rFonts w:cs="Arial"/>
                <w:iCs/>
                <w:szCs w:val="18"/>
                <w:lang w:eastAsia="en-AU"/>
              </w:rPr>
              <w:t>section 80</w:t>
            </w:r>
          </w:p>
        </w:tc>
      </w:tr>
      <w:tr w:rsidR="00735613">
        <w:trPr>
          <w:trHeight w:val="255"/>
        </w:trPr>
        <w:tc>
          <w:tcPr>
            <w:tcW w:w="9072" w:type="dxa"/>
            <w:shd w:val="clear" w:color="auto" w:fill="FFFFFF"/>
            <w:vAlign w:val="bottom"/>
            <w:hideMark/>
          </w:tcPr>
          <w:p w:rsidR="00735613" w:rsidRDefault="00735613" w:rsidP="00735613">
            <w:pPr>
              <w:spacing w:line="240" w:lineRule="auto"/>
              <w:rPr>
                <w:rFonts w:cs="Arial"/>
                <w:szCs w:val="18"/>
                <w:lang w:eastAsia="en-AU"/>
              </w:rPr>
            </w:pPr>
            <w:r>
              <w:rPr>
                <w:rFonts w:cs="Arial"/>
                <w:szCs w:val="18"/>
                <w:lang w:eastAsia="en-AU"/>
              </w:rPr>
              <w:t>Establishing Instrument:</w:t>
            </w:r>
            <w:r>
              <w:rPr>
                <w:rFonts w:cs="Arial"/>
                <w:i/>
                <w:iCs/>
                <w:szCs w:val="18"/>
                <w:lang w:eastAsia="en-AU"/>
              </w:rPr>
              <w:t xml:space="preserve"> Nation-building Funds Act 2008 No. 154 of 2008</w:t>
            </w:r>
          </w:p>
        </w:tc>
      </w:tr>
      <w:tr w:rsidR="00735613">
        <w:trPr>
          <w:trHeight w:val="255"/>
        </w:trPr>
        <w:tc>
          <w:tcPr>
            <w:tcW w:w="9072" w:type="dxa"/>
            <w:shd w:val="clear" w:color="auto" w:fill="FFFFFF"/>
            <w:vAlign w:val="bottom"/>
            <w:hideMark/>
          </w:tcPr>
          <w:p w:rsidR="00735613" w:rsidRDefault="00735613" w:rsidP="00735613">
            <w:pPr>
              <w:spacing w:line="240" w:lineRule="auto"/>
              <w:rPr>
                <w:rFonts w:cs="Arial"/>
                <w:iCs/>
                <w:szCs w:val="18"/>
                <w:lang w:eastAsia="en-AU"/>
              </w:rPr>
            </w:pPr>
            <w:r>
              <w:rPr>
                <w:rFonts w:cs="Arial"/>
                <w:iCs/>
                <w:szCs w:val="18"/>
                <w:lang w:eastAsia="en-AU"/>
              </w:rPr>
              <w:t>Purpose:  To make grants of financial assistance in relation to the creation and development of research infrastructure.</w:t>
            </w:r>
          </w:p>
        </w:tc>
      </w:tr>
    </w:tbl>
    <w:p w:rsidR="00735613" w:rsidRDefault="00735613"/>
    <w:tbl>
      <w:tblPr>
        <w:tblW w:w="9072" w:type="dxa"/>
        <w:tblLook w:val="04A0" w:firstRow="1" w:lastRow="0" w:firstColumn="1" w:lastColumn="0" w:noHBand="0" w:noVBand="1"/>
      </w:tblPr>
      <w:tblGrid>
        <w:gridCol w:w="9072"/>
      </w:tblGrid>
      <w:tr w:rsidR="00735613">
        <w:trPr>
          <w:trHeight w:val="255"/>
        </w:trPr>
        <w:tc>
          <w:tcPr>
            <w:tcW w:w="9072" w:type="dxa"/>
            <w:shd w:val="clear" w:color="auto" w:fill="FFFFFF"/>
            <w:vAlign w:val="bottom"/>
            <w:hideMark/>
          </w:tcPr>
          <w:p w:rsidR="00735613" w:rsidRDefault="00735613">
            <w:pPr>
              <w:spacing w:line="240" w:lineRule="auto"/>
              <w:rPr>
                <w:rFonts w:cs="Arial"/>
                <w:szCs w:val="18"/>
                <w:lang w:eastAsia="en-AU"/>
              </w:rPr>
            </w:pPr>
            <w:r>
              <w:rPr>
                <w:rFonts w:cs="Arial"/>
                <w:szCs w:val="18"/>
                <w:vertAlign w:val="superscript"/>
                <w:lang w:eastAsia="en-AU"/>
              </w:rPr>
              <w:t xml:space="preserve">2 </w:t>
            </w:r>
            <w:r w:rsidRPr="00975BAD">
              <w:rPr>
                <w:rFonts w:cs="Arial"/>
                <w:szCs w:val="18"/>
                <w:lang w:eastAsia="en-AU"/>
              </w:rPr>
              <w:t>Education Investment Fund - Educ</w:t>
            </w:r>
            <w:r>
              <w:rPr>
                <w:rFonts w:cs="Arial"/>
                <w:szCs w:val="18"/>
                <w:lang w:eastAsia="en-AU"/>
              </w:rPr>
              <w:t>ation Portfolio Special Account</w:t>
            </w:r>
          </w:p>
          <w:p w:rsidR="00735613" w:rsidRDefault="00735613" w:rsidP="00735613">
            <w:pPr>
              <w:spacing w:line="240" w:lineRule="auto"/>
              <w:rPr>
                <w:rFonts w:cs="Arial"/>
                <w:szCs w:val="18"/>
                <w:lang w:eastAsia="en-AU"/>
              </w:rPr>
            </w:pPr>
            <w:r>
              <w:rPr>
                <w:rFonts w:cs="Arial"/>
                <w:szCs w:val="18"/>
                <w:lang w:eastAsia="en-AU"/>
              </w:rPr>
              <w:t xml:space="preserve">Appropriation: </w:t>
            </w:r>
            <w:r>
              <w:rPr>
                <w:rFonts w:cs="Arial"/>
                <w:i/>
                <w:iCs/>
                <w:szCs w:val="18"/>
                <w:lang w:eastAsia="en-AU"/>
              </w:rPr>
              <w:t xml:space="preserve">Public Governance, Performance and Accountability Act 2013; </w:t>
            </w:r>
            <w:r>
              <w:rPr>
                <w:rFonts w:cs="Arial"/>
                <w:iCs/>
                <w:szCs w:val="18"/>
                <w:lang w:eastAsia="en-AU"/>
              </w:rPr>
              <w:t>section 80</w:t>
            </w:r>
          </w:p>
        </w:tc>
      </w:tr>
      <w:tr w:rsidR="00735613">
        <w:trPr>
          <w:trHeight w:val="255"/>
        </w:trPr>
        <w:tc>
          <w:tcPr>
            <w:tcW w:w="9072" w:type="dxa"/>
            <w:shd w:val="clear" w:color="auto" w:fill="FFFFFF"/>
            <w:vAlign w:val="bottom"/>
            <w:hideMark/>
          </w:tcPr>
          <w:p w:rsidR="00735613" w:rsidRDefault="00735613" w:rsidP="00735613">
            <w:pPr>
              <w:spacing w:line="240" w:lineRule="auto"/>
              <w:rPr>
                <w:rFonts w:cs="Arial"/>
                <w:szCs w:val="18"/>
                <w:lang w:eastAsia="en-AU"/>
              </w:rPr>
            </w:pPr>
            <w:r>
              <w:rPr>
                <w:rFonts w:cs="Arial"/>
                <w:szCs w:val="18"/>
                <w:lang w:eastAsia="en-AU"/>
              </w:rPr>
              <w:t>Establishing Instrument:</w:t>
            </w:r>
            <w:r>
              <w:rPr>
                <w:rFonts w:cs="Arial"/>
                <w:i/>
                <w:iCs/>
                <w:szCs w:val="18"/>
                <w:lang w:eastAsia="en-AU"/>
              </w:rPr>
              <w:t xml:space="preserve"> Nation-building Funds Act 2008 No. 154 of </w:t>
            </w:r>
            <w:r>
              <w:rPr>
                <w:rFonts w:cs="Arial"/>
                <w:iCs/>
                <w:szCs w:val="18"/>
                <w:lang w:eastAsia="en-AU"/>
              </w:rPr>
              <w:t>2008</w:t>
            </w:r>
          </w:p>
        </w:tc>
      </w:tr>
      <w:tr w:rsidR="00735613">
        <w:trPr>
          <w:trHeight w:val="255"/>
        </w:trPr>
        <w:tc>
          <w:tcPr>
            <w:tcW w:w="9072" w:type="dxa"/>
            <w:shd w:val="clear" w:color="auto" w:fill="FFFFFF"/>
            <w:vAlign w:val="bottom"/>
            <w:hideMark/>
          </w:tcPr>
          <w:p w:rsidR="00735613" w:rsidRDefault="00735613" w:rsidP="00735613">
            <w:pPr>
              <w:spacing w:line="240" w:lineRule="auto"/>
              <w:rPr>
                <w:rFonts w:cs="Arial"/>
                <w:iCs/>
                <w:szCs w:val="18"/>
                <w:lang w:eastAsia="en-AU"/>
              </w:rPr>
            </w:pPr>
            <w:r>
              <w:rPr>
                <w:rFonts w:cs="Arial"/>
                <w:iCs/>
                <w:szCs w:val="18"/>
                <w:lang w:eastAsia="en-AU"/>
              </w:rPr>
              <w:t xml:space="preserve">Purpose:  To make grants of financial assistance to eligible higher education institutions in relation to capital expenditure and research facilities. </w:t>
            </w:r>
          </w:p>
        </w:tc>
      </w:tr>
    </w:tbl>
    <w:p w:rsidR="00735613" w:rsidRDefault="00735613"/>
    <w:tbl>
      <w:tblPr>
        <w:tblW w:w="9072" w:type="dxa"/>
        <w:tblLook w:val="04A0" w:firstRow="1" w:lastRow="0" w:firstColumn="1" w:lastColumn="0" w:noHBand="0" w:noVBand="1"/>
      </w:tblPr>
      <w:tblGrid>
        <w:gridCol w:w="9072"/>
      </w:tblGrid>
      <w:tr w:rsidR="00735613" w:rsidTr="00735613">
        <w:trPr>
          <w:trHeight w:val="290"/>
        </w:trPr>
        <w:tc>
          <w:tcPr>
            <w:tcW w:w="9072" w:type="dxa"/>
            <w:shd w:val="clear" w:color="auto" w:fill="FFFFFF"/>
            <w:vAlign w:val="bottom"/>
            <w:hideMark/>
          </w:tcPr>
          <w:p w:rsidR="00735613" w:rsidRDefault="00735613">
            <w:pPr>
              <w:spacing w:line="240" w:lineRule="auto"/>
              <w:rPr>
                <w:rFonts w:cs="Arial"/>
                <w:szCs w:val="18"/>
                <w:lang w:eastAsia="en-AU"/>
              </w:rPr>
            </w:pPr>
            <w:r>
              <w:rPr>
                <w:rFonts w:cs="Arial"/>
                <w:szCs w:val="18"/>
                <w:vertAlign w:val="superscript"/>
                <w:lang w:eastAsia="en-AU"/>
              </w:rPr>
              <w:t xml:space="preserve">3 </w:t>
            </w:r>
            <w:r>
              <w:rPr>
                <w:rFonts w:cs="Arial"/>
                <w:szCs w:val="18"/>
                <w:lang w:eastAsia="en-AU"/>
              </w:rPr>
              <w:t>National Youth Affairs Scheme Special Account</w:t>
            </w:r>
          </w:p>
          <w:p w:rsidR="00735613" w:rsidRDefault="00735613" w:rsidP="00735613">
            <w:pPr>
              <w:spacing w:line="240" w:lineRule="auto"/>
              <w:rPr>
                <w:rFonts w:cs="Arial"/>
                <w:szCs w:val="18"/>
                <w:lang w:eastAsia="en-AU"/>
              </w:rPr>
            </w:pPr>
            <w:r>
              <w:rPr>
                <w:rFonts w:cs="Arial"/>
                <w:szCs w:val="18"/>
                <w:vertAlign w:val="superscript"/>
                <w:lang w:eastAsia="en-AU"/>
              </w:rPr>
              <w:t xml:space="preserve"> </w:t>
            </w:r>
            <w:r>
              <w:rPr>
                <w:rFonts w:cs="Arial"/>
                <w:szCs w:val="18"/>
                <w:lang w:eastAsia="en-AU"/>
              </w:rPr>
              <w:t xml:space="preserve">Appropriation: </w:t>
            </w:r>
            <w:r>
              <w:rPr>
                <w:i/>
              </w:rPr>
              <w:t>Public Governance, Performance and Accountability Act 2013</w:t>
            </w:r>
            <w:r>
              <w:rPr>
                <w:rFonts w:cs="Arial"/>
                <w:i/>
                <w:iCs/>
                <w:szCs w:val="18"/>
                <w:lang w:eastAsia="en-AU"/>
              </w:rPr>
              <w:t>; section 78</w:t>
            </w:r>
          </w:p>
        </w:tc>
      </w:tr>
      <w:tr w:rsidR="00735613">
        <w:trPr>
          <w:trHeight w:val="255"/>
        </w:trPr>
        <w:tc>
          <w:tcPr>
            <w:tcW w:w="9072" w:type="dxa"/>
            <w:shd w:val="clear" w:color="auto" w:fill="FFFFFF"/>
            <w:vAlign w:val="bottom"/>
            <w:hideMark/>
          </w:tcPr>
          <w:p w:rsidR="00735613" w:rsidRDefault="00735613" w:rsidP="00735613">
            <w:pPr>
              <w:spacing w:line="240" w:lineRule="auto"/>
              <w:rPr>
                <w:rFonts w:cs="Arial"/>
                <w:szCs w:val="18"/>
                <w:lang w:eastAsia="en-AU"/>
              </w:rPr>
            </w:pPr>
            <w:r>
              <w:rPr>
                <w:rFonts w:cs="Arial"/>
                <w:szCs w:val="18"/>
                <w:lang w:eastAsia="en-AU"/>
              </w:rPr>
              <w:t>Establishing Instrument:</w:t>
            </w:r>
            <w:r>
              <w:rPr>
                <w:rFonts w:cs="Arial"/>
                <w:iCs/>
                <w:szCs w:val="18"/>
                <w:lang w:eastAsia="en-AU"/>
              </w:rPr>
              <w:t xml:space="preserve"> </w:t>
            </w:r>
            <w:r>
              <w:rPr>
                <w:rFonts w:cs="Arial"/>
                <w:i/>
                <w:iCs/>
                <w:szCs w:val="18"/>
                <w:lang w:eastAsia="en-AU"/>
              </w:rPr>
              <w:t xml:space="preserve">Financial Management and Accountability Determination 2006/45 </w:t>
            </w:r>
            <w:r>
              <w:rPr>
                <w:rFonts w:cs="Arial"/>
                <w:iCs/>
                <w:szCs w:val="18"/>
                <w:lang w:eastAsia="en-AU"/>
              </w:rPr>
              <w:t>on 17 August 2006.</w:t>
            </w:r>
          </w:p>
        </w:tc>
      </w:tr>
      <w:tr w:rsidR="00735613">
        <w:trPr>
          <w:trHeight w:val="255"/>
        </w:trPr>
        <w:tc>
          <w:tcPr>
            <w:tcW w:w="9072" w:type="dxa"/>
            <w:shd w:val="clear" w:color="auto" w:fill="FFFFFF"/>
            <w:hideMark/>
          </w:tcPr>
          <w:p w:rsidR="00735613" w:rsidRDefault="00735613" w:rsidP="00735613">
            <w:pPr>
              <w:spacing w:line="240" w:lineRule="auto"/>
              <w:rPr>
                <w:rFonts w:cs="Arial"/>
                <w:iCs/>
                <w:szCs w:val="18"/>
                <w:lang w:eastAsia="en-AU"/>
              </w:rPr>
            </w:pPr>
            <w:r>
              <w:rPr>
                <w:rFonts w:cs="Arial"/>
                <w:iCs/>
                <w:szCs w:val="18"/>
                <w:lang w:eastAsia="en-AU"/>
              </w:rPr>
              <w:t>Purpose: For the receipt of monies from State Governments to meet expenditure in respect of the National Youth Affairs Research Scheme.</w:t>
            </w:r>
          </w:p>
        </w:tc>
      </w:tr>
    </w:tbl>
    <w:p w:rsidR="00735613" w:rsidRDefault="00735613"/>
    <w:tbl>
      <w:tblPr>
        <w:tblW w:w="9072" w:type="dxa"/>
        <w:tblLook w:val="04A0" w:firstRow="1" w:lastRow="0" w:firstColumn="1" w:lastColumn="0" w:noHBand="0" w:noVBand="1"/>
      </w:tblPr>
      <w:tblGrid>
        <w:gridCol w:w="9072"/>
      </w:tblGrid>
      <w:tr w:rsidR="00735613">
        <w:trPr>
          <w:trHeight w:val="255"/>
        </w:trPr>
        <w:tc>
          <w:tcPr>
            <w:tcW w:w="9072" w:type="dxa"/>
            <w:shd w:val="clear" w:color="auto" w:fill="FFFFFF"/>
            <w:vAlign w:val="bottom"/>
            <w:hideMark/>
          </w:tcPr>
          <w:p w:rsidR="00735613" w:rsidRDefault="00735613">
            <w:pPr>
              <w:spacing w:line="240" w:lineRule="auto"/>
              <w:rPr>
                <w:rFonts w:cs="Arial"/>
                <w:iCs/>
                <w:szCs w:val="18"/>
                <w:lang w:eastAsia="en-AU"/>
              </w:rPr>
            </w:pPr>
            <w:r>
              <w:rPr>
                <w:rFonts w:cs="Arial"/>
                <w:iCs/>
                <w:szCs w:val="18"/>
                <w:vertAlign w:val="superscript"/>
                <w:lang w:eastAsia="en-AU"/>
              </w:rPr>
              <w:t xml:space="preserve">4 </w:t>
            </w:r>
            <w:r>
              <w:rPr>
                <w:rFonts w:cs="Arial"/>
                <w:iCs/>
                <w:szCs w:val="18"/>
                <w:lang w:eastAsia="en-AU"/>
              </w:rPr>
              <w:t>Early Years Quality Fund Special Account</w:t>
            </w:r>
          </w:p>
          <w:p w:rsidR="00735613" w:rsidRDefault="00735613" w:rsidP="00735613">
            <w:pPr>
              <w:spacing w:line="240" w:lineRule="auto"/>
              <w:rPr>
                <w:rFonts w:cs="Arial"/>
                <w:i/>
                <w:iCs/>
                <w:szCs w:val="18"/>
                <w:lang w:eastAsia="en-AU"/>
              </w:rPr>
            </w:pPr>
            <w:r>
              <w:rPr>
                <w:rFonts w:cs="Arial"/>
                <w:iCs/>
                <w:szCs w:val="18"/>
                <w:lang w:eastAsia="en-AU"/>
              </w:rPr>
              <w:t>Appropriation:</w:t>
            </w:r>
            <w:r>
              <w:rPr>
                <w:rFonts w:cs="Arial"/>
                <w:szCs w:val="18"/>
                <w:lang w:eastAsia="en-AU"/>
              </w:rPr>
              <w:t xml:space="preserve"> :</w:t>
            </w:r>
            <w:r>
              <w:rPr>
                <w:rFonts w:cs="Arial"/>
                <w:i/>
                <w:iCs/>
                <w:szCs w:val="18"/>
                <w:lang w:eastAsia="en-AU"/>
              </w:rPr>
              <w:t xml:space="preserve"> Public Governance, Performance and Accountability Act 2013; </w:t>
            </w:r>
            <w:r>
              <w:rPr>
                <w:rFonts w:cs="Arial"/>
                <w:iCs/>
                <w:szCs w:val="18"/>
                <w:lang w:eastAsia="en-AU"/>
              </w:rPr>
              <w:t>section 80</w:t>
            </w:r>
          </w:p>
        </w:tc>
      </w:tr>
      <w:tr w:rsidR="00735613">
        <w:trPr>
          <w:trHeight w:val="255"/>
        </w:trPr>
        <w:tc>
          <w:tcPr>
            <w:tcW w:w="9072" w:type="dxa"/>
            <w:shd w:val="clear" w:color="auto" w:fill="FFFFFF"/>
            <w:vAlign w:val="bottom"/>
            <w:hideMark/>
          </w:tcPr>
          <w:p w:rsidR="00735613" w:rsidRDefault="00735613" w:rsidP="00735613">
            <w:pPr>
              <w:spacing w:line="240" w:lineRule="auto"/>
              <w:rPr>
                <w:rFonts w:cs="Arial"/>
                <w:i/>
                <w:iCs/>
                <w:szCs w:val="18"/>
                <w:lang w:eastAsia="en-AU"/>
              </w:rPr>
            </w:pPr>
            <w:r>
              <w:rPr>
                <w:rFonts w:cs="Arial"/>
                <w:iCs/>
                <w:szCs w:val="18"/>
                <w:lang w:eastAsia="en-AU"/>
              </w:rPr>
              <w:t>Establishing Instrument:</w:t>
            </w:r>
            <w:r>
              <w:rPr>
                <w:rFonts w:cs="Arial"/>
                <w:szCs w:val="18"/>
                <w:lang w:eastAsia="en-AU"/>
              </w:rPr>
              <w:t xml:space="preserve"> </w:t>
            </w:r>
            <w:r>
              <w:rPr>
                <w:rFonts w:cs="Arial"/>
                <w:i/>
                <w:iCs/>
                <w:szCs w:val="18"/>
                <w:lang w:eastAsia="en-AU"/>
              </w:rPr>
              <w:t xml:space="preserve"> Early Years Quality Fund Special Account Act 2013</w:t>
            </w:r>
          </w:p>
        </w:tc>
      </w:tr>
      <w:tr w:rsidR="00735613">
        <w:trPr>
          <w:trHeight w:val="255"/>
        </w:trPr>
        <w:tc>
          <w:tcPr>
            <w:tcW w:w="9072" w:type="dxa"/>
            <w:shd w:val="clear" w:color="auto" w:fill="FFFFFF"/>
            <w:vAlign w:val="bottom"/>
            <w:hideMark/>
          </w:tcPr>
          <w:p w:rsidR="00735613" w:rsidRDefault="00735613" w:rsidP="00735613">
            <w:pPr>
              <w:spacing w:line="240" w:lineRule="auto"/>
              <w:rPr>
                <w:rFonts w:cs="Arial"/>
                <w:i/>
                <w:iCs/>
                <w:szCs w:val="18"/>
                <w:lang w:eastAsia="en-AU"/>
              </w:rPr>
            </w:pPr>
            <w:r>
              <w:rPr>
                <w:rFonts w:cs="Arial"/>
                <w:iCs/>
                <w:szCs w:val="18"/>
                <w:lang w:eastAsia="en-AU"/>
              </w:rPr>
              <w:t>Purpose</w:t>
            </w:r>
            <w:r>
              <w:rPr>
                <w:rFonts w:cs="Arial"/>
                <w:i/>
                <w:iCs/>
                <w:szCs w:val="18"/>
                <w:lang w:eastAsia="en-AU"/>
              </w:rPr>
              <w:t>:</w:t>
            </w:r>
            <w:r>
              <w:rPr>
                <w:rFonts w:cs="Arial"/>
                <w:szCs w:val="18"/>
                <w:lang w:eastAsia="en-AU"/>
              </w:rPr>
              <w:t xml:space="preserve">  For the administration of the Early Years Quality Fund (EYQF). The EYQF will provide $300 million over two years to assist long day care services to offset the costs of employing higher qualified staff who are required as part of the National Quality Framework for Early Childhood Education and Care from 1 January 2014.</w:t>
            </w:r>
          </w:p>
        </w:tc>
      </w:tr>
    </w:tbl>
    <w:p w:rsidR="00735613" w:rsidRDefault="00735613"/>
    <w:tbl>
      <w:tblPr>
        <w:tblW w:w="9072" w:type="dxa"/>
        <w:tblLook w:val="04A0" w:firstRow="1" w:lastRow="0" w:firstColumn="1" w:lastColumn="0" w:noHBand="0" w:noVBand="1"/>
      </w:tblPr>
      <w:tblGrid>
        <w:gridCol w:w="9072"/>
      </w:tblGrid>
      <w:tr w:rsidR="00735613" w:rsidTr="00735613">
        <w:trPr>
          <w:trHeight w:val="255"/>
        </w:trPr>
        <w:tc>
          <w:tcPr>
            <w:tcW w:w="9072" w:type="dxa"/>
            <w:shd w:val="clear" w:color="auto" w:fill="FFFFFF"/>
            <w:vAlign w:val="bottom"/>
            <w:hideMark/>
          </w:tcPr>
          <w:p w:rsidR="00735613" w:rsidRDefault="00735613" w:rsidP="00735613">
            <w:pPr>
              <w:spacing w:line="240" w:lineRule="auto"/>
              <w:rPr>
                <w:rFonts w:cs="Arial"/>
                <w:iCs/>
                <w:szCs w:val="18"/>
                <w:lang w:eastAsia="en-AU"/>
              </w:rPr>
            </w:pPr>
            <w:r>
              <w:rPr>
                <w:rFonts w:cs="Arial"/>
                <w:iCs/>
                <w:szCs w:val="18"/>
                <w:vertAlign w:val="superscript"/>
                <w:lang w:eastAsia="en-AU"/>
              </w:rPr>
              <w:t xml:space="preserve">5 </w:t>
            </w:r>
            <w:r>
              <w:rPr>
                <w:rFonts w:cs="Arial"/>
                <w:iCs/>
                <w:szCs w:val="18"/>
                <w:lang w:eastAsia="en-AU"/>
              </w:rPr>
              <w:t>Overseas Student Tuition Fund Special Account</w:t>
            </w:r>
          </w:p>
          <w:p w:rsidR="00735613" w:rsidRPr="00470280" w:rsidRDefault="00735613" w:rsidP="00735613">
            <w:pPr>
              <w:spacing w:line="240" w:lineRule="auto"/>
              <w:rPr>
                <w:rFonts w:cs="Arial"/>
                <w:i/>
                <w:iCs/>
                <w:szCs w:val="18"/>
                <w:lang w:eastAsia="en-AU"/>
              </w:rPr>
            </w:pPr>
            <w:r>
              <w:rPr>
                <w:rFonts w:cs="Arial"/>
                <w:iCs/>
                <w:szCs w:val="18"/>
                <w:lang w:eastAsia="en-AU"/>
              </w:rPr>
              <w:t>Appropriation:</w:t>
            </w:r>
            <w:r>
              <w:rPr>
                <w:rFonts w:cs="Arial"/>
                <w:szCs w:val="18"/>
                <w:lang w:eastAsia="en-AU"/>
              </w:rPr>
              <w:t xml:space="preserve"> </w:t>
            </w:r>
            <w:r>
              <w:rPr>
                <w:rFonts w:cs="Arial"/>
                <w:i/>
                <w:iCs/>
                <w:szCs w:val="18"/>
                <w:lang w:eastAsia="en-AU"/>
              </w:rPr>
              <w:t xml:space="preserve">Public Governance, Performance and Accountability Act 2013; </w:t>
            </w:r>
            <w:r>
              <w:rPr>
                <w:rFonts w:cs="Arial"/>
                <w:iCs/>
                <w:szCs w:val="18"/>
                <w:lang w:eastAsia="en-AU"/>
              </w:rPr>
              <w:t>section 80</w:t>
            </w:r>
          </w:p>
        </w:tc>
      </w:tr>
      <w:tr w:rsidR="00735613" w:rsidTr="00735613">
        <w:trPr>
          <w:trHeight w:val="255"/>
        </w:trPr>
        <w:tc>
          <w:tcPr>
            <w:tcW w:w="9072" w:type="dxa"/>
            <w:shd w:val="clear" w:color="auto" w:fill="FFFFFF"/>
            <w:vAlign w:val="bottom"/>
            <w:hideMark/>
          </w:tcPr>
          <w:p w:rsidR="00735613" w:rsidRPr="00470280" w:rsidRDefault="00735613" w:rsidP="00735613">
            <w:pPr>
              <w:spacing w:line="240" w:lineRule="auto"/>
              <w:rPr>
                <w:rFonts w:cs="Arial"/>
                <w:iCs/>
                <w:szCs w:val="18"/>
                <w:lang w:eastAsia="en-AU"/>
              </w:rPr>
            </w:pPr>
            <w:r>
              <w:rPr>
                <w:rFonts w:cs="Arial"/>
                <w:iCs/>
                <w:szCs w:val="18"/>
                <w:lang w:eastAsia="en-AU"/>
              </w:rPr>
              <w:t xml:space="preserve">Establishing Instrument: </w:t>
            </w:r>
            <w:r w:rsidRPr="00470280">
              <w:rPr>
                <w:rFonts w:cs="Arial"/>
                <w:i/>
                <w:iCs/>
                <w:szCs w:val="18"/>
                <w:lang w:eastAsia="en-AU"/>
              </w:rPr>
              <w:t>Education</w:t>
            </w:r>
            <w:r>
              <w:rPr>
                <w:rFonts w:cs="Arial"/>
                <w:i/>
                <w:iCs/>
                <w:szCs w:val="18"/>
                <w:lang w:eastAsia="en-AU"/>
              </w:rPr>
              <w:t xml:space="preserve"> Services for Overseas Students Act 2000 Act No. 164 of 2000, </w:t>
            </w:r>
            <w:r>
              <w:rPr>
                <w:rFonts w:cs="Arial"/>
                <w:iCs/>
                <w:szCs w:val="18"/>
                <w:lang w:eastAsia="en-AU"/>
              </w:rPr>
              <w:t xml:space="preserve">taking into account amendments up </w:t>
            </w:r>
            <w:r>
              <w:rPr>
                <w:rFonts w:cs="Arial"/>
                <w:i/>
                <w:iCs/>
                <w:szCs w:val="18"/>
                <w:lang w:eastAsia="en-AU"/>
              </w:rPr>
              <w:t>Education Services for Overseas Students Legislation Amendment (Tuition Protection Services and Other Measures) Act 2012,</w:t>
            </w:r>
            <w:r>
              <w:rPr>
                <w:rFonts w:cs="Arial"/>
                <w:iCs/>
                <w:szCs w:val="18"/>
                <w:lang w:eastAsia="en-AU"/>
              </w:rPr>
              <w:t xml:space="preserve"> section 52A</w:t>
            </w:r>
          </w:p>
        </w:tc>
      </w:tr>
      <w:tr w:rsidR="00735613" w:rsidTr="00735613">
        <w:trPr>
          <w:trHeight w:val="255"/>
        </w:trPr>
        <w:tc>
          <w:tcPr>
            <w:tcW w:w="9072" w:type="dxa"/>
            <w:shd w:val="clear" w:color="auto" w:fill="FFFFFF"/>
            <w:vAlign w:val="bottom"/>
            <w:hideMark/>
          </w:tcPr>
          <w:p w:rsidR="00735613" w:rsidRDefault="00735613" w:rsidP="00735613">
            <w:pPr>
              <w:spacing w:line="240" w:lineRule="auto"/>
              <w:rPr>
                <w:rFonts w:cs="Arial"/>
                <w:i/>
                <w:iCs/>
                <w:szCs w:val="18"/>
                <w:lang w:eastAsia="en-AU"/>
              </w:rPr>
            </w:pPr>
            <w:r>
              <w:rPr>
                <w:rFonts w:cs="Arial"/>
                <w:iCs/>
                <w:szCs w:val="18"/>
                <w:lang w:eastAsia="en-AU"/>
              </w:rPr>
              <w:t>Purpose</w:t>
            </w:r>
            <w:r>
              <w:rPr>
                <w:rFonts w:cs="Arial"/>
                <w:i/>
                <w:iCs/>
                <w:szCs w:val="18"/>
                <w:lang w:eastAsia="en-AU"/>
              </w:rPr>
              <w:t>:</w:t>
            </w:r>
            <w:r>
              <w:rPr>
                <w:rFonts w:cs="Arial"/>
                <w:szCs w:val="18"/>
                <w:lang w:eastAsia="en-AU"/>
              </w:rPr>
              <w:t xml:space="preserve">  For expenditure in connection with assisting international students whose education providers are unable to deliver their course of study in full.</w:t>
            </w:r>
          </w:p>
        </w:tc>
      </w:tr>
    </w:tbl>
    <w:p w:rsidR="00735613" w:rsidRDefault="00735613"/>
    <w:p w:rsidR="00735613" w:rsidRDefault="00735613" w:rsidP="00735613">
      <w:pPr>
        <w:spacing w:line="240" w:lineRule="auto"/>
        <w:ind w:right="707"/>
      </w:pPr>
      <w:r w:rsidRPr="008F5055">
        <w:rPr>
          <w:vertAlign w:val="superscript"/>
        </w:rPr>
        <w:t>6</w:t>
      </w:r>
      <w:r>
        <w:t xml:space="preserve"> Unique Student Identifiers Special Account</w:t>
      </w:r>
    </w:p>
    <w:p w:rsidR="00735613" w:rsidRPr="00D22D60" w:rsidRDefault="00735613" w:rsidP="00735613">
      <w:pPr>
        <w:spacing w:line="240" w:lineRule="auto"/>
        <w:ind w:right="707"/>
      </w:pPr>
      <w:r>
        <w:t xml:space="preserve">Appropriation: </w:t>
      </w:r>
      <w:r>
        <w:rPr>
          <w:i/>
        </w:rPr>
        <w:t>Public Governance, Performance and Accountability Act 2013</w:t>
      </w:r>
      <w:r>
        <w:t>; section 80</w:t>
      </w:r>
    </w:p>
    <w:p w:rsidR="00735613" w:rsidRDefault="00735613" w:rsidP="00735613">
      <w:pPr>
        <w:spacing w:line="240" w:lineRule="auto"/>
        <w:ind w:right="707"/>
      </w:pPr>
      <w:r>
        <w:t xml:space="preserve">Establishing Instrument: </w:t>
      </w:r>
      <w:r>
        <w:rPr>
          <w:i/>
        </w:rPr>
        <w:t xml:space="preserve">Student Identifiers Act 2014; </w:t>
      </w:r>
      <w:r>
        <w:t>section 48</w:t>
      </w:r>
    </w:p>
    <w:p w:rsidR="00735613" w:rsidRPr="008A2256" w:rsidRDefault="00735613" w:rsidP="00735613">
      <w:pPr>
        <w:spacing w:line="240" w:lineRule="auto"/>
        <w:ind w:right="707"/>
      </w:pPr>
      <w:r>
        <w:t xml:space="preserve">Purpose: For paying or discharging the costs, expenses and other obligations incurred by the Commonwealth in the performance of the Registrar’s functions, paying any remuneration and allowances payable to any person under the Act and meeting the expenses of administering the Account. </w:t>
      </w:r>
    </w:p>
    <w:p w:rsidR="00735613" w:rsidRDefault="00735613"/>
    <w:tbl>
      <w:tblPr>
        <w:tblW w:w="9072" w:type="dxa"/>
        <w:tblLook w:val="04A0" w:firstRow="1" w:lastRow="0" w:firstColumn="1" w:lastColumn="0" w:noHBand="0" w:noVBand="1"/>
      </w:tblPr>
      <w:tblGrid>
        <w:gridCol w:w="9072"/>
      </w:tblGrid>
      <w:tr w:rsidR="00735613" w:rsidTr="00735613">
        <w:trPr>
          <w:trHeight w:val="255"/>
        </w:trPr>
        <w:tc>
          <w:tcPr>
            <w:tcW w:w="9072" w:type="dxa"/>
            <w:shd w:val="clear" w:color="auto" w:fill="FFFFFF"/>
            <w:vAlign w:val="bottom"/>
            <w:hideMark/>
          </w:tcPr>
          <w:p w:rsidR="00735613" w:rsidRPr="00975BAD" w:rsidRDefault="00735613" w:rsidP="00735613">
            <w:pPr>
              <w:spacing w:line="240" w:lineRule="auto"/>
              <w:rPr>
                <w:rFonts w:cs="Arial"/>
                <w:iCs/>
                <w:szCs w:val="18"/>
                <w:vertAlign w:val="superscript"/>
                <w:lang w:eastAsia="en-AU"/>
              </w:rPr>
            </w:pPr>
            <w:r>
              <w:rPr>
                <w:rFonts w:cs="Arial"/>
                <w:iCs/>
                <w:szCs w:val="18"/>
                <w:vertAlign w:val="superscript"/>
                <w:lang w:eastAsia="en-AU"/>
              </w:rPr>
              <w:t xml:space="preserve">7 </w:t>
            </w:r>
            <w:r>
              <w:rPr>
                <w:rFonts w:cs="Arial"/>
                <w:iCs/>
                <w:szCs w:val="18"/>
                <w:lang w:eastAsia="en-AU"/>
              </w:rPr>
              <w:t>Services for Other</w:t>
            </w:r>
            <w:r>
              <w:rPr>
                <w:rFonts w:cs="Arial"/>
                <w:iCs/>
                <w:szCs w:val="18"/>
                <w:vertAlign w:val="superscript"/>
                <w:lang w:eastAsia="en-AU"/>
              </w:rPr>
              <w:t xml:space="preserve"> </w:t>
            </w:r>
            <w:r>
              <w:rPr>
                <w:rFonts w:cs="Arial"/>
                <w:iCs/>
                <w:szCs w:val="18"/>
                <w:lang w:eastAsia="en-AU"/>
              </w:rPr>
              <w:t>Entities and Trust Moneys Special Account</w:t>
            </w:r>
          </w:p>
          <w:p w:rsidR="00735613" w:rsidRDefault="00735613" w:rsidP="00735613">
            <w:pPr>
              <w:spacing w:line="240" w:lineRule="auto"/>
              <w:rPr>
                <w:rFonts w:cs="Arial"/>
                <w:i/>
                <w:iCs/>
                <w:szCs w:val="18"/>
                <w:lang w:eastAsia="en-AU"/>
              </w:rPr>
            </w:pPr>
            <w:r>
              <w:rPr>
                <w:rFonts w:cs="Arial"/>
                <w:iCs/>
                <w:szCs w:val="18"/>
                <w:lang w:eastAsia="en-AU"/>
              </w:rPr>
              <w:t>Appropriation:</w:t>
            </w:r>
            <w:r>
              <w:rPr>
                <w:rFonts w:cs="Arial"/>
                <w:szCs w:val="18"/>
                <w:lang w:eastAsia="en-AU"/>
              </w:rPr>
              <w:t xml:space="preserve"> </w:t>
            </w:r>
            <w:r>
              <w:rPr>
                <w:i/>
              </w:rPr>
              <w:t>Public Governance, Performance and Accountability Act 2013</w:t>
            </w:r>
            <w:r>
              <w:rPr>
                <w:rFonts w:cs="Arial"/>
                <w:szCs w:val="18"/>
                <w:lang w:eastAsia="en-AU"/>
              </w:rPr>
              <w:t>; section 78</w:t>
            </w:r>
          </w:p>
        </w:tc>
      </w:tr>
      <w:tr w:rsidR="00735613" w:rsidTr="00735613">
        <w:trPr>
          <w:trHeight w:val="255"/>
        </w:trPr>
        <w:tc>
          <w:tcPr>
            <w:tcW w:w="9072" w:type="dxa"/>
            <w:shd w:val="clear" w:color="auto" w:fill="FFFFFF"/>
            <w:vAlign w:val="bottom"/>
            <w:hideMark/>
          </w:tcPr>
          <w:p w:rsidR="00735613" w:rsidRDefault="00735613" w:rsidP="00735613">
            <w:pPr>
              <w:spacing w:line="240" w:lineRule="auto"/>
              <w:rPr>
                <w:rFonts w:cs="Arial"/>
                <w:i/>
                <w:iCs/>
                <w:szCs w:val="18"/>
                <w:lang w:eastAsia="en-AU"/>
              </w:rPr>
            </w:pPr>
            <w:r>
              <w:rPr>
                <w:rFonts w:cs="Arial"/>
                <w:iCs/>
                <w:szCs w:val="18"/>
                <w:lang w:eastAsia="en-AU"/>
              </w:rPr>
              <w:t>Establishing Instrument:</w:t>
            </w:r>
            <w:r>
              <w:rPr>
                <w:rFonts w:cs="Arial"/>
                <w:szCs w:val="18"/>
                <w:lang w:eastAsia="en-AU"/>
              </w:rPr>
              <w:t xml:space="preserve"> </w:t>
            </w:r>
            <w:r>
              <w:rPr>
                <w:rFonts w:cs="Arial"/>
                <w:i/>
                <w:iCs/>
                <w:szCs w:val="18"/>
                <w:lang w:eastAsia="en-AU"/>
              </w:rPr>
              <w:t xml:space="preserve"> Financial Management and Accountability Determination 2008/14 </w:t>
            </w:r>
            <w:r>
              <w:rPr>
                <w:rFonts w:cs="Arial"/>
                <w:iCs/>
                <w:szCs w:val="18"/>
                <w:lang w:eastAsia="en-AU"/>
              </w:rPr>
              <w:t>on 3 June 2008.</w:t>
            </w:r>
          </w:p>
        </w:tc>
      </w:tr>
      <w:tr w:rsidR="00735613" w:rsidTr="00735613">
        <w:trPr>
          <w:trHeight w:val="255"/>
        </w:trPr>
        <w:tc>
          <w:tcPr>
            <w:tcW w:w="9072" w:type="dxa"/>
            <w:shd w:val="clear" w:color="auto" w:fill="FFFFFF"/>
            <w:vAlign w:val="bottom"/>
            <w:hideMark/>
          </w:tcPr>
          <w:p w:rsidR="00735613" w:rsidRDefault="00735613" w:rsidP="00735613">
            <w:pPr>
              <w:spacing w:line="240" w:lineRule="auto"/>
              <w:rPr>
                <w:rFonts w:cs="Arial"/>
                <w:i/>
                <w:iCs/>
                <w:szCs w:val="18"/>
                <w:lang w:eastAsia="en-AU"/>
              </w:rPr>
            </w:pPr>
            <w:r>
              <w:rPr>
                <w:rFonts w:cs="Arial"/>
                <w:iCs/>
                <w:szCs w:val="18"/>
                <w:lang w:eastAsia="en-AU"/>
              </w:rPr>
              <w:t>Purpose</w:t>
            </w:r>
            <w:r>
              <w:rPr>
                <w:rFonts w:cs="Arial"/>
                <w:i/>
                <w:iCs/>
                <w:szCs w:val="18"/>
                <w:lang w:eastAsia="en-AU"/>
              </w:rPr>
              <w:t>:</w:t>
            </w:r>
            <w:r>
              <w:rPr>
                <w:rFonts w:cs="Arial"/>
                <w:szCs w:val="18"/>
                <w:lang w:eastAsia="en-AU"/>
              </w:rPr>
              <w:t xml:space="preserve">  To disburse amounts:  held on trust or otherwise for the benefit of a person other than the Commonwealth; in connection with services performed on behalf of other governments and bodies that are not </w:t>
            </w:r>
            <w:r>
              <w:t>non-corporate Commonwealth entities</w:t>
            </w:r>
            <w:r>
              <w:rPr>
                <w:rFonts w:cs="Arial"/>
                <w:szCs w:val="18"/>
                <w:lang w:eastAsia="en-AU"/>
              </w:rPr>
              <w:t>; and to repay amounts where an Act or other law requires or permits the repayment of an amount received.</w:t>
            </w:r>
          </w:p>
        </w:tc>
      </w:tr>
    </w:tbl>
    <w:p w:rsidR="00735613" w:rsidRDefault="00735613">
      <w:pPr>
        <w:spacing w:line="240" w:lineRule="auto"/>
        <w:sectPr w:rsidR="00735613">
          <w:pgSz w:w="11906" w:h="16838"/>
          <w:pgMar w:top="1134" w:right="1134" w:bottom="1134" w:left="1134" w:header="958" w:footer="737" w:gutter="0"/>
          <w:cols w:space="720"/>
        </w:sectPr>
      </w:pPr>
    </w:p>
    <w:p w:rsidR="00735613" w:rsidRDefault="00735613" w:rsidP="00735613">
      <w:pPr>
        <w:pStyle w:val="NotesHeading-Level1"/>
        <w:numPr>
          <w:ilvl w:val="0"/>
          <w:numId w:val="9"/>
        </w:numPr>
        <w:rPr>
          <w:rFonts w:cstheme="minorHAnsi"/>
        </w:rPr>
      </w:pPr>
      <w:bookmarkStart w:id="628" w:name="RANGE!D19:J22"/>
      <w:bookmarkStart w:id="629" w:name="RANGE!D17:J20"/>
      <w:bookmarkStart w:id="630" w:name="RANGE!D17:J19"/>
      <w:bookmarkStart w:id="631" w:name="RANGE!D18:J20"/>
      <w:bookmarkStart w:id="632" w:name="RANGE!D36:J38"/>
      <w:bookmarkStart w:id="633" w:name="RANGE!D7:G29"/>
      <w:bookmarkStart w:id="634" w:name="_Toc420422400"/>
      <w:bookmarkEnd w:id="628"/>
      <w:bookmarkEnd w:id="629"/>
      <w:bookmarkEnd w:id="630"/>
      <w:bookmarkEnd w:id="631"/>
      <w:bookmarkEnd w:id="632"/>
      <w:bookmarkEnd w:id="633"/>
      <w:r>
        <w:rPr>
          <w:rFonts w:cstheme="minorHAnsi"/>
        </w:rPr>
        <w:t>Reporting of Outcomes</w:t>
      </w:r>
      <w:bookmarkEnd w:id="634"/>
    </w:p>
    <w:p w:rsidR="00735613" w:rsidRDefault="00735613" w:rsidP="00735613">
      <w:pPr>
        <w:pStyle w:val="ReferenceText"/>
      </w:pPr>
      <w:r>
        <w:t xml:space="preserve">The department has three outcomes and details of each outcome are provided in the front of the 2014–15 Annual Report.  The department uses a cost allocation model to determine the </w:t>
      </w:r>
      <w:r>
        <w:br/>
        <w:t xml:space="preserve">attribution of its shared items.     </w:t>
      </w:r>
    </w:p>
    <w:tbl>
      <w:tblPr>
        <w:tblW w:w="13991" w:type="dxa"/>
        <w:tblInd w:w="80" w:type="dxa"/>
        <w:tblLayout w:type="fixed"/>
        <w:tblCellMar>
          <w:left w:w="57" w:type="dxa"/>
          <w:right w:w="57" w:type="dxa"/>
        </w:tblCellMar>
        <w:tblLook w:val="04A0" w:firstRow="1" w:lastRow="0" w:firstColumn="1" w:lastColumn="0" w:noHBand="0" w:noVBand="1"/>
      </w:tblPr>
      <w:tblGrid>
        <w:gridCol w:w="2062"/>
        <w:gridCol w:w="1022"/>
        <w:gridCol w:w="1022"/>
        <w:gridCol w:w="1021"/>
        <w:gridCol w:w="1021"/>
        <w:gridCol w:w="1021"/>
        <w:gridCol w:w="1020"/>
        <w:gridCol w:w="861"/>
        <w:gridCol w:w="861"/>
        <w:gridCol w:w="1020"/>
        <w:gridCol w:w="1020"/>
        <w:gridCol w:w="1020"/>
        <w:gridCol w:w="1020"/>
      </w:tblGrid>
      <w:tr w:rsidR="00735613" w:rsidTr="00735613">
        <w:trPr>
          <w:trHeight w:val="170"/>
        </w:trPr>
        <w:tc>
          <w:tcPr>
            <w:tcW w:w="13945" w:type="dxa"/>
            <w:gridSpan w:val="13"/>
            <w:tcBorders>
              <w:top w:val="nil"/>
              <w:left w:val="nil"/>
              <w:bottom w:val="nil"/>
              <w:right w:val="nil"/>
            </w:tcBorders>
            <w:shd w:val="clear" w:color="FFFFFF" w:fill="FFFFFF"/>
            <w:noWrap/>
            <w:vAlign w:val="bottom"/>
            <w:hideMark/>
          </w:tcPr>
          <w:p w:rsidR="00735613" w:rsidRDefault="00735613" w:rsidP="00735613">
            <w:pPr>
              <w:spacing w:line="240" w:lineRule="auto"/>
              <w:rPr>
                <w:rFonts w:cs="Arial"/>
                <w:b/>
                <w:bCs/>
                <w:szCs w:val="18"/>
                <w:u w:val="single"/>
              </w:rPr>
            </w:pPr>
            <w:bookmarkStart w:id="635" w:name="Note_ROOTABLE1" w:colFirst="0" w:colLast="0"/>
            <w:r>
              <w:rPr>
                <w:rFonts w:cs="Arial"/>
                <w:b/>
                <w:bCs/>
                <w:szCs w:val="18"/>
                <w:u w:val="single"/>
              </w:rPr>
              <w:t>Note 31A: Net cost of outcome delivery</w:t>
            </w:r>
          </w:p>
        </w:tc>
      </w:tr>
      <w:bookmarkEnd w:id="635"/>
      <w:tr w:rsidR="00735613" w:rsidTr="00735613">
        <w:trPr>
          <w:trHeight w:val="170"/>
        </w:trPr>
        <w:tc>
          <w:tcPr>
            <w:tcW w:w="2054"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018"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018"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018"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018"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018"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017"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858"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858"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017"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017"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017"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017" w:type="dxa"/>
            <w:tcBorders>
              <w:top w:val="nil"/>
              <w:left w:val="nil"/>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r>
      <w:tr w:rsidR="00735613" w:rsidTr="00735613">
        <w:trPr>
          <w:trHeight w:val="170"/>
        </w:trPr>
        <w:tc>
          <w:tcPr>
            <w:tcW w:w="2054" w:type="dxa"/>
            <w:tcBorders>
              <w:top w:val="single" w:sz="4" w:space="0" w:color="auto"/>
              <w:left w:val="single" w:sz="4" w:space="0" w:color="auto"/>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2036" w:type="dxa"/>
            <w:gridSpan w:val="2"/>
            <w:tcBorders>
              <w:top w:val="single" w:sz="4" w:space="0" w:color="auto"/>
              <w:left w:val="single" w:sz="4" w:space="0" w:color="auto"/>
              <w:bottom w:val="single" w:sz="4" w:space="0" w:color="auto"/>
              <w:right w:val="single" w:sz="4" w:space="0" w:color="000000"/>
            </w:tcBorders>
            <w:shd w:val="clear" w:color="FFFFFF" w:fill="FFFFFF"/>
            <w:vAlign w:val="center"/>
            <w:hideMark/>
          </w:tcPr>
          <w:p w:rsidR="00735613" w:rsidRDefault="00735613" w:rsidP="00735613">
            <w:pPr>
              <w:spacing w:line="240" w:lineRule="auto"/>
              <w:jc w:val="center"/>
              <w:rPr>
                <w:rFonts w:cs="Arial"/>
                <w:b/>
                <w:bCs/>
                <w:szCs w:val="18"/>
              </w:rPr>
            </w:pPr>
            <w:r>
              <w:rPr>
                <w:rFonts w:cs="Arial"/>
                <w:b/>
                <w:bCs/>
                <w:szCs w:val="18"/>
              </w:rPr>
              <w:t>Outcome 1</w:t>
            </w:r>
          </w:p>
        </w:tc>
        <w:tc>
          <w:tcPr>
            <w:tcW w:w="2036" w:type="dxa"/>
            <w:gridSpan w:val="2"/>
            <w:tcBorders>
              <w:top w:val="single" w:sz="4" w:space="0" w:color="auto"/>
              <w:left w:val="nil"/>
              <w:bottom w:val="single" w:sz="4" w:space="0" w:color="auto"/>
              <w:right w:val="single" w:sz="4" w:space="0" w:color="000000"/>
            </w:tcBorders>
            <w:shd w:val="clear" w:color="FFFFFF" w:fill="FFFFFF"/>
            <w:vAlign w:val="center"/>
            <w:hideMark/>
          </w:tcPr>
          <w:p w:rsidR="00735613" w:rsidRDefault="00735613" w:rsidP="00735613">
            <w:pPr>
              <w:spacing w:line="240" w:lineRule="auto"/>
              <w:jc w:val="center"/>
              <w:rPr>
                <w:rFonts w:cs="Arial"/>
                <w:b/>
                <w:bCs/>
                <w:szCs w:val="18"/>
              </w:rPr>
            </w:pPr>
            <w:r>
              <w:rPr>
                <w:rFonts w:cs="Arial"/>
                <w:b/>
                <w:bCs/>
                <w:szCs w:val="18"/>
              </w:rPr>
              <w:t>Outcome 2</w:t>
            </w:r>
          </w:p>
        </w:tc>
        <w:tc>
          <w:tcPr>
            <w:tcW w:w="2035" w:type="dxa"/>
            <w:gridSpan w:val="2"/>
            <w:tcBorders>
              <w:top w:val="single" w:sz="4" w:space="0" w:color="auto"/>
              <w:left w:val="nil"/>
              <w:bottom w:val="single" w:sz="4" w:space="0" w:color="auto"/>
              <w:right w:val="single" w:sz="4" w:space="0" w:color="000000"/>
            </w:tcBorders>
            <w:shd w:val="clear" w:color="FFFFFF" w:fill="FFFFFF"/>
            <w:vAlign w:val="center"/>
            <w:hideMark/>
          </w:tcPr>
          <w:p w:rsidR="00735613" w:rsidRDefault="00735613" w:rsidP="00735613">
            <w:pPr>
              <w:spacing w:line="240" w:lineRule="auto"/>
              <w:jc w:val="center"/>
              <w:rPr>
                <w:rFonts w:cs="Arial"/>
                <w:b/>
                <w:bCs/>
                <w:szCs w:val="18"/>
              </w:rPr>
            </w:pPr>
            <w:r>
              <w:rPr>
                <w:rFonts w:cs="Arial"/>
                <w:b/>
                <w:bCs/>
                <w:szCs w:val="18"/>
              </w:rPr>
              <w:t>Outcome 3</w:t>
            </w:r>
          </w:p>
        </w:tc>
        <w:tc>
          <w:tcPr>
            <w:tcW w:w="1716" w:type="dxa"/>
            <w:gridSpan w:val="2"/>
            <w:tcBorders>
              <w:top w:val="single" w:sz="4" w:space="0" w:color="auto"/>
              <w:left w:val="nil"/>
              <w:bottom w:val="single" w:sz="4" w:space="0" w:color="auto"/>
              <w:right w:val="single" w:sz="4" w:space="0" w:color="000000"/>
            </w:tcBorders>
            <w:shd w:val="clear" w:color="FFFFFF" w:fill="FFFFFF"/>
            <w:vAlign w:val="center"/>
            <w:hideMark/>
          </w:tcPr>
          <w:p w:rsidR="00735613" w:rsidRDefault="00735613" w:rsidP="00735613">
            <w:pPr>
              <w:spacing w:line="240" w:lineRule="auto"/>
              <w:jc w:val="center"/>
              <w:rPr>
                <w:rFonts w:cs="Arial"/>
                <w:b/>
                <w:bCs/>
                <w:szCs w:val="18"/>
              </w:rPr>
            </w:pPr>
            <w:r>
              <w:rPr>
                <w:rFonts w:cs="Arial"/>
                <w:b/>
                <w:bCs/>
                <w:szCs w:val="18"/>
              </w:rPr>
              <w:t>Payment to Corporate Commonwealth Entities</w:t>
            </w:r>
          </w:p>
        </w:tc>
        <w:tc>
          <w:tcPr>
            <w:tcW w:w="2034" w:type="dxa"/>
            <w:gridSpan w:val="2"/>
            <w:tcBorders>
              <w:top w:val="single" w:sz="4" w:space="0" w:color="auto"/>
              <w:left w:val="nil"/>
              <w:bottom w:val="single" w:sz="4" w:space="0" w:color="auto"/>
              <w:right w:val="single" w:sz="4" w:space="0" w:color="000000"/>
            </w:tcBorders>
            <w:shd w:val="clear" w:color="FFFFFF" w:fill="FFFFFF"/>
            <w:vAlign w:val="center"/>
            <w:hideMark/>
          </w:tcPr>
          <w:p w:rsidR="00735613" w:rsidRDefault="00735613" w:rsidP="00735613">
            <w:pPr>
              <w:spacing w:line="240" w:lineRule="auto"/>
              <w:jc w:val="center"/>
              <w:rPr>
                <w:rFonts w:cs="Arial"/>
                <w:b/>
                <w:bCs/>
                <w:szCs w:val="18"/>
              </w:rPr>
            </w:pPr>
            <w:r>
              <w:rPr>
                <w:rFonts w:cs="Arial"/>
                <w:b/>
                <w:bCs/>
                <w:szCs w:val="18"/>
              </w:rPr>
              <w:t>Not attributed</w:t>
            </w:r>
            <w:r>
              <w:rPr>
                <w:rFonts w:cs="Arial"/>
                <w:b/>
                <w:bCs/>
                <w:szCs w:val="18"/>
                <w:vertAlign w:val="superscript"/>
              </w:rPr>
              <w:t>1</w:t>
            </w:r>
          </w:p>
        </w:tc>
        <w:tc>
          <w:tcPr>
            <w:tcW w:w="2034" w:type="dxa"/>
            <w:gridSpan w:val="2"/>
            <w:tcBorders>
              <w:top w:val="single" w:sz="4" w:space="0" w:color="auto"/>
              <w:left w:val="nil"/>
              <w:bottom w:val="single" w:sz="4" w:space="0" w:color="auto"/>
              <w:right w:val="single" w:sz="4" w:space="0" w:color="000000"/>
            </w:tcBorders>
            <w:shd w:val="clear" w:color="FFFFFF" w:fill="FFFFFF"/>
            <w:vAlign w:val="center"/>
            <w:hideMark/>
          </w:tcPr>
          <w:p w:rsidR="00735613" w:rsidRDefault="00735613" w:rsidP="00735613">
            <w:pPr>
              <w:spacing w:line="240" w:lineRule="auto"/>
              <w:jc w:val="center"/>
              <w:rPr>
                <w:rFonts w:cs="Arial"/>
                <w:b/>
                <w:bCs/>
                <w:szCs w:val="18"/>
              </w:rPr>
            </w:pPr>
            <w:r>
              <w:rPr>
                <w:rFonts w:cs="Arial"/>
                <w:b/>
                <w:bCs/>
                <w:szCs w:val="18"/>
              </w:rPr>
              <w:t>Total</w:t>
            </w:r>
          </w:p>
        </w:tc>
      </w:tr>
      <w:tr w:rsidR="00735613" w:rsidTr="00735613">
        <w:trPr>
          <w:trHeight w:val="170"/>
        </w:trPr>
        <w:tc>
          <w:tcPr>
            <w:tcW w:w="2054" w:type="dxa"/>
            <w:tcBorders>
              <w:top w:val="nil"/>
              <w:left w:val="single" w:sz="4" w:space="0" w:color="auto"/>
              <w:bottom w:val="nil"/>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018" w:type="dxa"/>
            <w:tcBorders>
              <w:top w:val="nil"/>
              <w:left w:val="single" w:sz="4" w:space="0" w:color="auto"/>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2015</w:t>
            </w:r>
          </w:p>
        </w:tc>
        <w:tc>
          <w:tcPr>
            <w:tcW w:w="1018"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2014</w:t>
            </w:r>
          </w:p>
        </w:tc>
        <w:tc>
          <w:tcPr>
            <w:tcW w:w="1018"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2015</w:t>
            </w:r>
          </w:p>
        </w:tc>
        <w:tc>
          <w:tcPr>
            <w:tcW w:w="1018"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2014</w:t>
            </w:r>
          </w:p>
        </w:tc>
        <w:tc>
          <w:tcPr>
            <w:tcW w:w="1018"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2015</w:t>
            </w:r>
          </w:p>
        </w:tc>
        <w:tc>
          <w:tcPr>
            <w:tcW w:w="1017"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2014</w:t>
            </w:r>
          </w:p>
        </w:tc>
        <w:tc>
          <w:tcPr>
            <w:tcW w:w="858"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2015</w:t>
            </w:r>
          </w:p>
        </w:tc>
        <w:tc>
          <w:tcPr>
            <w:tcW w:w="858"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2014</w:t>
            </w:r>
          </w:p>
        </w:tc>
        <w:tc>
          <w:tcPr>
            <w:tcW w:w="1017"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2015</w:t>
            </w:r>
          </w:p>
        </w:tc>
        <w:tc>
          <w:tcPr>
            <w:tcW w:w="1017"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2014</w:t>
            </w:r>
          </w:p>
        </w:tc>
        <w:tc>
          <w:tcPr>
            <w:tcW w:w="1017"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2015</w:t>
            </w:r>
          </w:p>
        </w:tc>
        <w:tc>
          <w:tcPr>
            <w:tcW w:w="1017"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2014</w:t>
            </w:r>
          </w:p>
        </w:tc>
      </w:tr>
      <w:tr w:rsidR="00735613" w:rsidTr="00735613">
        <w:trPr>
          <w:trHeight w:val="170"/>
        </w:trPr>
        <w:tc>
          <w:tcPr>
            <w:tcW w:w="2054" w:type="dxa"/>
            <w:tcBorders>
              <w:top w:val="nil"/>
              <w:left w:val="single" w:sz="4" w:space="0" w:color="auto"/>
              <w:bottom w:val="single" w:sz="4" w:space="0" w:color="auto"/>
              <w:right w:val="nil"/>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018" w:type="dxa"/>
            <w:tcBorders>
              <w:top w:val="nil"/>
              <w:left w:val="single" w:sz="4" w:space="0" w:color="auto"/>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$'000</w:t>
            </w:r>
          </w:p>
        </w:tc>
        <w:tc>
          <w:tcPr>
            <w:tcW w:w="1018"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$'000</w:t>
            </w:r>
          </w:p>
        </w:tc>
        <w:tc>
          <w:tcPr>
            <w:tcW w:w="1018"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$'000</w:t>
            </w:r>
          </w:p>
        </w:tc>
        <w:tc>
          <w:tcPr>
            <w:tcW w:w="1018"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$'000</w:t>
            </w:r>
          </w:p>
        </w:tc>
        <w:tc>
          <w:tcPr>
            <w:tcW w:w="1018"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$'000</w:t>
            </w:r>
          </w:p>
        </w:tc>
        <w:tc>
          <w:tcPr>
            <w:tcW w:w="1017"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$'000</w:t>
            </w:r>
          </w:p>
        </w:tc>
        <w:tc>
          <w:tcPr>
            <w:tcW w:w="858"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$'000</w:t>
            </w:r>
          </w:p>
        </w:tc>
        <w:tc>
          <w:tcPr>
            <w:tcW w:w="858"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$'000</w:t>
            </w:r>
          </w:p>
        </w:tc>
        <w:tc>
          <w:tcPr>
            <w:tcW w:w="1017"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$'000</w:t>
            </w:r>
          </w:p>
        </w:tc>
        <w:tc>
          <w:tcPr>
            <w:tcW w:w="1017"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$'000</w:t>
            </w:r>
          </w:p>
        </w:tc>
        <w:tc>
          <w:tcPr>
            <w:tcW w:w="1017"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$'000</w:t>
            </w:r>
          </w:p>
        </w:tc>
        <w:tc>
          <w:tcPr>
            <w:tcW w:w="1017"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$'000</w:t>
            </w:r>
          </w:p>
        </w:tc>
      </w:tr>
      <w:tr w:rsidR="00735613" w:rsidTr="00735613">
        <w:trPr>
          <w:trHeight w:val="170"/>
        </w:trPr>
        <w:tc>
          <w:tcPr>
            <w:tcW w:w="2054"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b/>
                <w:bCs/>
                <w:szCs w:val="18"/>
              </w:rPr>
            </w:pPr>
            <w:r>
              <w:rPr>
                <w:rFonts w:cs="Arial"/>
                <w:b/>
                <w:bCs/>
                <w:szCs w:val="18"/>
              </w:rPr>
              <w:t>Departmental</w:t>
            </w:r>
          </w:p>
        </w:tc>
        <w:tc>
          <w:tcPr>
            <w:tcW w:w="1018"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01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01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01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01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01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85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85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01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01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01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c>
          <w:tcPr>
            <w:tcW w:w="101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rPr>
                <w:rFonts w:cs="Arial"/>
                <w:szCs w:val="18"/>
              </w:rPr>
            </w:pPr>
            <w:r>
              <w:rPr>
                <w:rFonts w:cs="Arial"/>
                <w:szCs w:val="18"/>
              </w:rPr>
              <w:t> </w:t>
            </w:r>
          </w:p>
        </w:tc>
      </w:tr>
      <w:tr w:rsidR="00735613" w:rsidTr="00735613">
        <w:trPr>
          <w:trHeight w:val="170"/>
        </w:trPr>
        <w:tc>
          <w:tcPr>
            <w:tcW w:w="2054" w:type="dxa"/>
            <w:tcBorders>
              <w:top w:val="nil"/>
              <w:left w:val="single" w:sz="4" w:space="0" w:color="auto"/>
              <w:bottom w:val="nil"/>
              <w:right w:val="nil"/>
            </w:tcBorders>
            <w:shd w:val="clear" w:color="FFFFFF" w:fill="FFFFFF"/>
            <w:noWrap/>
            <w:vAlign w:val="bottom"/>
            <w:hideMark/>
          </w:tcPr>
          <w:p w:rsidR="00735613" w:rsidRDefault="00735613" w:rsidP="00735613">
            <w:pPr>
              <w:spacing w:line="240" w:lineRule="auto"/>
              <w:ind w:firstLineChars="100" w:firstLine="180"/>
              <w:rPr>
                <w:rFonts w:cs="Arial"/>
                <w:szCs w:val="18"/>
              </w:rPr>
            </w:pPr>
            <w:r>
              <w:rPr>
                <w:rFonts w:cs="Arial"/>
                <w:szCs w:val="18"/>
              </w:rPr>
              <w:t>Expenses</w:t>
            </w:r>
          </w:p>
        </w:tc>
        <w:tc>
          <w:tcPr>
            <w:tcW w:w="1018"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64,889 </w:t>
            </w:r>
          </w:p>
        </w:tc>
        <w:tc>
          <w:tcPr>
            <w:tcW w:w="101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62,212 </w:t>
            </w:r>
          </w:p>
        </w:tc>
        <w:tc>
          <w:tcPr>
            <w:tcW w:w="101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102,284 </w:t>
            </w:r>
          </w:p>
        </w:tc>
        <w:tc>
          <w:tcPr>
            <w:tcW w:w="101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102,149 </w:t>
            </w:r>
          </w:p>
        </w:tc>
        <w:tc>
          <w:tcPr>
            <w:tcW w:w="101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170,659 </w:t>
            </w:r>
          </w:p>
        </w:tc>
        <w:tc>
          <w:tcPr>
            <w:tcW w:w="101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80,693 </w:t>
            </w:r>
          </w:p>
        </w:tc>
        <w:tc>
          <w:tcPr>
            <w:tcW w:w="85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85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1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101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1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337,832 </w:t>
            </w:r>
          </w:p>
        </w:tc>
        <w:tc>
          <w:tcPr>
            <w:tcW w:w="101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245,054 </w:t>
            </w:r>
          </w:p>
        </w:tc>
      </w:tr>
      <w:tr w:rsidR="00735613" w:rsidTr="00735613">
        <w:trPr>
          <w:trHeight w:val="170"/>
        </w:trPr>
        <w:tc>
          <w:tcPr>
            <w:tcW w:w="2054" w:type="dxa"/>
            <w:tcBorders>
              <w:top w:val="single" w:sz="4" w:space="0" w:color="auto"/>
              <w:left w:val="single" w:sz="4" w:space="0" w:color="auto"/>
              <w:bottom w:val="single" w:sz="4" w:space="0" w:color="auto"/>
              <w:right w:val="nil"/>
            </w:tcBorders>
            <w:shd w:val="clear" w:color="FFFFFF" w:fill="FFFFFF"/>
            <w:noWrap/>
            <w:vAlign w:val="bottom"/>
            <w:hideMark/>
          </w:tcPr>
          <w:p w:rsidR="00735613" w:rsidRDefault="00735613" w:rsidP="00735613">
            <w:pPr>
              <w:spacing w:line="240" w:lineRule="auto"/>
              <w:ind w:firstLineChars="100" w:firstLine="180"/>
              <w:rPr>
                <w:rFonts w:cs="Arial"/>
                <w:szCs w:val="18"/>
              </w:rPr>
            </w:pPr>
            <w:r>
              <w:rPr>
                <w:rFonts w:cs="Arial"/>
                <w:szCs w:val="18"/>
              </w:rPr>
              <w:t>Own-source income</w:t>
            </w:r>
          </w:p>
        </w:tc>
        <w:tc>
          <w:tcPr>
            <w:tcW w:w="1018"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7,722 </w:t>
            </w:r>
          </w:p>
        </w:tc>
        <w:tc>
          <w:tcPr>
            <w:tcW w:w="101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5,316 </w:t>
            </w:r>
          </w:p>
        </w:tc>
        <w:tc>
          <w:tcPr>
            <w:tcW w:w="101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7,514 </w:t>
            </w:r>
          </w:p>
        </w:tc>
        <w:tc>
          <w:tcPr>
            <w:tcW w:w="101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8,626 </w:t>
            </w:r>
          </w:p>
        </w:tc>
        <w:tc>
          <w:tcPr>
            <w:tcW w:w="101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22,147 </w:t>
            </w:r>
          </w:p>
        </w:tc>
        <w:tc>
          <w:tcPr>
            <w:tcW w:w="101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12,472 </w:t>
            </w:r>
          </w:p>
        </w:tc>
        <w:tc>
          <w:tcPr>
            <w:tcW w:w="85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85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1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101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1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37,383 </w:t>
            </w:r>
          </w:p>
        </w:tc>
        <w:tc>
          <w:tcPr>
            <w:tcW w:w="101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26,414 </w:t>
            </w:r>
          </w:p>
        </w:tc>
      </w:tr>
      <w:tr w:rsidR="00735613" w:rsidTr="00735613">
        <w:trPr>
          <w:trHeight w:val="170"/>
        </w:trPr>
        <w:tc>
          <w:tcPr>
            <w:tcW w:w="2054" w:type="dxa"/>
            <w:tcBorders>
              <w:top w:val="nil"/>
              <w:left w:val="single" w:sz="4" w:space="0" w:color="auto"/>
              <w:bottom w:val="single" w:sz="4" w:space="0" w:color="auto"/>
              <w:right w:val="nil"/>
            </w:tcBorders>
            <w:shd w:val="clear" w:color="000000" w:fill="D9D9D9"/>
            <w:vAlign w:val="bottom"/>
            <w:hideMark/>
          </w:tcPr>
          <w:p w:rsidR="00735613" w:rsidRDefault="00735613" w:rsidP="00735613">
            <w:pPr>
              <w:spacing w:line="240" w:lineRule="auto"/>
              <w:rPr>
                <w:rFonts w:cs="Arial"/>
                <w:b/>
                <w:bCs/>
                <w:szCs w:val="18"/>
              </w:rPr>
            </w:pPr>
            <w:r>
              <w:rPr>
                <w:rFonts w:cs="Arial"/>
                <w:b/>
                <w:bCs/>
                <w:szCs w:val="18"/>
              </w:rPr>
              <w:t>Administered</w:t>
            </w:r>
          </w:p>
        </w:tc>
        <w:tc>
          <w:tcPr>
            <w:tcW w:w="1018" w:type="dxa"/>
            <w:tcBorders>
              <w:top w:val="nil"/>
              <w:left w:val="single" w:sz="4" w:space="0" w:color="auto"/>
              <w:bottom w:val="single" w:sz="4" w:space="0" w:color="auto"/>
              <w:right w:val="single" w:sz="4" w:space="0" w:color="auto"/>
            </w:tcBorders>
            <w:shd w:val="clear" w:color="000000" w:fill="D9D9D9"/>
            <w:noWrap/>
            <w:vAlign w:val="bottom"/>
            <w:hideMark/>
          </w:tcPr>
          <w:p w:rsidR="00735613" w:rsidRDefault="00735613" w:rsidP="00735613">
            <w:pPr>
              <w:spacing w:line="240" w:lineRule="auto"/>
              <w:rPr>
                <w:rFonts w:cs="Arial"/>
                <w:szCs w:val="18"/>
              </w:rPr>
            </w:pPr>
            <w:r>
              <w:rPr>
                <w:rFonts w:cs="Arial"/>
                <w:szCs w:val="18"/>
              </w:rPr>
              <w:t> </w:t>
            </w:r>
          </w:p>
        </w:tc>
        <w:tc>
          <w:tcPr>
            <w:tcW w:w="1018"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rPr>
                <w:rFonts w:cs="Arial"/>
                <w:szCs w:val="18"/>
              </w:rPr>
            </w:pPr>
            <w:r>
              <w:rPr>
                <w:rFonts w:cs="Arial"/>
                <w:szCs w:val="18"/>
              </w:rPr>
              <w:t> </w:t>
            </w:r>
          </w:p>
        </w:tc>
        <w:tc>
          <w:tcPr>
            <w:tcW w:w="1018"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rPr>
                <w:rFonts w:cs="Arial"/>
                <w:szCs w:val="18"/>
              </w:rPr>
            </w:pPr>
            <w:r>
              <w:rPr>
                <w:rFonts w:cs="Arial"/>
                <w:szCs w:val="18"/>
              </w:rPr>
              <w:t> </w:t>
            </w:r>
          </w:p>
        </w:tc>
        <w:tc>
          <w:tcPr>
            <w:tcW w:w="1018"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rPr>
                <w:rFonts w:cs="Arial"/>
                <w:szCs w:val="18"/>
              </w:rPr>
            </w:pPr>
            <w:r>
              <w:rPr>
                <w:rFonts w:cs="Arial"/>
                <w:szCs w:val="18"/>
              </w:rPr>
              <w:t> </w:t>
            </w:r>
          </w:p>
        </w:tc>
        <w:tc>
          <w:tcPr>
            <w:tcW w:w="1018"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rPr>
                <w:rFonts w:cs="Arial"/>
                <w:szCs w:val="18"/>
              </w:rPr>
            </w:pPr>
            <w:r>
              <w:rPr>
                <w:rFonts w:cs="Arial"/>
                <w:szCs w:val="18"/>
              </w:rPr>
              <w:t> </w:t>
            </w:r>
          </w:p>
        </w:tc>
        <w:tc>
          <w:tcPr>
            <w:tcW w:w="101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rPr>
                <w:rFonts w:cs="Arial"/>
                <w:szCs w:val="18"/>
              </w:rPr>
            </w:pPr>
            <w:r>
              <w:rPr>
                <w:rFonts w:cs="Arial"/>
                <w:szCs w:val="18"/>
              </w:rPr>
              <w:t> </w:t>
            </w:r>
          </w:p>
        </w:tc>
        <w:tc>
          <w:tcPr>
            <w:tcW w:w="858"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rPr>
                <w:rFonts w:cs="Arial"/>
                <w:szCs w:val="18"/>
              </w:rPr>
            </w:pPr>
            <w:r>
              <w:rPr>
                <w:rFonts w:cs="Arial"/>
                <w:szCs w:val="18"/>
              </w:rPr>
              <w:t> </w:t>
            </w:r>
          </w:p>
        </w:tc>
        <w:tc>
          <w:tcPr>
            <w:tcW w:w="858"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rPr>
                <w:rFonts w:cs="Arial"/>
                <w:szCs w:val="18"/>
              </w:rPr>
            </w:pPr>
            <w:r>
              <w:rPr>
                <w:rFonts w:cs="Arial"/>
                <w:szCs w:val="18"/>
              </w:rPr>
              <w:t> </w:t>
            </w:r>
          </w:p>
        </w:tc>
        <w:tc>
          <w:tcPr>
            <w:tcW w:w="101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rPr>
                <w:rFonts w:cs="Arial"/>
                <w:szCs w:val="18"/>
              </w:rPr>
            </w:pPr>
            <w:r>
              <w:rPr>
                <w:rFonts w:cs="Arial"/>
                <w:szCs w:val="18"/>
              </w:rPr>
              <w:t> </w:t>
            </w:r>
          </w:p>
        </w:tc>
        <w:tc>
          <w:tcPr>
            <w:tcW w:w="101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rPr>
                <w:rFonts w:cs="Arial"/>
                <w:szCs w:val="18"/>
              </w:rPr>
            </w:pPr>
            <w:r>
              <w:rPr>
                <w:rFonts w:cs="Arial"/>
                <w:szCs w:val="18"/>
              </w:rPr>
              <w:t> </w:t>
            </w:r>
          </w:p>
        </w:tc>
        <w:tc>
          <w:tcPr>
            <w:tcW w:w="101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rPr>
                <w:rFonts w:cs="Arial"/>
                <w:szCs w:val="18"/>
              </w:rPr>
            </w:pPr>
            <w:r>
              <w:rPr>
                <w:rFonts w:cs="Arial"/>
                <w:szCs w:val="18"/>
              </w:rPr>
              <w:t> </w:t>
            </w:r>
          </w:p>
        </w:tc>
        <w:tc>
          <w:tcPr>
            <w:tcW w:w="101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rPr>
                <w:rFonts w:cs="Arial"/>
                <w:szCs w:val="18"/>
              </w:rPr>
            </w:pPr>
            <w:r>
              <w:rPr>
                <w:rFonts w:cs="Arial"/>
                <w:szCs w:val="18"/>
              </w:rPr>
              <w:t> </w:t>
            </w:r>
          </w:p>
        </w:tc>
      </w:tr>
      <w:tr w:rsidR="00735613" w:rsidTr="00735613">
        <w:trPr>
          <w:trHeight w:val="170"/>
        </w:trPr>
        <w:tc>
          <w:tcPr>
            <w:tcW w:w="2054" w:type="dxa"/>
            <w:tcBorders>
              <w:top w:val="nil"/>
              <w:left w:val="single" w:sz="4" w:space="0" w:color="auto"/>
              <w:bottom w:val="single" w:sz="4" w:space="0" w:color="auto"/>
              <w:right w:val="nil"/>
            </w:tcBorders>
            <w:shd w:val="clear" w:color="000000" w:fill="D9D9D9"/>
            <w:noWrap/>
            <w:vAlign w:val="bottom"/>
            <w:hideMark/>
          </w:tcPr>
          <w:p w:rsidR="00735613" w:rsidRDefault="00735613" w:rsidP="00735613">
            <w:pPr>
              <w:spacing w:line="240" w:lineRule="auto"/>
              <w:ind w:firstLineChars="100" w:firstLine="180"/>
              <w:rPr>
                <w:rFonts w:cs="Arial"/>
                <w:szCs w:val="18"/>
              </w:rPr>
            </w:pPr>
            <w:r>
              <w:rPr>
                <w:rFonts w:cs="Arial"/>
                <w:szCs w:val="18"/>
              </w:rPr>
              <w:t>Expenses</w:t>
            </w:r>
          </w:p>
        </w:tc>
        <w:tc>
          <w:tcPr>
            <w:tcW w:w="1018" w:type="dxa"/>
            <w:tcBorders>
              <w:top w:val="nil"/>
              <w:left w:val="single" w:sz="4" w:space="0" w:color="auto"/>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3,815,222 </w:t>
            </w:r>
          </w:p>
        </w:tc>
        <w:tc>
          <w:tcPr>
            <w:tcW w:w="1018"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4,790,056 </w:t>
            </w:r>
          </w:p>
        </w:tc>
        <w:tc>
          <w:tcPr>
            <w:tcW w:w="1018"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14,920,893 </w:t>
            </w:r>
          </w:p>
        </w:tc>
        <w:tc>
          <w:tcPr>
            <w:tcW w:w="1018"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9,461,185 </w:t>
            </w:r>
          </w:p>
        </w:tc>
        <w:tc>
          <w:tcPr>
            <w:tcW w:w="1018"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11,222,875 </w:t>
            </w:r>
          </w:p>
        </w:tc>
        <w:tc>
          <w:tcPr>
            <w:tcW w:w="101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8,462,473 </w:t>
            </w:r>
          </w:p>
        </w:tc>
        <w:tc>
          <w:tcPr>
            <w:tcW w:w="858"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13,370 </w:t>
            </w:r>
          </w:p>
        </w:tc>
        <w:tc>
          <w:tcPr>
            <w:tcW w:w="858"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5,360 </w:t>
            </w:r>
          </w:p>
        </w:tc>
        <w:tc>
          <w:tcPr>
            <w:tcW w:w="101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101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1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29,972,360 </w:t>
            </w:r>
          </w:p>
        </w:tc>
        <w:tc>
          <w:tcPr>
            <w:tcW w:w="101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22,719,074 </w:t>
            </w:r>
          </w:p>
        </w:tc>
      </w:tr>
      <w:tr w:rsidR="00735613" w:rsidTr="00735613">
        <w:trPr>
          <w:trHeight w:val="170"/>
        </w:trPr>
        <w:tc>
          <w:tcPr>
            <w:tcW w:w="2054" w:type="dxa"/>
            <w:tcBorders>
              <w:top w:val="nil"/>
              <w:left w:val="single" w:sz="4" w:space="0" w:color="auto"/>
              <w:bottom w:val="single" w:sz="4" w:space="0" w:color="auto"/>
              <w:right w:val="nil"/>
            </w:tcBorders>
            <w:shd w:val="clear" w:color="000000" w:fill="D9D9D9"/>
            <w:noWrap/>
            <w:vAlign w:val="bottom"/>
            <w:hideMark/>
          </w:tcPr>
          <w:p w:rsidR="00735613" w:rsidRDefault="00735613" w:rsidP="00735613">
            <w:pPr>
              <w:spacing w:line="240" w:lineRule="auto"/>
              <w:ind w:firstLineChars="100" w:firstLine="180"/>
              <w:rPr>
                <w:rFonts w:cs="Arial"/>
                <w:szCs w:val="18"/>
              </w:rPr>
            </w:pPr>
            <w:r>
              <w:rPr>
                <w:rFonts w:cs="Arial"/>
                <w:szCs w:val="18"/>
              </w:rPr>
              <w:t>Own-source income</w:t>
            </w:r>
          </w:p>
        </w:tc>
        <w:tc>
          <w:tcPr>
            <w:tcW w:w="1018" w:type="dxa"/>
            <w:tcBorders>
              <w:top w:val="nil"/>
              <w:left w:val="single" w:sz="4" w:space="0" w:color="auto"/>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3,686 </w:t>
            </w:r>
          </w:p>
        </w:tc>
        <w:tc>
          <w:tcPr>
            <w:tcW w:w="1018"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11,325 </w:t>
            </w:r>
          </w:p>
        </w:tc>
        <w:tc>
          <w:tcPr>
            <w:tcW w:w="1018"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39,343 </w:t>
            </w:r>
          </w:p>
        </w:tc>
        <w:tc>
          <w:tcPr>
            <w:tcW w:w="1018"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9,531 </w:t>
            </w:r>
          </w:p>
        </w:tc>
        <w:tc>
          <w:tcPr>
            <w:tcW w:w="1018"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2,039,578 </w:t>
            </w:r>
          </w:p>
        </w:tc>
        <w:tc>
          <w:tcPr>
            <w:tcW w:w="101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881,146 </w:t>
            </w:r>
          </w:p>
        </w:tc>
        <w:tc>
          <w:tcPr>
            <w:tcW w:w="858"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858"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1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554 </w:t>
            </w:r>
          </w:p>
        </w:tc>
        <w:tc>
          <w:tcPr>
            <w:tcW w:w="101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1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2,083,161 </w:t>
            </w:r>
          </w:p>
        </w:tc>
        <w:tc>
          <w:tcPr>
            <w:tcW w:w="101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902,002 </w:t>
            </w:r>
          </w:p>
        </w:tc>
      </w:tr>
      <w:tr w:rsidR="00735613" w:rsidTr="00735613">
        <w:trPr>
          <w:trHeight w:val="170"/>
        </w:trPr>
        <w:tc>
          <w:tcPr>
            <w:tcW w:w="2054"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b/>
                <w:bCs/>
                <w:szCs w:val="18"/>
              </w:rPr>
            </w:pPr>
            <w:r>
              <w:rPr>
                <w:rFonts w:cs="Arial"/>
                <w:b/>
                <w:bCs/>
                <w:szCs w:val="18"/>
              </w:rPr>
              <w:t>Net cost/(contribution) of outcome delivery</w:t>
            </w:r>
          </w:p>
        </w:tc>
        <w:tc>
          <w:tcPr>
            <w:tcW w:w="1018"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3,868,703</w:t>
            </w:r>
          </w:p>
        </w:tc>
        <w:tc>
          <w:tcPr>
            <w:tcW w:w="101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4,835,627</w:t>
            </w:r>
          </w:p>
        </w:tc>
        <w:tc>
          <w:tcPr>
            <w:tcW w:w="101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14,976,320</w:t>
            </w:r>
          </w:p>
        </w:tc>
        <w:tc>
          <w:tcPr>
            <w:tcW w:w="101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9,545,177</w:t>
            </w:r>
          </w:p>
        </w:tc>
        <w:tc>
          <w:tcPr>
            <w:tcW w:w="101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9,331,809</w:t>
            </w:r>
          </w:p>
        </w:tc>
        <w:tc>
          <w:tcPr>
            <w:tcW w:w="101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7,649,548</w:t>
            </w:r>
          </w:p>
        </w:tc>
        <w:tc>
          <w:tcPr>
            <w:tcW w:w="85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13,370</w:t>
            </w:r>
          </w:p>
        </w:tc>
        <w:tc>
          <w:tcPr>
            <w:tcW w:w="85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5,360</w:t>
            </w:r>
          </w:p>
        </w:tc>
        <w:tc>
          <w:tcPr>
            <w:tcW w:w="101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(554)</w:t>
            </w:r>
          </w:p>
        </w:tc>
        <w:tc>
          <w:tcPr>
            <w:tcW w:w="101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w:t>
            </w:r>
          </w:p>
        </w:tc>
        <w:tc>
          <w:tcPr>
            <w:tcW w:w="101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28,189,648</w:t>
            </w:r>
          </w:p>
        </w:tc>
        <w:tc>
          <w:tcPr>
            <w:tcW w:w="101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22,035,712</w:t>
            </w:r>
          </w:p>
        </w:tc>
      </w:tr>
    </w:tbl>
    <w:p w:rsidR="00735613" w:rsidRDefault="00735613" w:rsidP="00735613">
      <w:pPr>
        <w:pStyle w:val="AdminBlankGreyShade"/>
      </w:pPr>
      <w:bookmarkStart w:id="636" w:name="RANGE!D7:P29"/>
      <w:bookmarkStart w:id="637" w:name="RANGE!D7:L29"/>
      <w:bookmarkStart w:id="638" w:name="RANGE!D6:L39"/>
      <w:bookmarkStart w:id="639" w:name="RANGE!D6:L40"/>
      <w:bookmarkStart w:id="640" w:name="RANGE!D6:L41"/>
      <w:bookmarkStart w:id="641" w:name="RANGE!D6:L32"/>
      <w:bookmarkStart w:id="642" w:name="RANGE!D6:L33"/>
      <w:bookmarkStart w:id="643" w:name="RANGE!D22:L32"/>
      <w:bookmarkStart w:id="644" w:name="RANGE!D37:L62"/>
      <w:bookmarkEnd w:id="636"/>
      <w:bookmarkEnd w:id="637"/>
      <w:bookmarkEnd w:id="638"/>
      <w:bookmarkEnd w:id="639"/>
      <w:bookmarkEnd w:id="640"/>
      <w:bookmarkEnd w:id="641"/>
      <w:bookmarkEnd w:id="642"/>
      <w:bookmarkEnd w:id="643"/>
      <w:bookmarkEnd w:id="644"/>
      <w:r>
        <w:t xml:space="preserve">Outcomes 1 to 3 are described in Note 1.1. Net costs shown include intra-government costs that are eliminated in calculating the actual Budget Outcome. Refer to Appendix 2 of this annual </w:t>
      </w:r>
      <w:r>
        <w:br/>
        <w:t xml:space="preserve">report for Agency resource statements and resources.  </w:t>
      </w:r>
    </w:p>
    <w:p w:rsidR="00735613" w:rsidRDefault="00735613" w:rsidP="00735613">
      <w:pPr>
        <w:pStyle w:val="AdminBlankGreyShade"/>
      </w:pPr>
      <w:r>
        <w:rPr>
          <w:vertAlign w:val="superscript"/>
        </w:rPr>
        <w:t>1</w:t>
      </w:r>
      <w:r>
        <w:t xml:space="preserve"> Some administered own-source income is not related to programs and outcomes.  They are included here so the total agrees to the administered schedule of comprehensive income.  </w:t>
      </w:r>
    </w:p>
    <w:p w:rsidR="00735613" w:rsidRDefault="00735613">
      <w:pPr>
        <w:spacing w:line="240" w:lineRule="auto"/>
      </w:pPr>
      <w:r>
        <w:br w:type="page"/>
      </w:r>
    </w:p>
    <w:tbl>
      <w:tblPr>
        <w:tblW w:w="13991" w:type="dxa"/>
        <w:tblInd w:w="80" w:type="dxa"/>
        <w:tblLayout w:type="fixed"/>
        <w:tblCellMar>
          <w:left w:w="57" w:type="dxa"/>
          <w:right w:w="57" w:type="dxa"/>
        </w:tblCellMar>
        <w:tblLook w:val="04A0" w:firstRow="1" w:lastRow="0" w:firstColumn="1" w:lastColumn="0" w:noHBand="0" w:noVBand="1"/>
      </w:tblPr>
      <w:tblGrid>
        <w:gridCol w:w="2459"/>
        <w:gridCol w:w="1191"/>
        <w:gridCol w:w="1192"/>
        <w:gridCol w:w="1192"/>
        <w:gridCol w:w="1193"/>
        <w:gridCol w:w="1192"/>
        <w:gridCol w:w="1192"/>
        <w:gridCol w:w="997"/>
        <w:gridCol w:w="998"/>
        <w:gridCol w:w="1193"/>
        <w:gridCol w:w="1192"/>
      </w:tblGrid>
      <w:tr w:rsidR="00735613" w:rsidTr="00735613">
        <w:trPr>
          <w:trHeight w:val="170"/>
        </w:trPr>
        <w:tc>
          <w:tcPr>
            <w:tcW w:w="13991" w:type="dxa"/>
            <w:gridSpan w:val="11"/>
            <w:tcBorders>
              <w:top w:val="nil"/>
              <w:left w:val="nil"/>
              <w:bottom w:val="nil"/>
              <w:right w:val="nil"/>
            </w:tcBorders>
            <w:shd w:val="clear" w:color="FFFFFF" w:fill="FFFFFF"/>
            <w:noWrap/>
            <w:vAlign w:val="bottom"/>
            <w:hideMark/>
          </w:tcPr>
          <w:p w:rsidR="00735613" w:rsidRDefault="00735613" w:rsidP="00735613">
            <w:pPr>
              <w:spacing w:line="240" w:lineRule="auto"/>
              <w:rPr>
                <w:rFonts w:cs="Arial"/>
                <w:b/>
                <w:bCs/>
                <w:szCs w:val="18"/>
                <w:u w:val="single"/>
              </w:rPr>
            </w:pPr>
            <w:bookmarkStart w:id="645" w:name="RANGE!D34:D106"/>
            <w:bookmarkStart w:id="646" w:name="Note_ROOTABLE2" w:colFirst="0" w:colLast="0"/>
            <w:r>
              <w:rPr>
                <w:rFonts w:cs="Arial"/>
                <w:b/>
                <w:bCs/>
                <w:szCs w:val="18"/>
                <w:u w:val="single"/>
              </w:rPr>
              <w:t>Note 31B: Major classes of departmental expenses, income, assets and liabilities by outcome</w:t>
            </w:r>
            <w:bookmarkEnd w:id="645"/>
          </w:p>
        </w:tc>
      </w:tr>
      <w:bookmarkEnd w:id="646"/>
      <w:tr w:rsidR="00735613" w:rsidTr="00735613">
        <w:trPr>
          <w:trHeight w:val="170"/>
        </w:trPr>
        <w:tc>
          <w:tcPr>
            <w:tcW w:w="2459" w:type="dxa"/>
            <w:tcBorders>
              <w:top w:val="single" w:sz="4" w:space="0" w:color="auto"/>
              <w:left w:val="single" w:sz="4" w:space="0" w:color="auto"/>
              <w:bottom w:val="nil"/>
              <w:right w:val="nil"/>
            </w:tcBorders>
            <w:shd w:val="clear" w:color="FFFFFF" w:fill="FFFFFF"/>
            <w:noWrap/>
            <w:hideMark/>
          </w:tcPr>
          <w:p w:rsidR="00735613" w:rsidRDefault="00735613" w:rsidP="00735613">
            <w:pPr>
              <w:spacing w:line="240" w:lineRule="auto"/>
              <w:rPr>
                <w:rFonts w:cs="Arial"/>
                <w:sz w:val="16"/>
                <w:szCs w:val="16"/>
              </w:rPr>
            </w:pPr>
            <w:r>
              <w:rPr>
                <w:rFonts w:cs="Arial"/>
                <w:sz w:val="16"/>
                <w:szCs w:val="16"/>
              </w:rPr>
              <w:t> </w:t>
            </w:r>
          </w:p>
        </w:tc>
        <w:tc>
          <w:tcPr>
            <w:tcW w:w="2383" w:type="dxa"/>
            <w:gridSpan w:val="2"/>
            <w:tcBorders>
              <w:top w:val="single" w:sz="4" w:space="0" w:color="auto"/>
              <w:left w:val="single" w:sz="4" w:space="0" w:color="auto"/>
              <w:bottom w:val="single" w:sz="4" w:space="0" w:color="auto"/>
              <w:right w:val="single" w:sz="4" w:space="0" w:color="000000"/>
            </w:tcBorders>
            <w:shd w:val="clear" w:color="FFFFFF" w:fill="FFFFFF"/>
            <w:vAlign w:val="center"/>
            <w:hideMark/>
          </w:tcPr>
          <w:p w:rsidR="00735613" w:rsidRDefault="00735613" w:rsidP="00735613">
            <w:pPr>
              <w:spacing w:line="240" w:lineRule="auto"/>
              <w:jc w:val="center"/>
              <w:rPr>
                <w:rFonts w:cs="Arial"/>
                <w:b/>
                <w:bCs/>
                <w:szCs w:val="18"/>
              </w:rPr>
            </w:pPr>
            <w:r>
              <w:rPr>
                <w:rFonts w:cs="Arial"/>
                <w:b/>
                <w:bCs/>
                <w:szCs w:val="18"/>
              </w:rPr>
              <w:t>Outcome 1</w:t>
            </w:r>
          </w:p>
        </w:tc>
        <w:tc>
          <w:tcPr>
            <w:tcW w:w="2385" w:type="dxa"/>
            <w:gridSpan w:val="2"/>
            <w:tcBorders>
              <w:top w:val="single" w:sz="4" w:space="0" w:color="auto"/>
              <w:left w:val="nil"/>
              <w:bottom w:val="single" w:sz="4" w:space="0" w:color="auto"/>
              <w:right w:val="single" w:sz="4" w:space="0" w:color="000000"/>
            </w:tcBorders>
            <w:shd w:val="clear" w:color="FFFFFF" w:fill="FFFFFF"/>
            <w:vAlign w:val="center"/>
            <w:hideMark/>
          </w:tcPr>
          <w:p w:rsidR="00735613" w:rsidRDefault="00735613" w:rsidP="00735613">
            <w:pPr>
              <w:spacing w:line="240" w:lineRule="auto"/>
              <w:jc w:val="center"/>
              <w:rPr>
                <w:rFonts w:cs="Arial"/>
                <w:b/>
                <w:bCs/>
                <w:szCs w:val="18"/>
              </w:rPr>
            </w:pPr>
            <w:r>
              <w:rPr>
                <w:rFonts w:cs="Arial"/>
                <w:b/>
                <w:bCs/>
                <w:szCs w:val="18"/>
              </w:rPr>
              <w:t>Outcome 2</w:t>
            </w:r>
          </w:p>
        </w:tc>
        <w:tc>
          <w:tcPr>
            <w:tcW w:w="2384" w:type="dxa"/>
            <w:gridSpan w:val="2"/>
            <w:tcBorders>
              <w:top w:val="single" w:sz="4" w:space="0" w:color="auto"/>
              <w:left w:val="nil"/>
              <w:bottom w:val="single" w:sz="4" w:space="0" w:color="auto"/>
              <w:right w:val="single" w:sz="4" w:space="0" w:color="000000"/>
            </w:tcBorders>
            <w:shd w:val="clear" w:color="FFFFFF" w:fill="FFFFFF"/>
            <w:vAlign w:val="center"/>
            <w:hideMark/>
          </w:tcPr>
          <w:p w:rsidR="00735613" w:rsidRDefault="00735613" w:rsidP="00735613">
            <w:pPr>
              <w:spacing w:line="240" w:lineRule="auto"/>
              <w:jc w:val="center"/>
              <w:rPr>
                <w:rFonts w:cs="Arial"/>
                <w:b/>
                <w:bCs/>
                <w:szCs w:val="18"/>
              </w:rPr>
            </w:pPr>
            <w:r>
              <w:rPr>
                <w:rFonts w:cs="Arial"/>
                <w:b/>
                <w:bCs/>
                <w:szCs w:val="18"/>
              </w:rPr>
              <w:t>Outcome 3</w:t>
            </w:r>
          </w:p>
        </w:tc>
        <w:tc>
          <w:tcPr>
            <w:tcW w:w="1995" w:type="dxa"/>
            <w:gridSpan w:val="2"/>
            <w:tcBorders>
              <w:top w:val="single" w:sz="4" w:space="0" w:color="auto"/>
              <w:left w:val="nil"/>
              <w:bottom w:val="single" w:sz="4" w:space="0" w:color="auto"/>
              <w:right w:val="single" w:sz="4" w:space="0" w:color="000000"/>
            </w:tcBorders>
            <w:shd w:val="clear" w:color="FFFFFF" w:fill="FFFFFF"/>
            <w:vAlign w:val="center"/>
            <w:hideMark/>
          </w:tcPr>
          <w:p w:rsidR="00735613" w:rsidRDefault="00735613" w:rsidP="00735613">
            <w:pPr>
              <w:spacing w:line="240" w:lineRule="auto"/>
              <w:jc w:val="center"/>
              <w:rPr>
                <w:rFonts w:cs="Arial"/>
                <w:b/>
                <w:bCs/>
                <w:szCs w:val="18"/>
              </w:rPr>
            </w:pPr>
            <w:r>
              <w:rPr>
                <w:rFonts w:cs="Arial"/>
                <w:b/>
                <w:bCs/>
                <w:szCs w:val="18"/>
              </w:rPr>
              <w:t>Not attributed</w:t>
            </w:r>
            <w:r>
              <w:rPr>
                <w:rFonts w:cs="Arial"/>
                <w:b/>
                <w:bCs/>
                <w:szCs w:val="18"/>
                <w:vertAlign w:val="superscript"/>
              </w:rPr>
              <w:t>1</w:t>
            </w:r>
          </w:p>
        </w:tc>
        <w:tc>
          <w:tcPr>
            <w:tcW w:w="2385" w:type="dxa"/>
            <w:gridSpan w:val="2"/>
            <w:tcBorders>
              <w:top w:val="single" w:sz="4" w:space="0" w:color="auto"/>
              <w:left w:val="nil"/>
              <w:bottom w:val="single" w:sz="4" w:space="0" w:color="auto"/>
              <w:right w:val="single" w:sz="4" w:space="0" w:color="000000"/>
            </w:tcBorders>
            <w:shd w:val="clear" w:color="FFFFFF" w:fill="FFFFFF"/>
            <w:vAlign w:val="center"/>
            <w:hideMark/>
          </w:tcPr>
          <w:p w:rsidR="00735613" w:rsidRDefault="00735613" w:rsidP="00735613">
            <w:pPr>
              <w:spacing w:line="240" w:lineRule="auto"/>
              <w:jc w:val="center"/>
              <w:rPr>
                <w:rFonts w:cs="Arial"/>
                <w:b/>
                <w:bCs/>
                <w:szCs w:val="18"/>
              </w:rPr>
            </w:pPr>
            <w:r>
              <w:rPr>
                <w:rFonts w:cs="Arial"/>
                <w:b/>
                <w:bCs/>
                <w:szCs w:val="18"/>
              </w:rPr>
              <w:t>Total</w:t>
            </w:r>
          </w:p>
        </w:tc>
      </w:tr>
      <w:tr w:rsidR="00735613" w:rsidTr="00735613">
        <w:trPr>
          <w:trHeight w:val="170"/>
        </w:trPr>
        <w:tc>
          <w:tcPr>
            <w:tcW w:w="2459" w:type="dxa"/>
            <w:tcBorders>
              <w:top w:val="nil"/>
              <w:left w:val="single" w:sz="4" w:space="0" w:color="auto"/>
              <w:bottom w:val="nil"/>
              <w:right w:val="nil"/>
            </w:tcBorders>
            <w:shd w:val="clear" w:color="FFFFFF" w:fill="FFFFFF"/>
            <w:noWrap/>
            <w:hideMark/>
          </w:tcPr>
          <w:p w:rsidR="00735613" w:rsidRDefault="00735613" w:rsidP="00735613">
            <w:pPr>
              <w:spacing w:line="240" w:lineRule="auto"/>
              <w:rPr>
                <w:rFonts w:cs="Arial"/>
                <w:sz w:val="16"/>
                <w:szCs w:val="16"/>
              </w:rPr>
            </w:pPr>
            <w:r>
              <w:rPr>
                <w:rFonts w:cs="Arial"/>
                <w:sz w:val="16"/>
                <w:szCs w:val="16"/>
              </w:rPr>
              <w:t> </w:t>
            </w:r>
          </w:p>
        </w:tc>
        <w:tc>
          <w:tcPr>
            <w:tcW w:w="1191" w:type="dxa"/>
            <w:tcBorders>
              <w:top w:val="nil"/>
              <w:left w:val="single" w:sz="4" w:space="0" w:color="auto"/>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2015</w:t>
            </w:r>
          </w:p>
        </w:tc>
        <w:tc>
          <w:tcPr>
            <w:tcW w:w="1192"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2014</w:t>
            </w:r>
          </w:p>
        </w:tc>
        <w:tc>
          <w:tcPr>
            <w:tcW w:w="1192"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2015</w:t>
            </w:r>
          </w:p>
        </w:tc>
        <w:tc>
          <w:tcPr>
            <w:tcW w:w="1193"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2014</w:t>
            </w:r>
          </w:p>
        </w:tc>
        <w:tc>
          <w:tcPr>
            <w:tcW w:w="1192"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2015</w:t>
            </w:r>
          </w:p>
        </w:tc>
        <w:tc>
          <w:tcPr>
            <w:tcW w:w="1192"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2014</w:t>
            </w:r>
          </w:p>
        </w:tc>
        <w:tc>
          <w:tcPr>
            <w:tcW w:w="997"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2015</w:t>
            </w:r>
          </w:p>
        </w:tc>
        <w:tc>
          <w:tcPr>
            <w:tcW w:w="998"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2014</w:t>
            </w:r>
          </w:p>
        </w:tc>
        <w:tc>
          <w:tcPr>
            <w:tcW w:w="1193"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2015</w:t>
            </w:r>
          </w:p>
        </w:tc>
        <w:tc>
          <w:tcPr>
            <w:tcW w:w="1192"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2014</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noWrap/>
            <w:hideMark/>
          </w:tcPr>
          <w:p w:rsidR="00735613" w:rsidRDefault="00735613" w:rsidP="00735613">
            <w:pPr>
              <w:spacing w:line="240" w:lineRule="auto"/>
              <w:rPr>
                <w:rFonts w:cs="Arial"/>
                <w:sz w:val="16"/>
                <w:szCs w:val="16"/>
              </w:rPr>
            </w:pPr>
            <w:r>
              <w:rPr>
                <w:rFonts w:cs="Arial"/>
                <w:sz w:val="16"/>
                <w:szCs w:val="16"/>
              </w:rPr>
              <w:t> </w:t>
            </w:r>
          </w:p>
        </w:tc>
        <w:tc>
          <w:tcPr>
            <w:tcW w:w="1191" w:type="dxa"/>
            <w:tcBorders>
              <w:top w:val="nil"/>
              <w:left w:val="single" w:sz="4" w:space="0" w:color="auto"/>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$'000</w:t>
            </w:r>
          </w:p>
        </w:tc>
        <w:tc>
          <w:tcPr>
            <w:tcW w:w="1192"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$'000</w:t>
            </w:r>
          </w:p>
        </w:tc>
        <w:tc>
          <w:tcPr>
            <w:tcW w:w="1192"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$'000</w:t>
            </w:r>
          </w:p>
        </w:tc>
        <w:tc>
          <w:tcPr>
            <w:tcW w:w="1193"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$'000</w:t>
            </w:r>
          </w:p>
        </w:tc>
        <w:tc>
          <w:tcPr>
            <w:tcW w:w="1192"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$'000</w:t>
            </w:r>
          </w:p>
        </w:tc>
        <w:tc>
          <w:tcPr>
            <w:tcW w:w="1192"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$'000</w:t>
            </w:r>
          </w:p>
        </w:tc>
        <w:tc>
          <w:tcPr>
            <w:tcW w:w="997"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$'000</w:t>
            </w:r>
          </w:p>
        </w:tc>
        <w:tc>
          <w:tcPr>
            <w:tcW w:w="998"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$'000</w:t>
            </w:r>
          </w:p>
        </w:tc>
        <w:tc>
          <w:tcPr>
            <w:tcW w:w="1193"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b/>
                <w:bCs/>
                <w:szCs w:val="18"/>
              </w:rPr>
            </w:pPr>
            <w:r>
              <w:rPr>
                <w:rFonts w:cs="Arial"/>
                <w:b/>
                <w:bCs/>
                <w:szCs w:val="18"/>
              </w:rPr>
              <w:t>$'000</w:t>
            </w:r>
          </w:p>
        </w:tc>
        <w:tc>
          <w:tcPr>
            <w:tcW w:w="1192" w:type="dxa"/>
            <w:tcBorders>
              <w:top w:val="nil"/>
              <w:left w:val="nil"/>
              <w:bottom w:val="single" w:sz="4" w:space="0" w:color="auto"/>
              <w:right w:val="single" w:sz="4" w:space="0" w:color="auto"/>
            </w:tcBorders>
            <w:shd w:val="clear" w:color="FFFFFF" w:fill="FFFFFF"/>
            <w:vAlign w:val="bottom"/>
            <w:hideMark/>
          </w:tcPr>
          <w:p w:rsidR="00735613" w:rsidRDefault="00735613" w:rsidP="00735613">
            <w:pPr>
              <w:spacing w:line="240" w:lineRule="auto"/>
              <w:jc w:val="right"/>
              <w:rPr>
                <w:rFonts w:cs="Arial"/>
                <w:szCs w:val="18"/>
              </w:rPr>
            </w:pPr>
            <w:r>
              <w:rPr>
                <w:rFonts w:cs="Arial"/>
                <w:szCs w:val="18"/>
              </w:rPr>
              <w:t>$'000</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b/>
                <w:bCs/>
                <w:szCs w:val="18"/>
              </w:rPr>
            </w:pPr>
            <w:r>
              <w:rPr>
                <w:rFonts w:cs="Arial"/>
                <w:b/>
                <w:bCs/>
                <w:szCs w:val="18"/>
              </w:rPr>
              <w:t>Expenses</w:t>
            </w:r>
          </w:p>
        </w:tc>
        <w:tc>
          <w:tcPr>
            <w:tcW w:w="1191" w:type="dxa"/>
            <w:tcBorders>
              <w:top w:val="nil"/>
              <w:left w:val="single" w:sz="4" w:space="0" w:color="auto"/>
              <w:bottom w:val="single" w:sz="4" w:space="0" w:color="auto"/>
              <w:right w:val="single" w:sz="4" w:space="0" w:color="auto"/>
            </w:tcBorders>
            <w:shd w:val="clear" w:color="FFFFFF" w:fill="FFFFFF"/>
            <w:noWrap/>
            <w:hideMark/>
          </w:tcPr>
          <w:p w:rsidR="00735613" w:rsidRDefault="00735613" w:rsidP="00735613">
            <w:pPr>
              <w:spacing w:line="240" w:lineRule="auto"/>
              <w:rPr>
                <w:rFonts w:cs="Arial"/>
                <w:sz w:val="16"/>
                <w:szCs w:val="16"/>
              </w:rPr>
            </w:pPr>
            <w:r>
              <w:rPr>
                <w:rFonts w:cs="Arial"/>
                <w:sz w:val="16"/>
                <w:szCs w:val="16"/>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 w:val="16"/>
                <w:szCs w:val="16"/>
              </w:rPr>
            </w:pPr>
            <w:r>
              <w:rPr>
                <w:rFonts w:cs="Arial"/>
                <w:sz w:val="16"/>
                <w:szCs w:val="16"/>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 w:val="16"/>
                <w:szCs w:val="16"/>
              </w:rPr>
            </w:pPr>
            <w:r>
              <w:rPr>
                <w:rFonts w:cs="Arial"/>
                <w:sz w:val="16"/>
                <w:szCs w:val="16"/>
              </w:rPr>
              <w:t> </w:t>
            </w:r>
          </w:p>
        </w:tc>
        <w:tc>
          <w:tcPr>
            <w:tcW w:w="1193"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 w:val="16"/>
                <w:szCs w:val="16"/>
              </w:rPr>
            </w:pPr>
            <w:r>
              <w:rPr>
                <w:rFonts w:cs="Arial"/>
                <w:sz w:val="16"/>
                <w:szCs w:val="16"/>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 w:val="16"/>
                <w:szCs w:val="16"/>
              </w:rPr>
            </w:pPr>
            <w:r>
              <w:rPr>
                <w:rFonts w:cs="Arial"/>
                <w:sz w:val="16"/>
                <w:szCs w:val="16"/>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 w:val="16"/>
                <w:szCs w:val="16"/>
              </w:rPr>
            </w:pPr>
            <w:r>
              <w:rPr>
                <w:rFonts w:cs="Arial"/>
                <w:sz w:val="16"/>
                <w:szCs w:val="16"/>
              </w:rPr>
              <w:t> </w:t>
            </w:r>
          </w:p>
        </w:tc>
        <w:tc>
          <w:tcPr>
            <w:tcW w:w="997"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 w:val="16"/>
                <w:szCs w:val="16"/>
              </w:rPr>
            </w:pPr>
            <w:r>
              <w:rPr>
                <w:rFonts w:cs="Arial"/>
                <w:sz w:val="16"/>
                <w:szCs w:val="16"/>
              </w:rPr>
              <w:t> </w:t>
            </w:r>
          </w:p>
        </w:tc>
        <w:tc>
          <w:tcPr>
            <w:tcW w:w="998"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 w:val="16"/>
                <w:szCs w:val="16"/>
              </w:rPr>
            </w:pPr>
            <w:r>
              <w:rPr>
                <w:rFonts w:cs="Arial"/>
                <w:sz w:val="16"/>
                <w:szCs w:val="16"/>
              </w:rPr>
              <w:t> </w:t>
            </w:r>
          </w:p>
        </w:tc>
        <w:tc>
          <w:tcPr>
            <w:tcW w:w="1193"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 w:val="16"/>
                <w:szCs w:val="16"/>
              </w:rPr>
            </w:pPr>
            <w:r>
              <w:rPr>
                <w:rFonts w:cs="Arial"/>
                <w:sz w:val="16"/>
                <w:szCs w:val="16"/>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 w:val="16"/>
                <w:szCs w:val="16"/>
              </w:rPr>
            </w:pPr>
            <w:r>
              <w:rPr>
                <w:rFonts w:cs="Arial"/>
                <w:sz w:val="16"/>
                <w:szCs w:val="16"/>
              </w:rPr>
              <w:t>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Employee benefits</w:t>
            </w:r>
          </w:p>
        </w:tc>
        <w:tc>
          <w:tcPr>
            <w:tcW w:w="1191"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40,384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38,228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64,448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62,777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101,729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53,617 </w:t>
            </w:r>
          </w:p>
        </w:tc>
        <w:tc>
          <w:tcPr>
            <w:tcW w:w="99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206,561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154,622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Suppliers</w:t>
            </w:r>
          </w:p>
        </w:tc>
        <w:tc>
          <w:tcPr>
            <w:tcW w:w="1191"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18,717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18,662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29,504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30,634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52,958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19,612 </w:t>
            </w:r>
          </w:p>
        </w:tc>
        <w:tc>
          <w:tcPr>
            <w:tcW w:w="99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101,179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68,908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Depreciation</w:t>
            </w:r>
          </w:p>
        </w:tc>
        <w:tc>
          <w:tcPr>
            <w:tcW w:w="1191"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5,728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5,021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8,103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8,245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13,087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7,042 </w:t>
            </w:r>
          </w:p>
        </w:tc>
        <w:tc>
          <w:tcPr>
            <w:tcW w:w="99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26,918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20,308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Grants</w:t>
            </w:r>
          </w:p>
        </w:tc>
        <w:tc>
          <w:tcPr>
            <w:tcW w:w="1191"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25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232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99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257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Other</w:t>
            </w:r>
          </w:p>
        </w:tc>
        <w:tc>
          <w:tcPr>
            <w:tcW w:w="1191"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60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301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204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493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2,653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422 </w:t>
            </w:r>
          </w:p>
        </w:tc>
        <w:tc>
          <w:tcPr>
            <w:tcW w:w="99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2,917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1,216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b/>
                <w:bCs/>
                <w:szCs w:val="18"/>
              </w:rPr>
            </w:pPr>
            <w:r>
              <w:rPr>
                <w:rFonts w:cs="Arial"/>
                <w:b/>
                <w:bCs/>
                <w:szCs w:val="18"/>
              </w:rPr>
              <w:t>Total expenses</w:t>
            </w:r>
          </w:p>
        </w:tc>
        <w:tc>
          <w:tcPr>
            <w:tcW w:w="1191"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64,889</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62,212</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102,284</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102,149</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170,659</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80,693</w:t>
            </w:r>
          </w:p>
        </w:tc>
        <w:tc>
          <w:tcPr>
            <w:tcW w:w="99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337,832</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245,054</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b/>
                <w:bCs/>
                <w:szCs w:val="18"/>
              </w:rPr>
            </w:pPr>
            <w:r>
              <w:rPr>
                <w:rFonts w:cs="Arial"/>
                <w:b/>
                <w:bCs/>
                <w:szCs w:val="18"/>
              </w:rPr>
              <w:t> </w:t>
            </w:r>
          </w:p>
        </w:tc>
        <w:tc>
          <w:tcPr>
            <w:tcW w:w="1191" w:type="dxa"/>
            <w:tcBorders>
              <w:top w:val="nil"/>
              <w:left w:val="single" w:sz="4" w:space="0" w:color="auto"/>
              <w:bottom w:val="single" w:sz="4" w:space="0" w:color="auto"/>
              <w:right w:val="single" w:sz="4" w:space="0" w:color="auto"/>
            </w:tcBorders>
            <w:shd w:val="clear" w:color="FFFFFF" w:fill="FFFFFF"/>
            <w:noWrap/>
            <w:hideMark/>
          </w:tcPr>
          <w:p w:rsidR="00735613" w:rsidRDefault="00735613" w:rsidP="00735613">
            <w:pPr>
              <w:spacing w:line="240" w:lineRule="auto"/>
              <w:rPr>
                <w:rFonts w:cs="Arial"/>
                <w:b/>
                <w:bCs/>
                <w:szCs w:val="18"/>
              </w:rPr>
            </w:pPr>
            <w:r>
              <w:rPr>
                <w:rFonts w:cs="Arial"/>
                <w:b/>
                <w:bCs/>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b/>
                <w:bCs/>
                <w:szCs w:val="18"/>
              </w:rPr>
            </w:pPr>
            <w:r>
              <w:rPr>
                <w:rFonts w:cs="Arial"/>
                <w:b/>
                <w:bCs/>
                <w:szCs w:val="18"/>
              </w:rPr>
              <w:t> </w:t>
            </w:r>
          </w:p>
        </w:tc>
        <w:tc>
          <w:tcPr>
            <w:tcW w:w="1193"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b/>
                <w:bCs/>
                <w:szCs w:val="18"/>
              </w:rPr>
            </w:pPr>
            <w:r>
              <w:rPr>
                <w:rFonts w:cs="Arial"/>
                <w:b/>
                <w:bCs/>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997"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b/>
                <w:bCs/>
                <w:szCs w:val="18"/>
              </w:rPr>
            </w:pPr>
            <w:r>
              <w:rPr>
                <w:rFonts w:cs="Arial"/>
                <w:b/>
                <w:bCs/>
                <w:szCs w:val="18"/>
              </w:rPr>
              <w:t> </w:t>
            </w:r>
          </w:p>
        </w:tc>
        <w:tc>
          <w:tcPr>
            <w:tcW w:w="998"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3"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b/>
                <w:bCs/>
                <w:szCs w:val="18"/>
              </w:rPr>
            </w:pPr>
            <w:r>
              <w:rPr>
                <w:rFonts w:cs="Arial"/>
                <w:b/>
                <w:bCs/>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b/>
                <w:bCs/>
                <w:szCs w:val="18"/>
              </w:rPr>
            </w:pPr>
            <w:r>
              <w:rPr>
                <w:rFonts w:cs="Arial"/>
                <w:b/>
                <w:bCs/>
                <w:szCs w:val="18"/>
              </w:rPr>
              <w:t>Own-Source Income</w:t>
            </w:r>
          </w:p>
        </w:tc>
        <w:tc>
          <w:tcPr>
            <w:tcW w:w="1191" w:type="dxa"/>
            <w:tcBorders>
              <w:top w:val="nil"/>
              <w:left w:val="single" w:sz="4" w:space="0" w:color="auto"/>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3"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997"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998"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3"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Sale of goods and rendering of services</w:t>
            </w:r>
          </w:p>
        </w:tc>
        <w:tc>
          <w:tcPr>
            <w:tcW w:w="1191"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7,145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4,276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6,701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7,188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16,539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6,603 </w:t>
            </w:r>
          </w:p>
        </w:tc>
        <w:tc>
          <w:tcPr>
            <w:tcW w:w="99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30,385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18,067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Income from government</w:t>
            </w:r>
          </w:p>
        </w:tc>
        <w:tc>
          <w:tcPr>
            <w:tcW w:w="1191"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59,079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49,744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83,572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84,103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134,203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62,255 </w:t>
            </w:r>
          </w:p>
        </w:tc>
        <w:tc>
          <w:tcPr>
            <w:tcW w:w="99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276,854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196,102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Other</w:t>
            </w:r>
          </w:p>
        </w:tc>
        <w:tc>
          <w:tcPr>
            <w:tcW w:w="1191"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577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1,040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813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1,438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5,608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5,869 </w:t>
            </w:r>
          </w:p>
        </w:tc>
        <w:tc>
          <w:tcPr>
            <w:tcW w:w="99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6,998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8,347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b/>
                <w:bCs/>
                <w:szCs w:val="18"/>
              </w:rPr>
            </w:pPr>
            <w:r>
              <w:rPr>
                <w:rFonts w:cs="Arial"/>
                <w:b/>
                <w:bCs/>
                <w:szCs w:val="18"/>
              </w:rPr>
              <w:t>Total own-source income</w:t>
            </w:r>
          </w:p>
        </w:tc>
        <w:tc>
          <w:tcPr>
            <w:tcW w:w="1191"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66,801</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55,060</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91,086</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92,729</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156,350</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74,727</w:t>
            </w:r>
          </w:p>
        </w:tc>
        <w:tc>
          <w:tcPr>
            <w:tcW w:w="99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314,237</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222,516</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b/>
                <w:bCs/>
                <w:szCs w:val="18"/>
              </w:rPr>
            </w:pPr>
            <w:r>
              <w:rPr>
                <w:rFonts w:cs="Arial"/>
                <w:b/>
                <w:bCs/>
                <w:szCs w:val="18"/>
              </w:rPr>
              <w:t> </w:t>
            </w:r>
          </w:p>
        </w:tc>
        <w:tc>
          <w:tcPr>
            <w:tcW w:w="1191" w:type="dxa"/>
            <w:tcBorders>
              <w:top w:val="nil"/>
              <w:left w:val="single" w:sz="4" w:space="0" w:color="auto"/>
              <w:bottom w:val="single" w:sz="4" w:space="0" w:color="auto"/>
              <w:right w:val="single" w:sz="4" w:space="0" w:color="auto"/>
            </w:tcBorders>
            <w:shd w:val="clear" w:color="FFFFFF" w:fill="FFFFFF"/>
            <w:noWrap/>
            <w:hideMark/>
          </w:tcPr>
          <w:p w:rsidR="00735613" w:rsidRDefault="00735613" w:rsidP="00735613">
            <w:pPr>
              <w:spacing w:line="240" w:lineRule="auto"/>
              <w:rPr>
                <w:rFonts w:cs="Arial"/>
                <w:b/>
                <w:bCs/>
                <w:szCs w:val="18"/>
              </w:rPr>
            </w:pPr>
            <w:r>
              <w:rPr>
                <w:rFonts w:cs="Arial"/>
                <w:b/>
                <w:bCs/>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b/>
                <w:bCs/>
                <w:szCs w:val="18"/>
              </w:rPr>
            </w:pPr>
            <w:r>
              <w:rPr>
                <w:rFonts w:cs="Arial"/>
                <w:b/>
                <w:bCs/>
                <w:szCs w:val="18"/>
              </w:rPr>
              <w:t> </w:t>
            </w:r>
          </w:p>
        </w:tc>
        <w:tc>
          <w:tcPr>
            <w:tcW w:w="1193"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b/>
                <w:bCs/>
                <w:szCs w:val="18"/>
              </w:rPr>
            </w:pPr>
            <w:r>
              <w:rPr>
                <w:rFonts w:cs="Arial"/>
                <w:b/>
                <w:bCs/>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997"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b/>
                <w:bCs/>
                <w:szCs w:val="18"/>
              </w:rPr>
            </w:pPr>
            <w:r>
              <w:rPr>
                <w:rFonts w:cs="Arial"/>
                <w:b/>
                <w:bCs/>
                <w:szCs w:val="18"/>
              </w:rPr>
              <w:t> </w:t>
            </w:r>
          </w:p>
        </w:tc>
        <w:tc>
          <w:tcPr>
            <w:tcW w:w="998"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3"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b/>
                <w:bCs/>
                <w:szCs w:val="18"/>
              </w:rPr>
            </w:pPr>
            <w:r>
              <w:rPr>
                <w:rFonts w:cs="Arial"/>
                <w:b/>
                <w:bCs/>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b/>
                <w:bCs/>
                <w:szCs w:val="18"/>
              </w:rPr>
            </w:pPr>
            <w:r>
              <w:rPr>
                <w:rFonts w:cs="Arial"/>
                <w:b/>
                <w:bCs/>
                <w:szCs w:val="18"/>
              </w:rPr>
              <w:t>Assets</w:t>
            </w:r>
          </w:p>
        </w:tc>
        <w:tc>
          <w:tcPr>
            <w:tcW w:w="1191" w:type="dxa"/>
            <w:tcBorders>
              <w:top w:val="nil"/>
              <w:left w:val="single" w:sz="4" w:space="0" w:color="auto"/>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3"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997"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998"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3"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Cash and cash equivalents</w:t>
            </w:r>
          </w:p>
        </w:tc>
        <w:tc>
          <w:tcPr>
            <w:tcW w:w="1191"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2,286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99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7,531 </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8,429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9,817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8,429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Trade and other receivables</w:t>
            </w:r>
          </w:p>
        </w:tc>
        <w:tc>
          <w:tcPr>
            <w:tcW w:w="1191"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8,596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16,031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14,116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35,798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12,057 </w:t>
            </w:r>
          </w:p>
        </w:tc>
        <w:tc>
          <w:tcPr>
            <w:tcW w:w="99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51,829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34,769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Other financial assets</w:t>
            </w:r>
          </w:p>
        </w:tc>
        <w:tc>
          <w:tcPr>
            <w:tcW w:w="1191"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2,500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1,013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4,106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2,263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3,507 </w:t>
            </w:r>
          </w:p>
        </w:tc>
        <w:tc>
          <w:tcPr>
            <w:tcW w:w="99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3,276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10,113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Land and buildings</w:t>
            </w:r>
          </w:p>
        </w:tc>
        <w:tc>
          <w:tcPr>
            <w:tcW w:w="1191"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13,141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13,027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22,185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29,091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15,541 </w:t>
            </w:r>
          </w:p>
        </w:tc>
        <w:tc>
          <w:tcPr>
            <w:tcW w:w="99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42,118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50,867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Infrastructure, plant and equipment</w:t>
            </w:r>
          </w:p>
        </w:tc>
        <w:tc>
          <w:tcPr>
            <w:tcW w:w="1191"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2,966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3,504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5,007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7,823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3,481 </w:t>
            </w:r>
          </w:p>
        </w:tc>
        <w:tc>
          <w:tcPr>
            <w:tcW w:w="99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11,327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11,454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Intangibles</w:t>
            </w:r>
          </w:p>
        </w:tc>
        <w:tc>
          <w:tcPr>
            <w:tcW w:w="1191"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16,466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28,157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27,797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42,246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19,287 </w:t>
            </w:r>
          </w:p>
        </w:tc>
        <w:tc>
          <w:tcPr>
            <w:tcW w:w="99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70,403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63,550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Other non-financial assets</w:t>
            </w:r>
          </w:p>
        </w:tc>
        <w:tc>
          <w:tcPr>
            <w:tcW w:w="1191" w:type="dxa"/>
            <w:tcBorders>
              <w:top w:val="nil"/>
              <w:left w:val="single" w:sz="4" w:space="0" w:color="auto"/>
              <w:bottom w:val="single" w:sz="4" w:space="0" w:color="auto"/>
              <w:right w:val="single" w:sz="4" w:space="0" w:color="auto"/>
            </w:tcBorders>
            <w:shd w:val="clear" w:color="FFFFFF" w:fill="FFFFFF"/>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2,126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jc w:val="right"/>
              <w:rPr>
                <w:rFonts w:cs="Arial"/>
                <w:b/>
                <w:bCs/>
                <w:szCs w:val="18"/>
              </w:rPr>
            </w:pPr>
            <w:r>
              <w:rPr>
                <w:rFonts w:cs="Arial"/>
                <w:b/>
                <w:bCs/>
                <w:szCs w:val="18"/>
              </w:rPr>
              <w:t xml:space="preserve">3,318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3,491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jc w:val="right"/>
              <w:rPr>
                <w:rFonts w:cs="Arial"/>
                <w:b/>
                <w:bCs/>
                <w:szCs w:val="18"/>
              </w:rPr>
            </w:pPr>
            <w:r>
              <w:rPr>
                <w:rFonts w:cs="Arial"/>
                <w:b/>
                <w:bCs/>
                <w:szCs w:val="18"/>
              </w:rPr>
              <w:t xml:space="preserve">7,410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2,982 </w:t>
            </w:r>
          </w:p>
        </w:tc>
        <w:tc>
          <w:tcPr>
            <w:tcW w:w="997"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10,728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8,599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b/>
                <w:bCs/>
                <w:szCs w:val="18"/>
              </w:rPr>
            </w:pPr>
            <w:r>
              <w:rPr>
                <w:rFonts w:cs="Arial"/>
                <w:b/>
                <w:bCs/>
                <w:szCs w:val="18"/>
              </w:rPr>
              <w:t>Total assets</w:t>
            </w:r>
          </w:p>
        </w:tc>
        <w:tc>
          <w:tcPr>
            <w:tcW w:w="1191"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45,795</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65,050</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76,702</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126,917</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56,855</w:t>
            </w:r>
          </w:p>
        </w:tc>
        <w:tc>
          <w:tcPr>
            <w:tcW w:w="99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7,531</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8,429</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199,498</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187,781</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b/>
                <w:bCs/>
                <w:szCs w:val="18"/>
              </w:rPr>
            </w:pPr>
            <w:r>
              <w:rPr>
                <w:rFonts w:cs="Arial"/>
                <w:b/>
                <w:bCs/>
                <w:szCs w:val="18"/>
              </w:rPr>
              <w:t> </w:t>
            </w:r>
          </w:p>
        </w:tc>
        <w:tc>
          <w:tcPr>
            <w:tcW w:w="1191" w:type="dxa"/>
            <w:tcBorders>
              <w:top w:val="nil"/>
              <w:left w:val="single" w:sz="4" w:space="0" w:color="auto"/>
              <w:bottom w:val="single" w:sz="4" w:space="0" w:color="auto"/>
              <w:right w:val="single" w:sz="4" w:space="0" w:color="auto"/>
            </w:tcBorders>
            <w:shd w:val="clear" w:color="FFFFFF" w:fill="FFFFFF"/>
            <w:noWrap/>
            <w:hideMark/>
          </w:tcPr>
          <w:p w:rsidR="00735613" w:rsidRDefault="00735613" w:rsidP="00735613">
            <w:pPr>
              <w:spacing w:line="240" w:lineRule="auto"/>
              <w:rPr>
                <w:rFonts w:cs="Arial"/>
                <w:b/>
                <w:bCs/>
                <w:szCs w:val="18"/>
              </w:rPr>
            </w:pPr>
            <w:r>
              <w:rPr>
                <w:rFonts w:cs="Arial"/>
                <w:b/>
                <w:bCs/>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b/>
                <w:bCs/>
                <w:szCs w:val="18"/>
              </w:rPr>
            </w:pPr>
            <w:r>
              <w:rPr>
                <w:rFonts w:cs="Arial"/>
                <w:b/>
                <w:bCs/>
                <w:szCs w:val="18"/>
              </w:rPr>
              <w:t> </w:t>
            </w:r>
          </w:p>
        </w:tc>
        <w:tc>
          <w:tcPr>
            <w:tcW w:w="1193"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b/>
                <w:bCs/>
                <w:szCs w:val="18"/>
              </w:rPr>
            </w:pPr>
            <w:r>
              <w:rPr>
                <w:rFonts w:cs="Arial"/>
                <w:b/>
                <w:bCs/>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997"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b/>
                <w:bCs/>
                <w:szCs w:val="18"/>
              </w:rPr>
            </w:pPr>
            <w:r>
              <w:rPr>
                <w:rFonts w:cs="Arial"/>
                <w:b/>
                <w:bCs/>
                <w:szCs w:val="18"/>
              </w:rPr>
              <w:t> </w:t>
            </w:r>
          </w:p>
        </w:tc>
        <w:tc>
          <w:tcPr>
            <w:tcW w:w="998"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3"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b/>
                <w:bCs/>
                <w:szCs w:val="18"/>
              </w:rPr>
            </w:pPr>
            <w:r>
              <w:rPr>
                <w:rFonts w:cs="Arial"/>
                <w:b/>
                <w:bCs/>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b/>
                <w:bCs/>
                <w:szCs w:val="18"/>
              </w:rPr>
            </w:pPr>
            <w:r>
              <w:rPr>
                <w:rFonts w:cs="Arial"/>
                <w:b/>
                <w:bCs/>
                <w:szCs w:val="18"/>
              </w:rPr>
              <w:t>Liabilities</w:t>
            </w:r>
          </w:p>
        </w:tc>
        <w:tc>
          <w:tcPr>
            <w:tcW w:w="1191" w:type="dxa"/>
            <w:tcBorders>
              <w:top w:val="nil"/>
              <w:left w:val="single" w:sz="4" w:space="0" w:color="auto"/>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3"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997"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998"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3"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rPr>
                <w:rFonts w:cs="Arial"/>
                <w:szCs w:val="18"/>
              </w:rPr>
            </w:pPr>
            <w:r>
              <w:rPr>
                <w:rFonts w:cs="Arial"/>
                <w:szCs w:val="18"/>
              </w:rPr>
              <w:t>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Suppliers</w:t>
            </w:r>
          </w:p>
        </w:tc>
        <w:tc>
          <w:tcPr>
            <w:tcW w:w="1191"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3,740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7,267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6,272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16,228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4,588 </w:t>
            </w:r>
          </w:p>
        </w:tc>
        <w:tc>
          <w:tcPr>
            <w:tcW w:w="99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23,495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14,600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Other payables</w:t>
            </w:r>
          </w:p>
        </w:tc>
        <w:tc>
          <w:tcPr>
            <w:tcW w:w="1191"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9,806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8,958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16,575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20,005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11,371 </w:t>
            </w:r>
          </w:p>
        </w:tc>
        <w:tc>
          <w:tcPr>
            <w:tcW w:w="99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28,963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37,752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Employee provisions</w:t>
            </w:r>
          </w:p>
        </w:tc>
        <w:tc>
          <w:tcPr>
            <w:tcW w:w="1191"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15,819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16,943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26,704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37,835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18,529 </w:t>
            </w:r>
          </w:p>
        </w:tc>
        <w:tc>
          <w:tcPr>
            <w:tcW w:w="99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54,778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61,052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szCs w:val="18"/>
              </w:rPr>
            </w:pPr>
            <w:r>
              <w:rPr>
                <w:rFonts w:cs="Arial"/>
                <w:szCs w:val="18"/>
              </w:rPr>
              <w:t>Other provisions</w:t>
            </w:r>
          </w:p>
        </w:tc>
        <w:tc>
          <w:tcPr>
            <w:tcW w:w="1191" w:type="dxa"/>
            <w:tcBorders>
              <w:top w:val="nil"/>
              <w:left w:val="single" w:sz="4" w:space="0" w:color="auto"/>
              <w:bottom w:val="single" w:sz="4" w:space="0" w:color="auto"/>
              <w:right w:val="single" w:sz="4" w:space="0" w:color="auto"/>
            </w:tcBorders>
            <w:shd w:val="clear" w:color="FFFFFF" w:fill="FFFFFF"/>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349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jc w:val="right"/>
              <w:rPr>
                <w:rFonts w:cs="Arial"/>
                <w:b/>
                <w:bCs/>
                <w:szCs w:val="18"/>
              </w:rPr>
            </w:pPr>
            <w:r>
              <w:rPr>
                <w:rFonts w:cs="Arial"/>
                <w:b/>
                <w:bCs/>
                <w:szCs w:val="18"/>
              </w:rPr>
              <w:t xml:space="preserve">961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588 </w:t>
            </w:r>
          </w:p>
        </w:tc>
        <w:tc>
          <w:tcPr>
            <w:tcW w:w="1192"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jc w:val="right"/>
              <w:rPr>
                <w:rFonts w:cs="Arial"/>
                <w:b/>
                <w:bCs/>
                <w:szCs w:val="18"/>
              </w:rPr>
            </w:pPr>
            <w:r>
              <w:rPr>
                <w:rFonts w:cs="Arial"/>
                <w:b/>
                <w:bCs/>
                <w:szCs w:val="18"/>
              </w:rPr>
              <w:t xml:space="preserve">2,145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408 </w:t>
            </w:r>
          </w:p>
        </w:tc>
        <w:tc>
          <w:tcPr>
            <w:tcW w:w="997" w:type="dxa"/>
            <w:tcBorders>
              <w:top w:val="nil"/>
              <w:left w:val="nil"/>
              <w:bottom w:val="single" w:sz="4" w:space="0" w:color="auto"/>
              <w:right w:val="single" w:sz="4" w:space="0" w:color="auto"/>
            </w:tcBorders>
            <w:shd w:val="clear" w:color="FFFFFF" w:fill="FFFFFF"/>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 xml:space="preserve">3,106 </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 xml:space="preserve">1,345 </w:t>
            </w:r>
          </w:p>
        </w:tc>
      </w:tr>
      <w:tr w:rsidR="00735613" w:rsidTr="00735613">
        <w:trPr>
          <w:trHeight w:val="170"/>
        </w:trPr>
        <w:tc>
          <w:tcPr>
            <w:tcW w:w="2459" w:type="dxa"/>
            <w:tcBorders>
              <w:top w:val="nil"/>
              <w:left w:val="single" w:sz="4" w:space="0" w:color="auto"/>
              <w:bottom w:val="single" w:sz="4" w:space="0" w:color="auto"/>
              <w:right w:val="nil"/>
            </w:tcBorders>
            <w:shd w:val="clear" w:color="FFFFFF" w:fill="FFFFFF"/>
            <w:vAlign w:val="bottom"/>
            <w:hideMark/>
          </w:tcPr>
          <w:p w:rsidR="00735613" w:rsidRDefault="00735613" w:rsidP="00735613">
            <w:pPr>
              <w:spacing w:line="240" w:lineRule="auto"/>
              <w:rPr>
                <w:rFonts w:cs="Arial"/>
                <w:b/>
                <w:bCs/>
                <w:szCs w:val="18"/>
              </w:rPr>
            </w:pPr>
            <w:r>
              <w:rPr>
                <w:rFonts w:cs="Arial"/>
                <w:b/>
                <w:bCs/>
                <w:szCs w:val="18"/>
              </w:rPr>
              <w:t>Total liabilities</w:t>
            </w:r>
          </w:p>
        </w:tc>
        <w:tc>
          <w:tcPr>
            <w:tcW w:w="1191" w:type="dxa"/>
            <w:tcBorders>
              <w:top w:val="nil"/>
              <w:left w:val="single" w:sz="4" w:space="0" w:color="auto"/>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29,714</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34,129</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50,139</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76,213</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34,896</w:t>
            </w:r>
          </w:p>
        </w:tc>
        <w:tc>
          <w:tcPr>
            <w:tcW w:w="997"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w:t>
            </w:r>
          </w:p>
        </w:tc>
        <w:tc>
          <w:tcPr>
            <w:tcW w:w="998"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w:t>
            </w:r>
          </w:p>
        </w:tc>
        <w:tc>
          <w:tcPr>
            <w:tcW w:w="1193"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b/>
                <w:bCs/>
                <w:szCs w:val="18"/>
              </w:rPr>
            </w:pPr>
            <w:r>
              <w:rPr>
                <w:rFonts w:cs="Arial"/>
                <w:b/>
                <w:bCs/>
                <w:szCs w:val="18"/>
              </w:rPr>
              <w:t>110,342</w:t>
            </w:r>
          </w:p>
        </w:tc>
        <w:tc>
          <w:tcPr>
            <w:tcW w:w="1192" w:type="dxa"/>
            <w:tcBorders>
              <w:top w:val="nil"/>
              <w:left w:val="nil"/>
              <w:bottom w:val="single" w:sz="4" w:space="0" w:color="auto"/>
              <w:right w:val="single" w:sz="4" w:space="0" w:color="auto"/>
            </w:tcBorders>
            <w:shd w:val="clear" w:color="FFFFFF" w:fill="FFFFFF"/>
            <w:noWrap/>
            <w:vAlign w:val="bottom"/>
            <w:hideMark/>
          </w:tcPr>
          <w:p w:rsidR="00735613" w:rsidRDefault="00735613" w:rsidP="00735613">
            <w:pPr>
              <w:spacing w:line="240" w:lineRule="auto"/>
              <w:jc w:val="right"/>
              <w:rPr>
                <w:rFonts w:cs="Arial"/>
                <w:szCs w:val="18"/>
              </w:rPr>
            </w:pPr>
            <w:r>
              <w:rPr>
                <w:rFonts w:cs="Arial"/>
                <w:szCs w:val="18"/>
              </w:rPr>
              <w:t>114,749</w:t>
            </w:r>
          </w:p>
        </w:tc>
      </w:tr>
    </w:tbl>
    <w:p w:rsidR="00735613" w:rsidRDefault="00735613" w:rsidP="00735613">
      <w:pPr>
        <w:pStyle w:val="AdminBlankGreyShade"/>
      </w:pPr>
      <w:bookmarkStart w:id="647" w:name="RANGE!D34:N106"/>
      <w:bookmarkStart w:id="648" w:name="RANGE!D34:P106"/>
      <w:bookmarkStart w:id="649" w:name="RANGE!D34:J106"/>
      <w:bookmarkStart w:id="650" w:name="RANGE!D34:J105"/>
      <w:bookmarkStart w:id="651" w:name="RANGE!D34:L105"/>
      <w:bookmarkStart w:id="652" w:name="RANGE!D34:L101"/>
      <w:bookmarkStart w:id="653" w:name="RANGE!D34:L104"/>
      <w:bookmarkStart w:id="654" w:name="RANGE!D34:L103"/>
      <w:bookmarkStart w:id="655" w:name="RANGE!D34:L102"/>
      <w:bookmarkStart w:id="656" w:name="RANGE!D44:L76"/>
      <w:bookmarkStart w:id="657" w:name="RANGE!D33:L101"/>
      <w:bookmarkStart w:id="658" w:name="RANGE!D33:L102"/>
      <w:bookmarkStart w:id="659" w:name="RANGE!D33:L103"/>
      <w:bookmarkEnd w:id="647"/>
      <w:bookmarkEnd w:id="648"/>
      <w:bookmarkEnd w:id="649"/>
      <w:bookmarkEnd w:id="650"/>
      <w:bookmarkEnd w:id="651"/>
      <w:bookmarkEnd w:id="652"/>
      <w:bookmarkEnd w:id="653"/>
      <w:bookmarkEnd w:id="654"/>
      <w:bookmarkEnd w:id="655"/>
      <w:bookmarkEnd w:id="656"/>
      <w:bookmarkEnd w:id="657"/>
      <w:bookmarkEnd w:id="658"/>
      <w:bookmarkEnd w:id="659"/>
      <w:r>
        <w:t xml:space="preserve">Outcomes 1 to 3 are described in Note 1.1. Net costs shown include intra-government costs that are eliminated in calculating the actual Budget Outcome. Refer to Appendix 2 of this annual </w:t>
      </w:r>
      <w:r>
        <w:br/>
        <w:t xml:space="preserve">report for Agency resource statements and resources.  </w:t>
      </w:r>
    </w:p>
    <w:p w:rsidR="00735613" w:rsidRDefault="00735613" w:rsidP="00735613">
      <w:pPr>
        <w:pStyle w:val="AdminBlankGreyShade"/>
      </w:pPr>
      <w:proofErr w:type="gramStart"/>
      <w:r w:rsidRPr="000F62A2">
        <w:rPr>
          <w:vertAlign w:val="superscript"/>
        </w:rPr>
        <w:t>1</w:t>
      </w:r>
      <w:r>
        <w:t xml:space="preserve"> Assets and liabilities that could not be reliably attributed to outcomes.</w:t>
      </w:r>
      <w:proofErr w:type="gramEnd"/>
      <w:r>
        <w:br w:type="page"/>
      </w:r>
    </w:p>
    <w:tbl>
      <w:tblPr>
        <w:tblW w:w="13991" w:type="dxa"/>
        <w:tblInd w:w="80" w:type="dxa"/>
        <w:tblLayout w:type="fixed"/>
        <w:tblCellMar>
          <w:left w:w="57" w:type="dxa"/>
          <w:right w:w="57" w:type="dxa"/>
        </w:tblCellMar>
        <w:tblLook w:val="04A0" w:firstRow="1" w:lastRow="0" w:firstColumn="1" w:lastColumn="0" w:noHBand="0" w:noVBand="1"/>
      </w:tblPr>
      <w:tblGrid>
        <w:gridCol w:w="2414"/>
        <w:gridCol w:w="1000"/>
        <w:gridCol w:w="1000"/>
        <w:gridCol w:w="999"/>
        <w:gridCol w:w="999"/>
        <w:gridCol w:w="999"/>
        <w:gridCol w:w="1000"/>
        <w:gridCol w:w="904"/>
        <w:gridCol w:w="904"/>
        <w:gridCol w:w="856"/>
        <w:gridCol w:w="856"/>
        <w:gridCol w:w="1030"/>
        <w:gridCol w:w="1030"/>
      </w:tblGrid>
      <w:tr w:rsidR="00735613" w:rsidTr="00735613">
        <w:trPr>
          <w:trHeight w:val="142"/>
        </w:trPr>
        <w:tc>
          <w:tcPr>
            <w:tcW w:w="12917" w:type="dxa"/>
            <w:gridSpan w:val="12"/>
            <w:tcBorders>
              <w:top w:val="nil"/>
              <w:left w:val="nil"/>
              <w:bottom w:val="nil"/>
              <w:right w:val="nil"/>
            </w:tcBorders>
            <w:shd w:val="clear" w:color="auto" w:fill="auto"/>
            <w:noWrap/>
            <w:vAlign w:val="bottom"/>
            <w:hideMark/>
          </w:tcPr>
          <w:p w:rsidR="00735613" w:rsidRDefault="00735613" w:rsidP="00735613">
            <w:pPr>
              <w:spacing w:line="240" w:lineRule="auto"/>
              <w:rPr>
                <w:rFonts w:cs="Arial"/>
                <w:b/>
                <w:bCs/>
                <w:szCs w:val="18"/>
                <w:u w:val="single"/>
              </w:rPr>
            </w:pPr>
            <w:bookmarkStart w:id="660" w:name="Note_AMCTABLE1" w:colFirst="0" w:colLast="0"/>
            <w:r>
              <w:rPr>
                <w:rFonts w:cs="Arial"/>
                <w:b/>
                <w:bCs/>
                <w:szCs w:val="18"/>
                <w:u w:val="single"/>
              </w:rPr>
              <w:t>Note 31C: Major classes of administered expenses, income, assets, and liabilities by outcomes</w:t>
            </w:r>
          </w:p>
        </w:tc>
        <w:tc>
          <w:tcPr>
            <w:tcW w:w="1027" w:type="dxa"/>
            <w:tcBorders>
              <w:top w:val="nil"/>
              <w:left w:val="nil"/>
              <w:bottom w:val="nil"/>
              <w:right w:val="nil"/>
            </w:tcBorders>
            <w:shd w:val="clear" w:color="auto" w:fill="auto"/>
            <w:hideMark/>
          </w:tcPr>
          <w:p w:rsidR="00735613" w:rsidRDefault="00735613" w:rsidP="00735613">
            <w:pPr>
              <w:spacing w:line="240" w:lineRule="auto"/>
              <w:rPr>
                <w:rFonts w:cs="Arial"/>
                <w:b/>
                <w:bCs/>
                <w:szCs w:val="18"/>
                <w:u w:val="single"/>
              </w:rPr>
            </w:pPr>
          </w:p>
        </w:tc>
      </w:tr>
      <w:bookmarkEnd w:id="660"/>
      <w:tr w:rsidR="00735613" w:rsidTr="00735613">
        <w:trPr>
          <w:trHeight w:val="142"/>
        </w:trPr>
        <w:tc>
          <w:tcPr>
            <w:tcW w:w="2405" w:type="dxa"/>
            <w:tcBorders>
              <w:top w:val="single" w:sz="4" w:space="0" w:color="auto"/>
              <w:left w:val="single" w:sz="4" w:space="0" w:color="auto"/>
              <w:bottom w:val="single" w:sz="4" w:space="0" w:color="D9D9D9"/>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1992" w:type="dxa"/>
            <w:gridSpan w:val="2"/>
            <w:tcBorders>
              <w:top w:val="single" w:sz="4" w:space="0" w:color="auto"/>
              <w:left w:val="nil"/>
              <w:bottom w:val="single" w:sz="4" w:space="0" w:color="auto"/>
              <w:right w:val="single" w:sz="4" w:space="0" w:color="000000"/>
            </w:tcBorders>
            <w:shd w:val="clear" w:color="000000" w:fill="D9D9D9"/>
            <w:vAlign w:val="center"/>
            <w:hideMark/>
          </w:tcPr>
          <w:p w:rsidR="00735613" w:rsidRDefault="00735613" w:rsidP="00735613">
            <w:pPr>
              <w:spacing w:line="240" w:lineRule="auto"/>
              <w:jc w:val="center"/>
              <w:rPr>
                <w:rFonts w:cs="Arial"/>
                <w:b/>
                <w:bCs/>
                <w:szCs w:val="18"/>
              </w:rPr>
            </w:pPr>
            <w:r>
              <w:rPr>
                <w:rFonts w:cs="Arial"/>
                <w:b/>
                <w:bCs/>
                <w:szCs w:val="18"/>
              </w:rPr>
              <w:t>Outcome 1</w:t>
            </w:r>
          </w:p>
        </w:tc>
        <w:tc>
          <w:tcPr>
            <w:tcW w:w="1992" w:type="dxa"/>
            <w:gridSpan w:val="2"/>
            <w:tcBorders>
              <w:top w:val="single" w:sz="4" w:space="0" w:color="auto"/>
              <w:left w:val="nil"/>
              <w:bottom w:val="single" w:sz="4" w:space="0" w:color="auto"/>
              <w:right w:val="single" w:sz="4" w:space="0" w:color="000000"/>
            </w:tcBorders>
            <w:shd w:val="clear" w:color="000000" w:fill="D9D9D9"/>
            <w:vAlign w:val="center"/>
            <w:hideMark/>
          </w:tcPr>
          <w:p w:rsidR="00735613" w:rsidRDefault="00735613" w:rsidP="00735613">
            <w:pPr>
              <w:spacing w:line="240" w:lineRule="auto"/>
              <w:jc w:val="center"/>
              <w:rPr>
                <w:rFonts w:cs="Arial"/>
                <w:b/>
                <w:bCs/>
                <w:szCs w:val="18"/>
              </w:rPr>
            </w:pPr>
            <w:r>
              <w:rPr>
                <w:rFonts w:cs="Arial"/>
                <w:b/>
                <w:bCs/>
                <w:szCs w:val="18"/>
              </w:rPr>
              <w:t>Outcome 2</w:t>
            </w:r>
          </w:p>
        </w:tc>
        <w:tc>
          <w:tcPr>
            <w:tcW w:w="1993" w:type="dxa"/>
            <w:gridSpan w:val="2"/>
            <w:tcBorders>
              <w:top w:val="single" w:sz="4" w:space="0" w:color="auto"/>
              <w:left w:val="nil"/>
              <w:bottom w:val="single" w:sz="4" w:space="0" w:color="auto"/>
              <w:right w:val="single" w:sz="4" w:space="0" w:color="000000"/>
            </w:tcBorders>
            <w:shd w:val="clear" w:color="000000" w:fill="D9D9D9"/>
            <w:vAlign w:val="center"/>
            <w:hideMark/>
          </w:tcPr>
          <w:p w:rsidR="00735613" w:rsidRDefault="00735613" w:rsidP="00735613">
            <w:pPr>
              <w:spacing w:line="240" w:lineRule="auto"/>
              <w:jc w:val="center"/>
              <w:rPr>
                <w:rFonts w:cs="Arial"/>
                <w:b/>
                <w:bCs/>
                <w:szCs w:val="18"/>
              </w:rPr>
            </w:pPr>
            <w:r>
              <w:rPr>
                <w:rFonts w:cs="Arial"/>
                <w:b/>
                <w:bCs/>
                <w:szCs w:val="18"/>
              </w:rPr>
              <w:t>Outcome 3</w:t>
            </w:r>
          </w:p>
        </w:tc>
        <w:tc>
          <w:tcPr>
            <w:tcW w:w="1802" w:type="dxa"/>
            <w:gridSpan w:val="2"/>
            <w:tcBorders>
              <w:top w:val="single" w:sz="4" w:space="0" w:color="auto"/>
              <w:left w:val="nil"/>
              <w:bottom w:val="single" w:sz="4" w:space="0" w:color="auto"/>
              <w:right w:val="single" w:sz="4" w:space="0" w:color="000000"/>
            </w:tcBorders>
            <w:shd w:val="clear" w:color="000000" w:fill="D9D9D9"/>
            <w:vAlign w:val="center"/>
            <w:hideMark/>
          </w:tcPr>
          <w:p w:rsidR="00735613" w:rsidRDefault="00735613" w:rsidP="00735613">
            <w:pPr>
              <w:spacing w:line="240" w:lineRule="auto"/>
              <w:jc w:val="center"/>
              <w:rPr>
                <w:rFonts w:cs="Arial"/>
                <w:b/>
                <w:bCs/>
                <w:szCs w:val="18"/>
              </w:rPr>
            </w:pPr>
            <w:r>
              <w:rPr>
                <w:rFonts w:cs="Arial"/>
                <w:b/>
                <w:bCs/>
                <w:szCs w:val="18"/>
              </w:rPr>
              <w:t>Payment to Corporate Commonwealth Entities</w:t>
            </w:r>
          </w:p>
        </w:tc>
        <w:tc>
          <w:tcPr>
            <w:tcW w:w="1706" w:type="dxa"/>
            <w:gridSpan w:val="2"/>
            <w:tcBorders>
              <w:top w:val="single" w:sz="4" w:space="0" w:color="auto"/>
              <w:left w:val="nil"/>
              <w:bottom w:val="single" w:sz="4" w:space="0" w:color="auto"/>
              <w:right w:val="single" w:sz="4" w:space="0" w:color="000000"/>
            </w:tcBorders>
            <w:shd w:val="clear" w:color="000000" w:fill="D9D9D9"/>
            <w:vAlign w:val="center"/>
            <w:hideMark/>
          </w:tcPr>
          <w:p w:rsidR="00735613" w:rsidRDefault="00735613" w:rsidP="00735613">
            <w:pPr>
              <w:spacing w:line="240" w:lineRule="auto"/>
              <w:jc w:val="center"/>
              <w:rPr>
                <w:rFonts w:cs="Arial"/>
                <w:b/>
                <w:bCs/>
                <w:szCs w:val="18"/>
              </w:rPr>
            </w:pPr>
            <w:r>
              <w:rPr>
                <w:rFonts w:cs="Arial"/>
                <w:b/>
                <w:bCs/>
                <w:szCs w:val="18"/>
              </w:rPr>
              <w:t>Not attributed</w:t>
            </w:r>
            <w:r>
              <w:rPr>
                <w:rFonts w:cs="Arial"/>
                <w:b/>
                <w:bCs/>
                <w:szCs w:val="18"/>
                <w:vertAlign w:val="superscript"/>
              </w:rPr>
              <w:t>1</w:t>
            </w:r>
          </w:p>
        </w:tc>
        <w:tc>
          <w:tcPr>
            <w:tcW w:w="2054" w:type="dxa"/>
            <w:gridSpan w:val="2"/>
            <w:tcBorders>
              <w:top w:val="single" w:sz="4" w:space="0" w:color="auto"/>
              <w:left w:val="nil"/>
              <w:bottom w:val="single" w:sz="4" w:space="0" w:color="auto"/>
              <w:right w:val="single" w:sz="4" w:space="0" w:color="000000"/>
            </w:tcBorders>
            <w:shd w:val="clear" w:color="000000" w:fill="D9D9D9"/>
            <w:vAlign w:val="center"/>
            <w:hideMark/>
          </w:tcPr>
          <w:p w:rsidR="00735613" w:rsidRDefault="00735613" w:rsidP="00735613">
            <w:pPr>
              <w:spacing w:line="240" w:lineRule="auto"/>
              <w:jc w:val="center"/>
              <w:rPr>
                <w:rFonts w:cs="Arial"/>
                <w:b/>
                <w:bCs/>
                <w:szCs w:val="18"/>
              </w:rPr>
            </w:pPr>
            <w:r>
              <w:rPr>
                <w:rFonts w:cs="Arial"/>
                <w:b/>
                <w:bCs/>
                <w:szCs w:val="18"/>
              </w:rPr>
              <w:t>Total</w:t>
            </w:r>
          </w:p>
        </w:tc>
      </w:tr>
      <w:tr w:rsidR="00735613" w:rsidTr="00735613">
        <w:trPr>
          <w:trHeight w:val="142"/>
        </w:trPr>
        <w:tc>
          <w:tcPr>
            <w:tcW w:w="2405" w:type="dxa"/>
            <w:tcBorders>
              <w:top w:val="nil"/>
              <w:left w:val="single" w:sz="4" w:space="0" w:color="auto"/>
              <w:bottom w:val="single" w:sz="4" w:space="0" w:color="D9D9D9"/>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2015</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szCs w:val="18"/>
              </w:rPr>
            </w:pPr>
            <w:r>
              <w:rPr>
                <w:rFonts w:cs="Arial"/>
                <w:szCs w:val="18"/>
              </w:rPr>
              <w:t>2014</w:t>
            </w:r>
          </w:p>
        </w:tc>
        <w:tc>
          <w:tcPr>
            <w:tcW w:w="996" w:type="dxa"/>
            <w:tcBorders>
              <w:top w:val="nil"/>
              <w:left w:val="nil"/>
              <w:bottom w:val="single" w:sz="4" w:space="0" w:color="auto"/>
              <w:right w:val="single" w:sz="4" w:space="0" w:color="auto"/>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2015</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szCs w:val="18"/>
              </w:rPr>
            </w:pPr>
            <w:r>
              <w:rPr>
                <w:rFonts w:cs="Arial"/>
                <w:szCs w:val="18"/>
              </w:rPr>
              <w:t>2014</w:t>
            </w:r>
          </w:p>
        </w:tc>
        <w:tc>
          <w:tcPr>
            <w:tcW w:w="996" w:type="dxa"/>
            <w:tcBorders>
              <w:top w:val="nil"/>
              <w:left w:val="nil"/>
              <w:bottom w:val="single" w:sz="4" w:space="0" w:color="auto"/>
              <w:right w:val="single" w:sz="4" w:space="0" w:color="auto"/>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2015</w:t>
            </w:r>
          </w:p>
        </w:tc>
        <w:tc>
          <w:tcPr>
            <w:tcW w:w="99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szCs w:val="18"/>
              </w:rPr>
            </w:pPr>
            <w:r>
              <w:rPr>
                <w:rFonts w:cs="Arial"/>
                <w:szCs w:val="18"/>
              </w:rPr>
              <w:t>2014</w:t>
            </w:r>
          </w:p>
        </w:tc>
        <w:tc>
          <w:tcPr>
            <w:tcW w:w="901" w:type="dxa"/>
            <w:tcBorders>
              <w:top w:val="nil"/>
              <w:left w:val="nil"/>
              <w:bottom w:val="single" w:sz="4" w:space="0" w:color="auto"/>
              <w:right w:val="single" w:sz="4" w:space="0" w:color="auto"/>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2015</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szCs w:val="18"/>
              </w:rPr>
            </w:pPr>
            <w:r>
              <w:rPr>
                <w:rFonts w:cs="Arial"/>
                <w:szCs w:val="18"/>
              </w:rPr>
              <w:t>2014</w:t>
            </w:r>
          </w:p>
        </w:tc>
        <w:tc>
          <w:tcPr>
            <w:tcW w:w="853" w:type="dxa"/>
            <w:tcBorders>
              <w:top w:val="nil"/>
              <w:left w:val="nil"/>
              <w:bottom w:val="single" w:sz="4" w:space="0" w:color="auto"/>
              <w:right w:val="single" w:sz="4" w:space="0" w:color="auto"/>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2015</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szCs w:val="18"/>
              </w:rPr>
            </w:pPr>
            <w:r>
              <w:rPr>
                <w:rFonts w:cs="Arial"/>
                <w:szCs w:val="18"/>
              </w:rPr>
              <w:t>2014</w:t>
            </w:r>
          </w:p>
        </w:tc>
        <w:tc>
          <w:tcPr>
            <w:tcW w:w="1027" w:type="dxa"/>
            <w:tcBorders>
              <w:top w:val="nil"/>
              <w:left w:val="nil"/>
              <w:bottom w:val="single" w:sz="4" w:space="0" w:color="auto"/>
              <w:right w:val="single" w:sz="4" w:space="0" w:color="auto"/>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2015</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szCs w:val="18"/>
              </w:rPr>
            </w:pPr>
            <w:r>
              <w:rPr>
                <w:rFonts w:cs="Arial"/>
                <w:szCs w:val="18"/>
              </w:rPr>
              <w:t>2014</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$'000</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szCs w:val="18"/>
              </w:rPr>
            </w:pPr>
            <w:r>
              <w:rPr>
                <w:rFonts w:cs="Arial"/>
                <w:szCs w:val="18"/>
              </w:rPr>
              <w:t>$'000</w:t>
            </w:r>
          </w:p>
        </w:tc>
        <w:tc>
          <w:tcPr>
            <w:tcW w:w="996" w:type="dxa"/>
            <w:tcBorders>
              <w:top w:val="nil"/>
              <w:left w:val="nil"/>
              <w:bottom w:val="single" w:sz="4" w:space="0" w:color="auto"/>
              <w:right w:val="single" w:sz="4" w:space="0" w:color="auto"/>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$'000</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szCs w:val="18"/>
              </w:rPr>
            </w:pPr>
            <w:r>
              <w:rPr>
                <w:rFonts w:cs="Arial"/>
                <w:szCs w:val="18"/>
              </w:rPr>
              <w:t>$'000</w:t>
            </w:r>
          </w:p>
        </w:tc>
        <w:tc>
          <w:tcPr>
            <w:tcW w:w="996" w:type="dxa"/>
            <w:tcBorders>
              <w:top w:val="nil"/>
              <w:left w:val="nil"/>
              <w:bottom w:val="single" w:sz="4" w:space="0" w:color="auto"/>
              <w:right w:val="single" w:sz="4" w:space="0" w:color="auto"/>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$'000</w:t>
            </w:r>
          </w:p>
        </w:tc>
        <w:tc>
          <w:tcPr>
            <w:tcW w:w="99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szCs w:val="18"/>
              </w:rPr>
            </w:pPr>
            <w:r>
              <w:rPr>
                <w:rFonts w:cs="Arial"/>
                <w:szCs w:val="18"/>
              </w:rPr>
              <w:t>$'000</w:t>
            </w:r>
          </w:p>
        </w:tc>
        <w:tc>
          <w:tcPr>
            <w:tcW w:w="901" w:type="dxa"/>
            <w:tcBorders>
              <w:top w:val="nil"/>
              <w:left w:val="nil"/>
              <w:bottom w:val="single" w:sz="4" w:space="0" w:color="auto"/>
              <w:right w:val="single" w:sz="4" w:space="0" w:color="auto"/>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$'000</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szCs w:val="18"/>
              </w:rPr>
            </w:pPr>
            <w:r>
              <w:rPr>
                <w:rFonts w:cs="Arial"/>
                <w:szCs w:val="18"/>
              </w:rPr>
              <w:t>$'000</w:t>
            </w:r>
          </w:p>
        </w:tc>
        <w:tc>
          <w:tcPr>
            <w:tcW w:w="853" w:type="dxa"/>
            <w:tcBorders>
              <w:top w:val="nil"/>
              <w:left w:val="nil"/>
              <w:bottom w:val="single" w:sz="4" w:space="0" w:color="auto"/>
              <w:right w:val="single" w:sz="4" w:space="0" w:color="auto"/>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$'000</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szCs w:val="18"/>
              </w:rPr>
            </w:pPr>
            <w:r>
              <w:rPr>
                <w:rFonts w:cs="Arial"/>
                <w:szCs w:val="18"/>
              </w:rPr>
              <w:t>$'000</w:t>
            </w:r>
          </w:p>
        </w:tc>
        <w:tc>
          <w:tcPr>
            <w:tcW w:w="1027" w:type="dxa"/>
            <w:tcBorders>
              <w:top w:val="nil"/>
              <w:left w:val="nil"/>
              <w:bottom w:val="single" w:sz="4" w:space="0" w:color="auto"/>
              <w:right w:val="single" w:sz="4" w:space="0" w:color="auto"/>
            </w:tcBorders>
            <w:shd w:val="clear" w:color="000000" w:fill="D9D9D9"/>
            <w:hideMark/>
          </w:tcPr>
          <w:p w:rsidR="00735613" w:rsidRDefault="00735613" w:rsidP="00735613">
            <w:pPr>
              <w:spacing w:line="240" w:lineRule="auto"/>
              <w:jc w:val="right"/>
              <w:rPr>
                <w:rFonts w:cs="Arial"/>
                <w:b/>
                <w:bCs/>
                <w:szCs w:val="18"/>
              </w:rPr>
            </w:pPr>
            <w:r>
              <w:rPr>
                <w:rFonts w:cs="Arial"/>
                <w:b/>
                <w:bCs/>
                <w:szCs w:val="18"/>
              </w:rPr>
              <w:t>$'000</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szCs w:val="18"/>
              </w:rPr>
            </w:pPr>
            <w:r>
              <w:rPr>
                <w:rFonts w:cs="Arial"/>
                <w:szCs w:val="18"/>
              </w:rPr>
              <w:t>$'000</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hideMark/>
          </w:tcPr>
          <w:p w:rsidR="00735613" w:rsidRDefault="00735613" w:rsidP="00735613">
            <w:pPr>
              <w:spacing w:line="240" w:lineRule="auto"/>
              <w:rPr>
                <w:rFonts w:cs="Arial"/>
                <w:b/>
                <w:bCs/>
                <w:szCs w:val="18"/>
              </w:rPr>
            </w:pPr>
            <w:r>
              <w:rPr>
                <w:rFonts w:cs="Arial"/>
                <w:b/>
                <w:bCs/>
                <w:szCs w:val="18"/>
              </w:rPr>
              <w:t>Expenses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cs="Arial"/>
                <w:szCs w:val="18"/>
              </w:rPr>
            </w:pPr>
            <w:r>
              <w:rPr>
                <w:rFonts w:cs="Arial"/>
                <w:szCs w:val="18"/>
              </w:rPr>
              <w:t>Personal benefits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3,442,917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4,414,117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1,000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1,040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91,179 </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51,651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3,535,096</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4,466,808</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cs="Arial"/>
                <w:szCs w:val="18"/>
              </w:rPr>
            </w:pPr>
            <w:r>
              <w:rPr>
                <w:rFonts w:cs="Arial"/>
                <w:szCs w:val="18"/>
              </w:rPr>
              <w:t>Subsidies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144,309 </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144,309</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cs="Arial"/>
                <w:szCs w:val="18"/>
              </w:rPr>
            </w:pPr>
            <w:r>
              <w:rPr>
                <w:rFonts w:cs="Arial"/>
                <w:szCs w:val="18"/>
              </w:rPr>
              <w:t>Grants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320,408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332,604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14,830,536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9,335,885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9,259,152 </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6,895,740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24,410,096</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16,564,229</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cs="Arial"/>
                <w:szCs w:val="18"/>
              </w:rPr>
            </w:pPr>
            <w:r>
              <w:rPr>
                <w:rFonts w:cs="Arial"/>
                <w:szCs w:val="18"/>
              </w:rPr>
              <w:t>Suppliers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32,685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40,957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83,227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123,352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222,665 </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4,298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338,577</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168,607</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cs="Arial"/>
                <w:szCs w:val="18"/>
              </w:rPr>
            </w:pPr>
            <w:r>
              <w:rPr>
                <w:rFonts w:cs="Arial"/>
                <w:szCs w:val="18"/>
              </w:rPr>
              <w:t>Other</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19,212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2,378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6,130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908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1,505,570 </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1,510,784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13,370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5,360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1,544,282</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1,519,430</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hideMark/>
          </w:tcPr>
          <w:p w:rsidR="00735613" w:rsidRDefault="00735613" w:rsidP="00735613">
            <w:pPr>
              <w:spacing w:line="240" w:lineRule="auto"/>
              <w:rPr>
                <w:rFonts w:cs="Arial"/>
                <w:b/>
                <w:bCs/>
                <w:i/>
                <w:iCs/>
                <w:szCs w:val="18"/>
              </w:rPr>
            </w:pPr>
            <w:r>
              <w:rPr>
                <w:rFonts w:cs="Arial"/>
                <w:b/>
                <w:bCs/>
                <w:i/>
                <w:iCs/>
                <w:szCs w:val="18"/>
              </w:rPr>
              <w:t>Total expenses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3,815,222</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4,790,056</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14,920,893</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9,461,185</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11,222,875</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8,462,473</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13,370</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5,360</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29,972,360</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22,719,074</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hideMark/>
          </w:tcPr>
          <w:p w:rsidR="00735613" w:rsidRDefault="00735613" w:rsidP="00735613">
            <w:pPr>
              <w:spacing w:line="240" w:lineRule="auto"/>
              <w:rPr>
                <w:rFonts w:cs="Arial"/>
                <w:b/>
                <w:bCs/>
                <w:szCs w:val="18"/>
              </w:rPr>
            </w:pPr>
            <w:r>
              <w:rPr>
                <w:rFonts w:cs="Arial"/>
                <w:b/>
                <w:bCs/>
                <w:szCs w:val="18"/>
              </w:rPr>
              <w:t>Income</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cs="Arial"/>
                <w:szCs w:val="18"/>
              </w:rPr>
            </w:pPr>
            <w:r>
              <w:rPr>
                <w:rFonts w:cs="Arial"/>
                <w:szCs w:val="18"/>
              </w:rPr>
              <w:t>Interest</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3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380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333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582,798 </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506,460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583,134</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506,840</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cs="Arial"/>
                <w:szCs w:val="18"/>
              </w:rPr>
            </w:pPr>
            <w:r>
              <w:rPr>
                <w:rFonts w:cs="Arial"/>
                <w:szCs w:val="18"/>
              </w:rPr>
              <w:t>Levies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xml:space="preserve">8,576 </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6,538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b/>
                <w:bCs/>
                <w:szCs w:val="18"/>
              </w:rPr>
            </w:pPr>
            <w:r>
              <w:rPr>
                <w:rFonts w:cs="Arial"/>
                <w:b/>
                <w:bCs/>
                <w:szCs w:val="18"/>
              </w:rPr>
              <w:t>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8,576</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6,538</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cs="Arial"/>
                <w:szCs w:val="18"/>
              </w:rPr>
            </w:pPr>
            <w:r>
              <w:rPr>
                <w:rFonts w:cs="Arial"/>
                <w:szCs w:val="18"/>
              </w:rPr>
              <w:t>Non taxation revenue - Other</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3,683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2,239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38,994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8,905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247,954 </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271,928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554 </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291,185</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283,072</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cs="Arial"/>
                <w:szCs w:val="18"/>
              </w:rPr>
            </w:pPr>
            <w:r>
              <w:rPr>
                <w:rFonts w:cs="Arial"/>
                <w:szCs w:val="18"/>
              </w:rPr>
              <w:t>Gains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8,706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16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626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1,200,250 </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96,220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1,200,266</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105,552</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hideMark/>
          </w:tcPr>
          <w:p w:rsidR="00735613" w:rsidRDefault="00735613" w:rsidP="00735613">
            <w:pPr>
              <w:spacing w:line="240" w:lineRule="auto"/>
              <w:rPr>
                <w:rFonts w:cs="Arial"/>
                <w:b/>
                <w:bCs/>
                <w:i/>
                <w:iCs/>
                <w:szCs w:val="18"/>
              </w:rPr>
            </w:pPr>
            <w:r>
              <w:rPr>
                <w:rFonts w:cs="Arial"/>
                <w:b/>
                <w:bCs/>
                <w:i/>
                <w:iCs/>
                <w:szCs w:val="18"/>
              </w:rPr>
              <w:t>Total income</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3,686</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11,325</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39,343</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9,531</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2,039,578</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881,146</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554</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2,083,161</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902,002</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hideMark/>
          </w:tcPr>
          <w:p w:rsidR="00735613" w:rsidRDefault="00735613" w:rsidP="00735613">
            <w:pPr>
              <w:spacing w:line="240" w:lineRule="auto"/>
              <w:rPr>
                <w:rFonts w:cs="Arial"/>
                <w:b/>
                <w:bCs/>
                <w:szCs w:val="18"/>
              </w:rPr>
            </w:pPr>
            <w:r>
              <w:rPr>
                <w:rFonts w:cs="Arial"/>
                <w:b/>
                <w:bCs/>
                <w:szCs w:val="18"/>
              </w:rPr>
              <w:t>Assets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cs="Arial"/>
                <w:szCs w:val="18"/>
              </w:rPr>
            </w:pPr>
            <w:r>
              <w:rPr>
                <w:rFonts w:cs="Arial"/>
                <w:szCs w:val="18"/>
              </w:rPr>
              <w:t>Cash and cash equivalents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81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63,205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5,065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4,766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21,382 </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23,322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26,528</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91,293</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cs="Arial"/>
                <w:szCs w:val="18"/>
              </w:rPr>
            </w:pPr>
            <w:r>
              <w:rPr>
                <w:rFonts w:cs="Arial"/>
                <w:szCs w:val="18"/>
              </w:rPr>
              <w:t>Receivables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1,645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356,288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2,694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7,960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30,923,635 </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25,595,879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30,927,974</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25,960,127</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cs="Arial"/>
                <w:szCs w:val="18"/>
              </w:rPr>
            </w:pPr>
            <w:r>
              <w:rPr>
                <w:rFonts w:cs="Arial"/>
                <w:szCs w:val="18"/>
              </w:rPr>
              <w:t>Investments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6,795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8,124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2,143,135 </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2,140,902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2,149,930</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2,149,026</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cs="Arial"/>
                <w:szCs w:val="18"/>
              </w:rPr>
            </w:pPr>
            <w:r>
              <w:rPr>
                <w:rFonts w:cs="Arial"/>
                <w:szCs w:val="18"/>
              </w:rPr>
              <w:t>Other non-financial assets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523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523</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hideMark/>
          </w:tcPr>
          <w:p w:rsidR="00735613" w:rsidRDefault="00735613" w:rsidP="00735613">
            <w:pPr>
              <w:spacing w:line="240" w:lineRule="auto"/>
              <w:rPr>
                <w:rFonts w:cs="Arial"/>
                <w:b/>
                <w:bCs/>
                <w:i/>
                <w:iCs/>
                <w:szCs w:val="18"/>
              </w:rPr>
            </w:pPr>
            <w:r>
              <w:rPr>
                <w:rFonts w:cs="Arial"/>
                <w:b/>
                <w:bCs/>
                <w:i/>
                <w:iCs/>
                <w:szCs w:val="18"/>
              </w:rPr>
              <w:t>Total assets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1,726</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419,493</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14,554</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21,373</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33,088,152</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27,760,103</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33,104,432</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28,200,969</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hideMark/>
          </w:tcPr>
          <w:p w:rsidR="00735613" w:rsidRDefault="00735613" w:rsidP="00735613">
            <w:pPr>
              <w:spacing w:line="240" w:lineRule="auto"/>
              <w:rPr>
                <w:rFonts w:cs="Arial"/>
                <w:b/>
                <w:bCs/>
                <w:szCs w:val="18"/>
              </w:rPr>
            </w:pPr>
            <w:r>
              <w:rPr>
                <w:rFonts w:cs="Arial"/>
                <w:b/>
                <w:bCs/>
                <w:szCs w:val="18"/>
              </w:rPr>
              <w:t>Liabilities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9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rPr>
                <w:rFonts w:ascii="Arial" w:hAnsi="Arial" w:cs="Arial"/>
                <w:sz w:val="16"/>
                <w:szCs w:val="16"/>
              </w:rPr>
            </w:pPr>
            <w:r>
              <w:rPr>
                <w:rFonts w:ascii="Arial" w:hAnsi="Arial" w:cs="Arial"/>
                <w:sz w:val="16"/>
                <w:szCs w:val="16"/>
              </w:rPr>
              <w:t> </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cs="Arial"/>
                <w:szCs w:val="18"/>
              </w:rPr>
            </w:pPr>
            <w:r>
              <w:rPr>
                <w:rFonts w:cs="Arial"/>
                <w:szCs w:val="18"/>
              </w:rPr>
              <w:t>Suppliers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737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2,689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3,149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15,252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50,253 </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18,943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96 </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54,235</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36,884</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cs="Arial"/>
                <w:szCs w:val="18"/>
              </w:rPr>
            </w:pPr>
            <w:r>
              <w:rPr>
                <w:rFonts w:cs="Arial"/>
                <w:szCs w:val="18"/>
              </w:rPr>
              <w:t>Personal benefits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120,937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120,937</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cs="Arial"/>
                <w:szCs w:val="18"/>
              </w:rPr>
            </w:pPr>
            <w:r>
              <w:rPr>
                <w:rFonts w:cs="Arial"/>
                <w:szCs w:val="18"/>
              </w:rPr>
              <w:t>Grants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9,480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15,743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12,795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20,503 </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2,159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36,246</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24,434</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cs="Arial"/>
                <w:szCs w:val="18"/>
              </w:rPr>
            </w:pPr>
            <w:r>
              <w:rPr>
                <w:rFonts w:cs="Arial"/>
                <w:szCs w:val="18"/>
              </w:rPr>
              <w:t>Other payables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539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2,592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1,579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4,499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15,571 </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1,601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12 </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17,701</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8,692</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cs="Arial"/>
                <w:szCs w:val="18"/>
              </w:rPr>
            </w:pPr>
            <w:r>
              <w:rPr>
                <w:rFonts w:cs="Arial"/>
                <w:szCs w:val="18"/>
              </w:rPr>
              <w:t>Provision for personal benefits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801,010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801,010</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noWrap/>
            <w:hideMark/>
          </w:tcPr>
          <w:p w:rsidR="00735613" w:rsidRDefault="00735613" w:rsidP="00735613">
            <w:pPr>
              <w:spacing w:line="240" w:lineRule="auto"/>
              <w:rPr>
                <w:rFonts w:cs="Arial"/>
                <w:szCs w:val="18"/>
              </w:rPr>
            </w:pPr>
            <w:r>
              <w:rPr>
                <w:rFonts w:cs="Arial"/>
                <w:szCs w:val="18"/>
              </w:rPr>
              <w:t>Provision for grants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6,068,013 </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6,867,769 </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 xml:space="preserve"> -</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 xml:space="preserve"> -</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6,068,013</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6,867,769</w:t>
            </w:r>
          </w:p>
        </w:tc>
      </w:tr>
      <w:tr w:rsidR="00735613" w:rsidTr="00735613">
        <w:trPr>
          <w:trHeight w:val="142"/>
        </w:trPr>
        <w:tc>
          <w:tcPr>
            <w:tcW w:w="2405" w:type="dxa"/>
            <w:tcBorders>
              <w:top w:val="nil"/>
              <w:left w:val="single" w:sz="4" w:space="0" w:color="auto"/>
              <w:bottom w:val="single" w:sz="4" w:space="0" w:color="auto"/>
              <w:right w:val="single" w:sz="4" w:space="0" w:color="auto"/>
            </w:tcBorders>
            <w:shd w:val="clear" w:color="000000" w:fill="D9D9D9"/>
            <w:hideMark/>
          </w:tcPr>
          <w:p w:rsidR="00735613" w:rsidRDefault="00735613" w:rsidP="00735613">
            <w:pPr>
              <w:spacing w:line="240" w:lineRule="auto"/>
              <w:rPr>
                <w:rFonts w:cs="Arial"/>
                <w:b/>
                <w:bCs/>
                <w:i/>
                <w:iCs/>
                <w:szCs w:val="18"/>
              </w:rPr>
            </w:pPr>
            <w:r>
              <w:rPr>
                <w:rFonts w:cs="Arial"/>
                <w:b/>
                <w:bCs/>
                <w:i/>
                <w:iCs/>
                <w:szCs w:val="18"/>
              </w:rPr>
              <w:t>Total liabilities</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1,276</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936,708</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20,471</w:t>
            </w:r>
          </w:p>
        </w:tc>
        <w:tc>
          <w:tcPr>
            <w:tcW w:w="996"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32,546</w:t>
            </w:r>
          </w:p>
        </w:tc>
        <w:tc>
          <w:tcPr>
            <w:tcW w:w="996"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6,154,340</w:t>
            </w:r>
          </w:p>
        </w:tc>
        <w:tc>
          <w:tcPr>
            <w:tcW w:w="99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6,890,472</w:t>
            </w:r>
          </w:p>
        </w:tc>
        <w:tc>
          <w:tcPr>
            <w:tcW w:w="901"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w:t>
            </w:r>
          </w:p>
        </w:tc>
        <w:tc>
          <w:tcPr>
            <w:tcW w:w="901"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w:t>
            </w:r>
          </w:p>
        </w:tc>
        <w:tc>
          <w:tcPr>
            <w:tcW w:w="853"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108</w:t>
            </w:r>
          </w:p>
        </w:tc>
        <w:tc>
          <w:tcPr>
            <w:tcW w:w="853"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w:t>
            </w:r>
          </w:p>
        </w:tc>
        <w:tc>
          <w:tcPr>
            <w:tcW w:w="1027" w:type="dxa"/>
            <w:tcBorders>
              <w:top w:val="nil"/>
              <w:left w:val="nil"/>
              <w:bottom w:val="single" w:sz="4" w:space="0" w:color="auto"/>
              <w:right w:val="single" w:sz="4" w:space="0" w:color="auto"/>
            </w:tcBorders>
            <w:shd w:val="clear" w:color="000000" w:fill="D9D9D9"/>
            <w:noWrap/>
            <w:hideMark/>
          </w:tcPr>
          <w:p w:rsidR="00735613" w:rsidRDefault="00735613" w:rsidP="00735613">
            <w:pPr>
              <w:spacing w:line="240" w:lineRule="auto"/>
              <w:jc w:val="right"/>
              <w:rPr>
                <w:rFonts w:cs="Arial"/>
                <w:b/>
                <w:bCs/>
                <w:szCs w:val="18"/>
              </w:rPr>
            </w:pPr>
            <w:r>
              <w:rPr>
                <w:rFonts w:cs="Arial"/>
                <w:b/>
                <w:bCs/>
                <w:szCs w:val="18"/>
              </w:rPr>
              <w:t>6,176,195</w:t>
            </w:r>
          </w:p>
        </w:tc>
        <w:tc>
          <w:tcPr>
            <w:tcW w:w="1027" w:type="dxa"/>
            <w:tcBorders>
              <w:top w:val="nil"/>
              <w:left w:val="nil"/>
              <w:bottom w:val="single" w:sz="4" w:space="0" w:color="auto"/>
              <w:right w:val="single" w:sz="4" w:space="0" w:color="auto"/>
            </w:tcBorders>
            <w:shd w:val="clear" w:color="000000" w:fill="D9D9D9"/>
            <w:noWrap/>
            <w:vAlign w:val="bottom"/>
            <w:hideMark/>
          </w:tcPr>
          <w:p w:rsidR="00735613" w:rsidRDefault="00735613" w:rsidP="00735613">
            <w:pPr>
              <w:spacing w:line="240" w:lineRule="auto"/>
              <w:jc w:val="right"/>
              <w:rPr>
                <w:rFonts w:cs="Arial"/>
                <w:szCs w:val="18"/>
              </w:rPr>
            </w:pPr>
            <w:r>
              <w:rPr>
                <w:rFonts w:cs="Arial"/>
                <w:szCs w:val="18"/>
              </w:rPr>
              <w:t>7,859,726</w:t>
            </w:r>
          </w:p>
        </w:tc>
      </w:tr>
    </w:tbl>
    <w:p w:rsidR="00735613" w:rsidRDefault="00735613" w:rsidP="00735613">
      <w:pPr>
        <w:pStyle w:val="AdminBlankGreyShade"/>
      </w:pPr>
      <w:bookmarkStart w:id="661" w:name="RANGE!D45:L77"/>
      <w:bookmarkStart w:id="662" w:name="RANGE!D46:L79"/>
      <w:bookmarkEnd w:id="661"/>
      <w:bookmarkEnd w:id="662"/>
      <w:r>
        <w:t xml:space="preserve">Outcomes 1 to 3 are described in Note 1.1. Net costs shown include intra-government costs that are eliminated in calculating the actual Budget Outcome. Refer to Appendix 2 of this annual </w:t>
      </w:r>
      <w:r>
        <w:br/>
        <w:t xml:space="preserve">report for Agency resource statements and resources.  </w:t>
      </w:r>
    </w:p>
    <w:p w:rsidR="00735613" w:rsidRDefault="00735613" w:rsidP="00735613">
      <w:pPr>
        <w:pStyle w:val="AdminBlankGreyShade"/>
      </w:pPr>
      <w:proofErr w:type="gramStart"/>
      <w:r w:rsidRPr="000F62A2">
        <w:rPr>
          <w:vertAlign w:val="superscript"/>
        </w:rPr>
        <w:t>1</w:t>
      </w:r>
      <w:r>
        <w:t xml:space="preserve"> Assets and liabilities that could not be reliably attributed to outcomes.</w:t>
      </w:r>
      <w:proofErr w:type="gramEnd"/>
    </w:p>
    <w:p w:rsidR="00735613" w:rsidRPr="00AE121F" w:rsidRDefault="00735613" w:rsidP="00735613">
      <w:pPr>
        <w:pStyle w:val="12line"/>
        <w:rPr>
          <w:lang w:eastAsia="en-AU"/>
        </w:rPr>
        <w:sectPr w:rsidR="00735613" w:rsidRPr="00AE121F" w:rsidSect="00735613">
          <w:pgSz w:w="16838" w:h="11906" w:orient="landscape"/>
          <w:pgMar w:top="1134" w:right="1134" w:bottom="851" w:left="1134" w:header="958" w:footer="737" w:gutter="0"/>
          <w:cols w:space="720"/>
          <w:docGrid w:linePitch="245"/>
        </w:sectPr>
      </w:pPr>
    </w:p>
    <w:p w:rsidR="00735613" w:rsidRDefault="00735613" w:rsidP="00735613">
      <w:pPr>
        <w:pStyle w:val="NotesHeading-Level1"/>
        <w:numPr>
          <w:ilvl w:val="0"/>
          <w:numId w:val="9"/>
        </w:numPr>
      </w:pPr>
      <w:bookmarkStart w:id="663" w:name="_Toc420422401"/>
      <w:r>
        <w:t>Cost Recovery Note</w:t>
      </w:r>
      <w:bookmarkEnd w:id="663"/>
    </w:p>
    <w:p w:rsidR="00735613" w:rsidRPr="004872E1" w:rsidRDefault="00735613">
      <w:pPr>
        <w:rPr>
          <w:b/>
        </w:rPr>
      </w:pPr>
      <w:r>
        <w:rPr>
          <w:b/>
        </w:rPr>
        <w:t xml:space="preserve"> </w:t>
      </w:r>
    </w:p>
    <w:tbl>
      <w:tblPr>
        <w:tblW w:w="9087" w:type="dxa"/>
        <w:tblInd w:w="80" w:type="dxa"/>
        <w:tblLayout w:type="fixed"/>
        <w:tblLook w:val="04A0" w:firstRow="1" w:lastRow="0" w:firstColumn="1" w:lastColumn="0" w:noHBand="0" w:noVBand="1"/>
      </w:tblPr>
      <w:tblGrid>
        <w:gridCol w:w="6767"/>
        <w:gridCol w:w="1043"/>
        <w:gridCol w:w="239"/>
        <w:gridCol w:w="1038"/>
      </w:tblGrid>
      <w:tr w:rsidR="00735613" w:rsidTr="00735613">
        <w:trPr>
          <w:trHeight w:val="240"/>
        </w:trPr>
        <w:tc>
          <w:tcPr>
            <w:tcW w:w="6690" w:type="dxa"/>
            <w:tcBorders>
              <w:top w:val="nil"/>
              <w:left w:val="nil"/>
              <w:bottom w:val="nil"/>
              <w:right w:val="nil"/>
            </w:tcBorders>
            <w:shd w:val="clear" w:color="FFFFFF" w:fill="FFFFFF"/>
            <w:noWrap/>
            <w:vAlign w:val="bottom"/>
            <w:hideMark/>
          </w:tcPr>
          <w:p w:rsidR="00735613" w:rsidRDefault="00735613">
            <w:pPr>
              <w:rPr>
                <w:rFonts w:cs="Arial"/>
                <w:sz w:val="16"/>
                <w:szCs w:val="16"/>
              </w:rPr>
            </w:pPr>
            <w:bookmarkStart w:id="664" w:name="Note_DCNTABLE1" w:colFirst="0" w:colLast="0"/>
            <w:r>
              <w:rPr>
                <w:rFonts w:cs="Arial"/>
                <w:sz w:val="16"/>
                <w:szCs w:val="16"/>
              </w:rPr>
              <w:t> </w:t>
            </w:r>
          </w:p>
        </w:tc>
        <w:tc>
          <w:tcPr>
            <w:tcW w:w="1031"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2015</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026"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2014</w:t>
            </w:r>
          </w:p>
        </w:tc>
      </w:tr>
      <w:bookmarkEnd w:id="664"/>
      <w:tr w:rsidR="00735613" w:rsidTr="00735613">
        <w:trPr>
          <w:trHeight w:val="240"/>
        </w:trPr>
        <w:tc>
          <w:tcPr>
            <w:tcW w:w="6690" w:type="dxa"/>
            <w:tcBorders>
              <w:top w:val="nil"/>
              <w:left w:val="nil"/>
              <w:bottom w:val="nil"/>
              <w:right w:val="nil"/>
            </w:tcBorders>
            <w:shd w:val="clear" w:color="FFFFFF" w:fill="FFFFFF"/>
            <w:noWrap/>
            <w:vAlign w:val="bottom"/>
            <w:hideMark/>
          </w:tcPr>
          <w:p w:rsidR="00735613" w:rsidRDefault="00735613">
            <w:pPr>
              <w:rPr>
                <w:rFonts w:cs="Arial"/>
                <w:sz w:val="16"/>
                <w:szCs w:val="16"/>
              </w:rPr>
            </w:pPr>
            <w:r>
              <w:rPr>
                <w:rFonts w:cs="Arial"/>
                <w:sz w:val="16"/>
                <w:szCs w:val="16"/>
              </w:rPr>
              <w:t> </w:t>
            </w:r>
          </w:p>
        </w:tc>
        <w:tc>
          <w:tcPr>
            <w:tcW w:w="1031" w:type="dxa"/>
            <w:tcBorders>
              <w:top w:val="nil"/>
              <w:left w:val="nil"/>
              <w:bottom w:val="nil"/>
              <w:right w:val="nil"/>
            </w:tcBorders>
            <w:shd w:val="clear" w:color="FFFFFF" w:fill="FFFFFF"/>
            <w:vAlign w:val="bottom"/>
            <w:hideMark/>
          </w:tcPr>
          <w:p w:rsidR="00735613" w:rsidRDefault="00735613">
            <w:pPr>
              <w:jc w:val="right"/>
              <w:rPr>
                <w:rFonts w:cs="Arial"/>
                <w:b/>
                <w:bCs/>
                <w:szCs w:val="18"/>
              </w:rPr>
            </w:pPr>
            <w:r>
              <w:rPr>
                <w:rFonts w:cs="Arial"/>
                <w:b/>
                <w:bCs/>
                <w:szCs w:val="18"/>
              </w:rPr>
              <w:t>$'000</w:t>
            </w: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026" w:type="dxa"/>
            <w:tcBorders>
              <w:top w:val="nil"/>
              <w:left w:val="nil"/>
              <w:bottom w:val="nil"/>
              <w:right w:val="nil"/>
            </w:tcBorders>
            <w:shd w:val="clear" w:color="FFFFFF" w:fill="FFFFFF"/>
            <w:vAlign w:val="bottom"/>
            <w:hideMark/>
          </w:tcPr>
          <w:p w:rsidR="00735613" w:rsidRDefault="00735613">
            <w:pPr>
              <w:jc w:val="right"/>
              <w:rPr>
                <w:rFonts w:cs="Arial"/>
                <w:szCs w:val="18"/>
              </w:rPr>
            </w:pPr>
            <w:r>
              <w:rPr>
                <w:rFonts w:cs="Arial"/>
                <w:szCs w:val="18"/>
              </w:rPr>
              <w:t>$'000</w:t>
            </w:r>
          </w:p>
        </w:tc>
      </w:tr>
      <w:tr w:rsidR="00735613" w:rsidTr="00735613">
        <w:trPr>
          <w:trHeight w:val="204"/>
        </w:trPr>
        <w:tc>
          <w:tcPr>
            <w:tcW w:w="6690" w:type="dxa"/>
            <w:tcBorders>
              <w:top w:val="nil"/>
              <w:left w:val="nil"/>
              <w:bottom w:val="nil"/>
              <w:right w:val="nil"/>
            </w:tcBorders>
            <w:shd w:val="clear" w:color="FFFFFF" w:fill="FFFFFF"/>
            <w:noWrap/>
            <w:vAlign w:val="bottom"/>
            <w:hideMark/>
          </w:tcPr>
          <w:p w:rsidR="00735613" w:rsidRDefault="00735613">
            <w:pPr>
              <w:rPr>
                <w:rFonts w:cs="Arial"/>
                <w:sz w:val="16"/>
                <w:szCs w:val="16"/>
              </w:rPr>
            </w:pPr>
            <w:r>
              <w:rPr>
                <w:rFonts w:cs="Arial"/>
                <w:sz w:val="16"/>
                <w:szCs w:val="16"/>
              </w:rPr>
              <w:t> </w:t>
            </w:r>
          </w:p>
        </w:tc>
        <w:tc>
          <w:tcPr>
            <w:tcW w:w="1031" w:type="dxa"/>
            <w:tcBorders>
              <w:top w:val="nil"/>
              <w:left w:val="nil"/>
              <w:bottom w:val="nil"/>
              <w:right w:val="nil"/>
            </w:tcBorders>
            <w:shd w:val="clear" w:color="FFFFFF" w:fill="FFFFFF"/>
            <w:noWrap/>
            <w:vAlign w:val="bottom"/>
            <w:hideMark/>
          </w:tcPr>
          <w:p w:rsidR="00735613" w:rsidRDefault="00735613">
            <w:pPr>
              <w:rPr>
                <w:rFonts w:cs="Arial"/>
                <w:sz w:val="16"/>
                <w:szCs w:val="16"/>
              </w:rPr>
            </w:pPr>
            <w:r>
              <w:rPr>
                <w:rFonts w:cs="Arial"/>
                <w:sz w:val="16"/>
                <w:szCs w:val="16"/>
              </w:rPr>
              <w:t> </w:t>
            </w:r>
          </w:p>
        </w:tc>
        <w:tc>
          <w:tcPr>
            <w:tcW w:w="236" w:type="dxa"/>
            <w:tcBorders>
              <w:top w:val="nil"/>
              <w:left w:val="nil"/>
              <w:bottom w:val="nil"/>
              <w:right w:val="nil"/>
            </w:tcBorders>
            <w:shd w:val="clear" w:color="FFFFFF" w:fill="FFFFFF"/>
            <w:noWrap/>
            <w:vAlign w:val="bottom"/>
            <w:hideMark/>
          </w:tcPr>
          <w:p w:rsidR="00735613" w:rsidRDefault="00735613">
            <w:pPr>
              <w:rPr>
                <w:rFonts w:cs="Arial"/>
                <w:sz w:val="16"/>
                <w:szCs w:val="16"/>
              </w:rPr>
            </w:pPr>
            <w:r>
              <w:rPr>
                <w:rFonts w:cs="Arial"/>
                <w:sz w:val="16"/>
                <w:szCs w:val="16"/>
              </w:rPr>
              <w:t> </w:t>
            </w:r>
          </w:p>
        </w:tc>
        <w:tc>
          <w:tcPr>
            <w:tcW w:w="1026" w:type="dxa"/>
            <w:tcBorders>
              <w:top w:val="nil"/>
              <w:left w:val="nil"/>
              <w:bottom w:val="nil"/>
              <w:right w:val="nil"/>
            </w:tcBorders>
            <w:shd w:val="clear" w:color="FFFFFF" w:fill="FFFFFF"/>
            <w:noWrap/>
            <w:vAlign w:val="bottom"/>
            <w:hideMark/>
          </w:tcPr>
          <w:p w:rsidR="00735613" w:rsidRDefault="00735613">
            <w:pPr>
              <w:rPr>
                <w:rFonts w:cs="Arial"/>
                <w:sz w:val="16"/>
                <w:szCs w:val="16"/>
              </w:rPr>
            </w:pPr>
            <w:r>
              <w:rPr>
                <w:rFonts w:cs="Arial"/>
                <w:sz w:val="16"/>
                <w:szCs w:val="16"/>
              </w:rPr>
              <w:t> </w:t>
            </w:r>
          </w:p>
        </w:tc>
      </w:tr>
      <w:tr w:rsidR="00735613" w:rsidTr="00735613">
        <w:trPr>
          <w:trHeight w:val="240"/>
        </w:trPr>
        <w:tc>
          <w:tcPr>
            <w:tcW w:w="6690" w:type="dxa"/>
            <w:tcBorders>
              <w:top w:val="nil"/>
              <w:left w:val="nil"/>
              <w:bottom w:val="nil"/>
              <w:right w:val="nil"/>
            </w:tcBorders>
            <w:shd w:val="clear" w:color="auto" w:fill="auto"/>
            <w:noWrap/>
            <w:vAlign w:val="bottom"/>
            <w:hideMark/>
          </w:tcPr>
          <w:p w:rsidR="00735613" w:rsidRDefault="00735613">
            <w:pPr>
              <w:rPr>
                <w:rFonts w:cs="Arial"/>
                <w:b/>
                <w:bCs/>
                <w:color w:val="000000"/>
                <w:szCs w:val="18"/>
              </w:rPr>
            </w:pPr>
            <w:r>
              <w:rPr>
                <w:rFonts w:cs="Arial"/>
                <w:b/>
                <w:bCs/>
                <w:color w:val="000000"/>
                <w:szCs w:val="18"/>
              </w:rPr>
              <w:t>Amounts applied</w:t>
            </w:r>
          </w:p>
        </w:tc>
        <w:tc>
          <w:tcPr>
            <w:tcW w:w="1031" w:type="dxa"/>
            <w:tcBorders>
              <w:top w:val="nil"/>
              <w:left w:val="nil"/>
              <w:bottom w:val="nil"/>
              <w:right w:val="nil"/>
            </w:tcBorders>
            <w:shd w:val="clear" w:color="auto" w:fill="auto"/>
            <w:noWrap/>
            <w:vAlign w:val="bottom"/>
            <w:hideMark/>
          </w:tcPr>
          <w:p w:rsidR="00735613" w:rsidRDefault="00735613">
            <w:pPr>
              <w:rPr>
                <w:rFonts w:cs="Arial"/>
                <w:b/>
                <w:bCs/>
                <w:color w:val="000000"/>
                <w:szCs w:val="18"/>
              </w:rPr>
            </w:pP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026" w:type="dxa"/>
            <w:tcBorders>
              <w:top w:val="nil"/>
              <w:left w:val="nil"/>
              <w:bottom w:val="nil"/>
              <w:right w:val="nil"/>
            </w:tcBorders>
            <w:shd w:val="clear" w:color="auto" w:fill="auto"/>
            <w:noWrap/>
            <w:vAlign w:val="bottom"/>
            <w:hideMark/>
          </w:tcPr>
          <w:p w:rsidR="00735613" w:rsidRDefault="00735613">
            <w:pPr>
              <w:rPr>
                <w:rFonts w:cs="Arial"/>
                <w:szCs w:val="18"/>
              </w:rPr>
            </w:pPr>
          </w:p>
        </w:tc>
      </w:tr>
      <w:tr w:rsidR="00735613" w:rsidTr="00735613">
        <w:trPr>
          <w:trHeight w:val="276"/>
        </w:trPr>
        <w:tc>
          <w:tcPr>
            <w:tcW w:w="6690" w:type="dxa"/>
            <w:tcBorders>
              <w:top w:val="nil"/>
              <w:left w:val="nil"/>
              <w:bottom w:val="nil"/>
              <w:right w:val="nil"/>
            </w:tcBorders>
            <w:shd w:val="clear" w:color="auto" w:fill="auto"/>
            <w:noWrap/>
            <w:vAlign w:val="bottom"/>
            <w:hideMark/>
          </w:tcPr>
          <w:p w:rsidR="00735613" w:rsidRDefault="00735613">
            <w:pPr>
              <w:ind w:firstLineChars="100" w:firstLine="180"/>
              <w:rPr>
                <w:rFonts w:cs="Arial"/>
                <w:color w:val="000000"/>
                <w:szCs w:val="18"/>
              </w:rPr>
            </w:pPr>
            <w:r>
              <w:rPr>
                <w:rFonts w:cs="Arial"/>
                <w:color w:val="000000"/>
                <w:szCs w:val="18"/>
              </w:rPr>
              <w:t>Departmental</w:t>
            </w:r>
          </w:p>
        </w:tc>
        <w:tc>
          <w:tcPr>
            <w:tcW w:w="1031" w:type="dxa"/>
            <w:tcBorders>
              <w:top w:val="nil"/>
              <w:left w:val="nil"/>
              <w:bottom w:val="nil"/>
              <w:right w:val="nil"/>
            </w:tcBorders>
            <w:shd w:val="clear" w:color="auto" w:fill="auto"/>
            <w:noWrap/>
            <w:vAlign w:val="bottom"/>
            <w:hideMark/>
          </w:tcPr>
          <w:p w:rsidR="00735613" w:rsidRDefault="00735613">
            <w:pPr>
              <w:ind w:firstLineChars="100" w:firstLine="180"/>
              <w:rPr>
                <w:rFonts w:cs="Arial"/>
                <w:color w:val="000000"/>
                <w:szCs w:val="18"/>
              </w:rPr>
            </w:pPr>
          </w:p>
        </w:tc>
        <w:tc>
          <w:tcPr>
            <w:tcW w:w="236" w:type="dxa"/>
            <w:tcBorders>
              <w:top w:val="nil"/>
              <w:left w:val="nil"/>
              <w:bottom w:val="nil"/>
              <w:right w:val="nil"/>
            </w:tcBorders>
            <w:shd w:val="clear" w:color="FFFFFF" w:fill="FFFFFF"/>
            <w:noWrap/>
            <w:vAlign w:val="bottom"/>
            <w:hideMark/>
          </w:tcPr>
          <w:p w:rsidR="00735613" w:rsidRDefault="00735613">
            <w:pPr>
              <w:rPr>
                <w:rFonts w:cs="Arial"/>
                <w:b/>
                <w:bCs/>
                <w:szCs w:val="18"/>
              </w:rPr>
            </w:pPr>
            <w:r>
              <w:rPr>
                <w:rFonts w:cs="Arial"/>
                <w:b/>
                <w:bCs/>
                <w:szCs w:val="18"/>
              </w:rPr>
              <w:t> </w:t>
            </w:r>
          </w:p>
        </w:tc>
        <w:tc>
          <w:tcPr>
            <w:tcW w:w="1026" w:type="dxa"/>
            <w:tcBorders>
              <w:top w:val="nil"/>
              <w:left w:val="nil"/>
              <w:bottom w:val="nil"/>
              <w:right w:val="nil"/>
            </w:tcBorders>
            <w:shd w:val="clear" w:color="auto" w:fill="auto"/>
            <w:noWrap/>
            <w:vAlign w:val="bottom"/>
            <w:hideMark/>
          </w:tcPr>
          <w:p w:rsidR="00735613" w:rsidRDefault="00735613">
            <w:pPr>
              <w:rPr>
                <w:rFonts w:cs="Arial"/>
                <w:b/>
                <w:bCs/>
                <w:szCs w:val="18"/>
              </w:rPr>
            </w:pPr>
          </w:p>
        </w:tc>
      </w:tr>
      <w:tr w:rsidR="00735613" w:rsidTr="00735613">
        <w:trPr>
          <w:trHeight w:val="276"/>
        </w:trPr>
        <w:tc>
          <w:tcPr>
            <w:tcW w:w="6690" w:type="dxa"/>
            <w:tcBorders>
              <w:top w:val="nil"/>
              <w:left w:val="nil"/>
              <w:bottom w:val="nil"/>
              <w:right w:val="nil"/>
            </w:tcBorders>
            <w:shd w:val="clear" w:color="auto" w:fill="auto"/>
            <w:noWrap/>
            <w:vAlign w:val="bottom"/>
            <w:hideMark/>
          </w:tcPr>
          <w:p w:rsidR="00735613" w:rsidRDefault="00735613">
            <w:pPr>
              <w:ind w:firstLineChars="200" w:firstLine="360"/>
              <w:rPr>
                <w:rFonts w:cs="Arial"/>
                <w:color w:val="000000"/>
                <w:szCs w:val="18"/>
              </w:rPr>
            </w:pPr>
            <w:r>
              <w:rPr>
                <w:rFonts w:cs="Arial"/>
                <w:color w:val="000000"/>
                <w:szCs w:val="18"/>
              </w:rPr>
              <w:t>Annual appropriations</w:t>
            </w:r>
          </w:p>
        </w:tc>
        <w:tc>
          <w:tcPr>
            <w:tcW w:w="1031"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4,830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02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1,191 </w:t>
            </w:r>
          </w:p>
        </w:tc>
      </w:tr>
      <w:tr w:rsidR="00735613" w:rsidTr="00735613">
        <w:trPr>
          <w:trHeight w:val="276"/>
        </w:trPr>
        <w:tc>
          <w:tcPr>
            <w:tcW w:w="6690" w:type="dxa"/>
            <w:tcBorders>
              <w:top w:val="nil"/>
              <w:left w:val="nil"/>
              <w:bottom w:val="nil"/>
              <w:right w:val="nil"/>
            </w:tcBorders>
            <w:shd w:val="clear" w:color="auto" w:fill="auto"/>
            <w:noWrap/>
            <w:vAlign w:val="bottom"/>
            <w:hideMark/>
          </w:tcPr>
          <w:p w:rsidR="00735613" w:rsidRDefault="00735613">
            <w:pPr>
              <w:rPr>
                <w:rFonts w:cs="Arial"/>
                <w:b/>
                <w:bCs/>
                <w:color w:val="000000"/>
                <w:szCs w:val="18"/>
              </w:rPr>
            </w:pPr>
            <w:r>
              <w:rPr>
                <w:rFonts w:cs="Arial"/>
                <w:b/>
                <w:bCs/>
                <w:color w:val="000000"/>
                <w:szCs w:val="18"/>
              </w:rPr>
              <w:t xml:space="preserve">Total amounts applied </w:t>
            </w:r>
          </w:p>
        </w:tc>
        <w:tc>
          <w:tcPr>
            <w:tcW w:w="103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4,830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02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 xml:space="preserve">1,191 </w:t>
            </w:r>
          </w:p>
        </w:tc>
      </w:tr>
      <w:tr w:rsidR="00735613" w:rsidTr="00735613">
        <w:trPr>
          <w:trHeight w:val="276"/>
        </w:trPr>
        <w:tc>
          <w:tcPr>
            <w:tcW w:w="6690" w:type="dxa"/>
            <w:tcBorders>
              <w:top w:val="nil"/>
              <w:left w:val="nil"/>
              <w:bottom w:val="nil"/>
              <w:right w:val="nil"/>
            </w:tcBorders>
            <w:shd w:val="clear" w:color="auto" w:fill="auto"/>
            <w:noWrap/>
            <w:vAlign w:val="bottom"/>
            <w:hideMark/>
          </w:tcPr>
          <w:p w:rsidR="00735613" w:rsidRDefault="00735613">
            <w:pPr>
              <w:jc w:val="right"/>
              <w:rPr>
                <w:rFonts w:cs="Arial"/>
                <w:szCs w:val="18"/>
              </w:rPr>
            </w:pPr>
          </w:p>
        </w:tc>
        <w:tc>
          <w:tcPr>
            <w:tcW w:w="1031" w:type="dxa"/>
            <w:tcBorders>
              <w:top w:val="nil"/>
              <w:left w:val="nil"/>
              <w:bottom w:val="nil"/>
              <w:right w:val="nil"/>
            </w:tcBorders>
            <w:shd w:val="clear" w:color="auto" w:fill="auto"/>
            <w:noWrap/>
            <w:vAlign w:val="bottom"/>
            <w:hideMark/>
          </w:tcPr>
          <w:p w:rsidR="00735613" w:rsidRDefault="00735613">
            <w:pPr>
              <w:rPr>
                <w:sz w:val="20"/>
              </w:rPr>
            </w:pP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026" w:type="dxa"/>
            <w:tcBorders>
              <w:top w:val="nil"/>
              <w:left w:val="nil"/>
              <w:bottom w:val="nil"/>
              <w:right w:val="nil"/>
            </w:tcBorders>
            <w:shd w:val="clear" w:color="auto" w:fill="auto"/>
            <w:noWrap/>
            <w:vAlign w:val="bottom"/>
            <w:hideMark/>
          </w:tcPr>
          <w:p w:rsidR="00735613" w:rsidRDefault="00735613">
            <w:pPr>
              <w:rPr>
                <w:rFonts w:cs="Arial"/>
                <w:szCs w:val="18"/>
              </w:rPr>
            </w:pPr>
          </w:p>
        </w:tc>
      </w:tr>
      <w:tr w:rsidR="00735613" w:rsidTr="00735613">
        <w:trPr>
          <w:trHeight w:val="276"/>
        </w:trPr>
        <w:tc>
          <w:tcPr>
            <w:tcW w:w="6690" w:type="dxa"/>
            <w:tcBorders>
              <w:top w:val="nil"/>
              <w:left w:val="nil"/>
              <w:bottom w:val="nil"/>
              <w:right w:val="nil"/>
            </w:tcBorders>
            <w:shd w:val="clear" w:color="auto" w:fill="auto"/>
            <w:noWrap/>
            <w:vAlign w:val="bottom"/>
            <w:hideMark/>
          </w:tcPr>
          <w:p w:rsidR="00735613" w:rsidRDefault="00735613">
            <w:pPr>
              <w:rPr>
                <w:rFonts w:cs="Arial"/>
                <w:b/>
                <w:bCs/>
                <w:color w:val="000000"/>
                <w:szCs w:val="18"/>
              </w:rPr>
            </w:pPr>
            <w:r>
              <w:rPr>
                <w:rFonts w:cs="Arial"/>
                <w:b/>
                <w:bCs/>
                <w:color w:val="000000"/>
                <w:szCs w:val="18"/>
              </w:rPr>
              <w:t>Expenses</w:t>
            </w:r>
          </w:p>
        </w:tc>
        <w:tc>
          <w:tcPr>
            <w:tcW w:w="1031" w:type="dxa"/>
            <w:tcBorders>
              <w:top w:val="nil"/>
              <w:left w:val="nil"/>
              <w:bottom w:val="nil"/>
              <w:right w:val="nil"/>
            </w:tcBorders>
            <w:shd w:val="clear" w:color="auto" w:fill="auto"/>
            <w:noWrap/>
            <w:vAlign w:val="bottom"/>
            <w:hideMark/>
          </w:tcPr>
          <w:p w:rsidR="00735613" w:rsidRDefault="00735613">
            <w:pPr>
              <w:rPr>
                <w:rFonts w:cs="Arial"/>
                <w:b/>
                <w:bCs/>
                <w:color w:val="000000"/>
                <w:szCs w:val="18"/>
              </w:rPr>
            </w:pP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026" w:type="dxa"/>
            <w:tcBorders>
              <w:top w:val="nil"/>
              <w:left w:val="nil"/>
              <w:bottom w:val="nil"/>
              <w:right w:val="nil"/>
            </w:tcBorders>
            <w:shd w:val="clear" w:color="auto" w:fill="auto"/>
            <w:noWrap/>
            <w:vAlign w:val="bottom"/>
            <w:hideMark/>
          </w:tcPr>
          <w:p w:rsidR="00735613" w:rsidRDefault="00735613">
            <w:pPr>
              <w:rPr>
                <w:rFonts w:cs="Arial"/>
                <w:szCs w:val="18"/>
              </w:rPr>
            </w:pPr>
          </w:p>
        </w:tc>
      </w:tr>
      <w:tr w:rsidR="00735613" w:rsidTr="00735613">
        <w:trPr>
          <w:trHeight w:val="276"/>
        </w:trPr>
        <w:tc>
          <w:tcPr>
            <w:tcW w:w="6690" w:type="dxa"/>
            <w:tcBorders>
              <w:top w:val="nil"/>
              <w:left w:val="nil"/>
              <w:bottom w:val="nil"/>
              <w:right w:val="nil"/>
            </w:tcBorders>
            <w:shd w:val="clear" w:color="auto" w:fill="auto"/>
            <w:noWrap/>
            <w:vAlign w:val="bottom"/>
            <w:hideMark/>
          </w:tcPr>
          <w:p w:rsidR="00735613" w:rsidRDefault="00735613">
            <w:pPr>
              <w:ind w:firstLineChars="200" w:firstLine="360"/>
              <w:rPr>
                <w:rFonts w:cs="Arial"/>
                <w:color w:val="000000"/>
                <w:szCs w:val="18"/>
              </w:rPr>
            </w:pPr>
            <w:r>
              <w:rPr>
                <w:rFonts w:cs="Arial"/>
                <w:color w:val="000000"/>
                <w:szCs w:val="18"/>
              </w:rPr>
              <w:t>Departmental</w:t>
            </w:r>
          </w:p>
        </w:tc>
        <w:tc>
          <w:tcPr>
            <w:tcW w:w="1031" w:type="dxa"/>
            <w:tcBorders>
              <w:top w:val="nil"/>
              <w:left w:val="nil"/>
              <w:bottom w:val="nil"/>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4,830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026" w:type="dxa"/>
            <w:tcBorders>
              <w:top w:val="nil"/>
              <w:left w:val="nil"/>
              <w:bottom w:val="nil"/>
              <w:right w:val="nil"/>
            </w:tcBorders>
            <w:shd w:val="clear" w:color="FFFFFF" w:fill="FFFFFF"/>
            <w:noWrap/>
            <w:vAlign w:val="bottom"/>
            <w:hideMark/>
          </w:tcPr>
          <w:p w:rsidR="00735613" w:rsidRDefault="00735613">
            <w:pPr>
              <w:jc w:val="right"/>
              <w:rPr>
                <w:rFonts w:cs="Arial"/>
                <w:szCs w:val="18"/>
              </w:rPr>
            </w:pPr>
            <w:r>
              <w:rPr>
                <w:rFonts w:cs="Arial"/>
                <w:szCs w:val="18"/>
              </w:rPr>
              <w:t xml:space="preserve">1,191 </w:t>
            </w:r>
          </w:p>
        </w:tc>
      </w:tr>
      <w:tr w:rsidR="00735613" w:rsidTr="00735613">
        <w:trPr>
          <w:trHeight w:val="276"/>
        </w:trPr>
        <w:tc>
          <w:tcPr>
            <w:tcW w:w="6690" w:type="dxa"/>
            <w:tcBorders>
              <w:top w:val="nil"/>
              <w:left w:val="nil"/>
              <w:bottom w:val="nil"/>
              <w:right w:val="nil"/>
            </w:tcBorders>
            <w:shd w:val="clear" w:color="auto" w:fill="auto"/>
            <w:noWrap/>
            <w:vAlign w:val="bottom"/>
            <w:hideMark/>
          </w:tcPr>
          <w:p w:rsidR="00735613" w:rsidRDefault="00735613">
            <w:pPr>
              <w:rPr>
                <w:rFonts w:cs="Arial"/>
                <w:b/>
                <w:bCs/>
                <w:color w:val="000000"/>
                <w:szCs w:val="18"/>
              </w:rPr>
            </w:pPr>
            <w:r>
              <w:rPr>
                <w:rFonts w:cs="Arial"/>
                <w:b/>
                <w:bCs/>
                <w:color w:val="000000"/>
                <w:szCs w:val="18"/>
              </w:rPr>
              <w:t>Total expenses</w:t>
            </w:r>
          </w:p>
        </w:tc>
        <w:tc>
          <w:tcPr>
            <w:tcW w:w="103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b/>
                <w:bCs/>
                <w:szCs w:val="18"/>
              </w:rPr>
            </w:pPr>
            <w:r>
              <w:rPr>
                <w:rFonts w:cs="Arial"/>
                <w:b/>
                <w:bCs/>
                <w:szCs w:val="18"/>
              </w:rPr>
              <w:t xml:space="preserve">4,830 </w:t>
            </w:r>
          </w:p>
        </w:tc>
        <w:tc>
          <w:tcPr>
            <w:tcW w:w="236"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102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Arial"/>
                <w:szCs w:val="18"/>
              </w:rPr>
            </w:pPr>
            <w:r>
              <w:rPr>
                <w:rFonts w:cs="Arial"/>
                <w:szCs w:val="18"/>
              </w:rPr>
              <w:t xml:space="preserve">1,191 </w:t>
            </w:r>
          </w:p>
        </w:tc>
      </w:tr>
      <w:tr w:rsidR="00735613" w:rsidTr="00735613">
        <w:trPr>
          <w:trHeight w:val="276"/>
        </w:trPr>
        <w:tc>
          <w:tcPr>
            <w:tcW w:w="6690" w:type="dxa"/>
            <w:tcBorders>
              <w:top w:val="nil"/>
              <w:left w:val="nil"/>
              <w:bottom w:val="nil"/>
              <w:right w:val="nil"/>
            </w:tcBorders>
            <w:shd w:val="clear" w:color="auto" w:fill="auto"/>
            <w:noWrap/>
            <w:vAlign w:val="bottom"/>
            <w:hideMark/>
          </w:tcPr>
          <w:p w:rsidR="00735613" w:rsidRDefault="00735613">
            <w:pPr>
              <w:jc w:val="right"/>
              <w:rPr>
                <w:rFonts w:cs="Arial"/>
                <w:szCs w:val="18"/>
              </w:rPr>
            </w:pPr>
          </w:p>
        </w:tc>
        <w:tc>
          <w:tcPr>
            <w:tcW w:w="1031" w:type="dxa"/>
            <w:tcBorders>
              <w:top w:val="nil"/>
              <w:left w:val="nil"/>
              <w:bottom w:val="nil"/>
              <w:right w:val="nil"/>
            </w:tcBorders>
            <w:shd w:val="clear" w:color="auto" w:fill="auto"/>
            <w:noWrap/>
            <w:vAlign w:val="bottom"/>
            <w:hideMark/>
          </w:tcPr>
          <w:p w:rsidR="00735613" w:rsidRDefault="00735613">
            <w:pPr>
              <w:rPr>
                <w:sz w:val="20"/>
              </w:rPr>
            </w:pP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026" w:type="dxa"/>
            <w:tcBorders>
              <w:top w:val="nil"/>
              <w:left w:val="nil"/>
              <w:bottom w:val="nil"/>
              <w:right w:val="nil"/>
            </w:tcBorders>
            <w:shd w:val="clear" w:color="auto" w:fill="auto"/>
            <w:noWrap/>
            <w:vAlign w:val="bottom"/>
            <w:hideMark/>
          </w:tcPr>
          <w:p w:rsidR="00735613" w:rsidRDefault="00735613">
            <w:pPr>
              <w:rPr>
                <w:rFonts w:cs="Arial"/>
                <w:szCs w:val="18"/>
              </w:rPr>
            </w:pPr>
          </w:p>
        </w:tc>
      </w:tr>
      <w:tr w:rsidR="00735613" w:rsidTr="00735613">
        <w:trPr>
          <w:trHeight w:val="276"/>
        </w:trPr>
        <w:tc>
          <w:tcPr>
            <w:tcW w:w="6690" w:type="dxa"/>
            <w:tcBorders>
              <w:top w:val="nil"/>
              <w:left w:val="nil"/>
              <w:bottom w:val="nil"/>
              <w:right w:val="nil"/>
            </w:tcBorders>
            <w:shd w:val="clear" w:color="000000" w:fill="D9D9D9"/>
            <w:noWrap/>
            <w:vAlign w:val="bottom"/>
            <w:hideMark/>
          </w:tcPr>
          <w:p w:rsidR="00735613" w:rsidRDefault="00735613">
            <w:pPr>
              <w:rPr>
                <w:rFonts w:cs="Arial"/>
                <w:b/>
                <w:bCs/>
                <w:color w:val="000000"/>
                <w:szCs w:val="18"/>
              </w:rPr>
            </w:pPr>
            <w:r>
              <w:rPr>
                <w:rFonts w:cs="Arial"/>
                <w:b/>
                <w:bCs/>
                <w:color w:val="000000"/>
                <w:szCs w:val="18"/>
              </w:rPr>
              <w:t>Revenue</w:t>
            </w:r>
          </w:p>
        </w:tc>
        <w:tc>
          <w:tcPr>
            <w:tcW w:w="1031" w:type="dxa"/>
            <w:tcBorders>
              <w:top w:val="nil"/>
              <w:left w:val="nil"/>
              <w:bottom w:val="nil"/>
              <w:right w:val="nil"/>
            </w:tcBorders>
            <w:shd w:val="clear" w:color="000000" w:fill="D9D9D9"/>
            <w:noWrap/>
            <w:vAlign w:val="bottom"/>
            <w:hideMark/>
          </w:tcPr>
          <w:p w:rsidR="00735613" w:rsidRDefault="00735613">
            <w:pPr>
              <w:rPr>
                <w:rFonts w:cs="Arial"/>
                <w:b/>
                <w:bCs/>
                <w:color w:val="000000"/>
                <w:szCs w:val="18"/>
              </w:rPr>
            </w:pPr>
            <w:r>
              <w:rPr>
                <w:rFonts w:cs="Arial"/>
                <w:b/>
                <w:bCs/>
                <w:color w:val="000000"/>
                <w:szCs w:val="18"/>
              </w:rPr>
              <w:t> </w:t>
            </w:r>
          </w:p>
        </w:tc>
        <w:tc>
          <w:tcPr>
            <w:tcW w:w="236"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c>
          <w:tcPr>
            <w:tcW w:w="1026" w:type="dxa"/>
            <w:tcBorders>
              <w:top w:val="nil"/>
              <w:left w:val="nil"/>
              <w:bottom w:val="nil"/>
              <w:right w:val="nil"/>
            </w:tcBorders>
            <w:shd w:val="clear" w:color="000000" w:fill="D9D9D9"/>
            <w:noWrap/>
            <w:vAlign w:val="bottom"/>
            <w:hideMark/>
          </w:tcPr>
          <w:p w:rsidR="00735613" w:rsidRDefault="00735613">
            <w:pPr>
              <w:rPr>
                <w:rFonts w:cs="Arial"/>
                <w:color w:val="000000"/>
                <w:szCs w:val="18"/>
              </w:rPr>
            </w:pPr>
            <w:r>
              <w:rPr>
                <w:rFonts w:cs="Arial"/>
                <w:color w:val="000000"/>
                <w:szCs w:val="18"/>
              </w:rPr>
              <w:t> </w:t>
            </w:r>
          </w:p>
        </w:tc>
      </w:tr>
      <w:tr w:rsidR="00735613" w:rsidTr="00735613">
        <w:trPr>
          <w:trHeight w:val="276"/>
        </w:trPr>
        <w:tc>
          <w:tcPr>
            <w:tcW w:w="6690" w:type="dxa"/>
            <w:tcBorders>
              <w:top w:val="nil"/>
              <w:left w:val="nil"/>
              <w:bottom w:val="nil"/>
              <w:right w:val="nil"/>
            </w:tcBorders>
            <w:shd w:val="clear" w:color="000000" w:fill="D9D9D9"/>
            <w:noWrap/>
            <w:vAlign w:val="bottom"/>
            <w:hideMark/>
          </w:tcPr>
          <w:p w:rsidR="00735613" w:rsidRDefault="00735613">
            <w:pPr>
              <w:ind w:firstLineChars="100" w:firstLine="180"/>
              <w:rPr>
                <w:rFonts w:cs="Arial"/>
                <w:color w:val="000000"/>
                <w:szCs w:val="18"/>
              </w:rPr>
            </w:pPr>
            <w:r>
              <w:rPr>
                <w:rFonts w:cs="Arial"/>
                <w:color w:val="000000"/>
                <w:szCs w:val="18"/>
              </w:rPr>
              <w:t>Administered</w:t>
            </w:r>
          </w:p>
        </w:tc>
        <w:tc>
          <w:tcPr>
            <w:tcW w:w="1031"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7,119 </w:t>
            </w:r>
          </w:p>
        </w:tc>
        <w:tc>
          <w:tcPr>
            <w:tcW w:w="236"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c>
          <w:tcPr>
            <w:tcW w:w="1026"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6,224 </w:t>
            </w:r>
          </w:p>
        </w:tc>
      </w:tr>
      <w:tr w:rsidR="00735613" w:rsidTr="00735613">
        <w:trPr>
          <w:trHeight w:val="276"/>
        </w:trPr>
        <w:tc>
          <w:tcPr>
            <w:tcW w:w="6690" w:type="dxa"/>
            <w:tcBorders>
              <w:top w:val="nil"/>
              <w:left w:val="nil"/>
              <w:bottom w:val="nil"/>
              <w:right w:val="nil"/>
            </w:tcBorders>
            <w:shd w:val="clear" w:color="000000" w:fill="D9D9D9"/>
            <w:noWrap/>
            <w:vAlign w:val="bottom"/>
            <w:hideMark/>
          </w:tcPr>
          <w:p w:rsidR="00735613" w:rsidRDefault="00735613">
            <w:pPr>
              <w:rPr>
                <w:rFonts w:cs="Arial"/>
                <w:b/>
                <w:bCs/>
                <w:color w:val="000000"/>
                <w:szCs w:val="18"/>
              </w:rPr>
            </w:pPr>
            <w:r>
              <w:rPr>
                <w:rFonts w:cs="Arial"/>
                <w:b/>
                <w:bCs/>
                <w:color w:val="000000"/>
                <w:szCs w:val="18"/>
              </w:rPr>
              <w:t xml:space="preserve">Total revenue </w:t>
            </w:r>
          </w:p>
        </w:tc>
        <w:tc>
          <w:tcPr>
            <w:tcW w:w="1031"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7,119 </w:t>
            </w:r>
          </w:p>
        </w:tc>
        <w:tc>
          <w:tcPr>
            <w:tcW w:w="236"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c>
          <w:tcPr>
            <w:tcW w:w="102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6,224 </w:t>
            </w:r>
          </w:p>
        </w:tc>
      </w:tr>
      <w:tr w:rsidR="00735613" w:rsidTr="00735613">
        <w:trPr>
          <w:trHeight w:val="276"/>
        </w:trPr>
        <w:tc>
          <w:tcPr>
            <w:tcW w:w="6690" w:type="dxa"/>
            <w:tcBorders>
              <w:top w:val="nil"/>
              <w:left w:val="nil"/>
              <w:bottom w:val="nil"/>
              <w:right w:val="nil"/>
            </w:tcBorders>
            <w:shd w:val="clear" w:color="000000" w:fill="D9D9D9"/>
            <w:noWrap/>
            <w:vAlign w:val="bottom"/>
            <w:hideMark/>
          </w:tcPr>
          <w:p w:rsidR="00735613" w:rsidRDefault="00735613">
            <w:pPr>
              <w:rPr>
                <w:rFonts w:cs="Arial"/>
                <w:color w:val="000000"/>
                <w:szCs w:val="18"/>
              </w:rPr>
            </w:pPr>
            <w:r>
              <w:rPr>
                <w:rFonts w:cs="Arial"/>
                <w:color w:val="000000"/>
                <w:szCs w:val="18"/>
              </w:rPr>
              <w:t> </w:t>
            </w:r>
          </w:p>
        </w:tc>
        <w:tc>
          <w:tcPr>
            <w:tcW w:w="1031" w:type="dxa"/>
            <w:tcBorders>
              <w:top w:val="nil"/>
              <w:left w:val="nil"/>
              <w:bottom w:val="nil"/>
              <w:right w:val="nil"/>
            </w:tcBorders>
            <w:shd w:val="clear" w:color="000000" w:fill="D9D9D9"/>
            <w:noWrap/>
            <w:vAlign w:val="bottom"/>
            <w:hideMark/>
          </w:tcPr>
          <w:p w:rsidR="00735613" w:rsidRDefault="00735613">
            <w:pPr>
              <w:rPr>
                <w:rFonts w:cs="Arial"/>
                <w:b/>
                <w:bCs/>
                <w:color w:val="000000"/>
                <w:szCs w:val="18"/>
              </w:rPr>
            </w:pPr>
            <w:r>
              <w:rPr>
                <w:rFonts w:cs="Arial"/>
                <w:b/>
                <w:bCs/>
                <w:color w:val="000000"/>
                <w:szCs w:val="18"/>
              </w:rPr>
              <w:t> </w:t>
            </w:r>
          </w:p>
        </w:tc>
        <w:tc>
          <w:tcPr>
            <w:tcW w:w="236"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c>
          <w:tcPr>
            <w:tcW w:w="1026" w:type="dxa"/>
            <w:tcBorders>
              <w:top w:val="nil"/>
              <w:left w:val="nil"/>
              <w:bottom w:val="nil"/>
              <w:right w:val="nil"/>
            </w:tcBorders>
            <w:shd w:val="clear" w:color="000000" w:fill="D9D9D9"/>
            <w:noWrap/>
            <w:vAlign w:val="bottom"/>
            <w:hideMark/>
          </w:tcPr>
          <w:p w:rsidR="00735613" w:rsidRDefault="00735613">
            <w:pPr>
              <w:rPr>
                <w:rFonts w:cs="Arial"/>
                <w:color w:val="000000"/>
                <w:szCs w:val="18"/>
              </w:rPr>
            </w:pPr>
            <w:r>
              <w:rPr>
                <w:rFonts w:cs="Arial"/>
                <w:color w:val="000000"/>
                <w:szCs w:val="18"/>
              </w:rPr>
              <w:t> </w:t>
            </w:r>
          </w:p>
        </w:tc>
      </w:tr>
      <w:tr w:rsidR="00735613" w:rsidTr="00735613">
        <w:trPr>
          <w:trHeight w:val="276"/>
        </w:trPr>
        <w:tc>
          <w:tcPr>
            <w:tcW w:w="6690" w:type="dxa"/>
            <w:tcBorders>
              <w:top w:val="nil"/>
              <w:left w:val="nil"/>
              <w:bottom w:val="nil"/>
              <w:right w:val="nil"/>
            </w:tcBorders>
            <w:shd w:val="clear" w:color="000000" w:fill="D9D9D9"/>
            <w:noWrap/>
            <w:vAlign w:val="bottom"/>
            <w:hideMark/>
          </w:tcPr>
          <w:p w:rsidR="00735613" w:rsidRDefault="00735613">
            <w:pPr>
              <w:rPr>
                <w:rFonts w:cs="Arial"/>
                <w:b/>
                <w:bCs/>
                <w:color w:val="000000"/>
                <w:szCs w:val="18"/>
              </w:rPr>
            </w:pPr>
            <w:r>
              <w:rPr>
                <w:rFonts w:cs="Arial"/>
                <w:b/>
                <w:bCs/>
                <w:color w:val="000000"/>
                <w:szCs w:val="18"/>
              </w:rPr>
              <w:t>Receivables</w:t>
            </w:r>
          </w:p>
        </w:tc>
        <w:tc>
          <w:tcPr>
            <w:tcW w:w="1031" w:type="dxa"/>
            <w:tcBorders>
              <w:top w:val="nil"/>
              <w:left w:val="nil"/>
              <w:bottom w:val="nil"/>
              <w:right w:val="nil"/>
            </w:tcBorders>
            <w:shd w:val="clear" w:color="000000" w:fill="D9D9D9"/>
            <w:noWrap/>
            <w:vAlign w:val="bottom"/>
            <w:hideMark/>
          </w:tcPr>
          <w:p w:rsidR="00735613" w:rsidRDefault="00735613">
            <w:pPr>
              <w:rPr>
                <w:rFonts w:cs="Arial"/>
                <w:b/>
                <w:bCs/>
                <w:color w:val="000000"/>
                <w:szCs w:val="18"/>
              </w:rPr>
            </w:pPr>
            <w:r>
              <w:rPr>
                <w:rFonts w:cs="Arial"/>
                <w:b/>
                <w:bCs/>
                <w:color w:val="000000"/>
                <w:szCs w:val="18"/>
              </w:rPr>
              <w:t> </w:t>
            </w:r>
          </w:p>
        </w:tc>
        <w:tc>
          <w:tcPr>
            <w:tcW w:w="236"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c>
          <w:tcPr>
            <w:tcW w:w="1026" w:type="dxa"/>
            <w:tcBorders>
              <w:top w:val="nil"/>
              <w:left w:val="nil"/>
              <w:bottom w:val="nil"/>
              <w:right w:val="nil"/>
            </w:tcBorders>
            <w:shd w:val="clear" w:color="000000" w:fill="D9D9D9"/>
            <w:noWrap/>
            <w:vAlign w:val="bottom"/>
            <w:hideMark/>
          </w:tcPr>
          <w:p w:rsidR="00735613" w:rsidRDefault="00735613">
            <w:pPr>
              <w:rPr>
                <w:rFonts w:cs="Arial"/>
                <w:color w:val="000000"/>
                <w:szCs w:val="18"/>
              </w:rPr>
            </w:pPr>
            <w:r>
              <w:rPr>
                <w:rFonts w:cs="Arial"/>
                <w:color w:val="000000"/>
                <w:szCs w:val="18"/>
              </w:rPr>
              <w:t> </w:t>
            </w:r>
          </w:p>
        </w:tc>
      </w:tr>
      <w:tr w:rsidR="00735613" w:rsidTr="00735613">
        <w:trPr>
          <w:trHeight w:val="276"/>
        </w:trPr>
        <w:tc>
          <w:tcPr>
            <w:tcW w:w="6690" w:type="dxa"/>
            <w:tcBorders>
              <w:top w:val="nil"/>
              <w:left w:val="nil"/>
              <w:bottom w:val="nil"/>
              <w:right w:val="nil"/>
            </w:tcBorders>
            <w:shd w:val="clear" w:color="000000" w:fill="D9D9D9"/>
            <w:noWrap/>
            <w:vAlign w:val="bottom"/>
            <w:hideMark/>
          </w:tcPr>
          <w:p w:rsidR="00735613" w:rsidRDefault="00735613">
            <w:pPr>
              <w:rPr>
                <w:rFonts w:cs="Arial"/>
                <w:color w:val="000000"/>
                <w:szCs w:val="18"/>
              </w:rPr>
            </w:pPr>
            <w:r>
              <w:rPr>
                <w:rFonts w:cs="Arial"/>
                <w:color w:val="000000"/>
                <w:szCs w:val="18"/>
              </w:rPr>
              <w:t>Not overdue</w:t>
            </w:r>
          </w:p>
        </w:tc>
        <w:tc>
          <w:tcPr>
            <w:tcW w:w="1031"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16 </w:t>
            </w:r>
          </w:p>
        </w:tc>
        <w:tc>
          <w:tcPr>
            <w:tcW w:w="236"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c>
          <w:tcPr>
            <w:tcW w:w="1026"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15 </w:t>
            </w:r>
          </w:p>
        </w:tc>
      </w:tr>
      <w:tr w:rsidR="00735613" w:rsidTr="00735613">
        <w:trPr>
          <w:trHeight w:val="276"/>
        </w:trPr>
        <w:tc>
          <w:tcPr>
            <w:tcW w:w="6690" w:type="dxa"/>
            <w:tcBorders>
              <w:top w:val="nil"/>
              <w:left w:val="nil"/>
              <w:bottom w:val="nil"/>
              <w:right w:val="nil"/>
            </w:tcBorders>
            <w:shd w:val="clear" w:color="000000" w:fill="D9D9D9"/>
            <w:noWrap/>
            <w:vAlign w:val="bottom"/>
            <w:hideMark/>
          </w:tcPr>
          <w:p w:rsidR="00735613" w:rsidRDefault="00735613">
            <w:pPr>
              <w:rPr>
                <w:rFonts w:cs="Arial"/>
                <w:color w:val="000000"/>
                <w:szCs w:val="18"/>
              </w:rPr>
            </w:pPr>
            <w:r>
              <w:rPr>
                <w:rFonts w:cs="Arial"/>
                <w:color w:val="000000"/>
                <w:szCs w:val="18"/>
              </w:rPr>
              <w:t>Overdue by</w:t>
            </w:r>
          </w:p>
        </w:tc>
        <w:tc>
          <w:tcPr>
            <w:tcW w:w="1031"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w:t>
            </w:r>
          </w:p>
        </w:tc>
        <w:tc>
          <w:tcPr>
            <w:tcW w:w="236"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c>
          <w:tcPr>
            <w:tcW w:w="1026"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w:t>
            </w:r>
          </w:p>
        </w:tc>
      </w:tr>
      <w:tr w:rsidR="00735613" w:rsidTr="00735613">
        <w:trPr>
          <w:trHeight w:val="276"/>
        </w:trPr>
        <w:tc>
          <w:tcPr>
            <w:tcW w:w="6690" w:type="dxa"/>
            <w:tcBorders>
              <w:top w:val="nil"/>
              <w:left w:val="nil"/>
              <w:bottom w:val="nil"/>
              <w:right w:val="nil"/>
            </w:tcBorders>
            <w:shd w:val="clear" w:color="000000" w:fill="D9D9D9"/>
            <w:noWrap/>
            <w:vAlign w:val="bottom"/>
            <w:hideMark/>
          </w:tcPr>
          <w:p w:rsidR="00735613" w:rsidRDefault="00735613">
            <w:pPr>
              <w:rPr>
                <w:rFonts w:cs="Arial"/>
                <w:color w:val="000000"/>
                <w:szCs w:val="18"/>
              </w:rPr>
            </w:pPr>
            <w:r>
              <w:rPr>
                <w:rFonts w:cs="Arial"/>
                <w:color w:val="000000"/>
                <w:szCs w:val="18"/>
              </w:rPr>
              <w:t xml:space="preserve">     0 to 30 days</w:t>
            </w:r>
          </w:p>
        </w:tc>
        <w:tc>
          <w:tcPr>
            <w:tcW w:w="1031"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6 </w:t>
            </w:r>
          </w:p>
        </w:tc>
        <w:tc>
          <w:tcPr>
            <w:tcW w:w="236"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c>
          <w:tcPr>
            <w:tcW w:w="1026"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8 </w:t>
            </w:r>
          </w:p>
        </w:tc>
      </w:tr>
      <w:tr w:rsidR="00735613" w:rsidTr="00735613">
        <w:trPr>
          <w:trHeight w:val="276"/>
        </w:trPr>
        <w:tc>
          <w:tcPr>
            <w:tcW w:w="6690" w:type="dxa"/>
            <w:tcBorders>
              <w:top w:val="nil"/>
              <w:left w:val="nil"/>
              <w:bottom w:val="nil"/>
              <w:right w:val="nil"/>
            </w:tcBorders>
            <w:shd w:val="clear" w:color="000000" w:fill="D9D9D9"/>
            <w:noWrap/>
            <w:vAlign w:val="bottom"/>
            <w:hideMark/>
          </w:tcPr>
          <w:p w:rsidR="00735613" w:rsidRDefault="00735613">
            <w:pPr>
              <w:rPr>
                <w:rFonts w:cs="Arial"/>
                <w:color w:val="000000"/>
                <w:szCs w:val="18"/>
              </w:rPr>
            </w:pPr>
            <w:r>
              <w:rPr>
                <w:rFonts w:cs="Arial"/>
                <w:color w:val="000000"/>
                <w:szCs w:val="18"/>
              </w:rPr>
              <w:t xml:space="preserve">     31 to 60 days</w:t>
            </w:r>
          </w:p>
        </w:tc>
        <w:tc>
          <w:tcPr>
            <w:tcW w:w="1031"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 -</w:t>
            </w:r>
          </w:p>
        </w:tc>
        <w:tc>
          <w:tcPr>
            <w:tcW w:w="236"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c>
          <w:tcPr>
            <w:tcW w:w="1026"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r>
      <w:tr w:rsidR="00735613" w:rsidTr="00735613">
        <w:trPr>
          <w:trHeight w:val="276"/>
        </w:trPr>
        <w:tc>
          <w:tcPr>
            <w:tcW w:w="6690" w:type="dxa"/>
            <w:tcBorders>
              <w:top w:val="nil"/>
              <w:left w:val="nil"/>
              <w:bottom w:val="nil"/>
              <w:right w:val="nil"/>
            </w:tcBorders>
            <w:shd w:val="clear" w:color="000000" w:fill="D9D9D9"/>
            <w:noWrap/>
            <w:vAlign w:val="bottom"/>
            <w:hideMark/>
          </w:tcPr>
          <w:p w:rsidR="00735613" w:rsidRDefault="00735613">
            <w:pPr>
              <w:rPr>
                <w:rFonts w:cs="Arial"/>
                <w:color w:val="000000"/>
                <w:szCs w:val="18"/>
              </w:rPr>
            </w:pPr>
            <w:r>
              <w:rPr>
                <w:rFonts w:cs="Arial"/>
                <w:color w:val="000000"/>
                <w:szCs w:val="18"/>
              </w:rPr>
              <w:t xml:space="preserve">     61 to 90 days</w:t>
            </w:r>
          </w:p>
        </w:tc>
        <w:tc>
          <w:tcPr>
            <w:tcW w:w="1031"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 -</w:t>
            </w:r>
          </w:p>
        </w:tc>
        <w:tc>
          <w:tcPr>
            <w:tcW w:w="236"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c>
          <w:tcPr>
            <w:tcW w:w="1026"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 -</w:t>
            </w:r>
          </w:p>
        </w:tc>
      </w:tr>
      <w:tr w:rsidR="00735613" w:rsidTr="00735613">
        <w:trPr>
          <w:trHeight w:val="276"/>
        </w:trPr>
        <w:tc>
          <w:tcPr>
            <w:tcW w:w="6690" w:type="dxa"/>
            <w:tcBorders>
              <w:top w:val="nil"/>
              <w:left w:val="nil"/>
              <w:bottom w:val="nil"/>
              <w:right w:val="nil"/>
            </w:tcBorders>
            <w:shd w:val="clear" w:color="000000" w:fill="D9D9D9"/>
            <w:noWrap/>
            <w:vAlign w:val="bottom"/>
            <w:hideMark/>
          </w:tcPr>
          <w:p w:rsidR="00735613" w:rsidRDefault="00735613">
            <w:pPr>
              <w:rPr>
                <w:rFonts w:cs="Arial"/>
                <w:color w:val="000000"/>
                <w:szCs w:val="18"/>
              </w:rPr>
            </w:pPr>
            <w:r>
              <w:rPr>
                <w:rFonts w:cs="Arial"/>
                <w:color w:val="000000"/>
                <w:szCs w:val="18"/>
              </w:rPr>
              <w:t xml:space="preserve">     More than 90 days</w:t>
            </w:r>
          </w:p>
        </w:tc>
        <w:tc>
          <w:tcPr>
            <w:tcW w:w="1031" w:type="dxa"/>
            <w:tcBorders>
              <w:top w:val="nil"/>
              <w:left w:val="nil"/>
              <w:bottom w:val="nil"/>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75 </w:t>
            </w:r>
          </w:p>
        </w:tc>
        <w:tc>
          <w:tcPr>
            <w:tcW w:w="236"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c>
          <w:tcPr>
            <w:tcW w:w="1026" w:type="dxa"/>
            <w:tcBorders>
              <w:top w:val="nil"/>
              <w:left w:val="nil"/>
              <w:bottom w:val="nil"/>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58 </w:t>
            </w:r>
          </w:p>
        </w:tc>
      </w:tr>
      <w:tr w:rsidR="00735613" w:rsidTr="00735613">
        <w:trPr>
          <w:trHeight w:val="276"/>
        </w:trPr>
        <w:tc>
          <w:tcPr>
            <w:tcW w:w="6690" w:type="dxa"/>
            <w:tcBorders>
              <w:top w:val="nil"/>
              <w:left w:val="nil"/>
              <w:bottom w:val="nil"/>
              <w:right w:val="nil"/>
            </w:tcBorders>
            <w:shd w:val="clear" w:color="000000" w:fill="D9D9D9"/>
            <w:noWrap/>
            <w:vAlign w:val="bottom"/>
            <w:hideMark/>
          </w:tcPr>
          <w:p w:rsidR="00735613" w:rsidRDefault="00735613">
            <w:pPr>
              <w:rPr>
                <w:rFonts w:cs="Arial"/>
                <w:b/>
                <w:bCs/>
                <w:color w:val="000000"/>
                <w:szCs w:val="18"/>
              </w:rPr>
            </w:pPr>
            <w:r>
              <w:rPr>
                <w:rFonts w:cs="Arial"/>
                <w:b/>
                <w:bCs/>
                <w:color w:val="000000"/>
                <w:szCs w:val="18"/>
              </w:rPr>
              <w:t>Total receivables</w:t>
            </w:r>
          </w:p>
        </w:tc>
        <w:tc>
          <w:tcPr>
            <w:tcW w:w="1031"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b/>
                <w:bCs/>
                <w:sz w:val="16"/>
                <w:szCs w:val="16"/>
              </w:rPr>
            </w:pPr>
            <w:r>
              <w:rPr>
                <w:rFonts w:cs="Arial"/>
                <w:b/>
                <w:bCs/>
                <w:sz w:val="16"/>
                <w:szCs w:val="16"/>
              </w:rPr>
              <w:t xml:space="preserve">97 </w:t>
            </w:r>
          </w:p>
        </w:tc>
        <w:tc>
          <w:tcPr>
            <w:tcW w:w="236" w:type="dxa"/>
            <w:tcBorders>
              <w:top w:val="nil"/>
              <w:left w:val="nil"/>
              <w:bottom w:val="nil"/>
              <w:right w:val="nil"/>
            </w:tcBorders>
            <w:shd w:val="clear" w:color="000000" w:fill="D9D9D9"/>
            <w:noWrap/>
            <w:vAlign w:val="bottom"/>
            <w:hideMark/>
          </w:tcPr>
          <w:p w:rsidR="00735613" w:rsidRDefault="00735613">
            <w:pPr>
              <w:rPr>
                <w:rFonts w:cs="Arial"/>
                <w:szCs w:val="18"/>
              </w:rPr>
            </w:pPr>
            <w:r>
              <w:rPr>
                <w:rFonts w:cs="Arial"/>
                <w:szCs w:val="18"/>
              </w:rPr>
              <w:t> </w:t>
            </w:r>
          </w:p>
        </w:tc>
        <w:tc>
          <w:tcPr>
            <w:tcW w:w="102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Arial"/>
                <w:sz w:val="16"/>
                <w:szCs w:val="16"/>
              </w:rPr>
            </w:pPr>
            <w:r>
              <w:rPr>
                <w:rFonts w:cs="Arial"/>
                <w:sz w:val="16"/>
                <w:szCs w:val="16"/>
              </w:rPr>
              <w:t xml:space="preserve">80 </w:t>
            </w:r>
          </w:p>
        </w:tc>
      </w:tr>
      <w:tr w:rsidR="00735613" w:rsidTr="00735613">
        <w:trPr>
          <w:trHeight w:val="276"/>
        </w:trPr>
        <w:tc>
          <w:tcPr>
            <w:tcW w:w="6690" w:type="dxa"/>
            <w:tcBorders>
              <w:top w:val="nil"/>
              <w:left w:val="nil"/>
              <w:bottom w:val="nil"/>
              <w:right w:val="nil"/>
            </w:tcBorders>
            <w:shd w:val="clear" w:color="auto" w:fill="auto"/>
            <w:noWrap/>
            <w:vAlign w:val="bottom"/>
            <w:hideMark/>
          </w:tcPr>
          <w:p w:rsidR="00735613" w:rsidRDefault="00735613">
            <w:pPr>
              <w:jc w:val="right"/>
              <w:rPr>
                <w:rFonts w:cs="Arial"/>
                <w:sz w:val="16"/>
                <w:szCs w:val="16"/>
              </w:rPr>
            </w:pPr>
          </w:p>
        </w:tc>
        <w:tc>
          <w:tcPr>
            <w:tcW w:w="1031" w:type="dxa"/>
            <w:tcBorders>
              <w:top w:val="nil"/>
              <w:left w:val="nil"/>
              <w:bottom w:val="nil"/>
              <w:right w:val="nil"/>
            </w:tcBorders>
            <w:shd w:val="clear" w:color="auto" w:fill="auto"/>
            <w:noWrap/>
            <w:vAlign w:val="bottom"/>
            <w:hideMark/>
          </w:tcPr>
          <w:p w:rsidR="00735613" w:rsidRDefault="00735613">
            <w:pPr>
              <w:rPr>
                <w:sz w:val="20"/>
              </w:rPr>
            </w:pP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026" w:type="dxa"/>
            <w:tcBorders>
              <w:top w:val="nil"/>
              <w:left w:val="nil"/>
              <w:bottom w:val="nil"/>
              <w:right w:val="nil"/>
            </w:tcBorders>
            <w:shd w:val="clear" w:color="auto" w:fill="auto"/>
            <w:noWrap/>
            <w:vAlign w:val="bottom"/>
            <w:hideMark/>
          </w:tcPr>
          <w:p w:rsidR="00735613" w:rsidRDefault="00735613">
            <w:pPr>
              <w:rPr>
                <w:rFonts w:cs="Arial"/>
                <w:szCs w:val="18"/>
              </w:rPr>
            </w:pPr>
          </w:p>
        </w:tc>
      </w:tr>
      <w:tr w:rsidR="00735613" w:rsidTr="00735613">
        <w:trPr>
          <w:trHeight w:val="276"/>
        </w:trPr>
        <w:tc>
          <w:tcPr>
            <w:tcW w:w="6690" w:type="dxa"/>
            <w:tcBorders>
              <w:top w:val="nil"/>
              <w:left w:val="nil"/>
              <w:bottom w:val="nil"/>
              <w:right w:val="nil"/>
            </w:tcBorders>
            <w:shd w:val="clear" w:color="auto" w:fill="auto"/>
            <w:noWrap/>
            <w:vAlign w:val="bottom"/>
            <w:hideMark/>
          </w:tcPr>
          <w:p w:rsidR="00735613" w:rsidRDefault="00735613">
            <w:pPr>
              <w:rPr>
                <w:rFonts w:cs="Arial"/>
                <w:color w:val="000000"/>
                <w:szCs w:val="18"/>
              </w:rPr>
            </w:pPr>
            <w:r>
              <w:rPr>
                <w:rFonts w:cs="Arial"/>
                <w:color w:val="000000"/>
                <w:szCs w:val="18"/>
              </w:rPr>
              <w:t>Cost recovered activities:</w:t>
            </w:r>
          </w:p>
        </w:tc>
        <w:tc>
          <w:tcPr>
            <w:tcW w:w="1031" w:type="dxa"/>
            <w:tcBorders>
              <w:top w:val="nil"/>
              <w:left w:val="nil"/>
              <w:bottom w:val="nil"/>
              <w:right w:val="nil"/>
            </w:tcBorders>
            <w:shd w:val="clear" w:color="auto" w:fill="auto"/>
            <w:noWrap/>
            <w:vAlign w:val="bottom"/>
            <w:hideMark/>
          </w:tcPr>
          <w:p w:rsidR="00735613" w:rsidRDefault="00735613">
            <w:pPr>
              <w:rPr>
                <w:rFonts w:cs="Arial"/>
                <w:color w:val="000000"/>
                <w:szCs w:val="18"/>
              </w:rPr>
            </w:pPr>
          </w:p>
        </w:tc>
        <w:tc>
          <w:tcPr>
            <w:tcW w:w="236" w:type="dxa"/>
            <w:tcBorders>
              <w:top w:val="nil"/>
              <w:left w:val="nil"/>
              <w:bottom w:val="nil"/>
              <w:right w:val="nil"/>
            </w:tcBorders>
            <w:shd w:val="clear" w:color="FFFFFF" w:fill="FFFFFF"/>
            <w:noWrap/>
            <w:vAlign w:val="bottom"/>
            <w:hideMark/>
          </w:tcPr>
          <w:p w:rsidR="00735613" w:rsidRDefault="00735613">
            <w:pPr>
              <w:rPr>
                <w:rFonts w:cs="Arial"/>
                <w:szCs w:val="18"/>
              </w:rPr>
            </w:pPr>
            <w:r>
              <w:rPr>
                <w:rFonts w:cs="Arial"/>
                <w:szCs w:val="18"/>
              </w:rPr>
              <w:t> </w:t>
            </w:r>
          </w:p>
        </w:tc>
        <w:tc>
          <w:tcPr>
            <w:tcW w:w="1026" w:type="dxa"/>
            <w:tcBorders>
              <w:top w:val="nil"/>
              <w:left w:val="nil"/>
              <w:bottom w:val="nil"/>
              <w:right w:val="nil"/>
            </w:tcBorders>
            <w:shd w:val="clear" w:color="auto" w:fill="auto"/>
            <w:noWrap/>
            <w:vAlign w:val="bottom"/>
            <w:hideMark/>
          </w:tcPr>
          <w:p w:rsidR="00735613" w:rsidRDefault="00735613">
            <w:pPr>
              <w:rPr>
                <w:rFonts w:cs="Arial"/>
                <w:szCs w:val="18"/>
              </w:rPr>
            </w:pPr>
          </w:p>
        </w:tc>
      </w:tr>
      <w:tr w:rsidR="00735613" w:rsidTr="00735613">
        <w:trPr>
          <w:trHeight w:val="1320"/>
        </w:trPr>
        <w:tc>
          <w:tcPr>
            <w:tcW w:w="8983" w:type="dxa"/>
            <w:gridSpan w:val="4"/>
            <w:tcBorders>
              <w:top w:val="nil"/>
              <w:left w:val="nil"/>
              <w:bottom w:val="nil"/>
              <w:right w:val="nil"/>
            </w:tcBorders>
            <w:shd w:val="clear" w:color="auto" w:fill="auto"/>
            <w:vAlign w:val="bottom"/>
            <w:hideMark/>
          </w:tcPr>
          <w:p w:rsidR="00735613" w:rsidRDefault="00735613">
            <w:pPr>
              <w:rPr>
                <w:rFonts w:cs="Arial"/>
                <w:szCs w:val="18"/>
              </w:rPr>
            </w:pPr>
            <w:r>
              <w:rPr>
                <w:rFonts w:cs="Arial"/>
                <w:szCs w:val="18"/>
              </w:rPr>
              <w:t xml:space="preserve">The Commonwealth recovers the costs of administering its functions under the </w:t>
            </w:r>
            <w:r>
              <w:rPr>
                <w:rFonts w:cs="Arial"/>
                <w:i/>
                <w:iCs/>
                <w:szCs w:val="18"/>
              </w:rPr>
              <w:t xml:space="preserve">Education Services for Overseas Students Act 2000 </w:t>
            </w:r>
            <w:r>
              <w:rPr>
                <w:rFonts w:cs="Arial"/>
                <w:szCs w:val="18"/>
              </w:rPr>
              <w:t xml:space="preserve">(the ESOS Act) and the National Code of Practice for Providers of Education and Training to Overseas Students (National Code) through compulsory registration fees charged to all providers wishing to be registered on the Commonwealth Register of Institutions and Courses for Overseas Students (CRICOS), which allows them to offer courses to overseas students.  </w:t>
            </w:r>
          </w:p>
        </w:tc>
      </w:tr>
      <w:tr w:rsidR="00735613" w:rsidTr="00735613">
        <w:trPr>
          <w:trHeight w:val="72"/>
        </w:trPr>
        <w:tc>
          <w:tcPr>
            <w:tcW w:w="8983" w:type="dxa"/>
            <w:gridSpan w:val="4"/>
            <w:tcBorders>
              <w:top w:val="nil"/>
              <w:left w:val="nil"/>
              <w:bottom w:val="nil"/>
              <w:right w:val="nil"/>
            </w:tcBorders>
            <w:shd w:val="clear" w:color="auto" w:fill="auto"/>
            <w:noWrap/>
            <w:vAlign w:val="bottom"/>
            <w:hideMark/>
          </w:tcPr>
          <w:p w:rsidR="00735613" w:rsidRDefault="00735613">
            <w:pPr>
              <w:rPr>
                <w:rFonts w:cs="Arial"/>
                <w:szCs w:val="18"/>
              </w:rPr>
            </w:pPr>
          </w:p>
        </w:tc>
      </w:tr>
      <w:tr w:rsidR="00735613" w:rsidTr="00735613">
        <w:trPr>
          <w:trHeight w:val="1170"/>
        </w:trPr>
        <w:tc>
          <w:tcPr>
            <w:tcW w:w="8983" w:type="dxa"/>
            <w:gridSpan w:val="4"/>
            <w:tcBorders>
              <w:top w:val="nil"/>
              <w:left w:val="nil"/>
              <w:bottom w:val="nil"/>
              <w:right w:val="nil"/>
            </w:tcBorders>
            <w:shd w:val="clear" w:color="auto" w:fill="auto"/>
            <w:vAlign w:val="bottom"/>
            <w:hideMark/>
          </w:tcPr>
          <w:p w:rsidR="00735613" w:rsidRDefault="00735613">
            <w:pPr>
              <w:rPr>
                <w:rFonts w:cs="Arial"/>
                <w:szCs w:val="18"/>
              </w:rPr>
            </w:pPr>
            <w:r>
              <w:rPr>
                <w:rFonts w:cs="Arial"/>
                <w:szCs w:val="18"/>
              </w:rPr>
              <w:t xml:space="preserve">The following entities are involved in the delivery of these activities:  Department of Education and Training, Australian Skills Quality Authority and the Tertiary Education Quality and Standards Agency. The Commonwealth also recovers the cost of administering the functions of the Overseas Students Ombudsman under the </w:t>
            </w:r>
            <w:r>
              <w:rPr>
                <w:rFonts w:cs="Arial"/>
                <w:i/>
                <w:iCs/>
                <w:szCs w:val="18"/>
              </w:rPr>
              <w:t>Ombudsman Act 1976</w:t>
            </w:r>
            <w:r>
              <w:rPr>
                <w:rFonts w:cs="Arial"/>
                <w:szCs w:val="18"/>
              </w:rPr>
              <w:t>.  This function transferred from the Department of Industry as part of the Administrative Arrangement Orders of the 18 September 2013.</w:t>
            </w:r>
          </w:p>
        </w:tc>
      </w:tr>
      <w:tr w:rsidR="00735613" w:rsidTr="00735613">
        <w:trPr>
          <w:trHeight w:val="132"/>
        </w:trPr>
        <w:tc>
          <w:tcPr>
            <w:tcW w:w="8983" w:type="dxa"/>
            <w:gridSpan w:val="4"/>
            <w:tcBorders>
              <w:top w:val="nil"/>
              <w:left w:val="nil"/>
              <w:bottom w:val="nil"/>
              <w:right w:val="nil"/>
            </w:tcBorders>
            <w:shd w:val="clear" w:color="auto" w:fill="auto"/>
            <w:noWrap/>
            <w:vAlign w:val="bottom"/>
            <w:hideMark/>
          </w:tcPr>
          <w:p w:rsidR="00735613" w:rsidRDefault="00735613">
            <w:pPr>
              <w:rPr>
                <w:rFonts w:cs="Arial"/>
                <w:szCs w:val="18"/>
              </w:rPr>
            </w:pPr>
          </w:p>
        </w:tc>
      </w:tr>
      <w:tr w:rsidR="00735613" w:rsidTr="00735613">
        <w:trPr>
          <w:trHeight w:val="276"/>
        </w:trPr>
        <w:tc>
          <w:tcPr>
            <w:tcW w:w="8983" w:type="dxa"/>
            <w:gridSpan w:val="4"/>
            <w:tcBorders>
              <w:top w:val="nil"/>
              <w:left w:val="nil"/>
              <w:bottom w:val="nil"/>
              <w:right w:val="nil"/>
            </w:tcBorders>
            <w:shd w:val="clear" w:color="auto" w:fill="auto"/>
            <w:vAlign w:val="bottom"/>
            <w:hideMark/>
          </w:tcPr>
          <w:p w:rsidR="00735613" w:rsidRDefault="00735613">
            <w:pPr>
              <w:rPr>
                <w:rFonts w:cs="Arial"/>
                <w:color w:val="000000"/>
                <w:szCs w:val="18"/>
              </w:rPr>
            </w:pPr>
            <w:r>
              <w:rPr>
                <w:rFonts w:cs="Arial"/>
                <w:color w:val="000000"/>
                <w:szCs w:val="18"/>
              </w:rPr>
              <w:t xml:space="preserve">Documentation (Cost Recovery Impact Statement) for the above activity is available at www.education.gov.au. </w:t>
            </w:r>
          </w:p>
        </w:tc>
      </w:tr>
      <w:tr w:rsidR="00735613" w:rsidTr="00735613">
        <w:trPr>
          <w:trHeight w:val="276"/>
        </w:trPr>
        <w:tc>
          <w:tcPr>
            <w:tcW w:w="8983" w:type="dxa"/>
            <w:gridSpan w:val="4"/>
            <w:tcBorders>
              <w:top w:val="nil"/>
              <w:left w:val="nil"/>
              <w:bottom w:val="nil"/>
              <w:right w:val="nil"/>
            </w:tcBorders>
            <w:shd w:val="clear" w:color="FFFFFF" w:fill="FFFFFF"/>
            <w:vAlign w:val="bottom"/>
            <w:hideMark/>
          </w:tcPr>
          <w:p w:rsidR="00735613" w:rsidRDefault="00735613">
            <w:pPr>
              <w:rPr>
                <w:rFonts w:cs="Arial"/>
                <w:b/>
                <w:bCs/>
                <w:i/>
                <w:iCs/>
                <w:szCs w:val="18"/>
              </w:rPr>
            </w:pPr>
            <w:r>
              <w:rPr>
                <w:rFonts w:cs="Arial"/>
                <w:b/>
                <w:bCs/>
                <w:i/>
                <w:iCs/>
                <w:szCs w:val="18"/>
              </w:rPr>
              <w:t> </w:t>
            </w:r>
          </w:p>
        </w:tc>
      </w:tr>
    </w:tbl>
    <w:p w:rsidR="00735613" w:rsidRDefault="00735613">
      <w:bookmarkStart w:id="665" w:name="RANGE!D7:G38"/>
      <w:bookmarkEnd w:id="665"/>
    </w:p>
    <w:p w:rsidR="00735613" w:rsidRDefault="00735613">
      <w:r>
        <w:br w:type="page"/>
      </w:r>
    </w:p>
    <w:p w:rsidR="00735613" w:rsidRDefault="00735613"/>
    <w:p w:rsidR="00735613" w:rsidRDefault="00735613" w:rsidP="00735613">
      <w:pPr>
        <w:pStyle w:val="NotesHeading-Level1"/>
        <w:numPr>
          <w:ilvl w:val="0"/>
          <w:numId w:val="9"/>
        </w:numPr>
        <w:rPr>
          <w:rFonts w:cstheme="minorHAnsi"/>
        </w:rPr>
      </w:pPr>
      <w:bookmarkStart w:id="666" w:name="_Toc420422402"/>
      <w:bookmarkStart w:id="667" w:name="_Toc400707085"/>
      <w:bookmarkStart w:id="668" w:name="_Toc400713278"/>
      <w:r w:rsidRPr="00121C5F">
        <w:rPr>
          <w:rFonts w:cstheme="minorHAnsi"/>
        </w:rPr>
        <w:t>Compliance with Statutory Conditions for Payments from the Consolidated Revenue Fund</w:t>
      </w:r>
      <w:bookmarkEnd w:id="666"/>
    </w:p>
    <w:p w:rsidR="00735613" w:rsidRDefault="00735613" w:rsidP="00735613">
      <w:pPr>
        <w:pStyle w:val="NotesHeading-Level1"/>
        <w:numPr>
          <w:ilvl w:val="0"/>
          <w:numId w:val="0"/>
        </w:numPr>
        <w:ind w:right="0"/>
        <w:outlineLvl w:val="9"/>
        <w:rPr>
          <w:rFonts w:cstheme="minorHAnsi"/>
        </w:rPr>
      </w:pPr>
    </w:p>
    <w:p w:rsidR="00735613" w:rsidRDefault="00735613" w:rsidP="00735613">
      <w:pPr>
        <w:spacing w:line="240" w:lineRule="auto"/>
        <w:rPr>
          <w:szCs w:val="18"/>
        </w:rPr>
      </w:pPr>
      <w:r w:rsidRPr="00121C5F">
        <w:rPr>
          <w:szCs w:val="18"/>
        </w:rPr>
        <w:t>Section 83 of the Constitution provides that no amount may be paid out of the Consolidated Revenue Fund except under an appropriation made by law.  The Department of Finance</w:t>
      </w:r>
      <w:r>
        <w:rPr>
          <w:szCs w:val="18"/>
        </w:rPr>
        <w:t xml:space="preserve"> (Finance)</w:t>
      </w:r>
      <w:r w:rsidRPr="00121C5F">
        <w:rPr>
          <w:szCs w:val="18"/>
        </w:rPr>
        <w:t xml:space="preserve"> provided </w:t>
      </w:r>
      <w:r>
        <w:rPr>
          <w:szCs w:val="18"/>
        </w:rPr>
        <w:t>guidance</w:t>
      </w:r>
      <w:r w:rsidRPr="00121C5F">
        <w:rPr>
          <w:szCs w:val="18"/>
        </w:rPr>
        <w:t xml:space="preserve"> to all agencies in 2011 regarding the need for risk assessments in relation to compliance with statutory conditions on payments and special appropriation</w:t>
      </w:r>
      <w:r>
        <w:rPr>
          <w:szCs w:val="18"/>
        </w:rPr>
        <w:t xml:space="preserve">s, including special accounts. </w:t>
      </w:r>
      <w:r w:rsidRPr="00121C5F">
        <w:rPr>
          <w:szCs w:val="18"/>
        </w:rPr>
        <w:t xml:space="preserve">During </w:t>
      </w:r>
      <w:r>
        <w:rPr>
          <w:szCs w:val="18"/>
        </w:rPr>
        <w:t>2012–13</w:t>
      </w:r>
      <w:r w:rsidRPr="00121C5F">
        <w:rPr>
          <w:szCs w:val="18"/>
        </w:rPr>
        <w:t xml:space="preserve"> additional legal advice was received </w:t>
      </w:r>
      <w:r>
        <w:rPr>
          <w:szCs w:val="18"/>
        </w:rPr>
        <w:t xml:space="preserve">from Finance </w:t>
      </w:r>
      <w:r w:rsidRPr="00121C5F">
        <w:rPr>
          <w:szCs w:val="18"/>
        </w:rPr>
        <w:t>that indicated there could be breaches of s</w:t>
      </w:r>
      <w:r>
        <w:rPr>
          <w:szCs w:val="18"/>
        </w:rPr>
        <w:t xml:space="preserve">ection </w:t>
      </w:r>
      <w:r w:rsidRPr="00121C5F">
        <w:rPr>
          <w:szCs w:val="18"/>
        </w:rPr>
        <w:t xml:space="preserve">83 under certain circumstances with overpayments for long service leave, goods and services </w:t>
      </w:r>
      <w:r>
        <w:rPr>
          <w:szCs w:val="18"/>
        </w:rPr>
        <w:t xml:space="preserve">tax </w:t>
      </w:r>
      <w:r w:rsidRPr="00121C5F">
        <w:rPr>
          <w:szCs w:val="18"/>
        </w:rPr>
        <w:t xml:space="preserve">(GST) and payments under determinations of the Remuneration Tribunal.  </w:t>
      </w:r>
    </w:p>
    <w:p w:rsidR="00735613" w:rsidRDefault="00735613" w:rsidP="00735613">
      <w:pPr>
        <w:spacing w:line="240" w:lineRule="auto"/>
        <w:rPr>
          <w:szCs w:val="18"/>
        </w:rPr>
      </w:pPr>
    </w:p>
    <w:p w:rsidR="00735613" w:rsidRDefault="00735613" w:rsidP="00735613">
      <w:pPr>
        <w:spacing w:line="240" w:lineRule="auto"/>
        <w:rPr>
          <w:szCs w:val="18"/>
        </w:rPr>
      </w:pPr>
      <w:r>
        <w:rPr>
          <w:szCs w:val="18"/>
        </w:rPr>
        <w:t xml:space="preserve">The department monitors its level of compliance with section 83 of the Constitution across all legislation for which it is administratively responsible.  The department used the assessment process identified in Finance’s guidance paper to determine the risk of potential section 83 breaches.  </w:t>
      </w:r>
    </w:p>
    <w:p w:rsidR="00735613" w:rsidRDefault="00735613" w:rsidP="00735613">
      <w:pPr>
        <w:spacing w:line="240" w:lineRule="auto"/>
        <w:rPr>
          <w:szCs w:val="18"/>
        </w:rPr>
      </w:pPr>
    </w:p>
    <w:p w:rsidR="00735613" w:rsidRDefault="00735613" w:rsidP="00735613">
      <w:pPr>
        <w:spacing w:line="240" w:lineRule="auto"/>
        <w:rPr>
          <w:szCs w:val="18"/>
        </w:rPr>
      </w:pPr>
      <w:r>
        <w:rPr>
          <w:szCs w:val="18"/>
        </w:rPr>
        <w:t>The department identified thirteen appropriations involving statutory conditions for payment, comprising:</w:t>
      </w:r>
    </w:p>
    <w:p w:rsidR="00735613" w:rsidRDefault="00735613" w:rsidP="00735613">
      <w:pPr>
        <w:pStyle w:val="ListParagraph"/>
        <w:numPr>
          <w:ilvl w:val="0"/>
          <w:numId w:val="28"/>
        </w:numPr>
        <w:spacing w:line="240" w:lineRule="auto"/>
        <w:rPr>
          <w:szCs w:val="18"/>
        </w:rPr>
      </w:pPr>
      <w:r>
        <w:rPr>
          <w:szCs w:val="18"/>
        </w:rPr>
        <w:t xml:space="preserve">six special appropriations; and </w:t>
      </w:r>
    </w:p>
    <w:p w:rsidR="00735613" w:rsidRPr="00A915FE" w:rsidRDefault="00735613" w:rsidP="00735613">
      <w:pPr>
        <w:pStyle w:val="ListParagraph"/>
        <w:numPr>
          <w:ilvl w:val="0"/>
          <w:numId w:val="28"/>
        </w:numPr>
        <w:spacing w:line="240" w:lineRule="auto"/>
        <w:rPr>
          <w:szCs w:val="18"/>
        </w:rPr>
      </w:pPr>
      <w:proofErr w:type="gramStart"/>
      <w:r>
        <w:rPr>
          <w:szCs w:val="18"/>
        </w:rPr>
        <w:t>seven</w:t>
      </w:r>
      <w:proofErr w:type="gramEnd"/>
      <w:r>
        <w:rPr>
          <w:szCs w:val="18"/>
        </w:rPr>
        <w:t xml:space="preserve"> special accounts.</w:t>
      </w:r>
    </w:p>
    <w:p w:rsidR="00735613" w:rsidRDefault="00735613" w:rsidP="00735613">
      <w:pPr>
        <w:spacing w:line="240" w:lineRule="auto"/>
        <w:rPr>
          <w:szCs w:val="18"/>
        </w:rPr>
      </w:pPr>
    </w:p>
    <w:p w:rsidR="00735613" w:rsidRDefault="00735613" w:rsidP="00735613">
      <w:pPr>
        <w:spacing w:line="240" w:lineRule="auto"/>
        <w:rPr>
          <w:szCs w:val="18"/>
        </w:rPr>
      </w:pPr>
      <w:r>
        <w:rPr>
          <w:szCs w:val="18"/>
        </w:rPr>
        <w:t xml:space="preserve">The work conducted during the 2014–15 financial year identified no payments (2013–14: one payment for $125,200 considered a potential breach of the </w:t>
      </w:r>
      <w:r>
        <w:rPr>
          <w:i/>
          <w:szCs w:val="18"/>
        </w:rPr>
        <w:t xml:space="preserve">Schools Assistance Act </w:t>
      </w:r>
      <w:r w:rsidRPr="0073773F">
        <w:rPr>
          <w:szCs w:val="18"/>
        </w:rPr>
        <w:t>2008</w:t>
      </w:r>
      <w:r>
        <w:rPr>
          <w:szCs w:val="18"/>
        </w:rPr>
        <w:t xml:space="preserve">) that would be considered potential breaches. </w:t>
      </w:r>
    </w:p>
    <w:p w:rsidR="00735613" w:rsidRDefault="00735613" w:rsidP="00735613">
      <w:pPr>
        <w:spacing w:line="240" w:lineRule="auto"/>
        <w:rPr>
          <w:szCs w:val="18"/>
        </w:rPr>
      </w:pPr>
    </w:p>
    <w:p w:rsidR="00735613" w:rsidRPr="00C97302" w:rsidRDefault="00735613" w:rsidP="00735613">
      <w:pPr>
        <w:spacing w:line="240" w:lineRule="auto"/>
        <w:rPr>
          <w:szCs w:val="18"/>
        </w:rPr>
      </w:pPr>
      <w:r>
        <w:rPr>
          <w:szCs w:val="18"/>
        </w:rPr>
        <w:t>The department will continue to monitor its level of compliance with section 83 of the Constitution across all legislation for which it is administratively responsible, and where possible legislative amendments and system changes will continue to be progressed.</w:t>
      </w:r>
    </w:p>
    <w:p w:rsidR="00735613" w:rsidRDefault="00735613">
      <w:pPr>
        <w:spacing w:line="240" w:lineRule="auto"/>
        <w:rPr>
          <w:rFonts w:asciiTheme="minorHAnsi" w:hAnsiTheme="minorHAnsi" w:cstheme="minorHAnsi"/>
          <w:b/>
          <w:sz w:val="20"/>
        </w:rPr>
      </w:pPr>
      <w:r>
        <w:rPr>
          <w:rFonts w:cstheme="minorHAnsi"/>
        </w:rPr>
        <w:br w:type="page"/>
      </w:r>
    </w:p>
    <w:p w:rsidR="00735613" w:rsidRDefault="00735613" w:rsidP="00735613">
      <w:pPr>
        <w:pStyle w:val="NotesHeading-Level1"/>
        <w:numPr>
          <w:ilvl w:val="0"/>
          <w:numId w:val="0"/>
        </w:numPr>
        <w:ind w:right="0"/>
        <w:outlineLvl w:val="9"/>
        <w:rPr>
          <w:rFonts w:cstheme="minorHAnsi"/>
        </w:rPr>
      </w:pPr>
    </w:p>
    <w:p w:rsidR="00735613" w:rsidRDefault="00735613" w:rsidP="00735613">
      <w:pPr>
        <w:pStyle w:val="NotesHeading-Level1"/>
        <w:numPr>
          <w:ilvl w:val="0"/>
          <w:numId w:val="9"/>
        </w:numPr>
        <w:rPr>
          <w:rFonts w:cstheme="minorHAnsi"/>
        </w:rPr>
      </w:pPr>
      <w:bookmarkStart w:id="669" w:name="_Toc420422403"/>
      <w:r>
        <w:rPr>
          <w:rFonts w:cstheme="minorHAnsi"/>
        </w:rPr>
        <w:t>Budgetary Reports and Explanations of Major Variances</w:t>
      </w:r>
      <w:bookmarkEnd w:id="669"/>
    </w:p>
    <w:p w:rsidR="00735613" w:rsidRDefault="00735613" w:rsidP="00735613">
      <w:pPr>
        <w:pStyle w:val="NotesHeading-Level1"/>
        <w:numPr>
          <w:ilvl w:val="0"/>
          <w:numId w:val="0"/>
        </w:numPr>
        <w:rPr>
          <w:rFonts w:cstheme="minorHAnsi"/>
          <w:b w:val="0"/>
        </w:rPr>
      </w:pPr>
      <w:r w:rsidRPr="00F60AA7">
        <w:rPr>
          <w:rFonts w:cstheme="minorHAnsi"/>
          <w:b w:val="0"/>
        </w:rPr>
        <w:t xml:space="preserve">The following tables provide a comparison between the </w:t>
      </w:r>
      <w:r>
        <w:rPr>
          <w:rFonts w:cstheme="minorHAnsi"/>
          <w:b w:val="0"/>
        </w:rPr>
        <w:t>2014–15</w:t>
      </w:r>
      <w:r w:rsidRPr="00F60AA7">
        <w:rPr>
          <w:rFonts w:cstheme="minorHAnsi"/>
          <w:b w:val="0"/>
        </w:rPr>
        <w:t xml:space="preserve"> Portfolio Budget Statements (PBS) budget and the final financial outcome in the </w:t>
      </w:r>
      <w:r>
        <w:rPr>
          <w:rFonts w:cstheme="minorHAnsi"/>
          <w:b w:val="0"/>
        </w:rPr>
        <w:t>2014–15</w:t>
      </w:r>
      <w:r w:rsidRPr="00F60AA7">
        <w:rPr>
          <w:rFonts w:cstheme="minorHAnsi"/>
          <w:b w:val="0"/>
        </w:rPr>
        <w:t xml:space="preserve"> financial statements. The Budget is not audited</w:t>
      </w:r>
      <w:r>
        <w:rPr>
          <w:rFonts w:cstheme="minorHAnsi"/>
          <w:b w:val="0"/>
        </w:rPr>
        <w:t xml:space="preserve"> and does not reflect additional estimates provided in the 2014–15 Portfolio Additional Estimates Statements (PAES) and the 2014–15 Portfolio Supplementary Additional Estimates Statements. </w:t>
      </w:r>
    </w:p>
    <w:p w:rsidR="00735613" w:rsidRPr="00F60AA7" w:rsidRDefault="00735613" w:rsidP="00735613">
      <w:pPr>
        <w:pStyle w:val="NotesHeading-Level1"/>
        <w:numPr>
          <w:ilvl w:val="0"/>
          <w:numId w:val="0"/>
        </w:numPr>
        <w:rPr>
          <w:rFonts w:cstheme="minorHAnsi"/>
          <w:b w:val="0"/>
        </w:rPr>
      </w:pPr>
      <w:r w:rsidRPr="00F60AA7">
        <w:rPr>
          <w:rFonts w:cs="Calibri"/>
          <w:b w:val="0"/>
          <w:szCs w:val="18"/>
        </w:rPr>
        <w:t xml:space="preserve">Variance explanations are provided for departmental variances greater than five percent and </w:t>
      </w:r>
      <w:r>
        <w:rPr>
          <w:rFonts w:cs="Calibri"/>
          <w:b w:val="0"/>
          <w:szCs w:val="18"/>
        </w:rPr>
        <w:t xml:space="preserve">$5 </w:t>
      </w:r>
      <w:r w:rsidRPr="00F60AA7">
        <w:rPr>
          <w:rFonts w:cs="Calibri"/>
          <w:b w:val="0"/>
          <w:szCs w:val="18"/>
        </w:rPr>
        <w:t>million</w:t>
      </w:r>
      <w:r>
        <w:rPr>
          <w:rFonts w:cs="Calibri"/>
          <w:b w:val="0"/>
          <w:szCs w:val="18"/>
        </w:rPr>
        <w:t xml:space="preserve"> and administered variances greater than 5 per cent and $50 million.</w:t>
      </w:r>
    </w:p>
    <w:tbl>
      <w:tblPr>
        <w:tblW w:w="9087" w:type="dxa"/>
        <w:tblInd w:w="80" w:type="dxa"/>
        <w:tblLayout w:type="fixed"/>
        <w:tblLook w:val="04A0" w:firstRow="1" w:lastRow="0" w:firstColumn="1" w:lastColumn="0" w:noHBand="0" w:noVBand="1"/>
      </w:tblPr>
      <w:tblGrid>
        <w:gridCol w:w="5250"/>
        <w:gridCol w:w="1279"/>
        <w:gridCol w:w="1279"/>
        <w:gridCol w:w="1279"/>
      </w:tblGrid>
      <w:tr w:rsidR="00735613" w:rsidTr="00735613">
        <w:trPr>
          <w:trHeight w:val="255"/>
        </w:trPr>
        <w:tc>
          <w:tcPr>
            <w:tcW w:w="8924" w:type="dxa"/>
            <w:gridSpan w:val="4"/>
            <w:tcBorders>
              <w:top w:val="nil"/>
              <w:left w:val="nil"/>
              <w:bottom w:val="nil"/>
              <w:right w:val="nil"/>
            </w:tcBorders>
            <w:shd w:val="clear" w:color="FFFFFF" w:fill="FFFFFF"/>
            <w:noWrap/>
            <w:vAlign w:val="bottom"/>
            <w:hideMark/>
          </w:tcPr>
          <w:p w:rsidR="00735613" w:rsidRDefault="00735613">
            <w:pPr>
              <w:rPr>
                <w:rFonts w:cs="Calibri"/>
                <w:b/>
                <w:bCs/>
                <w:szCs w:val="18"/>
                <w:u w:val="single"/>
              </w:rPr>
            </w:pPr>
            <w:bookmarkStart w:id="670" w:name="Note_BPLTABLE1" w:colFirst="0" w:colLast="0"/>
            <w:r>
              <w:rPr>
                <w:rFonts w:cs="Calibri"/>
                <w:b/>
                <w:bCs/>
                <w:szCs w:val="18"/>
                <w:u w:val="single"/>
              </w:rPr>
              <w:t>Statement of Comprehensive Income</w:t>
            </w:r>
          </w:p>
        </w:tc>
      </w:tr>
      <w:bookmarkEnd w:id="670"/>
      <w:tr w:rsidR="00735613" w:rsidTr="00735613">
        <w:trPr>
          <w:trHeight w:val="255"/>
        </w:trPr>
        <w:tc>
          <w:tcPr>
            <w:tcW w:w="8924" w:type="dxa"/>
            <w:gridSpan w:val="4"/>
            <w:tcBorders>
              <w:top w:val="nil"/>
              <w:left w:val="nil"/>
              <w:bottom w:val="nil"/>
              <w:right w:val="nil"/>
            </w:tcBorders>
            <w:shd w:val="clear" w:color="FFFFFF" w:fill="FFFFFF"/>
            <w:noWrap/>
            <w:vAlign w:val="bottom"/>
            <w:hideMark/>
          </w:tcPr>
          <w:p w:rsidR="00735613" w:rsidRDefault="00735613">
            <w:pPr>
              <w:rPr>
                <w:rFonts w:cs="Calibri"/>
                <w:b/>
                <w:bCs/>
                <w:szCs w:val="18"/>
              </w:rPr>
            </w:pPr>
            <w:r>
              <w:rPr>
                <w:rFonts w:cs="Calibri"/>
                <w:b/>
                <w:bCs/>
                <w:szCs w:val="18"/>
              </w:rPr>
              <w:t>Statement of Comprehensive Income</w:t>
            </w:r>
          </w:p>
        </w:tc>
      </w:tr>
      <w:tr w:rsidR="00735613" w:rsidTr="00735613">
        <w:trPr>
          <w:trHeight w:val="270"/>
        </w:trPr>
        <w:tc>
          <w:tcPr>
            <w:tcW w:w="8924" w:type="dxa"/>
            <w:gridSpan w:val="4"/>
            <w:tcBorders>
              <w:top w:val="nil"/>
              <w:left w:val="nil"/>
              <w:bottom w:val="single" w:sz="8" w:space="0" w:color="auto"/>
              <w:right w:val="nil"/>
            </w:tcBorders>
            <w:shd w:val="clear" w:color="FFFFFF" w:fill="FFFFFF"/>
            <w:noWrap/>
            <w:vAlign w:val="bottom"/>
            <w:hideMark/>
          </w:tcPr>
          <w:p w:rsidR="00735613" w:rsidRDefault="00735613">
            <w:pPr>
              <w:rPr>
                <w:rFonts w:cs="Calibri"/>
                <w:i/>
                <w:iCs/>
                <w:szCs w:val="18"/>
              </w:rPr>
            </w:pPr>
            <w:r>
              <w:rPr>
                <w:rFonts w:cs="Calibri"/>
                <w:i/>
                <w:iCs/>
                <w:szCs w:val="18"/>
              </w:rPr>
              <w:t>for the period ended 30 June 2015</w:t>
            </w:r>
          </w:p>
        </w:tc>
      </w:tr>
      <w:tr w:rsidR="00735613" w:rsidTr="00735613">
        <w:trPr>
          <w:trHeight w:val="255"/>
        </w:trPr>
        <w:tc>
          <w:tcPr>
            <w:tcW w:w="5156" w:type="dxa"/>
            <w:tcBorders>
              <w:top w:val="nil"/>
              <w:left w:val="nil"/>
              <w:bottom w:val="nil"/>
              <w:right w:val="nil"/>
            </w:tcBorders>
            <w:shd w:val="clear" w:color="FFFFFF" w:fill="FFFFFF"/>
            <w:noWrap/>
            <w:vAlign w:val="bottom"/>
            <w:hideMark/>
          </w:tcPr>
          <w:p w:rsidR="00735613" w:rsidRDefault="00735613">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Actual</w:t>
            </w:r>
          </w:p>
        </w:tc>
        <w:tc>
          <w:tcPr>
            <w:tcW w:w="2512" w:type="dxa"/>
            <w:gridSpan w:val="2"/>
            <w:tcBorders>
              <w:top w:val="nil"/>
              <w:left w:val="nil"/>
              <w:bottom w:val="nil"/>
              <w:right w:val="nil"/>
            </w:tcBorders>
            <w:shd w:val="clear" w:color="FFFFFF" w:fill="FFFFFF"/>
            <w:noWrap/>
            <w:vAlign w:val="bottom"/>
            <w:hideMark/>
          </w:tcPr>
          <w:p w:rsidR="00735613" w:rsidRDefault="00735613">
            <w:pPr>
              <w:jc w:val="center"/>
              <w:rPr>
                <w:rFonts w:cs="Calibri"/>
                <w:b/>
                <w:bCs/>
                <w:szCs w:val="18"/>
              </w:rPr>
            </w:pPr>
            <w:r>
              <w:rPr>
                <w:rFonts w:cs="Calibri"/>
                <w:b/>
                <w:bCs/>
                <w:szCs w:val="18"/>
              </w:rPr>
              <w:t>Budget Estimate</w:t>
            </w:r>
          </w:p>
        </w:tc>
      </w:tr>
      <w:tr w:rsidR="00735613" w:rsidTr="00735613">
        <w:trPr>
          <w:trHeight w:val="285"/>
        </w:trPr>
        <w:tc>
          <w:tcPr>
            <w:tcW w:w="5156" w:type="dxa"/>
            <w:tcBorders>
              <w:top w:val="nil"/>
              <w:left w:val="nil"/>
              <w:bottom w:val="nil"/>
              <w:right w:val="nil"/>
            </w:tcBorders>
            <w:shd w:val="clear" w:color="FFFFFF" w:fill="FFFFFF"/>
            <w:noWrap/>
            <w:vAlign w:val="bottom"/>
            <w:hideMark/>
          </w:tcPr>
          <w:p w:rsidR="00735613" w:rsidRDefault="00735613">
            <w:pPr>
              <w:rPr>
                <w:rFonts w:cs="Calibri"/>
                <w:b/>
                <w:bCs/>
                <w:szCs w:val="18"/>
              </w:rPr>
            </w:pPr>
            <w:r>
              <w:rPr>
                <w:rFonts w:cs="Calibri"/>
                <w:b/>
                <w:bCs/>
                <w:szCs w:val="18"/>
              </w:rPr>
              <w:t> </w:t>
            </w:r>
          </w:p>
        </w:tc>
        <w:tc>
          <w:tcPr>
            <w:tcW w:w="1256"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Original</w:t>
            </w:r>
            <w:r>
              <w:rPr>
                <w:rFonts w:cs="Calibri"/>
                <w:b/>
                <w:bCs/>
                <w:szCs w:val="18"/>
                <w:vertAlign w:val="superscript"/>
              </w:rPr>
              <w:t>1</w:t>
            </w:r>
          </w:p>
        </w:tc>
        <w:tc>
          <w:tcPr>
            <w:tcW w:w="1256"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Variance</w:t>
            </w:r>
            <w:r>
              <w:rPr>
                <w:rFonts w:cs="Calibri"/>
                <w:szCs w:val="18"/>
                <w:vertAlign w:val="superscript"/>
              </w:rPr>
              <w:t>2</w:t>
            </w:r>
          </w:p>
        </w:tc>
      </w:tr>
      <w:tr w:rsidR="00735613" w:rsidTr="00735613">
        <w:trPr>
          <w:trHeight w:val="255"/>
        </w:trPr>
        <w:tc>
          <w:tcPr>
            <w:tcW w:w="51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2015</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2015</w:t>
            </w:r>
          </w:p>
        </w:tc>
        <w:tc>
          <w:tcPr>
            <w:tcW w:w="1256" w:type="dxa"/>
            <w:tcBorders>
              <w:top w:val="nil"/>
              <w:left w:val="nil"/>
              <w:bottom w:val="nil"/>
              <w:right w:val="nil"/>
            </w:tcBorders>
            <w:shd w:val="clear" w:color="FFFFFF" w:fill="FFFFFF"/>
            <w:noWrap/>
            <w:vAlign w:val="bottom"/>
            <w:hideMark/>
          </w:tcPr>
          <w:p w:rsidR="00735613" w:rsidRDefault="00735613" w:rsidP="00735613">
            <w:pPr>
              <w:jc w:val="right"/>
              <w:rPr>
                <w:rFonts w:cs="Calibri"/>
                <w:szCs w:val="18"/>
              </w:rPr>
            </w:pPr>
            <w:r>
              <w:rPr>
                <w:rFonts w:cs="Calibri"/>
                <w:szCs w:val="18"/>
              </w:rPr>
              <w:t>2015</w:t>
            </w:r>
          </w:p>
        </w:tc>
      </w:tr>
      <w:tr w:rsidR="00735613" w:rsidTr="00735613">
        <w:trPr>
          <w:trHeight w:val="255"/>
        </w:trPr>
        <w:tc>
          <w:tcPr>
            <w:tcW w:w="51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$'000</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$'000</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$'000</w:t>
            </w:r>
          </w:p>
        </w:tc>
      </w:tr>
      <w:tr w:rsidR="00735613" w:rsidTr="00735613">
        <w:trPr>
          <w:trHeight w:val="255"/>
        </w:trPr>
        <w:tc>
          <w:tcPr>
            <w:tcW w:w="5156" w:type="dxa"/>
            <w:tcBorders>
              <w:top w:val="nil"/>
              <w:left w:val="nil"/>
              <w:bottom w:val="nil"/>
              <w:right w:val="nil"/>
            </w:tcBorders>
            <w:shd w:val="clear" w:color="FFFFFF" w:fill="FFFFFF"/>
            <w:noWrap/>
            <w:vAlign w:val="bottom"/>
            <w:hideMark/>
          </w:tcPr>
          <w:p w:rsidR="00735613" w:rsidRDefault="00735613">
            <w:pPr>
              <w:rPr>
                <w:rFonts w:cs="Calibri"/>
                <w:b/>
                <w:bCs/>
                <w:szCs w:val="18"/>
              </w:rPr>
            </w:pPr>
            <w:r>
              <w:rPr>
                <w:rFonts w:cs="Calibri"/>
                <w:b/>
                <w:bCs/>
                <w:szCs w:val="18"/>
              </w:rPr>
              <w:t>NET COST OF SERVICES</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EXPENSES</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85"/>
        </w:trPr>
        <w:tc>
          <w:tcPr>
            <w:tcW w:w="51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Employee benefits</w:t>
            </w:r>
            <w:r>
              <w:rPr>
                <w:rFonts w:cs="Calibri"/>
                <w:szCs w:val="18"/>
                <w:vertAlign w:val="superscript"/>
              </w:rPr>
              <w:t>3</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206,561</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196,099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10,462</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Supplier expenses</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101,179</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96,358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4,821</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 xml:space="preserve">Grants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257</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257</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Depreciation and amortisation</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26,918</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28,880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(1,962)</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Finance costs</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51</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51</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Write-down and impairment of assets</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2,866</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2,866</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b/>
                <w:bCs/>
                <w:i/>
                <w:iCs/>
                <w:szCs w:val="18"/>
              </w:rPr>
            </w:pPr>
            <w:r>
              <w:rPr>
                <w:rFonts w:cs="Calibri"/>
                <w:b/>
                <w:bCs/>
                <w:i/>
                <w:iCs/>
                <w:szCs w:val="18"/>
              </w:rPr>
              <w:t>Total expenses</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337,832</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321,337</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16,495</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OWN-SOURCE INCOME</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Own-source revenue</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85"/>
        </w:trPr>
        <w:tc>
          <w:tcPr>
            <w:tcW w:w="51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Sale of goods and rendering of services</w:t>
            </w:r>
            <w:r>
              <w:rPr>
                <w:rFonts w:cs="Calibri"/>
                <w:szCs w:val="18"/>
                <w:vertAlign w:val="superscript"/>
              </w:rPr>
              <w:t>4</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30,385</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22,417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7,968</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Total own-source revenue</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30,385</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22,417</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7,968</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Gains</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Sale of assets</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87</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87</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Reversals of previous asset write-downs and impairment</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64</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64</w:t>
            </w:r>
          </w:p>
        </w:tc>
      </w:tr>
      <w:tr w:rsidR="00735613" w:rsidTr="00735613">
        <w:trPr>
          <w:trHeight w:val="285"/>
        </w:trPr>
        <w:tc>
          <w:tcPr>
            <w:tcW w:w="51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Other gains</w:t>
            </w:r>
            <w:r>
              <w:rPr>
                <w:rFonts w:cs="Calibri"/>
                <w:szCs w:val="18"/>
                <w:vertAlign w:val="superscript"/>
              </w:rPr>
              <w:t>5</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6,847</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680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6,167</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Total gains</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6,998</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680</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6,318</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b/>
                <w:bCs/>
                <w:i/>
                <w:iCs/>
                <w:szCs w:val="18"/>
              </w:rPr>
            </w:pPr>
            <w:r>
              <w:rPr>
                <w:rFonts w:cs="Calibri"/>
                <w:b/>
                <w:bCs/>
                <w:i/>
                <w:iCs/>
                <w:szCs w:val="18"/>
              </w:rPr>
              <w:t>Total own-source income</w:t>
            </w:r>
          </w:p>
        </w:tc>
        <w:tc>
          <w:tcPr>
            <w:tcW w:w="1256"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37,383</w:t>
            </w:r>
          </w:p>
        </w:tc>
        <w:tc>
          <w:tcPr>
            <w:tcW w:w="1256"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23,097</w:t>
            </w:r>
          </w:p>
        </w:tc>
        <w:tc>
          <w:tcPr>
            <w:tcW w:w="1256"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14,286</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b/>
                <w:bCs/>
                <w:i/>
                <w:iCs/>
                <w:szCs w:val="18"/>
              </w:rPr>
            </w:pPr>
            <w:r>
              <w:rPr>
                <w:rFonts w:cs="Calibri"/>
                <w:b/>
                <w:bCs/>
                <w:i/>
                <w:iCs/>
                <w:szCs w:val="18"/>
              </w:rPr>
              <w:t xml:space="preserve">Net cost of (contribution by) services </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300,449</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298,240</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2,209</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Revenue from Government</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276,854</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269,360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7,494</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b/>
                <w:bCs/>
                <w:i/>
                <w:iCs/>
                <w:szCs w:val="18"/>
              </w:rPr>
            </w:pPr>
            <w:r>
              <w:rPr>
                <w:rFonts w:cs="Calibri"/>
                <w:b/>
                <w:bCs/>
                <w:i/>
                <w:iCs/>
                <w:szCs w:val="18"/>
              </w:rPr>
              <w:t>Surplus (Deficit) attributable to the Australian Government</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(23,595)</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(28,880)</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5,285</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OTHER COMPREHENSIVE INCOME</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480"/>
        </w:trPr>
        <w:tc>
          <w:tcPr>
            <w:tcW w:w="51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Items not subject to subsequent reclassification to net cost of services</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Changes in asset revaluation surplus:</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ind w:firstLineChars="100" w:firstLine="180"/>
              <w:rPr>
                <w:rFonts w:cs="Calibri"/>
                <w:szCs w:val="18"/>
              </w:rPr>
            </w:pPr>
            <w:r>
              <w:rPr>
                <w:rFonts w:cs="Calibri"/>
                <w:szCs w:val="18"/>
              </w:rPr>
              <w:t>Adjustment to leasehold improvements</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5</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xml:space="preserve">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5</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b/>
                <w:bCs/>
                <w:i/>
                <w:iCs/>
                <w:szCs w:val="18"/>
              </w:rPr>
            </w:pPr>
            <w:r>
              <w:rPr>
                <w:rFonts w:cs="Calibri"/>
                <w:b/>
                <w:bCs/>
                <w:i/>
                <w:iCs/>
                <w:szCs w:val="18"/>
              </w:rPr>
              <w:t>Total other comprehensive income</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5</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5</w:t>
            </w:r>
          </w:p>
        </w:tc>
      </w:tr>
      <w:tr w:rsidR="00735613" w:rsidTr="00735613">
        <w:trPr>
          <w:trHeight w:val="255"/>
        </w:trPr>
        <w:tc>
          <w:tcPr>
            <w:tcW w:w="51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495"/>
        </w:trPr>
        <w:tc>
          <w:tcPr>
            <w:tcW w:w="5156" w:type="dxa"/>
            <w:tcBorders>
              <w:top w:val="nil"/>
              <w:left w:val="nil"/>
              <w:bottom w:val="nil"/>
              <w:right w:val="nil"/>
            </w:tcBorders>
            <w:shd w:val="clear" w:color="FFFFFF" w:fill="FFFFFF"/>
            <w:vAlign w:val="bottom"/>
            <w:hideMark/>
          </w:tcPr>
          <w:p w:rsidR="00735613" w:rsidRDefault="00735613">
            <w:pPr>
              <w:rPr>
                <w:rFonts w:cs="Calibri"/>
                <w:b/>
                <w:bCs/>
                <w:i/>
                <w:iCs/>
                <w:szCs w:val="18"/>
              </w:rPr>
            </w:pPr>
            <w:r>
              <w:rPr>
                <w:rFonts w:cs="Calibri"/>
                <w:b/>
                <w:bCs/>
                <w:i/>
                <w:iCs/>
                <w:szCs w:val="18"/>
              </w:rPr>
              <w:t>Total comprehensive income (loss) attributable to the Australian Government</w:t>
            </w:r>
          </w:p>
        </w:tc>
        <w:tc>
          <w:tcPr>
            <w:tcW w:w="125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(23,590)</w:t>
            </w:r>
          </w:p>
        </w:tc>
        <w:tc>
          <w:tcPr>
            <w:tcW w:w="125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(28,880)</w:t>
            </w:r>
          </w:p>
        </w:tc>
        <w:tc>
          <w:tcPr>
            <w:tcW w:w="125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5,290</w:t>
            </w:r>
          </w:p>
        </w:tc>
      </w:tr>
    </w:tbl>
    <w:p w:rsidR="00735613" w:rsidRDefault="00735613" w:rsidP="00735613">
      <w:pPr>
        <w:pStyle w:val="NotesHeading-Level1"/>
        <w:numPr>
          <w:ilvl w:val="0"/>
          <w:numId w:val="0"/>
        </w:numPr>
        <w:ind w:right="0"/>
        <w:outlineLvl w:val="9"/>
        <w:rPr>
          <w:rFonts w:cstheme="minorHAnsi"/>
        </w:rPr>
      </w:pPr>
      <w:bookmarkStart w:id="671" w:name="RANGE!D7:G48"/>
      <w:bookmarkStart w:id="672" w:name="RANGE!D7:F48"/>
      <w:bookmarkEnd w:id="667"/>
      <w:bookmarkEnd w:id="668"/>
      <w:bookmarkEnd w:id="671"/>
      <w:bookmarkEnd w:id="672"/>
    </w:p>
    <w:p w:rsidR="00735613" w:rsidRDefault="00735613" w:rsidP="00735613">
      <w:pPr>
        <w:pStyle w:val="NotesHeading-Level1"/>
        <w:numPr>
          <w:ilvl w:val="0"/>
          <w:numId w:val="0"/>
        </w:numPr>
        <w:ind w:right="0"/>
        <w:outlineLvl w:val="9"/>
        <w:rPr>
          <w:rFonts w:cstheme="minorHAnsi"/>
        </w:rPr>
      </w:pPr>
    </w:p>
    <w:tbl>
      <w:tblPr>
        <w:tblW w:w="9087" w:type="dxa"/>
        <w:tblInd w:w="80" w:type="dxa"/>
        <w:tblLayout w:type="fixed"/>
        <w:tblLook w:val="04A0" w:firstRow="1" w:lastRow="0" w:firstColumn="1" w:lastColumn="0" w:noHBand="0" w:noVBand="1"/>
      </w:tblPr>
      <w:tblGrid>
        <w:gridCol w:w="5253"/>
        <w:gridCol w:w="1278"/>
        <w:gridCol w:w="1278"/>
        <w:gridCol w:w="1278"/>
      </w:tblGrid>
      <w:tr w:rsidR="00735613" w:rsidTr="00735613">
        <w:trPr>
          <w:trHeight w:val="255"/>
        </w:trPr>
        <w:tc>
          <w:tcPr>
            <w:tcW w:w="8928" w:type="dxa"/>
            <w:gridSpan w:val="4"/>
            <w:tcBorders>
              <w:top w:val="nil"/>
              <w:left w:val="nil"/>
              <w:bottom w:val="nil"/>
              <w:right w:val="nil"/>
            </w:tcBorders>
            <w:shd w:val="clear" w:color="FFFFFF" w:fill="FFFFFF"/>
            <w:noWrap/>
            <w:vAlign w:val="bottom"/>
            <w:hideMark/>
          </w:tcPr>
          <w:p w:rsidR="00735613" w:rsidRDefault="00735613">
            <w:pPr>
              <w:rPr>
                <w:rFonts w:cs="Calibri"/>
                <w:b/>
                <w:bCs/>
                <w:szCs w:val="18"/>
              </w:rPr>
            </w:pPr>
            <w:bookmarkStart w:id="673" w:name="RANGE!D7:D48"/>
            <w:bookmarkStart w:id="674" w:name="Note_BBSTABLE1" w:colFirst="0" w:colLast="0"/>
            <w:r>
              <w:rPr>
                <w:rFonts w:cs="Calibri"/>
                <w:b/>
                <w:bCs/>
                <w:szCs w:val="18"/>
              </w:rPr>
              <w:t>Statement of Financial Position</w:t>
            </w:r>
            <w:bookmarkEnd w:id="673"/>
          </w:p>
        </w:tc>
      </w:tr>
      <w:bookmarkEnd w:id="674"/>
      <w:tr w:rsidR="00735613" w:rsidTr="00735613">
        <w:trPr>
          <w:trHeight w:val="270"/>
        </w:trPr>
        <w:tc>
          <w:tcPr>
            <w:tcW w:w="8928" w:type="dxa"/>
            <w:gridSpan w:val="4"/>
            <w:tcBorders>
              <w:top w:val="nil"/>
              <w:left w:val="nil"/>
              <w:bottom w:val="single" w:sz="8" w:space="0" w:color="auto"/>
              <w:right w:val="nil"/>
            </w:tcBorders>
            <w:shd w:val="clear" w:color="FFFFFF" w:fill="FFFFFF"/>
            <w:noWrap/>
            <w:vAlign w:val="bottom"/>
            <w:hideMark/>
          </w:tcPr>
          <w:p w:rsidR="00735613" w:rsidRDefault="00735613">
            <w:pPr>
              <w:rPr>
                <w:rFonts w:cs="Calibri"/>
                <w:i/>
                <w:iCs/>
                <w:szCs w:val="18"/>
              </w:rPr>
            </w:pPr>
            <w:r>
              <w:rPr>
                <w:rFonts w:cs="Calibri"/>
                <w:i/>
                <w:iCs/>
                <w:szCs w:val="18"/>
              </w:rPr>
              <w:t>for the period ended 30 June 2015</w:t>
            </w:r>
          </w:p>
        </w:tc>
      </w:tr>
      <w:tr w:rsidR="00735613" w:rsidTr="00735613">
        <w:trPr>
          <w:trHeight w:val="255"/>
        </w:trPr>
        <w:tc>
          <w:tcPr>
            <w:tcW w:w="5160" w:type="dxa"/>
            <w:tcBorders>
              <w:top w:val="nil"/>
              <w:left w:val="nil"/>
              <w:bottom w:val="nil"/>
              <w:right w:val="nil"/>
            </w:tcBorders>
            <w:shd w:val="clear" w:color="FFFFFF" w:fill="FFFFFF"/>
            <w:noWrap/>
            <w:vAlign w:val="bottom"/>
            <w:hideMark/>
          </w:tcPr>
          <w:p w:rsidR="00735613" w:rsidRDefault="00735613">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Actual</w:t>
            </w:r>
          </w:p>
        </w:tc>
        <w:tc>
          <w:tcPr>
            <w:tcW w:w="2512" w:type="dxa"/>
            <w:gridSpan w:val="2"/>
            <w:tcBorders>
              <w:top w:val="nil"/>
              <w:left w:val="nil"/>
              <w:bottom w:val="nil"/>
              <w:right w:val="nil"/>
            </w:tcBorders>
            <w:shd w:val="clear" w:color="FFFFFF" w:fill="FFFFFF"/>
            <w:noWrap/>
            <w:vAlign w:val="bottom"/>
            <w:hideMark/>
          </w:tcPr>
          <w:p w:rsidR="00735613" w:rsidRDefault="00735613">
            <w:pPr>
              <w:jc w:val="center"/>
              <w:rPr>
                <w:rFonts w:cs="Calibri"/>
                <w:b/>
                <w:bCs/>
                <w:szCs w:val="18"/>
              </w:rPr>
            </w:pPr>
            <w:r>
              <w:rPr>
                <w:rFonts w:cs="Calibri"/>
                <w:b/>
                <w:bCs/>
                <w:szCs w:val="18"/>
              </w:rPr>
              <w:t>Budget Estimate</w:t>
            </w:r>
          </w:p>
        </w:tc>
      </w:tr>
      <w:tr w:rsidR="00735613" w:rsidTr="00735613">
        <w:trPr>
          <w:trHeight w:val="285"/>
        </w:trPr>
        <w:tc>
          <w:tcPr>
            <w:tcW w:w="5160" w:type="dxa"/>
            <w:tcBorders>
              <w:top w:val="nil"/>
              <w:left w:val="nil"/>
              <w:bottom w:val="nil"/>
              <w:right w:val="nil"/>
            </w:tcBorders>
            <w:shd w:val="clear" w:color="FFFFFF" w:fill="FFFFFF"/>
            <w:noWrap/>
            <w:vAlign w:val="bottom"/>
            <w:hideMark/>
          </w:tcPr>
          <w:p w:rsidR="00735613" w:rsidRDefault="00735613">
            <w:pPr>
              <w:rPr>
                <w:rFonts w:cs="Calibri"/>
                <w:b/>
                <w:bCs/>
                <w:szCs w:val="18"/>
              </w:rPr>
            </w:pPr>
            <w:r>
              <w:rPr>
                <w:rFonts w:cs="Calibri"/>
                <w:b/>
                <w:bCs/>
                <w:szCs w:val="18"/>
              </w:rPr>
              <w:t> </w:t>
            </w:r>
          </w:p>
        </w:tc>
        <w:tc>
          <w:tcPr>
            <w:tcW w:w="1256"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Original</w:t>
            </w:r>
            <w:r>
              <w:rPr>
                <w:rFonts w:cs="Calibri"/>
                <w:b/>
                <w:bCs/>
                <w:szCs w:val="18"/>
                <w:vertAlign w:val="superscript"/>
              </w:rPr>
              <w:t>1</w:t>
            </w:r>
          </w:p>
        </w:tc>
        <w:tc>
          <w:tcPr>
            <w:tcW w:w="1256"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Variance</w:t>
            </w:r>
            <w:r>
              <w:rPr>
                <w:rFonts w:cs="Calibri"/>
                <w:szCs w:val="18"/>
                <w:vertAlign w:val="superscript"/>
              </w:rPr>
              <w:t>2</w:t>
            </w:r>
          </w:p>
        </w:tc>
      </w:tr>
      <w:tr w:rsidR="00735613" w:rsidTr="00735613">
        <w:trPr>
          <w:trHeight w:val="255"/>
        </w:trPr>
        <w:tc>
          <w:tcPr>
            <w:tcW w:w="5160"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2015</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2015</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2015</w:t>
            </w:r>
          </w:p>
        </w:tc>
      </w:tr>
      <w:tr w:rsidR="00735613" w:rsidTr="00735613">
        <w:trPr>
          <w:trHeight w:val="255"/>
        </w:trPr>
        <w:tc>
          <w:tcPr>
            <w:tcW w:w="5160"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$'000</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$'000</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$'000</w:t>
            </w:r>
          </w:p>
        </w:tc>
      </w:tr>
      <w:tr w:rsidR="00735613" w:rsidTr="00735613">
        <w:trPr>
          <w:trHeight w:val="255"/>
        </w:trPr>
        <w:tc>
          <w:tcPr>
            <w:tcW w:w="5160"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ASSETS</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r>
      <w:tr w:rsidR="00735613" w:rsidTr="00735613">
        <w:trPr>
          <w:trHeight w:val="255"/>
        </w:trPr>
        <w:tc>
          <w:tcPr>
            <w:tcW w:w="5160"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Financial Assets</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r>
      <w:tr w:rsidR="00735613" w:rsidTr="00735613">
        <w:trPr>
          <w:trHeight w:val="285"/>
        </w:trPr>
        <w:tc>
          <w:tcPr>
            <w:tcW w:w="516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Cash and cash equivalents</w:t>
            </w:r>
            <w:r>
              <w:rPr>
                <w:rFonts w:cs="Calibri"/>
                <w:szCs w:val="18"/>
                <w:vertAlign w:val="superscript"/>
              </w:rPr>
              <w:t>6</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9,817</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1,845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7,972</w:t>
            </w:r>
          </w:p>
        </w:tc>
      </w:tr>
      <w:tr w:rsidR="00735613" w:rsidTr="00735613">
        <w:trPr>
          <w:trHeight w:val="285"/>
        </w:trPr>
        <w:tc>
          <w:tcPr>
            <w:tcW w:w="516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Trade and other receivables</w:t>
            </w:r>
            <w:r>
              <w:rPr>
                <w:rFonts w:cs="Calibri"/>
                <w:szCs w:val="18"/>
                <w:vertAlign w:val="superscript"/>
              </w:rPr>
              <w:t>7</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51,829</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59,731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(7,902)</w:t>
            </w:r>
          </w:p>
        </w:tc>
      </w:tr>
      <w:tr w:rsidR="00735613" w:rsidTr="00735613">
        <w:trPr>
          <w:trHeight w:val="255"/>
        </w:trPr>
        <w:tc>
          <w:tcPr>
            <w:tcW w:w="516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Other financial assets</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3,276</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2,695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581</w:t>
            </w:r>
          </w:p>
        </w:tc>
      </w:tr>
      <w:tr w:rsidR="00735613" w:rsidTr="00735613">
        <w:trPr>
          <w:trHeight w:val="255"/>
        </w:trPr>
        <w:tc>
          <w:tcPr>
            <w:tcW w:w="5160"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Total financial assets</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64,922</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64,271</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651</w:t>
            </w:r>
          </w:p>
        </w:tc>
      </w:tr>
      <w:tr w:rsidR="00735613" w:rsidTr="00735613">
        <w:trPr>
          <w:trHeight w:val="255"/>
        </w:trPr>
        <w:tc>
          <w:tcPr>
            <w:tcW w:w="5160"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r>
      <w:tr w:rsidR="00735613" w:rsidTr="00735613">
        <w:trPr>
          <w:trHeight w:val="255"/>
        </w:trPr>
        <w:tc>
          <w:tcPr>
            <w:tcW w:w="5160"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Non-Financial Assets</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r>
      <w:tr w:rsidR="00735613" w:rsidTr="00735613">
        <w:trPr>
          <w:trHeight w:val="285"/>
        </w:trPr>
        <w:tc>
          <w:tcPr>
            <w:tcW w:w="516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Land and buildings</w:t>
            </w:r>
            <w:r>
              <w:rPr>
                <w:rFonts w:cs="Calibri"/>
                <w:szCs w:val="18"/>
                <w:vertAlign w:val="superscript"/>
              </w:rPr>
              <w:t>8</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42,118</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26,451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15,667</w:t>
            </w:r>
          </w:p>
        </w:tc>
      </w:tr>
      <w:tr w:rsidR="00735613" w:rsidTr="00735613">
        <w:trPr>
          <w:trHeight w:val="285"/>
        </w:trPr>
        <w:tc>
          <w:tcPr>
            <w:tcW w:w="516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Infrastructure, plant and equipment</w:t>
            </w:r>
            <w:r>
              <w:rPr>
                <w:rFonts w:cs="Calibri"/>
                <w:szCs w:val="18"/>
                <w:vertAlign w:val="superscript"/>
              </w:rPr>
              <w:t>8</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11,327</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26,793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(15,466)</w:t>
            </w:r>
          </w:p>
        </w:tc>
      </w:tr>
      <w:tr w:rsidR="00735613" w:rsidTr="00735613">
        <w:trPr>
          <w:trHeight w:val="285"/>
        </w:trPr>
        <w:tc>
          <w:tcPr>
            <w:tcW w:w="516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Intangibles</w:t>
            </w:r>
            <w:r>
              <w:rPr>
                <w:rFonts w:cs="Calibri"/>
                <w:szCs w:val="18"/>
                <w:vertAlign w:val="superscript"/>
              </w:rPr>
              <w:t>8</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70,403</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53,207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17,196</w:t>
            </w:r>
          </w:p>
        </w:tc>
      </w:tr>
      <w:tr w:rsidR="00735613" w:rsidTr="00735613">
        <w:trPr>
          <w:trHeight w:val="255"/>
        </w:trPr>
        <w:tc>
          <w:tcPr>
            <w:tcW w:w="516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Other non-financial assets</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10,728</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11,201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(473)</w:t>
            </w:r>
          </w:p>
        </w:tc>
      </w:tr>
      <w:tr w:rsidR="00735613" w:rsidTr="00735613">
        <w:trPr>
          <w:trHeight w:val="255"/>
        </w:trPr>
        <w:tc>
          <w:tcPr>
            <w:tcW w:w="5160"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Total non-financial assets</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134,576</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117,652</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16,924</w:t>
            </w:r>
          </w:p>
        </w:tc>
      </w:tr>
      <w:tr w:rsidR="00735613" w:rsidTr="00735613">
        <w:trPr>
          <w:trHeight w:val="255"/>
        </w:trPr>
        <w:tc>
          <w:tcPr>
            <w:tcW w:w="516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70"/>
        </w:trPr>
        <w:tc>
          <w:tcPr>
            <w:tcW w:w="5160" w:type="dxa"/>
            <w:tcBorders>
              <w:top w:val="nil"/>
              <w:left w:val="nil"/>
              <w:bottom w:val="nil"/>
              <w:right w:val="nil"/>
            </w:tcBorders>
            <w:shd w:val="clear" w:color="FFFFFF" w:fill="FFFFFF"/>
            <w:vAlign w:val="bottom"/>
            <w:hideMark/>
          </w:tcPr>
          <w:p w:rsidR="00735613" w:rsidRDefault="00735613">
            <w:pPr>
              <w:rPr>
                <w:rFonts w:cs="Calibri"/>
                <w:b/>
                <w:bCs/>
                <w:i/>
                <w:iCs/>
                <w:szCs w:val="18"/>
              </w:rPr>
            </w:pPr>
            <w:r>
              <w:rPr>
                <w:rFonts w:cs="Calibri"/>
                <w:b/>
                <w:bCs/>
                <w:i/>
                <w:iCs/>
                <w:szCs w:val="18"/>
              </w:rPr>
              <w:t>Total assets</w:t>
            </w:r>
          </w:p>
        </w:tc>
        <w:tc>
          <w:tcPr>
            <w:tcW w:w="125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199,498</w:t>
            </w:r>
          </w:p>
        </w:tc>
        <w:tc>
          <w:tcPr>
            <w:tcW w:w="125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181,923</w:t>
            </w:r>
          </w:p>
        </w:tc>
        <w:tc>
          <w:tcPr>
            <w:tcW w:w="125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17,575</w:t>
            </w:r>
          </w:p>
        </w:tc>
      </w:tr>
      <w:tr w:rsidR="00735613" w:rsidTr="00735613">
        <w:trPr>
          <w:trHeight w:val="270"/>
        </w:trPr>
        <w:tc>
          <w:tcPr>
            <w:tcW w:w="516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55"/>
        </w:trPr>
        <w:tc>
          <w:tcPr>
            <w:tcW w:w="5160"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LIABILITIES</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55"/>
        </w:trPr>
        <w:tc>
          <w:tcPr>
            <w:tcW w:w="5160"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Payables</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85"/>
        </w:trPr>
        <w:tc>
          <w:tcPr>
            <w:tcW w:w="516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Suppliers</w:t>
            </w:r>
            <w:r>
              <w:rPr>
                <w:rFonts w:cs="Calibri"/>
                <w:szCs w:val="18"/>
                <w:vertAlign w:val="superscript"/>
              </w:rPr>
              <w:t>9</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23,495</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5,346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18,149</w:t>
            </w:r>
          </w:p>
        </w:tc>
      </w:tr>
      <w:tr w:rsidR="00735613" w:rsidTr="00735613">
        <w:trPr>
          <w:trHeight w:val="285"/>
        </w:trPr>
        <w:tc>
          <w:tcPr>
            <w:tcW w:w="516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Other payables</w:t>
            </w:r>
            <w:r>
              <w:rPr>
                <w:rFonts w:cs="Calibri"/>
                <w:szCs w:val="18"/>
                <w:vertAlign w:val="superscript"/>
              </w:rPr>
              <w:t>9</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28,963</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18,593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10,370</w:t>
            </w:r>
          </w:p>
        </w:tc>
      </w:tr>
      <w:tr w:rsidR="00735613" w:rsidTr="00735613">
        <w:trPr>
          <w:trHeight w:val="255"/>
        </w:trPr>
        <w:tc>
          <w:tcPr>
            <w:tcW w:w="5160"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Total payables</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52,458</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23,939</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28,519</w:t>
            </w:r>
          </w:p>
        </w:tc>
      </w:tr>
      <w:tr w:rsidR="00735613" w:rsidTr="00735613">
        <w:trPr>
          <w:trHeight w:val="255"/>
        </w:trPr>
        <w:tc>
          <w:tcPr>
            <w:tcW w:w="516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55"/>
        </w:trPr>
        <w:tc>
          <w:tcPr>
            <w:tcW w:w="5160"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Provisions</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85"/>
        </w:trPr>
        <w:tc>
          <w:tcPr>
            <w:tcW w:w="516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Employee provisions</w:t>
            </w:r>
            <w:r>
              <w:rPr>
                <w:rFonts w:cs="Calibri"/>
                <w:szCs w:val="18"/>
                <w:vertAlign w:val="superscript"/>
              </w:rPr>
              <w:t>3</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54,778</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61,201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(6,423)</w:t>
            </w:r>
          </w:p>
        </w:tc>
      </w:tr>
      <w:tr w:rsidR="00735613" w:rsidTr="00735613">
        <w:trPr>
          <w:trHeight w:val="255"/>
        </w:trPr>
        <w:tc>
          <w:tcPr>
            <w:tcW w:w="516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Other provisions</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3,106</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823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2,283</w:t>
            </w:r>
          </w:p>
        </w:tc>
      </w:tr>
      <w:tr w:rsidR="00735613" w:rsidTr="00735613">
        <w:trPr>
          <w:trHeight w:val="255"/>
        </w:trPr>
        <w:tc>
          <w:tcPr>
            <w:tcW w:w="5160"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Total provisions</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57,884</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62,024</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(4,140)</w:t>
            </w:r>
          </w:p>
        </w:tc>
      </w:tr>
      <w:tr w:rsidR="00735613" w:rsidTr="00735613">
        <w:trPr>
          <w:trHeight w:val="255"/>
        </w:trPr>
        <w:tc>
          <w:tcPr>
            <w:tcW w:w="516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70"/>
        </w:trPr>
        <w:tc>
          <w:tcPr>
            <w:tcW w:w="5160" w:type="dxa"/>
            <w:tcBorders>
              <w:top w:val="nil"/>
              <w:left w:val="nil"/>
              <w:bottom w:val="nil"/>
              <w:right w:val="nil"/>
            </w:tcBorders>
            <w:shd w:val="clear" w:color="FFFFFF" w:fill="FFFFFF"/>
            <w:vAlign w:val="bottom"/>
            <w:hideMark/>
          </w:tcPr>
          <w:p w:rsidR="00735613" w:rsidRDefault="00735613">
            <w:pPr>
              <w:rPr>
                <w:rFonts w:cs="Calibri"/>
                <w:b/>
                <w:bCs/>
                <w:i/>
                <w:iCs/>
                <w:szCs w:val="18"/>
              </w:rPr>
            </w:pPr>
            <w:r>
              <w:rPr>
                <w:rFonts w:cs="Calibri"/>
                <w:b/>
                <w:bCs/>
                <w:i/>
                <w:iCs/>
                <w:szCs w:val="18"/>
              </w:rPr>
              <w:t>Total liabilities</w:t>
            </w:r>
          </w:p>
        </w:tc>
        <w:tc>
          <w:tcPr>
            <w:tcW w:w="125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110,342</w:t>
            </w:r>
          </w:p>
        </w:tc>
        <w:tc>
          <w:tcPr>
            <w:tcW w:w="125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85,963</w:t>
            </w:r>
          </w:p>
        </w:tc>
        <w:tc>
          <w:tcPr>
            <w:tcW w:w="125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24,379</w:t>
            </w:r>
          </w:p>
        </w:tc>
      </w:tr>
      <w:tr w:rsidR="00735613" w:rsidTr="00735613">
        <w:trPr>
          <w:trHeight w:val="270"/>
        </w:trPr>
        <w:tc>
          <w:tcPr>
            <w:tcW w:w="5160" w:type="dxa"/>
            <w:tcBorders>
              <w:top w:val="nil"/>
              <w:left w:val="nil"/>
              <w:bottom w:val="nil"/>
              <w:right w:val="nil"/>
            </w:tcBorders>
            <w:shd w:val="clear" w:color="FFFFFF" w:fill="FFFFFF"/>
            <w:vAlign w:val="bottom"/>
            <w:hideMark/>
          </w:tcPr>
          <w:p w:rsidR="00735613" w:rsidRDefault="00735613">
            <w:pPr>
              <w:rPr>
                <w:rFonts w:cs="Calibri"/>
                <w:b/>
                <w:bCs/>
                <w:i/>
                <w:iCs/>
                <w:szCs w:val="18"/>
              </w:rPr>
            </w:pPr>
            <w:r>
              <w:rPr>
                <w:rFonts w:cs="Calibri"/>
                <w:b/>
                <w:bCs/>
                <w:i/>
                <w:iCs/>
                <w:szCs w:val="18"/>
              </w:rPr>
              <w:t> </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70"/>
        </w:trPr>
        <w:tc>
          <w:tcPr>
            <w:tcW w:w="5160" w:type="dxa"/>
            <w:tcBorders>
              <w:top w:val="nil"/>
              <w:left w:val="nil"/>
              <w:bottom w:val="nil"/>
              <w:right w:val="nil"/>
            </w:tcBorders>
            <w:shd w:val="clear" w:color="FFFFFF" w:fill="FFFFFF"/>
            <w:vAlign w:val="bottom"/>
            <w:hideMark/>
          </w:tcPr>
          <w:p w:rsidR="00735613" w:rsidRDefault="00735613">
            <w:pPr>
              <w:rPr>
                <w:rFonts w:cs="Calibri"/>
                <w:b/>
                <w:bCs/>
                <w:i/>
                <w:iCs/>
                <w:szCs w:val="18"/>
              </w:rPr>
            </w:pPr>
            <w:r>
              <w:rPr>
                <w:rFonts w:cs="Calibri"/>
                <w:b/>
                <w:bCs/>
                <w:i/>
                <w:iCs/>
                <w:szCs w:val="18"/>
              </w:rPr>
              <w:t>Net assets</w:t>
            </w:r>
          </w:p>
        </w:tc>
        <w:tc>
          <w:tcPr>
            <w:tcW w:w="1256" w:type="dxa"/>
            <w:tcBorders>
              <w:top w:val="nil"/>
              <w:left w:val="nil"/>
              <w:bottom w:val="double" w:sz="6"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89,156</w:t>
            </w:r>
          </w:p>
        </w:tc>
        <w:tc>
          <w:tcPr>
            <w:tcW w:w="1256" w:type="dxa"/>
            <w:tcBorders>
              <w:top w:val="nil"/>
              <w:left w:val="nil"/>
              <w:bottom w:val="double" w:sz="6"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95,960</w:t>
            </w:r>
          </w:p>
        </w:tc>
        <w:tc>
          <w:tcPr>
            <w:tcW w:w="1256" w:type="dxa"/>
            <w:tcBorders>
              <w:top w:val="nil"/>
              <w:left w:val="nil"/>
              <w:bottom w:val="double" w:sz="6"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(6,804)</w:t>
            </w:r>
          </w:p>
        </w:tc>
      </w:tr>
      <w:tr w:rsidR="00735613" w:rsidTr="00735613">
        <w:trPr>
          <w:trHeight w:val="270"/>
        </w:trPr>
        <w:tc>
          <w:tcPr>
            <w:tcW w:w="516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55"/>
        </w:trPr>
        <w:tc>
          <w:tcPr>
            <w:tcW w:w="5160"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EQUITY</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85"/>
        </w:trPr>
        <w:tc>
          <w:tcPr>
            <w:tcW w:w="516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Contributed equity</w:t>
            </w:r>
            <w:r>
              <w:rPr>
                <w:rFonts w:cs="Calibri"/>
                <w:szCs w:val="18"/>
                <w:vertAlign w:val="superscript"/>
              </w:rPr>
              <w:t>10</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134,848</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145,878</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(11,030)</w:t>
            </w:r>
          </w:p>
        </w:tc>
      </w:tr>
      <w:tr w:rsidR="00735613" w:rsidTr="00735613">
        <w:trPr>
          <w:trHeight w:val="255"/>
        </w:trPr>
        <w:tc>
          <w:tcPr>
            <w:tcW w:w="516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Reserves</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438</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438</w:t>
            </w:r>
          </w:p>
        </w:tc>
      </w:tr>
      <w:tr w:rsidR="00735613" w:rsidTr="00735613">
        <w:trPr>
          <w:trHeight w:val="255"/>
        </w:trPr>
        <w:tc>
          <w:tcPr>
            <w:tcW w:w="516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Retained surplus (accumulated deficit)</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(46,130)</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(49,918)</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3,788</w:t>
            </w:r>
          </w:p>
        </w:tc>
      </w:tr>
      <w:tr w:rsidR="00735613" w:rsidTr="00735613">
        <w:trPr>
          <w:trHeight w:val="270"/>
        </w:trPr>
        <w:tc>
          <w:tcPr>
            <w:tcW w:w="5160" w:type="dxa"/>
            <w:tcBorders>
              <w:top w:val="nil"/>
              <w:left w:val="nil"/>
              <w:bottom w:val="nil"/>
              <w:right w:val="nil"/>
            </w:tcBorders>
            <w:shd w:val="clear" w:color="FFFFFF" w:fill="FFFFFF"/>
            <w:vAlign w:val="bottom"/>
            <w:hideMark/>
          </w:tcPr>
          <w:p w:rsidR="00735613" w:rsidRDefault="00735613">
            <w:pPr>
              <w:rPr>
                <w:rFonts w:cs="Calibri"/>
                <w:b/>
                <w:bCs/>
                <w:i/>
                <w:iCs/>
                <w:szCs w:val="18"/>
              </w:rPr>
            </w:pPr>
            <w:r>
              <w:rPr>
                <w:rFonts w:cs="Calibri"/>
                <w:b/>
                <w:bCs/>
                <w:i/>
                <w:iCs/>
                <w:szCs w:val="18"/>
              </w:rPr>
              <w:t>Total equity</w:t>
            </w:r>
          </w:p>
        </w:tc>
        <w:tc>
          <w:tcPr>
            <w:tcW w:w="125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89,156</w:t>
            </w:r>
          </w:p>
        </w:tc>
        <w:tc>
          <w:tcPr>
            <w:tcW w:w="125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95,960</w:t>
            </w:r>
          </w:p>
        </w:tc>
        <w:tc>
          <w:tcPr>
            <w:tcW w:w="125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(6,804)</w:t>
            </w:r>
          </w:p>
        </w:tc>
      </w:tr>
    </w:tbl>
    <w:p w:rsidR="00735613" w:rsidRDefault="00735613" w:rsidP="00735613">
      <w:pPr>
        <w:pStyle w:val="NotesHeading-Level1"/>
        <w:numPr>
          <w:ilvl w:val="0"/>
          <w:numId w:val="0"/>
        </w:numPr>
        <w:ind w:right="0"/>
        <w:outlineLvl w:val="9"/>
        <w:rPr>
          <w:rFonts w:cstheme="minorHAnsi"/>
        </w:rPr>
      </w:pPr>
    </w:p>
    <w:p w:rsidR="00735613" w:rsidRPr="00C10D16" w:rsidRDefault="00735613" w:rsidP="00735613"/>
    <w:p w:rsidR="00735613" w:rsidRDefault="00735613" w:rsidP="00735613">
      <w:pPr>
        <w:rPr>
          <w:rFonts w:cs="Calibri"/>
          <w:b/>
          <w:bCs/>
          <w:szCs w:val="18"/>
        </w:rPr>
        <w:sectPr w:rsidR="00735613" w:rsidSect="00735613">
          <w:headerReference w:type="default" r:id="rId28"/>
          <w:pgSz w:w="11906" w:h="16838"/>
          <w:pgMar w:top="1440" w:right="1440" w:bottom="1440" w:left="1440" w:header="708" w:footer="708" w:gutter="0"/>
          <w:cols w:space="720"/>
          <w:docGrid w:linePitch="245"/>
        </w:sectPr>
      </w:pPr>
      <w:bookmarkStart w:id="675" w:name="RANGE!E7:E36"/>
    </w:p>
    <w:tbl>
      <w:tblPr>
        <w:tblW w:w="14740" w:type="dxa"/>
        <w:tblInd w:w="80" w:type="dxa"/>
        <w:tblLayout w:type="fixed"/>
        <w:tblCellMar>
          <w:left w:w="6" w:type="dxa"/>
          <w:right w:w="6" w:type="dxa"/>
        </w:tblCellMar>
        <w:tblLook w:val="04A0" w:firstRow="1" w:lastRow="0" w:firstColumn="1" w:lastColumn="0" w:noHBand="0" w:noVBand="1"/>
      </w:tblPr>
      <w:tblGrid>
        <w:gridCol w:w="3448"/>
        <w:gridCol w:w="942"/>
        <w:gridCol w:w="942"/>
        <w:gridCol w:w="942"/>
        <w:gridCol w:w="941"/>
        <w:gridCol w:w="941"/>
        <w:gridCol w:w="940"/>
        <w:gridCol w:w="941"/>
        <w:gridCol w:w="941"/>
        <w:gridCol w:w="940"/>
        <w:gridCol w:w="940"/>
        <w:gridCol w:w="941"/>
        <w:gridCol w:w="941"/>
      </w:tblGrid>
      <w:tr w:rsidR="00735613" w:rsidTr="00735613">
        <w:trPr>
          <w:trHeight w:val="255"/>
        </w:trPr>
        <w:tc>
          <w:tcPr>
            <w:tcW w:w="14735" w:type="dxa"/>
            <w:gridSpan w:val="13"/>
            <w:tcBorders>
              <w:top w:val="nil"/>
              <w:left w:val="nil"/>
              <w:bottom w:val="nil"/>
              <w:right w:val="nil"/>
            </w:tcBorders>
            <w:shd w:val="clear" w:color="FFFFFF" w:fill="FFFFFF"/>
            <w:noWrap/>
            <w:vAlign w:val="bottom"/>
            <w:hideMark/>
          </w:tcPr>
          <w:p w:rsidR="00735613" w:rsidRDefault="00735613" w:rsidP="00735613">
            <w:pPr>
              <w:rPr>
                <w:rFonts w:cs="Calibri"/>
                <w:b/>
                <w:bCs/>
                <w:szCs w:val="18"/>
              </w:rPr>
            </w:pPr>
            <w:bookmarkStart w:id="676" w:name="Note_BCETABLE1" w:colFirst="0" w:colLast="0"/>
            <w:r>
              <w:rPr>
                <w:rFonts w:cs="Calibri"/>
                <w:b/>
                <w:bCs/>
                <w:szCs w:val="18"/>
              </w:rPr>
              <w:t>Statement of changes in equity</w:t>
            </w:r>
          </w:p>
        </w:tc>
      </w:tr>
      <w:bookmarkEnd w:id="676"/>
      <w:tr w:rsidR="00735613" w:rsidTr="00735613">
        <w:trPr>
          <w:trHeight w:val="270"/>
        </w:trPr>
        <w:tc>
          <w:tcPr>
            <w:tcW w:w="14735" w:type="dxa"/>
            <w:gridSpan w:val="13"/>
            <w:tcBorders>
              <w:top w:val="nil"/>
              <w:left w:val="nil"/>
              <w:bottom w:val="single" w:sz="8" w:space="0" w:color="auto"/>
              <w:right w:val="nil"/>
            </w:tcBorders>
            <w:shd w:val="clear" w:color="FFFFFF" w:fill="FFFFFF"/>
            <w:noWrap/>
            <w:vAlign w:val="bottom"/>
            <w:hideMark/>
          </w:tcPr>
          <w:p w:rsidR="00735613" w:rsidRDefault="00735613" w:rsidP="00735613">
            <w:pPr>
              <w:rPr>
                <w:rFonts w:cs="Calibri"/>
                <w:i/>
                <w:iCs/>
                <w:szCs w:val="18"/>
              </w:rPr>
            </w:pPr>
            <w:r>
              <w:rPr>
                <w:rFonts w:cs="Calibri"/>
                <w:i/>
                <w:iCs/>
                <w:szCs w:val="18"/>
              </w:rPr>
              <w:t>for the period ended 30 June 2015</w:t>
            </w:r>
          </w:p>
        </w:tc>
      </w:tr>
      <w:tr w:rsidR="00735613" w:rsidTr="00735613">
        <w:trPr>
          <w:trHeight w:val="255"/>
        </w:trPr>
        <w:tc>
          <w:tcPr>
            <w:tcW w:w="3446" w:type="dxa"/>
            <w:tcBorders>
              <w:top w:val="nil"/>
              <w:left w:val="nil"/>
              <w:bottom w:val="nil"/>
              <w:right w:val="nil"/>
            </w:tcBorders>
            <w:shd w:val="clear" w:color="FFFFFF" w:fill="FFFFFF"/>
            <w:noWrap/>
            <w:vAlign w:val="bottom"/>
            <w:hideMark/>
          </w:tcPr>
          <w:p w:rsidR="00735613" w:rsidRDefault="00735613" w:rsidP="00735613">
            <w:pPr>
              <w:rPr>
                <w:rFonts w:ascii="Arial" w:hAnsi="Arial" w:cs="Arial"/>
                <w:szCs w:val="18"/>
              </w:rPr>
            </w:pPr>
            <w:r>
              <w:rPr>
                <w:rFonts w:ascii="Arial" w:hAnsi="Arial" w:cs="Arial"/>
                <w:szCs w:val="18"/>
              </w:rPr>
              <w:t> </w:t>
            </w:r>
          </w:p>
        </w:tc>
        <w:tc>
          <w:tcPr>
            <w:tcW w:w="2823" w:type="dxa"/>
            <w:gridSpan w:val="3"/>
            <w:tcBorders>
              <w:top w:val="nil"/>
              <w:left w:val="nil"/>
              <w:bottom w:val="nil"/>
              <w:right w:val="nil"/>
            </w:tcBorders>
            <w:shd w:val="clear" w:color="FFFFFF" w:fill="FFFFFF"/>
            <w:vAlign w:val="bottom"/>
            <w:hideMark/>
          </w:tcPr>
          <w:p w:rsidR="00735613" w:rsidRDefault="00735613">
            <w:pPr>
              <w:jc w:val="right"/>
              <w:rPr>
                <w:rFonts w:cs="Calibri"/>
                <w:b/>
                <w:bCs/>
                <w:szCs w:val="18"/>
              </w:rPr>
            </w:pPr>
            <w:r>
              <w:rPr>
                <w:rFonts w:cs="Calibri"/>
                <w:b/>
                <w:bCs/>
                <w:szCs w:val="18"/>
              </w:rPr>
              <w:t>Retained earnings</w:t>
            </w:r>
          </w:p>
        </w:tc>
        <w:tc>
          <w:tcPr>
            <w:tcW w:w="2822" w:type="dxa"/>
            <w:gridSpan w:val="3"/>
            <w:tcBorders>
              <w:top w:val="nil"/>
              <w:left w:val="nil"/>
              <w:bottom w:val="nil"/>
              <w:right w:val="nil"/>
            </w:tcBorders>
            <w:shd w:val="clear" w:color="FFFFFF" w:fill="FFFFFF"/>
            <w:vAlign w:val="bottom"/>
            <w:hideMark/>
          </w:tcPr>
          <w:p w:rsidR="00735613" w:rsidRDefault="00735613">
            <w:pPr>
              <w:jc w:val="right"/>
              <w:rPr>
                <w:rFonts w:cs="Calibri"/>
                <w:b/>
                <w:bCs/>
                <w:szCs w:val="18"/>
              </w:rPr>
            </w:pPr>
            <w:r>
              <w:rPr>
                <w:rFonts w:cs="Calibri"/>
                <w:b/>
                <w:bCs/>
                <w:szCs w:val="18"/>
              </w:rPr>
              <w:t>Asset revaluation reserves</w:t>
            </w:r>
          </w:p>
        </w:tc>
        <w:tc>
          <w:tcPr>
            <w:tcW w:w="2822" w:type="dxa"/>
            <w:gridSpan w:val="3"/>
            <w:tcBorders>
              <w:top w:val="nil"/>
              <w:left w:val="nil"/>
              <w:bottom w:val="nil"/>
              <w:right w:val="nil"/>
            </w:tcBorders>
            <w:shd w:val="clear" w:color="FFFFFF" w:fill="FFFFFF"/>
            <w:vAlign w:val="bottom"/>
            <w:hideMark/>
          </w:tcPr>
          <w:p w:rsidR="00735613" w:rsidRDefault="00735613">
            <w:pPr>
              <w:jc w:val="right"/>
              <w:rPr>
                <w:rFonts w:cs="Calibri"/>
                <w:b/>
                <w:bCs/>
                <w:szCs w:val="18"/>
              </w:rPr>
            </w:pPr>
            <w:r>
              <w:rPr>
                <w:rFonts w:cs="Calibri"/>
                <w:b/>
                <w:bCs/>
                <w:szCs w:val="18"/>
              </w:rPr>
              <w:t>Contributed equity/capital</w:t>
            </w:r>
          </w:p>
        </w:tc>
        <w:tc>
          <w:tcPr>
            <w:tcW w:w="2822" w:type="dxa"/>
            <w:gridSpan w:val="3"/>
            <w:tcBorders>
              <w:top w:val="single" w:sz="8" w:space="0" w:color="auto"/>
              <w:left w:val="nil"/>
              <w:bottom w:val="single" w:sz="4" w:space="0" w:color="auto"/>
              <w:right w:val="nil"/>
            </w:tcBorders>
            <w:shd w:val="clear" w:color="FFFFFF" w:fill="FFFFFF"/>
            <w:vAlign w:val="bottom"/>
            <w:hideMark/>
          </w:tcPr>
          <w:p w:rsidR="00735613" w:rsidRDefault="00735613">
            <w:pPr>
              <w:jc w:val="center"/>
              <w:rPr>
                <w:rFonts w:cs="Calibri"/>
                <w:b/>
                <w:bCs/>
                <w:szCs w:val="18"/>
              </w:rPr>
            </w:pPr>
            <w:r>
              <w:rPr>
                <w:rFonts w:cs="Calibri"/>
                <w:b/>
                <w:bCs/>
                <w:szCs w:val="18"/>
              </w:rPr>
              <w:t>Total equity</w:t>
            </w:r>
          </w:p>
        </w:tc>
      </w:tr>
      <w:tr w:rsidR="00735613" w:rsidTr="00735613">
        <w:trPr>
          <w:trHeight w:val="255"/>
        </w:trPr>
        <w:tc>
          <w:tcPr>
            <w:tcW w:w="3446" w:type="dxa"/>
            <w:tcBorders>
              <w:top w:val="nil"/>
              <w:left w:val="nil"/>
              <w:bottom w:val="nil"/>
              <w:right w:val="nil"/>
            </w:tcBorders>
            <w:shd w:val="clear" w:color="FFFFFF" w:fill="FFFFFF"/>
            <w:noWrap/>
            <w:vAlign w:val="bottom"/>
            <w:hideMark/>
          </w:tcPr>
          <w:p w:rsidR="00735613" w:rsidRDefault="00735613" w:rsidP="00735613">
            <w:pPr>
              <w:rPr>
                <w:rFonts w:ascii="Arial" w:hAnsi="Arial" w:cs="Arial"/>
                <w:szCs w:val="18"/>
              </w:rPr>
            </w:pPr>
            <w:r>
              <w:rPr>
                <w:rFonts w:ascii="Arial" w:hAnsi="Arial" w:cs="Arial"/>
                <w:szCs w:val="18"/>
              </w:rPr>
              <w:t> </w:t>
            </w:r>
          </w:p>
        </w:tc>
        <w:tc>
          <w:tcPr>
            <w:tcW w:w="941" w:type="dxa"/>
            <w:tcBorders>
              <w:top w:val="single" w:sz="4" w:space="0" w:color="auto"/>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Actual</w:t>
            </w:r>
          </w:p>
        </w:tc>
        <w:tc>
          <w:tcPr>
            <w:tcW w:w="1882" w:type="dxa"/>
            <w:gridSpan w:val="2"/>
            <w:tcBorders>
              <w:top w:val="single" w:sz="4" w:space="0" w:color="auto"/>
              <w:left w:val="nil"/>
              <w:bottom w:val="nil"/>
              <w:right w:val="nil"/>
            </w:tcBorders>
            <w:shd w:val="clear" w:color="FFFFFF" w:fill="FFFFFF"/>
            <w:noWrap/>
            <w:vAlign w:val="bottom"/>
            <w:hideMark/>
          </w:tcPr>
          <w:p w:rsidR="00735613" w:rsidRDefault="00735613">
            <w:pPr>
              <w:jc w:val="center"/>
              <w:rPr>
                <w:rFonts w:cs="Calibri"/>
                <w:b/>
                <w:bCs/>
                <w:szCs w:val="18"/>
              </w:rPr>
            </w:pPr>
            <w:r>
              <w:rPr>
                <w:rFonts w:cs="Calibri"/>
                <w:b/>
                <w:bCs/>
                <w:szCs w:val="18"/>
              </w:rPr>
              <w:t>Budget Estimate</w:t>
            </w:r>
          </w:p>
        </w:tc>
        <w:tc>
          <w:tcPr>
            <w:tcW w:w="941" w:type="dxa"/>
            <w:tcBorders>
              <w:top w:val="single" w:sz="4" w:space="0" w:color="auto"/>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Actual</w:t>
            </w:r>
          </w:p>
        </w:tc>
        <w:tc>
          <w:tcPr>
            <w:tcW w:w="1881" w:type="dxa"/>
            <w:gridSpan w:val="2"/>
            <w:tcBorders>
              <w:top w:val="single" w:sz="4" w:space="0" w:color="auto"/>
              <w:left w:val="nil"/>
              <w:bottom w:val="nil"/>
              <w:right w:val="nil"/>
            </w:tcBorders>
            <w:shd w:val="clear" w:color="FFFFFF" w:fill="FFFFFF"/>
            <w:noWrap/>
            <w:vAlign w:val="bottom"/>
            <w:hideMark/>
          </w:tcPr>
          <w:p w:rsidR="00735613" w:rsidRDefault="00735613">
            <w:pPr>
              <w:jc w:val="center"/>
              <w:rPr>
                <w:rFonts w:cs="Calibri"/>
                <w:b/>
                <w:bCs/>
                <w:szCs w:val="18"/>
              </w:rPr>
            </w:pPr>
            <w:r>
              <w:rPr>
                <w:rFonts w:cs="Calibri"/>
                <w:b/>
                <w:bCs/>
                <w:szCs w:val="18"/>
              </w:rPr>
              <w:t>Budget Estimate</w:t>
            </w:r>
          </w:p>
        </w:tc>
        <w:tc>
          <w:tcPr>
            <w:tcW w:w="941" w:type="dxa"/>
            <w:tcBorders>
              <w:top w:val="single" w:sz="4" w:space="0" w:color="auto"/>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Actual</w:t>
            </w:r>
          </w:p>
        </w:tc>
        <w:tc>
          <w:tcPr>
            <w:tcW w:w="1881" w:type="dxa"/>
            <w:gridSpan w:val="2"/>
            <w:tcBorders>
              <w:top w:val="single" w:sz="4" w:space="0" w:color="auto"/>
              <w:left w:val="nil"/>
              <w:bottom w:val="nil"/>
              <w:right w:val="nil"/>
            </w:tcBorders>
            <w:shd w:val="clear" w:color="FFFFFF" w:fill="FFFFFF"/>
            <w:noWrap/>
            <w:vAlign w:val="bottom"/>
            <w:hideMark/>
          </w:tcPr>
          <w:p w:rsidR="00735613" w:rsidRDefault="00735613">
            <w:pPr>
              <w:jc w:val="center"/>
              <w:rPr>
                <w:rFonts w:cs="Calibri"/>
                <w:b/>
                <w:bCs/>
                <w:szCs w:val="18"/>
              </w:rPr>
            </w:pPr>
            <w:r>
              <w:rPr>
                <w:rFonts w:cs="Calibri"/>
                <w:b/>
                <w:bCs/>
                <w:szCs w:val="18"/>
              </w:rPr>
              <w:t>Budget Estimate</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Actual</w:t>
            </w:r>
          </w:p>
        </w:tc>
        <w:tc>
          <w:tcPr>
            <w:tcW w:w="1882" w:type="dxa"/>
            <w:gridSpan w:val="2"/>
            <w:tcBorders>
              <w:top w:val="single" w:sz="4" w:space="0" w:color="auto"/>
              <w:left w:val="nil"/>
              <w:bottom w:val="nil"/>
              <w:right w:val="nil"/>
            </w:tcBorders>
            <w:shd w:val="clear" w:color="FFFFFF" w:fill="FFFFFF"/>
            <w:noWrap/>
            <w:vAlign w:val="bottom"/>
            <w:hideMark/>
          </w:tcPr>
          <w:p w:rsidR="00735613" w:rsidRDefault="00735613">
            <w:pPr>
              <w:jc w:val="center"/>
              <w:rPr>
                <w:rFonts w:cs="Calibri"/>
                <w:b/>
                <w:bCs/>
                <w:szCs w:val="18"/>
              </w:rPr>
            </w:pPr>
            <w:r>
              <w:rPr>
                <w:rFonts w:cs="Calibri"/>
                <w:b/>
                <w:bCs/>
                <w:szCs w:val="18"/>
              </w:rPr>
              <w:t>Budget Estimate</w:t>
            </w:r>
          </w:p>
        </w:tc>
      </w:tr>
      <w:tr w:rsidR="00735613" w:rsidTr="00735613">
        <w:trPr>
          <w:trHeight w:val="285"/>
        </w:trPr>
        <w:tc>
          <w:tcPr>
            <w:tcW w:w="3446" w:type="dxa"/>
            <w:tcBorders>
              <w:top w:val="nil"/>
              <w:left w:val="nil"/>
              <w:bottom w:val="nil"/>
              <w:right w:val="nil"/>
            </w:tcBorders>
            <w:shd w:val="clear" w:color="FFFFFF" w:fill="FFFFFF"/>
            <w:noWrap/>
            <w:vAlign w:val="bottom"/>
            <w:hideMark/>
          </w:tcPr>
          <w:p w:rsidR="00735613" w:rsidRDefault="00735613" w:rsidP="00735613">
            <w:pPr>
              <w:rPr>
                <w:rFonts w:ascii="Arial" w:hAnsi="Arial" w:cs="Arial"/>
                <w:szCs w:val="18"/>
              </w:rPr>
            </w:pPr>
            <w:r>
              <w:rPr>
                <w:rFonts w:ascii="Arial" w:hAnsi="Arial" w:cs="Arial"/>
                <w:szCs w:val="18"/>
              </w:rPr>
              <w:t> </w:t>
            </w:r>
          </w:p>
        </w:tc>
        <w:tc>
          <w:tcPr>
            <w:tcW w:w="941"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941"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Original</w:t>
            </w:r>
            <w:r>
              <w:rPr>
                <w:rFonts w:cs="Calibri"/>
                <w:b/>
                <w:bCs/>
                <w:szCs w:val="18"/>
                <w:vertAlign w:val="superscript"/>
              </w:rPr>
              <w:t>1</w:t>
            </w:r>
          </w:p>
        </w:tc>
        <w:tc>
          <w:tcPr>
            <w:tcW w:w="941"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Variance</w:t>
            </w:r>
            <w:r>
              <w:rPr>
                <w:rFonts w:cs="Calibri"/>
                <w:szCs w:val="18"/>
                <w:vertAlign w:val="superscript"/>
              </w:rPr>
              <w:t>2</w:t>
            </w:r>
          </w:p>
        </w:tc>
        <w:tc>
          <w:tcPr>
            <w:tcW w:w="941"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941"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Original</w:t>
            </w:r>
            <w:r>
              <w:rPr>
                <w:rFonts w:cs="Calibri"/>
                <w:b/>
                <w:bCs/>
                <w:szCs w:val="18"/>
                <w:vertAlign w:val="superscript"/>
              </w:rPr>
              <w:t>1</w:t>
            </w:r>
          </w:p>
        </w:tc>
        <w:tc>
          <w:tcPr>
            <w:tcW w:w="940"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Variance</w:t>
            </w:r>
            <w:r>
              <w:rPr>
                <w:rFonts w:cs="Calibri"/>
                <w:szCs w:val="18"/>
                <w:vertAlign w:val="superscript"/>
              </w:rPr>
              <w:t>2</w:t>
            </w:r>
          </w:p>
        </w:tc>
        <w:tc>
          <w:tcPr>
            <w:tcW w:w="941"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941"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Original</w:t>
            </w:r>
            <w:r>
              <w:rPr>
                <w:rFonts w:cs="Calibri"/>
                <w:b/>
                <w:bCs/>
                <w:szCs w:val="18"/>
                <w:vertAlign w:val="superscript"/>
              </w:rPr>
              <w:t>1</w:t>
            </w:r>
          </w:p>
        </w:tc>
        <w:tc>
          <w:tcPr>
            <w:tcW w:w="940"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Variance</w:t>
            </w:r>
            <w:r>
              <w:rPr>
                <w:rFonts w:cs="Calibri"/>
                <w:szCs w:val="18"/>
                <w:vertAlign w:val="superscript"/>
              </w:rPr>
              <w:t>2</w:t>
            </w:r>
          </w:p>
        </w:tc>
        <w:tc>
          <w:tcPr>
            <w:tcW w:w="940"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941"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Original</w:t>
            </w:r>
            <w:r>
              <w:rPr>
                <w:rFonts w:cs="Calibri"/>
                <w:b/>
                <w:bCs/>
                <w:szCs w:val="18"/>
                <w:vertAlign w:val="superscript"/>
              </w:rPr>
              <w:t>1</w:t>
            </w:r>
          </w:p>
        </w:tc>
        <w:tc>
          <w:tcPr>
            <w:tcW w:w="941"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Variance</w:t>
            </w:r>
            <w:r>
              <w:rPr>
                <w:rFonts w:cs="Calibri"/>
                <w:szCs w:val="18"/>
                <w:vertAlign w:val="superscript"/>
              </w:rPr>
              <w:t>2</w:t>
            </w:r>
          </w:p>
        </w:tc>
      </w:tr>
      <w:tr w:rsidR="00735613" w:rsidTr="00735613">
        <w:trPr>
          <w:trHeight w:val="255"/>
        </w:trPr>
        <w:tc>
          <w:tcPr>
            <w:tcW w:w="3446" w:type="dxa"/>
            <w:tcBorders>
              <w:top w:val="nil"/>
              <w:left w:val="nil"/>
              <w:bottom w:val="nil"/>
              <w:right w:val="nil"/>
            </w:tcBorders>
            <w:shd w:val="clear" w:color="FFFFFF" w:fill="FFFFFF"/>
            <w:noWrap/>
            <w:vAlign w:val="bottom"/>
            <w:hideMark/>
          </w:tcPr>
          <w:p w:rsidR="00735613" w:rsidRDefault="00735613" w:rsidP="00735613">
            <w:pPr>
              <w:rPr>
                <w:rFonts w:ascii="Arial" w:hAnsi="Arial" w:cs="Arial"/>
                <w:szCs w:val="18"/>
              </w:rPr>
            </w:pPr>
            <w:r>
              <w:rPr>
                <w:rFonts w:ascii="Arial" w:hAnsi="Arial" w:cs="Arial"/>
                <w:szCs w:val="18"/>
              </w:rPr>
              <w:t> </w:t>
            </w:r>
          </w:p>
        </w:tc>
        <w:tc>
          <w:tcPr>
            <w:tcW w:w="941" w:type="dxa"/>
            <w:tcBorders>
              <w:top w:val="nil"/>
              <w:left w:val="nil"/>
              <w:bottom w:val="nil"/>
              <w:right w:val="nil"/>
            </w:tcBorders>
            <w:shd w:val="clear" w:color="FFFFFF" w:fill="FFFFFF"/>
            <w:vAlign w:val="bottom"/>
            <w:hideMark/>
          </w:tcPr>
          <w:p w:rsidR="00735613" w:rsidRDefault="00735613">
            <w:pPr>
              <w:jc w:val="right"/>
              <w:rPr>
                <w:rFonts w:cs="Calibri"/>
                <w:b/>
                <w:bCs/>
                <w:szCs w:val="18"/>
              </w:rPr>
            </w:pPr>
            <w:r>
              <w:rPr>
                <w:rFonts w:cs="Calibri"/>
                <w:b/>
                <w:bCs/>
                <w:szCs w:val="18"/>
              </w:rPr>
              <w:t>2015</w:t>
            </w:r>
          </w:p>
        </w:tc>
        <w:tc>
          <w:tcPr>
            <w:tcW w:w="941" w:type="dxa"/>
            <w:tcBorders>
              <w:top w:val="nil"/>
              <w:left w:val="nil"/>
              <w:bottom w:val="nil"/>
              <w:right w:val="nil"/>
            </w:tcBorders>
            <w:shd w:val="clear" w:color="FFFFFF" w:fill="FFFFFF"/>
            <w:vAlign w:val="bottom"/>
            <w:hideMark/>
          </w:tcPr>
          <w:p w:rsidR="00735613" w:rsidRDefault="00735613">
            <w:pPr>
              <w:jc w:val="right"/>
              <w:rPr>
                <w:rFonts w:cs="Calibri"/>
                <w:b/>
                <w:bCs/>
                <w:szCs w:val="18"/>
              </w:rPr>
            </w:pPr>
            <w:r>
              <w:rPr>
                <w:rFonts w:cs="Calibri"/>
                <w:b/>
                <w:bCs/>
                <w:szCs w:val="18"/>
              </w:rPr>
              <w:t>2015</w:t>
            </w:r>
          </w:p>
        </w:tc>
        <w:tc>
          <w:tcPr>
            <w:tcW w:w="941" w:type="dxa"/>
            <w:tcBorders>
              <w:top w:val="nil"/>
              <w:left w:val="nil"/>
              <w:bottom w:val="nil"/>
              <w:right w:val="nil"/>
            </w:tcBorders>
            <w:shd w:val="clear" w:color="FFFFFF" w:fill="FFFFFF"/>
            <w:vAlign w:val="bottom"/>
            <w:hideMark/>
          </w:tcPr>
          <w:p w:rsidR="00735613" w:rsidRDefault="00735613">
            <w:pPr>
              <w:jc w:val="right"/>
              <w:rPr>
                <w:rFonts w:cs="Calibri"/>
                <w:szCs w:val="18"/>
              </w:rPr>
            </w:pPr>
            <w:r>
              <w:rPr>
                <w:rFonts w:cs="Calibri"/>
                <w:szCs w:val="18"/>
              </w:rPr>
              <w:t>2015</w:t>
            </w:r>
          </w:p>
        </w:tc>
        <w:tc>
          <w:tcPr>
            <w:tcW w:w="941" w:type="dxa"/>
            <w:tcBorders>
              <w:top w:val="nil"/>
              <w:left w:val="nil"/>
              <w:bottom w:val="nil"/>
              <w:right w:val="nil"/>
            </w:tcBorders>
            <w:shd w:val="clear" w:color="FFFFFF" w:fill="FFFFFF"/>
            <w:vAlign w:val="bottom"/>
            <w:hideMark/>
          </w:tcPr>
          <w:p w:rsidR="00735613" w:rsidRDefault="00735613">
            <w:pPr>
              <w:jc w:val="right"/>
              <w:rPr>
                <w:rFonts w:cs="Calibri"/>
                <w:b/>
                <w:bCs/>
                <w:szCs w:val="18"/>
              </w:rPr>
            </w:pPr>
            <w:r>
              <w:rPr>
                <w:rFonts w:cs="Calibri"/>
                <w:b/>
                <w:bCs/>
                <w:szCs w:val="18"/>
              </w:rPr>
              <w:t>2015</w:t>
            </w:r>
          </w:p>
        </w:tc>
        <w:tc>
          <w:tcPr>
            <w:tcW w:w="941" w:type="dxa"/>
            <w:tcBorders>
              <w:top w:val="nil"/>
              <w:left w:val="nil"/>
              <w:bottom w:val="nil"/>
              <w:right w:val="nil"/>
            </w:tcBorders>
            <w:shd w:val="clear" w:color="FFFFFF" w:fill="FFFFFF"/>
            <w:vAlign w:val="bottom"/>
            <w:hideMark/>
          </w:tcPr>
          <w:p w:rsidR="00735613" w:rsidRDefault="00735613">
            <w:pPr>
              <w:jc w:val="right"/>
              <w:rPr>
                <w:rFonts w:cs="Calibri"/>
                <w:b/>
                <w:bCs/>
                <w:szCs w:val="18"/>
              </w:rPr>
            </w:pPr>
            <w:r>
              <w:rPr>
                <w:rFonts w:cs="Calibri"/>
                <w:b/>
                <w:bCs/>
                <w:szCs w:val="18"/>
              </w:rPr>
              <w:t>2015</w:t>
            </w:r>
          </w:p>
        </w:tc>
        <w:tc>
          <w:tcPr>
            <w:tcW w:w="940" w:type="dxa"/>
            <w:tcBorders>
              <w:top w:val="nil"/>
              <w:left w:val="nil"/>
              <w:bottom w:val="nil"/>
              <w:right w:val="nil"/>
            </w:tcBorders>
            <w:shd w:val="clear" w:color="FFFFFF" w:fill="FFFFFF"/>
            <w:vAlign w:val="bottom"/>
            <w:hideMark/>
          </w:tcPr>
          <w:p w:rsidR="00735613" w:rsidRDefault="00735613">
            <w:pPr>
              <w:jc w:val="right"/>
              <w:rPr>
                <w:rFonts w:cs="Calibri"/>
                <w:szCs w:val="18"/>
              </w:rPr>
            </w:pPr>
            <w:r>
              <w:rPr>
                <w:rFonts w:cs="Calibri"/>
                <w:szCs w:val="18"/>
              </w:rPr>
              <w:t>2015</w:t>
            </w:r>
          </w:p>
        </w:tc>
        <w:tc>
          <w:tcPr>
            <w:tcW w:w="941" w:type="dxa"/>
            <w:tcBorders>
              <w:top w:val="nil"/>
              <w:left w:val="nil"/>
              <w:bottom w:val="nil"/>
              <w:right w:val="nil"/>
            </w:tcBorders>
            <w:shd w:val="clear" w:color="FFFFFF" w:fill="FFFFFF"/>
            <w:vAlign w:val="bottom"/>
            <w:hideMark/>
          </w:tcPr>
          <w:p w:rsidR="00735613" w:rsidRDefault="00735613">
            <w:pPr>
              <w:jc w:val="right"/>
              <w:rPr>
                <w:rFonts w:cs="Calibri"/>
                <w:b/>
                <w:bCs/>
                <w:szCs w:val="18"/>
              </w:rPr>
            </w:pPr>
            <w:r>
              <w:rPr>
                <w:rFonts w:cs="Calibri"/>
                <w:b/>
                <w:bCs/>
                <w:szCs w:val="18"/>
              </w:rPr>
              <w:t>2015</w:t>
            </w:r>
          </w:p>
        </w:tc>
        <w:tc>
          <w:tcPr>
            <w:tcW w:w="941" w:type="dxa"/>
            <w:tcBorders>
              <w:top w:val="nil"/>
              <w:left w:val="nil"/>
              <w:bottom w:val="nil"/>
              <w:right w:val="nil"/>
            </w:tcBorders>
            <w:shd w:val="clear" w:color="FFFFFF" w:fill="FFFFFF"/>
            <w:vAlign w:val="bottom"/>
            <w:hideMark/>
          </w:tcPr>
          <w:p w:rsidR="00735613" w:rsidRDefault="00735613">
            <w:pPr>
              <w:jc w:val="right"/>
              <w:rPr>
                <w:rFonts w:cs="Calibri"/>
                <w:b/>
                <w:bCs/>
                <w:szCs w:val="18"/>
              </w:rPr>
            </w:pPr>
            <w:r>
              <w:rPr>
                <w:rFonts w:cs="Calibri"/>
                <w:b/>
                <w:bCs/>
                <w:szCs w:val="18"/>
              </w:rPr>
              <w:t>2015</w:t>
            </w:r>
          </w:p>
        </w:tc>
        <w:tc>
          <w:tcPr>
            <w:tcW w:w="940" w:type="dxa"/>
            <w:tcBorders>
              <w:top w:val="nil"/>
              <w:left w:val="nil"/>
              <w:bottom w:val="nil"/>
              <w:right w:val="nil"/>
            </w:tcBorders>
            <w:shd w:val="clear" w:color="FFFFFF" w:fill="FFFFFF"/>
            <w:vAlign w:val="bottom"/>
            <w:hideMark/>
          </w:tcPr>
          <w:p w:rsidR="00735613" w:rsidRDefault="00735613">
            <w:pPr>
              <w:jc w:val="right"/>
              <w:rPr>
                <w:rFonts w:cs="Calibri"/>
                <w:szCs w:val="18"/>
              </w:rPr>
            </w:pPr>
            <w:r>
              <w:rPr>
                <w:rFonts w:cs="Calibri"/>
                <w:szCs w:val="18"/>
              </w:rPr>
              <w:t>2015</w:t>
            </w:r>
          </w:p>
        </w:tc>
        <w:tc>
          <w:tcPr>
            <w:tcW w:w="940" w:type="dxa"/>
            <w:tcBorders>
              <w:top w:val="nil"/>
              <w:left w:val="nil"/>
              <w:bottom w:val="nil"/>
              <w:right w:val="nil"/>
            </w:tcBorders>
            <w:shd w:val="clear" w:color="FFFFFF" w:fill="FFFFFF"/>
            <w:vAlign w:val="bottom"/>
            <w:hideMark/>
          </w:tcPr>
          <w:p w:rsidR="00735613" w:rsidRDefault="00735613">
            <w:pPr>
              <w:jc w:val="right"/>
              <w:rPr>
                <w:rFonts w:cs="Calibri"/>
                <w:b/>
                <w:bCs/>
                <w:szCs w:val="18"/>
              </w:rPr>
            </w:pPr>
            <w:r>
              <w:rPr>
                <w:rFonts w:cs="Calibri"/>
                <w:b/>
                <w:bCs/>
                <w:szCs w:val="18"/>
              </w:rPr>
              <w:t>2015</w:t>
            </w:r>
          </w:p>
        </w:tc>
        <w:tc>
          <w:tcPr>
            <w:tcW w:w="941" w:type="dxa"/>
            <w:tcBorders>
              <w:top w:val="nil"/>
              <w:left w:val="nil"/>
              <w:bottom w:val="nil"/>
              <w:right w:val="nil"/>
            </w:tcBorders>
            <w:shd w:val="clear" w:color="FFFFFF" w:fill="FFFFFF"/>
            <w:vAlign w:val="bottom"/>
            <w:hideMark/>
          </w:tcPr>
          <w:p w:rsidR="00735613" w:rsidRDefault="00735613">
            <w:pPr>
              <w:jc w:val="right"/>
              <w:rPr>
                <w:rFonts w:cs="Calibri"/>
                <w:b/>
                <w:bCs/>
                <w:szCs w:val="18"/>
              </w:rPr>
            </w:pPr>
            <w:r>
              <w:rPr>
                <w:rFonts w:cs="Calibri"/>
                <w:b/>
                <w:bCs/>
                <w:szCs w:val="18"/>
              </w:rPr>
              <w:t>2015</w:t>
            </w:r>
          </w:p>
        </w:tc>
        <w:tc>
          <w:tcPr>
            <w:tcW w:w="941" w:type="dxa"/>
            <w:tcBorders>
              <w:top w:val="nil"/>
              <w:left w:val="nil"/>
              <w:bottom w:val="nil"/>
              <w:right w:val="nil"/>
            </w:tcBorders>
            <w:shd w:val="clear" w:color="FFFFFF" w:fill="FFFFFF"/>
            <w:vAlign w:val="bottom"/>
            <w:hideMark/>
          </w:tcPr>
          <w:p w:rsidR="00735613" w:rsidRDefault="00735613">
            <w:pPr>
              <w:jc w:val="right"/>
              <w:rPr>
                <w:rFonts w:cs="Calibri"/>
                <w:szCs w:val="18"/>
              </w:rPr>
            </w:pPr>
            <w:r>
              <w:rPr>
                <w:rFonts w:cs="Calibri"/>
                <w:szCs w:val="18"/>
              </w:rPr>
              <w:t>2015</w:t>
            </w:r>
          </w:p>
        </w:tc>
      </w:tr>
      <w:tr w:rsidR="00735613" w:rsidTr="00735613">
        <w:trPr>
          <w:trHeight w:val="255"/>
        </w:trPr>
        <w:tc>
          <w:tcPr>
            <w:tcW w:w="3446" w:type="dxa"/>
            <w:tcBorders>
              <w:top w:val="nil"/>
              <w:left w:val="nil"/>
              <w:bottom w:val="single" w:sz="4" w:space="0" w:color="auto"/>
              <w:right w:val="nil"/>
            </w:tcBorders>
            <w:shd w:val="clear" w:color="FFFFFF" w:fill="FFFFFF"/>
            <w:noWrap/>
            <w:vAlign w:val="bottom"/>
            <w:hideMark/>
          </w:tcPr>
          <w:p w:rsidR="00735613" w:rsidRDefault="00735613" w:rsidP="00735613">
            <w:pPr>
              <w:rPr>
                <w:rFonts w:ascii="Arial" w:hAnsi="Arial" w:cs="Arial"/>
                <w:szCs w:val="18"/>
              </w:rPr>
            </w:pPr>
            <w:r>
              <w:rPr>
                <w:rFonts w:ascii="Arial" w:hAnsi="Arial" w:cs="Arial"/>
                <w:szCs w:val="18"/>
              </w:rPr>
              <w:t> </w:t>
            </w:r>
          </w:p>
        </w:tc>
        <w:tc>
          <w:tcPr>
            <w:tcW w:w="941" w:type="dxa"/>
            <w:tcBorders>
              <w:top w:val="nil"/>
              <w:left w:val="nil"/>
              <w:bottom w:val="single" w:sz="4" w:space="0" w:color="auto"/>
              <w:right w:val="nil"/>
            </w:tcBorders>
            <w:shd w:val="clear" w:color="FFFFFF" w:fill="FFFFFF"/>
            <w:vAlign w:val="bottom"/>
            <w:hideMark/>
          </w:tcPr>
          <w:p w:rsidR="00735613" w:rsidRDefault="00735613">
            <w:pPr>
              <w:jc w:val="right"/>
              <w:rPr>
                <w:rFonts w:cs="Calibri"/>
                <w:b/>
                <w:bCs/>
                <w:szCs w:val="18"/>
              </w:rPr>
            </w:pPr>
            <w:r>
              <w:rPr>
                <w:rFonts w:cs="Calibri"/>
                <w:b/>
                <w:bCs/>
                <w:szCs w:val="18"/>
              </w:rPr>
              <w:t>$'000</w:t>
            </w:r>
          </w:p>
        </w:tc>
        <w:tc>
          <w:tcPr>
            <w:tcW w:w="941" w:type="dxa"/>
            <w:tcBorders>
              <w:top w:val="nil"/>
              <w:left w:val="nil"/>
              <w:bottom w:val="single" w:sz="4" w:space="0" w:color="auto"/>
              <w:right w:val="nil"/>
            </w:tcBorders>
            <w:shd w:val="clear" w:color="FFFFFF" w:fill="FFFFFF"/>
            <w:vAlign w:val="bottom"/>
            <w:hideMark/>
          </w:tcPr>
          <w:p w:rsidR="00735613" w:rsidRDefault="00735613">
            <w:pPr>
              <w:jc w:val="right"/>
              <w:rPr>
                <w:rFonts w:cs="Calibri"/>
                <w:b/>
                <w:bCs/>
                <w:szCs w:val="18"/>
              </w:rPr>
            </w:pPr>
            <w:r>
              <w:rPr>
                <w:rFonts w:cs="Calibri"/>
                <w:b/>
                <w:bCs/>
                <w:szCs w:val="18"/>
              </w:rPr>
              <w:t>$'000</w:t>
            </w:r>
          </w:p>
        </w:tc>
        <w:tc>
          <w:tcPr>
            <w:tcW w:w="941" w:type="dxa"/>
            <w:tcBorders>
              <w:top w:val="nil"/>
              <w:left w:val="nil"/>
              <w:bottom w:val="single" w:sz="4" w:space="0" w:color="auto"/>
              <w:right w:val="nil"/>
            </w:tcBorders>
            <w:shd w:val="clear" w:color="FFFFFF" w:fill="FFFFFF"/>
            <w:vAlign w:val="bottom"/>
            <w:hideMark/>
          </w:tcPr>
          <w:p w:rsidR="00735613" w:rsidRDefault="00735613">
            <w:pPr>
              <w:jc w:val="right"/>
              <w:rPr>
                <w:rFonts w:cs="Calibri"/>
                <w:szCs w:val="18"/>
              </w:rPr>
            </w:pPr>
            <w:r>
              <w:rPr>
                <w:rFonts w:cs="Calibri"/>
                <w:szCs w:val="18"/>
              </w:rPr>
              <w:t>$'000</w:t>
            </w:r>
          </w:p>
        </w:tc>
        <w:tc>
          <w:tcPr>
            <w:tcW w:w="941" w:type="dxa"/>
            <w:tcBorders>
              <w:top w:val="nil"/>
              <w:left w:val="nil"/>
              <w:bottom w:val="single" w:sz="4" w:space="0" w:color="auto"/>
              <w:right w:val="nil"/>
            </w:tcBorders>
            <w:shd w:val="clear" w:color="FFFFFF" w:fill="FFFFFF"/>
            <w:vAlign w:val="bottom"/>
            <w:hideMark/>
          </w:tcPr>
          <w:p w:rsidR="00735613" w:rsidRDefault="00735613">
            <w:pPr>
              <w:jc w:val="right"/>
              <w:rPr>
                <w:rFonts w:cs="Calibri"/>
                <w:b/>
                <w:bCs/>
                <w:szCs w:val="18"/>
              </w:rPr>
            </w:pPr>
            <w:r>
              <w:rPr>
                <w:rFonts w:cs="Calibri"/>
                <w:b/>
                <w:bCs/>
                <w:szCs w:val="18"/>
              </w:rPr>
              <w:t>$'000</w:t>
            </w:r>
          </w:p>
        </w:tc>
        <w:tc>
          <w:tcPr>
            <w:tcW w:w="941" w:type="dxa"/>
            <w:tcBorders>
              <w:top w:val="nil"/>
              <w:left w:val="nil"/>
              <w:bottom w:val="single" w:sz="4" w:space="0" w:color="auto"/>
              <w:right w:val="nil"/>
            </w:tcBorders>
            <w:shd w:val="clear" w:color="FFFFFF" w:fill="FFFFFF"/>
            <w:vAlign w:val="bottom"/>
            <w:hideMark/>
          </w:tcPr>
          <w:p w:rsidR="00735613" w:rsidRDefault="00735613">
            <w:pPr>
              <w:jc w:val="right"/>
              <w:rPr>
                <w:rFonts w:cs="Calibri"/>
                <w:b/>
                <w:bCs/>
                <w:szCs w:val="18"/>
              </w:rPr>
            </w:pPr>
            <w:r>
              <w:rPr>
                <w:rFonts w:cs="Calibri"/>
                <w:b/>
                <w:bCs/>
                <w:szCs w:val="18"/>
              </w:rPr>
              <w:t>$'000</w:t>
            </w:r>
          </w:p>
        </w:tc>
        <w:tc>
          <w:tcPr>
            <w:tcW w:w="940" w:type="dxa"/>
            <w:tcBorders>
              <w:top w:val="nil"/>
              <w:left w:val="nil"/>
              <w:bottom w:val="single" w:sz="4" w:space="0" w:color="auto"/>
              <w:right w:val="nil"/>
            </w:tcBorders>
            <w:shd w:val="clear" w:color="FFFFFF" w:fill="FFFFFF"/>
            <w:vAlign w:val="bottom"/>
            <w:hideMark/>
          </w:tcPr>
          <w:p w:rsidR="00735613" w:rsidRDefault="00735613">
            <w:pPr>
              <w:jc w:val="right"/>
              <w:rPr>
                <w:rFonts w:cs="Calibri"/>
                <w:szCs w:val="18"/>
              </w:rPr>
            </w:pPr>
            <w:r>
              <w:rPr>
                <w:rFonts w:cs="Calibri"/>
                <w:szCs w:val="18"/>
              </w:rPr>
              <w:t>$'000</w:t>
            </w:r>
          </w:p>
        </w:tc>
        <w:tc>
          <w:tcPr>
            <w:tcW w:w="941" w:type="dxa"/>
            <w:tcBorders>
              <w:top w:val="nil"/>
              <w:left w:val="nil"/>
              <w:bottom w:val="single" w:sz="4" w:space="0" w:color="auto"/>
              <w:right w:val="nil"/>
            </w:tcBorders>
            <w:shd w:val="clear" w:color="FFFFFF" w:fill="FFFFFF"/>
            <w:vAlign w:val="bottom"/>
            <w:hideMark/>
          </w:tcPr>
          <w:p w:rsidR="00735613" w:rsidRDefault="00735613">
            <w:pPr>
              <w:jc w:val="right"/>
              <w:rPr>
                <w:rFonts w:cs="Calibri"/>
                <w:b/>
                <w:bCs/>
                <w:szCs w:val="18"/>
              </w:rPr>
            </w:pPr>
            <w:r>
              <w:rPr>
                <w:rFonts w:cs="Calibri"/>
                <w:b/>
                <w:bCs/>
                <w:szCs w:val="18"/>
              </w:rPr>
              <w:t>$'000</w:t>
            </w:r>
          </w:p>
        </w:tc>
        <w:tc>
          <w:tcPr>
            <w:tcW w:w="941" w:type="dxa"/>
            <w:tcBorders>
              <w:top w:val="nil"/>
              <w:left w:val="nil"/>
              <w:bottom w:val="single" w:sz="4" w:space="0" w:color="auto"/>
              <w:right w:val="nil"/>
            </w:tcBorders>
            <w:shd w:val="clear" w:color="FFFFFF" w:fill="FFFFFF"/>
            <w:vAlign w:val="bottom"/>
            <w:hideMark/>
          </w:tcPr>
          <w:p w:rsidR="00735613" w:rsidRDefault="00735613">
            <w:pPr>
              <w:jc w:val="right"/>
              <w:rPr>
                <w:rFonts w:cs="Calibri"/>
                <w:b/>
                <w:bCs/>
                <w:szCs w:val="18"/>
              </w:rPr>
            </w:pPr>
            <w:r>
              <w:rPr>
                <w:rFonts w:cs="Calibri"/>
                <w:b/>
                <w:bCs/>
                <w:szCs w:val="18"/>
              </w:rPr>
              <w:t>$'000</w:t>
            </w:r>
          </w:p>
        </w:tc>
        <w:tc>
          <w:tcPr>
            <w:tcW w:w="940" w:type="dxa"/>
            <w:tcBorders>
              <w:top w:val="nil"/>
              <w:left w:val="nil"/>
              <w:bottom w:val="single" w:sz="4" w:space="0" w:color="auto"/>
              <w:right w:val="nil"/>
            </w:tcBorders>
            <w:shd w:val="clear" w:color="FFFFFF" w:fill="FFFFFF"/>
            <w:vAlign w:val="bottom"/>
            <w:hideMark/>
          </w:tcPr>
          <w:p w:rsidR="00735613" w:rsidRDefault="00735613">
            <w:pPr>
              <w:jc w:val="right"/>
              <w:rPr>
                <w:rFonts w:cs="Calibri"/>
                <w:szCs w:val="18"/>
              </w:rPr>
            </w:pPr>
            <w:r>
              <w:rPr>
                <w:rFonts w:cs="Calibri"/>
                <w:szCs w:val="18"/>
              </w:rPr>
              <w:t>$'000</w:t>
            </w:r>
          </w:p>
        </w:tc>
        <w:tc>
          <w:tcPr>
            <w:tcW w:w="940" w:type="dxa"/>
            <w:tcBorders>
              <w:top w:val="nil"/>
              <w:left w:val="nil"/>
              <w:bottom w:val="single" w:sz="4" w:space="0" w:color="auto"/>
              <w:right w:val="nil"/>
            </w:tcBorders>
            <w:shd w:val="clear" w:color="FFFFFF" w:fill="FFFFFF"/>
            <w:vAlign w:val="bottom"/>
            <w:hideMark/>
          </w:tcPr>
          <w:p w:rsidR="00735613" w:rsidRDefault="00735613">
            <w:pPr>
              <w:jc w:val="right"/>
              <w:rPr>
                <w:rFonts w:cs="Calibri"/>
                <w:b/>
                <w:bCs/>
                <w:szCs w:val="18"/>
              </w:rPr>
            </w:pPr>
            <w:r>
              <w:rPr>
                <w:rFonts w:cs="Calibri"/>
                <w:b/>
                <w:bCs/>
                <w:szCs w:val="18"/>
              </w:rPr>
              <w:t>$'000</w:t>
            </w:r>
          </w:p>
        </w:tc>
        <w:tc>
          <w:tcPr>
            <w:tcW w:w="941" w:type="dxa"/>
            <w:tcBorders>
              <w:top w:val="nil"/>
              <w:left w:val="nil"/>
              <w:bottom w:val="single" w:sz="4" w:space="0" w:color="auto"/>
              <w:right w:val="nil"/>
            </w:tcBorders>
            <w:shd w:val="clear" w:color="FFFFFF" w:fill="FFFFFF"/>
            <w:vAlign w:val="bottom"/>
            <w:hideMark/>
          </w:tcPr>
          <w:p w:rsidR="00735613" w:rsidRDefault="00735613">
            <w:pPr>
              <w:jc w:val="right"/>
              <w:rPr>
                <w:rFonts w:cs="Calibri"/>
                <w:b/>
                <w:bCs/>
                <w:szCs w:val="18"/>
              </w:rPr>
            </w:pPr>
            <w:r>
              <w:rPr>
                <w:rFonts w:cs="Calibri"/>
                <w:b/>
                <w:bCs/>
                <w:szCs w:val="18"/>
              </w:rPr>
              <w:t>$'000</w:t>
            </w:r>
          </w:p>
        </w:tc>
        <w:tc>
          <w:tcPr>
            <w:tcW w:w="941" w:type="dxa"/>
            <w:tcBorders>
              <w:top w:val="nil"/>
              <w:left w:val="nil"/>
              <w:bottom w:val="single" w:sz="4" w:space="0" w:color="auto"/>
              <w:right w:val="nil"/>
            </w:tcBorders>
            <w:shd w:val="clear" w:color="FFFFFF" w:fill="FFFFFF"/>
            <w:vAlign w:val="bottom"/>
            <w:hideMark/>
          </w:tcPr>
          <w:p w:rsidR="00735613" w:rsidRDefault="00735613">
            <w:pPr>
              <w:jc w:val="right"/>
              <w:rPr>
                <w:rFonts w:cs="Calibri"/>
                <w:szCs w:val="18"/>
              </w:rPr>
            </w:pPr>
            <w:r>
              <w:rPr>
                <w:rFonts w:cs="Calibri"/>
                <w:szCs w:val="18"/>
              </w:rPr>
              <w:t>$'000</w:t>
            </w:r>
          </w:p>
        </w:tc>
      </w:tr>
      <w:tr w:rsidR="00735613" w:rsidTr="00735613">
        <w:trPr>
          <w:trHeight w:val="255"/>
        </w:trPr>
        <w:tc>
          <w:tcPr>
            <w:tcW w:w="3446" w:type="dxa"/>
            <w:tcBorders>
              <w:top w:val="nil"/>
              <w:left w:val="nil"/>
              <w:bottom w:val="nil"/>
              <w:right w:val="nil"/>
            </w:tcBorders>
            <w:shd w:val="clear" w:color="FFFFFF" w:fill="FFFFFF"/>
            <w:vAlign w:val="bottom"/>
            <w:hideMark/>
          </w:tcPr>
          <w:p w:rsidR="00735613" w:rsidRDefault="00735613" w:rsidP="00735613">
            <w:pPr>
              <w:rPr>
                <w:rFonts w:cs="Calibri"/>
                <w:b/>
                <w:bCs/>
                <w:szCs w:val="18"/>
              </w:rPr>
            </w:pPr>
            <w:r>
              <w:rPr>
                <w:rFonts w:cs="Calibri"/>
                <w:b/>
                <w:bCs/>
                <w:szCs w:val="18"/>
              </w:rPr>
              <w:t>Opening balance</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0"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0"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0"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55"/>
        </w:trPr>
        <w:tc>
          <w:tcPr>
            <w:tcW w:w="3446" w:type="dxa"/>
            <w:tcBorders>
              <w:top w:val="nil"/>
              <w:left w:val="nil"/>
              <w:bottom w:val="nil"/>
              <w:right w:val="nil"/>
            </w:tcBorders>
            <w:shd w:val="clear" w:color="FFFFFF" w:fill="FFFFFF"/>
            <w:vAlign w:val="bottom"/>
            <w:hideMark/>
          </w:tcPr>
          <w:p w:rsidR="00735613" w:rsidRDefault="00735613" w:rsidP="00735613">
            <w:pPr>
              <w:rPr>
                <w:rFonts w:cs="Calibri"/>
                <w:szCs w:val="18"/>
              </w:rPr>
            </w:pPr>
            <w:r>
              <w:rPr>
                <w:rFonts w:cs="Calibri"/>
                <w:szCs w:val="18"/>
              </w:rPr>
              <w:t>Balance carried forward from previous period</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(22,538)</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(21,038)</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(1,500)</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433</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433</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95,137</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120,153 </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(25,016)</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73,032</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99,115</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(26,083)</w:t>
            </w:r>
          </w:p>
        </w:tc>
      </w:tr>
      <w:tr w:rsidR="00735613" w:rsidTr="00735613">
        <w:trPr>
          <w:trHeight w:val="255"/>
        </w:trPr>
        <w:tc>
          <w:tcPr>
            <w:tcW w:w="3446" w:type="dxa"/>
            <w:tcBorders>
              <w:top w:val="nil"/>
              <w:left w:val="nil"/>
              <w:bottom w:val="nil"/>
              <w:right w:val="nil"/>
            </w:tcBorders>
            <w:shd w:val="clear" w:color="FFFFFF" w:fill="FFFFFF"/>
            <w:vAlign w:val="bottom"/>
            <w:hideMark/>
          </w:tcPr>
          <w:p w:rsidR="00735613" w:rsidRDefault="00735613" w:rsidP="00735613">
            <w:pPr>
              <w:rPr>
                <w:rFonts w:cs="Calibri"/>
                <w:szCs w:val="18"/>
              </w:rPr>
            </w:pPr>
            <w:r>
              <w:rPr>
                <w:rFonts w:cs="Calibri"/>
                <w:szCs w:val="18"/>
              </w:rPr>
              <w:t>Adjustment for rounding</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3</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3</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3</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3</w:t>
            </w:r>
          </w:p>
        </w:tc>
      </w:tr>
      <w:tr w:rsidR="00735613" w:rsidTr="00735613">
        <w:trPr>
          <w:trHeight w:val="255"/>
        </w:trPr>
        <w:tc>
          <w:tcPr>
            <w:tcW w:w="3446" w:type="dxa"/>
            <w:tcBorders>
              <w:top w:val="single" w:sz="4" w:space="0" w:color="auto"/>
              <w:left w:val="nil"/>
              <w:bottom w:val="single" w:sz="4" w:space="0" w:color="auto"/>
              <w:right w:val="nil"/>
            </w:tcBorders>
            <w:shd w:val="clear" w:color="FFFFFF" w:fill="FFFFFF"/>
            <w:vAlign w:val="bottom"/>
            <w:hideMark/>
          </w:tcPr>
          <w:p w:rsidR="00735613" w:rsidRDefault="00735613" w:rsidP="00735613">
            <w:pPr>
              <w:rPr>
                <w:rFonts w:cs="Calibri"/>
                <w:b/>
                <w:bCs/>
                <w:szCs w:val="18"/>
              </w:rPr>
            </w:pPr>
            <w:r>
              <w:rPr>
                <w:rFonts w:cs="Calibri"/>
                <w:b/>
                <w:bCs/>
                <w:szCs w:val="18"/>
              </w:rPr>
              <w:t>Adjusted opening balance</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(22,535)</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(21,038)</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(1,497)</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433</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0"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433</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95,137</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120,153</w:t>
            </w:r>
          </w:p>
        </w:tc>
        <w:tc>
          <w:tcPr>
            <w:tcW w:w="940"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(25,016)</w:t>
            </w:r>
          </w:p>
        </w:tc>
        <w:tc>
          <w:tcPr>
            <w:tcW w:w="940"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73,035</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99,115</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(26,080)</w:t>
            </w:r>
          </w:p>
        </w:tc>
      </w:tr>
      <w:tr w:rsidR="00735613" w:rsidTr="00735613">
        <w:trPr>
          <w:trHeight w:val="255"/>
        </w:trPr>
        <w:tc>
          <w:tcPr>
            <w:tcW w:w="3446" w:type="dxa"/>
            <w:tcBorders>
              <w:top w:val="nil"/>
              <w:left w:val="nil"/>
              <w:bottom w:val="nil"/>
              <w:right w:val="nil"/>
            </w:tcBorders>
            <w:shd w:val="clear" w:color="FFFFFF" w:fill="FFFFFF"/>
            <w:vAlign w:val="bottom"/>
            <w:hideMark/>
          </w:tcPr>
          <w:p w:rsidR="00735613" w:rsidRDefault="00735613" w:rsidP="00735613">
            <w:pPr>
              <w:rPr>
                <w:rFonts w:cs="Calibri"/>
                <w:b/>
                <w:bCs/>
                <w:szCs w:val="18"/>
              </w:rPr>
            </w:pPr>
            <w:r>
              <w:rPr>
                <w:rFonts w:cs="Calibri"/>
                <w:b/>
                <w:bCs/>
                <w:szCs w:val="18"/>
              </w:rPr>
              <w:t>Comprehensive income</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sz w:val="20"/>
              </w:rPr>
            </w:pPr>
            <w:r>
              <w:rPr>
                <w:rFonts w:ascii="Arial" w:hAnsi="Arial" w:cs="Arial"/>
                <w:sz w:val="20"/>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0" w:type="dxa"/>
            <w:tcBorders>
              <w:top w:val="nil"/>
              <w:left w:val="nil"/>
              <w:bottom w:val="nil"/>
              <w:right w:val="nil"/>
            </w:tcBorders>
            <w:shd w:val="clear" w:color="FFFFFF" w:fill="FFFFFF"/>
            <w:noWrap/>
            <w:vAlign w:val="bottom"/>
            <w:hideMark/>
          </w:tcPr>
          <w:p w:rsidR="00735613" w:rsidRDefault="00735613">
            <w:pPr>
              <w:rPr>
                <w:rFonts w:ascii="Arial" w:hAnsi="Arial" w:cs="Arial"/>
                <w:sz w:val="20"/>
              </w:rPr>
            </w:pPr>
            <w:r>
              <w:rPr>
                <w:rFonts w:ascii="Arial" w:hAnsi="Arial" w:cs="Arial"/>
                <w:sz w:val="20"/>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0"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0"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480"/>
        </w:trPr>
        <w:tc>
          <w:tcPr>
            <w:tcW w:w="3446" w:type="dxa"/>
            <w:tcBorders>
              <w:top w:val="nil"/>
              <w:left w:val="nil"/>
              <w:bottom w:val="nil"/>
              <w:right w:val="nil"/>
            </w:tcBorders>
            <w:shd w:val="clear" w:color="FFFFFF" w:fill="FFFFFF"/>
            <w:vAlign w:val="bottom"/>
            <w:hideMark/>
          </w:tcPr>
          <w:p w:rsidR="00735613" w:rsidRDefault="00735613" w:rsidP="00735613">
            <w:pPr>
              <w:rPr>
                <w:rFonts w:cs="Calibri"/>
                <w:szCs w:val="18"/>
              </w:rPr>
            </w:pPr>
            <w:r>
              <w:rPr>
                <w:rFonts w:cs="Calibri"/>
                <w:szCs w:val="18"/>
              </w:rPr>
              <w:t>Other comprehensive income - changes in asset revaluation reserve</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5</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5</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5</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5</w:t>
            </w:r>
          </w:p>
        </w:tc>
      </w:tr>
      <w:tr w:rsidR="00735613" w:rsidTr="00735613">
        <w:trPr>
          <w:trHeight w:val="255"/>
        </w:trPr>
        <w:tc>
          <w:tcPr>
            <w:tcW w:w="3446" w:type="dxa"/>
            <w:tcBorders>
              <w:top w:val="nil"/>
              <w:left w:val="nil"/>
              <w:bottom w:val="nil"/>
              <w:right w:val="nil"/>
            </w:tcBorders>
            <w:shd w:val="clear" w:color="FFFFFF" w:fill="FFFFFF"/>
            <w:vAlign w:val="bottom"/>
            <w:hideMark/>
          </w:tcPr>
          <w:p w:rsidR="00735613" w:rsidRDefault="00735613" w:rsidP="00735613">
            <w:pPr>
              <w:rPr>
                <w:rFonts w:cs="Calibri"/>
                <w:szCs w:val="18"/>
              </w:rPr>
            </w:pPr>
            <w:r>
              <w:rPr>
                <w:rFonts w:cs="Calibri"/>
                <w:szCs w:val="18"/>
              </w:rPr>
              <w:t>Surplus (Deficit) for the period</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(23,595)</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(28,880)</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5,285</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(23,595)</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(28,880)</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5,285</w:t>
            </w:r>
          </w:p>
        </w:tc>
      </w:tr>
      <w:tr w:rsidR="00735613" w:rsidTr="00735613">
        <w:trPr>
          <w:trHeight w:val="255"/>
        </w:trPr>
        <w:tc>
          <w:tcPr>
            <w:tcW w:w="3446" w:type="dxa"/>
            <w:tcBorders>
              <w:top w:val="single" w:sz="4" w:space="0" w:color="auto"/>
              <w:left w:val="nil"/>
              <w:bottom w:val="single" w:sz="4" w:space="0" w:color="auto"/>
              <w:right w:val="nil"/>
            </w:tcBorders>
            <w:shd w:val="clear" w:color="FFFFFF" w:fill="FFFFFF"/>
            <w:vAlign w:val="bottom"/>
            <w:hideMark/>
          </w:tcPr>
          <w:p w:rsidR="00735613" w:rsidRDefault="00735613" w:rsidP="00735613">
            <w:pPr>
              <w:rPr>
                <w:rFonts w:cs="Calibri"/>
                <w:b/>
                <w:bCs/>
                <w:szCs w:val="18"/>
              </w:rPr>
            </w:pPr>
            <w:r>
              <w:rPr>
                <w:rFonts w:cs="Calibri"/>
                <w:b/>
                <w:bCs/>
                <w:szCs w:val="18"/>
              </w:rPr>
              <w:t>Total comprehensive income</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(23,595)</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(28,880)</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5,285</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5</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0"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5</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0"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w:t>
            </w:r>
          </w:p>
        </w:tc>
        <w:tc>
          <w:tcPr>
            <w:tcW w:w="940"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(23,590)</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(28,880)</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5,290</w:t>
            </w:r>
          </w:p>
        </w:tc>
      </w:tr>
      <w:tr w:rsidR="00735613" w:rsidTr="00735613">
        <w:trPr>
          <w:trHeight w:val="255"/>
        </w:trPr>
        <w:tc>
          <w:tcPr>
            <w:tcW w:w="3446" w:type="dxa"/>
            <w:tcBorders>
              <w:top w:val="nil"/>
              <w:left w:val="nil"/>
              <w:bottom w:val="nil"/>
              <w:right w:val="nil"/>
            </w:tcBorders>
            <w:shd w:val="clear" w:color="FFFFFF" w:fill="FFFFFF"/>
            <w:vAlign w:val="bottom"/>
            <w:hideMark/>
          </w:tcPr>
          <w:p w:rsidR="00735613" w:rsidRDefault="00735613" w:rsidP="00735613">
            <w:pPr>
              <w:rPr>
                <w:rFonts w:cs="Calibri"/>
                <w:b/>
                <w:bCs/>
                <w:szCs w:val="18"/>
              </w:rPr>
            </w:pPr>
            <w:r>
              <w:rPr>
                <w:rFonts w:cs="Calibri"/>
                <w:b/>
                <w:bCs/>
                <w:szCs w:val="18"/>
              </w:rPr>
              <w:t>Transactions with owners</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0"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0"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0"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55"/>
        </w:trPr>
        <w:tc>
          <w:tcPr>
            <w:tcW w:w="3446" w:type="dxa"/>
            <w:tcBorders>
              <w:top w:val="nil"/>
              <w:left w:val="nil"/>
              <w:bottom w:val="nil"/>
              <w:right w:val="nil"/>
            </w:tcBorders>
            <w:shd w:val="clear" w:color="FFFFFF" w:fill="FFFFFF"/>
            <w:vAlign w:val="bottom"/>
            <w:hideMark/>
          </w:tcPr>
          <w:p w:rsidR="00735613" w:rsidRDefault="00735613" w:rsidP="00735613">
            <w:pPr>
              <w:rPr>
                <w:rFonts w:cs="Calibri"/>
                <w:b/>
                <w:bCs/>
                <w:szCs w:val="18"/>
              </w:rPr>
            </w:pPr>
            <w:r>
              <w:rPr>
                <w:rFonts w:cs="Calibri"/>
                <w:b/>
                <w:bCs/>
                <w:szCs w:val="18"/>
              </w:rPr>
              <w:t>Distributions to owners</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0"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0"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0"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55"/>
        </w:trPr>
        <w:tc>
          <w:tcPr>
            <w:tcW w:w="3446" w:type="dxa"/>
            <w:tcBorders>
              <w:top w:val="nil"/>
              <w:left w:val="nil"/>
              <w:bottom w:val="nil"/>
              <w:right w:val="nil"/>
            </w:tcBorders>
            <w:shd w:val="clear" w:color="FFFFFF" w:fill="FFFFFF"/>
            <w:vAlign w:val="bottom"/>
            <w:hideMark/>
          </w:tcPr>
          <w:p w:rsidR="00735613" w:rsidRDefault="00735613" w:rsidP="00735613">
            <w:pPr>
              <w:rPr>
                <w:rFonts w:cs="Calibri"/>
                <w:szCs w:val="18"/>
              </w:rPr>
            </w:pPr>
            <w:r>
              <w:rPr>
                <w:rFonts w:cs="Calibri"/>
                <w:szCs w:val="18"/>
              </w:rPr>
              <w:t>Returns of capital:</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0"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85"/>
        </w:trPr>
        <w:tc>
          <w:tcPr>
            <w:tcW w:w="3446" w:type="dxa"/>
            <w:tcBorders>
              <w:top w:val="nil"/>
              <w:left w:val="nil"/>
              <w:bottom w:val="nil"/>
              <w:right w:val="nil"/>
            </w:tcBorders>
            <w:shd w:val="clear" w:color="FFFFFF" w:fill="FFFFFF"/>
            <w:noWrap/>
            <w:vAlign w:val="bottom"/>
            <w:hideMark/>
          </w:tcPr>
          <w:p w:rsidR="00735613" w:rsidRDefault="00735613" w:rsidP="00735613">
            <w:pPr>
              <w:ind w:leftChars="100" w:left="180"/>
              <w:rPr>
                <w:rFonts w:cs="Calibri"/>
                <w:szCs w:val="18"/>
              </w:rPr>
            </w:pPr>
            <w:r>
              <w:rPr>
                <w:rFonts w:cs="Calibri"/>
                <w:szCs w:val="18"/>
              </w:rPr>
              <w:t>Restructuring (Note 10)</w:t>
            </w:r>
            <w:r>
              <w:rPr>
                <w:rFonts w:cs="Calibri"/>
                <w:szCs w:val="18"/>
                <w:vertAlign w:val="superscript"/>
              </w:rPr>
              <w:t>10</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24,557</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24,557</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24,557</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24,557</w:t>
            </w:r>
          </w:p>
        </w:tc>
      </w:tr>
      <w:tr w:rsidR="00735613" w:rsidTr="00735613">
        <w:trPr>
          <w:trHeight w:val="255"/>
        </w:trPr>
        <w:tc>
          <w:tcPr>
            <w:tcW w:w="3446" w:type="dxa"/>
            <w:tcBorders>
              <w:top w:val="nil"/>
              <w:left w:val="nil"/>
              <w:bottom w:val="nil"/>
              <w:right w:val="nil"/>
            </w:tcBorders>
            <w:shd w:val="clear" w:color="FFFFFF" w:fill="FFFFFF"/>
            <w:vAlign w:val="bottom"/>
            <w:hideMark/>
          </w:tcPr>
          <w:p w:rsidR="00735613" w:rsidRDefault="00735613" w:rsidP="00735613">
            <w:pPr>
              <w:rPr>
                <w:rFonts w:cs="Calibri"/>
                <w:b/>
                <w:bCs/>
                <w:szCs w:val="18"/>
              </w:rPr>
            </w:pPr>
            <w:r>
              <w:rPr>
                <w:rFonts w:cs="Calibri"/>
                <w:b/>
                <w:bCs/>
                <w:szCs w:val="18"/>
              </w:rPr>
              <w:t>Contributions by owners</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0"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rPr>
                <w:rFonts w:ascii="Arial" w:hAnsi="Arial" w:cs="Arial"/>
                <w:b/>
                <w:bCs/>
                <w:szCs w:val="18"/>
              </w:rPr>
            </w:pPr>
            <w:r>
              <w:rPr>
                <w:rFonts w:ascii="Arial" w:hAnsi="Arial" w:cs="Arial"/>
                <w:b/>
                <w:bCs/>
                <w:szCs w:val="18"/>
              </w:rPr>
              <w:t> </w:t>
            </w:r>
          </w:p>
        </w:tc>
        <w:tc>
          <w:tcPr>
            <w:tcW w:w="940"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55"/>
        </w:trPr>
        <w:tc>
          <w:tcPr>
            <w:tcW w:w="3446" w:type="dxa"/>
            <w:tcBorders>
              <w:top w:val="nil"/>
              <w:left w:val="nil"/>
              <w:bottom w:val="nil"/>
              <w:right w:val="nil"/>
            </w:tcBorders>
            <w:shd w:val="clear" w:color="FFFFFF" w:fill="FFFFFF"/>
            <w:vAlign w:val="bottom"/>
            <w:hideMark/>
          </w:tcPr>
          <w:p w:rsidR="00735613" w:rsidRDefault="00735613" w:rsidP="00735613">
            <w:pPr>
              <w:rPr>
                <w:rFonts w:cs="Calibri"/>
                <w:szCs w:val="18"/>
              </w:rPr>
            </w:pPr>
            <w:r>
              <w:rPr>
                <w:rFonts w:cs="Calibri"/>
                <w:szCs w:val="18"/>
              </w:rPr>
              <w:t>Equity injection - Appropriation</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3,489</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3,189 </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300</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3,489</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3,189</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300</w:t>
            </w:r>
          </w:p>
        </w:tc>
      </w:tr>
      <w:tr w:rsidR="00735613" w:rsidTr="00735613">
        <w:trPr>
          <w:trHeight w:val="285"/>
        </w:trPr>
        <w:tc>
          <w:tcPr>
            <w:tcW w:w="3446" w:type="dxa"/>
            <w:tcBorders>
              <w:top w:val="nil"/>
              <w:left w:val="nil"/>
              <w:bottom w:val="nil"/>
              <w:right w:val="nil"/>
            </w:tcBorders>
            <w:shd w:val="clear" w:color="FFFFFF" w:fill="FFFFFF"/>
            <w:vAlign w:val="bottom"/>
            <w:hideMark/>
          </w:tcPr>
          <w:p w:rsidR="00735613" w:rsidRDefault="00735613" w:rsidP="00735613">
            <w:pPr>
              <w:rPr>
                <w:rFonts w:cs="Calibri"/>
                <w:szCs w:val="18"/>
              </w:rPr>
            </w:pPr>
            <w:r>
              <w:rPr>
                <w:rFonts w:cs="Calibri"/>
                <w:szCs w:val="18"/>
              </w:rPr>
              <w:t>Departmental capital budget</w:t>
            </w:r>
            <w:r>
              <w:rPr>
                <w:rFonts w:cs="Calibri"/>
                <w:szCs w:val="18"/>
                <w:vertAlign w:val="superscript"/>
              </w:rPr>
              <w:t>10</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18,686</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22,536 </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(3,850)</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18,686</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22,536</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(3,850)</w:t>
            </w:r>
          </w:p>
        </w:tc>
      </w:tr>
      <w:tr w:rsidR="00735613" w:rsidTr="00735613">
        <w:trPr>
          <w:trHeight w:val="285"/>
        </w:trPr>
        <w:tc>
          <w:tcPr>
            <w:tcW w:w="3446" w:type="dxa"/>
            <w:tcBorders>
              <w:top w:val="nil"/>
              <w:left w:val="nil"/>
              <w:bottom w:val="nil"/>
              <w:right w:val="nil"/>
            </w:tcBorders>
            <w:shd w:val="clear" w:color="FFFFFF" w:fill="FFFFFF"/>
            <w:vAlign w:val="bottom"/>
            <w:hideMark/>
          </w:tcPr>
          <w:p w:rsidR="00735613" w:rsidRDefault="00735613" w:rsidP="00735613">
            <w:pPr>
              <w:rPr>
                <w:rFonts w:cs="Calibri"/>
                <w:szCs w:val="18"/>
              </w:rPr>
            </w:pPr>
            <w:r>
              <w:rPr>
                <w:rFonts w:cs="Calibri"/>
                <w:szCs w:val="18"/>
              </w:rPr>
              <w:t>Restructuring (Note 10)</w:t>
            </w:r>
            <w:r>
              <w:rPr>
                <w:rFonts w:cs="Calibri"/>
                <w:szCs w:val="18"/>
                <w:vertAlign w:val="superscript"/>
              </w:rPr>
              <w:t>10</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(7,021)</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(7,021)</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(7,021)</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(7,021)</w:t>
            </w:r>
          </w:p>
        </w:tc>
      </w:tr>
      <w:tr w:rsidR="00735613" w:rsidTr="00735613">
        <w:trPr>
          <w:trHeight w:val="255"/>
        </w:trPr>
        <w:tc>
          <w:tcPr>
            <w:tcW w:w="3446" w:type="dxa"/>
            <w:tcBorders>
              <w:top w:val="single" w:sz="4" w:space="0" w:color="auto"/>
              <w:left w:val="nil"/>
              <w:bottom w:val="single" w:sz="4" w:space="0" w:color="auto"/>
              <w:right w:val="nil"/>
            </w:tcBorders>
            <w:shd w:val="clear" w:color="FFFFFF" w:fill="FFFFFF"/>
            <w:vAlign w:val="bottom"/>
            <w:hideMark/>
          </w:tcPr>
          <w:p w:rsidR="00735613" w:rsidRDefault="00735613" w:rsidP="00735613">
            <w:pPr>
              <w:rPr>
                <w:rFonts w:cs="Calibri"/>
                <w:b/>
                <w:bCs/>
                <w:szCs w:val="18"/>
              </w:rPr>
            </w:pPr>
            <w:r>
              <w:rPr>
                <w:rFonts w:cs="Calibri"/>
                <w:b/>
                <w:bCs/>
                <w:szCs w:val="18"/>
              </w:rPr>
              <w:t>Total transactions with owners</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0"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39,711</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25,725</w:t>
            </w:r>
          </w:p>
        </w:tc>
        <w:tc>
          <w:tcPr>
            <w:tcW w:w="940"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13,986</w:t>
            </w:r>
          </w:p>
        </w:tc>
        <w:tc>
          <w:tcPr>
            <w:tcW w:w="940"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39,711</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25,725</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13,986</w:t>
            </w:r>
          </w:p>
        </w:tc>
      </w:tr>
      <w:tr w:rsidR="00735613" w:rsidTr="00735613">
        <w:trPr>
          <w:trHeight w:val="255"/>
        </w:trPr>
        <w:tc>
          <w:tcPr>
            <w:tcW w:w="3446" w:type="dxa"/>
            <w:tcBorders>
              <w:top w:val="nil"/>
              <w:left w:val="nil"/>
              <w:bottom w:val="nil"/>
              <w:right w:val="nil"/>
            </w:tcBorders>
            <w:shd w:val="clear" w:color="FFFFFF" w:fill="FFFFFF"/>
            <w:vAlign w:val="bottom"/>
            <w:hideMark/>
          </w:tcPr>
          <w:p w:rsidR="00735613" w:rsidRDefault="00735613" w:rsidP="00735613">
            <w:pPr>
              <w:rPr>
                <w:rFonts w:cs="Calibri"/>
                <w:szCs w:val="18"/>
              </w:rPr>
            </w:pPr>
            <w:r>
              <w:rPr>
                <w:rFonts w:cs="Calibri"/>
                <w:szCs w:val="18"/>
              </w:rPr>
              <w:t>Transfers between equity components</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940"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w:t>
            </w:r>
          </w:p>
        </w:tc>
        <w:tc>
          <w:tcPr>
            <w:tcW w:w="940"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1"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w:t>
            </w:r>
          </w:p>
        </w:tc>
      </w:tr>
      <w:tr w:rsidR="00735613" w:rsidTr="00735613">
        <w:trPr>
          <w:trHeight w:val="255"/>
        </w:trPr>
        <w:tc>
          <w:tcPr>
            <w:tcW w:w="3446" w:type="dxa"/>
            <w:tcBorders>
              <w:top w:val="single" w:sz="4" w:space="0" w:color="auto"/>
              <w:left w:val="nil"/>
              <w:bottom w:val="single" w:sz="4" w:space="0" w:color="auto"/>
              <w:right w:val="nil"/>
            </w:tcBorders>
            <w:shd w:val="clear" w:color="FFFFFF" w:fill="FFFFFF"/>
            <w:vAlign w:val="bottom"/>
            <w:hideMark/>
          </w:tcPr>
          <w:p w:rsidR="00735613" w:rsidRDefault="00735613" w:rsidP="00735613">
            <w:pPr>
              <w:rPr>
                <w:rFonts w:cs="Calibri"/>
                <w:b/>
                <w:bCs/>
                <w:szCs w:val="18"/>
              </w:rPr>
            </w:pPr>
            <w:r>
              <w:rPr>
                <w:rFonts w:cs="Calibri"/>
                <w:b/>
                <w:bCs/>
                <w:szCs w:val="18"/>
              </w:rPr>
              <w:t>Closing balance as at 30 June</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(46,130)</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(49,918)</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3,788</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438</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940"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438</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134,848</w:t>
            </w:r>
          </w:p>
        </w:tc>
        <w:tc>
          <w:tcPr>
            <w:tcW w:w="941"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145,878</w:t>
            </w:r>
          </w:p>
        </w:tc>
        <w:tc>
          <w:tcPr>
            <w:tcW w:w="940"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(11,030)</w:t>
            </w:r>
          </w:p>
        </w:tc>
        <w:tc>
          <w:tcPr>
            <w:tcW w:w="940"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89,156</w:t>
            </w:r>
          </w:p>
        </w:tc>
        <w:tc>
          <w:tcPr>
            <w:tcW w:w="941"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95,960</w:t>
            </w:r>
          </w:p>
        </w:tc>
        <w:tc>
          <w:tcPr>
            <w:tcW w:w="941"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(6,804)</w:t>
            </w:r>
          </w:p>
        </w:tc>
      </w:tr>
    </w:tbl>
    <w:p w:rsidR="00735613" w:rsidRDefault="00735613" w:rsidP="00735613">
      <w:bookmarkStart w:id="677" w:name="RANGE!E7:Q36"/>
      <w:bookmarkStart w:id="678" w:name="RANGE!E7:Q37"/>
      <w:bookmarkEnd w:id="675"/>
      <w:bookmarkEnd w:id="677"/>
      <w:bookmarkEnd w:id="678"/>
    </w:p>
    <w:p w:rsidR="00735613" w:rsidRDefault="00735613" w:rsidP="00735613">
      <w:pPr>
        <w:sectPr w:rsidR="00735613" w:rsidSect="00735613">
          <w:pgSz w:w="16838" w:h="11906" w:orient="landscape"/>
          <w:pgMar w:top="1440" w:right="1440" w:bottom="1440" w:left="1440" w:header="708" w:footer="708" w:gutter="0"/>
          <w:cols w:space="720"/>
          <w:docGrid w:linePitch="245"/>
        </w:sectPr>
      </w:pPr>
    </w:p>
    <w:tbl>
      <w:tblPr>
        <w:tblW w:w="9087" w:type="dxa"/>
        <w:tblInd w:w="80" w:type="dxa"/>
        <w:tblLayout w:type="fixed"/>
        <w:tblLook w:val="04A0" w:firstRow="1" w:lastRow="0" w:firstColumn="1" w:lastColumn="0" w:noHBand="0" w:noVBand="1"/>
      </w:tblPr>
      <w:tblGrid>
        <w:gridCol w:w="5391"/>
        <w:gridCol w:w="1395"/>
        <w:gridCol w:w="1106"/>
        <w:gridCol w:w="1195"/>
      </w:tblGrid>
      <w:tr w:rsidR="00735613" w:rsidTr="00735613">
        <w:trPr>
          <w:trHeight w:val="255"/>
        </w:trPr>
        <w:tc>
          <w:tcPr>
            <w:tcW w:w="8184" w:type="dxa"/>
            <w:gridSpan w:val="4"/>
            <w:tcBorders>
              <w:top w:val="nil"/>
              <w:left w:val="nil"/>
              <w:bottom w:val="nil"/>
              <w:right w:val="nil"/>
            </w:tcBorders>
            <w:shd w:val="clear" w:color="FFFFFF" w:fill="FFFFFF"/>
            <w:noWrap/>
            <w:vAlign w:val="bottom"/>
            <w:hideMark/>
          </w:tcPr>
          <w:p w:rsidR="00735613" w:rsidRDefault="00735613">
            <w:pPr>
              <w:rPr>
                <w:rFonts w:cs="Calibri"/>
                <w:b/>
                <w:bCs/>
                <w:szCs w:val="18"/>
              </w:rPr>
            </w:pPr>
            <w:bookmarkStart w:id="679" w:name="RANGE!E7:E59"/>
            <w:bookmarkStart w:id="680" w:name="Note_BCFTABLE1" w:colFirst="0" w:colLast="0"/>
            <w:r>
              <w:rPr>
                <w:rFonts w:cs="Calibri"/>
                <w:b/>
                <w:bCs/>
                <w:szCs w:val="18"/>
              </w:rPr>
              <w:t>Cash Flow Statement</w:t>
            </w:r>
            <w:bookmarkEnd w:id="679"/>
          </w:p>
        </w:tc>
      </w:tr>
      <w:bookmarkEnd w:id="680"/>
      <w:tr w:rsidR="00735613" w:rsidTr="00735613">
        <w:trPr>
          <w:trHeight w:val="270"/>
        </w:trPr>
        <w:tc>
          <w:tcPr>
            <w:tcW w:w="8184" w:type="dxa"/>
            <w:gridSpan w:val="4"/>
            <w:tcBorders>
              <w:top w:val="nil"/>
              <w:left w:val="nil"/>
              <w:bottom w:val="single" w:sz="8" w:space="0" w:color="auto"/>
              <w:right w:val="nil"/>
            </w:tcBorders>
            <w:shd w:val="clear" w:color="FFFFFF" w:fill="FFFFFF"/>
            <w:noWrap/>
            <w:vAlign w:val="bottom"/>
            <w:hideMark/>
          </w:tcPr>
          <w:p w:rsidR="00735613" w:rsidRDefault="00735613">
            <w:pPr>
              <w:rPr>
                <w:rFonts w:cs="Calibri"/>
                <w:i/>
                <w:iCs/>
                <w:szCs w:val="18"/>
              </w:rPr>
            </w:pPr>
            <w:r>
              <w:rPr>
                <w:rFonts w:cs="Calibri"/>
                <w:i/>
                <w:iCs/>
                <w:szCs w:val="18"/>
              </w:rPr>
              <w:t>for the period ended 30 June 2015</w:t>
            </w:r>
          </w:p>
        </w:tc>
      </w:tr>
      <w:tr w:rsidR="00735613" w:rsidTr="00735613">
        <w:trPr>
          <w:trHeight w:val="255"/>
        </w:trPr>
        <w:tc>
          <w:tcPr>
            <w:tcW w:w="4856" w:type="dxa"/>
            <w:tcBorders>
              <w:top w:val="nil"/>
              <w:left w:val="nil"/>
              <w:bottom w:val="nil"/>
              <w:right w:val="nil"/>
            </w:tcBorders>
            <w:shd w:val="clear" w:color="FFFFFF" w:fill="FFFFFF"/>
            <w:noWrap/>
            <w:vAlign w:val="bottom"/>
            <w:hideMark/>
          </w:tcPr>
          <w:p w:rsidR="00735613" w:rsidRDefault="00735613">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Actual</w:t>
            </w:r>
          </w:p>
        </w:tc>
        <w:tc>
          <w:tcPr>
            <w:tcW w:w="2072" w:type="dxa"/>
            <w:gridSpan w:val="2"/>
            <w:tcBorders>
              <w:top w:val="nil"/>
              <w:left w:val="nil"/>
              <w:bottom w:val="nil"/>
              <w:right w:val="nil"/>
            </w:tcBorders>
            <w:shd w:val="clear" w:color="FFFFFF" w:fill="FFFFFF"/>
            <w:noWrap/>
            <w:vAlign w:val="bottom"/>
            <w:hideMark/>
          </w:tcPr>
          <w:p w:rsidR="00735613" w:rsidRDefault="00735613">
            <w:pPr>
              <w:jc w:val="center"/>
              <w:rPr>
                <w:rFonts w:cs="Calibri"/>
                <w:b/>
                <w:bCs/>
                <w:szCs w:val="18"/>
              </w:rPr>
            </w:pPr>
            <w:r>
              <w:rPr>
                <w:rFonts w:cs="Calibri"/>
                <w:b/>
                <w:bCs/>
                <w:szCs w:val="18"/>
              </w:rPr>
              <w:t>Budget Estimate</w:t>
            </w:r>
          </w:p>
        </w:tc>
      </w:tr>
      <w:tr w:rsidR="00735613" w:rsidTr="00735613">
        <w:trPr>
          <w:trHeight w:val="285"/>
        </w:trPr>
        <w:tc>
          <w:tcPr>
            <w:tcW w:w="4856" w:type="dxa"/>
            <w:tcBorders>
              <w:top w:val="nil"/>
              <w:left w:val="nil"/>
              <w:bottom w:val="nil"/>
              <w:right w:val="nil"/>
            </w:tcBorders>
            <w:shd w:val="clear" w:color="FFFFFF" w:fill="FFFFFF"/>
            <w:noWrap/>
            <w:vAlign w:val="bottom"/>
            <w:hideMark/>
          </w:tcPr>
          <w:p w:rsidR="00735613" w:rsidRDefault="00735613">
            <w:pPr>
              <w:rPr>
                <w:rFonts w:cs="Calibri"/>
                <w:b/>
                <w:bCs/>
                <w:szCs w:val="18"/>
              </w:rPr>
            </w:pPr>
            <w:r>
              <w:rPr>
                <w:rFonts w:cs="Calibri"/>
                <w:b/>
                <w:bCs/>
                <w:szCs w:val="18"/>
              </w:rPr>
              <w:t> </w:t>
            </w:r>
          </w:p>
        </w:tc>
        <w:tc>
          <w:tcPr>
            <w:tcW w:w="1256"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996"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Original</w:t>
            </w:r>
            <w:r>
              <w:rPr>
                <w:rFonts w:cs="Calibri"/>
                <w:b/>
                <w:bCs/>
                <w:szCs w:val="18"/>
                <w:vertAlign w:val="superscript"/>
              </w:rPr>
              <w:t>1</w:t>
            </w:r>
          </w:p>
        </w:tc>
        <w:tc>
          <w:tcPr>
            <w:tcW w:w="1076"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Variance</w:t>
            </w:r>
            <w:r>
              <w:rPr>
                <w:rFonts w:cs="Calibri"/>
                <w:szCs w:val="18"/>
                <w:vertAlign w:val="superscript"/>
              </w:rPr>
              <w:t>2</w:t>
            </w:r>
          </w:p>
        </w:tc>
      </w:tr>
      <w:tr w:rsidR="00735613" w:rsidTr="00735613">
        <w:trPr>
          <w:trHeight w:val="255"/>
        </w:trPr>
        <w:tc>
          <w:tcPr>
            <w:tcW w:w="48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2015</w:t>
            </w:r>
          </w:p>
        </w:tc>
        <w:tc>
          <w:tcPr>
            <w:tcW w:w="99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2015</w:t>
            </w:r>
          </w:p>
        </w:tc>
        <w:tc>
          <w:tcPr>
            <w:tcW w:w="107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2015</w:t>
            </w:r>
          </w:p>
        </w:tc>
      </w:tr>
      <w:tr w:rsidR="00735613" w:rsidTr="00735613">
        <w:trPr>
          <w:trHeight w:val="255"/>
        </w:trPr>
        <w:tc>
          <w:tcPr>
            <w:tcW w:w="48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$'000</w:t>
            </w:r>
          </w:p>
        </w:tc>
        <w:tc>
          <w:tcPr>
            <w:tcW w:w="99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$'000</w:t>
            </w:r>
          </w:p>
        </w:tc>
        <w:tc>
          <w:tcPr>
            <w:tcW w:w="107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$'000</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OPERATING ACTIVITIES</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9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07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Cash received</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9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07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r>
      <w:tr w:rsidR="00735613" w:rsidTr="00735613">
        <w:trPr>
          <w:trHeight w:val="285"/>
        </w:trPr>
        <w:tc>
          <w:tcPr>
            <w:tcW w:w="48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Appropriations</w:t>
            </w:r>
            <w:r>
              <w:rPr>
                <w:rFonts w:cs="Calibri"/>
                <w:szCs w:val="18"/>
                <w:vertAlign w:val="superscript"/>
              </w:rPr>
              <w:t>11</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307,355</w:t>
            </w:r>
          </w:p>
        </w:tc>
        <w:tc>
          <w:tcPr>
            <w:tcW w:w="99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269,802 </w:t>
            </w:r>
          </w:p>
        </w:tc>
        <w:tc>
          <w:tcPr>
            <w:tcW w:w="107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37,553</w:t>
            </w:r>
          </w:p>
        </w:tc>
      </w:tr>
      <w:tr w:rsidR="00735613" w:rsidTr="00735613">
        <w:trPr>
          <w:trHeight w:val="285"/>
        </w:trPr>
        <w:tc>
          <w:tcPr>
            <w:tcW w:w="48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Sale of goods and rendering of services</w:t>
            </w:r>
            <w:r>
              <w:rPr>
                <w:rFonts w:cs="Calibri"/>
                <w:szCs w:val="18"/>
                <w:vertAlign w:val="superscript"/>
              </w:rPr>
              <w:t>4</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40,737</w:t>
            </w:r>
          </w:p>
        </w:tc>
        <w:tc>
          <w:tcPr>
            <w:tcW w:w="99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22,417 </w:t>
            </w:r>
          </w:p>
        </w:tc>
        <w:tc>
          <w:tcPr>
            <w:tcW w:w="107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18,320</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Net GST received</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5,712</w:t>
            </w:r>
          </w:p>
        </w:tc>
        <w:tc>
          <w:tcPr>
            <w:tcW w:w="99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107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5,712</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Other</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9,922</w:t>
            </w:r>
          </w:p>
        </w:tc>
        <w:tc>
          <w:tcPr>
            <w:tcW w:w="99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107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9,922</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Total cash received</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363,726</w:t>
            </w:r>
          </w:p>
        </w:tc>
        <w:tc>
          <w:tcPr>
            <w:tcW w:w="99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292,219</w:t>
            </w:r>
          </w:p>
        </w:tc>
        <w:tc>
          <w:tcPr>
            <w:tcW w:w="107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71,507</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99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07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Cash used</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9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07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r>
      <w:tr w:rsidR="00735613" w:rsidTr="00735613">
        <w:trPr>
          <w:trHeight w:val="240"/>
        </w:trPr>
        <w:tc>
          <w:tcPr>
            <w:tcW w:w="48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Employee benefits</w:t>
            </w:r>
            <w:r>
              <w:rPr>
                <w:rFonts w:cs="Calibri"/>
                <w:szCs w:val="18"/>
                <w:vertAlign w:val="superscript"/>
              </w:rPr>
              <w:t>3</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215,581</w:t>
            </w:r>
          </w:p>
        </w:tc>
        <w:tc>
          <w:tcPr>
            <w:tcW w:w="99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196,091 </w:t>
            </w:r>
          </w:p>
        </w:tc>
        <w:tc>
          <w:tcPr>
            <w:tcW w:w="107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19,490</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Supplier expenses</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100,903</w:t>
            </w:r>
          </w:p>
        </w:tc>
        <w:tc>
          <w:tcPr>
            <w:tcW w:w="99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95,678 </w:t>
            </w:r>
          </w:p>
        </w:tc>
        <w:tc>
          <w:tcPr>
            <w:tcW w:w="107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5,225</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Grants</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257</w:t>
            </w:r>
          </w:p>
        </w:tc>
        <w:tc>
          <w:tcPr>
            <w:tcW w:w="99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107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257</w:t>
            </w:r>
          </w:p>
        </w:tc>
      </w:tr>
      <w:tr w:rsidR="00735613" w:rsidTr="00735613">
        <w:trPr>
          <w:trHeight w:val="285"/>
        </w:trPr>
        <w:tc>
          <w:tcPr>
            <w:tcW w:w="48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Section 74 receipts transferred to the OPA</w:t>
            </w:r>
            <w:r>
              <w:rPr>
                <w:rFonts w:cs="Calibri"/>
                <w:szCs w:val="18"/>
                <w:vertAlign w:val="superscript"/>
              </w:rPr>
              <w:t>11</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47,837</w:t>
            </w:r>
          </w:p>
        </w:tc>
        <w:tc>
          <w:tcPr>
            <w:tcW w:w="99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xml:space="preserve"> -</w:t>
            </w:r>
          </w:p>
        </w:tc>
        <w:tc>
          <w:tcPr>
            <w:tcW w:w="107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47,837</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Total cash used</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364,578</w:t>
            </w:r>
          </w:p>
        </w:tc>
        <w:tc>
          <w:tcPr>
            <w:tcW w:w="99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291,769</w:t>
            </w:r>
          </w:p>
        </w:tc>
        <w:tc>
          <w:tcPr>
            <w:tcW w:w="107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72,809</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 </w:t>
            </w:r>
          </w:p>
        </w:tc>
        <w:tc>
          <w:tcPr>
            <w:tcW w:w="1256"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996"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076"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70"/>
        </w:trPr>
        <w:tc>
          <w:tcPr>
            <w:tcW w:w="4856" w:type="dxa"/>
            <w:tcBorders>
              <w:top w:val="nil"/>
              <w:left w:val="nil"/>
              <w:bottom w:val="nil"/>
              <w:right w:val="nil"/>
            </w:tcBorders>
            <w:shd w:val="clear" w:color="FFFFFF" w:fill="FFFFFF"/>
            <w:vAlign w:val="bottom"/>
            <w:hideMark/>
          </w:tcPr>
          <w:p w:rsidR="00735613" w:rsidRDefault="00735613">
            <w:pPr>
              <w:rPr>
                <w:rFonts w:cs="Calibri"/>
                <w:b/>
                <w:bCs/>
                <w:i/>
                <w:iCs/>
                <w:szCs w:val="18"/>
              </w:rPr>
            </w:pPr>
            <w:r>
              <w:rPr>
                <w:rFonts w:cs="Calibri"/>
                <w:b/>
                <w:bCs/>
                <w:i/>
                <w:iCs/>
                <w:szCs w:val="18"/>
              </w:rPr>
              <w:t>Net cash from (used by) operating activities</w:t>
            </w:r>
          </w:p>
        </w:tc>
        <w:tc>
          <w:tcPr>
            <w:tcW w:w="1256" w:type="dxa"/>
            <w:tcBorders>
              <w:top w:val="nil"/>
              <w:left w:val="nil"/>
              <w:bottom w:val="double" w:sz="6"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(852)</w:t>
            </w:r>
          </w:p>
        </w:tc>
        <w:tc>
          <w:tcPr>
            <w:tcW w:w="996" w:type="dxa"/>
            <w:tcBorders>
              <w:top w:val="nil"/>
              <w:left w:val="nil"/>
              <w:bottom w:val="double" w:sz="6"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450</w:t>
            </w:r>
          </w:p>
        </w:tc>
        <w:tc>
          <w:tcPr>
            <w:tcW w:w="1076" w:type="dxa"/>
            <w:tcBorders>
              <w:top w:val="nil"/>
              <w:left w:val="nil"/>
              <w:bottom w:val="double" w:sz="6"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(1,302)</w:t>
            </w:r>
          </w:p>
        </w:tc>
      </w:tr>
      <w:tr w:rsidR="00735613" w:rsidTr="00735613">
        <w:trPr>
          <w:trHeight w:val="270"/>
        </w:trPr>
        <w:tc>
          <w:tcPr>
            <w:tcW w:w="48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9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07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INVESTING ACTIVITIES</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9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07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Cash received</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9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07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r>
      <w:tr w:rsidR="00735613" w:rsidTr="00735613">
        <w:trPr>
          <w:trHeight w:val="480"/>
        </w:trPr>
        <w:tc>
          <w:tcPr>
            <w:tcW w:w="48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Proceeds from sales of infrastructure, plant and equipment</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735</w:t>
            </w:r>
          </w:p>
        </w:tc>
        <w:tc>
          <w:tcPr>
            <w:tcW w:w="99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107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735</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Total cash received</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735</w:t>
            </w:r>
          </w:p>
        </w:tc>
        <w:tc>
          <w:tcPr>
            <w:tcW w:w="99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107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735</w:t>
            </w:r>
          </w:p>
        </w:tc>
      </w:tr>
      <w:tr w:rsidR="00735613" w:rsidTr="00735613">
        <w:trPr>
          <w:trHeight w:val="255"/>
        </w:trPr>
        <w:tc>
          <w:tcPr>
            <w:tcW w:w="48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9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07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Cash used</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9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07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r>
      <w:tr w:rsidR="00735613" w:rsidTr="00735613">
        <w:trPr>
          <w:trHeight w:val="285"/>
        </w:trPr>
        <w:tc>
          <w:tcPr>
            <w:tcW w:w="48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Purchase of infrastructure, plant and equipment</w:t>
            </w:r>
            <w:r>
              <w:rPr>
                <w:rFonts w:cs="Calibri"/>
                <w:szCs w:val="18"/>
                <w:vertAlign w:val="superscript"/>
              </w:rPr>
              <w:t>8</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3,985</w:t>
            </w:r>
          </w:p>
        </w:tc>
        <w:tc>
          <w:tcPr>
            <w:tcW w:w="99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26,175 </w:t>
            </w:r>
          </w:p>
        </w:tc>
        <w:tc>
          <w:tcPr>
            <w:tcW w:w="107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(22,190)</w:t>
            </w:r>
          </w:p>
        </w:tc>
      </w:tr>
      <w:tr w:rsidR="00735613" w:rsidTr="00735613">
        <w:trPr>
          <w:trHeight w:val="285"/>
        </w:trPr>
        <w:tc>
          <w:tcPr>
            <w:tcW w:w="48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Purchase / development of intangibles</w:t>
            </w:r>
            <w:r>
              <w:rPr>
                <w:rFonts w:cs="Calibri"/>
                <w:szCs w:val="18"/>
                <w:vertAlign w:val="superscript"/>
              </w:rPr>
              <w:t>8</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16,790</w:t>
            </w:r>
          </w:p>
        </w:tc>
        <w:tc>
          <w:tcPr>
            <w:tcW w:w="99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107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16,790</w:t>
            </w:r>
          </w:p>
        </w:tc>
      </w:tr>
      <w:tr w:rsidR="00735613" w:rsidTr="00735613">
        <w:trPr>
          <w:trHeight w:val="285"/>
        </w:trPr>
        <w:tc>
          <w:tcPr>
            <w:tcW w:w="48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Purchase of land and buildings</w:t>
            </w:r>
            <w:r>
              <w:rPr>
                <w:rFonts w:cs="Calibri"/>
                <w:szCs w:val="18"/>
                <w:vertAlign w:val="superscript"/>
              </w:rPr>
              <w:t>8</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2,041</w:t>
            </w:r>
          </w:p>
        </w:tc>
        <w:tc>
          <w:tcPr>
            <w:tcW w:w="99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107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2,041</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Total cash used</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22,816</w:t>
            </w:r>
          </w:p>
        </w:tc>
        <w:tc>
          <w:tcPr>
            <w:tcW w:w="99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26,175</w:t>
            </w:r>
          </w:p>
        </w:tc>
        <w:tc>
          <w:tcPr>
            <w:tcW w:w="107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(3,359)</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99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076"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70"/>
        </w:trPr>
        <w:tc>
          <w:tcPr>
            <w:tcW w:w="4856" w:type="dxa"/>
            <w:tcBorders>
              <w:top w:val="nil"/>
              <w:left w:val="nil"/>
              <w:bottom w:val="nil"/>
              <w:right w:val="nil"/>
            </w:tcBorders>
            <w:shd w:val="clear" w:color="FFFFFF" w:fill="FFFFFF"/>
            <w:vAlign w:val="bottom"/>
            <w:hideMark/>
          </w:tcPr>
          <w:p w:rsidR="00735613" w:rsidRDefault="00735613">
            <w:pPr>
              <w:rPr>
                <w:rFonts w:cs="Calibri"/>
                <w:b/>
                <w:bCs/>
                <w:i/>
                <w:iCs/>
                <w:szCs w:val="18"/>
              </w:rPr>
            </w:pPr>
            <w:r>
              <w:rPr>
                <w:rFonts w:cs="Calibri"/>
                <w:b/>
                <w:bCs/>
                <w:i/>
                <w:iCs/>
                <w:szCs w:val="18"/>
              </w:rPr>
              <w:t>Net cash from (used by) investing activities</w:t>
            </w:r>
          </w:p>
        </w:tc>
        <w:tc>
          <w:tcPr>
            <w:tcW w:w="125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(22,081)</w:t>
            </w:r>
          </w:p>
        </w:tc>
        <w:tc>
          <w:tcPr>
            <w:tcW w:w="99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(26,175)</w:t>
            </w:r>
          </w:p>
        </w:tc>
        <w:tc>
          <w:tcPr>
            <w:tcW w:w="1076" w:type="dxa"/>
            <w:tcBorders>
              <w:top w:val="nil"/>
              <w:left w:val="nil"/>
              <w:bottom w:val="double" w:sz="6"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4,094</w:t>
            </w:r>
          </w:p>
        </w:tc>
      </w:tr>
      <w:tr w:rsidR="00735613" w:rsidTr="00735613">
        <w:trPr>
          <w:trHeight w:val="270"/>
        </w:trPr>
        <w:tc>
          <w:tcPr>
            <w:tcW w:w="48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9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07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FINANCING ACTIVITIES</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9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07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Cash received</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9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07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Contributed equity - capital injections</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3,836</w:t>
            </w:r>
          </w:p>
        </w:tc>
        <w:tc>
          <w:tcPr>
            <w:tcW w:w="99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107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3,836</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Contributed equity - capital budget</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18,299</w:t>
            </w:r>
          </w:p>
        </w:tc>
        <w:tc>
          <w:tcPr>
            <w:tcW w:w="99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25,725 </w:t>
            </w:r>
          </w:p>
        </w:tc>
        <w:tc>
          <w:tcPr>
            <w:tcW w:w="107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(7,426)</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Cash from restructuring</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2,186</w:t>
            </w:r>
          </w:p>
        </w:tc>
        <w:tc>
          <w:tcPr>
            <w:tcW w:w="99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 -</w:t>
            </w:r>
          </w:p>
        </w:tc>
        <w:tc>
          <w:tcPr>
            <w:tcW w:w="107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2,186</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Total cash received</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24,321</w:t>
            </w:r>
          </w:p>
        </w:tc>
        <w:tc>
          <w:tcPr>
            <w:tcW w:w="99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25,725</w:t>
            </w:r>
          </w:p>
        </w:tc>
        <w:tc>
          <w:tcPr>
            <w:tcW w:w="107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(1,404)</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w:t>
            </w:r>
          </w:p>
        </w:tc>
        <w:tc>
          <w:tcPr>
            <w:tcW w:w="99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 </w:t>
            </w:r>
          </w:p>
        </w:tc>
        <w:tc>
          <w:tcPr>
            <w:tcW w:w="1076" w:type="dxa"/>
            <w:tcBorders>
              <w:top w:val="nil"/>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 </w:t>
            </w:r>
          </w:p>
        </w:tc>
      </w:tr>
      <w:tr w:rsidR="00735613" w:rsidTr="00735613">
        <w:trPr>
          <w:trHeight w:val="270"/>
        </w:trPr>
        <w:tc>
          <w:tcPr>
            <w:tcW w:w="4856" w:type="dxa"/>
            <w:tcBorders>
              <w:top w:val="nil"/>
              <w:left w:val="nil"/>
              <w:bottom w:val="nil"/>
              <w:right w:val="nil"/>
            </w:tcBorders>
            <w:shd w:val="clear" w:color="FFFFFF" w:fill="FFFFFF"/>
            <w:vAlign w:val="bottom"/>
            <w:hideMark/>
          </w:tcPr>
          <w:p w:rsidR="00735613" w:rsidRDefault="00735613">
            <w:pPr>
              <w:rPr>
                <w:rFonts w:cs="Calibri"/>
                <w:b/>
                <w:bCs/>
                <w:i/>
                <w:iCs/>
                <w:szCs w:val="18"/>
              </w:rPr>
            </w:pPr>
            <w:r>
              <w:rPr>
                <w:rFonts w:cs="Calibri"/>
                <w:b/>
                <w:bCs/>
                <w:i/>
                <w:iCs/>
                <w:szCs w:val="18"/>
              </w:rPr>
              <w:t>Net cash from (used by) financing activities</w:t>
            </w:r>
          </w:p>
        </w:tc>
        <w:tc>
          <w:tcPr>
            <w:tcW w:w="125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24,321</w:t>
            </w:r>
          </w:p>
        </w:tc>
        <w:tc>
          <w:tcPr>
            <w:tcW w:w="99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25,725</w:t>
            </w:r>
          </w:p>
        </w:tc>
        <w:tc>
          <w:tcPr>
            <w:tcW w:w="1076" w:type="dxa"/>
            <w:tcBorders>
              <w:top w:val="nil"/>
              <w:left w:val="nil"/>
              <w:bottom w:val="double" w:sz="6"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(1,404)</w:t>
            </w:r>
          </w:p>
        </w:tc>
      </w:tr>
      <w:tr w:rsidR="00735613" w:rsidTr="00735613">
        <w:trPr>
          <w:trHeight w:val="270"/>
        </w:trPr>
        <w:tc>
          <w:tcPr>
            <w:tcW w:w="48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99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c>
          <w:tcPr>
            <w:tcW w:w="1076" w:type="dxa"/>
            <w:tcBorders>
              <w:top w:val="nil"/>
              <w:left w:val="nil"/>
              <w:bottom w:val="nil"/>
              <w:right w:val="nil"/>
            </w:tcBorders>
            <w:shd w:val="clear" w:color="FFFFFF" w:fill="FFFFFF"/>
            <w:noWrap/>
            <w:vAlign w:val="bottom"/>
            <w:hideMark/>
          </w:tcPr>
          <w:p w:rsidR="00735613" w:rsidRDefault="00735613">
            <w:pPr>
              <w:rPr>
                <w:rFonts w:cs="Calibri"/>
                <w:szCs w:val="18"/>
              </w:rPr>
            </w:pPr>
            <w:r>
              <w:rPr>
                <w:rFonts w:cs="Calibri"/>
                <w:szCs w:val="18"/>
              </w:rPr>
              <w:t> </w:t>
            </w:r>
          </w:p>
        </w:tc>
      </w:tr>
      <w:tr w:rsidR="00735613" w:rsidTr="00735613">
        <w:trPr>
          <w:trHeight w:val="255"/>
        </w:trPr>
        <w:tc>
          <w:tcPr>
            <w:tcW w:w="4856" w:type="dxa"/>
            <w:tcBorders>
              <w:top w:val="nil"/>
              <w:left w:val="nil"/>
              <w:bottom w:val="nil"/>
              <w:right w:val="nil"/>
            </w:tcBorders>
            <w:shd w:val="clear" w:color="FFFFFF" w:fill="FFFFFF"/>
            <w:vAlign w:val="bottom"/>
            <w:hideMark/>
          </w:tcPr>
          <w:p w:rsidR="00735613" w:rsidRDefault="00735613">
            <w:pPr>
              <w:rPr>
                <w:rFonts w:cs="Calibri"/>
                <w:b/>
                <w:bCs/>
                <w:i/>
                <w:iCs/>
                <w:szCs w:val="18"/>
              </w:rPr>
            </w:pPr>
            <w:r>
              <w:rPr>
                <w:rFonts w:cs="Calibri"/>
                <w:b/>
                <w:bCs/>
                <w:i/>
                <w:iCs/>
                <w:szCs w:val="18"/>
              </w:rPr>
              <w:t>Net increase (decrease) in cash held</w:t>
            </w:r>
          </w:p>
        </w:tc>
        <w:tc>
          <w:tcPr>
            <w:tcW w:w="125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1,388</w:t>
            </w:r>
          </w:p>
        </w:tc>
        <w:tc>
          <w:tcPr>
            <w:tcW w:w="99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w:t>
            </w:r>
          </w:p>
        </w:tc>
        <w:tc>
          <w:tcPr>
            <w:tcW w:w="1076" w:type="dxa"/>
            <w:tcBorders>
              <w:top w:val="single" w:sz="4" w:space="0" w:color="auto"/>
              <w:left w:val="nil"/>
              <w:bottom w:val="single" w:sz="4"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1,388</w:t>
            </w:r>
          </w:p>
        </w:tc>
      </w:tr>
      <w:tr w:rsidR="00735613" w:rsidTr="00735613">
        <w:trPr>
          <w:trHeight w:val="480"/>
        </w:trPr>
        <w:tc>
          <w:tcPr>
            <w:tcW w:w="4856"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Cash and cash equivalents at the beginning of the reporting period</w:t>
            </w:r>
          </w:p>
        </w:tc>
        <w:tc>
          <w:tcPr>
            <w:tcW w:w="125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8,429</w:t>
            </w:r>
          </w:p>
        </w:tc>
        <w:tc>
          <w:tcPr>
            <w:tcW w:w="996" w:type="dxa"/>
            <w:tcBorders>
              <w:top w:val="nil"/>
              <w:left w:val="nil"/>
              <w:bottom w:val="nil"/>
              <w:right w:val="nil"/>
            </w:tcBorders>
            <w:shd w:val="clear" w:color="FFFFFF" w:fill="FFFFFF"/>
            <w:noWrap/>
            <w:vAlign w:val="bottom"/>
            <w:hideMark/>
          </w:tcPr>
          <w:p w:rsidR="00735613" w:rsidRDefault="00735613">
            <w:pPr>
              <w:jc w:val="right"/>
              <w:rPr>
                <w:rFonts w:cs="Calibri"/>
                <w:b/>
                <w:bCs/>
                <w:szCs w:val="18"/>
              </w:rPr>
            </w:pPr>
            <w:r>
              <w:rPr>
                <w:rFonts w:cs="Calibri"/>
                <w:b/>
                <w:bCs/>
                <w:szCs w:val="18"/>
              </w:rPr>
              <w:t xml:space="preserve">1,845 </w:t>
            </w:r>
          </w:p>
        </w:tc>
        <w:tc>
          <w:tcPr>
            <w:tcW w:w="1076" w:type="dxa"/>
            <w:tcBorders>
              <w:top w:val="nil"/>
              <w:left w:val="nil"/>
              <w:bottom w:val="nil"/>
              <w:right w:val="nil"/>
            </w:tcBorders>
            <w:shd w:val="clear" w:color="FFFFFF" w:fill="FFFFFF"/>
            <w:noWrap/>
            <w:vAlign w:val="bottom"/>
            <w:hideMark/>
          </w:tcPr>
          <w:p w:rsidR="00735613" w:rsidRDefault="00735613">
            <w:pPr>
              <w:jc w:val="right"/>
              <w:rPr>
                <w:rFonts w:cs="Calibri"/>
                <w:szCs w:val="18"/>
              </w:rPr>
            </w:pPr>
            <w:r>
              <w:rPr>
                <w:rFonts w:cs="Calibri"/>
                <w:szCs w:val="18"/>
              </w:rPr>
              <w:t>6,584</w:t>
            </w:r>
          </w:p>
        </w:tc>
      </w:tr>
      <w:tr w:rsidR="00735613" w:rsidTr="00735613">
        <w:trPr>
          <w:trHeight w:val="270"/>
        </w:trPr>
        <w:tc>
          <w:tcPr>
            <w:tcW w:w="4856" w:type="dxa"/>
            <w:tcBorders>
              <w:top w:val="nil"/>
              <w:left w:val="nil"/>
              <w:bottom w:val="nil"/>
              <w:right w:val="nil"/>
            </w:tcBorders>
            <w:shd w:val="clear" w:color="FFFFFF" w:fill="FFFFFF"/>
            <w:vAlign w:val="bottom"/>
            <w:hideMark/>
          </w:tcPr>
          <w:p w:rsidR="00735613" w:rsidRDefault="00735613">
            <w:pPr>
              <w:rPr>
                <w:rFonts w:cs="Calibri"/>
                <w:b/>
                <w:bCs/>
                <w:i/>
                <w:iCs/>
                <w:szCs w:val="18"/>
              </w:rPr>
            </w:pPr>
            <w:r>
              <w:rPr>
                <w:rFonts w:cs="Calibri"/>
                <w:b/>
                <w:bCs/>
                <w:i/>
                <w:iCs/>
                <w:szCs w:val="18"/>
              </w:rPr>
              <w:t>Cash and cash equivalents at the end of the reporting period</w:t>
            </w:r>
          </w:p>
        </w:tc>
        <w:tc>
          <w:tcPr>
            <w:tcW w:w="125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9,817</w:t>
            </w:r>
          </w:p>
        </w:tc>
        <w:tc>
          <w:tcPr>
            <w:tcW w:w="99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b/>
                <w:bCs/>
                <w:szCs w:val="18"/>
              </w:rPr>
            </w:pPr>
            <w:r>
              <w:rPr>
                <w:rFonts w:cs="Calibri"/>
                <w:b/>
                <w:bCs/>
                <w:szCs w:val="18"/>
              </w:rPr>
              <w:t>1,845</w:t>
            </w:r>
          </w:p>
        </w:tc>
        <w:tc>
          <w:tcPr>
            <w:tcW w:w="1076" w:type="dxa"/>
            <w:tcBorders>
              <w:top w:val="single" w:sz="4" w:space="0" w:color="auto"/>
              <w:left w:val="nil"/>
              <w:bottom w:val="double" w:sz="6" w:space="0" w:color="auto"/>
              <w:right w:val="nil"/>
            </w:tcBorders>
            <w:shd w:val="clear" w:color="FFFFFF" w:fill="FFFFFF"/>
            <w:noWrap/>
            <w:vAlign w:val="bottom"/>
            <w:hideMark/>
          </w:tcPr>
          <w:p w:rsidR="00735613" w:rsidRDefault="00735613">
            <w:pPr>
              <w:jc w:val="right"/>
              <w:rPr>
                <w:rFonts w:cs="Calibri"/>
                <w:szCs w:val="18"/>
              </w:rPr>
            </w:pPr>
            <w:r>
              <w:rPr>
                <w:rFonts w:cs="Calibri"/>
                <w:szCs w:val="18"/>
              </w:rPr>
              <w:t>7,972</w:t>
            </w:r>
          </w:p>
        </w:tc>
      </w:tr>
    </w:tbl>
    <w:p w:rsidR="00735613" w:rsidRDefault="00735613" w:rsidP="00735613">
      <w:bookmarkStart w:id="681" w:name="RANGE!E7:H59"/>
      <w:bookmarkStart w:id="682" w:name="RANGE!E7:H60"/>
      <w:bookmarkStart w:id="683" w:name="RANGE!E7:G60"/>
      <w:bookmarkEnd w:id="681"/>
      <w:bookmarkEnd w:id="682"/>
      <w:bookmarkEnd w:id="683"/>
    </w:p>
    <w:p w:rsidR="00735613" w:rsidRDefault="00735613" w:rsidP="00735613"/>
    <w:tbl>
      <w:tblPr>
        <w:tblW w:w="9087" w:type="dxa"/>
        <w:tblInd w:w="80" w:type="dxa"/>
        <w:tblLayout w:type="fixed"/>
        <w:tblLook w:val="04A0" w:firstRow="1" w:lastRow="0" w:firstColumn="1" w:lastColumn="0" w:noHBand="0" w:noVBand="1"/>
      </w:tblPr>
      <w:tblGrid>
        <w:gridCol w:w="9087"/>
      </w:tblGrid>
      <w:tr w:rsidR="00735613" w:rsidTr="00735613">
        <w:trPr>
          <w:trHeight w:val="240"/>
        </w:trPr>
        <w:tc>
          <w:tcPr>
            <w:tcW w:w="8990" w:type="dxa"/>
            <w:tcBorders>
              <w:top w:val="nil"/>
              <w:left w:val="nil"/>
              <w:bottom w:val="nil"/>
              <w:right w:val="nil"/>
            </w:tcBorders>
            <w:shd w:val="clear" w:color="FFFFFF" w:fill="FFFFFF"/>
            <w:noWrap/>
            <w:vAlign w:val="bottom"/>
            <w:hideMark/>
          </w:tcPr>
          <w:p w:rsidR="00735613" w:rsidRDefault="00735613">
            <w:pPr>
              <w:rPr>
                <w:rFonts w:cs="Calibri"/>
                <w:b/>
                <w:bCs/>
                <w:szCs w:val="18"/>
                <w:u w:val="single"/>
              </w:rPr>
            </w:pPr>
            <w:bookmarkStart w:id="684" w:name="RANGE!D7:E9"/>
            <w:bookmarkStart w:id="685" w:name="Note_BMVTABLE1" w:colFirst="0" w:colLast="0"/>
            <w:r>
              <w:rPr>
                <w:rFonts w:cs="Calibri"/>
                <w:b/>
                <w:bCs/>
                <w:szCs w:val="18"/>
                <w:u w:val="single"/>
              </w:rPr>
              <w:t>Note 34B: Departmental Major Budget Variances for 2015</w:t>
            </w:r>
            <w:bookmarkEnd w:id="684"/>
          </w:p>
        </w:tc>
      </w:tr>
      <w:bookmarkEnd w:id="685"/>
      <w:tr w:rsidR="00735613" w:rsidTr="00735613">
        <w:trPr>
          <w:trHeight w:val="240"/>
        </w:trPr>
        <w:tc>
          <w:tcPr>
            <w:tcW w:w="8990"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40"/>
        </w:trPr>
        <w:tc>
          <w:tcPr>
            <w:tcW w:w="8990" w:type="dxa"/>
            <w:tcBorders>
              <w:top w:val="nil"/>
              <w:left w:val="nil"/>
              <w:bottom w:val="nil"/>
              <w:right w:val="nil"/>
            </w:tcBorders>
            <w:shd w:val="clear" w:color="FFFFFF" w:fill="FFFFFF"/>
            <w:noWrap/>
            <w:vAlign w:val="bottom"/>
            <w:hideMark/>
          </w:tcPr>
          <w:p w:rsidR="00735613" w:rsidRDefault="00735613">
            <w:pPr>
              <w:rPr>
                <w:rFonts w:ascii="Arial" w:hAnsi="Arial" w:cs="Arial"/>
                <w:szCs w:val="18"/>
              </w:rPr>
            </w:pPr>
            <w:r>
              <w:rPr>
                <w:rFonts w:ascii="Arial" w:hAnsi="Arial" w:cs="Arial"/>
                <w:szCs w:val="18"/>
              </w:rPr>
              <w:t> </w:t>
            </w:r>
          </w:p>
        </w:tc>
      </w:tr>
      <w:tr w:rsidR="00735613" w:rsidTr="00735613">
        <w:trPr>
          <w:trHeight w:val="240"/>
        </w:trPr>
        <w:tc>
          <w:tcPr>
            <w:tcW w:w="8990" w:type="dxa"/>
            <w:tcBorders>
              <w:top w:val="single" w:sz="4" w:space="0" w:color="auto"/>
              <w:left w:val="nil"/>
              <w:bottom w:val="single" w:sz="4" w:space="0" w:color="auto"/>
              <w:right w:val="nil"/>
            </w:tcBorders>
            <w:shd w:val="clear" w:color="FFFFFF" w:fill="FFFFFF"/>
            <w:noWrap/>
            <w:vAlign w:val="bottom"/>
            <w:hideMark/>
          </w:tcPr>
          <w:p w:rsidR="00735613" w:rsidRDefault="00735613">
            <w:pPr>
              <w:rPr>
                <w:rFonts w:cs="Calibri"/>
                <w:b/>
                <w:bCs/>
                <w:szCs w:val="18"/>
              </w:rPr>
            </w:pPr>
            <w:r>
              <w:rPr>
                <w:rFonts w:cs="Calibri"/>
                <w:b/>
                <w:bCs/>
                <w:szCs w:val="18"/>
              </w:rPr>
              <w:t>Explanation of major variances</w:t>
            </w:r>
          </w:p>
        </w:tc>
      </w:tr>
      <w:tr w:rsidR="00735613" w:rsidTr="00735613">
        <w:trPr>
          <w:trHeight w:val="1800"/>
        </w:trPr>
        <w:tc>
          <w:tcPr>
            <w:tcW w:w="8990" w:type="dxa"/>
            <w:tcBorders>
              <w:top w:val="nil"/>
              <w:left w:val="nil"/>
              <w:bottom w:val="nil"/>
              <w:right w:val="nil"/>
            </w:tcBorders>
            <w:shd w:val="clear" w:color="FFFFFF" w:fill="FFFFFF"/>
            <w:vAlign w:val="bottom"/>
            <w:hideMark/>
          </w:tcPr>
          <w:p w:rsidR="00735613" w:rsidRDefault="00735613" w:rsidP="00735613">
            <w:pPr>
              <w:rPr>
                <w:rFonts w:cs="Calibri"/>
                <w:szCs w:val="18"/>
              </w:rPr>
            </w:pPr>
            <w:proofErr w:type="gramStart"/>
            <w:r>
              <w:rPr>
                <w:rFonts w:cs="Calibri"/>
                <w:szCs w:val="18"/>
              </w:rPr>
              <w:t>1. The 2014–15 Education Portfolio Budget Statements (PBS) as presented to Parliament</w:t>
            </w:r>
            <w:proofErr w:type="gramEnd"/>
            <w:r>
              <w:rPr>
                <w:rFonts w:cs="Calibri"/>
                <w:szCs w:val="18"/>
              </w:rPr>
              <w:t xml:space="preserve"> contained the original budgeted financial statements for 2015.  The PBS was completed prior to the finalisation of the 2013–14 Administrative Arrangement Orders (AAOs) processes which abolished the Department of Employment, Education and Workplace Relations with functions transferring to the newly created Department of Education.  During the 2014–15 financial </w:t>
            </w:r>
            <w:proofErr w:type="gramStart"/>
            <w:r>
              <w:rPr>
                <w:rFonts w:cs="Calibri"/>
                <w:szCs w:val="18"/>
              </w:rPr>
              <w:t>year</w:t>
            </w:r>
            <w:proofErr w:type="gramEnd"/>
            <w:r>
              <w:rPr>
                <w:rFonts w:cs="Calibri"/>
                <w:szCs w:val="18"/>
              </w:rPr>
              <w:t xml:space="preserve"> as a result of the AAOs of 23 December 2014 the department, became the Department of Education and Training.  Functions relating to Early Childhood Education and Care transferred to the Department of Social Services and functions relating to Skills and Training transferred from the Department of Industry and Science. </w:t>
            </w:r>
          </w:p>
        </w:tc>
      </w:tr>
      <w:tr w:rsidR="00735613" w:rsidTr="00735613">
        <w:trPr>
          <w:trHeight w:val="930"/>
        </w:trPr>
        <w:tc>
          <w:tcPr>
            <w:tcW w:w="899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 xml:space="preserve">2. The variances reported in the statements primarily relate to the settlement of balances following the 2013–14 and 2014–15 machinery of government changes. The department also received additional funding through the 2014–15 Portfolio Additional Estimates (PAES) and Portfolio Supplementary Additional Estimates Statements (PSAES) for measures and staffing reduction expenses. </w:t>
            </w:r>
          </w:p>
        </w:tc>
      </w:tr>
      <w:tr w:rsidR="00735613" w:rsidTr="00735613">
        <w:trPr>
          <w:trHeight w:val="1005"/>
        </w:trPr>
        <w:tc>
          <w:tcPr>
            <w:tcW w:w="899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 xml:space="preserve">3. Employee Benefits are higher than anticipated at Budget by $10.462 million primarily due to increased costs associated with reducing staffing during the year of $10.8 million, not included in the 2014–15 Budget. This also resulted in a greater than anticipated reduction to employee provisions of $6.423 million and increased cash payments of $19.490 million as a result of service costs and pay out of leave entitlements. </w:t>
            </w:r>
          </w:p>
        </w:tc>
      </w:tr>
      <w:tr w:rsidR="00735613" w:rsidTr="00735613">
        <w:trPr>
          <w:trHeight w:val="1005"/>
        </w:trPr>
        <w:tc>
          <w:tcPr>
            <w:tcW w:w="8990" w:type="dxa"/>
            <w:tcBorders>
              <w:top w:val="nil"/>
              <w:left w:val="nil"/>
              <w:bottom w:val="nil"/>
              <w:right w:val="nil"/>
            </w:tcBorders>
            <w:shd w:val="clear" w:color="FFFFFF" w:fill="FFFFFF"/>
            <w:vAlign w:val="bottom"/>
            <w:hideMark/>
          </w:tcPr>
          <w:p w:rsidR="00735613" w:rsidRDefault="00735613" w:rsidP="00735613">
            <w:pPr>
              <w:rPr>
                <w:rFonts w:cs="Calibri"/>
                <w:szCs w:val="18"/>
              </w:rPr>
            </w:pPr>
            <w:r>
              <w:rPr>
                <w:rFonts w:cs="Calibri"/>
                <w:szCs w:val="18"/>
              </w:rPr>
              <w:t>4. Sales of goods and rendering of services revenue is $7.968 million higher than anticipated at the 2014–15 Budget. This is a result of increased corporate services delivery through Memorandum of Understandings to other departments and an additional $3.500 million in revenue received for the Unique Student Identifier Special Account as a result the machinery of government changes.</w:t>
            </w:r>
          </w:p>
        </w:tc>
      </w:tr>
      <w:tr w:rsidR="00735613" w:rsidTr="00735613">
        <w:trPr>
          <w:trHeight w:val="1005"/>
        </w:trPr>
        <w:tc>
          <w:tcPr>
            <w:tcW w:w="899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5. Other gains were $6.167 million higher than anticipated at 2014–15 Budget as a result of the Department recognising Resources Received Free of Charge (RRFOC) for the collection of HELP receipts of $4.114 million by the Australian Taxation Office, and an additional $682,000 in RRFOC for services provided by the Australian National Audit Office for the 2013–14 financial statements audit.</w:t>
            </w:r>
          </w:p>
        </w:tc>
      </w:tr>
      <w:tr w:rsidR="00735613" w:rsidTr="00735613">
        <w:trPr>
          <w:trHeight w:val="1005"/>
        </w:trPr>
        <w:tc>
          <w:tcPr>
            <w:tcW w:w="899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 xml:space="preserve">6. Cash and Cash equivalents are $7.972 million higher than at 2014–15 Budget Estimate as a result of the transfer to the USI Special Account from the Department of Industry and Science following the machinery of government changes </w:t>
            </w:r>
            <w:r>
              <w:rPr>
                <w:rFonts w:cs="Calibri"/>
                <w:szCs w:val="18"/>
              </w:rPr>
              <w:br/>
              <w:t>($2.2 million), as well as higher than anticipated receipts for payments of trade and other receivables managed by the department.</w:t>
            </w:r>
          </w:p>
        </w:tc>
      </w:tr>
      <w:tr w:rsidR="00735613" w:rsidTr="00735613">
        <w:trPr>
          <w:trHeight w:val="750"/>
        </w:trPr>
        <w:tc>
          <w:tcPr>
            <w:tcW w:w="899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7. Trade and Other receivables were $7.902 million lower than anticipated at budget as a result of higher than anticipated receipts during the year. Appropriation receivables were also reduced by $3.890 million following finalisation of the machinery of government change with the Department of Employment.</w:t>
            </w:r>
          </w:p>
        </w:tc>
      </w:tr>
      <w:tr w:rsidR="00735613" w:rsidTr="00735613">
        <w:trPr>
          <w:trHeight w:val="1350"/>
        </w:trPr>
        <w:tc>
          <w:tcPr>
            <w:tcW w:w="899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8. The higher than expected level of non-financial assets of $17.397 million was primarily the result of the finalisation of the 2013–14 machinery of government changes which abolished the Department of Education, Employment and Workplace Relations and included the transfer of non-financial assets from the Department of Industry and Science for functions relating to Higher Education, Research and International. In addition, the department received an additional $6.1 million in intangibles as a result of the 2014–15 machinery of government transfer.</w:t>
            </w:r>
          </w:p>
        </w:tc>
      </w:tr>
      <w:tr w:rsidR="00735613" w:rsidTr="00735613">
        <w:trPr>
          <w:trHeight w:val="555"/>
        </w:trPr>
        <w:tc>
          <w:tcPr>
            <w:tcW w:w="899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 xml:space="preserve">9. Payables are $30.685 million higher than the 2014–15 Budget estimate as the payables profile for the department had not been established prior to the publication of the 2014–15 PBS. </w:t>
            </w:r>
          </w:p>
        </w:tc>
      </w:tr>
      <w:tr w:rsidR="00735613" w:rsidTr="00735613">
        <w:trPr>
          <w:trHeight w:val="1245"/>
        </w:trPr>
        <w:tc>
          <w:tcPr>
            <w:tcW w:w="899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10. The movement in contributed equity of $11.030 million primarily reflects a difference of $25.016 million in opening contributions, the budget not completed prior to the finalisation of the 2013–14 machinery of government changes. Additional movements of ($13.986 million) in 2014–15 reflect the net impact of restructuring following the 23 December 2014 machinery of government changes and a reduction to contributed equity of $3.850 million as part of the finalisation of the 2013–14 machinery of government change with the Department of Employment.</w:t>
            </w:r>
          </w:p>
        </w:tc>
      </w:tr>
      <w:tr w:rsidR="00735613" w:rsidTr="00735613">
        <w:trPr>
          <w:trHeight w:val="525"/>
        </w:trPr>
        <w:tc>
          <w:tcPr>
            <w:tcW w:w="8990" w:type="dxa"/>
            <w:tcBorders>
              <w:top w:val="nil"/>
              <w:left w:val="nil"/>
              <w:bottom w:val="nil"/>
              <w:right w:val="nil"/>
            </w:tcBorders>
            <w:shd w:val="clear" w:color="FFFFFF" w:fill="FFFFFF"/>
            <w:vAlign w:val="bottom"/>
            <w:hideMark/>
          </w:tcPr>
          <w:p w:rsidR="00735613" w:rsidRDefault="00735613">
            <w:pPr>
              <w:rPr>
                <w:rFonts w:cs="Calibri"/>
                <w:szCs w:val="18"/>
              </w:rPr>
            </w:pPr>
            <w:r>
              <w:rPr>
                <w:rFonts w:cs="Calibri"/>
                <w:szCs w:val="18"/>
              </w:rPr>
              <w:t>11. The Appropriations received and Cash used other include Section 74 receipts to/from the Official Public Account (OPA) which are presented on a net basis in the 2014–15 Budget estimate.</w:t>
            </w:r>
          </w:p>
        </w:tc>
      </w:tr>
    </w:tbl>
    <w:p w:rsidR="00735613" w:rsidRDefault="00735613" w:rsidP="00735613">
      <w:bookmarkStart w:id="686" w:name="RANGE!D7:E21"/>
      <w:bookmarkStart w:id="687" w:name="RANGE!D7:E14"/>
      <w:bookmarkEnd w:id="686"/>
      <w:bookmarkEnd w:id="687"/>
    </w:p>
    <w:p w:rsidR="00735613" w:rsidRDefault="00735613" w:rsidP="00735613">
      <w:pPr>
        <w:sectPr w:rsidR="00735613" w:rsidSect="00735613">
          <w:pgSz w:w="11906" w:h="16838"/>
          <w:pgMar w:top="1440" w:right="1440" w:bottom="1440" w:left="1440" w:header="708" w:footer="708" w:gutter="0"/>
          <w:cols w:space="720"/>
        </w:sectPr>
      </w:pPr>
    </w:p>
    <w:tbl>
      <w:tblPr>
        <w:tblW w:w="9087" w:type="dxa"/>
        <w:tblInd w:w="80" w:type="dxa"/>
        <w:tblLayout w:type="fixed"/>
        <w:tblLook w:val="04A0" w:firstRow="1" w:lastRow="0" w:firstColumn="1" w:lastColumn="0" w:noHBand="0" w:noVBand="1"/>
      </w:tblPr>
      <w:tblGrid>
        <w:gridCol w:w="5253"/>
        <w:gridCol w:w="1278"/>
        <w:gridCol w:w="1278"/>
        <w:gridCol w:w="1278"/>
      </w:tblGrid>
      <w:tr w:rsidR="00735613" w:rsidTr="00735613">
        <w:trPr>
          <w:trHeight w:val="255"/>
        </w:trPr>
        <w:tc>
          <w:tcPr>
            <w:tcW w:w="8928" w:type="dxa"/>
            <w:gridSpan w:val="4"/>
            <w:tcBorders>
              <w:top w:val="nil"/>
              <w:left w:val="nil"/>
              <w:bottom w:val="nil"/>
              <w:right w:val="nil"/>
            </w:tcBorders>
            <w:shd w:val="clear" w:color="000000" w:fill="D9D9D9"/>
            <w:noWrap/>
            <w:vAlign w:val="bottom"/>
            <w:hideMark/>
          </w:tcPr>
          <w:p w:rsidR="00735613" w:rsidRDefault="00735613">
            <w:pPr>
              <w:rPr>
                <w:rFonts w:cs="Calibri"/>
                <w:b/>
                <w:bCs/>
                <w:szCs w:val="18"/>
                <w:u w:val="single"/>
              </w:rPr>
            </w:pPr>
            <w:bookmarkStart w:id="688" w:name="RANGE!D7:D54"/>
            <w:bookmarkStart w:id="689" w:name="Note_ABPTABLE1" w:colFirst="0" w:colLast="0"/>
            <w:r>
              <w:rPr>
                <w:rFonts w:cs="Calibri"/>
                <w:b/>
                <w:bCs/>
                <w:szCs w:val="18"/>
                <w:u w:val="single"/>
              </w:rPr>
              <w:t>Note 34C: Administered Budgetary Reports</w:t>
            </w:r>
            <w:bookmarkEnd w:id="688"/>
          </w:p>
        </w:tc>
      </w:tr>
      <w:bookmarkEnd w:id="689"/>
      <w:tr w:rsidR="00735613" w:rsidTr="00735613">
        <w:trPr>
          <w:trHeight w:val="255"/>
        </w:trPr>
        <w:tc>
          <w:tcPr>
            <w:tcW w:w="5160"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szCs w:val="18"/>
              </w:rPr>
            </w:pPr>
            <w:r>
              <w:rPr>
                <w:rFonts w:cs="Calibri"/>
                <w:szCs w:val="18"/>
              </w:rPr>
              <w:t> </w:t>
            </w:r>
          </w:p>
        </w:tc>
      </w:tr>
      <w:tr w:rsidR="00735613" w:rsidTr="00735613">
        <w:trPr>
          <w:trHeight w:val="255"/>
        </w:trPr>
        <w:tc>
          <w:tcPr>
            <w:tcW w:w="8928" w:type="dxa"/>
            <w:gridSpan w:val="4"/>
            <w:tcBorders>
              <w:top w:val="nil"/>
              <w:left w:val="nil"/>
              <w:bottom w:val="nil"/>
              <w:right w:val="nil"/>
            </w:tcBorders>
            <w:shd w:val="clear" w:color="000000" w:fill="D9D9D9"/>
            <w:noWrap/>
            <w:vAlign w:val="bottom"/>
            <w:hideMark/>
          </w:tcPr>
          <w:p w:rsidR="00735613" w:rsidRDefault="00735613">
            <w:pPr>
              <w:rPr>
                <w:rFonts w:ascii="Arial" w:hAnsi="Arial" w:cs="Arial"/>
                <w:b/>
                <w:bCs/>
                <w:sz w:val="16"/>
                <w:szCs w:val="16"/>
              </w:rPr>
            </w:pPr>
            <w:r>
              <w:rPr>
                <w:rFonts w:ascii="Arial" w:hAnsi="Arial" w:cs="Arial"/>
                <w:b/>
                <w:bCs/>
                <w:sz w:val="16"/>
                <w:szCs w:val="16"/>
              </w:rPr>
              <w:t>Administered Schedule of Comprehensive Income</w:t>
            </w:r>
          </w:p>
        </w:tc>
      </w:tr>
      <w:tr w:rsidR="00735613" w:rsidTr="00735613">
        <w:trPr>
          <w:trHeight w:val="270"/>
        </w:trPr>
        <w:tc>
          <w:tcPr>
            <w:tcW w:w="8928" w:type="dxa"/>
            <w:gridSpan w:val="4"/>
            <w:tcBorders>
              <w:top w:val="nil"/>
              <w:left w:val="nil"/>
              <w:bottom w:val="single" w:sz="8" w:space="0" w:color="auto"/>
              <w:right w:val="nil"/>
            </w:tcBorders>
            <w:shd w:val="clear" w:color="000000" w:fill="D9D9D9"/>
            <w:noWrap/>
            <w:vAlign w:val="bottom"/>
            <w:hideMark/>
          </w:tcPr>
          <w:p w:rsidR="00735613" w:rsidRDefault="00735613">
            <w:pPr>
              <w:rPr>
                <w:rFonts w:ascii="Arial" w:hAnsi="Arial" w:cs="Arial"/>
                <w:i/>
                <w:iCs/>
                <w:sz w:val="16"/>
                <w:szCs w:val="16"/>
              </w:rPr>
            </w:pPr>
            <w:r>
              <w:rPr>
                <w:rFonts w:ascii="Arial" w:hAnsi="Arial" w:cs="Arial"/>
                <w:i/>
                <w:iCs/>
                <w:sz w:val="16"/>
                <w:szCs w:val="16"/>
              </w:rPr>
              <w:t>for the period ended 30 June 2015</w:t>
            </w:r>
          </w:p>
        </w:tc>
      </w:tr>
      <w:tr w:rsidR="00735613" w:rsidTr="00735613">
        <w:trPr>
          <w:trHeight w:val="255"/>
        </w:trPr>
        <w:tc>
          <w:tcPr>
            <w:tcW w:w="5160"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single" w:sz="4" w:space="0" w:color="D9D9D9"/>
            </w:tcBorders>
            <w:shd w:val="clear" w:color="000000" w:fill="D9D9D9"/>
            <w:vAlign w:val="bottom"/>
            <w:hideMark/>
          </w:tcPr>
          <w:p w:rsidR="00735613" w:rsidRDefault="00735613">
            <w:pPr>
              <w:jc w:val="right"/>
              <w:rPr>
                <w:rFonts w:cs="Calibri"/>
                <w:b/>
                <w:bCs/>
                <w:szCs w:val="18"/>
              </w:rPr>
            </w:pPr>
            <w:r>
              <w:rPr>
                <w:rFonts w:cs="Calibri"/>
                <w:b/>
                <w:bCs/>
                <w:szCs w:val="18"/>
              </w:rPr>
              <w:t>Actual</w:t>
            </w:r>
          </w:p>
        </w:tc>
        <w:tc>
          <w:tcPr>
            <w:tcW w:w="2512" w:type="dxa"/>
            <w:gridSpan w:val="2"/>
            <w:tcBorders>
              <w:top w:val="nil"/>
              <w:left w:val="nil"/>
              <w:bottom w:val="single" w:sz="4" w:space="0" w:color="D9D9D9"/>
              <w:right w:val="nil"/>
            </w:tcBorders>
            <w:shd w:val="clear" w:color="000000" w:fill="D9D9D9"/>
            <w:vAlign w:val="bottom"/>
            <w:hideMark/>
          </w:tcPr>
          <w:p w:rsidR="00735613" w:rsidRDefault="00735613">
            <w:pPr>
              <w:jc w:val="center"/>
              <w:rPr>
                <w:rFonts w:cs="Calibri"/>
                <w:b/>
                <w:bCs/>
                <w:szCs w:val="18"/>
              </w:rPr>
            </w:pPr>
            <w:r>
              <w:rPr>
                <w:rFonts w:cs="Calibri"/>
                <w:b/>
                <w:bCs/>
                <w:szCs w:val="18"/>
              </w:rPr>
              <w:t>Budget Estimate</w:t>
            </w:r>
          </w:p>
        </w:tc>
      </w:tr>
      <w:tr w:rsidR="00735613" w:rsidTr="00735613">
        <w:trPr>
          <w:trHeight w:val="285"/>
        </w:trPr>
        <w:tc>
          <w:tcPr>
            <w:tcW w:w="5160"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auto"/>
              <w:right w:val="single" w:sz="4" w:space="0" w:color="D9D9D9"/>
            </w:tcBorders>
            <w:shd w:val="clear" w:color="000000" w:fill="D9D9D9"/>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single" w:sz="4" w:space="0" w:color="auto"/>
              <w:right w:val="single" w:sz="4" w:space="0" w:color="D9D9D9"/>
            </w:tcBorders>
            <w:shd w:val="clear" w:color="000000" w:fill="D9D9D9"/>
            <w:vAlign w:val="bottom"/>
            <w:hideMark/>
          </w:tcPr>
          <w:p w:rsidR="00735613" w:rsidRDefault="00735613">
            <w:pPr>
              <w:jc w:val="right"/>
              <w:rPr>
                <w:rFonts w:cs="Calibri"/>
                <w:b/>
                <w:bCs/>
                <w:szCs w:val="18"/>
              </w:rPr>
            </w:pPr>
            <w:r>
              <w:rPr>
                <w:rFonts w:cs="Calibri"/>
                <w:b/>
                <w:bCs/>
                <w:szCs w:val="18"/>
              </w:rPr>
              <w:t>Original</w:t>
            </w:r>
            <w:r>
              <w:rPr>
                <w:rFonts w:cs="Calibri"/>
                <w:b/>
                <w:bCs/>
                <w:szCs w:val="18"/>
                <w:vertAlign w:val="superscript"/>
              </w:rPr>
              <w:t>1</w:t>
            </w:r>
          </w:p>
        </w:tc>
        <w:tc>
          <w:tcPr>
            <w:tcW w:w="1256" w:type="dxa"/>
            <w:tcBorders>
              <w:top w:val="nil"/>
              <w:left w:val="nil"/>
              <w:bottom w:val="single" w:sz="4" w:space="0" w:color="auto"/>
              <w:right w:val="nil"/>
            </w:tcBorders>
            <w:shd w:val="clear" w:color="000000" w:fill="D9D9D9"/>
            <w:noWrap/>
            <w:vAlign w:val="bottom"/>
            <w:hideMark/>
          </w:tcPr>
          <w:p w:rsidR="00735613" w:rsidRDefault="00735613">
            <w:pPr>
              <w:jc w:val="right"/>
              <w:rPr>
                <w:rFonts w:cs="Calibri"/>
                <w:szCs w:val="18"/>
              </w:rPr>
            </w:pPr>
            <w:r>
              <w:rPr>
                <w:rFonts w:cs="Calibri"/>
                <w:szCs w:val="18"/>
              </w:rPr>
              <w:t>Variance</w:t>
            </w:r>
            <w:r>
              <w:rPr>
                <w:rFonts w:cs="Calibri"/>
                <w:szCs w:val="18"/>
                <w:vertAlign w:val="superscript"/>
              </w:rPr>
              <w:t>2</w:t>
            </w:r>
          </w:p>
        </w:tc>
      </w:tr>
      <w:tr w:rsidR="00735613" w:rsidTr="00735613">
        <w:trPr>
          <w:trHeight w:val="255"/>
        </w:trPr>
        <w:tc>
          <w:tcPr>
            <w:tcW w:w="5160"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56" w:type="dxa"/>
            <w:tcBorders>
              <w:top w:val="nil"/>
              <w:left w:val="nil"/>
              <w:bottom w:val="nil"/>
              <w:right w:val="single" w:sz="4" w:space="0" w:color="D9D9D9"/>
            </w:tcBorders>
            <w:shd w:val="clear" w:color="000000" w:fill="D9D9D9"/>
            <w:vAlign w:val="bottom"/>
            <w:hideMark/>
          </w:tcPr>
          <w:p w:rsidR="00735613" w:rsidRDefault="00735613">
            <w:pPr>
              <w:jc w:val="right"/>
              <w:rPr>
                <w:rFonts w:cs="Calibri"/>
                <w:b/>
                <w:bCs/>
                <w:szCs w:val="18"/>
              </w:rPr>
            </w:pPr>
            <w:r>
              <w:rPr>
                <w:rFonts w:cs="Calibri"/>
                <w:b/>
                <w:bCs/>
                <w:szCs w:val="18"/>
              </w:rPr>
              <w:t>2015</w:t>
            </w:r>
          </w:p>
        </w:tc>
        <w:tc>
          <w:tcPr>
            <w:tcW w:w="1256" w:type="dxa"/>
            <w:tcBorders>
              <w:top w:val="nil"/>
              <w:left w:val="nil"/>
              <w:bottom w:val="nil"/>
              <w:right w:val="single" w:sz="4" w:space="0" w:color="D9D9D9"/>
            </w:tcBorders>
            <w:shd w:val="clear" w:color="000000" w:fill="D9D9D9"/>
            <w:vAlign w:val="bottom"/>
            <w:hideMark/>
          </w:tcPr>
          <w:p w:rsidR="00735613" w:rsidRDefault="00735613">
            <w:pPr>
              <w:jc w:val="right"/>
              <w:rPr>
                <w:rFonts w:cs="Calibri"/>
                <w:b/>
                <w:bCs/>
                <w:szCs w:val="18"/>
              </w:rPr>
            </w:pPr>
            <w:r>
              <w:rPr>
                <w:rFonts w:cs="Calibri"/>
                <w:b/>
                <w:bCs/>
                <w:szCs w:val="18"/>
              </w:rPr>
              <w:t>2015</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szCs w:val="18"/>
              </w:rPr>
            </w:pPr>
            <w:r>
              <w:rPr>
                <w:rFonts w:cs="Calibri"/>
                <w:szCs w:val="18"/>
              </w:rPr>
              <w:t>2015</w:t>
            </w:r>
          </w:p>
        </w:tc>
      </w:tr>
      <w:tr w:rsidR="00735613" w:rsidTr="00735613">
        <w:trPr>
          <w:trHeight w:val="255"/>
        </w:trPr>
        <w:tc>
          <w:tcPr>
            <w:tcW w:w="5160"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vAlign w:val="bottom"/>
            <w:hideMark/>
          </w:tcPr>
          <w:p w:rsidR="00735613" w:rsidRDefault="00735613">
            <w:pPr>
              <w:jc w:val="right"/>
              <w:rPr>
                <w:rFonts w:cs="Calibri"/>
                <w:b/>
                <w:bCs/>
                <w:szCs w:val="18"/>
              </w:rPr>
            </w:pPr>
            <w:r>
              <w:rPr>
                <w:rFonts w:cs="Calibri"/>
                <w:b/>
                <w:bCs/>
                <w:szCs w:val="18"/>
              </w:rPr>
              <w:t>$'000</w:t>
            </w:r>
          </w:p>
        </w:tc>
        <w:tc>
          <w:tcPr>
            <w:tcW w:w="1256" w:type="dxa"/>
            <w:tcBorders>
              <w:top w:val="nil"/>
              <w:left w:val="nil"/>
              <w:bottom w:val="nil"/>
              <w:right w:val="nil"/>
            </w:tcBorders>
            <w:shd w:val="clear" w:color="000000" w:fill="D9D9D9"/>
            <w:vAlign w:val="bottom"/>
            <w:hideMark/>
          </w:tcPr>
          <w:p w:rsidR="00735613" w:rsidRDefault="00735613">
            <w:pPr>
              <w:jc w:val="right"/>
              <w:rPr>
                <w:rFonts w:cs="Calibri"/>
                <w:b/>
                <w:bCs/>
                <w:szCs w:val="18"/>
              </w:rPr>
            </w:pPr>
            <w:r>
              <w:rPr>
                <w:rFonts w:cs="Calibri"/>
                <w:b/>
                <w:bCs/>
                <w:szCs w:val="18"/>
              </w:rPr>
              <w:t>$'000</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szCs w:val="18"/>
              </w:rPr>
            </w:pPr>
            <w:r>
              <w:rPr>
                <w:rFonts w:cs="Calibri"/>
                <w:szCs w:val="18"/>
              </w:rPr>
              <w:t>$'000</w:t>
            </w:r>
          </w:p>
        </w:tc>
      </w:tr>
      <w:tr w:rsidR="00735613" w:rsidTr="00735613">
        <w:trPr>
          <w:trHeight w:val="255"/>
        </w:trPr>
        <w:tc>
          <w:tcPr>
            <w:tcW w:w="5160" w:type="dxa"/>
            <w:tcBorders>
              <w:top w:val="nil"/>
              <w:left w:val="nil"/>
              <w:bottom w:val="nil"/>
              <w:right w:val="nil"/>
            </w:tcBorders>
            <w:shd w:val="clear" w:color="000000" w:fill="D9D9D9"/>
            <w:vAlign w:val="bottom"/>
            <w:hideMark/>
          </w:tcPr>
          <w:p w:rsidR="00735613" w:rsidRDefault="00735613">
            <w:pPr>
              <w:rPr>
                <w:rFonts w:cs="Calibri"/>
                <w:b/>
                <w:bCs/>
                <w:szCs w:val="18"/>
              </w:rPr>
            </w:pPr>
            <w:r>
              <w:rPr>
                <w:rFonts w:cs="Calibri"/>
                <w:b/>
                <w:bCs/>
                <w:szCs w:val="18"/>
              </w:rPr>
              <w:t>NET COST OF SERVICES</w:t>
            </w:r>
          </w:p>
        </w:tc>
        <w:tc>
          <w:tcPr>
            <w:tcW w:w="1256" w:type="dxa"/>
            <w:tcBorders>
              <w:top w:val="nil"/>
              <w:left w:val="nil"/>
              <w:bottom w:val="nil"/>
              <w:right w:val="nil"/>
            </w:tcBorders>
            <w:shd w:val="clear" w:color="000000" w:fill="D9D9D9"/>
            <w:vAlign w:val="bottom"/>
            <w:hideMark/>
          </w:tcPr>
          <w:p w:rsidR="00735613" w:rsidRDefault="00735613">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vAlign w:val="bottom"/>
            <w:hideMark/>
          </w:tcPr>
          <w:p w:rsidR="00735613" w:rsidRDefault="00735613">
            <w:pPr>
              <w:jc w:val="center"/>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szCs w:val="18"/>
              </w:rPr>
            </w:pPr>
            <w:r>
              <w:rPr>
                <w:rFonts w:cs="Calibri"/>
                <w:szCs w:val="18"/>
              </w:rPr>
              <w:t> </w:t>
            </w:r>
          </w:p>
        </w:tc>
      </w:tr>
      <w:tr w:rsidR="00735613" w:rsidTr="00735613">
        <w:trPr>
          <w:trHeight w:val="255"/>
        </w:trPr>
        <w:tc>
          <w:tcPr>
            <w:tcW w:w="5160" w:type="dxa"/>
            <w:tcBorders>
              <w:top w:val="nil"/>
              <w:left w:val="nil"/>
              <w:bottom w:val="nil"/>
              <w:right w:val="nil"/>
            </w:tcBorders>
            <w:shd w:val="clear" w:color="000000" w:fill="D9D9D9"/>
            <w:vAlign w:val="bottom"/>
            <w:hideMark/>
          </w:tcPr>
          <w:p w:rsidR="00735613" w:rsidRDefault="00735613">
            <w:pPr>
              <w:rPr>
                <w:rFonts w:cs="Calibri"/>
                <w:b/>
                <w:bCs/>
                <w:szCs w:val="18"/>
              </w:rPr>
            </w:pPr>
            <w:r>
              <w:rPr>
                <w:rFonts w:cs="Calibri"/>
                <w:b/>
                <w:bCs/>
                <w:szCs w:val="18"/>
              </w:rPr>
              <w:t>EXPENSES</w:t>
            </w:r>
          </w:p>
        </w:tc>
        <w:tc>
          <w:tcPr>
            <w:tcW w:w="1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85"/>
        </w:trPr>
        <w:tc>
          <w:tcPr>
            <w:tcW w:w="5160"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Supplier expenses</w:t>
            </w:r>
            <w:r>
              <w:rPr>
                <w:rFonts w:cs="Calibri"/>
                <w:szCs w:val="18"/>
                <w:vertAlign w:val="superscript"/>
              </w:rPr>
              <w:t>3</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338,577</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70,705 </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szCs w:val="18"/>
              </w:rPr>
            </w:pPr>
            <w:r>
              <w:rPr>
                <w:rFonts w:cs="Calibri"/>
                <w:szCs w:val="18"/>
              </w:rPr>
              <w:t>267,872</w:t>
            </w:r>
          </w:p>
        </w:tc>
      </w:tr>
      <w:tr w:rsidR="00735613" w:rsidTr="00735613">
        <w:trPr>
          <w:trHeight w:val="285"/>
        </w:trPr>
        <w:tc>
          <w:tcPr>
            <w:tcW w:w="5160"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Subsidies</w:t>
            </w:r>
            <w:r>
              <w:rPr>
                <w:rFonts w:cs="Calibri"/>
                <w:szCs w:val="18"/>
                <w:vertAlign w:val="superscript"/>
              </w:rPr>
              <w:t>3</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144,309</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5,727 </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szCs w:val="18"/>
              </w:rPr>
            </w:pPr>
            <w:r>
              <w:rPr>
                <w:rFonts w:cs="Calibri"/>
                <w:szCs w:val="18"/>
              </w:rPr>
              <w:t>138,582</w:t>
            </w:r>
          </w:p>
        </w:tc>
      </w:tr>
      <w:tr w:rsidR="00735613" w:rsidTr="00735613">
        <w:trPr>
          <w:trHeight w:val="285"/>
        </w:trPr>
        <w:tc>
          <w:tcPr>
            <w:tcW w:w="5160"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Personal benefits</w:t>
            </w:r>
            <w:r>
              <w:rPr>
                <w:rFonts w:cs="Calibri"/>
                <w:szCs w:val="18"/>
                <w:vertAlign w:val="superscript"/>
              </w:rPr>
              <w:t>3</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3,535,096</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6,453,989 </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szCs w:val="18"/>
              </w:rPr>
            </w:pPr>
            <w:r>
              <w:rPr>
                <w:rFonts w:cs="Calibri"/>
                <w:szCs w:val="18"/>
              </w:rPr>
              <w:t>(2,918,893)</w:t>
            </w:r>
          </w:p>
        </w:tc>
      </w:tr>
      <w:tr w:rsidR="00735613" w:rsidTr="00735613">
        <w:trPr>
          <w:trHeight w:val="285"/>
        </w:trPr>
        <w:tc>
          <w:tcPr>
            <w:tcW w:w="5160"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Grants</w:t>
            </w:r>
            <w:r>
              <w:rPr>
                <w:rFonts w:cs="Calibri"/>
                <w:szCs w:val="18"/>
                <w:vertAlign w:val="superscript"/>
              </w:rPr>
              <w:t>3</w:t>
            </w:r>
            <w:r>
              <w:rPr>
                <w:rFonts w:cs="Calibri"/>
                <w:szCs w:val="18"/>
              </w:rPr>
              <w:t xml:space="preserve"> </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24,410,096</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24,519,219 </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szCs w:val="18"/>
              </w:rPr>
            </w:pPr>
            <w:r>
              <w:rPr>
                <w:rFonts w:cs="Calibri"/>
                <w:szCs w:val="18"/>
              </w:rPr>
              <w:t>(109,123)</w:t>
            </w:r>
          </w:p>
        </w:tc>
      </w:tr>
      <w:tr w:rsidR="00735613" w:rsidTr="00735613">
        <w:trPr>
          <w:trHeight w:val="285"/>
        </w:trPr>
        <w:tc>
          <w:tcPr>
            <w:tcW w:w="5160"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Finance costs</w:t>
            </w:r>
            <w:r>
              <w:rPr>
                <w:rFonts w:cs="Calibri"/>
                <w:szCs w:val="18"/>
                <w:vertAlign w:val="superscript"/>
              </w:rPr>
              <w:t>4</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801,980</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34,214 </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szCs w:val="18"/>
              </w:rPr>
            </w:pPr>
            <w:r>
              <w:rPr>
                <w:rFonts w:cs="Calibri"/>
                <w:szCs w:val="18"/>
              </w:rPr>
              <w:t>767,766</w:t>
            </w:r>
          </w:p>
        </w:tc>
      </w:tr>
      <w:tr w:rsidR="00735613" w:rsidTr="00735613">
        <w:trPr>
          <w:trHeight w:val="255"/>
        </w:trPr>
        <w:tc>
          <w:tcPr>
            <w:tcW w:w="5160"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Write-down and impairment of assets</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26,237</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51,240 </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szCs w:val="18"/>
              </w:rPr>
            </w:pPr>
            <w:r>
              <w:rPr>
                <w:rFonts w:cs="Calibri"/>
                <w:szCs w:val="18"/>
              </w:rPr>
              <w:t>(25,003)</w:t>
            </w:r>
          </w:p>
        </w:tc>
      </w:tr>
      <w:tr w:rsidR="00735613" w:rsidTr="00735613">
        <w:trPr>
          <w:trHeight w:val="255"/>
        </w:trPr>
        <w:tc>
          <w:tcPr>
            <w:tcW w:w="5160"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Payment to Corporate Commonwealth Entities</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13,370</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13,370 </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szCs w:val="18"/>
              </w:rPr>
            </w:pPr>
            <w:r>
              <w:rPr>
                <w:rFonts w:cs="Calibri"/>
                <w:szCs w:val="18"/>
              </w:rPr>
              <w:t>-</w:t>
            </w:r>
          </w:p>
        </w:tc>
      </w:tr>
      <w:tr w:rsidR="00735613" w:rsidTr="00735613">
        <w:trPr>
          <w:trHeight w:val="285"/>
        </w:trPr>
        <w:tc>
          <w:tcPr>
            <w:tcW w:w="5160"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Fair value losses</w:t>
            </w:r>
            <w:r>
              <w:rPr>
                <w:rFonts w:cs="Calibri"/>
                <w:szCs w:val="18"/>
                <w:vertAlign w:val="superscript"/>
              </w:rPr>
              <w:t>4</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702,638</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1,315,793 </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szCs w:val="18"/>
              </w:rPr>
            </w:pPr>
            <w:r>
              <w:rPr>
                <w:rFonts w:cs="Calibri"/>
                <w:szCs w:val="18"/>
              </w:rPr>
              <w:t>(613,155)</w:t>
            </w:r>
          </w:p>
        </w:tc>
      </w:tr>
      <w:tr w:rsidR="00735613" w:rsidTr="00735613">
        <w:trPr>
          <w:trHeight w:val="255"/>
        </w:trPr>
        <w:tc>
          <w:tcPr>
            <w:tcW w:w="5160"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Other Expenses</w:t>
            </w:r>
          </w:p>
        </w:tc>
        <w:tc>
          <w:tcPr>
            <w:tcW w:w="125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b/>
                <w:bCs/>
                <w:szCs w:val="18"/>
              </w:rPr>
            </w:pPr>
            <w:r>
              <w:rPr>
                <w:rFonts w:cs="Calibri"/>
                <w:b/>
                <w:bCs/>
                <w:szCs w:val="18"/>
              </w:rPr>
              <w:t>57</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 -</w:t>
            </w:r>
          </w:p>
        </w:tc>
        <w:tc>
          <w:tcPr>
            <w:tcW w:w="125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szCs w:val="18"/>
              </w:rPr>
            </w:pPr>
            <w:r>
              <w:rPr>
                <w:rFonts w:cs="Calibri"/>
                <w:szCs w:val="18"/>
              </w:rPr>
              <w:t>57</w:t>
            </w:r>
          </w:p>
        </w:tc>
      </w:tr>
      <w:tr w:rsidR="00735613" w:rsidTr="00735613">
        <w:trPr>
          <w:trHeight w:val="255"/>
        </w:trPr>
        <w:tc>
          <w:tcPr>
            <w:tcW w:w="5160" w:type="dxa"/>
            <w:tcBorders>
              <w:top w:val="single" w:sz="4" w:space="0" w:color="D9D9D9"/>
              <w:left w:val="nil"/>
              <w:bottom w:val="single" w:sz="4" w:space="0" w:color="D9D9D9"/>
              <w:right w:val="nil"/>
            </w:tcBorders>
            <w:shd w:val="clear" w:color="000000" w:fill="D9D9D9"/>
            <w:vAlign w:val="bottom"/>
            <w:hideMark/>
          </w:tcPr>
          <w:p w:rsidR="00735613" w:rsidRDefault="00735613">
            <w:pPr>
              <w:rPr>
                <w:rFonts w:cs="Calibri"/>
                <w:b/>
                <w:bCs/>
                <w:i/>
                <w:iCs/>
                <w:szCs w:val="18"/>
              </w:rPr>
            </w:pPr>
            <w:r>
              <w:rPr>
                <w:rFonts w:cs="Calibri"/>
                <w:b/>
                <w:bCs/>
                <w:i/>
                <w:iCs/>
                <w:szCs w:val="18"/>
              </w:rPr>
              <w:t>Total expenses</w:t>
            </w:r>
          </w:p>
        </w:tc>
        <w:tc>
          <w:tcPr>
            <w:tcW w:w="12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29,972,360</w:t>
            </w:r>
          </w:p>
        </w:tc>
        <w:tc>
          <w:tcPr>
            <w:tcW w:w="12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32,464,257</w:t>
            </w:r>
          </w:p>
        </w:tc>
        <w:tc>
          <w:tcPr>
            <w:tcW w:w="12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szCs w:val="18"/>
              </w:rPr>
            </w:pPr>
            <w:r>
              <w:rPr>
                <w:rFonts w:cs="Calibri"/>
                <w:szCs w:val="18"/>
              </w:rPr>
              <w:t>(2,491,897)</w:t>
            </w:r>
          </w:p>
        </w:tc>
      </w:tr>
      <w:tr w:rsidR="00735613" w:rsidTr="00735613">
        <w:trPr>
          <w:trHeight w:val="255"/>
        </w:trPr>
        <w:tc>
          <w:tcPr>
            <w:tcW w:w="5160"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35613" w:rsidRDefault="00735613">
            <w:pPr>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35613" w:rsidRDefault="00735613">
            <w:pPr>
              <w:rPr>
                <w:rFonts w:cs="Calibri"/>
                <w:szCs w:val="18"/>
              </w:rPr>
            </w:pPr>
            <w:r>
              <w:rPr>
                <w:rFonts w:cs="Calibri"/>
                <w:szCs w:val="18"/>
              </w:rPr>
              <w:t> </w:t>
            </w:r>
          </w:p>
        </w:tc>
      </w:tr>
      <w:tr w:rsidR="00735613" w:rsidTr="00735613">
        <w:trPr>
          <w:trHeight w:val="255"/>
        </w:trPr>
        <w:tc>
          <w:tcPr>
            <w:tcW w:w="5160" w:type="dxa"/>
            <w:tcBorders>
              <w:top w:val="nil"/>
              <w:left w:val="nil"/>
              <w:bottom w:val="nil"/>
              <w:right w:val="nil"/>
            </w:tcBorders>
            <w:shd w:val="clear" w:color="000000" w:fill="D9D9D9"/>
            <w:vAlign w:val="bottom"/>
            <w:hideMark/>
          </w:tcPr>
          <w:p w:rsidR="00735613" w:rsidRDefault="00735613">
            <w:pPr>
              <w:rPr>
                <w:rFonts w:cs="Calibri"/>
                <w:b/>
                <w:bCs/>
                <w:szCs w:val="18"/>
              </w:rPr>
            </w:pPr>
            <w:r>
              <w:rPr>
                <w:rFonts w:cs="Calibri"/>
                <w:b/>
                <w:bCs/>
                <w:szCs w:val="18"/>
              </w:rPr>
              <w:t>INCOME</w:t>
            </w:r>
          </w:p>
        </w:tc>
        <w:tc>
          <w:tcPr>
            <w:tcW w:w="1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55"/>
        </w:trPr>
        <w:tc>
          <w:tcPr>
            <w:tcW w:w="5160" w:type="dxa"/>
            <w:tcBorders>
              <w:top w:val="nil"/>
              <w:left w:val="nil"/>
              <w:bottom w:val="nil"/>
              <w:right w:val="nil"/>
            </w:tcBorders>
            <w:shd w:val="clear" w:color="000000" w:fill="D9D9D9"/>
            <w:vAlign w:val="bottom"/>
            <w:hideMark/>
          </w:tcPr>
          <w:p w:rsidR="00735613" w:rsidRDefault="00735613">
            <w:pPr>
              <w:rPr>
                <w:rFonts w:cs="Calibri"/>
                <w:b/>
                <w:bCs/>
                <w:szCs w:val="18"/>
              </w:rPr>
            </w:pPr>
            <w:r>
              <w:rPr>
                <w:rFonts w:cs="Calibri"/>
                <w:b/>
                <w:bCs/>
                <w:szCs w:val="18"/>
              </w:rPr>
              <w:t>Revenue</w:t>
            </w:r>
          </w:p>
        </w:tc>
        <w:tc>
          <w:tcPr>
            <w:tcW w:w="1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55"/>
        </w:trPr>
        <w:tc>
          <w:tcPr>
            <w:tcW w:w="5160" w:type="dxa"/>
            <w:tcBorders>
              <w:top w:val="nil"/>
              <w:left w:val="nil"/>
              <w:bottom w:val="nil"/>
              <w:right w:val="nil"/>
            </w:tcBorders>
            <w:shd w:val="clear" w:color="000000" w:fill="D9D9D9"/>
            <w:vAlign w:val="bottom"/>
            <w:hideMark/>
          </w:tcPr>
          <w:p w:rsidR="00735613" w:rsidRDefault="00735613">
            <w:pPr>
              <w:rPr>
                <w:rFonts w:cs="Calibri"/>
                <w:b/>
                <w:bCs/>
                <w:szCs w:val="18"/>
              </w:rPr>
            </w:pPr>
            <w:r>
              <w:rPr>
                <w:rFonts w:cs="Calibri"/>
                <w:b/>
                <w:bCs/>
                <w:szCs w:val="18"/>
              </w:rPr>
              <w:t>Taxation revenue</w:t>
            </w:r>
          </w:p>
        </w:tc>
        <w:tc>
          <w:tcPr>
            <w:tcW w:w="1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55"/>
        </w:trPr>
        <w:tc>
          <w:tcPr>
            <w:tcW w:w="5160"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Other taxes</w:t>
            </w:r>
          </w:p>
        </w:tc>
        <w:tc>
          <w:tcPr>
            <w:tcW w:w="125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b/>
                <w:bCs/>
                <w:szCs w:val="18"/>
              </w:rPr>
            </w:pPr>
            <w:r>
              <w:rPr>
                <w:rFonts w:cs="Calibri"/>
                <w:b/>
                <w:bCs/>
                <w:szCs w:val="18"/>
              </w:rPr>
              <w:t>8,576</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6,300 </w:t>
            </w:r>
          </w:p>
        </w:tc>
        <w:tc>
          <w:tcPr>
            <w:tcW w:w="125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szCs w:val="18"/>
              </w:rPr>
            </w:pPr>
            <w:r>
              <w:rPr>
                <w:rFonts w:cs="Calibri"/>
                <w:szCs w:val="18"/>
              </w:rPr>
              <w:t>2,276</w:t>
            </w:r>
          </w:p>
        </w:tc>
      </w:tr>
      <w:tr w:rsidR="00735613" w:rsidTr="00735613">
        <w:trPr>
          <w:trHeight w:val="255"/>
        </w:trPr>
        <w:tc>
          <w:tcPr>
            <w:tcW w:w="5160" w:type="dxa"/>
            <w:tcBorders>
              <w:top w:val="single" w:sz="4" w:space="0" w:color="D9D9D9"/>
              <w:left w:val="nil"/>
              <w:bottom w:val="single" w:sz="4" w:space="0" w:color="D9D9D9"/>
              <w:right w:val="nil"/>
            </w:tcBorders>
            <w:shd w:val="clear" w:color="000000" w:fill="D9D9D9"/>
            <w:vAlign w:val="bottom"/>
            <w:hideMark/>
          </w:tcPr>
          <w:p w:rsidR="00735613" w:rsidRDefault="00735613">
            <w:pPr>
              <w:rPr>
                <w:rFonts w:cs="Calibri"/>
                <w:b/>
                <w:bCs/>
                <w:szCs w:val="18"/>
              </w:rPr>
            </w:pPr>
            <w:r>
              <w:rPr>
                <w:rFonts w:cs="Calibri"/>
                <w:b/>
                <w:bCs/>
                <w:szCs w:val="18"/>
              </w:rPr>
              <w:t>Total taxation revenue</w:t>
            </w:r>
          </w:p>
        </w:tc>
        <w:tc>
          <w:tcPr>
            <w:tcW w:w="12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8,576</w:t>
            </w:r>
          </w:p>
        </w:tc>
        <w:tc>
          <w:tcPr>
            <w:tcW w:w="12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6,300</w:t>
            </w:r>
          </w:p>
        </w:tc>
        <w:tc>
          <w:tcPr>
            <w:tcW w:w="12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szCs w:val="18"/>
              </w:rPr>
            </w:pPr>
            <w:r>
              <w:rPr>
                <w:rFonts w:cs="Calibri"/>
                <w:szCs w:val="18"/>
              </w:rPr>
              <w:t>2,276</w:t>
            </w:r>
          </w:p>
        </w:tc>
      </w:tr>
      <w:tr w:rsidR="00735613" w:rsidTr="00735613">
        <w:trPr>
          <w:trHeight w:val="255"/>
        </w:trPr>
        <w:tc>
          <w:tcPr>
            <w:tcW w:w="5160"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35613" w:rsidRDefault="00735613">
            <w:pPr>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35613" w:rsidRDefault="00735613">
            <w:pPr>
              <w:rPr>
                <w:rFonts w:cs="Calibri"/>
                <w:szCs w:val="18"/>
              </w:rPr>
            </w:pPr>
            <w:r>
              <w:rPr>
                <w:rFonts w:cs="Calibri"/>
                <w:szCs w:val="18"/>
              </w:rPr>
              <w:t> </w:t>
            </w:r>
          </w:p>
        </w:tc>
      </w:tr>
      <w:tr w:rsidR="00735613" w:rsidTr="00735613">
        <w:trPr>
          <w:trHeight w:val="255"/>
        </w:trPr>
        <w:tc>
          <w:tcPr>
            <w:tcW w:w="5160" w:type="dxa"/>
            <w:tcBorders>
              <w:top w:val="nil"/>
              <w:left w:val="nil"/>
              <w:bottom w:val="nil"/>
              <w:right w:val="nil"/>
            </w:tcBorders>
            <w:shd w:val="clear" w:color="000000" w:fill="D9D9D9"/>
            <w:vAlign w:val="bottom"/>
            <w:hideMark/>
          </w:tcPr>
          <w:p w:rsidR="00735613" w:rsidRDefault="00735613">
            <w:pPr>
              <w:rPr>
                <w:rFonts w:cs="Calibri"/>
                <w:b/>
                <w:bCs/>
                <w:szCs w:val="18"/>
              </w:rPr>
            </w:pPr>
            <w:r>
              <w:rPr>
                <w:rFonts w:cs="Calibri"/>
                <w:b/>
                <w:bCs/>
                <w:szCs w:val="18"/>
              </w:rPr>
              <w:t>Non-taxation revenue</w:t>
            </w:r>
          </w:p>
        </w:tc>
        <w:tc>
          <w:tcPr>
            <w:tcW w:w="1256" w:type="dxa"/>
            <w:tcBorders>
              <w:top w:val="nil"/>
              <w:left w:val="nil"/>
              <w:bottom w:val="nil"/>
              <w:right w:val="nil"/>
            </w:tcBorders>
            <w:shd w:val="clear" w:color="000000" w:fill="D9D9D9"/>
            <w:noWrap/>
            <w:vAlign w:val="bottom"/>
            <w:hideMark/>
          </w:tcPr>
          <w:p w:rsidR="00735613" w:rsidRDefault="00735613">
            <w:pPr>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35613" w:rsidRDefault="00735613">
            <w:pPr>
              <w:rPr>
                <w:rFonts w:cs="Calibri"/>
                <w:szCs w:val="18"/>
              </w:rPr>
            </w:pPr>
            <w:r>
              <w:rPr>
                <w:rFonts w:cs="Calibri"/>
                <w:szCs w:val="18"/>
              </w:rPr>
              <w:t> </w:t>
            </w:r>
          </w:p>
        </w:tc>
      </w:tr>
      <w:tr w:rsidR="00735613" w:rsidTr="00735613">
        <w:trPr>
          <w:trHeight w:val="285"/>
        </w:trPr>
        <w:tc>
          <w:tcPr>
            <w:tcW w:w="5160"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Interest</w:t>
            </w:r>
            <w:r>
              <w:rPr>
                <w:rFonts w:cs="Calibri"/>
                <w:szCs w:val="18"/>
                <w:vertAlign w:val="superscript"/>
              </w:rPr>
              <w:t>4</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583,134</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725,676 </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szCs w:val="18"/>
              </w:rPr>
            </w:pPr>
            <w:r>
              <w:rPr>
                <w:rFonts w:cs="Calibri"/>
                <w:szCs w:val="18"/>
              </w:rPr>
              <w:t>(142,542)</w:t>
            </w:r>
          </w:p>
        </w:tc>
      </w:tr>
      <w:tr w:rsidR="00735613" w:rsidTr="00735613">
        <w:trPr>
          <w:trHeight w:val="285"/>
        </w:trPr>
        <w:tc>
          <w:tcPr>
            <w:tcW w:w="5160"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Other revenue</w:t>
            </w:r>
            <w:r>
              <w:rPr>
                <w:rFonts w:cs="Calibri"/>
                <w:szCs w:val="18"/>
                <w:vertAlign w:val="superscript"/>
              </w:rPr>
              <w:t>4</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291,185</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770,035 </w:t>
            </w:r>
          </w:p>
        </w:tc>
        <w:tc>
          <w:tcPr>
            <w:tcW w:w="125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szCs w:val="18"/>
              </w:rPr>
            </w:pPr>
            <w:r>
              <w:rPr>
                <w:rFonts w:cs="Calibri"/>
                <w:szCs w:val="18"/>
              </w:rPr>
              <w:t>(478,850)</w:t>
            </w:r>
          </w:p>
        </w:tc>
      </w:tr>
      <w:tr w:rsidR="00735613" w:rsidTr="00735613">
        <w:trPr>
          <w:trHeight w:val="255"/>
        </w:trPr>
        <w:tc>
          <w:tcPr>
            <w:tcW w:w="5160" w:type="dxa"/>
            <w:tcBorders>
              <w:top w:val="single" w:sz="4" w:space="0" w:color="D9D9D9"/>
              <w:left w:val="nil"/>
              <w:bottom w:val="single" w:sz="4" w:space="0" w:color="D9D9D9"/>
              <w:right w:val="nil"/>
            </w:tcBorders>
            <w:shd w:val="clear" w:color="000000" w:fill="D9D9D9"/>
            <w:vAlign w:val="bottom"/>
            <w:hideMark/>
          </w:tcPr>
          <w:p w:rsidR="00735613" w:rsidRDefault="00735613">
            <w:pPr>
              <w:rPr>
                <w:rFonts w:cs="Calibri"/>
                <w:b/>
                <w:bCs/>
                <w:szCs w:val="18"/>
              </w:rPr>
            </w:pPr>
            <w:r>
              <w:rPr>
                <w:rFonts w:cs="Calibri"/>
                <w:b/>
                <w:bCs/>
                <w:szCs w:val="18"/>
              </w:rPr>
              <w:t>Total non-taxation revenue</w:t>
            </w:r>
          </w:p>
        </w:tc>
        <w:tc>
          <w:tcPr>
            <w:tcW w:w="12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874,319</w:t>
            </w:r>
          </w:p>
        </w:tc>
        <w:tc>
          <w:tcPr>
            <w:tcW w:w="12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1,495,711</w:t>
            </w:r>
          </w:p>
        </w:tc>
        <w:tc>
          <w:tcPr>
            <w:tcW w:w="12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szCs w:val="18"/>
              </w:rPr>
            </w:pPr>
            <w:r>
              <w:rPr>
                <w:rFonts w:cs="Calibri"/>
                <w:szCs w:val="18"/>
              </w:rPr>
              <w:t>(621,392)</w:t>
            </w:r>
          </w:p>
        </w:tc>
      </w:tr>
      <w:tr w:rsidR="00735613" w:rsidTr="00735613">
        <w:trPr>
          <w:trHeight w:val="255"/>
        </w:trPr>
        <w:tc>
          <w:tcPr>
            <w:tcW w:w="5160" w:type="dxa"/>
            <w:tcBorders>
              <w:top w:val="nil"/>
              <w:left w:val="nil"/>
              <w:bottom w:val="single" w:sz="4" w:space="0" w:color="D9D9D9"/>
              <w:right w:val="nil"/>
            </w:tcBorders>
            <w:shd w:val="clear" w:color="000000" w:fill="D9D9D9"/>
            <w:vAlign w:val="bottom"/>
            <w:hideMark/>
          </w:tcPr>
          <w:p w:rsidR="00735613" w:rsidRDefault="00735613">
            <w:pPr>
              <w:rPr>
                <w:rFonts w:cs="Calibri"/>
                <w:b/>
                <w:bCs/>
                <w:i/>
                <w:iCs/>
                <w:szCs w:val="18"/>
              </w:rPr>
            </w:pPr>
            <w:r>
              <w:rPr>
                <w:rFonts w:cs="Calibri"/>
                <w:b/>
                <w:bCs/>
                <w:i/>
                <w:iCs/>
                <w:szCs w:val="18"/>
              </w:rPr>
              <w:t xml:space="preserve">Total revenue </w:t>
            </w:r>
          </w:p>
        </w:tc>
        <w:tc>
          <w:tcPr>
            <w:tcW w:w="1256" w:type="dxa"/>
            <w:tcBorders>
              <w:top w:val="nil"/>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882,895</w:t>
            </w:r>
          </w:p>
        </w:tc>
        <w:tc>
          <w:tcPr>
            <w:tcW w:w="1256" w:type="dxa"/>
            <w:tcBorders>
              <w:top w:val="nil"/>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1,502,011</w:t>
            </w:r>
          </w:p>
        </w:tc>
        <w:tc>
          <w:tcPr>
            <w:tcW w:w="1256" w:type="dxa"/>
            <w:tcBorders>
              <w:top w:val="nil"/>
              <w:left w:val="nil"/>
              <w:bottom w:val="single" w:sz="4" w:space="0" w:color="auto"/>
              <w:right w:val="nil"/>
            </w:tcBorders>
            <w:shd w:val="clear" w:color="000000" w:fill="D9D9D9"/>
            <w:noWrap/>
            <w:vAlign w:val="bottom"/>
            <w:hideMark/>
          </w:tcPr>
          <w:p w:rsidR="00735613" w:rsidRDefault="00735613">
            <w:pPr>
              <w:jc w:val="right"/>
              <w:rPr>
                <w:rFonts w:cs="Calibri"/>
                <w:szCs w:val="18"/>
              </w:rPr>
            </w:pPr>
            <w:r>
              <w:rPr>
                <w:rFonts w:cs="Calibri"/>
                <w:szCs w:val="18"/>
              </w:rPr>
              <w:t>(619,116)</w:t>
            </w:r>
          </w:p>
        </w:tc>
      </w:tr>
      <w:tr w:rsidR="00735613" w:rsidTr="00735613">
        <w:trPr>
          <w:trHeight w:val="255"/>
        </w:trPr>
        <w:tc>
          <w:tcPr>
            <w:tcW w:w="5160"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55"/>
        </w:trPr>
        <w:tc>
          <w:tcPr>
            <w:tcW w:w="5160" w:type="dxa"/>
            <w:tcBorders>
              <w:top w:val="nil"/>
              <w:left w:val="nil"/>
              <w:bottom w:val="nil"/>
              <w:right w:val="nil"/>
            </w:tcBorders>
            <w:shd w:val="clear" w:color="000000" w:fill="D9D9D9"/>
            <w:vAlign w:val="bottom"/>
            <w:hideMark/>
          </w:tcPr>
          <w:p w:rsidR="00735613" w:rsidRDefault="00735613">
            <w:pPr>
              <w:rPr>
                <w:rFonts w:cs="Calibri"/>
                <w:b/>
                <w:bCs/>
                <w:szCs w:val="18"/>
              </w:rPr>
            </w:pPr>
            <w:r>
              <w:rPr>
                <w:rFonts w:cs="Calibri"/>
                <w:b/>
                <w:bCs/>
                <w:szCs w:val="18"/>
              </w:rPr>
              <w:t>Gains</w:t>
            </w:r>
          </w:p>
        </w:tc>
        <w:tc>
          <w:tcPr>
            <w:tcW w:w="1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85"/>
        </w:trPr>
        <w:tc>
          <w:tcPr>
            <w:tcW w:w="5160"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Reversals of previous asset write-downs and impairment</w:t>
            </w:r>
            <w:r>
              <w:rPr>
                <w:rFonts w:cs="Calibri"/>
                <w:szCs w:val="18"/>
                <w:vertAlign w:val="superscript"/>
              </w:rPr>
              <w:t>5</w:t>
            </w:r>
          </w:p>
        </w:tc>
        <w:tc>
          <w:tcPr>
            <w:tcW w:w="125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b/>
                <w:bCs/>
                <w:szCs w:val="18"/>
              </w:rPr>
            </w:pPr>
            <w:r>
              <w:rPr>
                <w:rFonts w:cs="Calibri"/>
                <w:b/>
                <w:bCs/>
                <w:szCs w:val="18"/>
              </w:rPr>
              <w:t>1,200,266</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 -</w:t>
            </w:r>
          </w:p>
        </w:tc>
        <w:tc>
          <w:tcPr>
            <w:tcW w:w="125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szCs w:val="18"/>
              </w:rPr>
            </w:pPr>
            <w:r>
              <w:rPr>
                <w:rFonts w:cs="Calibri"/>
                <w:szCs w:val="18"/>
              </w:rPr>
              <w:t>1,200,266</w:t>
            </w:r>
          </w:p>
        </w:tc>
      </w:tr>
      <w:tr w:rsidR="00735613" w:rsidTr="00735613">
        <w:trPr>
          <w:trHeight w:val="255"/>
        </w:trPr>
        <w:tc>
          <w:tcPr>
            <w:tcW w:w="5160" w:type="dxa"/>
            <w:tcBorders>
              <w:top w:val="single" w:sz="4" w:space="0" w:color="D9D9D9"/>
              <w:left w:val="nil"/>
              <w:bottom w:val="single" w:sz="4" w:space="0" w:color="D9D9D9"/>
              <w:right w:val="nil"/>
            </w:tcBorders>
            <w:shd w:val="clear" w:color="000000" w:fill="D9D9D9"/>
            <w:vAlign w:val="bottom"/>
            <w:hideMark/>
          </w:tcPr>
          <w:p w:rsidR="00735613" w:rsidRDefault="00735613">
            <w:pPr>
              <w:rPr>
                <w:rFonts w:cs="Calibri"/>
                <w:b/>
                <w:bCs/>
                <w:i/>
                <w:iCs/>
                <w:szCs w:val="18"/>
              </w:rPr>
            </w:pPr>
            <w:r>
              <w:rPr>
                <w:rFonts w:cs="Calibri"/>
                <w:b/>
                <w:bCs/>
                <w:i/>
                <w:iCs/>
                <w:szCs w:val="18"/>
              </w:rPr>
              <w:t xml:space="preserve">Total gains </w:t>
            </w:r>
          </w:p>
        </w:tc>
        <w:tc>
          <w:tcPr>
            <w:tcW w:w="12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1,200,266</w:t>
            </w:r>
          </w:p>
        </w:tc>
        <w:tc>
          <w:tcPr>
            <w:tcW w:w="12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w:t>
            </w:r>
          </w:p>
        </w:tc>
        <w:tc>
          <w:tcPr>
            <w:tcW w:w="12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szCs w:val="18"/>
              </w:rPr>
            </w:pPr>
            <w:r>
              <w:rPr>
                <w:rFonts w:cs="Calibri"/>
                <w:szCs w:val="18"/>
              </w:rPr>
              <w:t>1,200,266</w:t>
            </w:r>
          </w:p>
        </w:tc>
      </w:tr>
      <w:tr w:rsidR="00735613" w:rsidTr="00735613">
        <w:trPr>
          <w:trHeight w:val="255"/>
        </w:trPr>
        <w:tc>
          <w:tcPr>
            <w:tcW w:w="5160" w:type="dxa"/>
            <w:tcBorders>
              <w:top w:val="nil"/>
              <w:left w:val="nil"/>
              <w:bottom w:val="single" w:sz="4" w:space="0" w:color="D9D9D9"/>
              <w:right w:val="nil"/>
            </w:tcBorders>
            <w:shd w:val="clear" w:color="000000" w:fill="D9D9D9"/>
            <w:vAlign w:val="bottom"/>
            <w:hideMark/>
          </w:tcPr>
          <w:p w:rsidR="00735613" w:rsidRDefault="00735613">
            <w:pPr>
              <w:rPr>
                <w:rFonts w:cs="Calibri"/>
                <w:b/>
                <w:bCs/>
                <w:szCs w:val="18"/>
              </w:rPr>
            </w:pPr>
            <w:r>
              <w:rPr>
                <w:rFonts w:cs="Calibri"/>
                <w:b/>
                <w:bCs/>
                <w:szCs w:val="18"/>
              </w:rPr>
              <w:t>Total income</w:t>
            </w:r>
          </w:p>
        </w:tc>
        <w:tc>
          <w:tcPr>
            <w:tcW w:w="1256" w:type="dxa"/>
            <w:tcBorders>
              <w:top w:val="nil"/>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2,083,161</w:t>
            </w:r>
          </w:p>
        </w:tc>
        <w:tc>
          <w:tcPr>
            <w:tcW w:w="1256" w:type="dxa"/>
            <w:tcBorders>
              <w:top w:val="nil"/>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1,502,011</w:t>
            </w:r>
          </w:p>
        </w:tc>
        <w:tc>
          <w:tcPr>
            <w:tcW w:w="1256" w:type="dxa"/>
            <w:tcBorders>
              <w:top w:val="nil"/>
              <w:left w:val="nil"/>
              <w:bottom w:val="single" w:sz="4" w:space="0" w:color="auto"/>
              <w:right w:val="nil"/>
            </w:tcBorders>
            <w:shd w:val="clear" w:color="000000" w:fill="D9D9D9"/>
            <w:noWrap/>
            <w:vAlign w:val="bottom"/>
            <w:hideMark/>
          </w:tcPr>
          <w:p w:rsidR="00735613" w:rsidRDefault="00735613">
            <w:pPr>
              <w:jc w:val="right"/>
              <w:rPr>
                <w:rFonts w:cs="Calibri"/>
                <w:szCs w:val="18"/>
              </w:rPr>
            </w:pPr>
            <w:r>
              <w:rPr>
                <w:rFonts w:cs="Calibri"/>
                <w:szCs w:val="18"/>
              </w:rPr>
              <w:t>581,150</w:t>
            </w:r>
          </w:p>
        </w:tc>
      </w:tr>
      <w:tr w:rsidR="00735613" w:rsidTr="00735613">
        <w:trPr>
          <w:trHeight w:val="255"/>
        </w:trPr>
        <w:tc>
          <w:tcPr>
            <w:tcW w:w="5160" w:type="dxa"/>
            <w:tcBorders>
              <w:top w:val="nil"/>
              <w:left w:val="nil"/>
              <w:bottom w:val="single" w:sz="4" w:space="0" w:color="D9D9D9"/>
              <w:right w:val="nil"/>
            </w:tcBorders>
            <w:shd w:val="clear" w:color="000000" w:fill="D9D9D9"/>
            <w:vAlign w:val="bottom"/>
            <w:hideMark/>
          </w:tcPr>
          <w:p w:rsidR="00735613" w:rsidRDefault="00735613">
            <w:pPr>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55"/>
        </w:trPr>
        <w:tc>
          <w:tcPr>
            <w:tcW w:w="5160" w:type="dxa"/>
            <w:tcBorders>
              <w:top w:val="nil"/>
              <w:left w:val="nil"/>
              <w:bottom w:val="single" w:sz="4" w:space="0" w:color="D9D9D9"/>
              <w:right w:val="nil"/>
            </w:tcBorders>
            <w:shd w:val="clear" w:color="000000" w:fill="D9D9D9"/>
            <w:vAlign w:val="bottom"/>
            <w:hideMark/>
          </w:tcPr>
          <w:p w:rsidR="00735613" w:rsidRDefault="00735613">
            <w:pPr>
              <w:rPr>
                <w:rFonts w:cs="Calibri"/>
                <w:b/>
                <w:bCs/>
                <w:szCs w:val="18"/>
              </w:rPr>
            </w:pPr>
            <w:r>
              <w:rPr>
                <w:rFonts w:cs="Calibri"/>
                <w:b/>
                <w:bCs/>
                <w:szCs w:val="18"/>
              </w:rPr>
              <w:t xml:space="preserve">Net cost of (contribution by) services </w:t>
            </w:r>
          </w:p>
        </w:tc>
        <w:tc>
          <w:tcPr>
            <w:tcW w:w="12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27,889,199</w:t>
            </w:r>
          </w:p>
        </w:tc>
        <w:tc>
          <w:tcPr>
            <w:tcW w:w="12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30,962,246</w:t>
            </w:r>
          </w:p>
        </w:tc>
        <w:tc>
          <w:tcPr>
            <w:tcW w:w="12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szCs w:val="18"/>
              </w:rPr>
            </w:pPr>
            <w:r>
              <w:rPr>
                <w:rFonts w:cs="Calibri"/>
                <w:szCs w:val="18"/>
              </w:rPr>
              <w:t>(3,073,047)</w:t>
            </w:r>
          </w:p>
        </w:tc>
      </w:tr>
      <w:tr w:rsidR="00735613" w:rsidTr="00735613">
        <w:trPr>
          <w:trHeight w:val="255"/>
        </w:trPr>
        <w:tc>
          <w:tcPr>
            <w:tcW w:w="5160" w:type="dxa"/>
            <w:tcBorders>
              <w:top w:val="nil"/>
              <w:left w:val="nil"/>
              <w:bottom w:val="single" w:sz="4" w:space="0" w:color="D9D9D9"/>
              <w:right w:val="nil"/>
            </w:tcBorders>
            <w:shd w:val="clear" w:color="000000" w:fill="D9D9D9"/>
            <w:vAlign w:val="bottom"/>
            <w:hideMark/>
          </w:tcPr>
          <w:p w:rsidR="00735613" w:rsidRDefault="00735613">
            <w:pPr>
              <w:rPr>
                <w:rFonts w:cs="Calibri"/>
                <w:b/>
                <w:bCs/>
                <w:szCs w:val="18"/>
              </w:rPr>
            </w:pPr>
            <w:r>
              <w:rPr>
                <w:rFonts w:cs="Calibri"/>
                <w:b/>
                <w:bCs/>
                <w:szCs w:val="18"/>
              </w:rPr>
              <w:t xml:space="preserve">Surplus (Deficit) </w:t>
            </w:r>
          </w:p>
        </w:tc>
        <w:tc>
          <w:tcPr>
            <w:tcW w:w="1256" w:type="dxa"/>
            <w:tcBorders>
              <w:top w:val="nil"/>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(27,889,199)</w:t>
            </w:r>
          </w:p>
        </w:tc>
        <w:tc>
          <w:tcPr>
            <w:tcW w:w="1256" w:type="dxa"/>
            <w:tcBorders>
              <w:top w:val="nil"/>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(30,962,246)</w:t>
            </w:r>
          </w:p>
        </w:tc>
        <w:tc>
          <w:tcPr>
            <w:tcW w:w="1256" w:type="dxa"/>
            <w:tcBorders>
              <w:top w:val="nil"/>
              <w:left w:val="nil"/>
              <w:bottom w:val="single" w:sz="4" w:space="0" w:color="auto"/>
              <w:right w:val="nil"/>
            </w:tcBorders>
            <w:shd w:val="clear" w:color="000000" w:fill="D9D9D9"/>
            <w:noWrap/>
            <w:vAlign w:val="bottom"/>
            <w:hideMark/>
          </w:tcPr>
          <w:p w:rsidR="00735613" w:rsidRDefault="00735613">
            <w:pPr>
              <w:jc w:val="right"/>
              <w:rPr>
                <w:rFonts w:cs="Calibri"/>
                <w:szCs w:val="18"/>
              </w:rPr>
            </w:pPr>
            <w:r>
              <w:rPr>
                <w:rFonts w:cs="Calibri"/>
                <w:szCs w:val="18"/>
              </w:rPr>
              <w:t>3,073,047</w:t>
            </w:r>
          </w:p>
        </w:tc>
      </w:tr>
      <w:tr w:rsidR="00735613" w:rsidTr="00735613">
        <w:trPr>
          <w:trHeight w:val="255"/>
        </w:trPr>
        <w:tc>
          <w:tcPr>
            <w:tcW w:w="5160"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55"/>
        </w:trPr>
        <w:tc>
          <w:tcPr>
            <w:tcW w:w="5160" w:type="dxa"/>
            <w:tcBorders>
              <w:top w:val="nil"/>
              <w:left w:val="nil"/>
              <w:bottom w:val="nil"/>
              <w:right w:val="nil"/>
            </w:tcBorders>
            <w:shd w:val="clear" w:color="000000" w:fill="D9D9D9"/>
            <w:vAlign w:val="bottom"/>
            <w:hideMark/>
          </w:tcPr>
          <w:p w:rsidR="00735613" w:rsidRDefault="00735613">
            <w:pPr>
              <w:rPr>
                <w:rFonts w:cs="Calibri"/>
                <w:b/>
                <w:bCs/>
                <w:szCs w:val="18"/>
              </w:rPr>
            </w:pPr>
            <w:r>
              <w:rPr>
                <w:rFonts w:cs="Calibri"/>
                <w:b/>
                <w:bCs/>
                <w:szCs w:val="18"/>
              </w:rPr>
              <w:t>OTHER COMPREHENSIVE INCOME</w:t>
            </w:r>
          </w:p>
        </w:tc>
        <w:tc>
          <w:tcPr>
            <w:tcW w:w="1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480"/>
        </w:trPr>
        <w:tc>
          <w:tcPr>
            <w:tcW w:w="5160" w:type="dxa"/>
            <w:tcBorders>
              <w:top w:val="nil"/>
              <w:left w:val="nil"/>
              <w:bottom w:val="nil"/>
              <w:right w:val="nil"/>
            </w:tcBorders>
            <w:shd w:val="clear" w:color="000000" w:fill="D9D9D9"/>
            <w:vAlign w:val="bottom"/>
            <w:hideMark/>
          </w:tcPr>
          <w:p w:rsidR="00735613" w:rsidRDefault="00735613">
            <w:pPr>
              <w:rPr>
                <w:rFonts w:cs="Calibri"/>
                <w:b/>
                <w:bCs/>
                <w:szCs w:val="18"/>
              </w:rPr>
            </w:pPr>
            <w:r>
              <w:rPr>
                <w:rFonts w:cs="Calibri"/>
                <w:b/>
                <w:bCs/>
                <w:szCs w:val="18"/>
              </w:rPr>
              <w:t>Items not subject to subsequent reclassification to net cost of services</w:t>
            </w:r>
          </w:p>
        </w:tc>
        <w:tc>
          <w:tcPr>
            <w:tcW w:w="1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55"/>
        </w:trPr>
        <w:tc>
          <w:tcPr>
            <w:tcW w:w="5160"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Changes in asset revaluation surplus</w:t>
            </w:r>
          </w:p>
        </w:tc>
        <w:tc>
          <w:tcPr>
            <w:tcW w:w="125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b/>
                <w:bCs/>
                <w:szCs w:val="18"/>
              </w:rPr>
            </w:pPr>
            <w:r>
              <w:rPr>
                <w:rFonts w:cs="Calibri"/>
                <w:b/>
                <w:bCs/>
                <w:szCs w:val="18"/>
              </w:rPr>
              <w:t>904</w:t>
            </w:r>
          </w:p>
        </w:tc>
        <w:tc>
          <w:tcPr>
            <w:tcW w:w="125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 -</w:t>
            </w:r>
          </w:p>
        </w:tc>
        <w:tc>
          <w:tcPr>
            <w:tcW w:w="125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szCs w:val="18"/>
              </w:rPr>
            </w:pPr>
            <w:r>
              <w:rPr>
                <w:rFonts w:cs="Calibri"/>
                <w:szCs w:val="18"/>
              </w:rPr>
              <w:t>904</w:t>
            </w:r>
          </w:p>
        </w:tc>
      </w:tr>
      <w:tr w:rsidR="00735613" w:rsidTr="00735613">
        <w:trPr>
          <w:trHeight w:val="255"/>
        </w:trPr>
        <w:tc>
          <w:tcPr>
            <w:tcW w:w="5160" w:type="dxa"/>
            <w:tcBorders>
              <w:top w:val="single" w:sz="4" w:space="0" w:color="D9D9D9"/>
              <w:left w:val="nil"/>
              <w:bottom w:val="single" w:sz="4" w:space="0" w:color="D9D9D9"/>
              <w:right w:val="nil"/>
            </w:tcBorders>
            <w:shd w:val="clear" w:color="000000" w:fill="D9D9D9"/>
            <w:vAlign w:val="bottom"/>
            <w:hideMark/>
          </w:tcPr>
          <w:p w:rsidR="00735613" w:rsidRDefault="00735613">
            <w:pPr>
              <w:rPr>
                <w:rFonts w:cs="Calibri"/>
                <w:b/>
                <w:bCs/>
                <w:szCs w:val="18"/>
              </w:rPr>
            </w:pPr>
            <w:r>
              <w:rPr>
                <w:rFonts w:cs="Calibri"/>
                <w:b/>
                <w:bCs/>
                <w:szCs w:val="18"/>
              </w:rPr>
              <w:t>Total other comprehensive income (loss)</w:t>
            </w:r>
          </w:p>
        </w:tc>
        <w:tc>
          <w:tcPr>
            <w:tcW w:w="12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904</w:t>
            </w:r>
          </w:p>
        </w:tc>
        <w:tc>
          <w:tcPr>
            <w:tcW w:w="12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w:t>
            </w:r>
          </w:p>
        </w:tc>
        <w:tc>
          <w:tcPr>
            <w:tcW w:w="125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szCs w:val="18"/>
              </w:rPr>
            </w:pPr>
            <w:r>
              <w:rPr>
                <w:rFonts w:cs="Calibri"/>
                <w:szCs w:val="18"/>
              </w:rPr>
              <w:t>904</w:t>
            </w:r>
          </w:p>
        </w:tc>
      </w:tr>
      <w:tr w:rsidR="00735613" w:rsidTr="00735613">
        <w:trPr>
          <w:trHeight w:val="255"/>
        </w:trPr>
        <w:tc>
          <w:tcPr>
            <w:tcW w:w="5160"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70"/>
        </w:trPr>
        <w:tc>
          <w:tcPr>
            <w:tcW w:w="5160" w:type="dxa"/>
            <w:tcBorders>
              <w:top w:val="nil"/>
              <w:left w:val="nil"/>
              <w:bottom w:val="single" w:sz="12" w:space="0" w:color="D9D9D9"/>
              <w:right w:val="nil"/>
            </w:tcBorders>
            <w:shd w:val="clear" w:color="000000" w:fill="D9D9D9"/>
            <w:vAlign w:val="bottom"/>
            <w:hideMark/>
          </w:tcPr>
          <w:p w:rsidR="00735613" w:rsidRDefault="00735613">
            <w:pPr>
              <w:rPr>
                <w:rFonts w:cs="Calibri"/>
                <w:b/>
                <w:bCs/>
                <w:i/>
                <w:iCs/>
                <w:szCs w:val="18"/>
              </w:rPr>
            </w:pPr>
            <w:r>
              <w:rPr>
                <w:rFonts w:cs="Calibri"/>
                <w:b/>
                <w:bCs/>
                <w:i/>
                <w:iCs/>
                <w:szCs w:val="18"/>
              </w:rPr>
              <w:t>Total comprehensive income (loss)</w:t>
            </w:r>
          </w:p>
        </w:tc>
        <w:tc>
          <w:tcPr>
            <w:tcW w:w="125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(27,888,295)</w:t>
            </w:r>
          </w:p>
        </w:tc>
        <w:tc>
          <w:tcPr>
            <w:tcW w:w="125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(30,962,246)</w:t>
            </w:r>
          </w:p>
        </w:tc>
        <w:tc>
          <w:tcPr>
            <w:tcW w:w="125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Calibri"/>
                <w:szCs w:val="18"/>
              </w:rPr>
            </w:pPr>
            <w:r>
              <w:rPr>
                <w:rFonts w:cs="Calibri"/>
                <w:szCs w:val="18"/>
              </w:rPr>
              <w:t>3,073,951</w:t>
            </w:r>
          </w:p>
        </w:tc>
      </w:tr>
    </w:tbl>
    <w:p w:rsidR="00735613" w:rsidRDefault="00735613" w:rsidP="00735613">
      <w:bookmarkStart w:id="690" w:name="RANGE!D7:G54"/>
      <w:bookmarkEnd w:id="690"/>
    </w:p>
    <w:p w:rsidR="00735613" w:rsidRDefault="00735613" w:rsidP="00735613"/>
    <w:p w:rsidR="00735613" w:rsidRDefault="00735613" w:rsidP="00735613"/>
    <w:p w:rsidR="00735613" w:rsidRDefault="00735613" w:rsidP="00735613"/>
    <w:p w:rsidR="00735613" w:rsidRDefault="00735613" w:rsidP="00735613"/>
    <w:p w:rsidR="00735613" w:rsidRDefault="00735613" w:rsidP="00735613"/>
    <w:p w:rsidR="00735613" w:rsidRDefault="00735613" w:rsidP="00735613"/>
    <w:p w:rsidR="00735613" w:rsidRDefault="00735613" w:rsidP="00735613"/>
    <w:tbl>
      <w:tblPr>
        <w:tblW w:w="9087" w:type="dxa"/>
        <w:tblInd w:w="80" w:type="dxa"/>
        <w:tblLayout w:type="fixed"/>
        <w:tblLook w:val="04A0" w:firstRow="1" w:lastRow="0" w:firstColumn="1" w:lastColumn="0" w:noHBand="0" w:noVBand="1"/>
      </w:tblPr>
      <w:tblGrid>
        <w:gridCol w:w="5154"/>
        <w:gridCol w:w="1303"/>
        <w:gridCol w:w="1303"/>
        <w:gridCol w:w="1327"/>
      </w:tblGrid>
      <w:tr w:rsidR="00735613" w:rsidTr="00735613">
        <w:trPr>
          <w:trHeight w:val="255"/>
        </w:trPr>
        <w:tc>
          <w:tcPr>
            <w:tcW w:w="7504" w:type="dxa"/>
            <w:gridSpan w:val="4"/>
            <w:tcBorders>
              <w:top w:val="nil"/>
              <w:left w:val="nil"/>
              <w:bottom w:val="nil"/>
              <w:right w:val="nil"/>
            </w:tcBorders>
            <w:shd w:val="clear" w:color="000000" w:fill="D9D9D9"/>
            <w:noWrap/>
            <w:vAlign w:val="bottom"/>
            <w:hideMark/>
          </w:tcPr>
          <w:p w:rsidR="00735613" w:rsidRDefault="00735613">
            <w:pPr>
              <w:rPr>
                <w:rFonts w:ascii="Arial" w:hAnsi="Arial" w:cs="Arial"/>
                <w:b/>
                <w:bCs/>
                <w:sz w:val="16"/>
                <w:szCs w:val="16"/>
              </w:rPr>
            </w:pPr>
            <w:bookmarkStart w:id="691" w:name="Note_ABBTABLE1" w:colFirst="0" w:colLast="0"/>
            <w:r>
              <w:rPr>
                <w:rFonts w:ascii="Arial" w:hAnsi="Arial" w:cs="Arial"/>
                <w:b/>
                <w:bCs/>
                <w:sz w:val="16"/>
                <w:szCs w:val="16"/>
              </w:rPr>
              <w:t xml:space="preserve">Administered Schedule of Assets and Liabilities </w:t>
            </w:r>
          </w:p>
        </w:tc>
      </w:tr>
      <w:bookmarkEnd w:id="691"/>
      <w:tr w:rsidR="00735613" w:rsidTr="00735613">
        <w:trPr>
          <w:trHeight w:val="270"/>
        </w:trPr>
        <w:tc>
          <w:tcPr>
            <w:tcW w:w="7504" w:type="dxa"/>
            <w:gridSpan w:val="4"/>
            <w:tcBorders>
              <w:top w:val="nil"/>
              <w:left w:val="nil"/>
              <w:bottom w:val="single" w:sz="8" w:space="0" w:color="auto"/>
              <w:right w:val="nil"/>
            </w:tcBorders>
            <w:shd w:val="clear" w:color="000000" w:fill="D9D9D9"/>
            <w:noWrap/>
            <w:vAlign w:val="bottom"/>
            <w:hideMark/>
          </w:tcPr>
          <w:p w:rsidR="00735613" w:rsidRDefault="00735613">
            <w:pPr>
              <w:rPr>
                <w:rFonts w:ascii="Arial" w:hAnsi="Arial" w:cs="Arial"/>
                <w:i/>
                <w:iCs/>
                <w:sz w:val="16"/>
                <w:szCs w:val="16"/>
              </w:rPr>
            </w:pPr>
            <w:r>
              <w:rPr>
                <w:rFonts w:ascii="Arial" w:hAnsi="Arial" w:cs="Arial"/>
                <w:i/>
                <w:iCs/>
                <w:sz w:val="16"/>
                <w:szCs w:val="16"/>
              </w:rPr>
              <w:t>for the period ended 30 June 2015</w:t>
            </w:r>
          </w:p>
        </w:tc>
      </w:tr>
      <w:tr w:rsidR="00735613" w:rsidTr="00735613">
        <w:trPr>
          <w:trHeight w:val="263"/>
        </w:trPr>
        <w:tc>
          <w:tcPr>
            <w:tcW w:w="4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D9D9D9"/>
              <w:right w:val="single" w:sz="4" w:space="0" w:color="D9D9D9"/>
            </w:tcBorders>
            <w:shd w:val="clear" w:color="000000" w:fill="D9D9D9"/>
            <w:vAlign w:val="bottom"/>
            <w:hideMark/>
          </w:tcPr>
          <w:p w:rsidR="00735613" w:rsidRDefault="00735613">
            <w:pPr>
              <w:jc w:val="right"/>
              <w:rPr>
                <w:rFonts w:cs="Calibri"/>
                <w:b/>
                <w:bCs/>
                <w:szCs w:val="18"/>
              </w:rPr>
            </w:pPr>
            <w:r>
              <w:rPr>
                <w:rFonts w:cs="Calibri"/>
                <w:b/>
                <w:bCs/>
                <w:szCs w:val="18"/>
              </w:rPr>
              <w:t>Actual</w:t>
            </w:r>
          </w:p>
        </w:tc>
        <w:tc>
          <w:tcPr>
            <w:tcW w:w="2172" w:type="dxa"/>
            <w:gridSpan w:val="2"/>
            <w:tcBorders>
              <w:top w:val="nil"/>
              <w:left w:val="nil"/>
              <w:bottom w:val="single" w:sz="4" w:space="0" w:color="D9D9D9"/>
              <w:right w:val="nil"/>
            </w:tcBorders>
            <w:shd w:val="clear" w:color="000000" w:fill="D9D9D9"/>
            <w:vAlign w:val="bottom"/>
            <w:hideMark/>
          </w:tcPr>
          <w:p w:rsidR="00735613" w:rsidRDefault="00735613">
            <w:pPr>
              <w:jc w:val="center"/>
              <w:rPr>
                <w:rFonts w:cs="Calibri"/>
                <w:b/>
                <w:bCs/>
                <w:szCs w:val="18"/>
              </w:rPr>
            </w:pPr>
            <w:r>
              <w:rPr>
                <w:rFonts w:cs="Calibri"/>
                <w:b/>
                <w:bCs/>
                <w:szCs w:val="18"/>
              </w:rPr>
              <w:t>Budget Estimate</w:t>
            </w:r>
          </w:p>
        </w:tc>
      </w:tr>
      <w:tr w:rsidR="00735613" w:rsidTr="00735613">
        <w:trPr>
          <w:trHeight w:val="255"/>
        </w:trPr>
        <w:tc>
          <w:tcPr>
            <w:tcW w:w="4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D9D9D9"/>
            </w:tcBorders>
            <w:shd w:val="clear" w:color="000000" w:fill="D9D9D9"/>
            <w:vAlign w:val="bottom"/>
            <w:hideMark/>
          </w:tcPr>
          <w:p w:rsidR="00735613" w:rsidRDefault="00735613">
            <w:pPr>
              <w:jc w:val="right"/>
              <w:rPr>
                <w:rFonts w:cs="Calibri"/>
                <w:b/>
                <w:bCs/>
                <w:szCs w:val="18"/>
              </w:rPr>
            </w:pPr>
            <w:r>
              <w:rPr>
                <w:rFonts w:cs="Calibri"/>
                <w:b/>
                <w:bCs/>
                <w:szCs w:val="18"/>
              </w:rPr>
              <w:t> </w:t>
            </w:r>
          </w:p>
        </w:tc>
        <w:tc>
          <w:tcPr>
            <w:tcW w:w="1076" w:type="dxa"/>
            <w:tcBorders>
              <w:top w:val="nil"/>
              <w:left w:val="nil"/>
              <w:bottom w:val="single" w:sz="4" w:space="0" w:color="auto"/>
              <w:right w:val="single" w:sz="4" w:space="0" w:color="D9D9D9"/>
            </w:tcBorders>
            <w:shd w:val="clear" w:color="000000" w:fill="D9D9D9"/>
            <w:vAlign w:val="bottom"/>
            <w:hideMark/>
          </w:tcPr>
          <w:p w:rsidR="00735613" w:rsidRDefault="00735613">
            <w:pPr>
              <w:jc w:val="right"/>
              <w:rPr>
                <w:rFonts w:cs="Calibri"/>
                <w:b/>
                <w:bCs/>
                <w:szCs w:val="18"/>
              </w:rPr>
            </w:pPr>
            <w:r>
              <w:rPr>
                <w:rFonts w:cs="Calibri"/>
                <w:b/>
                <w:bCs/>
                <w:szCs w:val="18"/>
              </w:rPr>
              <w:t>Original</w:t>
            </w:r>
          </w:p>
        </w:tc>
        <w:tc>
          <w:tcPr>
            <w:tcW w:w="1096" w:type="dxa"/>
            <w:tcBorders>
              <w:top w:val="nil"/>
              <w:left w:val="nil"/>
              <w:bottom w:val="single" w:sz="4" w:space="0" w:color="auto"/>
              <w:right w:val="nil"/>
            </w:tcBorders>
            <w:shd w:val="clear" w:color="000000" w:fill="D9D9D9"/>
            <w:noWrap/>
            <w:vAlign w:val="bottom"/>
            <w:hideMark/>
          </w:tcPr>
          <w:p w:rsidR="00735613" w:rsidRDefault="00735613">
            <w:pPr>
              <w:jc w:val="right"/>
              <w:rPr>
                <w:rFonts w:cs="Calibri"/>
                <w:szCs w:val="18"/>
              </w:rPr>
            </w:pPr>
            <w:r>
              <w:rPr>
                <w:rFonts w:cs="Calibri"/>
                <w:szCs w:val="18"/>
              </w:rPr>
              <w:t>Variance</w:t>
            </w:r>
          </w:p>
        </w:tc>
      </w:tr>
      <w:tr w:rsidR="00735613" w:rsidTr="00735613">
        <w:trPr>
          <w:trHeight w:val="255"/>
        </w:trPr>
        <w:tc>
          <w:tcPr>
            <w:tcW w:w="4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D9D9D9"/>
              <w:right w:val="nil"/>
            </w:tcBorders>
            <w:shd w:val="clear" w:color="000000" w:fill="D9D9D9"/>
            <w:vAlign w:val="bottom"/>
            <w:hideMark/>
          </w:tcPr>
          <w:p w:rsidR="00735613" w:rsidRDefault="00735613">
            <w:pPr>
              <w:jc w:val="right"/>
              <w:rPr>
                <w:rFonts w:cs="Calibri"/>
                <w:b/>
                <w:bCs/>
                <w:szCs w:val="18"/>
              </w:rPr>
            </w:pPr>
            <w:r>
              <w:rPr>
                <w:rFonts w:cs="Calibri"/>
                <w:b/>
                <w:bCs/>
                <w:szCs w:val="18"/>
              </w:rPr>
              <w:t>2015</w:t>
            </w:r>
          </w:p>
        </w:tc>
        <w:tc>
          <w:tcPr>
            <w:tcW w:w="1076" w:type="dxa"/>
            <w:tcBorders>
              <w:top w:val="nil"/>
              <w:left w:val="nil"/>
              <w:bottom w:val="single" w:sz="4" w:space="0" w:color="D9D9D9"/>
              <w:right w:val="nil"/>
            </w:tcBorders>
            <w:shd w:val="clear" w:color="000000" w:fill="D9D9D9"/>
            <w:vAlign w:val="bottom"/>
            <w:hideMark/>
          </w:tcPr>
          <w:p w:rsidR="00735613" w:rsidRDefault="00735613">
            <w:pPr>
              <w:jc w:val="right"/>
              <w:rPr>
                <w:rFonts w:cs="Calibri"/>
                <w:b/>
                <w:bCs/>
                <w:szCs w:val="18"/>
              </w:rPr>
            </w:pPr>
            <w:r>
              <w:rPr>
                <w:rFonts w:cs="Calibri"/>
                <w:b/>
                <w:bCs/>
                <w:szCs w:val="18"/>
              </w:rPr>
              <w:t>2015</w:t>
            </w:r>
          </w:p>
        </w:tc>
        <w:tc>
          <w:tcPr>
            <w:tcW w:w="109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szCs w:val="18"/>
              </w:rPr>
            </w:pPr>
            <w:r>
              <w:rPr>
                <w:rFonts w:cs="Calibri"/>
                <w:szCs w:val="18"/>
              </w:rPr>
              <w:t>2015</w:t>
            </w:r>
          </w:p>
        </w:tc>
      </w:tr>
      <w:tr w:rsidR="00735613" w:rsidTr="00735613">
        <w:trPr>
          <w:trHeight w:val="255"/>
        </w:trPr>
        <w:tc>
          <w:tcPr>
            <w:tcW w:w="4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D9D9D9"/>
              <w:right w:val="nil"/>
            </w:tcBorders>
            <w:shd w:val="clear" w:color="000000" w:fill="D9D9D9"/>
            <w:vAlign w:val="bottom"/>
            <w:hideMark/>
          </w:tcPr>
          <w:p w:rsidR="00735613" w:rsidRDefault="00735613">
            <w:pPr>
              <w:jc w:val="right"/>
              <w:rPr>
                <w:rFonts w:cs="Calibri"/>
                <w:b/>
                <w:bCs/>
                <w:szCs w:val="18"/>
              </w:rPr>
            </w:pPr>
            <w:r>
              <w:rPr>
                <w:rFonts w:cs="Calibri"/>
                <w:b/>
                <w:bCs/>
                <w:szCs w:val="18"/>
              </w:rPr>
              <w:t>$'000</w:t>
            </w:r>
          </w:p>
        </w:tc>
        <w:tc>
          <w:tcPr>
            <w:tcW w:w="1076" w:type="dxa"/>
            <w:tcBorders>
              <w:top w:val="nil"/>
              <w:left w:val="nil"/>
              <w:bottom w:val="single" w:sz="4" w:space="0" w:color="D9D9D9"/>
              <w:right w:val="nil"/>
            </w:tcBorders>
            <w:shd w:val="clear" w:color="000000" w:fill="D9D9D9"/>
            <w:vAlign w:val="bottom"/>
            <w:hideMark/>
          </w:tcPr>
          <w:p w:rsidR="00735613" w:rsidRDefault="00735613">
            <w:pPr>
              <w:jc w:val="right"/>
              <w:rPr>
                <w:rFonts w:cs="Calibri"/>
                <w:b/>
                <w:bCs/>
                <w:szCs w:val="18"/>
              </w:rPr>
            </w:pPr>
            <w:r>
              <w:rPr>
                <w:rFonts w:cs="Calibri"/>
                <w:b/>
                <w:bCs/>
                <w:szCs w:val="18"/>
              </w:rPr>
              <w:t>$'000</w:t>
            </w:r>
          </w:p>
        </w:tc>
        <w:tc>
          <w:tcPr>
            <w:tcW w:w="109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szCs w:val="18"/>
              </w:rPr>
            </w:pPr>
            <w:r>
              <w:rPr>
                <w:rFonts w:cs="Calibri"/>
                <w:szCs w:val="18"/>
              </w:rPr>
              <w:t>$'000</w:t>
            </w:r>
          </w:p>
        </w:tc>
      </w:tr>
      <w:tr w:rsidR="00735613" w:rsidTr="00735613">
        <w:trPr>
          <w:trHeight w:val="255"/>
        </w:trPr>
        <w:tc>
          <w:tcPr>
            <w:tcW w:w="4256" w:type="dxa"/>
            <w:tcBorders>
              <w:top w:val="nil"/>
              <w:left w:val="nil"/>
              <w:bottom w:val="nil"/>
              <w:right w:val="nil"/>
            </w:tcBorders>
            <w:shd w:val="clear" w:color="000000" w:fill="D9D9D9"/>
            <w:vAlign w:val="bottom"/>
            <w:hideMark/>
          </w:tcPr>
          <w:p w:rsidR="00735613" w:rsidRDefault="00735613">
            <w:pPr>
              <w:rPr>
                <w:rFonts w:cs="Calibri"/>
                <w:b/>
                <w:bCs/>
                <w:szCs w:val="18"/>
              </w:rPr>
            </w:pPr>
            <w:r>
              <w:rPr>
                <w:rFonts w:cs="Calibri"/>
                <w:b/>
                <w:bCs/>
                <w:szCs w:val="18"/>
              </w:rPr>
              <w:t>ASSETS</w:t>
            </w:r>
          </w:p>
        </w:tc>
        <w:tc>
          <w:tcPr>
            <w:tcW w:w="10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7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09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55"/>
        </w:trPr>
        <w:tc>
          <w:tcPr>
            <w:tcW w:w="4256" w:type="dxa"/>
            <w:tcBorders>
              <w:top w:val="nil"/>
              <w:left w:val="nil"/>
              <w:bottom w:val="nil"/>
              <w:right w:val="nil"/>
            </w:tcBorders>
            <w:shd w:val="clear" w:color="000000" w:fill="D9D9D9"/>
            <w:vAlign w:val="bottom"/>
            <w:hideMark/>
          </w:tcPr>
          <w:p w:rsidR="00735613" w:rsidRDefault="00735613">
            <w:pPr>
              <w:rPr>
                <w:rFonts w:cs="Calibri"/>
                <w:b/>
                <w:bCs/>
                <w:szCs w:val="18"/>
              </w:rPr>
            </w:pPr>
            <w:r>
              <w:rPr>
                <w:rFonts w:cs="Calibri"/>
                <w:b/>
                <w:bCs/>
                <w:szCs w:val="18"/>
              </w:rPr>
              <w:t>Financial assets</w:t>
            </w:r>
          </w:p>
        </w:tc>
        <w:tc>
          <w:tcPr>
            <w:tcW w:w="10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7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09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55"/>
        </w:trPr>
        <w:tc>
          <w:tcPr>
            <w:tcW w:w="4256"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Cash and cash equivalents</w:t>
            </w:r>
          </w:p>
        </w:tc>
        <w:tc>
          <w:tcPr>
            <w:tcW w:w="107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b/>
                <w:bCs/>
                <w:szCs w:val="18"/>
              </w:rPr>
            </w:pPr>
            <w:r>
              <w:rPr>
                <w:rFonts w:cs="Calibri"/>
                <w:b/>
                <w:bCs/>
                <w:szCs w:val="18"/>
              </w:rPr>
              <w:t>26,528</w:t>
            </w:r>
          </w:p>
        </w:tc>
        <w:tc>
          <w:tcPr>
            <w:tcW w:w="107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15,999 </w:t>
            </w:r>
          </w:p>
        </w:tc>
        <w:tc>
          <w:tcPr>
            <w:tcW w:w="109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szCs w:val="18"/>
              </w:rPr>
            </w:pPr>
            <w:r>
              <w:rPr>
                <w:rFonts w:cs="Calibri"/>
                <w:szCs w:val="18"/>
              </w:rPr>
              <w:t>10,529</w:t>
            </w:r>
          </w:p>
        </w:tc>
      </w:tr>
      <w:tr w:rsidR="00735613" w:rsidTr="00735613">
        <w:trPr>
          <w:trHeight w:val="285"/>
        </w:trPr>
        <w:tc>
          <w:tcPr>
            <w:tcW w:w="4256"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Trade and other receivables</w:t>
            </w:r>
            <w:r>
              <w:rPr>
                <w:rFonts w:cs="Calibri"/>
                <w:szCs w:val="18"/>
                <w:vertAlign w:val="superscript"/>
              </w:rPr>
              <w:t>4,5</w:t>
            </w:r>
          </w:p>
        </w:tc>
        <w:tc>
          <w:tcPr>
            <w:tcW w:w="107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b/>
                <w:bCs/>
                <w:szCs w:val="18"/>
              </w:rPr>
            </w:pPr>
            <w:r>
              <w:rPr>
                <w:rFonts w:cs="Calibri"/>
                <w:b/>
                <w:bCs/>
                <w:szCs w:val="18"/>
              </w:rPr>
              <w:t>30,927,974</w:t>
            </w:r>
          </w:p>
        </w:tc>
        <w:tc>
          <w:tcPr>
            <w:tcW w:w="107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30,834,159 </w:t>
            </w:r>
          </w:p>
        </w:tc>
        <w:tc>
          <w:tcPr>
            <w:tcW w:w="109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szCs w:val="18"/>
              </w:rPr>
            </w:pPr>
            <w:r>
              <w:rPr>
                <w:rFonts w:cs="Calibri"/>
                <w:szCs w:val="18"/>
              </w:rPr>
              <w:t>93,815</w:t>
            </w:r>
          </w:p>
        </w:tc>
      </w:tr>
      <w:tr w:rsidR="00735613" w:rsidTr="00735613">
        <w:trPr>
          <w:trHeight w:val="285"/>
        </w:trPr>
        <w:tc>
          <w:tcPr>
            <w:tcW w:w="4256"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Other investments</w:t>
            </w:r>
            <w:r>
              <w:rPr>
                <w:rFonts w:cs="Calibri"/>
                <w:szCs w:val="18"/>
                <w:vertAlign w:val="superscript"/>
              </w:rPr>
              <w:t>6</w:t>
            </w:r>
          </w:p>
        </w:tc>
        <w:tc>
          <w:tcPr>
            <w:tcW w:w="107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b/>
                <w:bCs/>
                <w:szCs w:val="18"/>
              </w:rPr>
            </w:pPr>
            <w:r>
              <w:rPr>
                <w:rFonts w:cs="Calibri"/>
                <w:b/>
                <w:bCs/>
                <w:szCs w:val="18"/>
              </w:rPr>
              <w:t>2,149,930</w:t>
            </w:r>
          </w:p>
        </w:tc>
        <w:tc>
          <w:tcPr>
            <w:tcW w:w="107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2,037,519 </w:t>
            </w:r>
          </w:p>
        </w:tc>
        <w:tc>
          <w:tcPr>
            <w:tcW w:w="109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szCs w:val="18"/>
              </w:rPr>
            </w:pPr>
            <w:r>
              <w:rPr>
                <w:rFonts w:cs="Calibri"/>
                <w:szCs w:val="18"/>
              </w:rPr>
              <w:t>112,411</w:t>
            </w:r>
          </w:p>
        </w:tc>
      </w:tr>
      <w:tr w:rsidR="00735613" w:rsidTr="00735613">
        <w:trPr>
          <w:trHeight w:val="255"/>
        </w:trPr>
        <w:tc>
          <w:tcPr>
            <w:tcW w:w="4256" w:type="dxa"/>
            <w:tcBorders>
              <w:top w:val="nil"/>
              <w:left w:val="nil"/>
              <w:bottom w:val="nil"/>
              <w:right w:val="nil"/>
            </w:tcBorders>
            <w:shd w:val="clear" w:color="000000" w:fill="D9D9D9"/>
            <w:vAlign w:val="bottom"/>
            <w:hideMark/>
          </w:tcPr>
          <w:p w:rsidR="00735613" w:rsidRDefault="00735613">
            <w:pPr>
              <w:rPr>
                <w:rFonts w:cs="Calibri"/>
                <w:b/>
                <w:bCs/>
                <w:szCs w:val="18"/>
              </w:rPr>
            </w:pPr>
            <w:r>
              <w:rPr>
                <w:rFonts w:cs="Calibri"/>
                <w:b/>
                <w:bCs/>
                <w:szCs w:val="18"/>
              </w:rPr>
              <w:t>Total financial assets</w:t>
            </w:r>
          </w:p>
        </w:tc>
        <w:tc>
          <w:tcPr>
            <w:tcW w:w="10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33,104,432</w:t>
            </w:r>
          </w:p>
        </w:tc>
        <w:tc>
          <w:tcPr>
            <w:tcW w:w="10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32,887,677</w:t>
            </w:r>
          </w:p>
        </w:tc>
        <w:tc>
          <w:tcPr>
            <w:tcW w:w="109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szCs w:val="18"/>
              </w:rPr>
            </w:pPr>
            <w:r>
              <w:rPr>
                <w:rFonts w:cs="Calibri"/>
                <w:szCs w:val="18"/>
              </w:rPr>
              <w:t>216,755</w:t>
            </w:r>
          </w:p>
        </w:tc>
      </w:tr>
      <w:tr w:rsidR="00735613" w:rsidTr="00735613">
        <w:trPr>
          <w:trHeight w:val="255"/>
        </w:trPr>
        <w:tc>
          <w:tcPr>
            <w:tcW w:w="4256" w:type="dxa"/>
            <w:tcBorders>
              <w:top w:val="nil"/>
              <w:left w:val="nil"/>
              <w:bottom w:val="nil"/>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7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09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55"/>
        </w:trPr>
        <w:tc>
          <w:tcPr>
            <w:tcW w:w="4256" w:type="dxa"/>
            <w:tcBorders>
              <w:top w:val="nil"/>
              <w:left w:val="nil"/>
              <w:bottom w:val="nil"/>
              <w:right w:val="nil"/>
            </w:tcBorders>
            <w:shd w:val="clear" w:color="000000" w:fill="D9D9D9"/>
            <w:vAlign w:val="bottom"/>
            <w:hideMark/>
          </w:tcPr>
          <w:p w:rsidR="00735613" w:rsidRDefault="00735613">
            <w:pPr>
              <w:rPr>
                <w:rFonts w:cs="Calibri"/>
                <w:b/>
                <w:bCs/>
                <w:szCs w:val="18"/>
              </w:rPr>
            </w:pPr>
            <w:r>
              <w:rPr>
                <w:rFonts w:cs="Calibri"/>
                <w:b/>
                <w:bCs/>
                <w:szCs w:val="18"/>
              </w:rPr>
              <w:t>Non-financial assets</w:t>
            </w:r>
          </w:p>
        </w:tc>
        <w:tc>
          <w:tcPr>
            <w:tcW w:w="107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c>
          <w:tcPr>
            <w:tcW w:w="107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096" w:type="dxa"/>
            <w:tcBorders>
              <w:top w:val="nil"/>
              <w:left w:val="nil"/>
              <w:bottom w:val="single" w:sz="4" w:space="0" w:color="D9D9D9"/>
              <w:right w:val="nil"/>
            </w:tcBorders>
            <w:shd w:val="clear" w:color="000000" w:fill="D9D9D9"/>
            <w:noWrap/>
            <w:vAlign w:val="bottom"/>
            <w:hideMark/>
          </w:tcPr>
          <w:p w:rsidR="00735613" w:rsidRDefault="00735613">
            <w:pPr>
              <w:rPr>
                <w:rFonts w:ascii="Arial" w:hAnsi="Arial" w:cs="Arial"/>
                <w:sz w:val="16"/>
                <w:szCs w:val="16"/>
              </w:rPr>
            </w:pPr>
            <w:r>
              <w:rPr>
                <w:rFonts w:ascii="Arial" w:hAnsi="Arial" w:cs="Arial"/>
                <w:sz w:val="16"/>
                <w:szCs w:val="16"/>
              </w:rPr>
              <w:t> </w:t>
            </w:r>
          </w:p>
        </w:tc>
      </w:tr>
      <w:tr w:rsidR="00735613" w:rsidTr="00735613">
        <w:trPr>
          <w:trHeight w:val="255"/>
        </w:trPr>
        <w:tc>
          <w:tcPr>
            <w:tcW w:w="4256"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Other non-financial assets</w:t>
            </w:r>
          </w:p>
        </w:tc>
        <w:tc>
          <w:tcPr>
            <w:tcW w:w="107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b/>
                <w:bCs/>
                <w:szCs w:val="18"/>
              </w:rPr>
            </w:pPr>
            <w:r>
              <w:rPr>
                <w:rFonts w:cs="Calibri"/>
                <w:b/>
                <w:bCs/>
                <w:szCs w:val="18"/>
              </w:rPr>
              <w:t>-</w:t>
            </w:r>
          </w:p>
        </w:tc>
        <w:tc>
          <w:tcPr>
            <w:tcW w:w="107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 -</w:t>
            </w:r>
          </w:p>
        </w:tc>
        <w:tc>
          <w:tcPr>
            <w:tcW w:w="109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szCs w:val="18"/>
              </w:rPr>
            </w:pPr>
            <w:r>
              <w:rPr>
                <w:rFonts w:cs="Calibri"/>
                <w:szCs w:val="18"/>
              </w:rPr>
              <w:t>-</w:t>
            </w:r>
          </w:p>
        </w:tc>
      </w:tr>
      <w:tr w:rsidR="00735613" w:rsidTr="00735613">
        <w:trPr>
          <w:trHeight w:val="255"/>
        </w:trPr>
        <w:tc>
          <w:tcPr>
            <w:tcW w:w="4256" w:type="dxa"/>
            <w:tcBorders>
              <w:top w:val="nil"/>
              <w:left w:val="nil"/>
              <w:bottom w:val="nil"/>
              <w:right w:val="nil"/>
            </w:tcBorders>
            <w:shd w:val="clear" w:color="000000" w:fill="D9D9D9"/>
            <w:vAlign w:val="bottom"/>
            <w:hideMark/>
          </w:tcPr>
          <w:p w:rsidR="00735613" w:rsidRDefault="00735613">
            <w:pPr>
              <w:rPr>
                <w:rFonts w:cs="Calibri"/>
                <w:b/>
                <w:bCs/>
                <w:szCs w:val="18"/>
              </w:rPr>
            </w:pPr>
            <w:r>
              <w:rPr>
                <w:rFonts w:cs="Calibri"/>
                <w:b/>
                <w:bCs/>
                <w:szCs w:val="18"/>
              </w:rPr>
              <w:t>Total non-financial assets</w:t>
            </w:r>
          </w:p>
        </w:tc>
        <w:tc>
          <w:tcPr>
            <w:tcW w:w="10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w:t>
            </w:r>
          </w:p>
        </w:tc>
        <w:tc>
          <w:tcPr>
            <w:tcW w:w="10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w:t>
            </w:r>
          </w:p>
        </w:tc>
        <w:tc>
          <w:tcPr>
            <w:tcW w:w="109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szCs w:val="18"/>
              </w:rPr>
            </w:pPr>
            <w:r>
              <w:rPr>
                <w:rFonts w:cs="Calibri"/>
                <w:szCs w:val="18"/>
              </w:rPr>
              <w:t>-</w:t>
            </w:r>
          </w:p>
        </w:tc>
      </w:tr>
      <w:tr w:rsidR="00735613" w:rsidTr="00735613">
        <w:trPr>
          <w:trHeight w:val="255"/>
        </w:trPr>
        <w:tc>
          <w:tcPr>
            <w:tcW w:w="4256"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 </w:t>
            </w:r>
          </w:p>
        </w:tc>
        <w:tc>
          <w:tcPr>
            <w:tcW w:w="1076" w:type="dxa"/>
            <w:tcBorders>
              <w:top w:val="nil"/>
              <w:left w:val="nil"/>
              <w:bottom w:val="single" w:sz="4" w:space="0" w:color="D9D9D9"/>
              <w:right w:val="nil"/>
            </w:tcBorders>
            <w:shd w:val="clear" w:color="000000" w:fill="D9D9D9"/>
            <w:noWrap/>
            <w:vAlign w:val="bottom"/>
            <w:hideMark/>
          </w:tcPr>
          <w:p w:rsidR="00735613" w:rsidRDefault="00735613">
            <w:pPr>
              <w:rPr>
                <w:rFonts w:cs="Calibri"/>
                <w:b/>
                <w:bCs/>
                <w:szCs w:val="18"/>
              </w:rPr>
            </w:pPr>
            <w:r>
              <w:rPr>
                <w:rFonts w:cs="Calibri"/>
                <w:b/>
                <w:bCs/>
                <w:szCs w:val="18"/>
              </w:rPr>
              <w:t> </w:t>
            </w:r>
          </w:p>
        </w:tc>
        <w:tc>
          <w:tcPr>
            <w:tcW w:w="107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096" w:type="dxa"/>
            <w:tcBorders>
              <w:top w:val="nil"/>
              <w:left w:val="nil"/>
              <w:bottom w:val="single" w:sz="4" w:space="0" w:color="D9D9D9"/>
              <w:right w:val="nil"/>
            </w:tcBorders>
            <w:shd w:val="clear" w:color="000000" w:fill="D9D9D9"/>
            <w:noWrap/>
            <w:vAlign w:val="bottom"/>
            <w:hideMark/>
          </w:tcPr>
          <w:p w:rsidR="00735613" w:rsidRDefault="00735613">
            <w:pPr>
              <w:rPr>
                <w:rFonts w:cs="Calibri"/>
                <w:szCs w:val="18"/>
              </w:rPr>
            </w:pPr>
            <w:r>
              <w:rPr>
                <w:rFonts w:cs="Calibri"/>
                <w:szCs w:val="18"/>
              </w:rPr>
              <w:t> </w:t>
            </w:r>
          </w:p>
        </w:tc>
      </w:tr>
      <w:tr w:rsidR="00735613" w:rsidTr="00735613">
        <w:trPr>
          <w:trHeight w:val="255"/>
        </w:trPr>
        <w:tc>
          <w:tcPr>
            <w:tcW w:w="4256" w:type="dxa"/>
            <w:tcBorders>
              <w:top w:val="nil"/>
              <w:left w:val="nil"/>
              <w:bottom w:val="single" w:sz="4" w:space="0" w:color="D9D9D9"/>
              <w:right w:val="nil"/>
            </w:tcBorders>
            <w:shd w:val="clear" w:color="000000" w:fill="D9D9D9"/>
            <w:vAlign w:val="bottom"/>
            <w:hideMark/>
          </w:tcPr>
          <w:p w:rsidR="00735613" w:rsidRDefault="00735613">
            <w:pPr>
              <w:rPr>
                <w:rFonts w:cs="Calibri"/>
                <w:b/>
                <w:bCs/>
                <w:szCs w:val="18"/>
              </w:rPr>
            </w:pPr>
            <w:r>
              <w:rPr>
                <w:rFonts w:cs="Calibri"/>
                <w:b/>
                <w:bCs/>
                <w:szCs w:val="18"/>
              </w:rPr>
              <w:t>Total assets administered on behalf of Government</w:t>
            </w:r>
          </w:p>
        </w:tc>
        <w:tc>
          <w:tcPr>
            <w:tcW w:w="10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33,104,432</w:t>
            </w:r>
          </w:p>
        </w:tc>
        <w:tc>
          <w:tcPr>
            <w:tcW w:w="10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32,887,677</w:t>
            </w:r>
          </w:p>
        </w:tc>
        <w:tc>
          <w:tcPr>
            <w:tcW w:w="109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szCs w:val="18"/>
              </w:rPr>
            </w:pPr>
            <w:r>
              <w:rPr>
                <w:rFonts w:cs="Calibri"/>
                <w:szCs w:val="18"/>
              </w:rPr>
              <w:t>216,755</w:t>
            </w:r>
          </w:p>
        </w:tc>
      </w:tr>
      <w:tr w:rsidR="00735613" w:rsidTr="00735613">
        <w:trPr>
          <w:trHeight w:val="255"/>
        </w:trPr>
        <w:tc>
          <w:tcPr>
            <w:tcW w:w="4256"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 </w:t>
            </w:r>
          </w:p>
        </w:tc>
        <w:tc>
          <w:tcPr>
            <w:tcW w:w="1076" w:type="dxa"/>
            <w:tcBorders>
              <w:top w:val="nil"/>
              <w:left w:val="nil"/>
              <w:bottom w:val="single" w:sz="4" w:space="0" w:color="D9D9D9"/>
              <w:right w:val="nil"/>
            </w:tcBorders>
            <w:shd w:val="clear" w:color="000000" w:fill="D9D9D9"/>
            <w:noWrap/>
            <w:vAlign w:val="bottom"/>
            <w:hideMark/>
          </w:tcPr>
          <w:p w:rsidR="00735613" w:rsidRDefault="00735613">
            <w:pPr>
              <w:rPr>
                <w:rFonts w:cs="Calibri"/>
                <w:b/>
                <w:bCs/>
                <w:szCs w:val="18"/>
              </w:rPr>
            </w:pPr>
            <w:r>
              <w:rPr>
                <w:rFonts w:cs="Calibri"/>
                <w:b/>
                <w:bCs/>
                <w:szCs w:val="18"/>
              </w:rPr>
              <w:t> </w:t>
            </w:r>
          </w:p>
        </w:tc>
        <w:tc>
          <w:tcPr>
            <w:tcW w:w="107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096" w:type="dxa"/>
            <w:tcBorders>
              <w:top w:val="nil"/>
              <w:left w:val="nil"/>
              <w:bottom w:val="single" w:sz="4" w:space="0" w:color="D9D9D9"/>
              <w:right w:val="nil"/>
            </w:tcBorders>
            <w:shd w:val="clear" w:color="000000" w:fill="D9D9D9"/>
            <w:noWrap/>
            <w:vAlign w:val="bottom"/>
            <w:hideMark/>
          </w:tcPr>
          <w:p w:rsidR="00735613" w:rsidRDefault="00735613">
            <w:pPr>
              <w:rPr>
                <w:rFonts w:cs="Calibri"/>
                <w:szCs w:val="18"/>
              </w:rPr>
            </w:pPr>
            <w:r>
              <w:rPr>
                <w:rFonts w:cs="Calibri"/>
                <w:szCs w:val="18"/>
              </w:rPr>
              <w:t> </w:t>
            </w:r>
          </w:p>
        </w:tc>
      </w:tr>
      <w:tr w:rsidR="00735613" w:rsidTr="00735613">
        <w:trPr>
          <w:trHeight w:val="255"/>
        </w:trPr>
        <w:tc>
          <w:tcPr>
            <w:tcW w:w="4256" w:type="dxa"/>
            <w:tcBorders>
              <w:top w:val="nil"/>
              <w:left w:val="nil"/>
              <w:bottom w:val="nil"/>
              <w:right w:val="nil"/>
            </w:tcBorders>
            <w:shd w:val="clear" w:color="000000" w:fill="D9D9D9"/>
            <w:vAlign w:val="bottom"/>
            <w:hideMark/>
          </w:tcPr>
          <w:p w:rsidR="00735613" w:rsidRDefault="00735613">
            <w:pPr>
              <w:rPr>
                <w:rFonts w:cs="Calibri"/>
                <w:b/>
                <w:bCs/>
                <w:szCs w:val="18"/>
              </w:rPr>
            </w:pPr>
            <w:r>
              <w:rPr>
                <w:rFonts w:cs="Calibri"/>
                <w:b/>
                <w:bCs/>
                <w:szCs w:val="18"/>
              </w:rPr>
              <w:t>LIABILITIES</w:t>
            </w:r>
          </w:p>
        </w:tc>
        <w:tc>
          <w:tcPr>
            <w:tcW w:w="1076" w:type="dxa"/>
            <w:tcBorders>
              <w:top w:val="nil"/>
              <w:left w:val="nil"/>
              <w:bottom w:val="single" w:sz="4" w:space="0" w:color="D9D9D9"/>
              <w:right w:val="nil"/>
            </w:tcBorders>
            <w:shd w:val="clear" w:color="000000" w:fill="D9D9D9"/>
            <w:noWrap/>
            <w:vAlign w:val="bottom"/>
            <w:hideMark/>
          </w:tcPr>
          <w:p w:rsidR="00735613" w:rsidRDefault="00735613">
            <w:pPr>
              <w:rPr>
                <w:rFonts w:cs="Calibri"/>
                <w:b/>
                <w:bCs/>
                <w:szCs w:val="18"/>
              </w:rPr>
            </w:pPr>
            <w:r>
              <w:rPr>
                <w:rFonts w:cs="Calibri"/>
                <w:b/>
                <w:bCs/>
                <w:szCs w:val="18"/>
              </w:rPr>
              <w:t> </w:t>
            </w:r>
          </w:p>
        </w:tc>
        <w:tc>
          <w:tcPr>
            <w:tcW w:w="107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096" w:type="dxa"/>
            <w:tcBorders>
              <w:top w:val="nil"/>
              <w:left w:val="nil"/>
              <w:bottom w:val="single" w:sz="4" w:space="0" w:color="D9D9D9"/>
              <w:right w:val="nil"/>
            </w:tcBorders>
            <w:shd w:val="clear" w:color="000000" w:fill="D9D9D9"/>
            <w:noWrap/>
            <w:vAlign w:val="bottom"/>
            <w:hideMark/>
          </w:tcPr>
          <w:p w:rsidR="00735613" w:rsidRDefault="00735613">
            <w:pPr>
              <w:rPr>
                <w:rFonts w:cs="Calibri"/>
                <w:szCs w:val="18"/>
              </w:rPr>
            </w:pPr>
            <w:r>
              <w:rPr>
                <w:rFonts w:cs="Calibri"/>
                <w:szCs w:val="18"/>
              </w:rPr>
              <w:t> </w:t>
            </w:r>
          </w:p>
        </w:tc>
      </w:tr>
      <w:tr w:rsidR="00735613" w:rsidTr="00735613">
        <w:trPr>
          <w:trHeight w:val="255"/>
        </w:trPr>
        <w:tc>
          <w:tcPr>
            <w:tcW w:w="4256" w:type="dxa"/>
            <w:tcBorders>
              <w:top w:val="nil"/>
              <w:left w:val="nil"/>
              <w:bottom w:val="nil"/>
              <w:right w:val="nil"/>
            </w:tcBorders>
            <w:shd w:val="clear" w:color="000000" w:fill="D9D9D9"/>
            <w:vAlign w:val="bottom"/>
            <w:hideMark/>
          </w:tcPr>
          <w:p w:rsidR="00735613" w:rsidRDefault="00735613">
            <w:pPr>
              <w:rPr>
                <w:rFonts w:cs="Calibri"/>
                <w:b/>
                <w:bCs/>
                <w:szCs w:val="18"/>
              </w:rPr>
            </w:pPr>
            <w:r>
              <w:rPr>
                <w:rFonts w:cs="Calibri"/>
                <w:b/>
                <w:bCs/>
                <w:szCs w:val="18"/>
              </w:rPr>
              <w:t>Payables</w:t>
            </w:r>
          </w:p>
        </w:tc>
        <w:tc>
          <w:tcPr>
            <w:tcW w:w="1076" w:type="dxa"/>
            <w:tcBorders>
              <w:top w:val="nil"/>
              <w:left w:val="nil"/>
              <w:bottom w:val="single" w:sz="4" w:space="0" w:color="D9D9D9"/>
              <w:right w:val="nil"/>
            </w:tcBorders>
            <w:shd w:val="clear" w:color="000000" w:fill="D9D9D9"/>
            <w:noWrap/>
            <w:vAlign w:val="bottom"/>
            <w:hideMark/>
          </w:tcPr>
          <w:p w:rsidR="00735613" w:rsidRDefault="00735613">
            <w:pPr>
              <w:rPr>
                <w:rFonts w:cs="Calibri"/>
                <w:b/>
                <w:bCs/>
                <w:szCs w:val="18"/>
              </w:rPr>
            </w:pPr>
            <w:r>
              <w:rPr>
                <w:rFonts w:cs="Calibri"/>
                <w:b/>
                <w:bCs/>
                <w:szCs w:val="18"/>
              </w:rPr>
              <w:t> </w:t>
            </w:r>
          </w:p>
        </w:tc>
        <w:tc>
          <w:tcPr>
            <w:tcW w:w="107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096" w:type="dxa"/>
            <w:tcBorders>
              <w:top w:val="nil"/>
              <w:left w:val="nil"/>
              <w:bottom w:val="single" w:sz="4" w:space="0" w:color="D9D9D9"/>
              <w:right w:val="nil"/>
            </w:tcBorders>
            <w:shd w:val="clear" w:color="000000" w:fill="D9D9D9"/>
            <w:noWrap/>
            <w:vAlign w:val="bottom"/>
            <w:hideMark/>
          </w:tcPr>
          <w:p w:rsidR="00735613" w:rsidRDefault="00735613">
            <w:pPr>
              <w:rPr>
                <w:rFonts w:cs="Calibri"/>
                <w:szCs w:val="18"/>
              </w:rPr>
            </w:pPr>
            <w:r>
              <w:rPr>
                <w:rFonts w:cs="Calibri"/>
                <w:szCs w:val="18"/>
              </w:rPr>
              <w:t> </w:t>
            </w:r>
          </w:p>
        </w:tc>
      </w:tr>
      <w:tr w:rsidR="00735613" w:rsidTr="00735613">
        <w:trPr>
          <w:trHeight w:val="255"/>
        </w:trPr>
        <w:tc>
          <w:tcPr>
            <w:tcW w:w="4256"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Suppliers</w:t>
            </w:r>
          </w:p>
        </w:tc>
        <w:tc>
          <w:tcPr>
            <w:tcW w:w="107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b/>
                <w:bCs/>
                <w:szCs w:val="18"/>
              </w:rPr>
            </w:pPr>
            <w:r>
              <w:rPr>
                <w:rFonts w:cs="Calibri"/>
                <w:b/>
                <w:bCs/>
                <w:szCs w:val="18"/>
              </w:rPr>
              <w:t>54,235</w:t>
            </w:r>
          </w:p>
        </w:tc>
        <w:tc>
          <w:tcPr>
            <w:tcW w:w="107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34,201 </w:t>
            </w:r>
          </w:p>
        </w:tc>
        <w:tc>
          <w:tcPr>
            <w:tcW w:w="109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szCs w:val="18"/>
              </w:rPr>
            </w:pPr>
            <w:r>
              <w:rPr>
                <w:rFonts w:cs="Calibri"/>
                <w:szCs w:val="18"/>
              </w:rPr>
              <w:t>20,034</w:t>
            </w:r>
          </w:p>
        </w:tc>
      </w:tr>
      <w:tr w:rsidR="00735613" w:rsidTr="00735613">
        <w:trPr>
          <w:trHeight w:val="285"/>
        </w:trPr>
        <w:tc>
          <w:tcPr>
            <w:tcW w:w="4256"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Personal benefits</w:t>
            </w:r>
            <w:r>
              <w:rPr>
                <w:rFonts w:cs="Calibri"/>
                <w:szCs w:val="18"/>
                <w:vertAlign w:val="superscript"/>
              </w:rPr>
              <w:t>3</w:t>
            </w:r>
          </w:p>
        </w:tc>
        <w:tc>
          <w:tcPr>
            <w:tcW w:w="107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b/>
                <w:bCs/>
                <w:szCs w:val="18"/>
              </w:rPr>
            </w:pPr>
            <w:r>
              <w:rPr>
                <w:rFonts w:cs="Calibri"/>
                <w:b/>
                <w:bCs/>
                <w:szCs w:val="18"/>
              </w:rPr>
              <w:t>-</w:t>
            </w:r>
          </w:p>
        </w:tc>
        <w:tc>
          <w:tcPr>
            <w:tcW w:w="107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1,081,816 </w:t>
            </w:r>
          </w:p>
        </w:tc>
        <w:tc>
          <w:tcPr>
            <w:tcW w:w="109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szCs w:val="18"/>
              </w:rPr>
            </w:pPr>
            <w:r>
              <w:rPr>
                <w:rFonts w:cs="Calibri"/>
                <w:szCs w:val="18"/>
              </w:rPr>
              <w:t>(1,081,816)</w:t>
            </w:r>
          </w:p>
        </w:tc>
      </w:tr>
      <w:tr w:rsidR="00735613" w:rsidTr="00735613">
        <w:trPr>
          <w:trHeight w:val="255"/>
        </w:trPr>
        <w:tc>
          <w:tcPr>
            <w:tcW w:w="4256"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Grants</w:t>
            </w:r>
          </w:p>
        </w:tc>
        <w:tc>
          <w:tcPr>
            <w:tcW w:w="107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b/>
                <w:bCs/>
                <w:szCs w:val="18"/>
              </w:rPr>
            </w:pPr>
            <w:r>
              <w:rPr>
                <w:rFonts w:cs="Calibri"/>
                <w:b/>
                <w:bCs/>
                <w:szCs w:val="18"/>
              </w:rPr>
              <w:t>36,246</w:t>
            </w:r>
          </w:p>
        </w:tc>
        <w:tc>
          <w:tcPr>
            <w:tcW w:w="107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61,749 </w:t>
            </w:r>
          </w:p>
        </w:tc>
        <w:tc>
          <w:tcPr>
            <w:tcW w:w="109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szCs w:val="18"/>
              </w:rPr>
            </w:pPr>
            <w:r>
              <w:rPr>
                <w:rFonts w:cs="Calibri"/>
                <w:szCs w:val="18"/>
              </w:rPr>
              <w:t>(25,503)</w:t>
            </w:r>
          </w:p>
        </w:tc>
      </w:tr>
      <w:tr w:rsidR="00735613" w:rsidTr="00735613">
        <w:trPr>
          <w:trHeight w:val="255"/>
        </w:trPr>
        <w:tc>
          <w:tcPr>
            <w:tcW w:w="4256"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Other payables</w:t>
            </w:r>
          </w:p>
        </w:tc>
        <w:tc>
          <w:tcPr>
            <w:tcW w:w="107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b/>
                <w:bCs/>
                <w:szCs w:val="18"/>
              </w:rPr>
            </w:pPr>
            <w:r>
              <w:rPr>
                <w:rFonts w:cs="Calibri"/>
                <w:b/>
                <w:bCs/>
                <w:szCs w:val="18"/>
              </w:rPr>
              <w:t>17,701</w:t>
            </w:r>
          </w:p>
        </w:tc>
        <w:tc>
          <w:tcPr>
            <w:tcW w:w="107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29,677 </w:t>
            </w:r>
          </w:p>
        </w:tc>
        <w:tc>
          <w:tcPr>
            <w:tcW w:w="109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szCs w:val="18"/>
              </w:rPr>
            </w:pPr>
            <w:r>
              <w:rPr>
                <w:rFonts w:cs="Calibri"/>
                <w:szCs w:val="18"/>
              </w:rPr>
              <w:t>(11,976)</w:t>
            </w:r>
          </w:p>
        </w:tc>
      </w:tr>
      <w:tr w:rsidR="00735613" w:rsidTr="00735613">
        <w:trPr>
          <w:trHeight w:val="255"/>
        </w:trPr>
        <w:tc>
          <w:tcPr>
            <w:tcW w:w="4256" w:type="dxa"/>
            <w:tcBorders>
              <w:top w:val="nil"/>
              <w:left w:val="nil"/>
              <w:bottom w:val="nil"/>
              <w:right w:val="nil"/>
            </w:tcBorders>
            <w:shd w:val="clear" w:color="000000" w:fill="D9D9D9"/>
            <w:vAlign w:val="bottom"/>
            <w:hideMark/>
          </w:tcPr>
          <w:p w:rsidR="00735613" w:rsidRDefault="00735613">
            <w:pPr>
              <w:rPr>
                <w:rFonts w:cs="Calibri"/>
                <w:b/>
                <w:bCs/>
                <w:szCs w:val="18"/>
              </w:rPr>
            </w:pPr>
            <w:r>
              <w:rPr>
                <w:rFonts w:cs="Calibri"/>
                <w:b/>
                <w:bCs/>
                <w:szCs w:val="18"/>
              </w:rPr>
              <w:t>Total payables</w:t>
            </w:r>
          </w:p>
        </w:tc>
        <w:tc>
          <w:tcPr>
            <w:tcW w:w="10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108,182</w:t>
            </w:r>
          </w:p>
        </w:tc>
        <w:tc>
          <w:tcPr>
            <w:tcW w:w="10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1,207,443</w:t>
            </w:r>
          </w:p>
        </w:tc>
        <w:tc>
          <w:tcPr>
            <w:tcW w:w="109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szCs w:val="18"/>
              </w:rPr>
            </w:pPr>
            <w:r>
              <w:rPr>
                <w:rFonts w:cs="Calibri"/>
                <w:szCs w:val="18"/>
              </w:rPr>
              <w:t>(1,099,261)</w:t>
            </w:r>
          </w:p>
        </w:tc>
      </w:tr>
      <w:tr w:rsidR="00735613" w:rsidTr="00735613">
        <w:trPr>
          <w:trHeight w:val="255"/>
        </w:trPr>
        <w:tc>
          <w:tcPr>
            <w:tcW w:w="4256" w:type="dxa"/>
            <w:tcBorders>
              <w:top w:val="nil"/>
              <w:left w:val="nil"/>
              <w:bottom w:val="nil"/>
              <w:right w:val="nil"/>
            </w:tcBorders>
            <w:shd w:val="clear" w:color="000000" w:fill="D9D9D9"/>
            <w:vAlign w:val="bottom"/>
            <w:hideMark/>
          </w:tcPr>
          <w:p w:rsidR="00735613" w:rsidRDefault="00735613">
            <w:pPr>
              <w:rPr>
                <w:rFonts w:cs="Calibri"/>
                <w:b/>
                <w:bCs/>
                <w:szCs w:val="18"/>
              </w:rPr>
            </w:pPr>
            <w:r>
              <w:rPr>
                <w:rFonts w:cs="Calibri"/>
                <w:b/>
                <w:bCs/>
                <w:szCs w:val="18"/>
              </w:rPr>
              <w:t> </w:t>
            </w:r>
          </w:p>
        </w:tc>
        <w:tc>
          <w:tcPr>
            <w:tcW w:w="1076" w:type="dxa"/>
            <w:tcBorders>
              <w:top w:val="nil"/>
              <w:left w:val="nil"/>
              <w:bottom w:val="nil"/>
              <w:right w:val="nil"/>
            </w:tcBorders>
            <w:shd w:val="clear" w:color="000000" w:fill="D9D9D9"/>
            <w:noWrap/>
            <w:vAlign w:val="bottom"/>
            <w:hideMark/>
          </w:tcPr>
          <w:p w:rsidR="00735613" w:rsidRDefault="00735613">
            <w:pPr>
              <w:rPr>
                <w:rFonts w:cs="Calibri"/>
                <w:b/>
                <w:bCs/>
                <w:szCs w:val="18"/>
              </w:rPr>
            </w:pPr>
            <w:r>
              <w:rPr>
                <w:rFonts w:cs="Calibri"/>
                <w:b/>
                <w:bCs/>
                <w:szCs w:val="18"/>
              </w:rPr>
              <w:t> </w:t>
            </w:r>
          </w:p>
        </w:tc>
        <w:tc>
          <w:tcPr>
            <w:tcW w:w="107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096" w:type="dxa"/>
            <w:tcBorders>
              <w:top w:val="nil"/>
              <w:left w:val="nil"/>
              <w:bottom w:val="nil"/>
              <w:right w:val="nil"/>
            </w:tcBorders>
            <w:shd w:val="clear" w:color="000000" w:fill="D9D9D9"/>
            <w:noWrap/>
            <w:vAlign w:val="bottom"/>
            <w:hideMark/>
          </w:tcPr>
          <w:p w:rsidR="00735613" w:rsidRDefault="00735613">
            <w:pPr>
              <w:rPr>
                <w:rFonts w:cs="Calibri"/>
                <w:szCs w:val="18"/>
              </w:rPr>
            </w:pPr>
            <w:r>
              <w:rPr>
                <w:rFonts w:cs="Calibri"/>
                <w:szCs w:val="18"/>
              </w:rPr>
              <w:t> </w:t>
            </w:r>
          </w:p>
        </w:tc>
      </w:tr>
      <w:tr w:rsidR="00735613" w:rsidTr="00735613">
        <w:trPr>
          <w:trHeight w:val="255"/>
        </w:trPr>
        <w:tc>
          <w:tcPr>
            <w:tcW w:w="4256" w:type="dxa"/>
            <w:tcBorders>
              <w:top w:val="nil"/>
              <w:left w:val="nil"/>
              <w:bottom w:val="nil"/>
              <w:right w:val="nil"/>
            </w:tcBorders>
            <w:shd w:val="clear" w:color="000000" w:fill="D9D9D9"/>
            <w:vAlign w:val="bottom"/>
            <w:hideMark/>
          </w:tcPr>
          <w:p w:rsidR="00735613" w:rsidRDefault="00735613">
            <w:pPr>
              <w:rPr>
                <w:rFonts w:cs="Calibri"/>
                <w:b/>
                <w:bCs/>
                <w:szCs w:val="18"/>
              </w:rPr>
            </w:pPr>
            <w:r>
              <w:rPr>
                <w:rFonts w:cs="Calibri"/>
                <w:b/>
                <w:bCs/>
                <w:szCs w:val="18"/>
              </w:rPr>
              <w:t>Provisions</w:t>
            </w:r>
          </w:p>
        </w:tc>
        <w:tc>
          <w:tcPr>
            <w:tcW w:w="1076" w:type="dxa"/>
            <w:tcBorders>
              <w:top w:val="nil"/>
              <w:left w:val="nil"/>
              <w:bottom w:val="nil"/>
              <w:right w:val="nil"/>
            </w:tcBorders>
            <w:shd w:val="clear" w:color="000000" w:fill="D9D9D9"/>
            <w:noWrap/>
            <w:vAlign w:val="bottom"/>
            <w:hideMark/>
          </w:tcPr>
          <w:p w:rsidR="00735613" w:rsidRDefault="00735613">
            <w:pPr>
              <w:rPr>
                <w:rFonts w:cs="Calibri"/>
                <w:b/>
                <w:bCs/>
                <w:szCs w:val="18"/>
              </w:rPr>
            </w:pPr>
            <w:r>
              <w:rPr>
                <w:rFonts w:cs="Calibri"/>
                <w:b/>
                <w:bCs/>
                <w:szCs w:val="18"/>
              </w:rPr>
              <w:t> </w:t>
            </w:r>
          </w:p>
        </w:tc>
        <w:tc>
          <w:tcPr>
            <w:tcW w:w="107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096" w:type="dxa"/>
            <w:tcBorders>
              <w:top w:val="nil"/>
              <w:left w:val="nil"/>
              <w:bottom w:val="nil"/>
              <w:right w:val="nil"/>
            </w:tcBorders>
            <w:shd w:val="clear" w:color="000000" w:fill="D9D9D9"/>
            <w:noWrap/>
            <w:vAlign w:val="bottom"/>
            <w:hideMark/>
          </w:tcPr>
          <w:p w:rsidR="00735613" w:rsidRDefault="00735613">
            <w:pPr>
              <w:rPr>
                <w:rFonts w:cs="Calibri"/>
                <w:szCs w:val="18"/>
              </w:rPr>
            </w:pPr>
            <w:r>
              <w:rPr>
                <w:rFonts w:cs="Calibri"/>
                <w:szCs w:val="18"/>
              </w:rPr>
              <w:t> </w:t>
            </w:r>
          </w:p>
        </w:tc>
      </w:tr>
      <w:tr w:rsidR="00735613" w:rsidTr="00735613">
        <w:trPr>
          <w:trHeight w:val="285"/>
        </w:trPr>
        <w:tc>
          <w:tcPr>
            <w:tcW w:w="4256"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Provision for grants</w:t>
            </w:r>
            <w:r>
              <w:rPr>
                <w:rFonts w:cs="Calibri"/>
                <w:szCs w:val="18"/>
                <w:vertAlign w:val="superscript"/>
              </w:rPr>
              <w:t>5</w:t>
            </w:r>
          </w:p>
        </w:tc>
        <w:tc>
          <w:tcPr>
            <w:tcW w:w="107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b/>
                <w:bCs/>
                <w:szCs w:val="18"/>
              </w:rPr>
            </w:pPr>
            <w:r>
              <w:rPr>
                <w:rFonts w:cs="Calibri"/>
                <w:b/>
                <w:bCs/>
                <w:szCs w:val="18"/>
              </w:rPr>
              <w:t>6,068,013</w:t>
            </w:r>
          </w:p>
        </w:tc>
        <w:tc>
          <w:tcPr>
            <w:tcW w:w="1076" w:type="dxa"/>
            <w:tcBorders>
              <w:top w:val="nil"/>
              <w:left w:val="nil"/>
              <w:bottom w:val="nil"/>
              <w:right w:val="nil"/>
            </w:tcBorders>
            <w:shd w:val="clear" w:color="000000" w:fill="D9D9D9"/>
            <w:noWrap/>
            <w:vAlign w:val="bottom"/>
            <w:hideMark/>
          </w:tcPr>
          <w:p w:rsidR="00735613" w:rsidRDefault="00735613">
            <w:pPr>
              <w:jc w:val="right"/>
              <w:rPr>
                <w:rFonts w:cs="Calibri"/>
                <w:b/>
                <w:bCs/>
                <w:szCs w:val="18"/>
              </w:rPr>
            </w:pPr>
            <w:r>
              <w:rPr>
                <w:rFonts w:cs="Calibri"/>
                <w:b/>
                <w:bCs/>
                <w:szCs w:val="18"/>
              </w:rPr>
              <w:t xml:space="preserve">7,078,686 </w:t>
            </w:r>
          </w:p>
        </w:tc>
        <w:tc>
          <w:tcPr>
            <w:tcW w:w="1096" w:type="dxa"/>
            <w:tcBorders>
              <w:top w:val="nil"/>
              <w:left w:val="nil"/>
              <w:bottom w:val="single" w:sz="4" w:space="0" w:color="D9D9D9"/>
              <w:right w:val="nil"/>
            </w:tcBorders>
            <w:shd w:val="clear" w:color="000000" w:fill="D9D9D9"/>
            <w:noWrap/>
            <w:vAlign w:val="bottom"/>
            <w:hideMark/>
          </w:tcPr>
          <w:p w:rsidR="00735613" w:rsidRDefault="00735613">
            <w:pPr>
              <w:jc w:val="right"/>
              <w:rPr>
                <w:rFonts w:cs="Calibri"/>
                <w:szCs w:val="18"/>
              </w:rPr>
            </w:pPr>
            <w:r>
              <w:rPr>
                <w:rFonts w:cs="Calibri"/>
                <w:szCs w:val="18"/>
              </w:rPr>
              <w:t>(1,010,673)</w:t>
            </w:r>
          </w:p>
        </w:tc>
      </w:tr>
      <w:tr w:rsidR="00735613" w:rsidTr="00735613">
        <w:trPr>
          <w:trHeight w:val="255"/>
        </w:trPr>
        <w:tc>
          <w:tcPr>
            <w:tcW w:w="4256" w:type="dxa"/>
            <w:tcBorders>
              <w:top w:val="nil"/>
              <w:left w:val="nil"/>
              <w:bottom w:val="nil"/>
              <w:right w:val="nil"/>
            </w:tcBorders>
            <w:shd w:val="clear" w:color="000000" w:fill="D9D9D9"/>
            <w:vAlign w:val="bottom"/>
            <w:hideMark/>
          </w:tcPr>
          <w:p w:rsidR="00735613" w:rsidRDefault="00735613">
            <w:pPr>
              <w:rPr>
                <w:rFonts w:cs="Calibri"/>
                <w:b/>
                <w:bCs/>
                <w:szCs w:val="18"/>
              </w:rPr>
            </w:pPr>
            <w:r>
              <w:rPr>
                <w:rFonts w:cs="Calibri"/>
                <w:b/>
                <w:bCs/>
                <w:szCs w:val="18"/>
              </w:rPr>
              <w:t>Total provisions</w:t>
            </w:r>
          </w:p>
        </w:tc>
        <w:tc>
          <w:tcPr>
            <w:tcW w:w="10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6,068,013</w:t>
            </w:r>
          </w:p>
        </w:tc>
        <w:tc>
          <w:tcPr>
            <w:tcW w:w="10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7,078,686</w:t>
            </w:r>
          </w:p>
        </w:tc>
        <w:tc>
          <w:tcPr>
            <w:tcW w:w="109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szCs w:val="18"/>
              </w:rPr>
            </w:pPr>
            <w:r>
              <w:rPr>
                <w:rFonts w:cs="Calibri"/>
                <w:szCs w:val="18"/>
              </w:rPr>
              <w:t>(1,010,673)</w:t>
            </w:r>
          </w:p>
        </w:tc>
      </w:tr>
      <w:tr w:rsidR="00735613" w:rsidTr="00735613">
        <w:trPr>
          <w:trHeight w:val="255"/>
        </w:trPr>
        <w:tc>
          <w:tcPr>
            <w:tcW w:w="4256"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 </w:t>
            </w:r>
          </w:p>
        </w:tc>
        <w:tc>
          <w:tcPr>
            <w:tcW w:w="1076" w:type="dxa"/>
            <w:tcBorders>
              <w:top w:val="nil"/>
              <w:left w:val="nil"/>
              <w:bottom w:val="single" w:sz="4" w:space="0" w:color="D9D9D9"/>
              <w:right w:val="nil"/>
            </w:tcBorders>
            <w:shd w:val="clear" w:color="000000" w:fill="D9D9D9"/>
            <w:noWrap/>
            <w:vAlign w:val="bottom"/>
            <w:hideMark/>
          </w:tcPr>
          <w:p w:rsidR="00735613" w:rsidRDefault="00735613">
            <w:pPr>
              <w:rPr>
                <w:rFonts w:cs="Calibri"/>
                <w:b/>
                <w:bCs/>
                <w:szCs w:val="18"/>
              </w:rPr>
            </w:pPr>
            <w:r>
              <w:rPr>
                <w:rFonts w:cs="Calibri"/>
                <w:b/>
                <w:bCs/>
                <w:szCs w:val="18"/>
              </w:rPr>
              <w:t> </w:t>
            </w:r>
          </w:p>
        </w:tc>
        <w:tc>
          <w:tcPr>
            <w:tcW w:w="107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096" w:type="dxa"/>
            <w:tcBorders>
              <w:top w:val="nil"/>
              <w:left w:val="nil"/>
              <w:bottom w:val="single" w:sz="4" w:space="0" w:color="D9D9D9"/>
              <w:right w:val="nil"/>
            </w:tcBorders>
            <w:shd w:val="clear" w:color="000000" w:fill="D9D9D9"/>
            <w:noWrap/>
            <w:vAlign w:val="bottom"/>
            <w:hideMark/>
          </w:tcPr>
          <w:p w:rsidR="00735613" w:rsidRDefault="00735613">
            <w:pPr>
              <w:rPr>
                <w:rFonts w:cs="Calibri"/>
                <w:szCs w:val="18"/>
              </w:rPr>
            </w:pPr>
            <w:r>
              <w:rPr>
                <w:rFonts w:cs="Calibri"/>
                <w:szCs w:val="18"/>
              </w:rPr>
              <w:t> </w:t>
            </w:r>
          </w:p>
        </w:tc>
      </w:tr>
      <w:tr w:rsidR="00735613" w:rsidTr="00735613">
        <w:trPr>
          <w:trHeight w:val="255"/>
        </w:trPr>
        <w:tc>
          <w:tcPr>
            <w:tcW w:w="4256" w:type="dxa"/>
            <w:tcBorders>
              <w:top w:val="nil"/>
              <w:left w:val="nil"/>
              <w:bottom w:val="single" w:sz="4" w:space="0" w:color="D9D9D9"/>
              <w:right w:val="nil"/>
            </w:tcBorders>
            <w:shd w:val="clear" w:color="000000" w:fill="D9D9D9"/>
            <w:vAlign w:val="bottom"/>
            <w:hideMark/>
          </w:tcPr>
          <w:p w:rsidR="00735613" w:rsidRDefault="00735613">
            <w:pPr>
              <w:rPr>
                <w:rFonts w:cs="Calibri"/>
                <w:b/>
                <w:bCs/>
                <w:szCs w:val="18"/>
              </w:rPr>
            </w:pPr>
            <w:r>
              <w:rPr>
                <w:rFonts w:cs="Calibri"/>
                <w:b/>
                <w:bCs/>
                <w:szCs w:val="18"/>
              </w:rPr>
              <w:t>Total liabilities administered on behalf of Government</w:t>
            </w:r>
          </w:p>
        </w:tc>
        <w:tc>
          <w:tcPr>
            <w:tcW w:w="10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6,176,195</w:t>
            </w:r>
          </w:p>
        </w:tc>
        <w:tc>
          <w:tcPr>
            <w:tcW w:w="107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8,286,129</w:t>
            </w:r>
          </w:p>
        </w:tc>
        <w:tc>
          <w:tcPr>
            <w:tcW w:w="1096" w:type="dxa"/>
            <w:tcBorders>
              <w:top w:val="single" w:sz="4" w:space="0" w:color="auto"/>
              <w:left w:val="nil"/>
              <w:bottom w:val="single" w:sz="4" w:space="0" w:color="auto"/>
              <w:right w:val="nil"/>
            </w:tcBorders>
            <w:shd w:val="clear" w:color="000000" w:fill="D9D9D9"/>
            <w:noWrap/>
            <w:vAlign w:val="bottom"/>
            <w:hideMark/>
          </w:tcPr>
          <w:p w:rsidR="00735613" w:rsidRDefault="00735613">
            <w:pPr>
              <w:jc w:val="right"/>
              <w:rPr>
                <w:rFonts w:cs="Calibri"/>
                <w:szCs w:val="18"/>
              </w:rPr>
            </w:pPr>
            <w:r>
              <w:rPr>
                <w:rFonts w:cs="Calibri"/>
                <w:szCs w:val="18"/>
              </w:rPr>
              <w:t>(2,109,934)</w:t>
            </w:r>
          </w:p>
        </w:tc>
      </w:tr>
      <w:tr w:rsidR="00735613" w:rsidTr="00735613">
        <w:trPr>
          <w:trHeight w:val="255"/>
        </w:trPr>
        <w:tc>
          <w:tcPr>
            <w:tcW w:w="4256" w:type="dxa"/>
            <w:tcBorders>
              <w:top w:val="nil"/>
              <w:left w:val="nil"/>
              <w:bottom w:val="nil"/>
              <w:right w:val="nil"/>
            </w:tcBorders>
            <w:shd w:val="clear" w:color="000000" w:fill="D9D9D9"/>
            <w:vAlign w:val="bottom"/>
            <w:hideMark/>
          </w:tcPr>
          <w:p w:rsidR="00735613" w:rsidRDefault="00735613">
            <w:pPr>
              <w:rPr>
                <w:rFonts w:cs="Calibri"/>
                <w:szCs w:val="18"/>
              </w:rPr>
            </w:pPr>
            <w:r>
              <w:rPr>
                <w:rFonts w:cs="Calibri"/>
                <w:szCs w:val="18"/>
              </w:rPr>
              <w:t> </w:t>
            </w:r>
          </w:p>
        </w:tc>
        <w:tc>
          <w:tcPr>
            <w:tcW w:w="1076" w:type="dxa"/>
            <w:tcBorders>
              <w:top w:val="nil"/>
              <w:left w:val="nil"/>
              <w:bottom w:val="single" w:sz="4" w:space="0" w:color="D9D9D9"/>
              <w:right w:val="nil"/>
            </w:tcBorders>
            <w:shd w:val="clear" w:color="000000" w:fill="D9D9D9"/>
            <w:noWrap/>
            <w:vAlign w:val="bottom"/>
            <w:hideMark/>
          </w:tcPr>
          <w:p w:rsidR="00735613" w:rsidRDefault="00735613">
            <w:pPr>
              <w:rPr>
                <w:rFonts w:cs="Calibri"/>
                <w:b/>
                <w:bCs/>
                <w:szCs w:val="18"/>
              </w:rPr>
            </w:pPr>
            <w:r>
              <w:rPr>
                <w:rFonts w:cs="Calibri"/>
                <w:b/>
                <w:bCs/>
                <w:szCs w:val="18"/>
              </w:rPr>
              <w:t> </w:t>
            </w:r>
          </w:p>
        </w:tc>
        <w:tc>
          <w:tcPr>
            <w:tcW w:w="1076" w:type="dxa"/>
            <w:tcBorders>
              <w:top w:val="nil"/>
              <w:left w:val="nil"/>
              <w:bottom w:val="nil"/>
              <w:right w:val="nil"/>
            </w:tcBorders>
            <w:shd w:val="clear" w:color="000000" w:fill="D9D9D9"/>
            <w:noWrap/>
            <w:vAlign w:val="bottom"/>
            <w:hideMark/>
          </w:tcPr>
          <w:p w:rsidR="00735613" w:rsidRDefault="00735613">
            <w:pPr>
              <w:jc w:val="center"/>
              <w:rPr>
                <w:rFonts w:cs="Calibri"/>
                <w:szCs w:val="18"/>
              </w:rPr>
            </w:pPr>
            <w:r>
              <w:rPr>
                <w:rFonts w:cs="Calibri"/>
                <w:szCs w:val="18"/>
              </w:rPr>
              <w:t> </w:t>
            </w:r>
          </w:p>
        </w:tc>
        <w:tc>
          <w:tcPr>
            <w:tcW w:w="1096" w:type="dxa"/>
            <w:tcBorders>
              <w:top w:val="nil"/>
              <w:left w:val="nil"/>
              <w:bottom w:val="single" w:sz="4" w:space="0" w:color="D9D9D9"/>
              <w:right w:val="nil"/>
            </w:tcBorders>
            <w:shd w:val="clear" w:color="000000" w:fill="D9D9D9"/>
            <w:noWrap/>
            <w:vAlign w:val="bottom"/>
            <w:hideMark/>
          </w:tcPr>
          <w:p w:rsidR="00735613" w:rsidRDefault="00735613">
            <w:pPr>
              <w:rPr>
                <w:rFonts w:cs="Calibri"/>
                <w:szCs w:val="18"/>
              </w:rPr>
            </w:pPr>
            <w:r>
              <w:rPr>
                <w:rFonts w:cs="Calibri"/>
                <w:szCs w:val="18"/>
              </w:rPr>
              <w:t> </w:t>
            </w:r>
          </w:p>
        </w:tc>
      </w:tr>
      <w:tr w:rsidR="00735613" w:rsidTr="00735613">
        <w:trPr>
          <w:trHeight w:val="270"/>
        </w:trPr>
        <w:tc>
          <w:tcPr>
            <w:tcW w:w="4256" w:type="dxa"/>
            <w:tcBorders>
              <w:top w:val="nil"/>
              <w:left w:val="nil"/>
              <w:bottom w:val="nil"/>
              <w:right w:val="nil"/>
            </w:tcBorders>
            <w:shd w:val="clear" w:color="000000" w:fill="D9D9D9"/>
            <w:vAlign w:val="bottom"/>
            <w:hideMark/>
          </w:tcPr>
          <w:p w:rsidR="00735613" w:rsidRDefault="00735613">
            <w:pPr>
              <w:rPr>
                <w:rFonts w:cs="Calibri"/>
                <w:b/>
                <w:bCs/>
                <w:szCs w:val="18"/>
              </w:rPr>
            </w:pPr>
            <w:r>
              <w:rPr>
                <w:rFonts w:cs="Calibri"/>
                <w:b/>
                <w:bCs/>
                <w:szCs w:val="18"/>
              </w:rPr>
              <w:t>Net assets (liabilities)</w:t>
            </w:r>
          </w:p>
        </w:tc>
        <w:tc>
          <w:tcPr>
            <w:tcW w:w="107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26,928,237</w:t>
            </w:r>
          </w:p>
        </w:tc>
        <w:tc>
          <w:tcPr>
            <w:tcW w:w="107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Calibri"/>
                <w:b/>
                <w:bCs/>
                <w:szCs w:val="18"/>
              </w:rPr>
            </w:pPr>
            <w:r>
              <w:rPr>
                <w:rFonts w:cs="Calibri"/>
                <w:b/>
                <w:bCs/>
                <w:szCs w:val="18"/>
              </w:rPr>
              <w:t>24,601,548</w:t>
            </w:r>
          </w:p>
        </w:tc>
        <w:tc>
          <w:tcPr>
            <w:tcW w:w="1096" w:type="dxa"/>
            <w:tcBorders>
              <w:top w:val="single" w:sz="4" w:space="0" w:color="auto"/>
              <w:left w:val="nil"/>
              <w:bottom w:val="double" w:sz="6" w:space="0" w:color="auto"/>
              <w:right w:val="nil"/>
            </w:tcBorders>
            <w:shd w:val="clear" w:color="000000" w:fill="D9D9D9"/>
            <w:noWrap/>
            <w:vAlign w:val="bottom"/>
            <w:hideMark/>
          </w:tcPr>
          <w:p w:rsidR="00735613" w:rsidRDefault="00735613">
            <w:pPr>
              <w:jc w:val="right"/>
              <w:rPr>
                <w:rFonts w:cs="Calibri"/>
                <w:szCs w:val="18"/>
              </w:rPr>
            </w:pPr>
            <w:r>
              <w:rPr>
                <w:rFonts w:cs="Calibri"/>
                <w:szCs w:val="18"/>
              </w:rPr>
              <w:t>2,326,689</w:t>
            </w:r>
          </w:p>
        </w:tc>
      </w:tr>
    </w:tbl>
    <w:p w:rsidR="00735613" w:rsidRDefault="00735613" w:rsidP="00735613">
      <w:pPr>
        <w:jc w:val="center"/>
      </w:pPr>
      <w:bookmarkStart w:id="692" w:name="RANGE!D7:G42"/>
      <w:bookmarkEnd w:id="692"/>
    </w:p>
    <w:p w:rsidR="00735613" w:rsidRDefault="00735613" w:rsidP="00735613"/>
    <w:p w:rsidR="00735613" w:rsidRDefault="00735613" w:rsidP="00735613"/>
    <w:p w:rsidR="00735613" w:rsidRDefault="00735613" w:rsidP="00735613"/>
    <w:p w:rsidR="00735613" w:rsidRDefault="00735613" w:rsidP="00735613"/>
    <w:p w:rsidR="00735613" w:rsidRDefault="00735613" w:rsidP="00735613"/>
    <w:p w:rsidR="00735613" w:rsidRDefault="00735613" w:rsidP="00735613"/>
    <w:p w:rsidR="00735613" w:rsidRDefault="00735613" w:rsidP="00735613"/>
    <w:p w:rsidR="00735613" w:rsidRDefault="00735613" w:rsidP="00735613">
      <w:r>
        <w:br w:type="page"/>
      </w:r>
    </w:p>
    <w:p w:rsidR="00735613" w:rsidRDefault="00735613" w:rsidP="00735613"/>
    <w:tbl>
      <w:tblPr>
        <w:tblW w:w="9087" w:type="dxa"/>
        <w:tblInd w:w="80" w:type="dxa"/>
        <w:tblLayout w:type="fixed"/>
        <w:tblLook w:val="04A0" w:firstRow="1" w:lastRow="0" w:firstColumn="1" w:lastColumn="0" w:noHBand="0" w:noVBand="1"/>
      </w:tblPr>
      <w:tblGrid>
        <w:gridCol w:w="9087"/>
      </w:tblGrid>
      <w:tr w:rsidR="00735613" w:rsidTr="00735613">
        <w:trPr>
          <w:trHeight w:val="240"/>
        </w:trPr>
        <w:tc>
          <w:tcPr>
            <w:tcW w:w="8990" w:type="dxa"/>
            <w:tcBorders>
              <w:top w:val="nil"/>
              <w:left w:val="nil"/>
              <w:bottom w:val="nil"/>
              <w:right w:val="nil"/>
            </w:tcBorders>
            <w:shd w:val="clear" w:color="000000" w:fill="D9D9D9"/>
            <w:noWrap/>
            <w:vAlign w:val="bottom"/>
            <w:hideMark/>
          </w:tcPr>
          <w:p w:rsidR="00735613" w:rsidRDefault="00735613">
            <w:pPr>
              <w:rPr>
                <w:rFonts w:cs="Calibri"/>
                <w:b/>
                <w:bCs/>
                <w:szCs w:val="18"/>
                <w:u w:val="single"/>
              </w:rPr>
            </w:pPr>
            <w:bookmarkStart w:id="693" w:name="Note_AMVTABLE1" w:colFirst="0" w:colLast="0"/>
            <w:r>
              <w:rPr>
                <w:rFonts w:cs="Calibri"/>
                <w:b/>
                <w:bCs/>
                <w:szCs w:val="18"/>
                <w:u w:val="single"/>
              </w:rPr>
              <w:t>Note 34D: Administered Major Budget Variances for 2015</w:t>
            </w:r>
          </w:p>
        </w:tc>
      </w:tr>
      <w:bookmarkEnd w:id="693"/>
      <w:tr w:rsidR="00735613" w:rsidTr="00735613">
        <w:trPr>
          <w:trHeight w:val="240"/>
        </w:trPr>
        <w:tc>
          <w:tcPr>
            <w:tcW w:w="8990" w:type="dxa"/>
            <w:tcBorders>
              <w:top w:val="nil"/>
              <w:left w:val="nil"/>
              <w:bottom w:val="single" w:sz="4" w:space="0" w:color="D9D9D9"/>
              <w:right w:val="nil"/>
            </w:tcBorders>
            <w:shd w:val="clear" w:color="000000" w:fill="D9D9D9"/>
            <w:noWrap/>
            <w:vAlign w:val="bottom"/>
            <w:hideMark/>
          </w:tcPr>
          <w:p w:rsidR="00735613" w:rsidRDefault="00735613">
            <w:pPr>
              <w:rPr>
                <w:rFonts w:cs="Calibri"/>
                <w:sz w:val="16"/>
                <w:szCs w:val="16"/>
              </w:rPr>
            </w:pPr>
            <w:r>
              <w:rPr>
                <w:rFonts w:cs="Calibri"/>
                <w:sz w:val="16"/>
                <w:szCs w:val="16"/>
              </w:rPr>
              <w:t> </w:t>
            </w:r>
          </w:p>
        </w:tc>
      </w:tr>
      <w:tr w:rsidR="00735613" w:rsidTr="00735613">
        <w:trPr>
          <w:trHeight w:val="240"/>
        </w:trPr>
        <w:tc>
          <w:tcPr>
            <w:tcW w:w="8990" w:type="dxa"/>
            <w:tcBorders>
              <w:top w:val="nil"/>
              <w:left w:val="nil"/>
              <w:bottom w:val="nil"/>
              <w:right w:val="nil"/>
            </w:tcBorders>
            <w:shd w:val="clear" w:color="000000" w:fill="D9D9D9"/>
            <w:noWrap/>
            <w:vAlign w:val="bottom"/>
            <w:hideMark/>
          </w:tcPr>
          <w:p w:rsidR="00735613" w:rsidRDefault="00735613">
            <w:pPr>
              <w:rPr>
                <w:rFonts w:cs="Calibri"/>
                <w:sz w:val="16"/>
                <w:szCs w:val="16"/>
              </w:rPr>
            </w:pPr>
            <w:r>
              <w:rPr>
                <w:rFonts w:cs="Calibri"/>
                <w:sz w:val="16"/>
                <w:szCs w:val="16"/>
              </w:rPr>
              <w:t> </w:t>
            </w:r>
          </w:p>
        </w:tc>
      </w:tr>
      <w:tr w:rsidR="00735613" w:rsidTr="00735613">
        <w:trPr>
          <w:trHeight w:val="240"/>
        </w:trPr>
        <w:tc>
          <w:tcPr>
            <w:tcW w:w="8990" w:type="dxa"/>
            <w:tcBorders>
              <w:top w:val="single" w:sz="4" w:space="0" w:color="auto"/>
              <w:left w:val="nil"/>
              <w:bottom w:val="single" w:sz="4" w:space="0" w:color="auto"/>
              <w:right w:val="nil"/>
            </w:tcBorders>
            <w:shd w:val="clear" w:color="000000" w:fill="D9D9D9"/>
            <w:noWrap/>
            <w:vAlign w:val="bottom"/>
            <w:hideMark/>
          </w:tcPr>
          <w:p w:rsidR="00735613" w:rsidRDefault="00735613">
            <w:pPr>
              <w:rPr>
                <w:rFonts w:cs="Calibri"/>
                <w:b/>
                <w:bCs/>
                <w:szCs w:val="18"/>
              </w:rPr>
            </w:pPr>
            <w:r>
              <w:rPr>
                <w:rFonts w:cs="Calibri"/>
                <w:b/>
                <w:bCs/>
                <w:szCs w:val="18"/>
              </w:rPr>
              <w:t>Explanation of Major Variances</w:t>
            </w:r>
          </w:p>
        </w:tc>
      </w:tr>
      <w:tr w:rsidR="00735613" w:rsidTr="00735613">
        <w:trPr>
          <w:trHeight w:val="1290"/>
        </w:trPr>
        <w:tc>
          <w:tcPr>
            <w:tcW w:w="8990" w:type="dxa"/>
            <w:tcBorders>
              <w:top w:val="nil"/>
              <w:left w:val="nil"/>
              <w:bottom w:val="single" w:sz="4" w:space="0" w:color="D9D9D9"/>
              <w:right w:val="nil"/>
            </w:tcBorders>
            <w:shd w:val="clear" w:color="000000" w:fill="D9D9D9"/>
            <w:hideMark/>
          </w:tcPr>
          <w:p w:rsidR="00735613" w:rsidRDefault="00735613">
            <w:pPr>
              <w:rPr>
                <w:rFonts w:cs="Calibri"/>
                <w:szCs w:val="18"/>
              </w:rPr>
            </w:pPr>
            <w:proofErr w:type="gramStart"/>
            <w:r>
              <w:rPr>
                <w:rFonts w:cs="Calibri"/>
                <w:szCs w:val="18"/>
              </w:rPr>
              <w:t>1. The 2014–15 Education Portfolio Budget Statements (PBS)</w:t>
            </w:r>
            <w:proofErr w:type="gramEnd"/>
            <w:r>
              <w:rPr>
                <w:rFonts w:cs="Calibri"/>
                <w:szCs w:val="18"/>
              </w:rPr>
              <w:t xml:space="preserve"> contain the original financial statements budget estimates presented to Parliament in respect of the 2015 financial year.  During the 2014–15 financial </w:t>
            </w:r>
            <w:proofErr w:type="gramStart"/>
            <w:r>
              <w:rPr>
                <w:rFonts w:cs="Calibri"/>
                <w:szCs w:val="18"/>
              </w:rPr>
              <w:t>year</w:t>
            </w:r>
            <w:proofErr w:type="gramEnd"/>
            <w:r>
              <w:rPr>
                <w:rFonts w:cs="Calibri"/>
                <w:szCs w:val="18"/>
              </w:rPr>
              <w:t xml:space="preserve"> following the Administrative Arrangement Orders (AAOs) of 23 December 2014, the department became the Department of Education and Training.  As a result of the AAOs functions relating to Early Childhood Education and Care transferred to the Department of Social Services and functions relating to Skills and Training transferred from </w:t>
            </w:r>
            <w:proofErr w:type="gramStart"/>
            <w:r>
              <w:rPr>
                <w:rFonts w:cs="Calibri"/>
                <w:szCs w:val="18"/>
              </w:rPr>
              <w:t>the  Department</w:t>
            </w:r>
            <w:proofErr w:type="gramEnd"/>
            <w:r>
              <w:rPr>
                <w:rFonts w:cs="Calibri"/>
                <w:szCs w:val="18"/>
              </w:rPr>
              <w:t xml:space="preserve"> of Industry and Science. </w:t>
            </w:r>
          </w:p>
        </w:tc>
      </w:tr>
      <w:tr w:rsidR="00735613" w:rsidTr="00735613">
        <w:trPr>
          <w:trHeight w:val="750"/>
        </w:trPr>
        <w:tc>
          <w:tcPr>
            <w:tcW w:w="8990" w:type="dxa"/>
            <w:tcBorders>
              <w:top w:val="nil"/>
              <w:left w:val="nil"/>
              <w:bottom w:val="single" w:sz="4" w:space="0" w:color="D9D9D9"/>
              <w:right w:val="nil"/>
            </w:tcBorders>
            <w:shd w:val="clear" w:color="000000" w:fill="D9D9D9"/>
            <w:vAlign w:val="bottom"/>
            <w:hideMark/>
          </w:tcPr>
          <w:p w:rsidR="00735613" w:rsidRDefault="00735613">
            <w:pPr>
              <w:rPr>
                <w:rFonts w:cs="Calibri"/>
                <w:szCs w:val="18"/>
              </w:rPr>
            </w:pPr>
            <w:r>
              <w:rPr>
                <w:rFonts w:cs="Calibri"/>
                <w:szCs w:val="18"/>
              </w:rPr>
              <w:t>2. The variances primarily relate to the settlement of balances following 2014–15 machinery of government changes. In addition the department received funding through the 2014–15 Portfolio Additional Estimates (PAES) and Portfolio Supplementary Additional Estimates Statements (PSAES).</w:t>
            </w:r>
          </w:p>
        </w:tc>
      </w:tr>
      <w:tr w:rsidR="00735613" w:rsidTr="00735613">
        <w:trPr>
          <w:trHeight w:val="510"/>
        </w:trPr>
        <w:tc>
          <w:tcPr>
            <w:tcW w:w="8990" w:type="dxa"/>
            <w:tcBorders>
              <w:top w:val="nil"/>
              <w:left w:val="nil"/>
              <w:bottom w:val="single" w:sz="4" w:space="0" w:color="D9D9D9"/>
              <w:right w:val="nil"/>
            </w:tcBorders>
            <w:shd w:val="clear" w:color="000000" w:fill="D9D9D9"/>
            <w:vAlign w:val="bottom"/>
            <w:hideMark/>
          </w:tcPr>
          <w:p w:rsidR="00735613" w:rsidRDefault="00735613">
            <w:pPr>
              <w:rPr>
                <w:rFonts w:cs="Calibri"/>
                <w:szCs w:val="18"/>
              </w:rPr>
            </w:pPr>
            <w:r>
              <w:rPr>
                <w:rFonts w:cs="Calibri"/>
                <w:szCs w:val="18"/>
              </w:rPr>
              <w:t>3. Variances primarily relate to the transfer of the Skills and Training functions from the Department of Industry and Science and the transfer of Early Childhood Education and Care to the Department of Social Services.</w:t>
            </w:r>
          </w:p>
        </w:tc>
      </w:tr>
      <w:tr w:rsidR="00735613" w:rsidTr="00735613">
        <w:trPr>
          <w:trHeight w:val="990"/>
        </w:trPr>
        <w:tc>
          <w:tcPr>
            <w:tcW w:w="8990" w:type="dxa"/>
            <w:tcBorders>
              <w:top w:val="nil"/>
              <w:left w:val="nil"/>
              <w:bottom w:val="single" w:sz="4" w:space="0" w:color="D9D9D9"/>
              <w:right w:val="nil"/>
            </w:tcBorders>
            <w:shd w:val="clear" w:color="000000" w:fill="D9D9D9"/>
            <w:vAlign w:val="bottom"/>
            <w:hideMark/>
          </w:tcPr>
          <w:p w:rsidR="00735613" w:rsidRDefault="00735613">
            <w:pPr>
              <w:rPr>
                <w:rFonts w:cs="Calibri"/>
                <w:szCs w:val="18"/>
              </w:rPr>
            </w:pPr>
            <w:r>
              <w:rPr>
                <w:rFonts w:cs="Calibri"/>
                <w:szCs w:val="18"/>
              </w:rPr>
              <w:t xml:space="preserve">4. The variance primarily relates to the Higher Education Loan Programme (HELP). The variance in HELP expenses is due to the Government’s decision not to proceed with applying indexation of outstanding debt at the 10 year Government bond rate and the downwards movement in the government bond yield curve which  is used to calculate concessional loan expenses for existing debt.  </w:t>
            </w:r>
          </w:p>
        </w:tc>
      </w:tr>
      <w:tr w:rsidR="00735613" w:rsidTr="00735613">
        <w:trPr>
          <w:trHeight w:val="990"/>
        </w:trPr>
        <w:tc>
          <w:tcPr>
            <w:tcW w:w="8990" w:type="dxa"/>
            <w:tcBorders>
              <w:top w:val="nil"/>
              <w:left w:val="nil"/>
              <w:bottom w:val="single" w:sz="4" w:space="0" w:color="D9D9D9"/>
              <w:right w:val="nil"/>
            </w:tcBorders>
            <w:shd w:val="clear" w:color="000000" w:fill="D9D9D9"/>
            <w:vAlign w:val="bottom"/>
            <w:hideMark/>
          </w:tcPr>
          <w:p w:rsidR="00735613" w:rsidRDefault="00735613">
            <w:pPr>
              <w:rPr>
                <w:rFonts w:cs="Calibri"/>
                <w:szCs w:val="18"/>
              </w:rPr>
            </w:pPr>
            <w:r>
              <w:rPr>
                <w:rFonts w:cs="Calibri"/>
                <w:szCs w:val="18"/>
              </w:rPr>
              <w:t>5. The variance relates primarily to changes to the Higher Education Superannuation programme following agreement with the New South Wales (NSW) Government that NSW will resume making payments to eligible NSW universities to meet its share of superannuation expenses. This agreement has resulted in a partial write back of the liability that has been wholly recognised by the Department, prior to this agreement.</w:t>
            </w:r>
          </w:p>
        </w:tc>
      </w:tr>
      <w:tr w:rsidR="00735613" w:rsidTr="00735613">
        <w:trPr>
          <w:trHeight w:val="720"/>
        </w:trPr>
        <w:tc>
          <w:tcPr>
            <w:tcW w:w="8990" w:type="dxa"/>
            <w:tcBorders>
              <w:top w:val="nil"/>
              <w:left w:val="nil"/>
              <w:bottom w:val="single" w:sz="4" w:space="0" w:color="D9D9D9"/>
              <w:right w:val="nil"/>
            </w:tcBorders>
            <w:shd w:val="clear" w:color="000000" w:fill="D9D9D9"/>
            <w:vAlign w:val="bottom"/>
            <w:hideMark/>
          </w:tcPr>
          <w:p w:rsidR="00735613" w:rsidRDefault="00735613">
            <w:pPr>
              <w:rPr>
                <w:rFonts w:cs="Calibri"/>
                <w:szCs w:val="18"/>
              </w:rPr>
            </w:pPr>
            <w:r>
              <w:rPr>
                <w:rFonts w:cs="Calibri"/>
                <w:szCs w:val="18"/>
              </w:rPr>
              <w:t>6. Due to the nature of the administered investments the external budget estimate does not incorporate predicted changes to the net asset position of entities. Changes to budget estimates are incorporated following the finalisation of agency financial statements.</w:t>
            </w:r>
          </w:p>
        </w:tc>
      </w:tr>
    </w:tbl>
    <w:p w:rsidR="00735613" w:rsidRDefault="00735613" w:rsidP="00735613">
      <w:bookmarkStart w:id="694" w:name="RANGE!D7:E16"/>
      <w:bookmarkStart w:id="695" w:name="RANGE!D7:E15"/>
      <w:bookmarkEnd w:id="694"/>
      <w:bookmarkEnd w:id="695"/>
    </w:p>
    <w:p w:rsidR="00735613" w:rsidRPr="00C10D16" w:rsidRDefault="00735613" w:rsidP="00735613"/>
    <w:p w:rsidR="00A12DF6" w:rsidRDefault="00A12DF6"/>
    <w:sectPr w:rsidR="00A12DF6" w:rsidSect="00735613">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613" w:rsidRDefault="00735613" w:rsidP="00735613">
      <w:pPr>
        <w:spacing w:line="240" w:lineRule="auto"/>
      </w:pPr>
      <w:r>
        <w:separator/>
      </w:r>
    </w:p>
  </w:endnote>
  <w:endnote w:type="continuationSeparator" w:id="0">
    <w:p w:rsidR="00735613" w:rsidRDefault="00735613" w:rsidP="007356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9999999">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613" w:rsidRDefault="00735613" w:rsidP="00735613">
    <w:pPr>
      <w:autoSpaceDE w:val="0"/>
      <w:autoSpaceDN w:val="0"/>
      <w:adjustRightInd w:val="0"/>
      <w:spacing w:line="240" w:lineRule="auto"/>
      <w:ind w:left="6480"/>
      <w:rPr>
        <w:rFonts w:ascii="Arial" w:hAnsi="Arial" w:cs="Arial"/>
        <w:sz w:val="12"/>
        <w:szCs w:val="12"/>
      </w:rPr>
    </w:pPr>
    <w:r>
      <w:rPr>
        <w:rFonts w:ascii="Arial" w:hAnsi="Arial" w:cs="Arial"/>
        <w:sz w:val="12"/>
        <w:szCs w:val="12"/>
      </w:rPr>
      <w:t>GPO Box 707 CANBERRA ACT 2601</w:t>
    </w:r>
  </w:p>
  <w:p w:rsidR="00735613" w:rsidRDefault="00735613" w:rsidP="00735613">
    <w:pPr>
      <w:autoSpaceDE w:val="0"/>
      <w:autoSpaceDN w:val="0"/>
      <w:adjustRightInd w:val="0"/>
      <w:spacing w:line="240" w:lineRule="auto"/>
      <w:ind w:left="6480"/>
      <w:rPr>
        <w:rFonts w:ascii="Arial" w:hAnsi="Arial" w:cs="Arial"/>
        <w:sz w:val="12"/>
        <w:szCs w:val="12"/>
      </w:rPr>
    </w:pPr>
    <w:r>
      <w:rPr>
        <w:rFonts w:ascii="Arial" w:hAnsi="Arial" w:cs="Arial"/>
        <w:sz w:val="12"/>
        <w:szCs w:val="12"/>
      </w:rPr>
      <w:t>19 National Circuit BARTON ACT</w:t>
    </w:r>
  </w:p>
  <w:p w:rsidR="00735613" w:rsidRDefault="00735613" w:rsidP="00735613">
    <w:pPr>
      <w:ind w:left="6480"/>
      <w:rPr>
        <w:rFonts w:ascii="Arial" w:hAnsi="Arial" w:cs="Arial"/>
        <w:sz w:val="12"/>
        <w:szCs w:val="12"/>
      </w:rPr>
    </w:pPr>
    <w:r>
      <w:rPr>
        <w:rFonts w:ascii="Arial" w:hAnsi="Arial" w:cs="Arial"/>
        <w:sz w:val="12"/>
        <w:szCs w:val="12"/>
      </w:rPr>
      <w:t>Phone (02) 6203 7300 Fax (02) 6203 7777</w:t>
    </w:r>
  </w:p>
  <w:p w:rsidR="00735613" w:rsidRDefault="00735613" w:rsidP="00735613">
    <w:pPr>
      <w:ind w:left="6480"/>
    </w:pPr>
  </w:p>
  <w:p w:rsidR="00735613" w:rsidRDefault="007356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613" w:rsidRDefault="00735613">
    <w:pPr>
      <w:pStyle w:val="Footer"/>
      <w:jc w:val="right"/>
      <w:rPr>
        <w:rFonts w:asciiTheme="minorHAnsi" w:hAnsiTheme="minorHAnsi" w:cstheme="minorHAnsi"/>
      </w:rPr>
    </w:pPr>
    <w:r w:rsidRPr="00466E22">
      <w:rPr>
        <w:rFonts w:asciiTheme="minorHAnsi" w:hAnsiTheme="minorHAnsi" w:cstheme="minorHAnsi"/>
      </w:rPr>
      <w:fldChar w:fldCharType="begin"/>
    </w:r>
    <w:r w:rsidRPr="00466E22">
      <w:rPr>
        <w:rFonts w:asciiTheme="minorHAnsi" w:hAnsiTheme="minorHAnsi" w:cstheme="minorHAnsi"/>
      </w:rPr>
      <w:instrText xml:space="preserve"> PAGE   \* MERGEFORMAT </w:instrText>
    </w:r>
    <w:r w:rsidRPr="00466E22">
      <w:rPr>
        <w:rFonts w:asciiTheme="minorHAnsi" w:hAnsiTheme="minorHAnsi" w:cstheme="minorHAnsi"/>
      </w:rPr>
      <w:fldChar w:fldCharType="separate"/>
    </w:r>
    <w:r w:rsidR="00DF4B99">
      <w:rPr>
        <w:rFonts w:asciiTheme="minorHAnsi" w:hAnsiTheme="minorHAnsi" w:cstheme="minorHAnsi"/>
        <w:noProof/>
      </w:rPr>
      <w:t>5</w:t>
    </w:r>
    <w:r w:rsidRPr="00466E22">
      <w:rPr>
        <w:rFonts w:asciiTheme="minorHAnsi" w:hAnsiTheme="minorHAnsi" w:cstheme="minorHAnsi"/>
        <w:noProof/>
      </w:rPr>
      <w:fldChar w:fldCharType="end"/>
    </w:r>
  </w:p>
  <w:p w:rsidR="00735613" w:rsidRDefault="00735613">
    <w:pPr>
      <w:pStyle w:val="Footer"/>
      <w:rPr>
        <w:rFonts w:asciiTheme="minorHAnsi" w:hAnsiTheme="minorHAnsi" w:cstheme="minorHAnsi"/>
      </w:rPr>
    </w:pPr>
    <w:r>
      <w:rPr>
        <w:rFonts w:asciiTheme="minorHAnsi" w:hAnsiTheme="minorHAnsi" w:cstheme="minorHAnsi"/>
      </w:rPr>
      <w:t>The above statement should be read in conjunction with the accompanying notes.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613" w:rsidRDefault="00735613">
    <w:pPr>
      <w:pStyle w:val="Footer"/>
      <w:jc w:val="right"/>
      <w:rPr>
        <w:rFonts w:asciiTheme="minorHAnsi" w:hAnsiTheme="minorHAnsi" w:cstheme="minorHAnsi"/>
      </w:rPr>
    </w:pPr>
    <w:r w:rsidRPr="00466E22">
      <w:rPr>
        <w:rFonts w:asciiTheme="minorHAnsi" w:hAnsiTheme="minorHAnsi" w:cstheme="minorHAnsi"/>
      </w:rPr>
      <w:fldChar w:fldCharType="begin"/>
    </w:r>
    <w:r w:rsidRPr="00466E22">
      <w:rPr>
        <w:rFonts w:asciiTheme="minorHAnsi" w:hAnsiTheme="minorHAnsi" w:cstheme="minorHAnsi"/>
      </w:rPr>
      <w:instrText xml:space="preserve"> PAGE   \* MERGEFORMAT </w:instrText>
    </w:r>
    <w:r w:rsidRPr="00466E22">
      <w:rPr>
        <w:rFonts w:asciiTheme="minorHAnsi" w:hAnsiTheme="minorHAnsi" w:cstheme="minorHAnsi"/>
      </w:rPr>
      <w:fldChar w:fldCharType="separate"/>
    </w:r>
    <w:r w:rsidR="00DF4B99">
      <w:rPr>
        <w:rFonts w:asciiTheme="minorHAnsi" w:hAnsiTheme="minorHAnsi" w:cstheme="minorHAnsi"/>
        <w:noProof/>
      </w:rPr>
      <w:t>14</w:t>
    </w:r>
    <w:r w:rsidRPr="00466E22">
      <w:rPr>
        <w:rFonts w:asciiTheme="minorHAnsi" w:hAnsiTheme="minorHAnsi" w:cstheme="minorHAnsi"/>
        <w:noProof/>
      </w:rPr>
      <w:fldChar w:fldCharType="end"/>
    </w:r>
  </w:p>
  <w:p w:rsidR="00735613" w:rsidRDefault="00735613">
    <w:pPr>
      <w:pStyle w:val="Footer"/>
      <w:rPr>
        <w:rFonts w:asciiTheme="minorHAnsi" w:hAnsiTheme="minorHAnsi" w:cstheme="minorHAnsi"/>
      </w:rPr>
    </w:pPr>
    <w:r>
      <w:rPr>
        <w:rFonts w:asciiTheme="minorHAnsi" w:hAnsiTheme="minorHAnsi" w:cstheme="minorHAnsi"/>
      </w:rPr>
      <w:t>The above schedule should be read in conjunction with the accompanying notes.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613" w:rsidRDefault="00735613">
    <w:pPr>
      <w:pStyle w:val="Footer"/>
      <w:jc w:val="right"/>
    </w:pPr>
    <w:r w:rsidRPr="00466E22">
      <w:rPr>
        <w:rFonts w:asciiTheme="minorHAnsi" w:hAnsiTheme="minorHAnsi" w:cstheme="minorHAnsi"/>
      </w:rPr>
      <w:fldChar w:fldCharType="begin"/>
    </w:r>
    <w:r w:rsidRPr="00466E22">
      <w:rPr>
        <w:rFonts w:asciiTheme="minorHAnsi" w:hAnsiTheme="minorHAnsi" w:cstheme="minorHAnsi"/>
      </w:rPr>
      <w:instrText xml:space="preserve"> PAGE   \* MERGEFORMAT </w:instrText>
    </w:r>
    <w:r w:rsidRPr="00466E22">
      <w:rPr>
        <w:rFonts w:asciiTheme="minorHAnsi" w:hAnsiTheme="minorHAnsi" w:cstheme="minorHAnsi"/>
      </w:rPr>
      <w:fldChar w:fldCharType="separate"/>
    </w:r>
    <w:r w:rsidR="00DF4B99">
      <w:rPr>
        <w:rFonts w:asciiTheme="minorHAnsi" w:hAnsiTheme="minorHAnsi" w:cstheme="minorHAnsi"/>
        <w:noProof/>
      </w:rPr>
      <w:t>97</w:t>
    </w:r>
    <w:r w:rsidRPr="00466E22">
      <w:rPr>
        <w:rFonts w:asciiTheme="minorHAnsi" w:hAnsiTheme="minorHAnsi" w:cstheme="minorHAnsi"/>
        <w:noProof/>
      </w:rPr>
      <w:fldChar w:fldCharType="end"/>
    </w:r>
  </w:p>
  <w:p w:rsidR="00735613" w:rsidRDefault="007356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613" w:rsidRDefault="00735613" w:rsidP="00735613">
      <w:pPr>
        <w:spacing w:line="240" w:lineRule="auto"/>
      </w:pPr>
      <w:r>
        <w:separator/>
      </w:r>
    </w:p>
  </w:footnote>
  <w:footnote w:type="continuationSeparator" w:id="0">
    <w:p w:rsidR="00735613" w:rsidRDefault="00735613" w:rsidP="0073561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613" w:rsidRDefault="00735613" w:rsidP="00735613">
    <w:pPr>
      <w:pStyle w:val="Header"/>
      <w:jc w:val="cent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613" w:rsidRDefault="00DF4B99">
    <w:pPr>
      <w:tabs>
        <w:tab w:val="right" w:pos="9072"/>
      </w:tabs>
      <w:rPr>
        <w:rFonts w:asciiTheme="minorHAnsi" w:hAnsiTheme="minorHAnsi" w:cstheme="minorHAnsi"/>
        <w:b/>
        <w:sz w:val="24"/>
        <w:szCs w:val="24"/>
      </w:rPr>
    </w:pPr>
    <w:r>
      <w:fldChar w:fldCharType="begin"/>
    </w:r>
    <w:r>
      <w:instrText xml:space="preserve"> DOCPROPERTY  longName  \* MERGEFORMAT </w:instrText>
    </w:r>
    <w:r>
      <w:fldChar w:fldCharType="separate"/>
    </w:r>
    <w:r w:rsidR="00735613" w:rsidRPr="00C7000D">
      <w:rPr>
        <w:rFonts w:asciiTheme="minorHAnsi" w:hAnsiTheme="minorHAnsi" w:cstheme="minorHAnsi"/>
        <w:b/>
        <w:sz w:val="24"/>
        <w:szCs w:val="24"/>
      </w:rPr>
      <w:t>Department of Education and Training</w:t>
    </w:r>
    <w:r>
      <w:rPr>
        <w:rFonts w:asciiTheme="minorHAnsi" w:hAnsiTheme="minorHAnsi" w:cstheme="minorHAnsi"/>
        <w:b/>
        <w:sz w:val="24"/>
        <w:szCs w:val="24"/>
      </w:rPr>
      <w:fldChar w:fldCharType="end"/>
    </w:r>
  </w:p>
  <w:p w:rsidR="00735613" w:rsidRDefault="00735613">
    <w:pPr>
      <w:rPr>
        <w:rFonts w:asciiTheme="minorHAnsi" w:hAnsiTheme="minorHAnsi" w:cstheme="minorHAnsi"/>
        <w:b/>
        <w:sz w:val="24"/>
        <w:szCs w:val="24"/>
      </w:rPr>
    </w:pPr>
    <w:r>
      <w:rPr>
        <w:rFonts w:asciiTheme="minorHAnsi" w:hAnsiTheme="minorHAnsi" w:cstheme="minorHAnsi"/>
        <w:b/>
        <w:sz w:val="24"/>
        <w:szCs w:val="24"/>
      </w:rPr>
      <w:t>ADMINISTERED RECONCILIATION SCHEDULE</w:t>
    </w:r>
  </w:p>
  <w:p w:rsidR="00735613" w:rsidRPr="00F85709" w:rsidRDefault="00735613" w:rsidP="00735613">
    <w:pPr>
      <w:rPr>
        <w:rFonts w:asciiTheme="minorHAnsi" w:hAnsiTheme="minorHAnsi" w:cstheme="minorHAnsi"/>
        <w:b/>
        <w:sz w:val="24"/>
        <w:szCs w:val="24"/>
      </w:rPr>
    </w:pPr>
    <w:proofErr w:type="gramStart"/>
    <w:r>
      <w:rPr>
        <w:rFonts w:asciiTheme="minorHAnsi" w:hAnsiTheme="minorHAnsi" w:cstheme="minorHAnsi"/>
        <w:i/>
        <w:sz w:val="24"/>
        <w:szCs w:val="24"/>
      </w:rPr>
      <w:t>for</w:t>
    </w:r>
    <w:proofErr w:type="gramEnd"/>
    <w:r>
      <w:rPr>
        <w:rFonts w:asciiTheme="minorHAnsi" w:hAnsiTheme="minorHAnsi" w:cstheme="minorHAnsi"/>
        <w:i/>
        <w:sz w:val="24"/>
        <w:szCs w:val="24"/>
      </w:rPr>
      <w:t xml:space="preserve"> the period ended </w:t>
    </w:r>
    <w:r w:rsidR="00DF4B99">
      <w:fldChar w:fldCharType="begin"/>
    </w:r>
    <w:r w:rsidR="00DF4B99">
      <w:instrText xml:space="preserve"> DOCPROPERTY  pEnd  \* MERGEFORMAT </w:instrText>
    </w:r>
    <w:r w:rsidR="00DF4B99">
      <w:fldChar w:fldCharType="separate"/>
    </w:r>
    <w:r w:rsidRPr="00C7000D">
      <w:rPr>
        <w:rFonts w:asciiTheme="minorHAnsi" w:hAnsiTheme="minorHAnsi" w:cstheme="minorHAnsi"/>
        <w:i/>
        <w:sz w:val="24"/>
        <w:szCs w:val="24"/>
      </w:rPr>
      <w:t>30 June</w:t>
    </w:r>
    <w:r w:rsidR="00DF4B99">
      <w:rPr>
        <w:rFonts w:asciiTheme="minorHAnsi" w:hAnsiTheme="minorHAnsi" w:cstheme="minorHAnsi"/>
        <w:i/>
        <w:sz w:val="24"/>
        <w:szCs w:val="24"/>
      </w:rPr>
      <w:fldChar w:fldCharType="end"/>
    </w:r>
    <w:r>
      <w:rPr>
        <w:rFonts w:asciiTheme="minorHAnsi" w:hAnsiTheme="minorHAnsi" w:cstheme="minorHAnsi"/>
        <w:i/>
        <w:sz w:val="24"/>
        <w:szCs w:val="24"/>
      </w:rPr>
      <w:t xml:space="preserve"> </w:t>
    </w:r>
    <w:r w:rsidR="00DF4B99">
      <w:fldChar w:fldCharType="begin"/>
    </w:r>
    <w:r w:rsidR="00DF4B99">
      <w:instrText xml:space="preserve"> DOCPROPERTY  crYear  \* MERGEFORMAT </w:instrText>
    </w:r>
    <w:r w:rsidR="00DF4B99">
      <w:fldChar w:fldCharType="separate"/>
    </w:r>
    <w:r w:rsidRPr="00C7000D">
      <w:rPr>
        <w:rFonts w:asciiTheme="minorHAnsi" w:hAnsiTheme="minorHAnsi" w:cstheme="minorHAnsi"/>
        <w:i/>
        <w:sz w:val="24"/>
        <w:szCs w:val="24"/>
      </w:rPr>
      <w:t>2015</w:t>
    </w:r>
    <w:r w:rsidR="00DF4B99">
      <w:rPr>
        <w:rFonts w:asciiTheme="minorHAnsi" w:hAnsiTheme="minorHAnsi" w:cstheme="minorHAnsi"/>
        <w:i/>
        <w:sz w:val="24"/>
        <w:szCs w:val="24"/>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613" w:rsidRDefault="00DF4B99">
    <w:pPr>
      <w:tabs>
        <w:tab w:val="right" w:pos="9072"/>
      </w:tabs>
      <w:rPr>
        <w:rFonts w:asciiTheme="minorHAnsi" w:hAnsiTheme="minorHAnsi" w:cstheme="minorHAnsi"/>
        <w:b/>
        <w:sz w:val="24"/>
        <w:szCs w:val="24"/>
      </w:rPr>
    </w:pPr>
    <w:r>
      <w:fldChar w:fldCharType="begin"/>
    </w:r>
    <w:r>
      <w:instrText xml:space="preserve"> DOCPROPERTY  longName  \* MERGEFORMAT </w:instrText>
    </w:r>
    <w:r>
      <w:fldChar w:fldCharType="separate"/>
    </w:r>
    <w:r w:rsidR="00735613" w:rsidRPr="00C7000D">
      <w:rPr>
        <w:rFonts w:asciiTheme="minorHAnsi" w:hAnsiTheme="minorHAnsi" w:cstheme="minorHAnsi"/>
        <w:b/>
        <w:sz w:val="24"/>
        <w:szCs w:val="24"/>
      </w:rPr>
      <w:t>Department of Education and Training</w:t>
    </w:r>
    <w:r>
      <w:rPr>
        <w:rFonts w:asciiTheme="minorHAnsi" w:hAnsiTheme="minorHAnsi" w:cstheme="minorHAnsi"/>
        <w:b/>
        <w:sz w:val="24"/>
        <w:szCs w:val="24"/>
      </w:rPr>
      <w:fldChar w:fldCharType="end"/>
    </w:r>
  </w:p>
  <w:p w:rsidR="00735613" w:rsidRDefault="00735613">
    <w:pPr>
      <w:rPr>
        <w:rFonts w:asciiTheme="minorHAnsi" w:hAnsiTheme="minorHAnsi" w:cstheme="minorHAnsi"/>
        <w:b/>
        <w:sz w:val="24"/>
        <w:szCs w:val="24"/>
      </w:rPr>
    </w:pPr>
    <w:r>
      <w:rPr>
        <w:rFonts w:asciiTheme="minorHAnsi" w:hAnsiTheme="minorHAnsi" w:cstheme="minorHAnsi"/>
        <w:b/>
        <w:sz w:val="24"/>
        <w:szCs w:val="24"/>
      </w:rPr>
      <w:t>ADMINISTERED CASH FLOW STATEMENT</w:t>
    </w:r>
  </w:p>
  <w:p w:rsidR="00735613" w:rsidRDefault="00735613">
    <w:pPr>
      <w:rPr>
        <w:rFonts w:asciiTheme="minorHAnsi" w:hAnsiTheme="minorHAnsi" w:cstheme="minorHAnsi"/>
        <w:b/>
        <w:sz w:val="24"/>
        <w:szCs w:val="24"/>
      </w:rPr>
    </w:pPr>
    <w:proofErr w:type="gramStart"/>
    <w:r>
      <w:rPr>
        <w:rFonts w:asciiTheme="minorHAnsi" w:hAnsiTheme="minorHAnsi" w:cstheme="minorHAnsi"/>
        <w:i/>
        <w:sz w:val="24"/>
        <w:szCs w:val="24"/>
      </w:rPr>
      <w:t>for</w:t>
    </w:r>
    <w:proofErr w:type="gramEnd"/>
    <w:r>
      <w:rPr>
        <w:rFonts w:asciiTheme="minorHAnsi" w:hAnsiTheme="minorHAnsi" w:cstheme="minorHAnsi"/>
        <w:i/>
        <w:sz w:val="24"/>
        <w:szCs w:val="24"/>
      </w:rPr>
      <w:t xml:space="preserve"> the period ended </w:t>
    </w:r>
    <w:r w:rsidR="00DF4B99">
      <w:fldChar w:fldCharType="begin"/>
    </w:r>
    <w:r w:rsidR="00DF4B99">
      <w:instrText xml:space="preserve"> DOCPROPERTY  pEnd  \* MERGEFORMAT </w:instrText>
    </w:r>
    <w:r w:rsidR="00DF4B99">
      <w:fldChar w:fldCharType="separate"/>
    </w:r>
    <w:r w:rsidRPr="00C7000D">
      <w:rPr>
        <w:rFonts w:asciiTheme="minorHAnsi" w:hAnsiTheme="minorHAnsi" w:cstheme="minorHAnsi"/>
        <w:i/>
        <w:sz w:val="24"/>
        <w:szCs w:val="24"/>
      </w:rPr>
      <w:t>30 June</w:t>
    </w:r>
    <w:r w:rsidR="00DF4B99">
      <w:rPr>
        <w:rFonts w:asciiTheme="minorHAnsi" w:hAnsiTheme="minorHAnsi" w:cstheme="minorHAnsi"/>
        <w:i/>
        <w:sz w:val="24"/>
        <w:szCs w:val="24"/>
      </w:rPr>
      <w:fldChar w:fldCharType="end"/>
    </w:r>
    <w:r>
      <w:rPr>
        <w:rFonts w:asciiTheme="minorHAnsi" w:hAnsiTheme="minorHAnsi" w:cstheme="minorHAnsi"/>
        <w:i/>
        <w:sz w:val="24"/>
        <w:szCs w:val="24"/>
      </w:rPr>
      <w:t xml:space="preserve"> </w:t>
    </w:r>
    <w:r w:rsidR="00DF4B99">
      <w:fldChar w:fldCharType="begin"/>
    </w:r>
    <w:r w:rsidR="00DF4B99">
      <w:instrText xml:space="preserve"> DOCPROPERTY  crYear  \* MERGEFORMAT </w:instrText>
    </w:r>
    <w:r w:rsidR="00DF4B99">
      <w:fldChar w:fldCharType="separate"/>
    </w:r>
    <w:r w:rsidRPr="00C7000D">
      <w:rPr>
        <w:rFonts w:asciiTheme="minorHAnsi" w:hAnsiTheme="minorHAnsi" w:cstheme="minorHAnsi"/>
        <w:i/>
        <w:sz w:val="24"/>
        <w:szCs w:val="24"/>
      </w:rPr>
      <w:t>2015</w:t>
    </w:r>
    <w:r w:rsidR="00DF4B99">
      <w:rPr>
        <w:rFonts w:asciiTheme="minorHAnsi" w:hAnsiTheme="minorHAnsi" w:cstheme="minorHAnsi"/>
        <w:i/>
        <w:sz w:val="24"/>
        <w:szCs w:val="24"/>
      </w:rPr>
      <w:fldChar w:fldCharType="end"/>
    </w:r>
  </w:p>
  <w:p w:rsidR="00735613" w:rsidRDefault="00735613">
    <w:pPr>
      <w:rPr>
        <w:rFonts w:ascii="Arial" w:hAnsi="Arial" w:cs="Arial"/>
        <w:b/>
        <w:sz w:val="24"/>
        <w:szCs w:val="24"/>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613" w:rsidRDefault="00DF4B99">
    <w:pPr>
      <w:tabs>
        <w:tab w:val="right" w:pos="9072"/>
      </w:tabs>
      <w:rPr>
        <w:rFonts w:asciiTheme="minorHAnsi" w:hAnsiTheme="minorHAnsi" w:cstheme="minorHAnsi"/>
        <w:b/>
        <w:sz w:val="24"/>
        <w:szCs w:val="24"/>
      </w:rPr>
    </w:pPr>
    <w:r>
      <w:fldChar w:fldCharType="begin"/>
    </w:r>
    <w:r>
      <w:instrText xml:space="preserve"> DOCPROPERTY  longName  \*</w:instrText>
    </w:r>
    <w:r>
      <w:instrText xml:space="preserve"> MERGEFORMAT </w:instrText>
    </w:r>
    <w:r>
      <w:fldChar w:fldCharType="separate"/>
    </w:r>
    <w:r w:rsidR="00735613" w:rsidRPr="00C7000D">
      <w:rPr>
        <w:rFonts w:asciiTheme="minorHAnsi" w:hAnsiTheme="minorHAnsi" w:cstheme="minorHAnsi"/>
        <w:b/>
        <w:sz w:val="24"/>
        <w:szCs w:val="24"/>
      </w:rPr>
      <w:t>Department of Education and Training</w:t>
    </w:r>
    <w:r>
      <w:rPr>
        <w:rFonts w:asciiTheme="minorHAnsi" w:hAnsiTheme="minorHAnsi" w:cstheme="minorHAnsi"/>
        <w:b/>
        <w:sz w:val="24"/>
        <w:szCs w:val="24"/>
      </w:rPr>
      <w:fldChar w:fldCharType="end"/>
    </w:r>
  </w:p>
  <w:p w:rsidR="00735613" w:rsidRDefault="00735613">
    <w:pPr>
      <w:rPr>
        <w:rFonts w:asciiTheme="minorHAnsi" w:hAnsiTheme="minorHAnsi" w:cstheme="minorHAnsi"/>
        <w:b/>
        <w:sz w:val="24"/>
        <w:szCs w:val="24"/>
      </w:rPr>
    </w:pPr>
    <w:r>
      <w:rPr>
        <w:rFonts w:asciiTheme="minorHAnsi" w:hAnsiTheme="minorHAnsi" w:cstheme="minorHAnsi"/>
        <w:b/>
        <w:sz w:val="24"/>
        <w:szCs w:val="24"/>
      </w:rPr>
      <w:t>SCHEDULE OF ADMINISTERED COMMITMENTS</w:t>
    </w:r>
  </w:p>
  <w:p w:rsidR="00735613" w:rsidRDefault="00735613">
    <w:pPr>
      <w:rPr>
        <w:rFonts w:asciiTheme="minorHAnsi" w:hAnsiTheme="minorHAnsi" w:cstheme="minorHAnsi"/>
        <w:b/>
        <w:sz w:val="24"/>
        <w:szCs w:val="24"/>
      </w:rPr>
    </w:pPr>
    <w:proofErr w:type="gramStart"/>
    <w:r>
      <w:rPr>
        <w:rFonts w:asciiTheme="minorHAnsi" w:hAnsiTheme="minorHAnsi" w:cstheme="minorHAnsi"/>
        <w:i/>
        <w:sz w:val="24"/>
        <w:szCs w:val="24"/>
      </w:rPr>
      <w:t>as</w:t>
    </w:r>
    <w:proofErr w:type="gramEnd"/>
    <w:r>
      <w:rPr>
        <w:rFonts w:asciiTheme="minorHAnsi" w:hAnsiTheme="minorHAnsi" w:cstheme="minorHAnsi"/>
        <w:i/>
        <w:sz w:val="24"/>
        <w:szCs w:val="24"/>
      </w:rPr>
      <w:t xml:space="preserve"> at </w:t>
    </w:r>
    <w:r w:rsidR="00DF4B99">
      <w:fldChar w:fldCharType="begin"/>
    </w:r>
    <w:r w:rsidR="00DF4B99">
      <w:instrText xml:space="preserve"> DOCPROPERTY  pEnd  \* MERGEFORMAT </w:instrText>
    </w:r>
    <w:r w:rsidR="00DF4B99">
      <w:fldChar w:fldCharType="separate"/>
    </w:r>
    <w:r w:rsidRPr="00C7000D">
      <w:rPr>
        <w:rFonts w:asciiTheme="minorHAnsi" w:hAnsiTheme="minorHAnsi" w:cstheme="minorHAnsi"/>
        <w:i/>
        <w:sz w:val="24"/>
        <w:szCs w:val="24"/>
      </w:rPr>
      <w:t>30 June</w:t>
    </w:r>
    <w:r w:rsidR="00DF4B99">
      <w:rPr>
        <w:rFonts w:asciiTheme="minorHAnsi" w:hAnsiTheme="minorHAnsi" w:cstheme="minorHAnsi"/>
        <w:i/>
        <w:sz w:val="24"/>
        <w:szCs w:val="24"/>
      </w:rPr>
      <w:fldChar w:fldCharType="end"/>
    </w:r>
    <w:r>
      <w:rPr>
        <w:rFonts w:asciiTheme="minorHAnsi" w:hAnsiTheme="minorHAnsi" w:cstheme="minorHAnsi"/>
        <w:i/>
        <w:sz w:val="24"/>
        <w:szCs w:val="24"/>
      </w:rPr>
      <w:t xml:space="preserve"> </w:t>
    </w:r>
    <w:r w:rsidR="00DF4B99">
      <w:fldChar w:fldCharType="begin"/>
    </w:r>
    <w:r w:rsidR="00DF4B99">
      <w:instrText xml:space="preserve"> DOCPROPERTY  crYear  \* MERGEFORMAT </w:instrText>
    </w:r>
    <w:r w:rsidR="00DF4B99">
      <w:fldChar w:fldCharType="separate"/>
    </w:r>
    <w:r w:rsidRPr="00C7000D">
      <w:rPr>
        <w:rFonts w:asciiTheme="minorHAnsi" w:hAnsiTheme="minorHAnsi" w:cstheme="minorHAnsi"/>
        <w:i/>
        <w:sz w:val="24"/>
        <w:szCs w:val="24"/>
      </w:rPr>
      <w:t>2015</w:t>
    </w:r>
    <w:r w:rsidR="00DF4B99">
      <w:rPr>
        <w:rFonts w:asciiTheme="minorHAnsi" w:hAnsiTheme="minorHAnsi" w:cstheme="minorHAnsi"/>
        <w:i/>
        <w:sz w:val="24"/>
        <w:szCs w:val="24"/>
      </w:rPr>
      <w:fldChar w:fldCharType="end"/>
    </w:r>
  </w:p>
  <w:p w:rsidR="00735613" w:rsidRDefault="00735613">
    <w:pPr>
      <w:rPr>
        <w:rFonts w:ascii="Arial" w:hAnsi="Arial" w:cs="Arial"/>
        <w:b/>
        <w:sz w:val="24"/>
        <w:szCs w:val="24"/>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613" w:rsidRDefault="00DF4B99">
    <w:pPr>
      <w:rPr>
        <w:rFonts w:asciiTheme="minorHAnsi" w:hAnsiTheme="minorHAnsi" w:cstheme="minorHAnsi"/>
        <w:b/>
        <w:sz w:val="24"/>
        <w:szCs w:val="24"/>
      </w:rPr>
    </w:pPr>
    <w:r>
      <w:fldChar w:fldCharType="begin"/>
    </w:r>
    <w:r>
      <w:instrText xml:space="preserve"> DOCPROPERTY  longName  \* MERGEFORMAT </w:instrText>
    </w:r>
    <w:r>
      <w:fldChar w:fldCharType="separate"/>
    </w:r>
    <w:r w:rsidR="00735613" w:rsidRPr="00C7000D">
      <w:rPr>
        <w:rFonts w:asciiTheme="minorHAnsi" w:hAnsiTheme="minorHAnsi" w:cstheme="minorHAnsi"/>
        <w:b/>
        <w:sz w:val="24"/>
        <w:szCs w:val="24"/>
      </w:rPr>
      <w:t>Department of Education and Training</w:t>
    </w:r>
    <w:r>
      <w:rPr>
        <w:rFonts w:asciiTheme="minorHAnsi" w:hAnsiTheme="minorHAnsi" w:cstheme="minorHAnsi"/>
        <w:b/>
        <w:sz w:val="24"/>
        <w:szCs w:val="24"/>
      </w:rPr>
      <w:fldChar w:fldCharType="end"/>
    </w:r>
  </w:p>
  <w:p w:rsidR="00735613" w:rsidRDefault="00735613">
    <w:pPr>
      <w:rPr>
        <w:rFonts w:asciiTheme="minorHAnsi" w:hAnsiTheme="minorHAnsi" w:cstheme="minorHAnsi"/>
        <w:b/>
        <w:sz w:val="24"/>
        <w:szCs w:val="24"/>
      </w:rPr>
    </w:pPr>
    <w:r>
      <w:rPr>
        <w:rFonts w:asciiTheme="minorHAnsi" w:hAnsiTheme="minorHAnsi" w:cstheme="minorHAnsi"/>
        <w:b/>
        <w:sz w:val="24"/>
        <w:szCs w:val="24"/>
      </w:rPr>
      <w:t>NOTES TO AND FORMING PART OF THE FINANCIAL STATEMENTS</w:t>
    </w:r>
  </w:p>
  <w:p w:rsidR="00735613" w:rsidRDefault="00735613">
    <w:pPr>
      <w:rPr>
        <w:rFonts w:ascii="Arial" w:hAnsi="Arial" w:cs="Arial"/>
        <w:b/>
        <w:sz w:val="14"/>
        <w:szCs w:val="14"/>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613" w:rsidRDefault="00DF4B99">
    <w:pPr>
      <w:rPr>
        <w:rFonts w:asciiTheme="minorHAnsi" w:hAnsiTheme="minorHAnsi" w:cstheme="minorHAnsi"/>
        <w:b/>
        <w:sz w:val="24"/>
        <w:szCs w:val="24"/>
      </w:rPr>
    </w:pPr>
    <w:r>
      <w:fldChar w:fldCharType="begin"/>
    </w:r>
    <w:r>
      <w:instrText xml:space="preserve"> DOCPROPERTY  longName  \* MERGEFORMAT </w:instrText>
    </w:r>
    <w:r>
      <w:fldChar w:fldCharType="separate"/>
    </w:r>
    <w:r w:rsidR="00735613" w:rsidRPr="00C7000D">
      <w:rPr>
        <w:rFonts w:asciiTheme="minorHAnsi" w:hAnsiTheme="minorHAnsi" w:cstheme="minorHAnsi"/>
        <w:b/>
        <w:sz w:val="24"/>
        <w:szCs w:val="24"/>
      </w:rPr>
      <w:t>Department of Education and Training</w:t>
    </w:r>
    <w:r>
      <w:rPr>
        <w:rFonts w:asciiTheme="minorHAnsi" w:hAnsiTheme="minorHAnsi" w:cstheme="minorHAnsi"/>
        <w:b/>
        <w:sz w:val="24"/>
        <w:szCs w:val="24"/>
      </w:rPr>
      <w:fldChar w:fldCharType="end"/>
    </w:r>
  </w:p>
  <w:p w:rsidR="00735613" w:rsidRDefault="00735613">
    <w:pPr>
      <w:rPr>
        <w:rFonts w:asciiTheme="minorHAnsi" w:hAnsiTheme="minorHAnsi" w:cstheme="minorHAnsi"/>
        <w:b/>
        <w:sz w:val="24"/>
        <w:szCs w:val="24"/>
      </w:rPr>
    </w:pPr>
    <w:r>
      <w:rPr>
        <w:rFonts w:asciiTheme="minorHAnsi" w:hAnsiTheme="minorHAnsi" w:cstheme="minorHAnsi"/>
        <w:b/>
        <w:sz w:val="24"/>
        <w:szCs w:val="24"/>
      </w:rPr>
      <w:t>NOTES TO AND FORMING PART OF THE FINANCIAL STATEMENTS</w:t>
    </w:r>
  </w:p>
  <w:p w:rsidR="00735613" w:rsidRDefault="00735613">
    <w:pPr>
      <w:pBdr>
        <w:bottom w:val="single" w:sz="4" w:space="1" w:color="auto"/>
      </w:pBdr>
      <w:rPr>
        <w:rFonts w:ascii="Arial" w:hAnsi="Arial" w:cs="Arial"/>
        <w:b/>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613" w:rsidRDefault="00735613" w:rsidP="00735613">
    <w:pPr>
      <w:pStyle w:val="Header"/>
      <w:jc w:val="center"/>
    </w:pPr>
    <w:r>
      <w:rPr>
        <w:noProof/>
        <w:lang w:eastAsia="en-AU"/>
      </w:rPr>
      <w:drawing>
        <wp:inline distT="0" distB="0" distL="0" distR="0" wp14:anchorId="3C1E43F3" wp14:editId="70219079">
          <wp:extent cx="5731510" cy="1260475"/>
          <wp:effectExtent l="0" t="0" r="2540" b="0"/>
          <wp:docPr id="1" name="Picture 1" descr="Contains the Commonwealth Coat of Arms and the Australian National Audit Office logo." title="ANAO letter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2604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613" w:rsidRDefault="00DF4B99">
    <w:pPr>
      <w:rPr>
        <w:rFonts w:asciiTheme="minorHAnsi" w:hAnsiTheme="minorHAnsi" w:cstheme="minorHAnsi"/>
        <w:b/>
        <w:sz w:val="24"/>
        <w:szCs w:val="24"/>
      </w:rPr>
    </w:pPr>
    <w:r>
      <w:fldChar w:fldCharType="begin"/>
    </w:r>
    <w:r>
      <w:instrText xml:space="preserve"> DOCPROPERTY  longName  \* MERGEFORMAT </w:instrText>
    </w:r>
    <w:r>
      <w:fldChar w:fldCharType="separate"/>
    </w:r>
    <w:r w:rsidR="00735613" w:rsidRPr="00C7000D">
      <w:rPr>
        <w:rFonts w:asciiTheme="minorHAnsi" w:hAnsiTheme="minorHAnsi" w:cstheme="minorHAnsi"/>
        <w:b/>
        <w:sz w:val="24"/>
        <w:szCs w:val="24"/>
      </w:rPr>
      <w:t>Department of Education and Training</w:t>
    </w:r>
    <w:r>
      <w:rPr>
        <w:rFonts w:asciiTheme="minorHAnsi" w:hAnsiTheme="minorHAnsi" w:cstheme="minorHAnsi"/>
        <w:b/>
        <w:sz w:val="24"/>
        <w:szCs w:val="24"/>
      </w:rPr>
      <w:fldChar w:fldCharType="end"/>
    </w:r>
  </w:p>
  <w:p w:rsidR="00735613" w:rsidRDefault="00735613">
    <w:pPr>
      <w:rPr>
        <w:rFonts w:asciiTheme="minorHAnsi" w:hAnsiTheme="minorHAnsi" w:cstheme="minorHAnsi"/>
        <w:b/>
        <w:sz w:val="24"/>
        <w:szCs w:val="24"/>
      </w:rPr>
    </w:pPr>
    <w:r>
      <w:rPr>
        <w:rFonts w:asciiTheme="minorHAnsi" w:hAnsiTheme="minorHAnsi" w:cstheme="minorHAnsi"/>
        <w:b/>
        <w:sz w:val="24"/>
        <w:szCs w:val="24"/>
      </w:rPr>
      <w:t>STATEMENT OF COMPREHENSIVE INCOME</w:t>
    </w:r>
  </w:p>
  <w:p w:rsidR="00735613" w:rsidRDefault="00735613">
    <w:pPr>
      <w:rPr>
        <w:rFonts w:asciiTheme="minorHAnsi" w:hAnsiTheme="minorHAnsi" w:cstheme="minorHAnsi"/>
        <w:sz w:val="24"/>
        <w:szCs w:val="24"/>
      </w:rPr>
    </w:pPr>
    <w:proofErr w:type="gramStart"/>
    <w:r>
      <w:rPr>
        <w:rFonts w:asciiTheme="minorHAnsi" w:hAnsiTheme="minorHAnsi" w:cstheme="minorHAnsi"/>
        <w:i/>
        <w:sz w:val="24"/>
        <w:szCs w:val="24"/>
      </w:rPr>
      <w:t>for</w:t>
    </w:r>
    <w:proofErr w:type="gramEnd"/>
    <w:r>
      <w:rPr>
        <w:rFonts w:asciiTheme="minorHAnsi" w:hAnsiTheme="minorHAnsi" w:cstheme="minorHAnsi"/>
        <w:i/>
        <w:sz w:val="24"/>
        <w:szCs w:val="24"/>
      </w:rPr>
      <w:t xml:space="preserve"> the period ended </w:t>
    </w:r>
    <w:r w:rsidR="00DF4B99">
      <w:fldChar w:fldCharType="begin"/>
    </w:r>
    <w:r w:rsidR="00DF4B99">
      <w:instrText xml:space="preserve"> DOCPROPERTY  pEnd  \* MERGEFORMAT </w:instrText>
    </w:r>
    <w:r w:rsidR="00DF4B99">
      <w:fldChar w:fldCharType="separate"/>
    </w:r>
    <w:r w:rsidRPr="00C7000D">
      <w:rPr>
        <w:rFonts w:asciiTheme="minorHAnsi" w:hAnsiTheme="minorHAnsi" w:cstheme="minorHAnsi"/>
        <w:i/>
        <w:sz w:val="24"/>
        <w:szCs w:val="24"/>
      </w:rPr>
      <w:t>30 June</w:t>
    </w:r>
    <w:r w:rsidR="00DF4B99">
      <w:rPr>
        <w:rFonts w:asciiTheme="minorHAnsi" w:hAnsiTheme="minorHAnsi" w:cstheme="minorHAnsi"/>
        <w:i/>
        <w:sz w:val="24"/>
        <w:szCs w:val="24"/>
      </w:rPr>
      <w:fldChar w:fldCharType="end"/>
    </w:r>
    <w:r>
      <w:rPr>
        <w:rFonts w:asciiTheme="minorHAnsi" w:hAnsiTheme="minorHAnsi" w:cstheme="minorHAnsi"/>
        <w:i/>
        <w:sz w:val="24"/>
        <w:szCs w:val="24"/>
      </w:rPr>
      <w:t xml:space="preserve"> </w:t>
    </w:r>
    <w:r w:rsidR="00DF4B99">
      <w:fldChar w:fldCharType="begin"/>
    </w:r>
    <w:r w:rsidR="00DF4B99">
      <w:instrText xml:space="preserve"> DOCPROPERTY  crYear  \* MERGEFORMAT </w:instrText>
    </w:r>
    <w:r w:rsidR="00DF4B99">
      <w:fldChar w:fldCharType="separate"/>
    </w:r>
    <w:r w:rsidRPr="00C7000D">
      <w:rPr>
        <w:rFonts w:asciiTheme="minorHAnsi" w:hAnsiTheme="minorHAnsi" w:cstheme="minorHAnsi"/>
        <w:i/>
        <w:sz w:val="24"/>
        <w:szCs w:val="24"/>
      </w:rPr>
      <w:t>2015</w:t>
    </w:r>
    <w:r w:rsidR="00DF4B99">
      <w:rPr>
        <w:rFonts w:asciiTheme="minorHAnsi" w:hAnsiTheme="minorHAnsi" w:cstheme="minorHAnsi"/>
        <w:i/>
        <w:sz w:val="24"/>
        <w:szCs w:val="24"/>
      </w:rPr>
      <w:fldChar w:fldCharType="end"/>
    </w:r>
  </w:p>
  <w:p w:rsidR="00735613" w:rsidRDefault="00735613">
    <w:pPr>
      <w:rPr>
        <w:rFonts w:ascii="Arial" w:hAnsi="Arial" w:cs="Arial"/>
        <w:i/>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613" w:rsidRDefault="00DF4B99">
    <w:pPr>
      <w:rPr>
        <w:rFonts w:asciiTheme="minorHAnsi" w:hAnsiTheme="minorHAnsi" w:cstheme="minorHAnsi"/>
        <w:b/>
        <w:sz w:val="24"/>
        <w:szCs w:val="24"/>
      </w:rPr>
    </w:pPr>
    <w:r>
      <w:fldChar w:fldCharType="begin"/>
    </w:r>
    <w:r>
      <w:instrText xml:space="preserve"> DOCPROPERTY  longName  \* MERGEFORMAT </w:instrText>
    </w:r>
    <w:r>
      <w:fldChar w:fldCharType="separate"/>
    </w:r>
    <w:r w:rsidR="00735613" w:rsidRPr="00C7000D">
      <w:rPr>
        <w:rFonts w:asciiTheme="minorHAnsi" w:hAnsiTheme="minorHAnsi" w:cstheme="minorHAnsi"/>
        <w:b/>
        <w:sz w:val="24"/>
        <w:szCs w:val="24"/>
      </w:rPr>
      <w:t>Department of</w:t>
    </w:r>
    <w:r w:rsidR="00735613" w:rsidRPr="00C7000D">
      <w:rPr>
        <w:rFonts w:asciiTheme="minorHAnsi" w:hAnsiTheme="minorHAnsi" w:cstheme="minorHAnsi"/>
      </w:rPr>
      <w:t xml:space="preserve"> </w:t>
    </w:r>
    <w:r w:rsidR="00735613" w:rsidRPr="00C7000D">
      <w:rPr>
        <w:rFonts w:asciiTheme="minorHAnsi" w:hAnsiTheme="minorHAnsi" w:cstheme="minorHAnsi"/>
        <w:b/>
        <w:sz w:val="24"/>
        <w:szCs w:val="24"/>
      </w:rPr>
      <w:t>Education and Training</w:t>
    </w:r>
    <w:r>
      <w:rPr>
        <w:rFonts w:asciiTheme="minorHAnsi" w:hAnsiTheme="minorHAnsi" w:cstheme="minorHAnsi"/>
        <w:b/>
        <w:sz w:val="24"/>
        <w:szCs w:val="24"/>
      </w:rPr>
      <w:fldChar w:fldCharType="end"/>
    </w:r>
  </w:p>
  <w:p w:rsidR="00735613" w:rsidRDefault="00735613">
    <w:pPr>
      <w:rPr>
        <w:rFonts w:asciiTheme="minorHAnsi" w:hAnsiTheme="minorHAnsi" w:cstheme="minorHAnsi"/>
        <w:b/>
        <w:sz w:val="24"/>
        <w:szCs w:val="24"/>
      </w:rPr>
    </w:pPr>
    <w:r>
      <w:rPr>
        <w:rFonts w:asciiTheme="minorHAnsi" w:hAnsiTheme="minorHAnsi" w:cstheme="minorHAnsi"/>
        <w:b/>
        <w:sz w:val="24"/>
        <w:szCs w:val="24"/>
      </w:rPr>
      <w:t>STATEMENT OF FINANCIAL POSITION</w:t>
    </w:r>
  </w:p>
  <w:p w:rsidR="00735613" w:rsidRDefault="00735613">
    <w:pPr>
      <w:rPr>
        <w:rFonts w:asciiTheme="minorHAnsi" w:hAnsiTheme="minorHAnsi" w:cstheme="minorHAnsi"/>
      </w:rPr>
    </w:pPr>
    <w:proofErr w:type="gramStart"/>
    <w:r>
      <w:rPr>
        <w:rFonts w:asciiTheme="minorHAnsi" w:hAnsiTheme="minorHAnsi" w:cstheme="minorHAnsi"/>
        <w:i/>
        <w:sz w:val="24"/>
        <w:szCs w:val="24"/>
      </w:rPr>
      <w:t>as</w:t>
    </w:r>
    <w:proofErr w:type="gramEnd"/>
    <w:r>
      <w:rPr>
        <w:rFonts w:asciiTheme="minorHAnsi" w:hAnsiTheme="minorHAnsi" w:cstheme="minorHAnsi"/>
        <w:i/>
        <w:sz w:val="24"/>
        <w:szCs w:val="24"/>
      </w:rPr>
      <w:t xml:space="preserve"> at </w:t>
    </w:r>
    <w:r w:rsidR="00DF4B99">
      <w:fldChar w:fldCharType="begin"/>
    </w:r>
    <w:r w:rsidR="00DF4B99">
      <w:instrText xml:space="preserve"> DOCPROPERTY  pEnd  \* MERGEFORMAT </w:instrText>
    </w:r>
    <w:r w:rsidR="00DF4B99">
      <w:fldChar w:fldCharType="separate"/>
    </w:r>
    <w:r w:rsidRPr="00C7000D">
      <w:rPr>
        <w:rFonts w:asciiTheme="minorHAnsi" w:hAnsiTheme="minorHAnsi" w:cstheme="minorHAnsi"/>
        <w:i/>
        <w:sz w:val="24"/>
        <w:szCs w:val="24"/>
      </w:rPr>
      <w:t>30 June</w:t>
    </w:r>
    <w:r w:rsidR="00DF4B99">
      <w:rPr>
        <w:rFonts w:asciiTheme="minorHAnsi" w:hAnsiTheme="minorHAnsi" w:cstheme="minorHAnsi"/>
        <w:i/>
        <w:sz w:val="24"/>
        <w:szCs w:val="24"/>
      </w:rPr>
      <w:fldChar w:fldCharType="end"/>
    </w:r>
    <w:r>
      <w:rPr>
        <w:rFonts w:asciiTheme="minorHAnsi" w:hAnsiTheme="minorHAnsi" w:cstheme="minorHAnsi"/>
        <w:i/>
        <w:sz w:val="24"/>
        <w:szCs w:val="24"/>
      </w:rPr>
      <w:t xml:space="preserve"> </w:t>
    </w:r>
    <w:r w:rsidR="00DF4B99">
      <w:fldChar w:fldCharType="begin"/>
    </w:r>
    <w:r w:rsidR="00DF4B99">
      <w:instrText xml:space="preserve"> DOCPROPERTY  crYear  \* MERGEFORMAT </w:instrText>
    </w:r>
    <w:r w:rsidR="00DF4B99">
      <w:fldChar w:fldCharType="separate"/>
    </w:r>
    <w:r w:rsidRPr="00C7000D">
      <w:rPr>
        <w:rFonts w:asciiTheme="minorHAnsi" w:hAnsiTheme="minorHAnsi" w:cstheme="minorHAnsi"/>
        <w:i/>
        <w:sz w:val="24"/>
        <w:szCs w:val="24"/>
      </w:rPr>
      <w:t>2015</w:t>
    </w:r>
    <w:r w:rsidR="00DF4B99">
      <w:rPr>
        <w:rFonts w:asciiTheme="minorHAnsi" w:hAnsiTheme="minorHAnsi" w:cstheme="minorHAnsi"/>
        <w:i/>
        <w:sz w:val="24"/>
        <w:szCs w:val="24"/>
      </w:rPr>
      <w:fldChar w:fldCharType="end"/>
    </w:r>
  </w:p>
  <w:p w:rsidR="00735613" w:rsidRDefault="00735613">
    <w:pPr>
      <w:rPr>
        <w:rFonts w:ascii="Arial" w:hAnsi="Arial" w:cs="Arial"/>
        <w:i/>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613" w:rsidRDefault="00DF4B99">
    <w:pPr>
      <w:rPr>
        <w:rFonts w:asciiTheme="minorHAnsi" w:hAnsiTheme="minorHAnsi" w:cstheme="minorHAnsi"/>
        <w:b/>
        <w:sz w:val="24"/>
        <w:szCs w:val="24"/>
      </w:rPr>
    </w:pPr>
    <w:r>
      <w:fldChar w:fldCharType="begin"/>
    </w:r>
    <w:r>
      <w:instrText xml:space="preserve"> DOCPROPERTY  longName  \* MERGEFORMAT </w:instrText>
    </w:r>
    <w:r>
      <w:fldChar w:fldCharType="separate"/>
    </w:r>
    <w:r w:rsidR="00735613" w:rsidRPr="00C7000D">
      <w:rPr>
        <w:rFonts w:asciiTheme="minorHAnsi" w:hAnsiTheme="minorHAnsi" w:cstheme="minorHAnsi"/>
        <w:b/>
        <w:sz w:val="24"/>
        <w:szCs w:val="24"/>
      </w:rPr>
      <w:t>Department of Education</w:t>
    </w:r>
    <w:r w:rsidR="00735613">
      <w:t xml:space="preserve"> </w:t>
    </w:r>
    <w:r w:rsidR="00735613" w:rsidRPr="00C7000D">
      <w:rPr>
        <w:rFonts w:asciiTheme="minorHAnsi" w:hAnsiTheme="minorHAnsi" w:cstheme="minorHAnsi"/>
        <w:b/>
        <w:sz w:val="24"/>
        <w:szCs w:val="24"/>
      </w:rPr>
      <w:t>and Training</w:t>
    </w:r>
    <w:r>
      <w:rPr>
        <w:rFonts w:asciiTheme="minorHAnsi" w:hAnsiTheme="minorHAnsi" w:cstheme="minorHAnsi"/>
        <w:b/>
        <w:sz w:val="24"/>
        <w:szCs w:val="24"/>
      </w:rPr>
      <w:fldChar w:fldCharType="end"/>
    </w:r>
  </w:p>
  <w:p w:rsidR="00735613" w:rsidRDefault="00735613">
    <w:pPr>
      <w:rPr>
        <w:rFonts w:asciiTheme="minorHAnsi" w:hAnsiTheme="minorHAnsi" w:cstheme="minorHAnsi"/>
        <w:b/>
        <w:sz w:val="24"/>
        <w:szCs w:val="24"/>
      </w:rPr>
    </w:pPr>
    <w:r>
      <w:rPr>
        <w:rFonts w:asciiTheme="minorHAnsi" w:hAnsiTheme="minorHAnsi" w:cstheme="minorHAnsi"/>
        <w:b/>
        <w:sz w:val="24"/>
        <w:szCs w:val="24"/>
      </w:rPr>
      <w:t>STATEMENT OF CHANGES IN EQUITY</w:t>
    </w:r>
  </w:p>
  <w:p w:rsidR="00735613" w:rsidRDefault="00735613">
    <w:pPr>
      <w:rPr>
        <w:rFonts w:asciiTheme="minorHAnsi" w:hAnsiTheme="minorHAnsi" w:cstheme="minorHAnsi"/>
      </w:rPr>
    </w:pPr>
    <w:proofErr w:type="gramStart"/>
    <w:r>
      <w:rPr>
        <w:rFonts w:asciiTheme="minorHAnsi" w:hAnsiTheme="minorHAnsi" w:cstheme="minorHAnsi"/>
        <w:i/>
        <w:sz w:val="24"/>
        <w:szCs w:val="24"/>
      </w:rPr>
      <w:t>for</w:t>
    </w:r>
    <w:proofErr w:type="gramEnd"/>
    <w:r>
      <w:rPr>
        <w:rFonts w:asciiTheme="minorHAnsi" w:hAnsiTheme="minorHAnsi" w:cstheme="minorHAnsi"/>
        <w:i/>
        <w:sz w:val="24"/>
        <w:szCs w:val="24"/>
      </w:rPr>
      <w:t xml:space="preserve"> the period ended </w:t>
    </w:r>
    <w:r w:rsidR="00DF4B99">
      <w:fldChar w:fldCharType="begin"/>
    </w:r>
    <w:r w:rsidR="00DF4B99">
      <w:instrText xml:space="preserve"> DOCPROPERTY  pEnd  \* MERGEFORMAT </w:instrText>
    </w:r>
    <w:r w:rsidR="00DF4B99">
      <w:fldChar w:fldCharType="separate"/>
    </w:r>
    <w:r w:rsidRPr="00C7000D">
      <w:rPr>
        <w:rFonts w:asciiTheme="minorHAnsi" w:hAnsiTheme="minorHAnsi" w:cstheme="minorHAnsi"/>
        <w:i/>
        <w:sz w:val="24"/>
        <w:szCs w:val="24"/>
      </w:rPr>
      <w:t>30 June</w:t>
    </w:r>
    <w:r w:rsidR="00DF4B99">
      <w:rPr>
        <w:rFonts w:asciiTheme="minorHAnsi" w:hAnsiTheme="minorHAnsi" w:cstheme="minorHAnsi"/>
        <w:i/>
        <w:sz w:val="24"/>
        <w:szCs w:val="24"/>
      </w:rPr>
      <w:fldChar w:fldCharType="end"/>
    </w:r>
    <w:r>
      <w:rPr>
        <w:rFonts w:asciiTheme="minorHAnsi" w:hAnsiTheme="minorHAnsi" w:cstheme="minorHAnsi"/>
        <w:i/>
        <w:sz w:val="24"/>
        <w:szCs w:val="24"/>
      </w:rPr>
      <w:t xml:space="preserve"> </w:t>
    </w:r>
    <w:r w:rsidR="00DF4B99">
      <w:fldChar w:fldCharType="begin"/>
    </w:r>
    <w:r w:rsidR="00DF4B99">
      <w:instrText xml:space="preserve"> DOCPROPERTY  crYear  \* MERGEFORMAT </w:instrText>
    </w:r>
    <w:r w:rsidR="00DF4B99">
      <w:fldChar w:fldCharType="separate"/>
    </w:r>
    <w:r w:rsidRPr="00C7000D">
      <w:rPr>
        <w:rFonts w:asciiTheme="minorHAnsi" w:hAnsiTheme="minorHAnsi" w:cstheme="minorHAnsi"/>
        <w:i/>
        <w:sz w:val="24"/>
        <w:szCs w:val="24"/>
      </w:rPr>
      <w:t>2015</w:t>
    </w:r>
    <w:r w:rsidR="00DF4B99">
      <w:rPr>
        <w:rFonts w:asciiTheme="minorHAnsi" w:hAnsiTheme="minorHAnsi" w:cstheme="minorHAnsi"/>
        <w:i/>
        <w:sz w:val="24"/>
        <w:szCs w:val="24"/>
      </w:rPr>
      <w:fldChar w:fldCharType="end"/>
    </w:r>
  </w:p>
  <w:p w:rsidR="00735613" w:rsidRDefault="00735613">
    <w:pPr>
      <w:rPr>
        <w:rFonts w:ascii="Arial" w:hAnsi="Arial" w:cs="Arial"/>
        <w:i/>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613" w:rsidRDefault="00DF4B99">
    <w:pPr>
      <w:rPr>
        <w:rFonts w:asciiTheme="minorHAnsi" w:hAnsiTheme="minorHAnsi" w:cstheme="minorHAnsi"/>
        <w:b/>
        <w:sz w:val="24"/>
        <w:szCs w:val="24"/>
      </w:rPr>
    </w:pPr>
    <w:r>
      <w:fldChar w:fldCharType="begin"/>
    </w:r>
    <w:r>
      <w:instrText xml:space="preserve"> DOCPROPERTY  longName  \* MERGEFORMAT </w:instrText>
    </w:r>
    <w:r>
      <w:fldChar w:fldCharType="separate"/>
    </w:r>
    <w:r w:rsidR="00735613" w:rsidRPr="00C7000D">
      <w:rPr>
        <w:rFonts w:asciiTheme="minorHAnsi" w:hAnsiTheme="minorHAnsi" w:cstheme="minorHAnsi"/>
        <w:b/>
        <w:sz w:val="24"/>
        <w:szCs w:val="24"/>
      </w:rPr>
      <w:t>Department of</w:t>
    </w:r>
    <w:r w:rsidR="00735613" w:rsidRPr="00C7000D">
      <w:rPr>
        <w:rFonts w:asciiTheme="minorHAnsi" w:hAnsiTheme="minorHAnsi" w:cstheme="minorHAnsi"/>
      </w:rPr>
      <w:t xml:space="preserve"> </w:t>
    </w:r>
    <w:r w:rsidR="00735613" w:rsidRPr="00C7000D">
      <w:rPr>
        <w:rFonts w:asciiTheme="minorHAnsi" w:hAnsiTheme="minorHAnsi" w:cstheme="minorHAnsi"/>
        <w:b/>
        <w:sz w:val="24"/>
        <w:szCs w:val="24"/>
      </w:rPr>
      <w:t>Education and Training</w:t>
    </w:r>
    <w:r>
      <w:rPr>
        <w:rFonts w:asciiTheme="minorHAnsi" w:hAnsiTheme="minorHAnsi" w:cstheme="minorHAnsi"/>
        <w:b/>
        <w:sz w:val="24"/>
        <w:szCs w:val="24"/>
      </w:rPr>
      <w:fldChar w:fldCharType="end"/>
    </w:r>
  </w:p>
  <w:p w:rsidR="00735613" w:rsidRDefault="00735613">
    <w:pPr>
      <w:rPr>
        <w:rFonts w:asciiTheme="minorHAnsi" w:hAnsiTheme="minorHAnsi" w:cstheme="minorHAnsi"/>
        <w:b/>
        <w:sz w:val="24"/>
        <w:szCs w:val="24"/>
      </w:rPr>
    </w:pPr>
    <w:r>
      <w:rPr>
        <w:rFonts w:asciiTheme="minorHAnsi" w:hAnsiTheme="minorHAnsi" w:cstheme="minorHAnsi"/>
        <w:b/>
        <w:sz w:val="24"/>
        <w:szCs w:val="24"/>
      </w:rPr>
      <w:t>CASH FLOW STATEMENT</w:t>
    </w:r>
  </w:p>
  <w:p w:rsidR="00735613" w:rsidRDefault="00735613">
    <w:pPr>
      <w:rPr>
        <w:rFonts w:asciiTheme="minorHAnsi" w:hAnsiTheme="minorHAnsi" w:cstheme="minorHAnsi"/>
      </w:rPr>
    </w:pPr>
    <w:proofErr w:type="gramStart"/>
    <w:r>
      <w:rPr>
        <w:rFonts w:asciiTheme="minorHAnsi" w:hAnsiTheme="minorHAnsi" w:cstheme="minorHAnsi"/>
        <w:i/>
        <w:sz w:val="24"/>
        <w:szCs w:val="24"/>
      </w:rPr>
      <w:t>for</w:t>
    </w:r>
    <w:proofErr w:type="gramEnd"/>
    <w:r>
      <w:rPr>
        <w:rFonts w:asciiTheme="minorHAnsi" w:hAnsiTheme="minorHAnsi" w:cstheme="minorHAnsi"/>
        <w:i/>
        <w:sz w:val="24"/>
        <w:szCs w:val="24"/>
      </w:rPr>
      <w:t xml:space="preserve"> the period ended </w:t>
    </w:r>
    <w:r w:rsidR="00DF4B99">
      <w:fldChar w:fldCharType="begin"/>
    </w:r>
    <w:r w:rsidR="00DF4B99">
      <w:instrText xml:space="preserve"> DOCPROPERTY  pEnd  \* MERGEFORMAT </w:instrText>
    </w:r>
    <w:r w:rsidR="00DF4B99">
      <w:fldChar w:fldCharType="separate"/>
    </w:r>
    <w:r w:rsidRPr="00C7000D">
      <w:rPr>
        <w:rFonts w:asciiTheme="minorHAnsi" w:hAnsiTheme="minorHAnsi" w:cstheme="minorHAnsi"/>
        <w:i/>
        <w:sz w:val="24"/>
        <w:szCs w:val="24"/>
      </w:rPr>
      <w:t>30 June</w:t>
    </w:r>
    <w:r w:rsidR="00DF4B99">
      <w:rPr>
        <w:rFonts w:asciiTheme="minorHAnsi" w:hAnsiTheme="minorHAnsi" w:cstheme="minorHAnsi"/>
        <w:i/>
        <w:sz w:val="24"/>
        <w:szCs w:val="24"/>
      </w:rPr>
      <w:fldChar w:fldCharType="end"/>
    </w:r>
    <w:r>
      <w:rPr>
        <w:rFonts w:asciiTheme="minorHAnsi" w:hAnsiTheme="minorHAnsi" w:cstheme="minorHAnsi"/>
        <w:i/>
        <w:sz w:val="24"/>
        <w:szCs w:val="24"/>
      </w:rPr>
      <w:t xml:space="preserve"> </w:t>
    </w:r>
    <w:r w:rsidR="00DF4B99">
      <w:fldChar w:fldCharType="begin"/>
    </w:r>
    <w:r w:rsidR="00DF4B99">
      <w:instrText xml:space="preserve"> DOCPROPERTY  crYear  \* MERGEFORMAT </w:instrText>
    </w:r>
    <w:r w:rsidR="00DF4B99">
      <w:fldChar w:fldCharType="separate"/>
    </w:r>
    <w:r w:rsidRPr="00C7000D">
      <w:rPr>
        <w:rFonts w:asciiTheme="minorHAnsi" w:hAnsiTheme="minorHAnsi" w:cstheme="minorHAnsi"/>
        <w:i/>
        <w:sz w:val="24"/>
        <w:szCs w:val="24"/>
      </w:rPr>
      <w:t>2015</w:t>
    </w:r>
    <w:r w:rsidR="00DF4B99">
      <w:rPr>
        <w:rFonts w:asciiTheme="minorHAnsi" w:hAnsiTheme="minorHAnsi" w:cstheme="minorHAnsi"/>
        <w:i/>
        <w:sz w:val="24"/>
        <w:szCs w:val="24"/>
      </w:rPr>
      <w:fldChar w:fldCharType="end"/>
    </w:r>
  </w:p>
  <w:p w:rsidR="00735613" w:rsidRDefault="00735613">
    <w:pPr>
      <w:rPr>
        <w:rFonts w:ascii="Arial" w:hAnsi="Arial" w:cs="Arial"/>
        <w:i/>
        <w:sz w:val="24"/>
        <w:szCs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613" w:rsidRDefault="00DF4B99">
    <w:pPr>
      <w:rPr>
        <w:rFonts w:asciiTheme="minorHAnsi" w:hAnsiTheme="minorHAnsi" w:cstheme="minorHAnsi"/>
        <w:b/>
        <w:sz w:val="24"/>
        <w:szCs w:val="24"/>
      </w:rPr>
    </w:pPr>
    <w:r>
      <w:fldChar w:fldCharType="begin"/>
    </w:r>
    <w:r>
      <w:instrText xml:space="preserve"> DOCPROPERTY  longName  \* MERGEFORMAT </w:instrText>
    </w:r>
    <w:r>
      <w:fldChar w:fldCharType="separate"/>
    </w:r>
    <w:r w:rsidR="00735613" w:rsidRPr="00C7000D">
      <w:rPr>
        <w:rFonts w:asciiTheme="minorHAnsi" w:hAnsiTheme="minorHAnsi" w:cstheme="minorHAnsi"/>
        <w:b/>
        <w:sz w:val="24"/>
        <w:szCs w:val="24"/>
      </w:rPr>
      <w:t>Department of</w:t>
    </w:r>
    <w:r w:rsidR="00735613" w:rsidRPr="00C7000D">
      <w:rPr>
        <w:rFonts w:asciiTheme="minorHAnsi" w:hAnsiTheme="minorHAnsi" w:cstheme="minorHAnsi"/>
      </w:rPr>
      <w:t xml:space="preserve"> </w:t>
    </w:r>
    <w:r w:rsidR="00735613" w:rsidRPr="00C7000D">
      <w:rPr>
        <w:rFonts w:asciiTheme="minorHAnsi" w:hAnsiTheme="minorHAnsi" w:cstheme="minorHAnsi"/>
        <w:b/>
        <w:sz w:val="24"/>
        <w:szCs w:val="24"/>
      </w:rPr>
      <w:t>Education and Training</w:t>
    </w:r>
    <w:r>
      <w:rPr>
        <w:rFonts w:asciiTheme="minorHAnsi" w:hAnsiTheme="minorHAnsi" w:cstheme="minorHAnsi"/>
        <w:b/>
        <w:sz w:val="24"/>
        <w:szCs w:val="24"/>
      </w:rPr>
      <w:fldChar w:fldCharType="end"/>
    </w:r>
  </w:p>
  <w:p w:rsidR="00735613" w:rsidRDefault="00735613">
    <w:pPr>
      <w:rPr>
        <w:rFonts w:asciiTheme="minorHAnsi" w:hAnsiTheme="minorHAnsi" w:cstheme="minorHAnsi"/>
        <w:b/>
        <w:sz w:val="24"/>
        <w:szCs w:val="24"/>
      </w:rPr>
    </w:pPr>
    <w:r>
      <w:rPr>
        <w:rFonts w:asciiTheme="minorHAnsi" w:hAnsiTheme="minorHAnsi" w:cstheme="minorHAnsi"/>
        <w:b/>
        <w:sz w:val="24"/>
        <w:szCs w:val="24"/>
      </w:rPr>
      <w:t>SCHEDULE OF COMMITMENTS</w:t>
    </w:r>
  </w:p>
  <w:p w:rsidR="00735613" w:rsidRDefault="00735613">
    <w:pPr>
      <w:rPr>
        <w:rFonts w:asciiTheme="minorHAnsi" w:hAnsiTheme="minorHAnsi" w:cstheme="minorHAnsi"/>
      </w:rPr>
    </w:pPr>
    <w:proofErr w:type="gramStart"/>
    <w:r>
      <w:rPr>
        <w:rFonts w:asciiTheme="minorHAnsi" w:hAnsiTheme="minorHAnsi" w:cstheme="minorHAnsi"/>
        <w:i/>
        <w:sz w:val="24"/>
        <w:szCs w:val="24"/>
      </w:rPr>
      <w:t>as</w:t>
    </w:r>
    <w:proofErr w:type="gramEnd"/>
    <w:r>
      <w:rPr>
        <w:rFonts w:asciiTheme="minorHAnsi" w:hAnsiTheme="minorHAnsi" w:cstheme="minorHAnsi"/>
        <w:i/>
        <w:sz w:val="24"/>
        <w:szCs w:val="24"/>
      </w:rPr>
      <w:t xml:space="preserve"> at </w:t>
    </w:r>
    <w:r w:rsidR="00DF4B99">
      <w:fldChar w:fldCharType="begin"/>
    </w:r>
    <w:r w:rsidR="00DF4B99">
      <w:instrText xml:space="preserve"> DOCPROPERTY  pEnd  \* MERGEFORMAT </w:instrText>
    </w:r>
    <w:r w:rsidR="00DF4B99">
      <w:fldChar w:fldCharType="separate"/>
    </w:r>
    <w:r w:rsidRPr="00C7000D">
      <w:rPr>
        <w:rFonts w:asciiTheme="minorHAnsi" w:hAnsiTheme="minorHAnsi" w:cstheme="minorHAnsi"/>
        <w:i/>
        <w:sz w:val="24"/>
        <w:szCs w:val="24"/>
      </w:rPr>
      <w:t>30 June</w:t>
    </w:r>
    <w:r w:rsidR="00DF4B99">
      <w:rPr>
        <w:rFonts w:asciiTheme="minorHAnsi" w:hAnsiTheme="minorHAnsi" w:cstheme="minorHAnsi"/>
        <w:i/>
        <w:sz w:val="24"/>
        <w:szCs w:val="24"/>
      </w:rPr>
      <w:fldChar w:fldCharType="end"/>
    </w:r>
    <w:r>
      <w:rPr>
        <w:rFonts w:asciiTheme="minorHAnsi" w:hAnsiTheme="minorHAnsi" w:cstheme="minorHAnsi"/>
        <w:i/>
        <w:sz w:val="24"/>
        <w:szCs w:val="24"/>
      </w:rPr>
      <w:t xml:space="preserve"> </w:t>
    </w:r>
    <w:r w:rsidR="00DF4B99">
      <w:fldChar w:fldCharType="begin"/>
    </w:r>
    <w:r w:rsidR="00DF4B99">
      <w:instrText xml:space="preserve"> DOCPROPERTY  crYear  \* MERGEFORMAT </w:instrText>
    </w:r>
    <w:r w:rsidR="00DF4B99">
      <w:fldChar w:fldCharType="separate"/>
    </w:r>
    <w:r w:rsidRPr="00C7000D">
      <w:rPr>
        <w:rFonts w:asciiTheme="minorHAnsi" w:hAnsiTheme="minorHAnsi" w:cstheme="minorHAnsi"/>
        <w:i/>
        <w:sz w:val="24"/>
        <w:szCs w:val="24"/>
      </w:rPr>
      <w:t>2015</w:t>
    </w:r>
    <w:r w:rsidR="00DF4B99">
      <w:rPr>
        <w:rFonts w:asciiTheme="minorHAnsi" w:hAnsiTheme="minorHAnsi" w:cstheme="minorHAnsi"/>
        <w:i/>
        <w:sz w:val="24"/>
        <w:szCs w:val="24"/>
      </w:rPr>
      <w:fldChar w:fldCharType="end"/>
    </w:r>
  </w:p>
  <w:p w:rsidR="00735613" w:rsidRDefault="00735613">
    <w:pPr>
      <w:rPr>
        <w:rFonts w:ascii="Arial" w:hAnsi="Arial" w:cs="Arial"/>
        <w:i/>
        <w:sz w:val="24"/>
        <w:szCs w:val="2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613" w:rsidRDefault="00DF4B99">
    <w:pPr>
      <w:tabs>
        <w:tab w:val="right" w:pos="9072"/>
      </w:tabs>
      <w:rPr>
        <w:rFonts w:asciiTheme="minorHAnsi" w:hAnsiTheme="minorHAnsi" w:cstheme="minorHAnsi"/>
        <w:b/>
        <w:sz w:val="24"/>
        <w:szCs w:val="24"/>
      </w:rPr>
    </w:pPr>
    <w:r>
      <w:fldChar w:fldCharType="begin"/>
    </w:r>
    <w:r>
      <w:instrText xml:space="preserve"> DOCPROPERTY  longName  \* MERGEFORMAT </w:instrText>
    </w:r>
    <w:r>
      <w:fldChar w:fldCharType="separate"/>
    </w:r>
    <w:r w:rsidR="00735613" w:rsidRPr="00C7000D">
      <w:rPr>
        <w:rFonts w:asciiTheme="minorHAnsi" w:hAnsiTheme="minorHAnsi" w:cstheme="minorHAnsi"/>
        <w:b/>
        <w:sz w:val="24"/>
        <w:szCs w:val="24"/>
      </w:rPr>
      <w:t>Department of</w:t>
    </w:r>
    <w:r w:rsidR="00735613" w:rsidRPr="00C7000D">
      <w:rPr>
        <w:rFonts w:asciiTheme="minorHAnsi" w:hAnsiTheme="minorHAnsi" w:cstheme="minorHAnsi"/>
      </w:rPr>
      <w:t xml:space="preserve"> </w:t>
    </w:r>
    <w:r w:rsidR="00735613" w:rsidRPr="00C7000D">
      <w:rPr>
        <w:rFonts w:asciiTheme="minorHAnsi" w:hAnsiTheme="minorHAnsi" w:cstheme="minorHAnsi"/>
        <w:b/>
        <w:sz w:val="24"/>
        <w:szCs w:val="24"/>
      </w:rPr>
      <w:t>Education and Training</w:t>
    </w:r>
    <w:r>
      <w:rPr>
        <w:rFonts w:asciiTheme="minorHAnsi" w:hAnsiTheme="minorHAnsi" w:cstheme="minorHAnsi"/>
        <w:b/>
        <w:sz w:val="24"/>
        <w:szCs w:val="24"/>
      </w:rPr>
      <w:fldChar w:fldCharType="end"/>
    </w:r>
  </w:p>
  <w:p w:rsidR="00735613" w:rsidRDefault="00735613">
    <w:pPr>
      <w:rPr>
        <w:rFonts w:asciiTheme="minorHAnsi" w:hAnsiTheme="minorHAnsi" w:cstheme="minorHAnsi"/>
        <w:b/>
        <w:sz w:val="24"/>
        <w:szCs w:val="24"/>
      </w:rPr>
    </w:pPr>
    <w:r>
      <w:rPr>
        <w:rFonts w:asciiTheme="minorHAnsi" w:hAnsiTheme="minorHAnsi" w:cstheme="minorHAnsi"/>
        <w:b/>
        <w:sz w:val="24"/>
        <w:szCs w:val="24"/>
      </w:rPr>
      <w:t>ADMINISTERED SCHEDULE OF COMPREHENSIVE INCOME</w:t>
    </w:r>
  </w:p>
  <w:p w:rsidR="00735613" w:rsidRDefault="00735613">
    <w:pPr>
      <w:rPr>
        <w:rFonts w:asciiTheme="minorHAnsi" w:hAnsiTheme="minorHAnsi" w:cstheme="minorHAnsi"/>
        <w:b/>
        <w:sz w:val="24"/>
        <w:szCs w:val="24"/>
      </w:rPr>
    </w:pPr>
    <w:proofErr w:type="gramStart"/>
    <w:r>
      <w:rPr>
        <w:rFonts w:asciiTheme="minorHAnsi" w:hAnsiTheme="minorHAnsi" w:cstheme="minorHAnsi"/>
        <w:i/>
        <w:sz w:val="24"/>
        <w:szCs w:val="24"/>
      </w:rPr>
      <w:t>for</w:t>
    </w:r>
    <w:proofErr w:type="gramEnd"/>
    <w:r>
      <w:rPr>
        <w:rFonts w:asciiTheme="minorHAnsi" w:hAnsiTheme="minorHAnsi" w:cstheme="minorHAnsi"/>
        <w:i/>
        <w:sz w:val="24"/>
        <w:szCs w:val="24"/>
      </w:rPr>
      <w:t xml:space="preserve"> the period ended </w:t>
    </w:r>
    <w:r w:rsidR="00DF4B99">
      <w:fldChar w:fldCharType="begin"/>
    </w:r>
    <w:r w:rsidR="00DF4B99">
      <w:instrText xml:space="preserve"> DOCPROPERTY  pEnd  \* MERGEFORMAT </w:instrText>
    </w:r>
    <w:r w:rsidR="00DF4B99">
      <w:fldChar w:fldCharType="separate"/>
    </w:r>
    <w:r w:rsidRPr="00C7000D">
      <w:rPr>
        <w:rFonts w:asciiTheme="minorHAnsi" w:hAnsiTheme="minorHAnsi" w:cstheme="minorHAnsi"/>
        <w:i/>
        <w:sz w:val="24"/>
        <w:szCs w:val="24"/>
      </w:rPr>
      <w:t>30 June</w:t>
    </w:r>
    <w:r w:rsidR="00DF4B99">
      <w:rPr>
        <w:rFonts w:asciiTheme="minorHAnsi" w:hAnsiTheme="minorHAnsi" w:cstheme="minorHAnsi"/>
        <w:i/>
        <w:sz w:val="24"/>
        <w:szCs w:val="24"/>
      </w:rPr>
      <w:fldChar w:fldCharType="end"/>
    </w:r>
    <w:r>
      <w:rPr>
        <w:rFonts w:asciiTheme="minorHAnsi" w:hAnsiTheme="minorHAnsi" w:cstheme="minorHAnsi"/>
        <w:i/>
        <w:sz w:val="24"/>
        <w:szCs w:val="24"/>
      </w:rPr>
      <w:t xml:space="preserve"> </w:t>
    </w:r>
    <w:r w:rsidR="00DF4B99">
      <w:fldChar w:fldCharType="begin"/>
    </w:r>
    <w:r w:rsidR="00DF4B99">
      <w:instrText xml:space="preserve"> DOCPROPERTY  crYear  \* MERGEFORMAT </w:instrText>
    </w:r>
    <w:r w:rsidR="00DF4B99">
      <w:fldChar w:fldCharType="separate"/>
    </w:r>
    <w:r w:rsidRPr="00C7000D">
      <w:rPr>
        <w:rFonts w:asciiTheme="minorHAnsi" w:hAnsiTheme="minorHAnsi" w:cstheme="minorHAnsi"/>
        <w:i/>
        <w:sz w:val="24"/>
        <w:szCs w:val="24"/>
      </w:rPr>
      <w:t>2015</w:t>
    </w:r>
    <w:r w:rsidR="00DF4B99">
      <w:rPr>
        <w:rFonts w:asciiTheme="minorHAnsi" w:hAnsiTheme="minorHAnsi" w:cstheme="minorHAnsi"/>
        <w:i/>
        <w:sz w:val="24"/>
        <w:szCs w:val="24"/>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613" w:rsidRDefault="00DF4B99">
    <w:pPr>
      <w:tabs>
        <w:tab w:val="right" w:pos="9072"/>
      </w:tabs>
      <w:rPr>
        <w:rFonts w:asciiTheme="minorHAnsi" w:hAnsiTheme="minorHAnsi" w:cstheme="minorHAnsi"/>
        <w:b/>
        <w:sz w:val="24"/>
        <w:szCs w:val="24"/>
      </w:rPr>
    </w:pPr>
    <w:r>
      <w:fldChar w:fldCharType="begin"/>
    </w:r>
    <w:r>
      <w:instrText xml:space="preserve"> DOCPROPERTY  longName  \* MERGEFORMAT </w:instrText>
    </w:r>
    <w:r>
      <w:fldChar w:fldCharType="separate"/>
    </w:r>
    <w:r w:rsidR="00735613" w:rsidRPr="00C7000D">
      <w:rPr>
        <w:rFonts w:asciiTheme="minorHAnsi" w:hAnsiTheme="minorHAnsi" w:cstheme="minorHAnsi"/>
        <w:b/>
        <w:sz w:val="24"/>
        <w:szCs w:val="24"/>
      </w:rPr>
      <w:t>Department of</w:t>
    </w:r>
    <w:r w:rsidR="00735613" w:rsidRPr="00C7000D">
      <w:rPr>
        <w:rFonts w:asciiTheme="minorHAnsi" w:hAnsiTheme="minorHAnsi" w:cstheme="minorHAnsi"/>
      </w:rPr>
      <w:t xml:space="preserve"> </w:t>
    </w:r>
    <w:r w:rsidR="00735613" w:rsidRPr="00C7000D">
      <w:rPr>
        <w:rFonts w:asciiTheme="minorHAnsi" w:hAnsiTheme="minorHAnsi" w:cstheme="minorHAnsi"/>
        <w:b/>
        <w:sz w:val="24"/>
        <w:szCs w:val="24"/>
      </w:rPr>
      <w:t>Education and Training</w:t>
    </w:r>
    <w:r>
      <w:rPr>
        <w:rFonts w:asciiTheme="minorHAnsi" w:hAnsiTheme="minorHAnsi" w:cstheme="minorHAnsi"/>
        <w:b/>
        <w:sz w:val="24"/>
        <w:szCs w:val="24"/>
      </w:rPr>
      <w:fldChar w:fldCharType="end"/>
    </w:r>
  </w:p>
  <w:p w:rsidR="00735613" w:rsidRDefault="00735613">
    <w:pPr>
      <w:rPr>
        <w:rFonts w:asciiTheme="minorHAnsi" w:hAnsiTheme="minorHAnsi" w:cstheme="minorHAnsi"/>
        <w:b/>
        <w:sz w:val="24"/>
        <w:szCs w:val="24"/>
      </w:rPr>
    </w:pPr>
    <w:r>
      <w:rPr>
        <w:rFonts w:asciiTheme="minorHAnsi" w:hAnsiTheme="minorHAnsi" w:cstheme="minorHAnsi"/>
        <w:b/>
        <w:sz w:val="24"/>
        <w:szCs w:val="24"/>
      </w:rPr>
      <w:t>ADMINISTERED SCHEDULE OF ASSETS AND LIABILITIES</w:t>
    </w:r>
  </w:p>
  <w:p w:rsidR="00735613" w:rsidRDefault="00735613">
    <w:pPr>
      <w:rPr>
        <w:rFonts w:asciiTheme="minorHAnsi" w:hAnsiTheme="minorHAnsi" w:cstheme="minorHAnsi"/>
        <w:b/>
        <w:sz w:val="24"/>
        <w:szCs w:val="24"/>
      </w:rPr>
    </w:pPr>
    <w:proofErr w:type="gramStart"/>
    <w:r>
      <w:rPr>
        <w:rFonts w:asciiTheme="minorHAnsi" w:hAnsiTheme="minorHAnsi" w:cstheme="minorHAnsi"/>
        <w:i/>
        <w:sz w:val="24"/>
        <w:szCs w:val="24"/>
      </w:rPr>
      <w:t>as</w:t>
    </w:r>
    <w:proofErr w:type="gramEnd"/>
    <w:r>
      <w:rPr>
        <w:rFonts w:asciiTheme="minorHAnsi" w:hAnsiTheme="minorHAnsi" w:cstheme="minorHAnsi"/>
        <w:i/>
        <w:sz w:val="24"/>
        <w:szCs w:val="24"/>
      </w:rPr>
      <w:t xml:space="preserve"> at </w:t>
    </w:r>
    <w:r w:rsidR="00DF4B99">
      <w:fldChar w:fldCharType="begin"/>
    </w:r>
    <w:r w:rsidR="00DF4B99">
      <w:instrText xml:space="preserve"> DOCPROPERTY  pEnd  \* MERGEFORMAT </w:instrText>
    </w:r>
    <w:r w:rsidR="00DF4B99">
      <w:fldChar w:fldCharType="separate"/>
    </w:r>
    <w:r w:rsidRPr="00C7000D">
      <w:rPr>
        <w:rFonts w:asciiTheme="minorHAnsi" w:hAnsiTheme="minorHAnsi" w:cstheme="minorHAnsi"/>
        <w:i/>
        <w:sz w:val="24"/>
        <w:szCs w:val="24"/>
      </w:rPr>
      <w:t>30 June</w:t>
    </w:r>
    <w:r w:rsidR="00DF4B99">
      <w:rPr>
        <w:rFonts w:asciiTheme="minorHAnsi" w:hAnsiTheme="minorHAnsi" w:cstheme="minorHAnsi"/>
        <w:i/>
        <w:sz w:val="24"/>
        <w:szCs w:val="24"/>
      </w:rPr>
      <w:fldChar w:fldCharType="end"/>
    </w:r>
    <w:r>
      <w:rPr>
        <w:rFonts w:asciiTheme="minorHAnsi" w:hAnsiTheme="minorHAnsi" w:cstheme="minorHAnsi"/>
        <w:i/>
        <w:sz w:val="24"/>
        <w:szCs w:val="24"/>
      </w:rPr>
      <w:t xml:space="preserve"> </w:t>
    </w:r>
    <w:r w:rsidR="00DF4B99">
      <w:fldChar w:fldCharType="begin"/>
    </w:r>
    <w:r w:rsidR="00DF4B99">
      <w:instrText xml:space="preserve"> DOCPROPERTY  crYear  \* MERGEFORMAT </w:instrText>
    </w:r>
    <w:r w:rsidR="00DF4B99">
      <w:fldChar w:fldCharType="separate"/>
    </w:r>
    <w:r w:rsidRPr="00C7000D">
      <w:rPr>
        <w:rFonts w:asciiTheme="minorHAnsi" w:hAnsiTheme="minorHAnsi" w:cstheme="minorHAnsi"/>
        <w:i/>
        <w:sz w:val="24"/>
        <w:szCs w:val="24"/>
      </w:rPr>
      <w:t>2015</w:t>
    </w:r>
    <w:r w:rsidR="00DF4B99">
      <w:rPr>
        <w:rFonts w:asciiTheme="minorHAnsi" w:hAnsiTheme="minorHAnsi" w:cstheme="minorHAnsi"/>
        <w:i/>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A0C2A"/>
    <w:multiLevelType w:val="hybridMultilevel"/>
    <w:tmpl w:val="B726C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1AF4F85"/>
    <w:multiLevelType w:val="multilevel"/>
    <w:tmpl w:val="4A2C09A0"/>
    <w:styleLink w:val="CurrentList2"/>
    <w:lvl w:ilvl="0">
      <w:start w:val="2"/>
      <w:numFmt w:val="decimal"/>
      <w:lvlText w:val="Note %1: "/>
      <w:lvlJc w:val="left"/>
      <w:pPr>
        <w:tabs>
          <w:tab w:val="num" w:pos="1352"/>
        </w:tabs>
        <w:ind w:left="1352" w:hanging="99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upperLetter"/>
      <w:lvlText w:val="Note %1%2: "/>
      <w:lvlJc w:val="left"/>
      <w:pPr>
        <w:tabs>
          <w:tab w:val="num" w:pos="1532"/>
        </w:tabs>
        <w:ind w:left="1532" w:hanging="992"/>
      </w:pPr>
      <w:rPr>
        <w:rFonts w:ascii="Times New Roman" w:hAnsi="Times New Roman" w:cs="Times New Roman" w:hint="default"/>
        <w:b/>
        <w:i w:val="0"/>
        <w:strike w:val="0"/>
        <w:dstrike w:val="0"/>
        <w:color w:val="auto"/>
        <w:sz w:val="20"/>
        <w:szCs w:val="20"/>
        <w:u w:val="none"/>
        <w:effect w:val="non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nsid w:val="06D84F41"/>
    <w:multiLevelType w:val="hybridMultilevel"/>
    <w:tmpl w:val="535A297A"/>
    <w:lvl w:ilvl="0" w:tplc="70A86A80">
      <w:start w:val="1"/>
      <w:numFmt w:val="decimal"/>
      <w:lvlText w:val="%1."/>
      <w:lvlJc w:val="left"/>
      <w:pPr>
        <w:ind w:left="720" w:hanging="360"/>
      </w:pPr>
      <w:rPr>
        <w:rFonts w:hint="default"/>
        <w:vertAlign w:val="superscrip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EC42909"/>
    <w:multiLevelType w:val="multilevel"/>
    <w:tmpl w:val="753AC1FE"/>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4">
    <w:nsid w:val="159A5842"/>
    <w:multiLevelType w:val="hybridMultilevel"/>
    <w:tmpl w:val="D5CA2E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9C24BFF"/>
    <w:multiLevelType w:val="multilevel"/>
    <w:tmpl w:val="0546908E"/>
    <w:lvl w:ilvl="0">
      <w:start w:val="1"/>
      <w:numFmt w:val="decimal"/>
      <w:lvlText w:val="Note %1:"/>
      <w:lvlJc w:val="left"/>
      <w:pPr>
        <w:tabs>
          <w:tab w:val="num" w:pos="851"/>
        </w:tabs>
        <w:ind w:left="851" w:hanging="851"/>
      </w:pPr>
      <w:rPr>
        <w:rFonts w:ascii="Times New Roman" w:hAnsi="Times New Roman" w:cs="Times New Roman" w:hint="default"/>
        <w:b/>
        <w:i w:val="0"/>
        <w:strike w:val="0"/>
        <w:dstrike w:val="0"/>
        <w:color w:val="auto"/>
        <w:sz w:val="24"/>
        <w:szCs w:val="24"/>
        <w:u w:val="none"/>
        <w:effect w:val="none"/>
      </w:rPr>
    </w:lvl>
    <w:lvl w:ilvl="1">
      <w:start w:val="1"/>
      <w:numFmt w:val="decimal"/>
      <w:lvlText w:val="%1.%2"/>
      <w:lvlJc w:val="left"/>
      <w:pPr>
        <w:tabs>
          <w:tab w:val="num" w:pos="851"/>
        </w:tabs>
        <w:ind w:left="851" w:hanging="851"/>
      </w:pPr>
      <w:rPr>
        <w:rFonts w:asciiTheme="minorHAnsi" w:hAnsiTheme="minorHAnsi" w:cstheme="minorHAnsi" w:hint="default"/>
        <w:b/>
        <w:i w:val="0"/>
        <w:strike w:val="0"/>
        <w:dstrike w:val="0"/>
        <w:color w:val="auto"/>
        <w:sz w:val="18"/>
        <w:szCs w:val="18"/>
        <w:u w:val="none"/>
        <w:effect w:val="none"/>
      </w:rPr>
    </w:lvl>
    <w:lvl w:ilvl="2">
      <w:start w:val="1"/>
      <w:numFmt w:val="lowerLetter"/>
      <w:lvlText w:val="(%3)"/>
      <w:lvlJc w:val="left"/>
      <w:pPr>
        <w:tabs>
          <w:tab w:val="num" w:pos="851"/>
        </w:tabs>
        <w:ind w:left="851" w:hanging="851"/>
      </w:pPr>
      <w:rPr>
        <w:rFonts w:ascii="Times New Roman" w:hAnsi="Times New Roman" w:cs="Times New Roman" w:hint="default"/>
        <w:b/>
        <w:i w:val="0"/>
        <w:sz w:val="20"/>
      </w:rPr>
    </w:lvl>
    <w:lvl w:ilvl="3">
      <w:start w:val="1"/>
      <w:numFmt w:val="lowerRoman"/>
      <w:lvlText w:val="(%4)"/>
      <w:lvlJc w:val="left"/>
      <w:pPr>
        <w:tabs>
          <w:tab w:val="num" w:pos="851"/>
        </w:tabs>
        <w:ind w:left="851" w:hanging="851"/>
      </w:pPr>
      <w:rPr>
        <w:rFonts w:ascii="Arial" w:hAnsi="Arial" w:cs="Times New Roman" w:hint="default"/>
        <w:b w:val="0"/>
        <w:i w:val="0"/>
        <w:sz w:val="20"/>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6">
    <w:nsid w:val="1CD95887"/>
    <w:multiLevelType w:val="multilevel"/>
    <w:tmpl w:val="4A2C09A0"/>
    <w:styleLink w:val="Style2"/>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upperLetter"/>
      <w:lvlText w:val="Note %1%2: "/>
      <w:lvlJc w:val="left"/>
      <w:pPr>
        <w:tabs>
          <w:tab w:val="num" w:pos="1532"/>
        </w:tabs>
        <w:ind w:left="1532" w:hanging="992"/>
      </w:pPr>
      <w:rPr>
        <w:rFonts w:ascii="Times New Roman" w:hAnsi="Times New Roman" w:cs="Times New Roman" w:hint="default"/>
        <w:b/>
        <w:i w:val="0"/>
        <w:strike w:val="0"/>
        <w:dstrike w:val="0"/>
        <w:color w:val="auto"/>
        <w:sz w:val="20"/>
        <w:szCs w:val="20"/>
        <w:u w:val="none"/>
        <w:effect w:val="non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nsid w:val="26997AF8"/>
    <w:multiLevelType w:val="hybridMultilevel"/>
    <w:tmpl w:val="87AA1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CEA4481"/>
    <w:multiLevelType w:val="multilevel"/>
    <w:tmpl w:val="0DFE1A6A"/>
    <w:lvl w:ilvl="0">
      <w:start w:val="1"/>
      <w:numFmt w:val="bullet"/>
      <w:lvlRestart w:val="0"/>
      <w:lvlText w:val="•"/>
      <w:lvlJc w:val="left"/>
      <w:pPr>
        <w:tabs>
          <w:tab w:val="num" w:pos="284"/>
        </w:tabs>
        <w:ind w:left="284" w:hanging="284"/>
      </w:pPr>
      <w:rPr>
        <w:b w:val="0"/>
        <w:i w:val="0"/>
        <w:color w:val="000000"/>
      </w:rPr>
    </w:lvl>
    <w:lvl w:ilvl="1">
      <w:start w:val="1"/>
      <w:numFmt w:val="bullet"/>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9">
    <w:nsid w:val="39134EAE"/>
    <w:multiLevelType w:val="hybridMultilevel"/>
    <w:tmpl w:val="68064804"/>
    <w:lvl w:ilvl="0" w:tplc="117AF696">
      <w:numFmt w:val="bullet"/>
      <w:lvlText w:val="-"/>
      <w:lvlJc w:val="left"/>
      <w:pPr>
        <w:ind w:left="405" w:hanging="360"/>
      </w:pPr>
      <w:rPr>
        <w:rFonts w:ascii="Calibri" w:eastAsia="Times New Roman"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0">
    <w:nsid w:val="3A8A0C75"/>
    <w:multiLevelType w:val="hybridMultilevel"/>
    <w:tmpl w:val="31ACFD2C"/>
    <w:lvl w:ilvl="0" w:tplc="5A3074E0">
      <w:start w:val="1"/>
      <w:numFmt w:val="decimal"/>
      <w:lvlText w:val="%1."/>
      <w:lvlJc w:val="left"/>
      <w:pPr>
        <w:ind w:left="720" w:hanging="360"/>
      </w:pPr>
      <w:rPr>
        <w:rFonts w:cs="Arial" w:hint="default"/>
        <w:b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2E19AC"/>
    <w:multiLevelType w:val="singleLevel"/>
    <w:tmpl w:val="07664886"/>
    <w:lvl w:ilvl="0">
      <w:start w:val="1"/>
      <w:numFmt w:val="lowerLetter"/>
      <w:lvlRestart w:val="0"/>
      <w:lvlText w:val="(%1)"/>
      <w:lvlJc w:val="left"/>
      <w:pPr>
        <w:tabs>
          <w:tab w:val="num" w:pos="284"/>
        </w:tabs>
        <w:ind w:left="284" w:hanging="284"/>
      </w:pPr>
      <w:rPr>
        <w:rFonts w:ascii="Arial" w:hAnsi="Arial" w:cs="Arial"/>
        <w:b w:val="0"/>
        <w:i w:val="0"/>
        <w:color w:val="000000"/>
        <w:sz w:val="16"/>
      </w:rPr>
    </w:lvl>
  </w:abstractNum>
  <w:abstractNum w:abstractNumId="12">
    <w:nsid w:val="435E3B80"/>
    <w:multiLevelType w:val="hybridMultilevel"/>
    <w:tmpl w:val="C3B21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3FB49B7"/>
    <w:multiLevelType w:val="singleLevel"/>
    <w:tmpl w:val="9EDE5682"/>
    <w:lvl w:ilvl="0">
      <w:start w:val="1"/>
      <w:numFmt w:val="lowerLetter"/>
      <w:lvlRestart w:val="0"/>
      <w:lvlText w:val="(%1)"/>
      <w:lvlJc w:val="left"/>
      <w:pPr>
        <w:tabs>
          <w:tab w:val="num" w:pos="567"/>
        </w:tabs>
        <w:ind w:left="567" w:hanging="567"/>
      </w:pPr>
      <w:rPr>
        <w:b w:val="0"/>
        <w:i w:val="0"/>
        <w:color w:val="000000"/>
      </w:rPr>
    </w:lvl>
  </w:abstractNum>
  <w:abstractNum w:abstractNumId="14">
    <w:nsid w:val="52485DFA"/>
    <w:multiLevelType w:val="hybridMultilevel"/>
    <w:tmpl w:val="E08CE8A0"/>
    <w:lvl w:ilvl="0" w:tplc="9B940478">
      <w:numFmt w:val="bullet"/>
      <w:lvlText w:val="-"/>
      <w:lvlJc w:val="left"/>
      <w:pPr>
        <w:ind w:left="405" w:hanging="360"/>
      </w:pPr>
      <w:rPr>
        <w:rFonts w:ascii="Calibri" w:eastAsia="Times New Roman"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5">
    <w:nsid w:val="58101827"/>
    <w:multiLevelType w:val="multilevel"/>
    <w:tmpl w:val="072C6E52"/>
    <w:lvl w:ilvl="0">
      <w:start w:val="1"/>
      <w:numFmt w:val="bullet"/>
      <w:lvlRestart w:val="0"/>
      <w:lvlText w:val="•"/>
      <w:lvlJc w:val="left"/>
      <w:pPr>
        <w:tabs>
          <w:tab w:val="num" w:pos="283"/>
        </w:tabs>
        <w:ind w:left="283" w:hanging="283"/>
      </w:pPr>
      <w:rPr>
        <w:rFonts w:ascii="Times New Roman" w:hAnsi="Times New Roman" w:cs="Times New Roman"/>
        <w:b w:val="0"/>
        <w:i w:val="0"/>
        <w:sz w:val="20"/>
      </w:rPr>
    </w:lvl>
    <w:lvl w:ilvl="1">
      <w:start w:val="1"/>
      <w:numFmt w:val="bullet"/>
      <w:lvlText w:val="–"/>
      <w:lvlJc w:val="left"/>
      <w:pPr>
        <w:tabs>
          <w:tab w:val="num" w:pos="567"/>
        </w:tabs>
        <w:ind w:left="567" w:hanging="284"/>
      </w:pPr>
      <w:rPr>
        <w:b w:val="0"/>
        <w:i w:val="0"/>
      </w:rPr>
    </w:lvl>
    <w:lvl w:ilvl="2">
      <w:start w:val="1"/>
      <w:numFmt w:val="bulle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6">
    <w:nsid w:val="585F6A5F"/>
    <w:multiLevelType w:val="multilevel"/>
    <w:tmpl w:val="4A2C09A0"/>
    <w:styleLink w:val="CurrentList1"/>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upperLetter"/>
      <w:lvlText w:val="Note %1%2: "/>
      <w:lvlJc w:val="left"/>
      <w:pPr>
        <w:tabs>
          <w:tab w:val="num" w:pos="1532"/>
        </w:tabs>
        <w:ind w:left="1532" w:hanging="992"/>
      </w:pPr>
      <w:rPr>
        <w:rFonts w:ascii="Times New Roman" w:hAnsi="Times New Roman" w:cs="Times New Roman" w:hint="default"/>
        <w:b/>
        <w:i w:val="0"/>
        <w:strike w:val="0"/>
        <w:dstrike w:val="0"/>
        <w:color w:val="auto"/>
        <w:sz w:val="20"/>
        <w:szCs w:val="20"/>
        <w:u w:val="none"/>
        <w:effect w:val="non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60670E23"/>
    <w:multiLevelType w:val="singleLevel"/>
    <w:tmpl w:val="FC8C2572"/>
    <w:lvl w:ilvl="0">
      <w:start w:val="1"/>
      <w:numFmt w:val="bullet"/>
      <w:lvlText w:val=""/>
      <w:lvlJc w:val="left"/>
      <w:pPr>
        <w:tabs>
          <w:tab w:val="num" w:pos="360"/>
        </w:tabs>
        <w:ind w:left="357" w:hanging="357"/>
      </w:pPr>
      <w:rPr>
        <w:rFonts w:ascii="Symbol" w:hAnsi="Symbol" w:hint="default"/>
      </w:rPr>
    </w:lvl>
  </w:abstractNum>
  <w:abstractNum w:abstractNumId="18">
    <w:nsid w:val="68E60982"/>
    <w:multiLevelType w:val="hybridMultilevel"/>
    <w:tmpl w:val="FA7E53DE"/>
    <w:lvl w:ilvl="0" w:tplc="0C090001">
      <w:start w:val="1"/>
      <w:numFmt w:val="bullet"/>
      <w:lvlText w:val=""/>
      <w:lvlJc w:val="left"/>
      <w:pPr>
        <w:ind w:left="1571"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nsid w:val="68EA3959"/>
    <w:multiLevelType w:val="multilevel"/>
    <w:tmpl w:val="5C2C9654"/>
    <w:lvl w:ilvl="0">
      <w:start w:val="1"/>
      <w:numFmt w:val="lowerLetter"/>
      <w:lvlRestart w:val="0"/>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0">
    <w:nsid w:val="6A38338E"/>
    <w:multiLevelType w:val="singleLevel"/>
    <w:tmpl w:val="2922866A"/>
    <w:lvl w:ilvl="0">
      <w:start w:val="1"/>
      <w:numFmt w:val="bullet"/>
      <w:pStyle w:val="NotesHeading-Level1GreyShade"/>
      <w:lvlText w:val=""/>
      <w:lvlJc w:val="left"/>
      <w:pPr>
        <w:tabs>
          <w:tab w:val="num" w:pos="360"/>
        </w:tabs>
        <w:ind w:left="360" w:hanging="360"/>
      </w:pPr>
      <w:rPr>
        <w:rFonts w:ascii="Symbol" w:hAnsi="Symbol" w:cs="Times New Roman" w:hint="default"/>
      </w:rPr>
    </w:lvl>
  </w:abstractNum>
  <w:abstractNum w:abstractNumId="21">
    <w:nsid w:val="719D704A"/>
    <w:multiLevelType w:val="hybridMultilevel"/>
    <w:tmpl w:val="E1D8B7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72E921FA"/>
    <w:multiLevelType w:val="multilevel"/>
    <w:tmpl w:val="C3BED586"/>
    <w:lvl w:ilvl="0">
      <w:start w:val="1"/>
      <w:numFmt w:val="decimal"/>
      <w:pStyle w:val="NotesHeading-Level1"/>
      <w:lvlText w:val="Note %1: "/>
      <w:lvlJc w:val="left"/>
      <w:pPr>
        <w:tabs>
          <w:tab w:val="num" w:pos="851"/>
        </w:tabs>
        <w:ind w:left="1134" w:hanging="1134"/>
      </w:pPr>
      <w:rPr>
        <w:rFonts w:asciiTheme="minorHAnsi" w:hAnsiTheme="minorHAnsi" w:cstheme="minorHAnsi" w:hint="default"/>
        <w:b/>
        <w:bCs w:val="0"/>
        <w:i w:val="0"/>
        <w:iCs w:val="0"/>
        <w:caps w:val="0"/>
        <w:smallCaps w:val="0"/>
        <w:strike w:val="0"/>
        <w:dstrike w:val="0"/>
        <w:noProof w:val="0"/>
        <w:vanish w:val="0"/>
        <w:webHidden w:val="0"/>
        <w:color w:val="auto"/>
        <w:spacing w:val="0"/>
        <w:kern w:val="0"/>
        <w:position w:val="0"/>
        <w:sz w:val="20"/>
        <w:szCs w:val="20"/>
        <w:u w:val="none"/>
        <w:effect w:val="none"/>
        <w:vertAlign w:val="baseline"/>
        <w:em w:val="none"/>
        <w:specVanish w:val="0"/>
      </w:rPr>
    </w:lvl>
    <w:lvl w:ilvl="1">
      <w:start w:val="1"/>
      <w:numFmt w:val="upperLetter"/>
      <w:pStyle w:val="NotesHeading-Level2"/>
      <w:lvlText w:val="Note %1%2: "/>
      <w:lvlJc w:val="left"/>
      <w:pPr>
        <w:tabs>
          <w:tab w:val="num" w:pos="851"/>
        </w:tabs>
        <w:ind w:left="1532" w:hanging="1532"/>
      </w:pPr>
      <w:rPr>
        <w:rFonts w:ascii="Times New Roman" w:hAnsi="Times New Roman" w:cs="Times New Roman" w:hint="default"/>
        <w:b/>
        <w:i w:val="0"/>
        <w:color w:val="auto"/>
        <w:sz w:val="20"/>
        <w:szCs w:val="20"/>
        <w:u w:val="singl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heme="minorHAnsi" w:eastAsia="Times New Roman" w:hAnsiTheme="minorHAnsi" w:cstheme="minorHAnsi"/>
        <w:vertAlign w:val="superscript"/>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72F73496"/>
    <w:multiLevelType w:val="hybridMultilevel"/>
    <w:tmpl w:val="26A04C3E"/>
    <w:lvl w:ilvl="0" w:tplc="0C090001">
      <w:start w:val="1"/>
      <w:numFmt w:val="bullet"/>
      <w:lvlText w:val=""/>
      <w:lvlJc w:val="left"/>
      <w:pPr>
        <w:ind w:left="756" w:hanging="360"/>
      </w:pPr>
      <w:rPr>
        <w:rFonts w:ascii="Symbol" w:hAnsi="Symbol" w:hint="default"/>
      </w:rPr>
    </w:lvl>
    <w:lvl w:ilvl="1" w:tplc="0C090003" w:tentative="1">
      <w:start w:val="1"/>
      <w:numFmt w:val="bullet"/>
      <w:lvlText w:val="o"/>
      <w:lvlJc w:val="left"/>
      <w:pPr>
        <w:ind w:left="1476" w:hanging="360"/>
      </w:pPr>
      <w:rPr>
        <w:rFonts w:ascii="Courier New" w:hAnsi="Courier New" w:cs="Courier New" w:hint="default"/>
      </w:rPr>
    </w:lvl>
    <w:lvl w:ilvl="2" w:tplc="0C090005" w:tentative="1">
      <w:start w:val="1"/>
      <w:numFmt w:val="bullet"/>
      <w:lvlText w:val=""/>
      <w:lvlJc w:val="left"/>
      <w:pPr>
        <w:ind w:left="2196" w:hanging="360"/>
      </w:pPr>
      <w:rPr>
        <w:rFonts w:ascii="Wingdings" w:hAnsi="Wingdings" w:hint="default"/>
      </w:rPr>
    </w:lvl>
    <w:lvl w:ilvl="3" w:tplc="0C090001" w:tentative="1">
      <w:start w:val="1"/>
      <w:numFmt w:val="bullet"/>
      <w:lvlText w:val=""/>
      <w:lvlJc w:val="left"/>
      <w:pPr>
        <w:ind w:left="2916" w:hanging="360"/>
      </w:pPr>
      <w:rPr>
        <w:rFonts w:ascii="Symbol" w:hAnsi="Symbol" w:hint="default"/>
      </w:rPr>
    </w:lvl>
    <w:lvl w:ilvl="4" w:tplc="0C090003" w:tentative="1">
      <w:start w:val="1"/>
      <w:numFmt w:val="bullet"/>
      <w:lvlText w:val="o"/>
      <w:lvlJc w:val="left"/>
      <w:pPr>
        <w:ind w:left="3636" w:hanging="360"/>
      </w:pPr>
      <w:rPr>
        <w:rFonts w:ascii="Courier New" w:hAnsi="Courier New" w:cs="Courier New" w:hint="default"/>
      </w:rPr>
    </w:lvl>
    <w:lvl w:ilvl="5" w:tplc="0C090005" w:tentative="1">
      <w:start w:val="1"/>
      <w:numFmt w:val="bullet"/>
      <w:lvlText w:val=""/>
      <w:lvlJc w:val="left"/>
      <w:pPr>
        <w:ind w:left="4356" w:hanging="360"/>
      </w:pPr>
      <w:rPr>
        <w:rFonts w:ascii="Wingdings" w:hAnsi="Wingdings" w:hint="default"/>
      </w:rPr>
    </w:lvl>
    <w:lvl w:ilvl="6" w:tplc="0C090001" w:tentative="1">
      <w:start w:val="1"/>
      <w:numFmt w:val="bullet"/>
      <w:lvlText w:val=""/>
      <w:lvlJc w:val="left"/>
      <w:pPr>
        <w:ind w:left="5076" w:hanging="360"/>
      </w:pPr>
      <w:rPr>
        <w:rFonts w:ascii="Symbol" w:hAnsi="Symbol" w:hint="default"/>
      </w:rPr>
    </w:lvl>
    <w:lvl w:ilvl="7" w:tplc="0C090003" w:tentative="1">
      <w:start w:val="1"/>
      <w:numFmt w:val="bullet"/>
      <w:lvlText w:val="o"/>
      <w:lvlJc w:val="left"/>
      <w:pPr>
        <w:ind w:left="5796" w:hanging="360"/>
      </w:pPr>
      <w:rPr>
        <w:rFonts w:ascii="Courier New" w:hAnsi="Courier New" w:cs="Courier New" w:hint="default"/>
      </w:rPr>
    </w:lvl>
    <w:lvl w:ilvl="8" w:tplc="0C090005" w:tentative="1">
      <w:start w:val="1"/>
      <w:numFmt w:val="bullet"/>
      <w:lvlText w:val=""/>
      <w:lvlJc w:val="left"/>
      <w:pPr>
        <w:ind w:left="6516" w:hanging="360"/>
      </w:pPr>
      <w:rPr>
        <w:rFonts w:ascii="Wingdings" w:hAnsi="Wingdings" w:hint="default"/>
      </w:rPr>
    </w:lvl>
  </w:abstractNum>
  <w:abstractNum w:abstractNumId="24">
    <w:nsid w:val="735C7398"/>
    <w:multiLevelType w:val="hybridMultilevel"/>
    <w:tmpl w:val="9ED4C658"/>
    <w:lvl w:ilvl="0" w:tplc="2C6EFD44">
      <w:start w:val="1"/>
      <w:numFmt w:val="bullet"/>
      <w:lvlText w:val="-"/>
      <w:lvlJc w:val="left"/>
      <w:pPr>
        <w:ind w:left="720" w:hanging="360"/>
      </w:pPr>
      <w:rPr>
        <w:rFonts w:ascii="Calibri" w:eastAsia="Times New Roman" w:hAnsi="Calibri" w:cs="Calibri"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nsid w:val="742C17D0"/>
    <w:multiLevelType w:val="hybridMultilevel"/>
    <w:tmpl w:val="7BA85834"/>
    <w:lvl w:ilvl="0" w:tplc="0C090001">
      <w:start w:val="1"/>
      <w:numFmt w:val="bullet"/>
      <w:lvlText w:val=""/>
      <w:lvlJc w:val="left"/>
      <w:pPr>
        <w:ind w:left="1571"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6">
    <w:nsid w:val="74CD2EB1"/>
    <w:multiLevelType w:val="multilevel"/>
    <w:tmpl w:val="34589BAE"/>
    <w:lvl w:ilvl="0">
      <w:start w:val="1"/>
      <w:numFmt w:val="decimal"/>
      <w:lvlRestart w:val="0"/>
      <w:lvlText w:val="•"/>
      <w:lvlJc w:val="left"/>
      <w:pPr>
        <w:tabs>
          <w:tab w:val="num" w:pos="284"/>
        </w:tabs>
        <w:ind w:left="284" w:hanging="284"/>
      </w:pPr>
      <w:rPr>
        <w:rFonts w:ascii="9999999" w:hAnsi="9999999"/>
        <w:b w:val="0"/>
        <w:i w:val="0"/>
        <w:color w:val="FF0000"/>
      </w:rPr>
    </w:lvl>
    <w:lvl w:ilvl="1">
      <w:start w:val="1"/>
      <w:numFmt w:val="decimal"/>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7">
    <w:nsid w:val="7BDA3725"/>
    <w:multiLevelType w:val="hybridMultilevel"/>
    <w:tmpl w:val="8E969050"/>
    <w:lvl w:ilvl="0" w:tplc="8E78054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7E000E71"/>
    <w:multiLevelType w:val="hybridMultilevel"/>
    <w:tmpl w:val="6DFA9400"/>
    <w:lvl w:ilvl="0" w:tplc="0C090001">
      <w:start w:val="1"/>
      <w:numFmt w:val="bullet"/>
      <w:lvlText w:val=""/>
      <w:lvlJc w:val="left"/>
      <w:pPr>
        <w:ind w:left="4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num w:numId="1">
    <w:abstractNumId w:val="13"/>
  </w:num>
  <w:num w:numId="2">
    <w:abstractNumId w:val="15"/>
  </w:num>
  <w:num w:numId="3">
    <w:abstractNumId w:val="11"/>
    <w:lvlOverride w:ilvl="0">
      <w:startOverride w:val="1"/>
    </w:lvlOverride>
  </w:num>
  <w:num w:numId="4">
    <w:abstractNumId w:val="19"/>
  </w:num>
  <w:num w:numId="5">
    <w:abstractNumId w:val="3"/>
  </w:num>
  <w:num w:numId="6">
    <w:abstractNumId w:val="26"/>
  </w:num>
  <w:num w:numId="7">
    <w:abstractNumId w:val="8"/>
  </w:num>
  <w:num w:numId="8">
    <w:abstractNumId w:val="8"/>
  </w:num>
  <w:num w:numId="9">
    <w:abstractNumId w:val="22"/>
  </w:num>
  <w:num w:numId="10">
    <w:abstractNumId w:val="16"/>
  </w:num>
  <w:num w:numId="11">
    <w:abstractNumId w:val="1"/>
  </w:num>
  <w:num w:numId="12">
    <w:abstractNumId w:val="20"/>
  </w:num>
  <w:num w:numId="13">
    <w:abstractNumId w:val="22"/>
  </w:num>
  <w:num w:numId="14">
    <w:abstractNumId w:val="6"/>
  </w:num>
  <w:num w:numId="15">
    <w:abstractNumId w:val="5"/>
  </w:num>
  <w:num w:numId="16">
    <w:abstractNumId w:val="17"/>
  </w:num>
  <w:num w:numId="17">
    <w:abstractNumId w:val="24"/>
  </w:num>
  <w:num w:numId="1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7"/>
  </w:num>
  <w:num w:numId="29">
    <w:abstractNumId w:val="9"/>
  </w:num>
  <w:num w:numId="30">
    <w:abstractNumId w:val="23"/>
  </w:num>
  <w:num w:numId="31">
    <w:abstractNumId w:val="10"/>
  </w:num>
  <w:num w:numId="32">
    <w:abstractNumId w:val="21"/>
  </w:num>
  <w:num w:numId="33">
    <w:abstractNumId w:val="14"/>
  </w:num>
  <w:num w:numId="34">
    <w:abstractNumId w:val="4"/>
  </w:num>
  <w:num w:numId="35">
    <w:abstractNumId w:val="2"/>
  </w:num>
  <w:num w:numId="36">
    <w:abstractNumId w:val="0"/>
  </w:num>
  <w:num w:numId="37">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46C"/>
    <w:rsid w:val="00036A81"/>
    <w:rsid w:val="00064A80"/>
    <w:rsid w:val="00087C4C"/>
    <w:rsid w:val="000A3647"/>
    <w:rsid w:val="00140B35"/>
    <w:rsid w:val="001E4A63"/>
    <w:rsid w:val="00200175"/>
    <w:rsid w:val="00204618"/>
    <w:rsid w:val="002135AE"/>
    <w:rsid w:val="002233E3"/>
    <w:rsid w:val="00232425"/>
    <w:rsid w:val="00330D8C"/>
    <w:rsid w:val="00373F61"/>
    <w:rsid w:val="003B65F3"/>
    <w:rsid w:val="004E30B3"/>
    <w:rsid w:val="004F64D7"/>
    <w:rsid w:val="0052366A"/>
    <w:rsid w:val="0052716D"/>
    <w:rsid w:val="005863AA"/>
    <w:rsid w:val="005937AA"/>
    <w:rsid w:val="00601F44"/>
    <w:rsid w:val="00700551"/>
    <w:rsid w:val="00735613"/>
    <w:rsid w:val="007628B2"/>
    <w:rsid w:val="007F0DFD"/>
    <w:rsid w:val="008B7B7E"/>
    <w:rsid w:val="0091724D"/>
    <w:rsid w:val="00A12DF6"/>
    <w:rsid w:val="00A20A18"/>
    <w:rsid w:val="00A47038"/>
    <w:rsid w:val="00A639C5"/>
    <w:rsid w:val="00A8046C"/>
    <w:rsid w:val="00AB5210"/>
    <w:rsid w:val="00AF2758"/>
    <w:rsid w:val="00B204AD"/>
    <w:rsid w:val="00B91AF3"/>
    <w:rsid w:val="00BC6152"/>
    <w:rsid w:val="00C21DC5"/>
    <w:rsid w:val="00C5489A"/>
    <w:rsid w:val="00C548B1"/>
    <w:rsid w:val="00C7001F"/>
    <w:rsid w:val="00C90F32"/>
    <w:rsid w:val="00CB7F40"/>
    <w:rsid w:val="00D1404A"/>
    <w:rsid w:val="00D266F3"/>
    <w:rsid w:val="00D64A08"/>
    <w:rsid w:val="00DC7175"/>
    <w:rsid w:val="00DF4B99"/>
    <w:rsid w:val="00E62F3C"/>
    <w:rsid w:val="00E91E04"/>
    <w:rsid w:val="00E96268"/>
    <w:rsid w:val="00EB78F3"/>
    <w:rsid w:val="00ED3E62"/>
    <w:rsid w:val="00F25D1B"/>
    <w:rsid w:val="00FB36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footer" w:uiPriority="0"/>
    <w:lsdException w:name="index heading" w:uiPriority="0"/>
    <w:lsdException w:name="caption" w:uiPriority="0" w:qFormat="1"/>
    <w:lsdException w:name="table of figures"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D8C"/>
    <w:pPr>
      <w:spacing w:after="0" w:line="260" w:lineRule="atLeast"/>
    </w:pPr>
    <w:rPr>
      <w:rFonts w:ascii="Calibri" w:hAnsi="Calibri" w:cs="Times New Roman"/>
      <w:sz w:val="18"/>
      <w:szCs w:val="20"/>
    </w:rPr>
  </w:style>
  <w:style w:type="paragraph" w:styleId="Heading1">
    <w:name w:val="heading 1"/>
    <w:aliases w:val="Heading 1 do not use,Section heading 1,Front Page Title,1.,Para 1,Para 11"/>
    <w:basedOn w:val="Normal"/>
    <w:next w:val="Normal"/>
    <w:link w:val="Heading1Char"/>
    <w:qFormat/>
    <w:rsid w:val="00330D8C"/>
    <w:pPr>
      <w:keepNext/>
      <w:spacing w:before="240" w:after="60"/>
      <w:outlineLvl w:val="0"/>
    </w:pPr>
    <w:rPr>
      <w:rFonts w:ascii="Arial" w:eastAsiaTheme="minorEastAsia" w:hAnsi="Arial" w:cs="Arial"/>
      <w:kern w:val="32"/>
      <w:sz w:val="32"/>
      <w:szCs w:val="32"/>
    </w:rPr>
  </w:style>
  <w:style w:type="paragraph" w:styleId="Heading2">
    <w:name w:val="heading 2"/>
    <w:aliases w:val="Heading 2 do not use,Front Page List of Sections"/>
    <w:basedOn w:val="Normal"/>
    <w:next w:val="Normal"/>
    <w:link w:val="Heading2Char"/>
    <w:qFormat/>
    <w:rsid w:val="00330D8C"/>
    <w:pPr>
      <w:keepNext/>
      <w:spacing w:before="240" w:after="60"/>
      <w:outlineLvl w:val="1"/>
    </w:pPr>
    <w:rPr>
      <w:rFonts w:ascii="Arial" w:eastAsiaTheme="minorEastAsia" w:hAnsi="Arial" w:cs="Arial"/>
      <w:i/>
      <w:iCs/>
      <w:sz w:val="28"/>
      <w:szCs w:val="28"/>
    </w:rPr>
  </w:style>
  <w:style w:type="paragraph" w:styleId="Heading3">
    <w:name w:val="heading 3"/>
    <w:aliases w:val="Heading 3 do not use"/>
    <w:basedOn w:val="Normal"/>
    <w:next w:val="Normal"/>
    <w:link w:val="Heading3Char"/>
    <w:qFormat/>
    <w:rsid w:val="00330D8C"/>
    <w:pPr>
      <w:keepNext/>
      <w:spacing w:before="240" w:after="60"/>
      <w:outlineLvl w:val="2"/>
    </w:pPr>
    <w:rPr>
      <w:rFonts w:ascii="Arial" w:eastAsiaTheme="minorEastAsia" w:hAnsi="Arial" w:cs="Arial"/>
      <w:sz w:val="26"/>
      <w:szCs w:val="26"/>
    </w:rPr>
  </w:style>
  <w:style w:type="paragraph" w:styleId="Heading4">
    <w:name w:val="heading 4"/>
    <w:basedOn w:val="Normal"/>
    <w:link w:val="Heading4Char"/>
    <w:qFormat/>
    <w:rsid w:val="00330D8C"/>
    <w:pPr>
      <w:spacing w:before="130" w:after="130"/>
      <w:outlineLvl w:val="3"/>
    </w:pPr>
    <w:rPr>
      <w:rFonts w:eastAsiaTheme="minorEastAsia"/>
    </w:rPr>
  </w:style>
  <w:style w:type="paragraph" w:styleId="Heading5">
    <w:name w:val="heading 5"/>
    <w:basedOn w:val="Normal"/>
    <w:next w:val="Normal"/>
    <w:link w:val="Heading5Char"/>
    <w:qFormat/>
    <w:rsid w:val="00330D8C"/>
    <w:pPr>
      <w:outlineLvl w:val="4"/>
    </w:pPr>
    <w:rPr>
      <w:rFonts w:eastAsiaTheme="minorEastAsia"/>
    </w:rPr>
  </w:style>
  <w:style w:type="paragraph" w:styleId="Heading6">
    <w:name w:val="heading 6"/>
    <w:basedOn w:val="Normal"/>
    <w:next w:val="Normal"/>
    <w:link w:val="Heading6Char"/>
    <w:qFormat/>
    <w:rsid w:val="00330D8C"/>
    <w:pPr>
      <w:outlineLvl w:val="5"/>
    </w:pPr>
    <w:rPr>
      <w:rFonts w:eastAsiaTheme="minorEastAsia"/>
    </w:rPr>
  </w:style>
  <w:style w:type="paragraph" w:styleId="Heading7">
    <w:name w:val="heading 7"/>
    <w:aliases w:val="Section Sub-Heading 4"/>
    <w:basedOn w:val="Normal"/>
    <w:next w:val="Normal"/>
    <w:link w:val="Heading7Char"/>
    <w:qFormat/>
    <w:rsid w:val="00330D8C"/>
    <w:pPr>
      <w:outlineLvl w:val="6"/>
    </w:pPr>
  </w:style>
  <w:style w:type="paragraph" w:styleId="Heading8">
    <w:name w:val="heading 8"/>
    <w:basedOn w:val="Normal"/>
    <w:next w:val="Normal"/>
    <w:link w:val="Heading8Char"/>
    <w:qFormat/>
    <w:rsid w:val="00330D8C"/>
    <w:pPr>
      <w:outlineLvl w:val="7"/>
    </w:pPr>
  </w:style>
  <w:style w:type="paragraph" w:styleId="Heading9">
    <w:name w:val="heading 9"/>
    <w:basedOn w:val="Normal"/>
    <w:next w:val="Normal"/>
    <w:link w:val="Heading9Char"/>
    <w:qFormat/>
    <w:rsid w:val="00330D8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line">
    <w:name w:val="1/2 line"/>
    <w:basedOn w:val="Normal"/>
    <w:rsid w:val="00330D8C"/>
    <w:pPr>
      <w:spacing w:before="10" w:after="10" w:line="240" w:lineRule="auto"/>
    </w:pPr>
    <w:rPr>
      <w:sz w:val="20"/>
    </w:rPr>
  </w:style>
  <w:style w:type="character" w:customStyle="1" w:styleId="A18">
    <w:name w:val="A18"/>
    <w:uiPriority w:val="99"/>
    <w:rsid w:val="00330D8C"/>
    <w:rPr>
      <w:i/>
      <w:iCs/>
      <w:color w:val="000000"/>
      <w:sz w:val="14"/>
      <w:szCs w:val="14"/>
      <w:u w:val="single"/>
    </w:rPr>
  </w:style>
  <w:style w:type="paragraph" w:customStyle="1" w:styleId="AdminBlankGreyShade">
    <w:name w:val="Admin Blank Grey Shade"/>
    <w:next w:val="12line"/>
    <w:qFormat/>
    <w:rsid w:val="00330D8C"/>
    <w:pPr>
      <w:spacing w:after="0" w:line="240" w:lineRule="auto"/>
    </w:pPr>
    <w:rPr>
      <w:rFonts w:cstheme="minorHAnsi"/>
      <w:sz w:val="18"/>
      <w:szCs w:val="18"/>
      <w:lang w:eastAsia="en-AU"/>
    </w:rPr>
  </w:style>
  <w:style w:type="paragraph" w:customStyle="1" w:styleId="AdminCurrentYearDataGrey">
    <w:name w:val="Admin Current Year Data Grey"/>
    <w:qFormat/>
    <w:rsid w:val="00330D8C"/>
    <w:pPr>
      <w:spacing w:after="0" w:line="240" w:lineRule="auto"/>
      <w:jc w:val="right"/>
    </w:pPr>
    <w:rPr>
      <w:rFonts w:cstheme="minorHAnsi"/>
      <w:b/>
      <w:sz w:val="18"/>
      <w:szCs w:val="18"/>
      <w:lang w:eastAsia="en-AU"/>
    </w:rPr>
  </w:style>
  <w:style w:type="paragraph" w:customStyle="1" w:styleId="AdminCurrentYearDataNormal">
    <w:name w:val="Admin Current Year Data Normal"/>
    <w:qFormat/>
    <w:rsid w:val="00330D8C"/>
    <w:pPr>
      <w:spacing w:after="0" w:line="240" w:lineRule="auto"/>
      <w:jc w:val="right"/>
    </w:pPr>
    <w:rPr>
      <w:rFonts w:cstheme="minorHAnsi"/>
      <w:b/>
      <w:sz w:val="18"/>
      <w:szCs w:val="18"/>
      <w:lang w:eastAsia="en-AU"/>
    </w:rPr>
  </w:style>
  <w:style w:type="paragraph" w:customStyle="1" w:styleId="AdminCurrentYearHeadersGrey">
    <w:name w:val="Admin Current Year Headers Grey"/>
    <w:qFormat/>
    <w:rsid w:val="00330D8C"/>
    <w:pPr>
      <w:spacing w:after="0" w:line="240" w:lineRule="auto"/>
      <w:jc w:val="right"/>
    </w:pPr>
    <w:rPr>
      <w:rFonts w:cstheme="minorHAnsi"/>
      <w:b/>
      <w:sz w:val="18"/>
      <w:szCs w:val="18"/>
      <w:lang w:eastAsia="en-AU"/>
    </w:rPr>
  </w:style>
  <w:style w:type="paragraph" w:customStyle="1" w:styleId="AdminCurrentYearSubTotal">
    <w:name w:val="Admin Current Year SubTotal"/>
    <w:qFormat/>
    <w:rsid w:val="00330D8C"/>
    <w:pPr>
      <w:spacing w:after="0" w:line="240" w:lineRule="auto"/>
      <w:jc w:val="right"/>
    </w:pPr>
    <w:rPr>
      <w:rFonts w:cstheme="minorHAnsi"/>
      <w:b/>
      <w:sz w:val="18"/>
      <w:szCs w:val="18"/>
      <w:lang w:eastAsia="en-AU"/>
    </w:rPr>
  </w:style>
  <w:style w:type="paragraph" w:customStyle="1" w:styleId="AdminCurrentYearTotalGrey">
    <w:name w:val="Admin Current Year Total Grey"/>
    <w:qFormat/>
    <w:rsid w:val="00330D8C"/>
    <w:pPr>
      <w:spacing w:after="0" w:line="240" w:lineRule="auto"/>
      <w:jc w:val="right"/>
    </w:pPr>
    <w:rPr>
      <w:rFonts w:cstheme="minorHAnsi"/>
      <w:b/>
      <w:sz w:val="18"/>
      <w:szCs w:val="18"/>
      <w:lang w:eastAsia="en-AU"/>
    </w:rPr>
  </w:style>
  <w:style w:type="paragraph" w:customStyle="1" w:styleId="AdminRowTextHeaderBoldGrey">
    <w:name w:val="Admin Row Text Header Bold Grey"/>
    <w:qFormat/>
    <w:rsid w:val="00330D8C"/>
    <w:pPr>
      <w:spacing w:after="0" w:line="240" w:lineRule="auto"/>
    </w:pPr>
    <w:rPr>
      <w:rFonts w:cstheme="minorHAnsi"/>
      <w:b/>
      <w:sz w:val="18"/>
      <w:szCs w:val="18"/>
      <w:lang w:eastAsia="en-AU"/>
    </w:rPr>
  </w:style>
  <w:style w:type="paragraph" w:customStyle="1" w:styleId="AdminHeaderCentered">
    <w:name w:val="Admin Header Centered"/>
    <w:basedOn w:val="AdminRowTextHeaderBoldGrey"/>
    <w:qFormat/>
    <w:rsid w:val="00330D8C"/>
    <w:pPr>
      <w:jc w:val="center"/>
    </w:pPr>
  </w:style>
  <w:style w:type="paragraph" w:customStyle="1" w:styleId="AdminHeaderUnderlineGrey">
    <w:name w:val="Admin Header Underline Grey"/>
    <w:qFormat/>
    <w:rsid w:val="00330D8C"/>
    <w:pPr>
      <w:spacing w:after="0" w:line="240" w:lineRule="auto"/>
    </w:pPr>
    <w:rPr>
      <w:rFonts w:cstheme="minorHAnsi"/>
      <w:b/>
      <w:sz w:val="18"/>
      <w:szCs w:val="18"/>
      <w:u w:val="single"/>
      <w:lang w:eastAsia="en-AU"/>
    </w:rPr>
  </w:style>
  <w:style w:type="paragraph" w:customStyle="1" w:styleId="AdminPreviousYearDataNormal">
    <w:name w:val="Admin Previous Year Data Normal"/>
    <w:qFormat/>
    <w:rsid w:val="00330D8C"/>
    <w:pPr>
      <w:spacing w:after="0" w:line="240" w:lineRule="auto"/>
      <w:jc w:val="right"/>
    </w:pPr>
    <w:rPr>
      <w:rFonts w:cstheme="minorHAnsi"/>
      <w:sz w:val="18"/>
      <w:szCs w:val="18"/>
      <w:lang w:eastAsia="en-AU"/>
    </w:rPr>
  </w:style>
  <w:style w:type="paragraph" w:customStyle="1" w:styleId="AdminHeaderlineUnderlineGrey">
    <w:name w:val="Admin Headerline Underline Grey"/>
    <w:basedOn w:val="AdminPreviousYearDataNormal"/>
    <w:next w:val="12line"/>
    <w:qFormat/>
    <w:rsid w:val="00330D8C"/>
  </w:style>
  <w:style w:type="paragraph" w:customStyle="1" w:styleId="AdminManualEntryCell">
    <w:name w:val="Admin Manual Entry Cell"/>
    <w:qFormat/>
    <w:rsid w:val="00330D8C"/>
    <w:pPr>
      <w:spacing w:after="0" w:line="240" w:lineRule="auto"/>
      <w:jc w:val="right"/>
    </w:pPr>
    <w:rPr>
      <w:rFonts w:cstheme="minorHAnsi"/>
      <w:b/>
      <w:sz w:val="18"/>
      <w:szCs w:val="18"/>
      <w:lang w:eastAsia="en-AU"/>
    </w:rPr>
  </w:style>
  <w:style w:type="paragraph" w:customStyle="1" w:styleId="AdminManualEntryCellUnbold">
    <w:name w:val="Admin Manual Entry Cell Unbold"/>
    <w:qFormat/>
    <w:rsid w:val="00330D8C"/>
    <w:pPr>
      <w:spacing w:after="0" w:line="240" w:lineRule="auto"/>
      <w:jc w:val="right"/>
    </w:pPr>
    <w:rPr>
      <w:rFonts w:cstheme="minorHAnsi"/>
      <w:sz w:val="18"/>
      <w:szCs w:val="18"/>
      <w:lang w:eastAsia="en-AU"/>
    </w:rPr>
  </w:style>
  <w:style w:type="paragraph" w:customStyle="1" w:styleId="AdminNoteReferenceGrey">
    <w:name w:val="Admin Note Reference Grey"/>
    <w:qFormat/>
    <w:rsid w:val="00330D8C"/>
    <w:pPr>
      <w:spacing w:after="0" w:line="240" w:lineRule="auto"/>
      <w:jc w:val="center"/>
    </w:pPr>
    <w:rPr>
      <w:rFonts w:ascii="Calibri" w:hAnsi="Calibri" w:cs="Calibri"/>
      <w:sz w:val="18"/>
      <w:szCs w:val="18"/>
    </w:rPr>
  </w:style>
  <w:style w:type="paragraph" w:customStyle="1" w:styleId="AdminPreviousYearDataGrey">
    <w:name w:val="Admin Previous Year Data Grey"/>
    <w:qFormat/>
    <w:rsid w:val="00330D8C"/>
    <w:pPr>
      <w:spacing w:after="0" w:line="240" w:lineRule="auto"/>
      <w:jc w:val="right"/>
    </w:pPr>
    <w:rPr>
      <w:rFonts w:cstheme="minorHAnsi"/>
      <w:sz w:val="18"/>
      <w:szCs w:val="18"/>
      <w:lang w:eastAsia="en-AU"/>
    </w:rPr>
  </w:style>
  <w:style w:type="paragraph" w:customStyle="1" w:styleId="AdminPreviousYearHeaderGrey">
    <w:name w:val="Admin Previous Year Header Grey"/>
    <w:qFormat/>
    <w:rsid w:val="00330D8C"/>
    <w:pPr>
      <w:spacing w:after="0" w:line="240" w:lineRule="auto"/>
      <w:jc w:val="right"/>
    </w:pPr>
    <w:rPr>
      <w:rFonts w:ascii="Calibri" w:hAnsi="Calibri" w:cs="Calibri"/>
      <w:sz w:val="18"/>
      <w:szCs w:val="18"/>
    </w:rPr>
  </w:style>
  <w:style w:type="paragraph" w:customStyle="1" w:styleId="AdminPreviousYearHeadersGrey">
    <w:name w:val="Admin Previous Year Headers Grey"/>
    <w:basedOn w:val="AdminCurrentYearHeadersGrey"/>
    <w:qFormat/>
    <w:rsid w:val="00330D8C"/>
  </w:style>
  <w:style w:type="paragraph" w:customStyle="1" w:styleId="AdminPreviousYearTotalGrey">
    <w:name w:val="Admin Previous Year Total Grey"/>
    <w:qFormat/>
    <w:rsid w:val="00330D8C"/>
    <w:pPr>
      <w:spacing w:after="0" w:line="240" w:lineRule="auto"/>
      <w:jc w:val="right"/>
    </w:pPr>
    <w:rPr>
      <w:rFonts w:cstheme="minorHAnsi"/>
      <w:sz w:val="18"/>
      <w:szCs w:val="18"/>
      <w:lang w:eastAsia="en-AU"/>
    </w:rPr>
  </w:style>
  <w:style w:type="paragraph" w:customStyle="1" w:styleId="AdminRowTextGrey">
    <w:name w:val="Admin Row Text Grey"/>
    <w:qFormat/>
    <w:rsid w:val="00330D8C"/>
    <w:pPr>
      <w:spacing w:after="0" w:line="240" w:lineRule="auto"/>
    </w:pPr>
    <w:rPr>
      <w:rFonts w:cstheme="minorHAnsi"/>
      <w:sz w:val="18"/>
      <w:szCs w:val="18"/>
      <w:lang w:eastAsia="en-AU"/>
    </w:rPr>
  </w:style>
  <w:style w:type="paragraph" w:customStyle="1" w:styleId="DeptRowText">
    <w:name w:val="Dept Row Text"/>
    <w:qFormat/>
    <w:rsid w:val="00330D8C"/>
    <w:pPr>
      <w:spacing w:after="0" w:line="240" w:lineRule="auto"/>
    </w:pPr>
    <w:rPr>
      <w:rFonts w:cstheme="minorHAnsi"/>
      <w:sz w:val="18"/>
      <w:szCs w:val="18"/>
      <w:lang w:eastAsia="en-AU"/>
    </w:rPr>
  </w:style>
  <w:style w:type="paragraph" w:customStyle="1" w:styleId="DeptRowTextIndent">
    <w:name w:val="Dept Row Text Indent"/>
    <w:basedOn w:val="DeptRowText"/>
    <w:qFormat/>
    <w:rsid w:val="00330D8C"/>
    <w:pPr>
      <w:ind w:left="204"/>
    </w:pPr>
  </w:style>
  <w:style w:type="paragraph" w:customStyle="1" w:styleId="AdminRowTextIndent">
    <w:name w:val="Admin Row Text Indent"/>
    <w:basedOn w:val="DeptRowTextIndent"/>
    <w:qFormat/>
    <w:rsid w:val="00330D8C"/>
  </w:style>
  <w:style w:type="paragraph" w:customStyle="1" w:styleId="AdminRowTextIndentGrey">
    <w:name w:val="Admin Row Text Indent Grey"/>
    <w:basedOn w:val="AdminRowTextIndent"/>
    <w:qFormat/>
    <w:rsid w:val="00330D8C"/>
  </w:style>
  <w:style w:type="paragraph" w:customStyle="1" w:styleId="AdminRowTextNormal">
    <w:name w:val="Admin Row Text Normal"/>
    <w:qFormat/>
    <w:rsid w:val="00330D8C"/>
    <w:pPr>
      <w:spacing w:after="0" w:line="240" w:lineRule="auto"/>
    </w:pPr>
    <w:rPr>
      <w:rFonts w:ascii="Calibri" w:hAnsi="Calibri" w:cs="Calibri"/>
      <w:sz w:val="18"/>
      <w:szCs w:val="18"/>
    </w:rPr>
  </w:style>
  <w:style w:type="paragraph" w:customStyle="1" w:styleId="AdminRowTextSubTotal">
    <w:name w:val="Admin Row Text SubTotal"/>
    <w:qFormat/>
    <w:rsid w:val="00330D8C"/>
    <w:pPr>
      <w:spacing w:after="0" w:line="240" w:lineRule="auto"/>
    </w:pPr>
    <w:rPr>
      <w:rFonts w:cstheme="minorHAnsi"/>
      <w:sz w:val="18"/>
      <w:szCs w:val="18"/>
      <w:lang w:eastAsia="en-AU"/>
    </w:rPr>
  </w:style>
  <w:style w:type="paragraph" w:customStyle="1" w:styleId="AdminRowTextTotal">
    <w:name w:val="Admin Row Text Total"/>
    <w:basedOn w:val="Normal"/>
    <w:qFormat/>
    <w:rsid w:val="00330D8C"/>
    <w:rPr>
      <w:rFonts w:cs="Calibri"/>
      <w:b/>
      <w:bCs/>
      <w:i/>
      <w:iCs/>
      <w:szCs w:val="18"/>
    </w:rPr>
  </w:style>
  <w:style w:type="paragraph" w:styleId="BalloonText">
    <w:name w:val="Balloon Text"/>
    <w:basedOn w:val="Normal"/>
    <w:link w:val="BalloonTextChar"/>
    <w:semiHidden/>
    <w:rsid w:val="00330D8C"/>
    <w:rPr>
      <w:rFonts w:ascii="Tahoma" w:hAnsi="Tahoma" w:cs="Tahoma"/>
      <w:sz w:val="16"/>
      <w:szCs w:val="16"/>
    </w:rPr>
  </w:style>
  <w:style w:type="character" w:customStyle="1" w:styleId="BalloonTextChar">
    <w:name w:val="Balloon Text Char"/>
    <w:basedOn w:val="DefaultParagraphFont"/>
    <w:link w:val="BalloonText"/>
    <w:rsid w:val="00330D8C"/>
    <w:rPr>
      <w:rFonts w:ascii="Tahoma" w:hAnsi="Tahoma" w:cs="Tahoma"/>
      <w:sz w:val="16"/>
      <w:szCs w:val="16"/>
    </w:rPr>
  </w:style>
  <w:style w:type="paragraph" w:customStyle="1" w:styleId="BulletKPMG">
    <w:name w:val="Bullet KPMG"/>
    <w:basedOn w:val="Normal"/>
    <w:uiPriority w:val="99"/>
    <w:rsid w:val="00330D8C"/>
    <w:pPr>
      <w:tabs>
        <w:tab w:val="num" w:pos="473"/>
      </w:tabs>
      <w:spacing w:before="100" w:after="100" w:line="240" w:lineRule="auto"/>
      <w:ind w:left="357" w:hanging="357"/>
    </w:pPr>
    <w:rPr>
      <w:sz w:val="20"/>
      <w:lang w:val="en-US" w:eastAsia="en-AU"/>
    </w:rPr>
  </w:style>
  <w:style w:type="paragraph" w:styleId="Caption">
    <w:name w:val="caption"/>
    <w:basedOn w:val="Normal"/>
    <w:next w:val="Normal"/>
    <w:qFormat/>
    <w:rsid w:val="00330D8C"/>
    <w:pPr>
      <w:spacing w:after="200" w:line="240" w:lineRule="auto"/>
    </w:pPr>
    <w:rPr>
      <w:b/>
      <w:bCs/>
      <w:color w:val="4F81BD" w:themeColor="accent1"/>
      <w:szCs w:val="18"/>
    </w:rPr>
  </w:style>
  <w:style w:type="character" w:styleId="CommentReference">
    <w:name w:val="annotation reference"/>
    <w:basedOn w:val="DefaultParagraphFont"/>
    <w:uiPriority w:val="99"/>
    <w:semiHidden/>
    <w:rsid w:val="00330D8C"/>
    <w:rPr>
      <w:sz w:val="16"/>
      <w:szCs w:val="16"/>
    </w:rPr>
  </w:style>
  <w:style w:type="paragraph" w:styleId="CommentText">
    <w:name w:val="annotation text"/>
    <w:basedOn w:val="Normal"/>
    <w:link w:val="CommentTextChar"/>
    <w:uiPriority w:val="99"/>
    <w:semiHidden/>
    <w:rsid w:val="00330D8C"/>
    <w:rPr>
      <w:sz w:val="20"/>
    </w:rPr>
  </w:style>
  <w:style w:type="character" w:customStyle="1" w:styleId="CommentTextChar">
    <w:name w:val="Comment Text Char"/>
    <w:basedOn w:val="DefaultParagraphFont"/>
    <w:link w:val="CommentText"/>
    <w:uiPriority w:val="99"/>
    <w:rsid w:val="00330D8C"/>
    <w:rPr>
      <w:rFonts w:ascii="Calibri" w:hAnsi="Calibri" w:cs="Times New Roman"/>
      <w:sz w:val="20"/>
      <w:szCs w:val="20"/>
    </w:rPr>
  </w:style>
  <w:style w:type="paragraph" w:styleId="CommentSubject">
    <w:name w:val="annotation subject"/>
    <w:basedOn w:val="CommentText"/>
    <w:next w:val="CommentText"/>
    <w:link w:val="CommentSubjectChar"/>
    <w:semiHidden/>
    <w:rsid w:val="00330D8C"/>
    <w:rPr>
      <w:b/>
      <w:bCs/>
    </w:rPr>
  </w:style>
  <w:style w:type="character" w:customStyle="1" w:styleId="CommentSubjectChar">
    <w:name w:val="Comment Subject Char"/>
    <w:basedOn w:val="CommentTextChar"/>
    <w:link w:val="CommentSubject"/>
    <w:rsid w:val="00330D8C"/>
    <w:rPr>
      <w:rFonts w:ascii="Calibri" w:hAnsi="Calibri" w:cs="Times New Roman"/>
      <w:b/>
      <w:bCs/>
      <w:sz w:val="20"/>
      <w:szCs w:val="20"/>
    </w:rPr>
  </w:style>
  <w:style w:type="paragraph" w:customStyle="1" w:styleId="NotesHeading-Level1">
    <w:name w:val="Notes Heading - Level 1"/>
    <w:basedOn w:val="Normal"/>
    <w:link w:val="NotesHeading-Level1Char"/>
    <w:qFormat/>
    <w:rsid w:val="00330D8C"/>
    <w:pPr>
      <w:numPr>
        <w:numId w:val="13"/>
      </w:numPr>
      <w:ind w:right="607"/>
      <w:outlineLvl w:val="0"/>
    </w:pPr>
    <w:rPr>
      <w:rFonts w:asciiTheme="minorHAnsi" w:hAnsiTheme="minorHAnsi"/>
      <w:b/>
      <w:sz w:val="20"/>
    </w:rPr>
  </w:style>
  <w:style w:type="character" w:customStyle="1" w:styleId="NotesHeading-Level1Char">
    <w:name w:val="Notes Heading - Level 1 Char"/>
    <w:basedOn w:val="DefaultParagraphFont"/>
    <w:link w:val="NotesHeading-Level1"/>
    <w:locked/>
    <w:rsid w:val="00330D8C"/>
    <w:rPr>
      <w:rFonts w:cs="Times New Roman"/>
      <w:b/>
      <w:sz w:val="20"/>
      <w:szCs w:val="20"/>
    </w:rPr>
  </w:style>
  <w:style w:type="paragraph" w:customStyle="1" w:styleId="ContinuedNotesHeading-Level1">
    <w:name w:val="Continued Notes Heading - Level 1"/>
    <w:basedOn w:val="NotesHeading-Level1"/>
    <w:qFormat/>
    <w:rsid w:val="00330D8C"/>
    <w:pPr>
      <w:numPr>
        <w:numId w:val="0"/>
      </w:numPr>
      <w:spacing w:line="240" w:lineRule="auto"/>
      <w:outlineLvl w:val="9"/>
    </w:pPr>
  </w:style>
  <w:style w:type="numbering" w:customStyle="1" w:styleId="CurrentList1">
    <w:name w:val="Current List1"/>
    <w:rsid w:val="00330D8C"/>
    <w:pPr>
      <w:numPr>
        <w:numId w:val="10"/>
      </w:numPr>
    </w:pPr>
  </w:style>
  <w:style w:type="numbering" w:customStyle="1" w:styleId="CurrentList2">
    <w:name w:val="Current List2"/>
    <w:rsid w:val="00330D8C"/>
    <w:pPr>
      <w:numPr>
        <w:numId w:val="11"/>
      </w:numPr>
    </w:pPr>
  </w:style>
  <w:style w:type="paragraph" w:customStyle="1" w:styleId="CurrentYearDataTotalLevel1">
    <w:name w:val="Current Year Data Total Level 1"/>
    <w:basedOn w:val="Normal"/>
    <w:next w:val="Normal"/>
    <w:autoRedefine/>
    <w:uiPriority w:val="99"/>
    <w:rsid w:val="00330D8C"/>
    <w:pPr>
      <w:pBdr>
        <w:top w:val="single" w:sz="4" w:space="1" w:color="auto"/>
        <w:bottom w:val="double" w:sz="6" w:space="1" w:color="auto"/>
      </w:pBdr>
      <w:jc w:val="right"/>
    </w:pPr>
    <w:rPr>
      <w:b/>
      <w:szCs w:val="16"/>
    </w:rPr>
  </w:style>
  <w:style w:type="paragraph" w:customStyle="1" w:styleId="CurrentYearDataTotalLevel2">
    <w:name w:val="Current Year Data Total Level 2"/>
    <w:basedOn w:val="Normal"/>
    <w:link w:val="CurrentYearDataTotalLevel2Char"/>
    <w:uiPriority w:val="99"/>
    <w:rsid w:val="00330D8C"/>
    <w:pPr>
      <w:pBdr>
        <w:top w:val="single" w:sz="4" w:space="1" w:color="auto"/>
        <w:bottom w:val="single" w:sz="4" w:space="1" w:color="auto"/>
      </w:pBdr>
      <w:jc w:val="right"/>
    </w:pPr>
    <w:rPr>
      <w:b/>
    </w:rPr>
  </w:style>
  <w:style w:type="character" w:customStyle="1" w:styleId="CurrentYearDataTotalLevel2Char">
    <w:name w:val="Current Year Data Total Level 2 Char"/>
    <w:basedOn w:val="DefaultParagraphFont"/>
    <w:link w:val="CurrentYearDataTotalLevel2"/>
    <w:uiPriority w:val="99"/>
    <w:locked/>
    <w:rsid w:val="00330D8C"/>
    <w:rPr>
      <w:rFonts w:ascii="Calibri" w:hAnsi="Calibri" w:cs="Times New Roman"/>
      <w:b/>
      <w:sz w:val="18"/>
      <w:szCs w:val="20"/>
    </w:rPr>
  </w:style>
  <w:style w:type="paragraph" w:customStyle="1" w:styleId="Default">
    <w:name w:val="Default"/>
    <w:rsid w:val="00330D8C"/>
    <w:pPr>
      <w:autoSpaceDE w:val="0"/>
      <w:autoSpaceDN w:val="0"/>
      <w:adjustRightInd w:val="0"/>
      <w:spacing w:after="0" w:line="240" w:lineRule="auto"/>
    </w:pPr>
    <w:rPr>
      <w:rFonts w:ascii="Arial" w:hAnsi="Arial" w:cs="Arial"/>
      <w:color w:val="000000"/>
      <w:sz w:val="24"/>
      <w:szCs w:val="24"/>
      <w:lang w:eastAsia="en-AU"/>
    </w:rPr>
  </w:style>
  <w:style w:type="paragraph" w:customStyle="1" w:styleId="DeptRowTextTotal">
    <w:name w:val="Dept Row Text Total"/>
    <w:qFormat/>
    <w:rsid w:val="00330D8C"/>
    <w:pPr>
      <w:spacing w:after="0" w:line="240" w:lineRule="auto"/>
    </w:pPr>
    <w:rPr>
      <w:rFonts w:cstheme="minorHAnsi"/>
      <w:b/>
      <w:i/>
      <w:sz w:val="18"/>
      <w:szCs w:val="18"/>
    </w:rPr>
  </w:style>
  <w:style w:type="paragraph" w:customStyle="1" w:styleId="DeptBlankBlueShade">
    <w:name w:val="Dept Blank Blue Shade"/>
    <w:basedOn w:val="DeptRowTextTotal"/>
    <w:next w:val="12line"/>
    <w:qFormat/>
    <w:rsid w:val="00330D8C"/>
  </w:style>
  <w:style w:type="paragraph" w:customStyle="1" w:styleId="DeptCurrentYearData">
    <w:name w:val="Dept Current Year Data"/>
    <w:qFormat/>
    <w:rsid w:val="00330D8C"/>
    <w:pPr>
      <w:spacing w:after="0" w:line="240" w:lineRule="auto"/>
      <w:jc w:val="right"/>
    </w:pPr>
    <w:rPr>
      <w:rFonts w:cstheme="minorHAnsi"/>
      <w:b/>
      <w:sz w:val="18"/>
      <w:szCs w:val="18"/>
      <w:lang w:eastAsia="en-AU"/>
    </w:rPr>
  </w:style>
  <w:style w:type="paragraph" w:customStyle="1" w:styleId="DeptCurrentYearHeader">
    <w:name w:val="Dept Current Year Header"/>
    <w:basedOn w:val="Normal"/>
    <w:qFormat/>
    <w:rsid w:val="00330D8C"/>
    <w:pPr>
      <w:spacing w:line="240" w:lineRule="auto"/>
      <w:jc w:val="right"/>
    </w:pPr>
    <w:rPr>
      <w:rFonts w:asciiTheme="minorHAnsi" w:hAnsiTheme="minorHAnsi" w:cstheme="minorHAnsi"/>
      <w:b/>
      <w:szCs w:val="18"/>
      <w:lang w:eastAsia="en-AU"/>
    </w:rPr>
  </w:style>
  <w:style w:type="paragraph" w:customStyle="1" w:styleId="DeptCurrentYearSubTotal">
    <w:name w:val="Dept Current Year SubTotal"/>
    <w:qFormat/>
    <w:rsid w:val="00330D8C"/>
    <w:pPr>
      <w:spacing w:after="0" w:line="240" w:lineRule="auto"/>
      <w:jc w:val="right"/>
    </w:pPr>
    <w:rPr>
      <w:rFonts w:cstheme="minorHAnsi"/>
      <w:b/>
      <w:sz w:val="18"/>
      <w:szCs w:val="18"/>
      <w:lang w:eastAsia="en-AU"/>
    </w:rPr>
  </w:style>
  <w:style w:type="paragraph" w:customStyle="1" w:styleId="DeptCurrentYearTotal">
    <w:name w:val="Dept Current Year Total"/>
    <w:qFormat/>
    <w:rsid w:val="00330D8C"/>
    <w:pPr>
      <w:spacing w:after="0" w:line="240" w:lineRule="auto"/>
      <w:jc w:val="right"/>
    </w:pPr>
    <w:rPr>
      <w:rFonts w:cstheme="minorHAnsi"/>
      <w:b/>
      <w:sz w:val="18"/>
      <w:szCs w:val="18"/>
      <w:lang w:eastAsia="en-AU"/>
    </w:rPr>
  </w:style>
  <w:style w:type="paragraph" w:customStyle="1" w:styleId="DeptHeaderCentered">
    <w:name w:val="Dept Header Centered"/>
    <w:qFormat/>
    <w:rsid w:val="00330D8C"/>
    <w:pPr>
      <w:spacing w:after="0" w:line="240" w:lineRule="auto"/>
      <w:jc w:val="center"/>
    </w:pPr>
    <w:rPr>
      <w:rFonts w:cstheme="minorHAnsi"/>
      <w:b/>
      <w:sz w:val="18"/>
      <w:szCs w:val="18"/>
      <w:lang w:eastAsia="en-AU"/>
    </w:rPr>
  </w:style>
  <w:style w:type="paragraph" w:customStyle="1" w:styleId="DeptManualEntryBoldGreyShade">
    <w:name w:val="Dept Manual Entry Bold Grey Shade"/>
    <w:qFormat/>
    <w:rsid w:val="00330D8C"/>
    <w:pPr>
      <w:spacing w:after="0" w:line="240" w:lineRule="auto"/>
      <w:jc w:val="right"/>
    </w:pPr>
    <w:rPr>
      <w:rFonts w:ascii="Calibri" w:hAnsi="Calibri" w:cs="Calibri"/>
      <w:b/>
      <w:bCs/>
      <w:sz w:val="18"/>
      <w:szCs w:val="18"/>
    </w:rPr>
  </w:style>
  <w:style w:type="paragraph" w:customStyle="1" w:styleId="DeptManualEntryCell">
    <w:name w:val="Dept Manual Entry Cell"/>
    <w:basedOn w:val="Normal"/>
    <w:qFormat/>
    <w:rsid w:val="00330D8C"/>
    <w:pPr>
      <w:spacing w:line="240" w:lineRule="auto"/>
      <w:jc w:val="right"/>
    </w:pPr>
    <w:rPr>
      <w:rFonts w:asciiTheme="minorHAnsi" w:hAnsiTheme="minorHAnsi" w:cstheme="minorHAnsi"/>
      <w:b/>
      <w:szCs w:val="18"/>
      <w:lang w:eastAsia="en-AU"/>
    </w:rPr>
  </w:style>
  <w:style w:type="paragraph" w:customStyle="1" w:styleId="DeptManualEntryCellUnBold">
    <w:name w:val="Dept Manual Entry Cell UnBold"/>
    <w:basedOn w:val="DeptManualEntryCell"/>
    <w:qFormat/>
    <w:rsid w:val="00330D8C"/>
    <w:rPr>
      <w:b w:val="0"/>
    </w:rPr>
  </w:style>
  <w:style w:type="paragraph" w:customStyle="1" w:styleId="DeptManualEntryCellUnboldGreyShade">
    <w:name w:val="Dept Manual Entry Cell Unbold Grey Shade"/>
    <w:basedOn w:val="DeptManualEntryBoldGreyShade"/>
    <w:qFormat/>
    <w:rsid w:val="00330D8C"/>
    <w:rPr>
      <w:b w:val="0"/>
    </w:rPr>
  </w:style>
  <w:style w:type="paragraph" w:customStyle="1" w:styleId="DeptNoteHeadingUnderlined">
    <w:name w:val="Dept Note Heading Underlined"/>
    <w:qFormat/>
    <w:rsid w:val="00330D8C"/>
    <w:pPr>
      <w:spacing w:after="0" w:line="240" w:lineRule="auto"/>
    </w:pPr>
    <w:rPr>
      <w:rFonts w:cstheme="minorHAnsi"/>
      <w:b/>
      <w:sz w:val="18"/>
      <w:szCs w:val="18"/>
      <w:u w:val="single"/>
      <w:lang w:eastAsia="en-AU"/>
    </w:rPr>
  </w:style>
  <w:style w:type="paragraph" w:customStyle="1" w:styleId="DeptNoteReference">
    <w:name w:val="Dept Note Reference"/>
    <w:basedOn w:val="AdminCurrentYearSubTotal"/>
    <w:qFormat/>
    <w:rsid w:val="00330D8C"/>
    <w:pPr>
      <w:jc w:val="center"/>
    </w:pPr>
    <w:rPr>
      <w:b w:val="0"/>
    </w:rPr>
  </w:style>
  <w:style w:type="paragraph" w:customStyle="1" w:styleId="DeptPreviousYearData">
    <w:name w:val="Dept Previous Year Data"/>
    <w:qFormat/>
    <w:rsid w:val="00330D8C"/>
    <w:pPr>
      <w:spacing w:after="0" w:line="240" w:lineRule="auto"/>
      <w:jc w:val="right"/>
    </w:pPr>
    <w:rPr>
      <w:rFonts w:cstheme="minorHAnsi"/>
      <w:sz w:val="18"/>
      <w:szCs w:val="18"/>
      <w:lang w:eastAsia="en-AU"/>
    </w:rPr>
  </w:style>
  <w:style w:type="paragraph" w:customStyle="1" w:styleId="DeptPreviousYearHeader">
    <w:name w:val="Dept Previous Year Header"/>
    <w:qFormat/>
    <w:rsid w:val="00330D8C"/>
    <w:pPr>
      <w:spacing w:after="0" w:line="240" w:lineRule="auto"/>
      <w:jc w:val="right"/>
    </w:pPr>
    <w:rPr>
      <w:rFonts w:cstheme="minorHAnsi"/>
      <w:sz w:val="18"/>
      <w:szCs w:val="18"/>
      <w:lang w:eastAsia="en-AU"/>
    </w:rPr>
  </w:style>
  <w:style w:type="paragraph" w:customStyle="1" w:styleId="DeptPreviousYearSubTotal">
    <w:name w:val="Dept Previous Year SubTotal"/>
    <w:qFormat/>
    <w:rsid w:val="00330D8C"/>
    <w:pPr>
      <w:spacing w:after="0" w:line="240" w:lineRule="auto"/>
      <w:jc w:val="right"/>
    </w:pPr>
    <w:rPr>
      <w:rFonts w:cstheme="minorHAnsi"/>
      <w:sz w:val="18"/>
      <w:szCs w:val="18"/>
      <w:lang w:eastAsia="en-AU"/>
    </w:rPr>
  </w:style>
  <w:style w:type="paragraph" w:customStyle="1" w:styleId="DeptPreviousYearTotal">
    <w:name w:val="Dept Previous Year Total"/>
    <w:qFormat/>
    <w:rsid w:val="00330D8C"/>
    <w:pPr>
      <w:spacing w:after="0" w:line="240" w:lineRule="auto"/>
      <w:jc w:val="right"/>
    </w:pPr>
    <w:rPr>
      <w:rFonts w:cstheme="minorHAnsi"/>
      <w:sz w:val="18"/>
      <w:szCs w:val="18"/>
      <w:lang w:eastAsia="en-AU"/>
    </w:rPr>
  </w:style>
  <w:style w:type="character" w:customStyle="1" w:styleId="Heading1Char">
    <w:name w:val="Heading 1 Char"/>
    <w:aliases w:val="Heading 1 do not use Char,Section heading 1 Char,Front Page Title Char,1. Char,Para 1 Char,Para 11 Char"/>
    <w:basedOn w:val="DefaultParagraphFont"/>
    <w:link w:val="Heading1"/>
    <w:rsid w:val="00330D8C"/>
    <w:rPr>
      <w:rFonts w:ascii="Arial" w:eastAsiaTheme="minorEastAsia" w:hAnsi="Arial" w:cs="Arial"/>
      <w:kern w:val="32"/>
      <w:sz w:val="32"/>
      <w:szCs w:val="32"/>
    </w:rPr>
  </w:style>
  <w:style w:type="paragraph" w:customStyle="1" w:styleId="DeptRowTextDoubleIndent">
    <w:name w:val="Dept Row Text Double Indent"/>
    <w:basedOn w:val="DeptNoteReference"/>
    <w:qFormat/>
    <w:rsid w:val="00330D8C"/>
    <w:pPr>
      <w:tabs>
        <w:tab w:val="left" w:pos="204"/>
      </w:tabs>
      <w:ind w:left="487"/>
      <w:jc w:val="left"/>
    </w:pPr>
  </w:style>
  <w:style w:type="character" w:customStyle="1" w:styleId="Heading2Char">
    <w:name w:val="Heading 2 Char"/>
    <w:aliases w:val="Heading 2 do not use Char,Front Page List of Sections Char"/>
    <w:basedOn w:val="DefaultParagraphFont"/>
    <w:link w:val="Heading2"/>
    <w:rsid w:val="00330D8C"/>
    <w:rPr>
      <w:rFonts w:ascii="Arial" w:eastAsiaTheme="minorEastAsia" w:hAnsi="Arial" w:cs="Arial"/>
      <w:i/>
      <w:iCs/>
      <w:sz w:val="28"/>
      <w:szCs w:val="28"/>
    </w:rPr>
  </w:style>
  <w:style w:type="character" w:customStyle="1" w:styleId="Heading3Char">
    <w:name w:val="Heading 3 Char"/>
    <w:aliases w:val="Heading 3 do not use Char"/>
    <w:basedOn w:val="DefaultParagraphFont"/>
    <w:link w:val="Heading3"/>
    <w:rsid w:val="00330D8C"/>
    <w:rPr>
      <w:rFonts w:ascii="Arial" w:eastAsiaTheme="minorEastAsia" w:hAnsi="Arial" w:cs="Arial"/>
      <w:sz w:val="26"/>
      <w:szCs w:val="26"/>
    </w:rPr>
  </w:style>
  <w:style w:type="character" w:customStyle="1" w:styleId="Heading4Char">
    <w:name w:val="Heading 4 Char"/>
    <w:basedOn w:val="DefaultParagraphFont"/>
    <w:link w:val="Heading4"/>
    <w:rsid w:val="00330D8C"/>
    <w:rPr>
      <w:rFonts w:ascii="Calibri" w:eastAsiaTheme="minorEastAsia" w:hAnsi="Calibri" w:cs="Times New Roman"/>
      <w:sz w:val="18"/>
      <w:szCs w:val="20"/>
    </w:rPr>
  </w:style>
  <w:style w:type="character" w:customStyle="1" w:styleId="Heading5Char">
    <w:name w:val="Heading 5 Char"/>
    <w:basedOn w:val="DefaultParagraphFont"/>
    <w:link w:val="Heading5"/>
    <w:rsid w:val="00330D8C"/>
    <w:rPr>
      <w:rFonts w:ascii="Calibri" w:eastAsiaTheme="minorEastAsia" w:hAnsi="Calibri" w:cs="Times New Roman"/>
      <w:sz w:val="18"/>
      <w:szCs w:val="20"/>
    </w:rPr>
  </w:style>
  <w:style w:type="character" w:customStyle="1" w:styleId="Heading6Char">
    <w:name w:val="Heading 6 Char"/>
    <w:basedOn w:val="DefaultParagraphFont"/>
    <w:link w:val="Heading6"/>
    <w:rsid w:val="00330D8C"/>
    <w:rPr>
      <w:rFonts w:ascii="Calibri" w:eastAsiaTheme="minorEastAsia" w:hAnsi="Calibri" w:cs="Times New Roman"/>
      <w:sz w:val="18"/>
      <w:szCs w:val="20"/>
    </w:rPr>
  </w:style>
  <w:style w:type="character" w:customStyle="1" w:styleId="Heading7Char">
    <w:name w:val="Heading 7 Char"/>
    <w:aliases w:val="Section Sub-Heading 4 Char"/>
    <w:basedOn w:val="DefaultParagraphFont"/>
    <w:link w:val="Heading7"/>
    <w:rsid w:val="00330D8C"/>
    <w:rPr>
      <w:rFonts w:ascii="Calibri" w:hAnsi="Calibri" w:cs="Times New Roman"/>
      <w:sz w:val="18"/>
      <w:szCs w:val="20"/>
    </w:rPr>
  </w:style>
  <w:style w:type="character" w:customStyle="1" w:styleId="Heading8Char">
    <w:name w:val="Heading 8 Char"/>
    <w:basedOn w:val="DefaultParagraphFont"/>
    <w:link w:val="Heading8"/>
    <w:rsid w:val="00330D8C"/>
    <w:rPr>
      <w:rFonts w:ascii="Calibri" w:hAnsi="Calibri" w:cs="Times New Roman"/>
      <w:sz w:val="18"/>
      <w:szCs w:val="20"/>
    </w:rPr>
  </w:style>
  <w:style w:type="paragraph" w:customStyle="1" w:styleId="DeptRowTextHeader">
    <w:name w:val="Dept Row Text Header"/>
    <w:qFormat/>
    <w:rsid w:val="00330D8C"/>
    <w:pPr>
      <w:spacing w:after="0" w:line="240" w:lineRule="auto"/>
    </w:pPr>
    <w:rPr>
      <w:rFonts w:cstheme="minorHAnsi"/>
      <w:b/>
      <w:sz w:val="18"/>
      <w:szCs w:val="18"/>
      <w:lang w:eastAsia="en-AU"/>
    </w:rPr>
  </w:style>
  <w:style w:type="paragraph" w:customStyle="1" w:styleId="DeptRowTextSubTotal">
    <w:name w:val="Dept Row Text SubTotal"/>
    <w:basedOn w:val="Normal"/>
    <w:qFormat/>
    <w:rsid w:val="00330D8C"/>
    <w:rPr>
      <w:rFonts w:cs="Calibri"/>
      <w:b/>
      <w:bCs/>
      <w:szCs w:val="18"/>
    </w:rPr>
  </w:style>
  <w:style w:type="paragraph" w:styleId="DocumentMap">
    <w:name w:val="Document Map"/>
    <w:basedOn w:val="Normal"/>
    <w:link w:val="DocumentMapChar"/>
    <w:semiHidden/>
    <w:rsid w:val="00330D8C"/>
    <w:pPr>
      <w:shd w:val="clear" w:color="auto" w:fill="000080"/>
      <w:spacing w:line="240" w:lineRule="auto"/>
    </w:pPr>
    <w:rPr>
      <w:rFonts w:ascii="Tahoma" w:hAnsi="Tahoma"/>
      <w:sz w:val="20"/>
      <w:lang w:eastAsia="en-AU"/>
    </w:rPr>
  </w:style>
  <w:style w:type="character" w:customStyle="1" w:styleId="DocumentMapChar">
    <w:name w:val="Document Map Char"/>
    <w:basedOn w:val="DefaultParagraphFont"/>
    <w:link w:val="DocumentMap"/>
    <w:rsid w:val="00330D8C"/>
    <w:rPr>
      <w:rFonts w:ascii="Tahoma" w:hAnsi="Tahoma" w:cs="Times New Roman"/>
      <w:sz w:val="20"/>
      <w:szCs w:val="20"/>
      <w:shd w:val="clear" w:color="auto" w:fill="000080"/>
      <w:lang w:eastAsia="en-AU"/>
    </w:rPr>
  </w:style>
  <w:style w:type="character" w:styleId="EndnoteReference">
    <w:name w:val="endnote reference"/>
    <w:basedOn w:val="DefaultParagraphFont"/>
    <w:rsid w:val="00330D8C"/>
    <w:rPr>
      <w:vertAlign w:val="superscript"/>
    </w:rPr>
  </w:style>
  <w:style w:type="paragraph" w:styleId="EndnoteText">
    <w:name w:val="endnote text"/>
    <w:basedOn w:val="Normal"/>
    <w:link w:val="EndnoteTextChar"/>
    <w:rsid w:val="00330D8C"/>
    <w:pPr>
      <w:spacing w:line="240" w:lineRule="auto"/>
    </w:pPr>
    <w:rPr>
      <w:sz w:val="20"/>
    </w:rPr>
  </w:style>
  <w:style w:type="character" w:customStyle="1" w:styleId="EndnoteTextChar">
    <w:name w:val="Endnote Text Char"/>
    <w:basedOn w:val="DefaultParagraphFont"/>
    <w:link w:val="EndnoteText"/>
    <w:rsid w:val="00330D8C"/>
    <w:rPr>
      <w:rFonts w:ascii="Calibri" w:hAnsi="Calibri" w:cs="Times New Roman"/>
      <w:sz w:val="20"/>
      <w:szCs w:val="20"/>
    </w:rPr>
  </w:style>
  <w:style w:type="character" w:styleId="FollowedHyperlink">
    <w:name w:val="FollowedHyperlink"/>
    <w:basedOn w:val="DefaultParagraphFont"/>
    <w:uiPriority w:val="99"/>
    <w:rsid w:val="00330D8C"/>
    <w:rPr>
      <w:color w:val="800080" w:themeColor="followedHyperlink"/>
      <w:u w:val="single"/>
    </w:rPr>
  </w:style>
  <w:style w:type="paragraph" w:customStyle="1" w:styleId="font5">
    <w:name w:val="font5"/>
    <w:basedOn w:val="Normal"/>
    <w:rsid w:val="00330D8C"/>
    <w:pPr>
      <w:spacing w:before="100" w:beforeAutospacing="1" w:after="100" w:afterAutospacing="1" w:line="240" w:lineRule="auto"/>
    </w:pPr>
    <w:rPr>
      <w:b/>
      <w:bCs/>
      <w:szCs w:val="18"/>
      <w:lang w:eastAsia="en-AU"/>
    </w:rPr>
  </w:style>
  <w:style w:type="paragraph" w:customStyle="1" w:styleId="font6">
    <w:name w:val="font6"/>
    <w:basedOn w:val="Normal"/>
    <w:rsid w:val="00330D8C"/>
    <w:pPr>
      <w:spacing w:before="100" w:beforeAutospacing="1" w:after="100" w:afterAutospacing="1" w:line="240" w:lineRule="auto"/>
    </w:pPr>
    <w:rPr>
      <w:szCs w:val="18"/>
      <w:lang w:eastAsia="en-AU"/>
    </w:rPr>
  </w:style>
  <w:style w:type="paragraph" w:styleId="Footer">
    <w:name w:val="footer"/>
    <w:basedOn w:val="Normal"/>
    <w:link w:val="FooterChar"/>
    <w:rsid w:val="00330D8C"/>
    <w:pPr>
      <w:tabs>
        <w:tab w:val="center" w:pos="4513"/>
        <w:tab w:val="right" w:pos="9026"/>
      </w:tabs>
      <w:spacing w:line="240" w:lineRule="auto"/>
    </w:pPr>
  </w:style>
  <w:style w:type="character" w:customStyle="1" w:styleId="FooterChar">
    <w:name w:val="Footer Char"/>
    <w:basedOn w:val="DefaultParagraphFont"/>
    <w:link w:val="Footer"/>
    <w:rsid w:val="00330D8C"/>
    <w:rPr>
      <w:rFonts w:ascii="Calibri" w:hAnsi="Calibri" w:cs="Times New Roman"/>
      <w:sz w:val="18"/>
      <w:szCs w:val="20"/>
    </w:rPr>
  </w:style>
  <w:style w:type="character" w:styleId="FootnoteReference">
    <w:name w:val="footnote reference"/>
    <w:basedOn w:val="DefaultParagraphFont"/>
    <w:uiPriority w:val="99"/>
    <w:semiHidden/>
    <w:rsid w:val="00330D8C"/>
    <w:rPr>
      <w:vertAlign w:val="superscript"/>
    </w:rPr>
  </w:style>
  <w:style w:type="paragraph" w:styleId="FootnoteText">
    <w:name w:val="footnote text"/>
    <w:basedOn w:val="Normal"/>
    <w:link w:val="FootnoteTextChar"/>
    <w:semiHidden/>
    <w:rsid w:val="00330D8C"/>
    <w:rPr>
      <w:sz w:val="20"/>
    </w:rPr>
  </w:style>
  <w:style w:type="character" w:customStyle="1" w:styleId="FootnoteTextChar">
    <w:name w:val="Footnote Text Char"/>
    <w:basedOn w:val="DefaultParagraphFont"/>
    <w:link w:val="FootnoteText"/>
    <w:rsid w:val="00330D8C"/>
    <w:rPr>
      <w:rFonts w:ascii="Calibri" w:hAnsi="Calibri" w:cs="Times New Roman"/>
      <w:sz w:val="20"/>
      <w:szCs w:val="20"/>
    </w:rPr>
  </w:style>
  <w:style w:type="paragraph" w:styleId="Signature">
    <w:name w:val="Signature"/>
    <w:basedOn w:val="Normal"/>
    <w:link w:val="SignatureChar"/>
    <w:rsid w:val="00330D8C"/>
    <w:pPr>
      <w:spacing w:line="240" w:lineRule="auto"/>
    </w:pPr>
  </w:style>
  <w:style w:type="character" w:customStyle="1" w:styleId="SignatureChar">
    <w:name w:val="Signature Char"/>
    <w:basedOn w:val="DefaultParagraphFont"/>
    <w:link w:val="Signature"/>
    <w:rsid w:val="00330D8C"/>
    <w:rPr>
      <w:rFonts w:ascii="Calibri" w:hAnsi="Calibri" w:cs="Times New Roman"/>
      <w:sz w:val="18"/>
      <w:szCs w:val="20"/>
    </w:rPr>
  </w:style>
  <w:style w:type="paragraph" w:customStyle="1" w:styleId="Graphic">
    <w:name w:val="Graphic"/>
    <w:basedOn w:val="Signature"/>
    <w:rsid w:val="00330D8C"/>
    <w:pPr>
      <w:pBdr>
        <w:top w:val="single" w:sz="4" w:space="1" w:color="auto"/>
        <w:left w:val="single" w:sz="4" w:space="1" w:color="auto"/>
        <w:bottom w:val="single" w:sz="4" w:space="1" w:color="auto"/>
        <w:right w:val="single" w:sz="4" w:space="1" w:color="auto"/>
      </w:pBdr>
      <w:jc w:val="center"/>
    </w:pPr>
  </w:style>
  <w:style w:type="paragraph" w:customStyle="1" w:styleId="GreyShadeTableBreak">
    <w:name w:val="Grey Shade Table Break"/>
    <w:basedOn w:val="Normal"/>
    <w:uiPriority w:val="99"/>
    <w:qFormat/>
    <w:rsid w:val="00330D8C"/>
    <w:pPr>
      <w:shd w:val="clear" w:color="auto" w:fill="D9D9D9" w:themeFill="background1" w:themeFillShade="D9"/>
      <w:tabs>
        <w:tab w:val="left" w:pos="9214"/>
      </w:tabs>
      <w:ind w:right="607"/>
    </w:pPr>
  </w:style>
  <w:style w:type="paragraph" w:customStyle="1" w:styleId="GreyShadeTableBreaknon-Standard">
    <w:name w:val="Grey Shade Table Break non-Standard"/>
    <w:qFormat/>
    <w:rsid w:val="00330D8C"/>
    <w:pPr>
      <w:shd w:val="clear" w:color="auto" w:fill="D9D9D9" w:themeFill="background1" w:themeFillShade="D9"/>
      <w:spacing w:after="0" w:line="240" w:lineRule="auto"/>
      <w:ind w:right="57"/>
    </w:pPr>
    <w:rPr>
      <w:rFonts w:ascii="Times New Roman" w:hAnsi="Times New Roman" w:cs="Times New Roman"/>
      <w:szCs w:val="20"/>
    </w:rPr>
  </w:style>
  <w:style w:type="paragraph" w:styleId="Header">
    <w:name w:val="header"/>
    <w:basedOn w:val="Normal"/>
    <w:link w:val="HeaderChar"/>
    <w:uiPriority w:val="99"/>
    <w:rsid w:val="00330D8C"/>
    <w:pPr>
      <w:tabs>
        <w:tab w:val="center" w:pos="4513"/>
        <w:tab w:val="right" w:pos="9026"/>
      </w:tabs>
      <w:spacing w:line="240" w:lineRule="auto"/>
    </w:pPr>
  </w:style>
  <w:style w:type="character" w:customStyle="1" w:styleId="HeaderChar">
    <w:name w:val="Header Char"/>
    <w:basedOn w:val="DefaultParagraphFont"/>
    <w:link w:val="Header"/>
    <w:uiPriority w:val="99"/>
    <w:rsid w:val="00330D8C"/>
    <w:rPr>
      <w:rFonts w:ascii="Calibri" w:hAnsi="Calibri" w:cs="Times New Roman"/>
      <w:sz w:val="18"/>
      <w:szCs w:val="20"/>
    </w:rPr>
  </w:style>
  <w:style w:type="character" w:customStyle="1" w:styleId="Heading9Char">
    <w:name w:val="Heading 9 Char"/>
    <w:basedOn w:val="DefaultParagraphFont"/>
    <w:link w:val="Heading9"/>
    <w:rsid w:val="00330D8C"/>
    <w:rPr>
      <w:rFonts w:ascii="Calibri" w:hAnsi="Calibri" w:cs="Times New Roman"/>
      <w:sz w:val="18"/>
      <w:szCs w:val="20"/>
    </w:rPr>
  </w:style>
  <w:style w:type="paragraph" w:customStyle="1" w:styleId="Headinga">
    <w:name w:val="Heading a"/>
    <w:basedOn w:val="Normal"/>
    <w:rsid w:val="00330D8C"/>
    <w:pPr>
      <w:spacing w:line="240" w:lineRule="auto"/>
    </w:pPr>
    <w:rPr>
      <w:b/>
      <w:bCs/>
      <w:szCs w:val="18"/>
    </w:rPr>
  </w:style>
  <w:style w:type="character" w:styleId="Hyperlink">
    <w:name w:val="Hyperlink"/>
    <w:basedOn w:val="DefaultParagraphFont"/>
    <w:uiPriority w:val="99"/>
    <w:rsid w:val="00330D8C"/>
    <w:rPr>
      <w:color w:val="0000FF" w:themeColor="hyperlink"/>
      <w:u w:val="single"/>
    </w:rPr>
  </w:style>
  <w:style w:type="paragraph" w:customStyle="1" w:styleId="ItalicLineItem">
    <w:name w:val="Italic Line Item"/>
    <w:basedOn w:val="Normal"/>
    <w:rsid w:val="00330D8C"/>
    <w:pPr>
      <w:tabs>
        <w:tab w:val="left" w:pos="566"/>
      </w:tabs>
      <w:ind w:left="284" w:right="113"/>
      <w:jc w:val="both"/>
    </w:pPr>
    <w:rPr>
      <w:i/>
      <w:sz w:val="20"/>
      <w:lang w:val="en-US"/>
    </w:rPr>
  </w:style>
  <w:style w:type="paragraph" w:customStyle="1" w:styleId="ItalicHeading">
    <w:name w:val="Italic Heading"/>
    <w:basedOn w:val="ItalicLineItem"/>
    <w:rsid w:val="00330D8C"/>
    <w:pPr>
      <w:ind w:left="57" w:right="0"/>
    </w:pPr>
  </w:style>
  <w:style w:type="paragraph" w:customStyle="1" w:styleId="lineitembold">
    <w:name w:val="line item bold"/>
    <w:basedOn w:val="Normal"/>
    <w:rsid w:val="00330D8C"/>
    <w:rPr>
      <w:b/>
      <w:sz w:val="20"/>
    </w:rPr>
  </w:style>
  <w:style w:type="paragraph" w:customStyle="1" w:styleId="lineitemitalic">
    <w:name w:val="line item italic"/>
    <w:basedOn w:val="Normal"/>
    <w:rsid w:val="00330D8C"/>
    <w:rPr>
      <w:i/>
    </w:rPr>
  </w:style>
  <w:style w:type="paragraph" w:customStyle="1" w:styleId="Lineitems">
    <w:name w:val="Line items"/>
    <w:basedOn w:val="Normal"/>
    <w:link w:val="LineitemsChar"/>
    <w:autoRedefine/>
    <w:uiPriority w:val="99"/>
    <w:rsid w:val="00330D8C"/>
    <w:rPr>
      <w:sz w:val="20"/>
    </w:rPr>
  </w:style>
  <w:style w:type="character" w:customStyle="1" w:styleId="LineitemsChar">
    <w:name w:val="Line items Char"/>
    <w:basedOn w:val="DefaultParagraphFont"/>
    <w:link w:val="Lineitems"/>
    <w:uiPriority w:val="99"/>
    <w:locked/>
    <w:rsid w:val="00330D8C"/>
    <w:rPr>
      <w:rFonts w:ascii="Calibri" w:hAnsi="Calibri" w:cs="Times New Roman"/>
      <w:sz w:val="20"/>
      <w:szCs w:val="20"/>
    </w:rPr>
  </w:style>
  <w:style w:type="paragraph" w:customStyle="1" w:styleId="Lineitemtable">
    <w:name w:val="Line item table"/>
    <w:basedOn w:val="Lineitems"/>
    <w:rsid w:val="00330D8C"/>
  </w:style>
  <w:style w:type="paragraph" w:customStyle="1" w:styleId="LineitemsHeading">
    <w:name w:val="Line items Heading"/>
    <w:basedOn w:val="Lineitems"/>
    <w:link w:val="LineitemsHeadingChar"/>
    <w:uiPriority w:val="99"/>
    <w:rsid w:val="00330D8C"/>
    <w:pPr>
      <w:framePr w:hSpace="180" w:wrap="around" w:vAnchor="text" w:hAnchor="margin" w:y="1"/>
    </w:pPr>
    <w:rPr>
      <w:b/>
      <w:sz w:val="18"/>
    </w:rPr>
  </w:style>
  <w:style w:type="character" w:customStyle="1" w:styleId="LineitemsHeadingChar">
    <w:name w:val="Line items Heading Char"/>
    <w:basedOn w:val="LineitemsChar"/>
    <w:link w:val="LineitemsHeading"/>
    <w:uiPriority w:val="99"/>
    <w:locked/>
    <w:rsid w:val="00330D8C"/>
    <w:rPr>
      <w:rFonts w:ascii="Calibri" w:hAnsi="Calibri" w:cs="Times New Roman"/>
      <w:b/>
      <w:sz w:val="18"/>
      <w:szCs w:val="20"/>
    </w:rPr>
  </w:style>
  <w:style w:type="paragraph" w:customStyle="1" w:styleId="LineitemsTotal">
    <w:name w:val="Line items Total"/>
    <w:basedOn w:val="Lineitems"/>
    <w:link w:val="LineitemsTotalChar"/>
    <w:uiPriority w:val="99"/>
    <w:rsid w:val="00330D8C"/>
    <w:pPr>
      <w:framePr w:hSpace="180" w:wrap="around" w:vAnchor="text" w:hAnchor="margin" w:y="1"/>
    </w:pPr>
    <w:rPr>
      <w:b/>
      <w:i/>
    </w:rPr>
  </w:style>
  <w:style w:type="character" w:customStyle="1" w:styleId="LineitemsTotalChar">
    <w:name w:val="Line items Total Char"/>
    <w:basedOn w:val="LineitemsChar"/>
    <w:link w:val="LineitemsTotal"/>
    <w:uiPriority w:val="99"/>
    <w:locked/>
    <w:rsid w:val="00330D8C"/>
    <w:rPr>
      <w:rFonts w:ascii="Calibri" w:hAnsi="Calibri" w:cs="Times New Roman"/>
      <w:b/>
      <w:i/>
      <w:sz w:val="20"/>
      <w:szCs w:val="20"/>
    </w:rPr>
  </w:style>
  <w:style w:type="paragraph" w:styleId="ListParagraph">
    <w:name w:val="List Paragraph"/>
    <w:basedOn w:val="Normal"/>
    <w:qFormat/>
    <w:rsid w:val="00330D8C"/>
    <w:pPr>
      <w:ind w:left="720"/>
      <w:contextualSpacing/>
    </w:pPr>
  </w:style>
  <w:style w:type="paragraph" w:styleId="MacroText">
    <w:name w:val="macro"/>
    <w:link w:val="MacroTextChar"/>
    <w:semiHidden/>
    <w:rsid w:val="00330D8C"/>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hAnsi="Courier New" w:cs="Courier New"/>
      <w:sz w:val="18"/>
      <w:szCs w:val="20"/>
      <w:lang w:val="en-GB"/>
    </w:rPr>
  </w:style>
  <w:style w:type="character" w:customStyle="1" w:styleId="MacroTextChar">
    <w:name w:val="Macro Text Char"/>
    <w:basedOn w:val="DefaultParagraphFont"/>
    <w:link w:val="MacroText"/>
    <w:rsid w:val="00330D8C"/>
    <w:rPr>
      <w:rFonts w:ascii="Courier New" w:hAnsi="Courier New" w:cs="Courier New"/>
      <w:sz w:val="18"/>
      <w:szCs w:val="20"/>
      <w:lang w:val="en-GB"/>
    </w:rPr>
  </w:style>
  <w:style w:type="paragraph" w:customStyle="1" w:styleId="Normal10pt">
    <w:name w:val="Normal + 10 pt"/>
    <w:aliases w:val="Line spacing:  single"/>
    <w:basedOn w:val="Normal"/>
    <w:rsid w:val="00330D8C"/>
    <w:pPr>
      <w:spacing w:before="130" w:after="130"/>
    </w:pPr>
    <w:rPr>
      <w:b/>
      <w:sz w:val="20"/>
    </w:rPr>
  </w:style>
  <w:style w:type="paragraph" w:customStyle="1" w:styleId="Normal8pt">
    <w:name w:val="Normal + 8 pt"/>
    <w:basedOn w:val="Normal"/>
    <w:rsid w:val="00330D8C"/>
    <w:pPr>
      <w:widowControl w:val="0"/>
      <w:autoSpaceDE w:val="0"/>
      <w:autoSpaceDN w:val="0"/>
      <w:spacing w:line="240" w:lineRule="auto"/>
    </w:pPr>
    <w:rPr>
      <w:bCs/>
      <w:iCs/>
      <w:spacing w:val="-6"/>
      <w:sz w:val="16"/>
      <w:szCs w:val="16"/>
      <w:lang w:val="en-US"/>
    </w:rPr>
  </w:style>
  <w:style w:type="paragraph" w:customStyle="1" w:styleId="NormalCalistoMT">
    <w:name w:val="Normal + Calisto MT"/>
    <w:aliases w:val="8 pt,Right"/>
    <w:basedOn w:val="Normal"/>
    <w:rsid w:val="00330D8C"/>
    <w:pPr>
      <w:framePr w:hSpace="180" w:wrap="around" w:vAnchor="text" w:hAnchor="margin" w:y="1"/>
      <w:ind w:right="212"/>
      <w:jc w:val="right"/>
    </w:pPr>
    <w:rPr>
      <w:rFonts w:ascii="Calisto MT" w:hAnsi="Calisto MT"/>
      <w:sz w:val="16"/>
    </w:rPr>
  </w:style>
  <w:style w:type="paragraph" w:customStyle="1" w:styleId="NoteHeading-Level1">
    <w:name w:val="Note Heading - Level 1"/>
    <w:basedOn w:val="Normal"/>
    <w:rsid w:val="00330D8C"/>
  </w:style>
  <w:style w:type="paragraph" w:customStyle="1" w:styleId="NoteHeading-Level2">
    <w:name w:val="Note Heading - Level 2"/>
    <w:basedOn w:val="Normal"/>
    <w:rsid w:val="00330D8C"/>
  </w:style>
  <w:style w:type="paragraph" w:customStyle="1" w:styleId="NoteText">
    <w:name w:val="Note Text"/>
    <w:basedOn w:val="Normal"/>
    <w:autoRedefine/>
    <w:rsid w:val="00330D8C"/>
    <w:pPr>
      <w:tabs>
        <w:tab w:val="left" w:pos="284"/>
      </w:tabs>
      <w:spacing w:after="120"/>
      <w:ind w:left="567"/>
    </w:pPr>
    <w:rPr>
      <w:sz w:val="20"/>
    </w:rPr>
  </w:style>
  <w:style w:type="paragraph" w:customStyle="1" w:styleId="NoteTextBEFOREDotPoint">
    <w:name w:val="Note Text BEFORE Dot Point"/>
    <w:basedOn w:val="NoteText"/>
    <w:rsid w:val="00330D8C"/>
    <w:pPr>
      <w:spacing w:after="0"/>
      <w:ind w:left="178" w:right="57"/>
    </w:pPr>
  </w:style>
  <w:style w:type="paragraph" w:customStyle="1" w:styleId="Notes">
    <w:name w:val="'Notes'"/>
    <w:basedOn w:val="Normal"/>
    <w:rsid w:val="00330D8C"/>
    <w:pPr>
      <w:jc w:val="center"/>
    </w:pPr>
    <w:rPr>
      <w:b/>
    </w:rPr>
  </w:style>
  <w:style w:type="paragraph" w:customStyle="1" w:styleId="NotesBulletPoint">
    <w:name w:val="Notes Bullet Point"/>
    <w:basedOn w:val="Normal"/>
    <w:autoRedefine/>
    <w:rsid w:val="00330D8C"/>
    <w:pPr>
      <w:tabs>
        <w:tab w:val="left" w:pos="413"/>
        <w:tab w:val="num" w:pos="927"/>
      </w:tabs>
      <w:snapToGrid w:val="0"/>
      <w:spacing w:line="240" w:lineRule="auto"/>
      <w:ind w:left="414" w:right="113" w:hanging="301"/>
      <w:jc w:val="both"/>
    </w:pPr>
    <w:rPr>
      <w:sz w:val="20"/>
      <w:lang w:val="en-US" w:eastAsia="en-AU"/>
    </w:rPr>
  </w:style>
  <w:style w:type="paragraph" w:customStyle="1" w:styleId="NotesData">
    <w:name w:val="Notes Data"/>
    <w:basedOn w:val="Normal"/>
    <w:rsid w:val="00330D8C"/>
    <w:pPr>
      <w:framePr w:hSpace="180" w:wrap="around" w:vAnchor="text" w:hAnchor="margin" w:y="1"/>
      <w:jc w:val="center"/>
    </w:pPr>
    <w:rPr>
      <w:sz w:val="20"/>
    </w:rPr>
  </w:style>
  <w:style w:type="paragraph" w:customStyle="1" w:styleId="NotesHeader">
    <w:name w:val="Notes Header"/>
    <w:basedOn w:val="Normal"/>
    <w:next w:val="Normal"/>
    <w:rsid w:val="00330D8C"/>
    <w:pPr>
      <w:jc w:val="center"/>
    </w:pPr>
    <w:rPr>
      <w:rFonts w:ascii="Arial" w:hAnsi="Arial"/>
      <w:b/>
    </w:rPr>
  </w:style>
  <w:style w:type="paragraph" w:customStyle="1" w:styleId="Notesheading">
    <w:name w:val="Notes heading"/>
    <w:basedOn w:val="Normal"/>
    <w:rsid w:val="00330D8C"/>
    <w:pPr>
      <w:spacing w:line="240" w:lineRule="auto"/>
    </w:pPr>
    <w:rPr>
      <w:rFonts w:ascii="Calisto MT" w:hAnsi="Calisto MT"/>
      <w:b/>
      <w:sz w:val="14"/>
      <w:lang w:eastAsia="en-AU"/>
    </w:rPr>
  </w:style>
  <w:style w:type="paragraph" w:customStyle="1" w:styleId="NotesHeading0">
    <w:name w:val="'Notes' Heading"/>
    <w:basedOn w:val="Normal"/>
    <w:autoRedefine/>
    <w:rsid w:val="00330D8C"/>
    <w:pPr>
      <w:ind w:left="57" w:right="57"/>
      <w:jc w:val="center"/>
    </w:pPr>
    <w:rPr>
      <w:b/>
      <w:sz w:val="20"/>
    </w:rPr>
  </w:style>
  <w:style w:type="paragraph" w:customStyle="1" w:styleId="NotesHeading-Level1GreyShade">
    <w:name w:val="Notes Heading - Level 1 Grey Shade"/>
    <w:basedOn w:val="NotesHeading-Level1"/>
    <w:qFormat/>
    <w:rsid w:val="00330D8C"/>
    <w:pPr>
      <w:numPr>
        <w:numId w:val="12"/>
      </w:numPr>
      <w:shd w:val="clear" w:color="auto" w:fill="D9D9D9" w:themeFill="background1" w:themeFillShade="D9"/>
    </w:pPr>
    <w:rPr>
      <w:rFonts w:cstheme="minorHAnsi"/>
    </w:rPr>
  </w:style>
  <w:style w:type="paragraph" w:customStyle="1" w:styleId="NotesHeading-Level2">
    <w:name w:val="Notes Heading - Level 2"/>
    <w:basedOn w:val="NotesHeading-Level1"/>
    <w:rsid w:val="00330D8C"/>
    <w:pPr>
      <w:framePr w:hSpace="180" w:wrap="around" w:vAnchor="text" w:hAnchor="margin" w:y="1"/>
      <w:numPr>
        <w:ilvl w:val="1"/>
      </w:numPr>
    </w:pPr>
    <w:rPr>
      <w:sz w:val="18"/>
    </w:rPr>
  </w:style>
  <w:style w:type="paragraph" w:customStyle="1" w:styleId="NotesHeading3">
    <w:name w:val="Notes Heading 3"/>
    <w:basedOn w:val="Normal"/>
    <w:autoRedefine/>
    <w:rsid w:val="00330D8C"/>
    <w:pPr>
      <w:spacing w:before="80" w:after="40"/>
      <w:ind w:left="113" w:right="113"/>
    </w:pPr>
    <w:rPr>
      <w:u w:val="single"/>
      <w:lang w:val="en-US"/>
    </w:rPr>
  </w:style>
  <w:style w:type="paragraph" w:customStyle="1" w:styleId="NotesHeading3NumberingOff">
    <w:name w:val="Notes Heading 3 Numbering Off"/>
    <w:basedOn w:val="NotesHeading3"/>
    <w:autoRedefine/>
    <w:rsid w:val="00330D8C"/>
    <w:pPr>
      <w:tabs>
        <w:tab w:val="left" w:pos="1132"/>
      </w:tabs>
    </w:pPr>
  </w:style>
  <w:style w:type="paragraph" w:customStyle="1" w:styleId="NotesHeading3a">
    <w:name w:val="Notes Heading 3a"/>
    <w:basedOn w:val="Normal"/>
    <w:autoRedefine/>
    <w:rsid w:val="00330D8C"/>
    <w:pPr>
      <w:tabs>
        <w:tab w:val="num" w:pos="473"/>
      </w:tabs>
      <w:spacing w:after="120"/>
      <w:ind w:left="113" w:right="113"/>
      <w:jc w:val="both"/>
    </w:pPr>
    <w:rPr>
      <w:u w:val="single"/>
      <w:lang w:val="en-US"/>
    </w:rPr>
  </w:style>
  <w:style w:type="paragraph" w:customStyle="1" w:styleId="NotesHeading4">
    <w:name w:val="Notes Heading 4"/>
    <w:basedOn w:val="NoteText"/>
    <w:autoRedefine/>
    <w:rsid w:val="00330D8C"/>
    <w:pPr>
      <w:keepNext/>
      <w:spacing w:before="200" w:after="80"/>
      <w:ind w:right="57"/>
    </w:pPr>
  </w:style>
  <w:style w:type="paragraph" w:customStyle="1" w:styleId="NotesHeading5">
    <w:name w:val="Notes Heading 5"/>
    <w:basedOn w:val="Normal"/>
    <w:autoRedefine/>
    <w:rsid w:val="00330D8C"/>
    <w:pPr>
      <w:spacing w:before="120" w:after="40"/>
      <w:ind w:left="113" w:right="113"/>
      <w:jc w:val="both"/>
    </w:pPr>
    <w:rPr>
      <w:b/>
      <w:sz w:val="20"/>
    </w:rPr>
  </w:style>
  <w:style w:type="paragraph" w:customStyle="1" w:styleId="NotesHeadingPlain">
    <w:name w:val="'Notes' Heading Plain"/>
    <w:basedOn w:val="NotesHeading0"/>
    <w:autoRedefine/>
    <w:rsid w:val="00330D8C"/>
    <w:rPr>
      <w:b w:val="0"/>
    </w:rPr>
  </w:style>
  <w:style w:type="paragraph" w:customStyle="1" w:styleId="NotesLineItem">
    <w:name w:val="Notes Line Item"/>
    <w:basedOn w:val="Normal"/>
    <w:autoRedefine/>
    <w:rsid w:val="00330D8C"/>
    <w:pPr>
      <w:ind w:left="34"/>
    </w:pPr>
    <w:rPr>
      <w:iCs/>
      <w:sz w:val="16"/>
      <w:szCs w:val="16"/>
      <w:lang w:eastAsia="en-AU"/>
    </w:rPr>
  </w:style>
  <w:style w:type="paragraph" w:customStyle="1" w:styleId="NotesReference">
    <w:name w:val="'Notes' Reference"/>
    <w:basedOn w:val="Normal"/>
    <w:autoRedefine/>
    <w:rsid w:val="00330D8C"/>
    <w:pPr>
      <w:ind w:left="57" w:right="57"/>
      <w:jc w:val="center"/>
    </w:pPr>
    <w:rPr>
      <w:sz w:val="20"/>
    </w:rPr>
  </w:style>
  <w:style w:type="paragraph" w:customStyle="1" w:styleId="Notesreferencetext">
    <w:name w:val="Notes reference text"/>
    <w:basedOn w:val="Normal"/>
    <w:next w:val="Normal"/>
    <w:rsid w:val="00330D8C"/>
    <w:pPr>
      <w:jc w:val="center"/>
    </w:pPr>
  </w:style>
  <w:style w:type="paragraph" w:customStyle="1" w:styleId="NotesReferences">
    <w:name w:val="Notes References"/>
    <w:basedOn w:val="Normal"/>
    <w:next w:val="Normal"/>
    <w:rsid w:val="00330D8C"/>
    <w:pPr>
      <w:jc w:val="center"/>
    </w:pPr>
    <w:rPr>
      <w:rFonts w:ascii="Arial" w:hAnsi="Arial"/>
    </w:rPr>
  </w:style>
  <w:style w:type="paragraph" w:customStyle="1" w:styleId="Notessub-lineitem">
    <w:name w:val="Notes sub-line item"/>
    <w:basedOn w:val="Normal"/>
    <w:autoRedefine/>
    <w:rsid w:val="00330D8C"/>
    <w:pPr>
      <w:framePr w:hSpace="180" w:wrap="around" w:vAnchor="page" w:hAnchor="margin" w:y="1985"/>
      <w:tabs>
        <w:tab w:val="left" w:pos="593"/>
        <w:tab w:val="left" w:pos="1443"/>
      </w:tabs>
      <w:ind w:left="567" w:right="113"/>
    </w:pPr>
    <w:rPr>
      <w:sz w:val="20"/>
    </w:rPr>
  </w:style>
  <w:style w:type="paragraph" w:customStyle="1" w:styleId="Notestext">
    <w:name w:val="Notes text"/>
    <w:basedOn w:val="Notes"/>
    <w:rsid w:val="00330D8C"/>
    <w:rPr>
      <w:b w:val="0"/>
    </w:rPr>
  </w:style>
  <w:style w:type="paragraph" w:customStyle="1" w:styleId="ReferenceText">
    <w:name w:val="Reference Text"/>
    <w:basedOn w:val="Normal"/>
    <w:link w:val="ReferenceTextChar"/>
    <w:autoRedefine/>
    <w:uiPriority w:val="99"/>
    <w:qFormat/>
    <w:rsid w:val="00330D8C"/>
    <w:rPr>
      <w:rFonts w:asciiTheme="minorHAnsi" w:hAnsiTheme="minorHAnsi" w:cstheme="minorHAnsi"/>
      <w:lang w:eastAsia="en-AU"/>
    </w:rPr>
  </w:style>
  <w:style w:type="character" w:customStyle="1" w:styleId="ReferenceTextChar">
    <w:name w:val="Reference Text Char"/>
    <w:basedOn w:val="DefaultParagraphFont"/>
    <w:link w:val="ReferenceText"/>
    <w:uiPriority w:val="99"/>
    <w:locked/>
    <w:rsid w:val="00330D8C"/>
    <w:rPr>
      <w:rFonts w:cstheme="minorHAnsi"/>
      <w:sz w:val="18"/>
      <w:szCs w:val="20"/>
      <w:lang w:eastAsia="en-AU"/>
    </w:rPr>
  </w:style>
  <w:style w:type="paragraph" w:customStyle="1" w:styleId="NotesText0">
    <w:name w:val="Notes Text"/>
    <w:basedOn w:val="ReferenceText"/>
    <w:link w:val="NotesTextChar"/>
    <w:uiPriority w:val="99"/>
    <w:rsid w:val="00330D8C"/>
    <w:pPr>
      <w:spacing w:before="100" w:after="100" w:line="240" w:lineRule="auto"/>
    </w:pPr>
    <w:rPr>
      <w:rFonts w:cs="Arial"/>
      <w:szCs w:val="18"/>
    </w:rPr>
  </w:style>
  <w:style w:type="character" w:customStyle="1" w:styleId="NotesTextChar">
    <w:name w:val="Notes Text Char"/>
    <w:basedOn w:val="ReferenceTextChar"/>
    <w:link w:val="NotesText0"/>
    <w:uiPriority w:val="99"/>
    <w:locked/>
    <w:rsid w:val="00330D8C"/>
    <w:rPr>
      <w:rFonts w:cs="Arial"/>
      <w:sz w:val="18"/>
      <w:szCs w:val="18"/>
      <w:lang w:eastAsia="en-AU"/>
    </w:rPr>
  </w:style>
  <w:style w:type="paragraph" w:customStyle="1" w:styleId="NotesTextHeading">
    <w:name w:val="Notes Text Heading"/>
    <w:basedOn w:val="NotesText0"/>
    <w:uiPriority w:val="99"/>
    <w:rsid w:val="00330D8C"/>
    <w:rPr>
      <w:b/>
      <w:i/>
    </w:rPr>
  </w:style>
  <w:style w:type="paragraph" w:customStyle="1" w:styleId="NotesTextLevel1">
    <w:name w:val="Notes Text Level 1"/>
    <w:basedOn w:val="Normal"/>
    <w:next w:val="Normal"/>
    <w:rsid w:val="00330D8C"/>
    <w:rPr>
      <w:rFonts w:ascii="Arial" w:hAnsi="Arial"/>
      <w:b/>
      <w:i/>
      <w:u w:val="single"/>
    </w:rPr>
  </w:style>
  <w:style w:type="paragraph" w:customStyle="1" w:styleId="NotesTextLevel3aboldItalic">
    <w:name w:val="Notes Text Level 3(a) bold + Italic"/>
    <w:basedOn w:val="Normal"/>
    <w:link w:val="NotesTextLevel3aboldItalicChar"/>
    <w:rsid w:val="00330D8C"/>
    <w:rPr>
      <w:rFonts w:ascii="Arial" w:hAnsi="Arial"/>
      <w:b/>
      <w:bCs/>
      <w:i/>
      <w:iCs/>
    </w:rPr>
  </w:style>
  <w:style w:type="character" w:customStyle="1" w:styleId="NotesTextLevel3aboldItalicChar">
    <w:name w:val="Notes Text Level 3(a) bold + Italic Char"/>
    <w:basedOn w:val="DefaultParagraphFont"/>
    <w:link w:val="NotesTextLevel3aboldItalic"/>
    <w:locked/>
    <w:rsid w:val="00330D8C"/>
    <w:rPr>
      <w:rFonts w:ascii="Arial" w:hAnsi="Arial" w:cs="Times New Roman"/>
      <w:b/>
      <w:bCs/>
      <w:i/>
      <w:iCs/>
      <w:sz w:val="18"/>
      <w:szCs w:val="20"/>
    </w:rPr>
  </w:style>
  <w:style w:type="paragraph" w:customStyle="1" w:styleId="Notestothefinancialstatements">
    <w:name w:val="Notes to the financial statements"/>
    <w:aliases w:val="Heading"/>
    <w:basedOn w:val="Normal"/>
    <w:rsid w:val="00330D8C"/>
    <w:pPr>
      <w:tabs>
        <w:tab w:val="left" w:pos="567"/>
        <w:tab w:val="left" w:pos="1134"/>
        <w:tab w:val="left" w:pos="1701"/>
      </w:tabs>
      <w:spacing w:before="60" w:after="60" w:line="240" w:lineRule="auto"/>
    </w:pPr>
    <w:rPr>
      <w:rFonts w:ascii="Tahoma" w:hAnsi="Tahoma"/>
      <w:b/>
      <w:color w:val="000000"/>
      <w:sz w:val="16"/>
      <w:lang w:eastAsia="en-AU"/>
    </w:rPr>
  </w:style>
  <w:style w:type="paragraph" w:customStyle="1" w:styleId="NotesTotal">
    <w:name w:val="Notes Total"/>
    <w:basedOn w:val="Normal"/>
    <w:autoRedefine/>
    <w:rsid w:val="00330D8C"/>
    <w:pPr>
      <w:ind w:left="139" w:right="57"/>
    </w:pPr>
    <w:rPr>
      <w:b/>
      <w:iCs/>
      <w:sz w:val="20"/>
    </w:rPr>
  </w:style>
  <w:style w:type="character" w:styleId="PageNumber">
    <w:name w:val="page number"/>
    <w:basedOn w:val="DefaultParagraphFont"/>
    <w:uiPriority w:val="99"/>
    <w:rsid w:val="00330D8C"/>
    <w:rPr>
      <w:rFonts w:ascii="Times New Roman" w:hAnsi="Times New Roman" w:cs="Times New Roman" w:hint="default"/>
      <w:sz w:val="22"/>
    </w:rPr>
  </w:style>
  <w:style w:type="paragraph" w:customStyle="1" w:styleId="PrimaryStatementsHeading">
    <w:name w:val="Primary Statements Heading"/>
    <w:basedOn w:val="Normal"/>
    <w:autoRedefine/>
    <w:uiPriority w:val="99"/>
    <w:rsid w:val="00330D8C"/>
    <w:pPr>
      <w:spacing w:line="300" w:lineRule="exact"/>
    </w:pPr>
    <w:rPr>
      <w:b/>
      <w:sz w:val="24"/>
      <w:lang w:val="en-US"/>
    </w:rPr>
  </w:style>
  <w:style w:type="paragraph" w:customStyle="1" w:styleId="PeriodHeading">
    <w:name w:val="Period Heading"/>
    <w:basedOn w:val="PrimaryStatementsHeading"/>
    <w:uiPriority w:val="99"/>
    <w:rsid w:val="00330D8C"/>
    <w:rPr>
      <w:i/>
      <w:sz w:val="22"/>
    </w:rPr>
  </w:style>
  <w:style w:type="paragraph" w:customStyle="1" w:styleId="PreviousYearDataTotalLevel2">
    <w:name w:val="Previous Year Data Total Level 2"/>
    <w:basedOn w:val="Normal"/>
    <w:next w:val="Normal"/>
    <w:link w:val="PreviousYearDataTotalLevel2Char"/>
    <w:uiPriority w:val="99"/>
    <w:rsid w:val="00330D8C"/>
    <w:pPr>
      <w:pBdr>
        <w:top w:val="single" w:sz="4" w:space="1" w:color="auto"/>
        <w:bottom w:val="single" w:sz="4" w:space="1" w:color="auto"/>
      </w:pBdr>
      <w:jc w:val="right"/>
    </w:pPr>
  </w:style>
  <w:style w:type="character" w:customStyle="1" w:styleId="PreviousYearDataTotalLevel2Char">
    <w:name w:val="Previous Year Data Total Level 2 Char"/>
    <w:basedOn w:val="DefaultParagraphFont"/>
    <w:link w:val="PreviousYearDataTotalLevel2"/>
    <w:uiPriority w:val="99"/>
    <w:locked/>
    <w:rsid w:val="00330D8C"/>
    <w:rPr>
      <w:rFonts w:ascii="Calibri" w:hAnsi="Calibri" w:cs="Times New Roman"/>
      <w:sz w:val="18"/>
      <w:szCs w:val="20"/>
    </w:rPr>
  </w:style>
  <w:style w:type="paragraph" w:customStyle="1" w:styleId="PreviousYearDataTotalLevel3">
    <w:name w:val="Previous Year Data Total Level 3"/>
    <w:basedOn w:val="Normal"/>
    <w:autoRedefine/>
    <w:uiPriority w:val="99"/>
    <w:rsid w:val="00330D8C"/>
    <w:pPr>
      <w:pBdr>
        <w:top w:val="single" w:sz="4" w:space="1" w:color="auto"/>
        <w:bottom w:val="double" w:sz="6" w:space="1" w:color="auto"/>
      </w:pBdr>
      <w:jc w:val="right"/>
    </w:pPr>
  </w:style>
  <w:style w:type="paragraph" w:customStyle="1" w:styleId="ReferenceTextLetter">
    <w:name w:val="Reference Text Letter"/>
    <w:basedOn w:val="ReferenceText"/>
    <w:qFormat/>
    <w:rsid w:val="00330D8C"/>
    <w:pPr>
      <w:spacing w:line="240" w:lineRule="auto"/>
      <w:ind w:left="567" w:right="567"/>
    </w:pPr>
    <w:rPr>
      <w:rFonts w:cs="Arial"/>
      <w:szCs w:val="18"/>
    </w:rPr>
  </w:style>
  <w:style w:type="paragraph" w:styleId="Revision">
    <w:name w:val="Revision"/>
    <w:uiPriority w:val="99"/>
    <w:semiHidden/>
    <w:rsid w:val="00330D8C"/>
    <w:pPr>
      <w:spacing w:after="0" w:line="240" w:lineRule="auto"/>
    </w:pPr>
    <w:rPr>
      <w:rFonts w:ascii="Calibri" w:hAnsi="Calibri" w:cs="Times New Roman"/>
      <w:sz w:val="18"/>
      <w:szCs w:val="20"/>
    </w:rPr>
  </w:style>
  <w:style w:type="paragraph" w:customStyle="1" w:styleId="SAPHeading-Level1">
    <w:name w:val="SAP Heading - Level 1"/>
    <w:basedOn w:val="NotesHeading-Level1"/>
    <w:rsid w:val="00330D8C"/>
    <w:pPr>
      <w:numPr>
        <w:numId w:val="0"/>
      </w:numPr>
      <w:tabs>
        <w:tab w:val="num" w:pos="851"/>
      </w:tabs>
      <w:ind w:left="851" w:hanging="851"/>
    </w:pPr>
    <w:rPr>
      <w:rFonts w:cstheme="minorHAnsi"/>
    </w:rPr>
  </w:style>
  <w:style w:type="paragraph" w:customStyle="1" w:styleId="SAPHeading-Level2">
    <w:name w:val="SAP Heading - Level 2"/>
    <w:basedOn w:val="SAPHeading-Level1"/>
    <w:rsid w:val="00330D8C"/>
    <w:pPr>
      <w:spacing w:before="100" w:after="100" w:line="240" w:lineRule="auto"/>
      <w:outlineLvl w:val="9"/>
    </w:pPr>
  </w:style>
  <w:style w:type="paragraph" w:customStyle="1" w:styleId="SAPHeading-Level3">
    <w:name w:val="SAP Heading - Level 3"/>
    <w:basedOn w:val="SAPHeading-Level2"/>
    <w:rsid w:val="00330D8C"/>
  </w:style>
  <w:style w:type="paragraph" w:customStyle="1" w:styleId="StatementDateHeader">
    <w:name w:val="Statement Date Header"/>
    <w:basedOn w:val="Normal"/>
    <w:next w:val="Normal"/>
    <w:rsid w:val="00330D8C"/>
    <w:pPr>
      <w:pBdr>
        <w:bottom w:val="single" w:sz="4" w:space="1" w:color="auto"/>
      </w:pBdr>
    </w:pPr>
    <w:rPr>
      <w:rFonts w:ascii="Arial" w:hAnsi="Arial"/>
      <w:i/>
      <w:sz w:val="24"/>
    </w:rPr>
  </w:style>
  <w:style w:type="paragraph" w:customStyle="1" w:styleId="StatementHeading">
    <w:name w:val="Statement Heading"/>
    <w:basedOn w:val="Normal"/>
    <w:rsid w:val="00330D8C"/>
    <w:rPr>
      <w:rFonts w:ascii="Arial" w:hAnsi="Arial"/>
      <w:b/>
      <w:sz w:val="24"/>
    </w:rPr>
  </w:style>
  <w:style w:type="paragraph" w:customStyle="1" w:styleId="StatementName">
    <w:name w:val="Statement Name"/>
    <w:basedOn w:val="Normal"/>
    <w:next w:val="Normal"/>
    <w:link w:val="StatementNameChar"/>
    <w:autoRedefine/>
    <w:rsid w:val="00330D8C"/>
    <w:pPr>
      <w:pBdr>
        <w:bottom w:val="single" w:sz="4" w:space="1" w:color="auto"/>
      </w:pBdr>
    </w:pPr>
    <w:rPr>
      <w:rFonts w:ascii="Arial" w:hAnsi="Arial" w:cs="Arial"/>
      <w:b/>
      <w:sz w:val="24"/>
      <w:szCs w:val="24"/>
    </w:rPr>
  </w:style>
  <w:style w:type="character" w:customStyle="1" w:styleId="StatementNameChar">
    <w:name w:val="Statement Name Char"/>
    <w:basedOn w:val="DefaultParagraphFont"/>
    <w:link w:val="StatementName"/>
    <w:locked/>
    <w:rsid w:val="00330D8C"/>
    <w:rPr>
      <w:rFonts w:ascii="Arial" w:hAnsi="Arial" w:cs="Arial"/>
      <w:b/>
      <w:sz w:val="24"/>
      <w:szCs w:val="24"/>
    </w:rPr>
  </w:style>
  <w:style w:type="paragraph" w:customStyle="1" w:styleId="StatementTextLevel1b">
    <w:name w:val="Statement Text Level 1(b)"/>
    <w:basedOn w:val="Normal"/>
    <w:link w:val="StatementTextLevel1bChar"/>
    <w:uiPriority w:val="99"/>
    <w:rsid w:val="00330D8C"/>
    <w:rPr>
      <w:rFonts w:ascii="Arial" w:hAnsi="Arial"/>
      <w:b/>
      <w:szCs w:val="18"/>
    </w:rPr>
  </w:style>
  <w:style w:type="character" w:customStyle="1" w:styleId="StatementTextLevel1bChar">
    <w:name w:val="Statement Text Level 1(b) Char"/>
    <w:basedOn w:val="DefaultParagraphFont"/>
    <w:link w:val="StatementTextLevel1b"/>
    <w:uiPriority w:val="99"/>
    <w:locked/>
    <w:rsid w:val="00330D8C"/>
    <w:rPr>
      <w:rFonts w:ascii="Arial" w:hAnsi="Arial" w:cs="Times New Roman"/>
      <w:b/>
      <w:sz w:val="18"/>
      <w:szCs w:val="18"/>
    </w:rPr>
  </w:style>
  <w:style w:type="paragraph" w:customStyle="1" w:styleId="StatementTextLevel1bItalic">
    <w:name w:val="Statement Text Level 1(b) + Italic"/>
    <w:basedOn w:val="Normal"/>
    <w:rsid w:val="00330D8C"/>
    <w:rPr>
      <w:rFonts w:ascii="Arial" w:hAnsi="Arial"/>
      <w:b/>
      <w:bCs/>
      <w:i/>
      <w:iCs/>
      <w:szCs w:val="18"/>
    </w:rPr>
  </w:style>
  <w:style w:type="paragraph" w:customStyle="1" w:styleId="StatementTextLevel3">
    <w:name w:val="Statement Text Level 3"/>
    <w:basedOn w:val="Normal"/>
    <w:next w:val="Normal"/>
    <w:rsid w:val="00330D8C"/>
    <w:rPr>
      <w:rFonts w:ascii="Arial" w:hAnsi="Arial"/>
    </w:rPr>
  </w:style>
  <w:style w:type="paragraph" w:customStyle="1" w:styleId="StyleNotesTextBold">
    <w:name w:val="Style Notes Text + Bold"/>
    <w:basedOn w:val="NotesText0"/>
    <w:link w:val="StyleNotesTextBoldChar"/>
    <w:uiPriority w:val="99"/>
    <w:rsid w:val="00330D8C"/>
    <w:pPr>
      <w:ind w:right="-54"/>
    </w:pPr>
    <w:rPr>
      <w:rFonts w:ascii="Calibri" w:hAnsi="Calibri"/>
      <w:bCs/>
      <w:sz w:val="20"/>
      <w:szCs w:val="20"/>
    </w:rPr>
  </w:style>
  <w:style w:type="character" w:customStyle="1" w:styleId="StyleNotesTextBoldChar">
    <w:name w:val="Style Notes Text + Bold Char"/>
    <w:basedOn w:val="NotesTextChar"/>
    <w:link w:val="StyleNotesTextBold"/>
    <w:uiPriority w:val="99"/>
    <w:locked/>
    <w:rsid w:val="00330D8C"/>
    <w:rPr>
      <w:rFonts w:ascii="Calibri" w:hAnsi="Calibri" w:cs="Arial"/>
      <w:bCs/>
      <w:sz w:val="20"/>
      <w:szCs w:val="20"/>
      <w:lang w:eastAsia="en-AU"/>
    </w:rPr>
  </w:style>
  <w:style w:type="paragraph" w:customStyle="1" w:styleId="StyleNotesTextBold1">
    <w:name w:val="Style Notes Text + Bold1"/>
    <w:basedOn w:val="NotesText0"/>
    <w:link w:val="StyleNotesTextBold1Char"/>
    <w:uiPriority w:val="99"/>
    <w:rsid w:val="00330D8C"/>
    <w:pPr>
      <w:ind w:right="-54"/>
    </w:pPr>
    <w:rPr>
      <w:rFonts w:ascii="Calibri" w:hAnsi="Calibri"/>
      <w:bCs/>
      <w:sz w:val="20"/>
      <w:szCs w:val="20"/>
    </w:rPr>
  </w:style>
  <w:style w:type="character" w:customStyle="1" w:styleId="StyleNotesTextBold1Char">
    <w:name w:val="Style Notes Text + Bold1 Char"/>
    <w:basedOn w:val="NotesTextChar"/>
    <w:link w:val="StyleNotesTextBold1"/>
    <w:uiPriority w:val="99"/>
    <w:locked/>
    <w:rsid w:val="00330D8C"/>
    <w:rPr>
      <w:rFonts w:ascii="Calibri" w:hAnsi="Calibri" w:cs="Arial"/>
      <w:bCs/>
      <w:sz w:val="20"/>
      <w:szCs w:val="20"/>
      <w:lang w:eastAsia="en-AU"/>
    </w:rPr>
  </w:style>
  <w:style w:type="paragraph" w:customStyle="1" w:styleId="StyleNotesTextItalic">
    <w:name w:val="Style Notes Text + Italic"/>
    <w:basedOn w:val="NotesText0"/>
    <w:link w:val="StyleNotesTextItalicChar"/>
    <w:uiPriority w:val="99"/>
    <w:rsid w:val="00330D8C"/>
    <w:pPr>
      <w:ind w:right="-54"/>
    </w:pPr>
    <w:rPr>
      <w:i/>
      <w:iCs/>
      <w:u w:val="single"/>
    </w:rPr>
  </w:style>
  <w:style w:type="character" w:customStyle="1" w:styleId="StyleNotesTextItalicChar">
    <w:name w:val="Style Notes Text + Italic Char"/>
    <w:basedOn w:val="NotesTextChar"/>
    <w:link w:val="StyleNotesTextItalic"/>
    <w:uiPriority w:val="99"/>
    <w:locked/>
    <w:rsid w:val="00330D8C"/>
    <w:rPr>
      <w:rFonts w:cs="Arial"/>
      <w:i/>
      <w:iCs/>
      <w:sz w:val="18"/>
      <w:szCs w:val="18"/>
      <w:u w:val="single"/>
      <w:lang w:eastAsia="en-AU"/>
    </w:rPr>
  </w:style>
  <w:style w:type="paragraph" w:customStyle="1" w:styleId="StyleNotesTextItalic1">
    <w:name w:val="Style Notes Text + Italic1"/>
    <w:basedOn w:val="NotesText0"/>
    <w:uiPriority w:val="99"/>
    <w:rsid w:val="00330D8C"/>
    <w:pPr>
      <w:ind w:right="-54"/>
    </w:pPr>
    <w:rPr>
      <w:rFonts w:ascii="Calibri" w:hAnsi="Calibri" w:cs="Times New Roman"/>
      <w:i/>
      <w:iCs/>
      <w:sz w:val="20"/>
      <w:szCs w:val="20"/>
      <w:lang w:eastAsia="en-US"/>
    </w:rPr>
  </w:style>
  <w:style w:type="paragraph" w:customStyle="1" w:styleId="StyleNotesTextPatternClearGray-20">
    <w:name w:val="Style Notes Text + Pattern: Clear (Gray-20%)"/>
    <w:basedOn w:val="NotesText0"/>
    <w:uiPriority w:val="99"/>
    <w:rsid w:val="00330D8C"/>
    <w:pPr>
      <w:ind w:right="-54"/>
    </w:pPr>
    <w:rPr>
      <w:rFonts w:ascii="Calibri" w:hAnsi="Calibri" w:cs="Times New Roman"/>
      <w:sz w:val="20"/>
      <w:szCs w:val="20"/>
      <w:lang w:eastAsia="en-US"/>
    </w:rPr>
  </w:style>
  <w:style w:type="paragraph" w:customStyle="1" w:styleId="StyleNotesTextPatternClearGray-25">
    <w:name w:val="Style Notes Text + Pattern: Clear (Gray-25%)"/>
    <w:basedOn w:val="NotesText0"/>
    <w:autoRedefine/>
    <w:uiPriority w:val="99"/>
    <w:rsid w:val="00330D8C"/>
    <w:pPr>
      <w:shd w:val="clear" w:color="auto" w:fill="CCCCCC"/>
      <w:ind w:right="-54"/>
    </w:pPr>
    <w:rPr>
      <w:rFonts w:ascii="Calibri" w:hAnsi="Calibri"/>
      <w:sz w:val="20"/>
      <w:szCs w:val="20"/>
      <w:lang w:eastAsia="en-US"/>
    </w:rPr>
  </w:style>
  <w:style w:type="paragraph" w:customStyle="1" w:styleId="StyleReferenceTextItalic">
    <w:name w:val="Style Reference Text + Italic"/>
    <w:basedOn w:val="ReferenceText"/>
    <w:link w:val="StyleReferenceTextItalicChar"/>
    <w:uiPriority w:val="99"/>
    <w:rsid w:val="00330D8C"/>
    <w:pPr>
      <w:spacing w:line="240" w:lineRule="atLeast"/>
    </w:pPr>
    <w:rPr>
      <w:rFonts w:ascii="Calibri" w:hAnsi="Calibri" w:cs="Arial"/>
      <w:i/>
      <w:iCs/>
      <w:sz w:val="20"/>
    </w:rPr>
  </w:style>
  <w:style w:type="character" w:customStyle="1" w:styleId="StyleReferenceTextItalicChar">
    <w:name w:val="Style Reference Text + Italic Char"/>
    <w:basedOn w:val="ReferenceTextChar"/>
    <w:link w:val="StyleReferenceTextItalic"/>
    <w:uiPriority w:val="99"/>
    <w:locked/>
    <w:rsid w:val="00330D8C"/>
    <w:rPr>
      <w:rFonts w:ascii="Calibri" w:hAnsi="Calibri" w:cs="Arial"/>
      <w:i/>
      <w:iCs/>
      <w:sz w:val="20"/>
      <w:szCs w:val="20"/>
      <w:lang w:eastAsia="en-AU"/>
    </w:rPr>
  </w:style>
  <w:style w:type="numbering" w:customStyle="1" w:styleId="Style2">
    <w:name w:val="Style2"/>
    <w:rsid w:val="00330D8C"/>
    <w:pPr>
      <w:numPr>
        <w:numId w:val="14"/>
      </w:numPr>
    </w:pPr>
  </w:style>
  <w:style w:type="table" w:styleId="TableGrid">
    <w:name w:val="Table Grid"/>
    <w:basedOn w:val="TableNormal"/>
    <w:uiPriority w:val="59"/>
    <w:rsid w:val="00330D8C"/>
    <w:pPr>
      <w:spacing w:after="0" w:line="260" w:lineRule="atLeast"/>
    </w:pPr>
    <w:rPr>
      <w:rFonts w:ascii="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330D8C"/>
    <w:pPr>
      <w:spacing w:after="0" w:line="240" w:lineRule="auto"/>
    </w:pPr>
    <w:rPr>
      <w:rFonts w:ascii="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Level1">
    <w:name w:val="Table Header Level 1"/>
    <w:basedOn w:val="Normal"/>
    <w:semiHidden/>
    <w:rsid w:val="00330D8C"/>
    <w:pPr>
      <w:jc w:val="center"/>
    </w:pPr>
    <w:rPr>
      <w:rFonts w:ascii="Arial" w:hAnsi="Arial"/>
      <w:b/>
      <w:szCs w:val="18"/>
    </w:rPr>
  </w:style>
  <w:style w:type="paragraph" w:styleId="TableofFigures">
    <w:name w:val="table of figures"/>
    <w:basedOn w:val="Normal"/>
    <w:next w:val="Normal"/>
    <w:semiHidden/>
    <w:rsid w:val="00330D8C"/>
  </w:style>
  <w:style w:type="paragraph" w:customStyle="1" w:styleId="TitlePage">
    <w:name w:val="Title Page"/>
    <w:basedOn w:val="Normal"/>
    <w:autoRedefine/>
    <w:rsid w:val="00330D8C"/>
    <w:pPr>
      <w:spacing w:before="1200" w:after="1200"/>
      <w:ind w:left="57" w:right="57"/>
      <w:jc w:val="right"/>
    </w:pPr>
    <w:rPr>
      <w:b/>
      <w:bCs/>
      <w:sz w:val="48"/>
    </w:rPr>
  </w:style>
  <w:style w:type="paragraph" w:styleId="TOC1">
    <w:name w:val="toc 1"/>
    <w:basedOn w:val="Normal"/>
    <w:next w:val="Normal"/>
    <w:autoRedefine/>
    <w:uiPriority w:val="39"/>
    <w:rsid w:val="00330D8C"/>
    <w:pPr>
      <w:tabs>
        <w:tab w:val="left" w:pos="1134"/>
        <w:tab w:val="right" w:leader="dot" w:pos="9628"/>
      </w:tabs>
      <w:spacing w:after="100"/>
    </w:pPr>
    <w:rPr>
      <w:rFonts w:ascii="Arial" w:hAnsi="Arial"/>
      <w:sz w:val="20"/>
    </w:rPr>
  </w:style>
  <w:style w:type="paragraph" w:styleId="TOC2">
    <w:name w:val="toc 2"/>
    <w:basedOn w:val="Normal"/>
    <w:next w:val="Normal"/>
    <w:autoRedefine/>
    <w:semiHidden/>
    <w:rsid w:val="00330D8C"/>
    <w:pPr>
      <w:spacing w:before="120"/>
      <w:ind w:left="220"/>
    </w:pPr>
    <w:rPr>
      <w:i/>
      <w:iCs/>
      <w:sz w:val="20"/>
    </w:rPr>
  </w:style>
  <w:style w:type="paragraph" w:styleId="TOC3">
    <w:name w:val="toc 3"/>
    <w:basedOn w:val="Normal"/>
    <w:next w:val="Normal"/>
    <w:autoRedefine/>
    <w:uiPriority w:val="39"/>
    <w:rsid w:val="00330D8C"/>
    <w:pPr>
      <w:ind w:left="440"/>
    </w:pPr>
    <w:rPr>
      <w:sz w:val="20"/>
    </w:rPr>
  </w:style>
  <w:style w:type="paragraph" w:styleId="TOC4">
    <w:name w:val="toc 4"/>
    <w:basedOn w:val="Normal"/>
    <w:next w:val="Normal"/>
    <w:autoRedefine/>
    <w:semiHidden/>
    <w:rsid w:val="00330D8C"/>
    <w:pPr>
      <w:ind w:left="660"/>
    </w:pPr>
    <w:rPr>
      <w:sz w:val="20"/>
    </w:rPr>
  </w:style>
  <w:style w:type="paragraph" w:styleId="TOC5">
    <w:name w:val="toc 5"/>
    <w:basedOn w:val="Normal"/>
    <w:next w:val="Normal"/>
    <w:autoRedefine/>
    <w:semiHidden/>
    <w:rsid w:val="00330D8C"/>
    <w:pPr>
      <w:ind w:left="880"/>
    </w:pPr>
    <w:rPr>
      <w:sz w:val="20"/>
    </w:rPr>
  </w:style>
  <w:style w:type="paragraph" w:styleId="TOC6">
    <w:name w:val="toc 6"/>
    <w:basedOn w:val="Normal"/>
    <w:next w:val="Normal"/>
    <w:autoRedefine/>
    <w:semiHidden/>
    <w:rsid w:val="00330D8C"/>
    <w:pPr>
      <w:ind w:left="1100"/>
    </w:pPr>
    <w:rPr>
      <w:sz w:val="20"/>
    </w:rPr>
  </w:style>
  <w:style w:type="paragraph" w:styleId="TOC7">
    <w:name w:val="toc 7"/>
    <w:basedOn w:val="Normal"/>
    <w:next w:val="Normal"/>
    <w:autoRedefine/>
    <w:semiHidden/>
    <w:rsid w:val="00330D8C"/>
    <w:pPr>
      <w:ind w:left="1320"/>
    </w:pPr>
    <w:rPr>
      <w:sz w:val="20"/>
    </w:rPr>
  </w:style>
  <w:style w:type="paragraph" w:styleId="TOC8">
    <w:name w:val="toc 8"/>
    <w:basedOn w:val="Normal"/>
    <w:next w:val="Normal"/>
    <w:autoRedefine/>
    <w:semiHidden/>
    <w:rsid w:val="00330D8C"/>
    <w:pPr>
      <w:ind w:left="1540"/>
    </w:pPr>
    <w:rPr>
      <w:sz w:val="20"/>
    </w:rPr>
  </w:style>
  <w:style w:type="paragraph" w:styleId="TOC9">
    <w:name w:val="toc 9"/>
    <w:basedOn w:val="Normal"/>
    <w:next w:val="Normal"/>
    <w:autoRedefine/>
    <w:semiHidden/>
    <w:rsid w:val="00330D8C"/>
    <w:pPr>
      <w:ind w:left="1760"/>
    </w:pPr>
    <w:rPr>
      <w:sz w:val="20"/>
    </w:rPr>
  </w:style>
  <w:style w:type="paragraph" w:styleId="TOCHeading">
    <w:name w:val="TOC Heading"/>
    <w:basedOn w:val="Heading1"/>
    <w:next w:val="Normal"/>
    <w:uiPriority w:val="39"/>
    <w:unhideWhenUsed/>
    <w:qFormat/>
    <w:rsid w:val="00330D8C"/>
    <w:pPr>
      <w:keepLines/>
      <w:spacing w:before="480" w:after="0" w:line="276" w:lineRule="auto"/>
      <w:outlineLvl w:val="9"/>
    </w:pPr>
    <w:rPr>
      <w:rFonts w:asciiTheme="majorHAnsi" w:eastAsiaTheme="majorEastAsia" w:hAnsiTheme="majorHAnsi" w:cstheme="majorBidi"/>
      <w:b/>
      <w:bCs/>
      <w:color w:val="365F91" w:themeColor="accent1" w:themeShade="BF"/>
      <w:kern w:val="0"/>
      <w:sz w:val="28"/>
      <w:szCs w:val="28"/>
      <w:lang w:val="en-US" w:eastAsia="ja-JP"/>
    </w:rPr>
  </w:style>
  <w:style w:type="paragraph" w:customStyle="1" w:styleId="UnderlineItalics">
    <w:name w:val="Underline Italics"/>
    <w:basedOn w:val="Normal"/>
    <w:qFormat/>
    <w:rsid w:val="00330D8C"/>
    <w:rPr>
      <w:i/>
      <w:u w:val="single"/>
    </w:rPr>
  </w:style>
  <w:style w:type="paragraph" w:customStyle="1" w:styleId="xl141">
    <w:name w:val="xl141"/>
    <w:basedOn w:val="Normal"/>
    <w:rsid w:val="00330D8C"/>
    <w:pPr>
      <w:spacing w:before="100" w:beforeAutospacing="1" w:after="100" w:afterAutospacing="1" w:line="240" w:lineRule="auto"/>
    </w:pPr>
    <w:rPr>
      <w:rFonts w:ascii="Times New Roman" w:hAnsi="Times New Roman"/>
      <w:sz w:val="16"/>
      <w:szCs w:val="16"/>
      <w:lang w:eastAsia="en-AU"/>
    </w:rPr>
  </w:style>
  <w:style w:type="paragraph" w:customStyle="1" w:styleId="xl142">
    <w:name w:val="xl142"/>
    <w:basedOn w:val="Normal"/>
    <w:rsid w:val="00330D8C"/>
    <w:pPr>
      <w:pBdr>
        <w:top w:val="single" w:sz="4" w:space="0" w:color="auto"/>
        <w:bottom w:val="single" w:sz="4" w:space="0" w:color="auto"/>
      </w:pBdr>
      <w:shd w:val="clear" w:color="FFFFFF" w:fill="FFFFFF"/>
      <w:spacing w:before="100" w:beforeAutospacing="1" w:after="100" w:afterAutospacing="1" w:line="240" w:lineRule="auto"/>
      <w:jc w:val="right"/>
    </w:pPr>
    <w:rPr>
      <w:b/>
      <w:bCs/>
      <w:szCs w:val="18"/>
      <w:lang w:eastAsia="en-AU"/>
    </w:rPr>
  </w:style>
  <w:style w:type="paragraph" w:customStyle="1" w:styleId="xl143">
    <w:name w:val="xl143"/>
    <w:basedOn w:val="Normal"/>
    <w:rsid w:val="00330D8C"/>
    <w:pPr>
      <w:shd w:val="clear" w:color="FFFFFF" w:fill="FFFFFF"/>
      <w:spacing w:before="100" w:beforeAutospacing="1" w:after="100" w:afterAutospacing="1" w:line="240" w:lineRule="auto"/>
      <w:ind w:firstLineChars="100" w:firstLine="100"/>
    </w:pPr>
    <w:rPr>
      <w:szCs w:val="18"/>
      <w:lang w:eastAsia="en-AU"/>
    </w:rPr>
  </w:style>
  <w:style w:type="paragraph" w:customStyle="1" w:styleId="xl144">
    <w:name w:val="xl144"/>
    <w:basedOn w:val="Normal"/>
    <w:rsid w:val="00330D8C"/>
    <w:pPr>
      <w:pBdr>
        <w:bottom w:val="single" w:sz="4" w:space="0" w:color="auto"/>
      </w:pBdr>
      <w:shd w:val="clear" w:color="FFFFFF" w:fill="FFFFFF"/>
      <w:spacing w:before="100" w:beforeAutospacing="1" w:after="100" w:afterAutospacing="1" w:line="240" w:lineRule="auto"/>
      <w:jc w:val="right"/>
    </w:pPr>
    <w:rPr>
      <w:b/>
      <w:bCs/>
      <w:szCs w:val="18"/>
      <w:lang w:eastAsia="en-AU"/>
    </w:rPr>
  </w:style>
  <w:style w:type="paragraph" w:customStyle="1" w:styleId="xl145">
    <w:name w:val="xl145"/>
    <w:basedOn w:val="Normal"/>
    <w:rsid w:val="00330D8C"/>
    <w:pPr>
      <w:shd w:val="clear" w:color="FFFFFF" w:fill="FFFFFF"/>
      <w:spacing w:before="100" w:beforeAutospacing="1" w:after="100" w:afterAutospacing="1" w:line="240" w:lineRule="auto"/>
    </w:pPr>
    <w:rPr>
      <w:b/>
      <w:bCs/>
      <w:szCs w:val="18"/>
      <w:lang w:eastAsia="en-AU"/>
    </w:rPr>
  </w:style>
  <w:style w:type="paragraph" w:customStyle="1" w:styleId="xl146">
    <w:name w:val="xl146"/>
    <w:basedOn w:val="Normal"/>
    <w:rsid w:val="00330D8C"/>
    <w:pPr>
      <w:shd w:val="clear" w:color="FFFFFF" w:fill="FFFFFF"/>
      <w:spacing w:before="100" w:beforeAutospacing="1" w:after="100" w:afterAutospacing="1" w:line="240" w:lineRule="auto"/>
    </w:pPr>
    <w:rPr>
      <w:b/>
      <w:bCs/>
      <w:szCs w:val="18"/>
      <w:lang w:eastAsia="en-AU"/>
    </w:rPr>
  </w:style>
  <w:style w:type="paragraph" w:customStyle="1" w:styleId="xl147">
    <w:name w:val="xl147"/>
    <w:basedOn w:val="Normal"/>
    <w:rsid w:val="00330D8C"/>
    <w:pPr>
      <w:shd w:val="clear" w:color="FFFFFF" w:fill="FFFFFF"/>
      <w:spacing w:before="100" w:beforeAutospacing="1" w:after="100" w:afterAutospacing="1" w:line="240" w:lineRule="auto"/>
    </w:pPr>
    <w:rPr>
      <w:rFonts w:ascii="Times New Roman" w:hAnsi="Times New Roman"/>
      <w:szCs w:val="18"/>
      <w:lang w:eastAsia="en-AU"/>
    </w:rPr>
  </w:style>
  <w:style w:type="paragraph" w:customStyle="1" w:styleId="xl148">
    <w:name w:val="xl148"/>
    <w:basedOn w:val="Normal"/>
    <w:rsid w:val="00330D8C"/>
    <w:pPr>
      <w:pBdr>
        <w:top w:val="single" w:sz="4" w:space="0" w:color="auto"/>
        <w:bottom w:val="single" w:sz="4" w:space="0" w:color="auto"/>
      </w:pBdr>
      <w:shd w:val="clear" w:color="FFFFFF" w:fill="FFFFFF"/>
      <w:spacing w:before="100" w:beforeAutospacing="1" w:after="100" w:afterAutospacing="1" w:line="240" w:lineRule="auto"/>
    </w:pPr>
    <w:rPr>
      <w:b/>
      <w:bCs/>
      <w:szCs w:val="18"/>
      <w:lang w:eastAsia="en-AU"/>
    </w:rPr>
  </w:style>
  <w:style w:type="paragraph" w:customStyle="1" w:styleId="xl149">
    <w:name w:val="xl149"/>
    <w:basedOn w:val="Normal"/>
    <w:rsid w:val="00330D8C"/>
    <w:pPr>
      <w:pBdr>
        <w:top w:val="single" w:sz="4" w:space="0" w:color="auto"/>
        <w:bottom w:val="single" w:sz="4" w:space="0" w:color="auto"/>
      </w:pBdr>
      <w:shd w:val="clear" w:color="FFFFFF" w:fill="FFFFFF"/>
      <w:spacing w:before="100" w:beforeAutospacing="1" w:after="100" w:afterAutospacing="1" w:line="240" w:lineRule="auto"/>
    </w:pPr>
    <w:rPr>
      <w:rFonts w:ascii="Times New Roman" w:hAnsi="Times New Roman"/>
      <w:szCs w:val="18"/>
      <w:lang w:eastAsia="en-AU"/>
    </w:rPr>
  </w:style>
  <w:style w:type="paragraph" w:customStyle="1" w:styleId="xl150">
    <w:name w:val="xl150"/>
    <w:basedOn w:val="Normal"/>
    <w:rsid w:val="00330D8C"/>
    <w:pPr>
      <w:pBdr>
        <w:bottom w:val="single" w:sz="4" w:space="0" w:color="auto"/>
      </w:pBdr>
      <w:shd w:val="clear" w:color="FFFFFF" w:fill="FFFFFF"/>
      <w:spacing w:before="100" w:beforeAutospacing="1" w:after="100" w:afterAutospacing="1" w:line="240" w:lineRule="auto"/>
    </w:pPr>
    <w:rPr>
      <w:b/>
      <w:bCs/>
      <w:szCs w:val="18"/>
      <w:lang w:eastAsia="en-AU"/>
    </w:rPr>
  </w:style>
  <w:style w:type="paragraph" w:customStyle="1" w:styleId="xl151">
    <w:name w:val="xl151"/>
    <w:basedOn w:val="Normal"/>
    <w:rsid w:val="00330D8C"/>
    <w:pPr>
      <w:pBdr>
        <w:top w:val="single" w:sz="4" w:space="0" w:color="auto"/>
        <w:bottom w:val="single" w:sz="4" w:space="0" w:color="auto"/>
      </w:pBdr>
      <w:shd w:val="clear" w:color="FFFFFF" w:fill="FFFFFF"/>
      <w:spacing w:before="100" w:beforeAutospacing="1" w:after="100" w:afterAutospacing="1" w:line="240" w:lineRule="auto"/>
    </w:pPr>
    <w:rPr>
      <w:b/>
      <w:bCs/>
      <w:szCs w:val="18"/>
      <w:lang w:eastAsia="en-AU"/>
    </w:rPr>
  </w:style>
  <w:style w:type="paragraph" w:customStyle="1" w:styleId="xl152">
    <w:name w:val="xl152"/>
    <w:basedOn w:val="Normal"/>
    <w:rsid w:val="00330D8C"/>
    <w:pPr>
      <w:shd w:val="clear" w:color="FFFFFF" w:fill="FFFFFF"/>
      <w:spacing w:before="100" w:beforeAutospacing="1" w:after="100" w:afterAutospacing="1" w:line="240" w:lineRule="auto"/>
    </w:pPr>
    <w:rPr>
      <w:szCs w:val="18"/>
      <w:lang w:eastAsia="en-AU"/>
    </w:rPr>
  </w:style>
  <w:style w:type="paragraph" w:customStyle="1" w:styleId="xl153">
    <w:name w:val="xl153"/>
    <w:basedOn w:val="Normal"/>
    <w:rsid w:val="00330D8C"/>
    <w:pPr>
      <w:shd w:val="clear" w:color="FFFFFF" w:fill="FFFFFF"/>
      <w:spacing w:before="100" w:beforeAutospacing="1" w:after="100" w:afterAutospacing="1" w:line="240" w:lineRule="auto"/>
      <w:jc w:val="right"/>
    </w:pPr>
    <w:rPr>
      <w:b/>
      <w:bCs/>
      <w:szCs w:val="18"/>
      <w:lang w:eastAsia="en-AU"/>
    </w:rPr>
  </w:style>
  <w:style w:type="paragraph" w:customStyle="1" w:styleId="xl154">
    <w:name w:val="xl154"/>
    <w:basedOn w:val="Normal"/>
    <w:rsid w:val="00330D8C"/>
    <w:pPr>
      <w:shd w:val="clear" w:color="000000" w:fill="4F81BD"/>
      <w:spacing w:before="100" w:beforeAutospacing="1" w:after="100" w:afterAutospacing="1" w:line="240" w:lineRule="auto"/>
    </w:pPr>
    <w:rPr>
      <w:rFonts w:ascii="Times New Roman" w:hAnsi="Times New Roman"/>
      <w:color w:val="FFFFFF"/>
      <w:sz w:val="16"/>
      <w:szCs w:val="16"/>
      <w:lang w:eastAsia="en-AU"/>
    </w:rPr>
  </w:style>
  <w:style w:type="paragraph" w:customStyle="1" w:styleId="xl155">
    <w:name w:val="xl155"/>
    <w:basedOn w:val="Normal"/>
    <w:rsid w:val="00330D8C"/>
    <w:pPr>
      <w:shd w:val="clear" w:color="FFFFFF" w:fill="FFFFFF"/>
      <w:spacing w:before="100" w:beforeAutospacing="1" w:after="100" w:afterAutospacing="1" w:line="240" w:lineRule="auto"/>
      <w:textAlignment w:val="top"/>
    </w:pPr>
    <w:rPr>
      <w:b/>
      <w:bCs/>
      <w:szCs w:val="18"/>
      <w:lang w:eastAsia="en-AU"/>
    </w:rPr>
  </w:style>
  <w:style w:type="paragraph" w:customStyle="1" w:styleId="xl156">
    <w:name w:val="xl156"/>
    <w:basedOn w:val="Normal"/>
    <w:rsid w:val="00330D8C"/>
    <w:pPr>
      <w:shd w:val="clear" w:color="FFFFFF" w:fill="FFFFFF"/>
      <w:spacing w:before="100" w:beforeAutospacing="1" w:after="100" w:afterAutospacing="1" w:line="240" w:lineRule="auto"/>
      <w:textAlignment w:val="top"/>
    </w:pPr>
    <w:rPr>
      <w:rFonts w:ascii="Times New Roman" w:hAnsi="Times New Roman"/>
      <w:b/>
      <w:bCs/>
      <w:szCs w:val="18"/>
      <w:lang w:eastAsia="en-AU"/>
    </w:rPr>
  </w:style>
  <w:style w:type="paragraph" w:customStyle="1" w:styleId="xl157">
    <w:name w:val="xl157"/>
    <w:basedOn w:val="Normal"/>
    <w:rsid w:val="00330D8C"/>
    <w:pPr>
      <w:shd w:val="clear" w:color="FFFFFF" w:fill="FFFFFF"/>
      <w:spacing w:before="100" w:beforeAutospacing="1" w:after="100" w:afterAutospacing="1" w:line="240" w:lineRule="auto"/>
    </w:pPr>
    <w:rPr>
      <w:b/>
      <w:bCs/>
      <w:szCs w:val="18"/>
      <w:u w:val="single"/>
      <w:lang w:eastAsia="en-AU"/>
    </w:rPr>
  </w:style>
  <w:style w:type="paragraph" w:customStyle="1" w:styleId="xl158">
    <w:name w:val="xl158"/>
    <w:basedOn w:val="Normal"/>
    <w:rsid w:val="00330D8C"/>
    <w:pPr>
      <w:shd w:val="clear" w:color="FFFFFF" w:fill="FFFFFF"/>
      <w:spacing w:before="100" w:beforeAutospacing="1" w:after="100" w:afterAutospacing="1" w:line="240" w:lineRule="auto"/>
    </w:pPr>
    <w:rPr>
      <w:b/>
      <w:bCs/>
      <w:szCs w:val="18"/>
      <w:u w:val="single"/>
      <w:lang w:eastAsia="en-AU"/>
    </w:rPr>
  </w:style>
  <w:style w:type="paragraph" w:customStyle="1" w:styleId="xl159">
    <w:name w:val="xl159"/>
    <w:basedOn w:val="Normal"/>
    <w:rsid w:val="00330D8C"/>
    <w:pPr>
      <w:shd w:val="clear" w:color="FFFFFF" w:fill="FFFFFF"/>
      <w:spacing w:before="100" w:beforeAutospacing="1" w:after="100" w:afterAutospacing="1" w:line="240" w:lineRule="auto"/>
    </w:pPr>
    <w:rPr>
      <w:rFonts w:cs="Calibri"/>
      <w:b/>
      <w:bCs/>
      <w:szCs w:val="18"/>
      <w:u w:val="single"/>
      <w:lang w:eastAsia="en-AU"/>
    </w:rPr>
  </w:style>
  <w:style w:type="paragraph" w:customStyle="1" w:styleId="xl160">
    <w:name w:val="xl160"/>
    <w:basedOn w:val="Normal"/>
    <w:rsid w:val="00330D8C"/>
    <w:pPr>
      <w:shd w:val="clear" w:color="FFFFFF" w:fill="FFFFFF"/>
      <w:spacing w:before="100" w:beforeAutospacing="1" w:after="100" w:afterAutospacing="1" w:line="240" w:lineRule="auto"/>
    </w:pPr>
    <w:rPr>
      <w:rFonts w:cs="Calibri"/>
      <w:b/>
      <w:bCs/>
      <w:szCs w:val="18"/>
      <w:u w:val="single"/>
      <w:lang w:eastAsia="en-AU"/>
    </w:rPr>
  </w:style>
  <w:style w:type="paragraph" w:customStyle="1" w:styleId="xl161">
    <w:name w:val="xl161"/>
    <w:basedOn w:val="Normal"/>
    <w:rsid w:val="00330D8C"/>
    <w:pPr>
      <w:pBdr>
        <w:top w:val="single" w:sz="4" w:space="0" w:color="auto"/>
        <w:bottom w:val="single" w:sz="4" w:space="0" w:color="auto"/>
      </w:pBdr>
      <w:shd w:val="clear" w:color="FFFFFF" w:fill="FFFFFF"/>
      <w:spacing w:before="100" w:beforeAutospacing="1" w:after="100" w:afterAutospacing="1" w:line="240" w:lineRule="auto"/>
      <w:jc w:val="center"/>
    </w:pPr>
    <w:rPr>
      <w:rFonts w:cs="Calibri"/>
      <w:b/>
      <w:bCs/>
      <w:szCs w:val="18"/>
      <w:lang w:eastAsia="en-AU"/>
    </w:rPr>
  </w:style>
  <w:style w:type="paragraph" w:customStyle="1" w:styleId="xl162">
    <w:name w:val="xl162"/>
    <w:basedOn w:val="Normal"/>
    <w:rsid w:val="00330D8C"/>
    <w:pPr>
      <w:shd w:val="clear" w:color="FFFFFF" w:fill="FFFFFF"/>
      <w:spacing w:before="100" w:beforeAutospacing="1" w:after="100" w:afterAutospacing="1" w:line="240" w:lineRule="auto"/>
      <w:jc w:val="right"/>
    </w:pPr>
    <w:rPr>
      <w:rFonts w:cs="Calibri"/>
      <w:szCs w:val="18"/>
      <w:lang w:eastAsia="en-AU"/>
    </w:rPr>
  </w:style>
  <w:style w:type="paragraph" w:customStyle="1" w:styleId="xl163">
    <w:name w:val="xl163"/>
    <w:basedOn w:val="Normal"/>
    <w:rsid w:val="00330D8C"/>
    <w:pPr>
      <w:pBdr>
        <w:top w:val="single" w:sz="4" w:space="0" w:color="auto"/>
        <w:bottom w:val="single" w:sz="4" w:space="0" w:color="auto"/>
      </w:pBdr>
      <w:shd w:val="clear" w:color="FFFFFF" w:fill="FFFFFF"/>
      <w:spacing w:before="100" w:beforeAutospacing="1" w:after="100" w:afterAutospacing="1" w:line="240" w:lineRule="auto"/>
      <w:jc w:val="right"/>
    </w:pPr>
    <w:rPr>
      <w:rFonts w:cs="Calibri"/>
      <w:szCs w:val="18"/>
      <w:lang w:eastAsia="en-AU"/>
    </w:rPr>
  </w:style>
  <w:style w:type="paragraph" w:customStyle="1" w:styleId="xl164">
    <w:name w:val="xl164"/>
    <w:basedOn w:val="Normal"/>
    <w:rsid w:val="00330D8C"/>
    <w:pPr>
      <w:shd w:val="clear" w:color="000000" w:fill="D9D9D9"/>
      <w:spacing w:before="100" w:beforeAutospacing="1" w:after="100" w:afterAutospacing="1" w:line="240" w:lineRule="auto"/>
    </w:pPr>
    <w:rPr>
      <w:rFonts w:ascii="Times New Roman" w:hAnsi="Times New Roman"/>
      <w:szCs w:val="18"/>
      <w:lang w:eastAsia="en-AU"/>
    </w:rPr>
  </w:style>
  <w:style w:type="paragraph" w:customStyle="1" w:styleId="zcontents">
    <w:name w:val="zcontents"/>
    <w:basedOn w:val="Normal"/>
    <w:semiHidden/>
    <w:rsid w:val="00330D8C"/>
    <w:pPr>
      <w:spacing w:after="260" w:line="240" w:lineRule="auto"/>
    </w:pPr>
    <w:rPr>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footer" w:uiPriority="0"/>
    <w:lsdException w:name="index heading" w:uiPriority="0"/>
    <w:lsdException w:name="caption" w:uiPriority="0" w:qFormat="1"/>
    <w:lsdException w:name="table of figures"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D8C"/>
    <w:pPr>
      <w:spacing w:after="0" w:line="260" w:lineRule="atLeast"/>
    </w:pPr>
    <w:rPr>
      <w:rFonts w:ascii="Calibri" w:hAnsi="Calibri" w:cs="Times New Roman"/>
      <w:sz w:val="18"/>
      <w:szCs w:val="20"/>
    </w:rPr>
  </w:style>
  <w:style w:type="paragraph" w:styleId="Heading1">
    <w:name w:val="heading 1"/>
    <w:aliases w:val="Heading 1 do not use,Section heading 1,Front Page Title,1.,Para 1,Para 11"/>
    <w:basedOn w:val="Normal"/>
    <w:next w:val="Normal"/>
    <w:link w:val="Heading1Char"/>
    <w:qFormat/>
    <w:rsid w:val="00330D8C"/>
    <w:pPr>
      <w:keepNext/>
      <w:spacing w:before="240" w:after="60"/>
      <w:outlineLvl w:val="0"/>
    </w:pPr>
    <w:rPr>
      <w:rFonts w:ascii="Arial" w:eastAsiaTheme="minorEastAsia" w:hAnsi="Arial" w:cs="Arial"/>
      <w:kern w:val="32"/>
      <w:sz w:val="32"/>
      <w:szCs w:val="32"/>
    </w:rPr>
  </w:style>
  <w:style w:type="paragraph" w:styleId="Heading2">
    <w:name w:val="heading 2"/>
    <w:aliases w:val="Heading 2 do not use,Front Page List of Sections"/>
    <w:basedOn w:val="Normal"/>
    <w:next w:val="Normal"/>
    <w:link w:val="Heading2Char"/>
    <w:qFormat/>
    <w:rsid w:val="00330D8C"/>
    <w:pPr>
      <w:keepNext/>
      <w:spacing w:before="240" w:after="60"/>
      <w:outlineLvl w:val="1"/>
    </w:pPr>
    <w:rPr>
      <w:rFonts w:ascii="Arial" w:eastAsiaTheme="minorEastAsia" w:hAnsi="Arial" w:cs="Arial"/>
      <w:i/>
      <w:iCs/>
      <w:sz w:val="28"/>
      <w:szCs w:val="28"/>
    </w:rPr>
  </w:style>
  <w:style w:type="paragraph" w:styleId="Heading3">
    <w:name w:val="heading 3"/>
    <w:aliases w:val="Heading 3 do not use"/>
    <w:basedOn w:val="Normal"/>
    <w:next w:val="Normal"/>
    <w:link w:val="Heading3Char"/>
    <w:qFormat/>
    <w:rsid w:val="00330D8C"/>
    <w:pPr>
      <w:keepNext/>
      <w:spacing w:before="240" w:after="60"/>
      <w:outlineLvl w:val="2"/>
    </w:pPr>
    <w:rPr>
      <w:rFonts w:ascii="Arial" w:eastAsiaTheme="minorEastAsia" w:hAnsi="Arial" w:cs="Arial"/>
      <w:sz w:val="26"/>
      <w:szCs w:val="26"/>
    </w:rPr>
  </w:style>
  <w:style w:type="paragraph" w:styleId="Heading4">
    <w:name w:val="heading 4"/>
    <w:basedOn w:val="Normal"/>
    <w:link w:val="Heading4Char"/>
    <w:qFormat/>
    <w:rsid w:val="00330D8C"/>
    <w:pPr>
      <w:spacing w:before="130" w:after="130"/>
      <w:outlineLvl w:val="3"/>
    </w:pPr>
    <w:rPr>
      <w:rFonts w:eastAsiaTheme="minorEastAsia"/>
    </w:rPr>
  </w:style>
  <w:style w:type="paragraph" w:styleId="Heading5">
    <w:name w:val="heading 5"/>
    <w:basedOn w:val="Normal"/>
    <w:next w:val="Normal"/>
    <w:link w:val="Heading5Char"/>
    <w:qFormat/>
    <w:rsid w:val="00330D8C"/>
    <w:pPr>
      <w:outlineLvl w:val="4"/>
    </w:pPr>
    <w:rPr>
      <w:rFonts w:eastAsiaTheme="minorEastAsia"/>
    </w:rPr>
  </w:style>
  <w:style w:type="paragraph" w:styleId="Heading6">
    <w:name w:val="heading 6"/>
    <w:basedOn w:val="Normal"/>
    <w:next w:val="Normal"/>
    <w:link w:val="Heading6Char"/>
    <w:qFormat/>
    <w:rsid w:val="00330D8C"/>
    <w:pPr>
      <w:outlineLvl w:val="5"/>
    </w:pPr>
    <w:rPr>
      <w:rFonts w:eastAsiaTheme="minorEastAsia"/>
    </w:rPr>
  </w:style>
  <w:style w:type="paragraph" w:styleId="Heading7">
    <w:name w:val="heading 7"/>
    <w:aliases w:val="Section Sub-Heading 4"/>
    <w:basedOn w:val="Normal"/>
    <w:next w:val="Normal"/>
    <w:link w:val="Heading7Char"/>
    <w:qFormat/>
    <w:rsid w:val="00330D8C"/>
    <w:pPr>
      <w:outlineLvl w:val="6"/>
    </w:pPr>
  </w:style>
  <w:style w:type="paragraph" w:styleId="Heading8">
    <w:name w:val="heading 8"/>
    <w:basedOn w:val="Normal"/>
    <w:next w:val="Normal"/>
    <w:link w:val="Heading8Char"/>
    <w:qFormat/>
    <w:rsid w:val="00330D8C"/>
    <w:pPr>
      <w:outlineLvl w:val="7"/>
    </w:pPr>
  </w:style>
  <w:style w:type="paragraph" w:styleId="Heading9">
    <w:name w:val="heading 9"/>
    <w:basedOn w:val="Normal"/>
    <w:next w:val="Normal"/>
    <w:link w:val="Heading9Char"/>
    <w:qFormat/>
    <w:rsid w:val="00330D8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line">
    <w:name w:val="1/2 line"/>
    <w:basedOn w:val="Normal"/>
    <w:rsid w:val="00330D8C"/>
    <w:pPr>
      <w:spacing w:before="10" w:after="10" w:line="240" w:lineRule="auto"/>
    </w:pPr>
    <w:rPr>
      <w:sz w:val="20"/>
    </w:rPr>
  </w:style>
  <w:style w:type="character" w:customStyle="1" w:styleId="A18">
    <w:name w:val="A18"/>
    <w:uiPriority w:val="99"/>
    <w:rsid w:val="00330D8C"/>
    <w:rPr>
      <w:i/>
      <w:iCs/>
      <w:color w:val="000000"/>
      <w:sz w:val="14"/>
      <w:szCs w:val="14"/>
      <w:u w:val="single"/>
    </w:rPr>
  </w:style>
  <w:style w:type="paragraph" w:customStyle="1" w:styleId="AdminBlankGreyShade">
    <w:name w:val="Admin Blank Grey Shade"/>
    <w:next w:val="12line"/>
    <w:qFormat/>
    <w:rsid w:val="00330D8C"/>
    <w:pPr>
      <w:spacing w:after="0" w:line="240" w:lineRule="auto"/>
    </w:pPr>
    <w:rPr>
      <w:rFonts w:cstheme="minorHAnsi"/>
      <w:sz w:val="18"/>
      <w:szCs w:val="18"/>
      <w:lang w:eastAsia="en-AU"/>
    </w:rPr>
  </w:style>
  <w:style w:type="paragraph" w:customStyle="1" w:styleId="AdminCurrentYearDataGrey">
    <w:name w:val="Admin Current Year Data Grey"/>
    <w:qFormat/>
    <w:rsid w:val="00330D8C"/>
    <w:pPr>
      <w:spacing w:after="0" w:line="240" w:lineRule="auto"/>
      <w:jc w:val="right"/>
    </w:pPr>
    <w:rPr>
      <w:rFonts w:cstheme="minorHAnsi"/>
      <w:b/>
      <w:sz w:val="18"/>
      <w:szCs w:val="18"/>
      <w:lang w:eastAsia="en-AU"/>
    </w:rPr>
  </w:style>
  <w:style w:type="paragraph" w:customStyle="1" w:styleId="AdminCurrentYearDataNormal">
    <w:name w:val="Admin Current Year Data Normal"/>
    <w:qFormat/>
    <w:rsid w:val="00330D8C"/>
    <w:pPr>
      <w:spacing w:after="0" w:line="240" w:lineRule="auto"/>
      <w:jc w:val="right"/>
    </w:pPr>
    <w:rPr>
      <w:rFonts w:cstheme="minorHAnsi"/>
      <w:b/>
      <w:sz w:val="18"/>
      <w:szCs w:val="18"/>
      <w:lang w:eastAsia="en-AU"/>
    </w:rPr>
  </w:style>
  <w:style w:type="paragraph" w:customStyle="1" w:styleId="AdminCurrentYearHeadersGrey">
    <w:name w:val="Admin Current Year Headers Grey"/>
    <w:qFormat/>
    <w:rsid w:val="00330D8C"/>
    <w:pPr>
      <w:spacing w:after="0" w:line="240" w:lineRule="auto"/>
      <w:jc w:val="right"/>
    </w:pPr>
    <w:rPr>
      <w:rFonts w:cstheme="minorHAnsi"/>
      <w:b/>
      <w:sz w:val="18"/>
      <w:szCs w:val="18"/>
      <w:lang w:eastAsia="en-AU"/>
    </w:rPr>
  </w:style>
  <w:style w:type="paragraph" w:customStyle="1" w:styleId="AdminCurrentYearSubTotal">
    <w:name w:val="Admin Current Year SubTotal"/>
    <w:qFormat/>
    <w:rsid w:val="00330D8C"/>
    <w:pPr>
      <w:spacing w:after="0" w:line="240" w:lineRule="auto"/>
      <w:jc w:val="right"/>
    </w:pPr>
    <w:rPr>
      <w:rFonts w:cstheme="minorHAnsi"/>
      <w:b/>
      <w:sz w:val="18"/>
      <w:szCs w:val="18"/>
      <w:lang w:eastAsia="en-AU"/>
    </w:rPr>
  </w:style>
  <w:style w:type="paragraph" w:customStyle="1" w:styleId="AdminCurrentYearTotalGrey">
    <w:name w:val="Admin Current Year Total Grey"/>
    <w:qFormat/>
    <w:rsid w:val="00330D8C"/>
    <w:pPr>
      <w:spacing w:after="0" w:line="240" w:lineRule="auto"/>
      <w:jc w:val="right"/>
    </w:pPr>
    <w:rPr>
      <w:rFonts w:cstheme="minorHAnsi"/>
      <w:b/>
      <w:sz w:val="18"/>
      <w:szCs w:val="18"/>
      <w:lang w:eastAsia="en-AU"/>
    </w:rPr>
  </w:style>
  <w:style w:type="paragraph" w:customStyle="1" w:styleId="AdminRowTextHeaderBoldGrey">
    <w:name w:val="Admin Row Text Header Bold Grey"/>
    <w:qFormat/>
    <w:rsid w:val="00330D8C"/>
    <w:pPr>
      <w:spacing w:after="0" w:line="240" w:lineRule="auto"/>
    </w:pPr>
    <w:rPr>
      <w:rFonts w:cstheme="minorHAnsi"/>
      <w:b/>
      <w:sz w:val="18"/>
      <w:szCs w:val="18"/>
      <w:lang w:eastAsia="en-AU"/>
    </w:rPr>
  </w:style>
  <w:style w:type="paragraph" w:customStyle="1" w:styleId="AdminHeaderCentered">
    <w:name w:val="Admin Header Centered"/>
    <w:basedOn w:val="AdminRowTextHeaderBoldGrey"/>
    <w:qFormat/>
    <w:rsid w:val="00330D8C"/>
    <w:pPr>
      <w:jc w:val="center"/>
    </w:pPr>
  </w:style>
  <w:style w:type="paragraph" w:customStyle="1" w:styleId="AdminHeaderUnderlineGrey">
    <w:name w:val="Admin Header Underline Grey"/>
    <w:qFormat/>
    <w:rsid w:val="00330D8C"/>
    <w:pPr>
      <w:spacing w:after="0" w:line="240" w:lineRule="auto"/>
    </w:pPr>
    <w:rPr>
      <w:rFonts w:cstheme="minorHAnsi"/>
      <w:b/>
      <w:sz w:val="18"/>
      <w:szCs w:val="18"/>
      <w:u w:val="single"/>
      <w:lang w:eastAsia="en-AU"/>
    </w:rPr>
  </w:style>
  <w:style w:type="paragraph" w:customStyle="1" w:styleId="AdminPreviousYearDataNormal">
    <w:name w:val="Admin Previous Year Data Normal"/>
    <w:qFormat/>
    <w:rsid w:val="00330D8C"/>
    <w:pPr>
      <w:spacing w:after="0" w:line="240" w:lineRule="auto"/>
      <w:jc w:val="right"/>
    </w:pPr>
    <w:rPr>
      <w:rFonts w:cstheme="minorHAnsi"/>
      <w:sz w:val="18"/>
      <w:szCs w:val="18"/>
      <w:lang w:eastAsia="en-AU"/>
    </w:rPr>
  </w:style>
  <w:style w:type="paragraph" w:customStyle="1" w:styleId="AdminHeaderlineUnderlineGrey">
    <w:name w:val="Admin Headerline Underline Grey"/>
    <w:basedOn w:val="AdminPreviousYearDataNormal"/>
    <w:next w:val="12line"/>
    <w:qFormat/>
    <w:rsid w:val="00330D8C"/>
  </w:style>
  <w:style w:type="paragraph" w:customStyle="1" w:styleId="AdminManualEntryCell">
    <w:name w:val="Admin Manual Entry Cell"/>
    <w:qFormat/>
    <w:rsid w:val="00330D8C"/>
    <w:pPr>
      <w:spacing w:after="0" w:line="240" w:lineRule="auto"/>
      <w:jc w:val="right"/>
    </w:pPr>
    <w:rPr>
      <w:rFonts w:cstheme="minorHAnsi"/>
      <w:b/>
      <w:sz w:val="18"/>
      <w:szCs w:val="18"/>
      <w:lang w:eastAsia="en-AU"/>
    </w:rPr>
  </w:style>
  <w:style w:type="paragraph" w:customStyle="1" w:styleId="AdminManualEntryCellUnbold">
    <w:name w:val="Admin Manual Entry Cell Unbold"/>
    <w:qFormat/>
    <w:rsid w:val="00330D8C"/>
    <w:pPr>
      <w:spacing w:after="0" w:line="240" w:lineRule="auto"/>
      <w:jc w:val="right"/>
    </w:pPr>
    <w:rPr>
      <w:rFonts w:cstheme="minorHAnsi"/>
      <w:sz w:val="18"/>
      <w:szCs w:val="18"/>
      <w:lang w:eastAsia="en-AU"/>
    </w:rPr>
  </w:style>
  <w:style w:type="paragraph" w:customStyle="1" w:styleId="AdminNoteReferenceGrey">
    <w:name w:val="Admin Note Reference Grey"/>
    <w:qFormat/>
    <w:rsid w:val="00330D8C"/>
    <w:pPr>
      <w:spacing w:after="0" w:line="240" w:lineRule="auto"/>
      <w:jc w:val="center"/>
    </w:pPr>
    <w:rPr>
      <w:rFonts w:ascii="Calibri" w:hAnsi="Calibri" w:cs="Calibri"/>
      <w:sz w:val="18"/>
      <w:szCs w:val="18"/>
    </w:rPr>
  </w:style>
  <w:style w:type="paragraph" w:customStyle="1" w:styleId="AdminPreviousYearDataGrey">
    <w:name w:val="Admin Previous Year Data Grey"/>
    <w:qFormat/>
    <w:rsid w:val="00330D8C"/>
    <w:pPr>
      <w:spacing w:after="0" w:line="240" w:lineRule="auto"/>
      <w:jc w:val="right"/>
    </w:pPr>
    <w:rPr>
      <w:rFonts w:cstheme="minorHAnsi"/>
      <w:sz w:val="18"/>
      <w:szCs w:val="18"/>
      <w:lang w:eastAsia="en-AU"/>
    </w:rPr>
  </w:style>
  <w:style w:type="paragraph" w:customStyle="1" w:styleId="AdminPreviousYearHeaderGrey">
    <w:name w:val="Admin Previous Year Header Grey"/>
    <w:qFormat/>
    <w:rsid w:val="00330D8C"/>
    <w:pPr>
      <w:spacing w:after="0" w:line="240" w:lineRule="auto"/>
      <w:jc w:val="right"/>
    </w:pPr>
    <w:rPr>
      <w:rFonts w:ascii="Calibri" w:hAnsi="Calibri" w:cs="Calibri"/>
      <w:sz w:val="18"/>
      <w:szCs w:val="18"/>
    </w:rPr>
  </w:style>
  <w:style w:type="paragraph" w:customStyle="1" w:styleId="AdminPreviousYearHeadersGrey">
    <w:name w:val="Admin Previous Year Headers Grey"/>
    <w:basedOn w:val="AdminCurrentYearHeadersGrey"/>
    <w:qFormat/>
    <w:rsid w:val="00330D8C"/>
  </w:style>
  <w:style w:type="paragraph" w:customStyle="1" w:styleId="AdminPreviousYearTotalGrey">
    <w:name w:val="Admin Previous Year Total Grey"/>
    <w:qFormat/>
    <w:rsid w:val="00330D8C"/>
    <w:pPr>
      <w:spacing w:after="0" w:line="240" w:lineRule="auto"/>
      <w:jc w:val="right"/>
    </w:pPr>
    <w:rPr>
      <w:rFonts w:cstheme="minorHAnsi"/>
      <w:sz w:val="18"/>
      <w:szCs w:val="18"/>
      <w:lang w:eastAsia="en-AU"/>
    </w:rPr>
  </w:style>
  <w:style w:type="paragraph" w:customStyle="1" w:styleId="AdminRowTextGrey">
    <w:name w:val="Admin Row Text Grey"/>
    <w:qFormat/>
    <w:rsid w:val="00330D8C"/>
    <w:pPr>
      <w:spacing w:after="0" w:line="240" w:lineRule="auto"/>
    </w:pPr>
    <w:rPr>
      <w:rFonts w:cstheme="minorHAnsi"/>
      <w:sz w:val="18"/>
      <w:szCs w:val="18"/>
      <w:lang w:eastAsia="en-AU"/>
    </w:rPr>
  </w:style>
  <w:style w:type="paragraph" w:customStyle="1" w:styleId="DeptRowText">
    <w:name w:val="Dept Row Text"/>
    <w:qFormat/>
    <w:rsid w:val="00330D8C"/>
    <w:pPr>
      <w:spacing w:after="0" w:line="240" w:lineRule="auto"/>
    </w:pPr>
    <w:rPr>
      <w:rFonts w:cstheme="minorHAnsi"/>
      <w:sz w:val="18"/>
      <w:szCs w:val="18"/>
      <w:lang w:eastAsia="en-AU"/>
    </w:rPr>
  </w:style>
  <w:style w:type="paragraph" w:customStyle="1" w:styleId="DeptRowTextIndent">
    <w:name w:val="Dept Row Text Indent"/>
    <w:basedOn w:val="DeptRowText"/>
    <w:qFormat/>
    <w:rsid w:val="00330D8C"/>
    <w:pPr>
      <w:ind w:left="204"/>
    </w:pPr>
  </w:style>
  <w:style w:type="paragraph" w:customStyle="1" w:styleId="AdminRowTextIndent">
    <w:name w:val="Admin Row Text Indent"/>
    <w:basedOn w:val="DeptRowTextIndent"/>
    <w:qFormat/>
    <w:rsid w:val="00330D8C"/>
  </w:style>
  <w:style w:type="paragraph" w:customStyle="1" w:styleId="AdminRowTextIndentGrey">
    <w:name w:val="Admin Row Text Indent Grey"/>
    <w:basedOn w:val="AdminRowTextIndent"/>
    <w:qFormat/>
    <w:rsid w:val="00330D8C"/>
  </w:style>
  <w:style w:type="paragraph" w:customStyle="1" w:styleId="AdminRowTextNormal">
    <w:name w:val="Admin Row Text Normal"/>
    <w:qFormat/>
    <w:rsid w:val="00330D8C"/>
    <w:pPr>
      <w:spacing w:after="0" w:line="240" w:lineRule="auto"/>
    </w:pPr>
    <w:rPr>
      <w:rFonts w:ascii="Calibri" w:hAnsi="Calibri" w:cs="Calibri"/>
      <w:sz w:val="18"/>
      <w:szCs w:val="18"/>
    </w:rPr>
  </w:style>
  <w:style w:type="paragraph" w:customStyle="1" w:styleId="AdminRowTextSubTotal">
    <w:name w:val="Admin Row Text SubTotal"/>
    <w:qFormat/>
    <w:rsid w:val="00330D8C"/>
    <w:pPr>
      <w:spacing w:after="0" w:line="240" w:lineRule="auto"/>
    </w:pPr>
    <w:rPr>
      <w:rFonts w:cstheme="minorHAnsi"/>
      <w:sz w:val="18"/>
      <w:szCs w:val="18"/>
      <w:lang w:eastAsia="en-AU"/>
    </w:rPr>
  </w:style>
  <w:style w:type="paragraph" w:customStyle="1" w:styleId="AdminRowTextTotal">
    <w:name w:val="Admin Row Text Total"/>
    <w:basedOn w:val="Normal"/>
    <w:qFormat/>
    <w:rsid w:val="00330D8C"/>
    <w:rPr>
      <w:rFonts w:cs="Calibri"/>
      <w:b/>
      <w:bCs/>
      <w:i/>
      <w:iCs/>
      <w:szCs w:val="18"/>
    </w:rPr>
  </w:style>
  <w:style w:type="paragraph" w:styleId="BalloonText">
    <w:name w:val="Balloon Text"/>
    <w:basedOn w:val="Normal"/>
    <w:link w:val="BalloonTextChar"/>
    <w:semiHidden/>
    <w:rsid w:val="00330D8C"/>
    <w:rPr>
      <w:rFonts w:ascii="Tahoma" w:hAnsi="Tahoma" w:cs="Tahoma"/>
      <w:sz w:val="16"/>
      <w:szCs w:val="16"/>
    </w:rPr>
  </w:style>
  <w:style w:type="character" w:customStyle="1" w:styleId="BalloonTextChar">
    <w:name w:val="Balloon Text Char"/>
    <w:basedOn w:val="DefaultParagraphFont"/>
    <w:link w:val="BalloonText"/>
    <w:rsid w:val="00330D8C"/>
    <w:rPr>
      <w:rFonts w:ascii="Tahoma" w:hAnsi="Tahoma" w:cs="Tahoma"/>
      <w:sz w:val="16"/>
      <w:szCs w:val="16"/>
    </w:rPr>
  </w:style>
  <w:style w:type="paragraph" w:customStyle="1" w:styleId="BulletKPMG">
    <w:name w:val="Bullet KPMG"/>
    <w:basedOn w:val="Normal"/>
    <w:uiPriority w:val="99"/>
    <w:rsid w:val="00330D8C"/>
    <w:pPr>
      <w:tabs>
        <w:tab w:val="num" w:pos="473"/>
      </w:tabs>
      <w:spacing w:before="100" w:after="100" w:line="240" w:lineRule="auto"/>
      <w:ind w:left="357" w:hanging="357"/>
    </w:pPr>
    <w:rPr>
      <w:sz w:val="20"/>
      <w:lang w:val="en-US" w:eastAsia="en-AU"/>
    </w:rPr>
  </w:style>
  <w:style w:type="paragraph" w:styleId="Caption">
    <w:name w:val="caption"/>
    <w:basedOn w:val="Normal"/>
    <w:next w:val="Normal"/>
    <w:qFormat/>
    <w:rsid w:val="00330D8C"/>
    <w:pPr>
      <w:spacing w:after="200" w:line="240" w:lineRule="auto"/>
    </w:pPr>
    <w:rPr>
      <w:b/>
      <w:bCs/>
      <w:color w:val="4F81BD" w:themeColor="accent1"/>
      <w:szCs w:val="18"/>
    </w:rPr>
  </w:style>
  <w:style w:type="character" w:styleId="CommentReference">
    <w:name w:val="annotation reference"/>
    <w:basedOn w:val="DefaultParagraphFont"/>
    <w:uiPriority w:val="99"/>
    <w:semiHidden/>
    <w:rsid w:val="00330D8C"/>
    <w:rPr>
      <w:sz w:val="16"/>
      <w:szCs w:val="16"/>
    </w:rPr>
  </w:style>
  <w:style w:type="paragraph" w:styleId="CommentText">
    <w:name w:val="annotation text"/>
    <w:basedOn w:val="Normal"/>
    <w:link w:val="CommentTextChar"/>
    <w:uiPriority w:val="99"/>
    <w:semiHidden/>
    <w:rsid w:val="00330D8C"/>
    <w:rPr>
      <w:sz w:val="20"/>
    </w:rPr>
  </w:style>
  <w:style w:type="character" w:customStyle="1" w:styleId="CommentTextChar">
    <w:name w:val="Comment Text Char"/>
    <w:basedOn w:val="DefaultParagraphFont"/>
    <w:link w:val="CommentText"/>
    <w:uiPriority w:val="99"/>
    <w:rsid w:val="00330D8C"/>
    <w:rPr>
      <w:rFonts w:ascii="Calibri" w:hAnsi="Calibri" w:cs="Times New Roman"/>
      <w:sz w:val="20"/>
      <w:szCs w:val="20"/>
    </w:rPr>
  </w:style>
  <w:style w:type="paragraph" w:styleId="CommentSubject">
    <w:name w:val="annotation subject"/>
    <w:basedOn w:val="CommentText"/>
    <w:next w:val="CommentText"/>
    <w:link w:val="CommentSubjectChar"/>
    <w:semiHidden/>
    <w:rsid w:val="00330D8C"/>
    <w:rPr>
      <w:b/>
      <w:bCs/>
    </w:rPr>
  </w:style>
  <w:style w:type="character" w:customStyle="1" w:styleId="CommentSubjectChar">
    <w:name w:val="Comment Subject Char"/>
    <w:basedOn w:val="CommentTextChar"/>
    <w:link w:val="CommentSubject"/>
    <w:rsid w:val="00330D8C"/>
    <w:rPr>
      <w:rFonts w:ascii="Calibri" w:hAnsi="Calibri" w:cs="Times New Roman"/>
      <w:b/>
      <w:bCs/>
      <w:sz w:val="20"/>
      <w:szCs w:val="20"/>
    </w:rPr>
  </w:style>
  <w:style w:type="paragraph" w:customStyle="1" w:styleId="NotesHeading-Level1">
    <w:name w:val="Notes Heading - Level 1"/>
    <w:basedOn w:val="Normal"/>
    <w:link w:val="NotesHeading-Level1Char"/>
    <w:qFormat/>
    <w:rsid w:val="00330D8C"/>
    <w:pPr>
      <w:numPr>
        <w:numId w:val="13"/>
      </w:numPr>
      <w:ind w:right="607"/>
      <w:outlineLvl w:val="0"/>
    </w:pPr>
    <w:rPr>
      <w:rFonts w:asciiTheme="minorHAnsi" w:hAnsiTheme="minorHAnsi"/>
      <w:b/>
      <w:sz w:val="20"/>
    </w:rPr>
  </w:style>
  <w:style w:type="character" w:customStyle="1" w:styleId="NotesHeading-Level1Char">
    <w:name w:val="Notes Heading - Level 1 Char"/>
    <w:basedOn w:val="DefaultParagraphFont"/>
    <w:link w:val="NotesHeading-Level1"/>
    <w:locked/>
    <w:rsid w:val="00330D8C"/>
    <w:rPr>
      <w:rFonts w:cs="Times New Roman"/>
      <w:b/>
      <w:sz w:val="20"/>
      <w:szCs w:val="20"/>
    </w:rPr>
  </w:style>
  <w:style w:type="paragraph" w:customStyle="1" w:styleId="ContinuedNotesHeading-Level1">
    <w:name w:val="Continued Notes Heading - Level 1"/>
    <w:basedOn w:val="NotesHeading-Level1"/>
    <w:qFormat/>
    <w:rsid w:val="00330D8C"/>
    <w:pPr>
      <w:numPr>
        <w:numId w:val="0"/>
      </w:numPr>
      <w:spacing w:line="240" w:lineRule="auto"/>
      <w:outlineLvl w:val="9"/>
    </w:pPr>
  </w:style>
  <w:style w:type="numbering" w:customStyle="1" w:styleId="CurrentList1">
    <w:name w:val="Current List1"/>
    <w:rsid w:val="00330D8C"/>
    <w:pPr>
      <w:numPr>
        <w:numId w:val="10"/>
      </w:numPr>
    </w:pPr>
  </w:style>
  <w:style w:type="numbering" w:customStyle="1" w:styleId="CurrentList2">
    <w:name w:val="Current List2"/>
    <w:rsid w:val="00330D8C"/>
    <w:pPr>
      <w:numPr>
        <w:numId w:val="11"/>
      </w:numPr>
    </w:pPr>
  </w:style>
  <w:style w:type="paragraph" w:customStyle="1" w:styleId="CurrentYearDataTotalLevel1">
    <w:name w:val="Current Year Data Total Level 1"/>
    <w:basedOn w:val="Normal"/>
    <w:next w:val="Normal"/>
    <w:autoRedefine/>
    <w:uiPriority w:val="99"/>
    <w:rsid w:val="00330D8C"/>
    <w:pPr>
      <w:pBdr>
        <w:top w:val="single" w:sz="4" w:space="1" w:color="auto"/>
        <w:bottom w:val="double" w:sz="6" w:space="1" w:color="auto"/>
      </w:pBdr>
      <w:jc w:val="right"/>
    </w:pPr>
    <w:rPr>
      <w:b/>
      <w:szCs w:val="16"/>
    </w:rPr>
  </w:style>
  <w:style w:type="paragraph" w:customStyle="1" w:styleId="CurrentYearDataTotalLevel2">
    <w:name w:val="Current Year Data Total Level 2"/>
    <w:basedOn w:val="Normal"/>
    <w:link w:val="CurrentYearDataTotalLevel2Char"/>
    <w:uiPriority w:val="99"/>
    <w:rsid w:val="00330D8C"/>
    <w:pPr>
      <w:pBdr>
        <w:top w:val="single" w:sz="4" w:space="1" w:color="auto"/>
        <w:bottom w:val="single" w:sz="4" w:space="1" w:color="auto"/>
      </w:pBdr>
      <w:jc w:val="right"/>
    </w:pPr>
    <w:rPr>
      <w:b/>
    </w:rPr>
  </w:style>
  <w:style w:type="character" w:customStyle="1" w:styleId="CurrentYearDataTotalLevel2Char">
    <w:name w:val="Current Year Data Total Level 2 Char"/>
    <w:basedOn w:val="DefaultParagraphFont"/>
    <w:link w:val="CurrentYearDataTotalLevel2"/>
    <w:uiPriority w:val="99"/>
    <w:locked/>
    <w:rsid w:val="00330D8C"/>
    <w:rPr>
      <w:rFonts w:ascii="Calibri" w:hAnsi="Calibri" w:cs="Times New Roman"/>
      <w:b/>
      <w:sz w:val="18"/>
      <w:szCs w:val="20"/>
    </w:rPr>
  </w:style>
  <w:style w:type="paragraph" w:customStyle="1" w:styleId="Default">
    <w:name w:val="Default"/>
    <w:rsid w:val="00330D8C"/>
    <w:pPr>
      <w:autoSpaceDE w:val="0"/>
      <w:autoSpaceDN w:val="0"/>
      <w:adjustRightInd w:val="0"/>
      <w:spacing w:after="0" w:line="240" w:lineRule="auto"/>
    </w:pPr>
    <w:rPr>
      <w:rFonts w:ascii="Arial" w:hAnsi="Arial" w:cs="Arial"/>
      <w:color w:val="000000"/>
      <w:sz w:val="24"/>
      <w:szCs w:val="24"/>
      <w:lang w:eastAsia="en-AU"/>
    </w:rPr>
  </w:style>
  <w:style w:type="paragraph" w:customStyle="1" w:styleId="DeptRowTextTotal">
    <w:name w:val="Dept Row Text Total"/>
    <w:qFormat/>
    <w:rsid w:val="00330D8C"/>
    <w:pPr>
      <w:spacing w:after="0" w:line="240" w:lineRule="auto"/>
    </w:pPr>
    <w:rPr>
      <w:rFonts w:cstheme="minorHAnsi"/>
      <w:b/>
      <w:i/>
      <w:sz w:val="18"/>
      <w:szCs w:val="18"/>
    </w:rPr>
  </w:style>
  <w:style w:type="paragraph" w:customStyle="1" w:styleId="DeptBlankBlueShade">
    <w:name w:val="Dept Blank Blue Shade"/>
    <w:basedOn w:val="DeptRowTextTotal"/>
    <w:next w:val="12line"/>
    <w:qFormat/>
    <w:rsid w:val="00330D8C"/>
  </w:style>
  <w:style w:type="paragraph" w:customStyle="1" w:styleId="DeptCurrentYearData">
    <w:name w:val="Dept Current Year Data"/>
    <w:qFormat/>
    <w:rsid w:val="00330D8C"/>
    <w:pPr>
      <w:spacing w:after="0" w:line="240" w:lineRule="auto"/>
      <w:jc w:val="right"/>
    </w:pPr>
    <w:rPr>
      <w:rFonts w:cstheme="minorHAnsi"/>
      <w:b/>
      <w:sz w:val="18"/>
      <w:szCs w:val="18"/>
      <w:lang w:eastAsia="en-AU"/>
    </w:rPr>
  </w:style>
  <w:style w:type="paragraph" w:customStyle="1" w:styleId="DeptCurrentYearHeader">
    <w:name w:val="Dept Current Year Header"/>
    <w:basedOn w:val="Normal"/>
    <w:qFormat/>
    <w:rsid w:val="00330D8C"/>
    <w:pPr>
      <w:spacing w:line="240" w:lineRule="auto"/>
      <w:jc w:val="right"/>
    </w:pPr>
    <w:rPr>
      <w:rFonts w:asciiTheme="minorHAnsi" w:hAnsiTheme="minorHAnsi" w:cstheme="minorHAnsi"/>
      <w:b/>
      <w:szCs w:val="18"/>
      <w:lang w:eastAsia="en-AU"/>
    </w:rPr>
  </w:style>
  <w:style w:type="paragraph" w:customStyle="1" w:styleId="DeptCurrentYearSubTotal">
    <w:name w:val="Dept Current Year SubTotal"/>
    <w:qFormat/>
    <w:rsid w:val="00330D8C"/>
    <w:pPr>
      <w:spacing w:after="0" w:line="240" w:lineRule="auto"/>
      <w:jc w:val="right"/>
    </w:pPr>
    <w:rPr>
      <w:rFonts w:cstheme="minorHAnsi"/>
      <w:b/>
      <w:sz w:val="18"/>
      <w:szCs w:val="18"/>
      <w:lang w:eastAsia="en-AU"/>
    </w:rPr>
  </w:style>
  <w:style w:type="paragraph" w:customStyle="1" w:styleId="DeptCurrentYearTotal">
    <w:name w:val="Dept Current Year Total"/>
    <w:qFormat/>
    <w:rsid w:val="00330D8C"/>
    <w:pPr>
      <w:spacing w:after="0" w:line="240" w:lineRule="auto"/>
      <w:jc w:val="right"/>
    </w:pPr>
    <w:rPr>
      <w:rFonts w:cstheme="minorHAnsi"/>
      <w:b/>
      <w:sz w:val="18"/>
      <w:szCs w:val="18"/>
      <w:lang w:eastAsia="en-AU"/>
    </w:rPr>
  </w:style>
  <w:style w:type="paragraph" w:customStyle="1" w:styleId="DeptHeaderCentered">
    <w:name w:val="Dept Header Centered"/>
    <w:qFormat/>
    <w:rsid w:val="00330D8C"/>
    <w:pPr>
      <w:spacing w:after="0" w:line="240" w:lineRule="auto"/>
      <w:jc w:val="center"/>
    </w:pPr>
    <w:rPr>
      <w:rFonts w:cstheme="minorHAnsi"/>
      <w:b/>
      <w:sz w:val="18"/>
      <w:szCs w:val="18"/>
      <w:lang w:eastAsia="en-AU"/>
    </w:rPr>
  </w:style>
  <w:style w:type="paragraph" w:customStyle="1" w:styleId="DeptManualEntryBoldGreyShade">
    <w:name w:val="Dept Manual Entry Bold Grey Shade"/>
    <w:qFormat/>
    <w:rsid w:val="00330D8C"/>
    <w:pPr>
      <w:spacing w:after="0" w:line="240" w:lineRule="auto"/>
      <w:jc w:val="right"/>
    </w:pPr>
    <w:rPr>
      <w:rFonts w:ascii="Calibri" w:hAnsi="Calibri" w:cs="Calibri"/>
      <w:b/>
      <w:bCs/>
      <w:sz w:val="18"/>
      <w:szCs w:val="18"/>
    </w:rPr>
  </w:style>
  <w:style w:type="paragraph" w:customStyle="1" w:styleId="DeptManualEntryCell">
    <w:name w:val="Dept Manual Entry Cell"/>
    <w:basedOn w:val="Normal"/>
    <w:qFormat/>
    <w:rsid w:val="00330D8C"/>
    <w:pPr>
      <w:spacing w:line="240" w:lineRule="auto"/>
      <w:jc w:val="right"/>
    </w:pPr>
    <w:rPr>
      <w:rFonts w:asciiTheme="minorHAnsi" w:hAnsiTheme="minorHAnsi" w:cstheme="minorHAnsi"/>
      <w:b/>
      <w:szCs w:val="18"/>
      <w:lang w:eastAsia="en-AU"/>
    </w:rPr>
  </w:style>
  <w:style w:type="paragraph" w:customStyle="1" w:styleId="DeptManualEntryCellUnBold">
    <w:name w:val="Dept Manual Entry Cell UnBold"/>
    <w:basedOn w:val="DeptManualEntryCell"/>
    <w:qFormat/>
    <w:rsid w:val="00330D8C"/>
    <w:rPr>
      <w:b w:val="0"/>
    </w:rPr>
  </w:style>
  <w:style w:type="paragraph" w:customStyle="1" w:styleId="DeptManualEntryCellUnboldGreyShade">
    <w:name w:val="Dept Manual Entry Cell Unbold Grey Shade"/>
    <w:basedOn w:val="DeptManualEntryBoldGreyShade"/>
    <w:qFormat/>
    <w:rsid w:val="00330D8C"/>
    <w:rPr>
      <w:b w:val="0"/>
    </w:rPr>
  </w:style>
  <w:style w:type="paragraph" w:customStyle="1" w:styleId="DeptNoteHeadingUnderlined">
    <w:name w:val="Dept Note Heading Underlined"/>
    <w:qFormat/>
    <w:rsid w:val="00330D8C"/>
    <w:pPr>
      <w:spacing w:after="0" w:line="240" w:lineRule="auto"/>
    </w:pPr>
    <w:rPr>
      <w:rFonts w:cstheme="minorHAnsi"/>
      <w:b/>
      <w:sz w:val="18"/>
      <w:szCs w:val="18"/>
      <w:u w:val="single"/>
      <w:lang w:eastAsia="en-AU"/>
    </w:rPr>
  </w:style>
  <w:style w:type="paragraph" w:customStyle="1" w:styleId="DeptNoteReference">
    <w:name w:val="Dept Note Reference"/>
    <w:basedOn w:val="AdminCurrentYearSubTotal"/>
    <w:qFormat/>
    <w:rsid w:val="00330D8C"/>
    <w:pPr>
      <w:jc w:val="center"/>
    </w:pPr>
    <w:rPr>
      <w:b w:val="0"/>
    </w:rPr>
  </w:style>
  <w:style w:type="paragraph" w:customStyle="1" w:styleId="DeptPreviousYearData">
    <w:name w:val="Dept Previous Year Data"/>
    <w:qFormat/>
    <w:rsid w:val="00330D8C"/>
    <w:pPr>
      <w:spacing w:after="0" w:line="240" w:lineRule="auto"/>
      <w:jc w:val="right"/>
    </w:pPr>
    <w:rPr>
      <w:rFonts w:cstheme="minorHAnsi"/>
      <w:sz w:val="18"/>
      <w:szCs w:val="18"/>
      <w:lang w:eastAsia="en-AU"/>
    </w:rPr>
  </w:style>
  <w:style w:type="paragraph" w:customStyle="1" w:styleId="DeptPreviousYearHeader">
    <w:name w:val="Dept Previous Year Header"/>
    <w:qFormat/>
    <w:rsid w:val="00330D8C"/>
    <w:pPr>
      <w:spacing w:after="0" w:line="240" w:lineRule="auto"/>
      <w:jc w:val="right"/>
    </w:pPr>
    <w:rPr>
      <w:rFonts w:cstheme="minorHAnsi"/>
      <w:sz w:val="18"/>
      <w:szCs w:val="18"/>
      <w:lang w:eastAsia="en-AU"/>
    </w:rPr>
  </w:style>
  <w:style w:type="paragraph" w:customStyle="1" w:styleId="DeptPreviousYearSubTotal">
    <w:name w:val="Dept Previous Year SubTotal"/>
    <w:qFormat/>
    <w:rsid w:val="00330D8C"/>
    <w:pPr>
      <w:spacing w:after="0" w:line="240" w:lineRule="auto"/>
      <w:jc w:val="right"/>
    </w:pPr>
    <w:rPr>
      <w:rFonts w:cstheme="minorHAnsi"/>
      <w:sz w:val="18"/>
      <w:szCs w:val="18"/>
      <w:lang w:eastAsia="en-AU"/>
    </w:rPr>
  </w:style>
  <w:style w:type="paragraph" w:customStyle="1" w:styleId="DeptPreviousYearTotal">
    <w:name w:val="Dept Previous Year Total"/>
    <w:qFormat/>
    <w:rsid w:val="00330D8C"/>
    <w:pPr>
      <w:spacing w:after="0" w:line="240" w:lineRule="auto"/>
      <w:jc w:val="right"/>
    </w:pPr>
    <w:rPr>
      <w:rFonts w:cstheme="minorHAnsi"/>
      <w:sz w:val="18"/>
      <w:szCs w:val="18"/>
      <w:lang w:eastAsia="en-AU"/>
    </w:rPr>
  </w:style>
  <w:style w:type="character" w:customStyle="1" w:styleId="Heading1Char">
    <w:name w:val="Heading 1 Char"/>
    <w:aliases w:val="Heading 1 do not use Char,Section heading 1 Char,Front Page Title Char,1. Char,Para 1 Char,Para 11 Char"/>
    <w:basedOn w:val="DefaultParagraphFont"/>
    <w:link w:val="Heading1"/>
    <w:rsid w:val="00330D8C"/>
    <w:rPr>
      <w:rFonts w:ascii="Arial" w:eastAsiaTheme="minorEastAsia" w:hAnsi="Arial" w:cs="Arial"/>
      <w:kern w:val="32"/>
      <w:sz w:val="32"/>
      <w:szCs w:val="32"/>
    </w:rPr>
  </w:style>
  <w:style w:type="paragraph" w:customStyle="1" w:styleId="DeptRowTextDoubleIndent">
    <w:name w:val="Dept Row Text Double Indent"/>
    <w:basedOn w:val="DeptNoteReference"/>
    <w:qFormat/>
    <w:rsid w:val="00330D8C"/>
    <w:pPr>
      <w:tabs>
        <w:tab w:val="left" w:pos="204"/>
      </w:tabs>
      <w:ind w:left="487"/>
      <w:jc w:val="left"/>
    </w:pPr>
  </w:style>
  <w:style w:type="character" w:customStyle="1" w:styleId="Heading2Char">
    <w:name w:val="Heading 2 Char"/>
    <w:aliases w:val="Heading 2 do not use Char,Front Page List of Sections Char"/>
    <w:basedOn w:val="DefaultParagraphFont"/>
    <w:link w:val="Heading2"/>
    <w:rsid w:val="00330D8C"/>
    <w:rPr>
      <w:rFonts w:ascii="Arial" w:eastAsiaTheme="minorEastAsia" w:hAnsi="Arial" w:cs="Arial"/>
      <w:i/>
      <w:iCs/>
      <w:sz w:val="28"/>
      <w:szCs w:val="28"/>
    </w:rPr>
  </w:style>
  <w:style w:type="character" w:customStyle="1" w:styleId="Heading3Char">
    <w:name w:val="Heading 3 Char"/>
    <w:aliases w:val="Heading 3 do not use Char"/>
    <w:basedOn w:val="DefaultParagraphFont"/>
    <w:link w:val="Heading3"/>
    <w:rsid w:val="00330D8C"/>
    <w:rPr>
      <w:rFonts w:ascii="Arial" w:eastAsiaTheme="minorEastAsia" w:hAnsi="Arial" w:cs="Arial"/>
      <w:sz w:val="26"/>
      <w:szCs w:val="26"/>
    </w:rPr>
  </w:style>
  <w:style w:type="character" w:customStyle="1" w:styleId="Heading4Char">
    <w:name w:val="Heading 4 Char"/>
    <w:basedOn w:val="DefaultParagraphFont"/>
    <w:link w:val="Heading4"/>
    <w:rsid w:val="00330D8C"/>
    <w:rPr>
      <w:rFonts w:ascii="Calibri" w:eastAsiaTheme="minorEastAsia" w:hAnsi="Calibri" w:cs="Times New Roman"/>
      <w:sz w:val="18"/>
      <w:szCs w:val="20"/>
    </w:rPr>
  </w:style>
  <w:style w:type="character" w:customStyle="1" w:styleId="Heading5Char">
    <w:name w:val="Heading 5 Char"/>
    <w:basedOn w:val="DefaultParagraphFont"/>
    <w:link w:val="Heading5"/>
    <w:rsid w:val="00330D8C"/>
    <w:rPr>
      <w:rFonts w:ascii="Calibri" w:eastAsiaTheme="minorEastAsia" w:hAnsi="Calibri" w:cs="Times New Roman"/>
      <w:sz w:val="18"/>
      <w:szCs w:val="20"/>
    </w:rPr>
  </w:style>
  <w:style w:type="character" w:customStyle="1" w:styleId="Heading6Char">
    <w:name w:val="Heading 6 Char"/>
    <w:basedOn w:val="DefaultParagraphFont"/>
    <w:link w:val="Heading6"/>
    <w:rsid w:val="00330D8C"/>
    <w:rPr>
      <w:rFonts w:ascii="Calibri" w:eastAsiaTheme="minorEastAsia" w:hAnsi="Calibri" w:cs="Times New Roman"/>
      <w:sz w:val="18"/>
      <w:szCs w:val="20"/>
    </w:rPr>
  </w:style>
  <w:style w:type="character" w:customStyle="1" w:styleId="Heading7Char">
    <w:name w:val="Heading 7 Char"/>
    <w:aliases w:val="Section Sub-Heading 4 Char"/>
    <w:basedOn w:val="DefaultParagraphFont"/>
    <w:link w:val="Heading7"/>
    <w:rsid w:val="00330D8C"/>
    <w:rPr>
      <w:rFonts w:ascii="Calibri" w:hAnsi="Calibri" w:cs="Times New Roman"/>
      <w:sz w:val="18"/>
      <w:szCs w:val="20"/>
    </w:rPr>
  </w:style>
  <w:style w:type="character" w:customStyle="1" w:styleId="Heading8Char">
    <w:name w:val="Heading 8 Char"/>
    <w:basedOn w:val="DefaultParagraphFont"/>
    <w:link w:val="Heading8"/>
    <w:rsid w:val="00330D8C"/>
    <w:rPr>
      <w:rFonts w:ascii="Calibri" w:hAnsi="Calibri" w:cs="Times New Roman"/>
      <w:sz w:val="18"/>
      <w:szCs w:val="20"/>
    </w:rPr>
  </w:style>
  <w:style w:type="paragraph" w:customStyle="1" w:styleId="DeptRowTextHeader">
    <w:name w:val="Dept Row Text Header"/>
    <w:qFormat/>
    <w:rsid w:val="00330D8C"/>
    <w:pPr>
      <w:spacing w:after="0" w:line="240" w:lineRule="auto"/>
    </w:pPr>
    <w:rPr>
      <w:rFonts w:cstheme="minorHAnsi"/>
      <w:b/>
      <w:sz w:val="18"/>
      <w:szCs w:val="18"/>
      <w:lang w:eastAsia="en-AU"/>
    </w:rPr>
  </w:style>
  <w:style w:type="paragraph" w:customStyle="1" w:styleId="DeptRowTextSubTotal">
    <w:name w:val="Dept Row Text SubTotal"/>
    <w:basedOn w:val="Normal"/>
    <w:qFormat/>
    <w:rsid w:val="00330D8C"/>
    <w:rPr>
      <w:rFonts w:cs="Calibri"/>
      <w:b/>
      <w:bCs/>
      <w:szCs w:val="18"/>
    </w:rPr>
  </w:style>
  <w:style w:type="paragraph" w:styleId="DocumentMap">
    <w:name w:val="Document Map"/>
    <w:basedOn w:val="Normal"/>
    <w:link w:val="DocumentMapChar"/>
    <w:semiHidden/>
    <w:rsid w:val="00330D8C"/>
    <w:pPr>
      <w:shd w:val="clear" w:color="auto" w:fill="000080"/>
      <w:spacing w:line="240" w:lineRule="auto"/>
    </w:pPr>
    <w:rPr>
      <w:rFonts w:ascii="Tahoma" w:hAnsi="Tahoma"/>
      <w:sz w:val="20"/>
      <w:lang w:eastAsia="en-AU"/>
    </w:rPr>
  </w:style>
  <w:style w:type="character" w:customStyle="1" w:styleId="DocumentMapChar">
    <w:name w:val="Document Map Char"/>
    <w:basedOn w:val="DefaultParagraphFont"/>
    <w:link w:val="DocumentMap"/>
    <w:rsid w:val="00330D8C"/>
    <w:rPr>
      <w:rFonts w:ascii="Tahoma" w:hAnsi="Tahoma" w:cs="Times New Roman"/>
      <w:sz w:val="20"/>
      <w:szCs w:val="20"/>
      <w:shd w:val="clear" w:color="auto" w:fill="000080"/>
      <w:lang w:eastAsia="en-AU"/>
    </w:rPr>
  </w:style>
  <w:style w:type="character" w:styleId="EndnoteReference">
    <w:name w:val="endnote reference"/>
    <w:basedOn w:val="DefaultParagraphFont"/>
    <w:rsid w:val="00330D8C"/>
    <w:rPr>
      <w:vertAlign w:val="superscript"/>
    </w:rPr>
  </w:style>
  <w:style w:type="paragraph" w:styleId="EndnoteText">
    <w:name w:val="endnote text"/>
    <w:basedOn w:val="Normal"/>
    <w:link w:val="EndnoteTextChar"/>
    <w:rsid w:val="00330D8C"/>
    <w:pPr>
      <w:spacing w:line="240" w:lineRule="auto"/>
    </w:pPr>
    <w:rPr>
      <w:sz w:val="20"/>
    </w:rPr>
  </w:style>
  <w:style w:type="character" w:customStyle="1" w:styleId="EndnoteTextChar">
    <w:name w:val="Endnote Text Char"/>
    <w:basedOn w:val="DefaultParagraphFont"/>
    <w:link w:val="EndnoteText"/>
    <w:rsid w:val="00330D8C"/>
    <w:rPr>
      <w:rFonts w:ascii="Calibri" w:hAnsi="Calibri" w:cs="Times New Roman"/>
      <w:sz w:val="20"/>
      <w:szCs w:val="20"/>
    </w:rPr>
  </w:style>
  <w:style w:type="character" w:styleId="FollowedHyperlink">
    <w:name w:val="FollowedHyperlink"/>
    <w:basedOn w:val="DefaultParagraphFont"/>
    <w:uiPriority w:val="99"/>
    <w:rsid w:val="00330D8C"/>
    <w:rPr>
      <w:color w:val="800080" w:themeColor="followedHyperlink"/>
      <w:u w:val="single"/>
    </w:rPr>
  </w:style>
  <w:style w:type="paragraph" w:customStyle="1" w:styleId="font5">
    <w:name w:val="font5"/>
    <w:basedOn w:val="Normal"/>
    <w:rsid w:val="00330D8C"/>
    <w:pPr>
      <w:spacing w:before="100" w:beforeAutospacing="1" w:after="100" w:afterAutospacing="1" w:line="240" w:lineRule="auto"/>
    </w:pPr>
    <w:rPr>
      <w:b/>
      <w:bCs/>
      <w:szCs w:val="18"/>
      <w:lang w:eastAsia="en-AU"/>
    </w:rPr>
  </w:style>
  <w:style w:type="paragraph" w:customStyle="1" w:styleId="font6">
    <w:name w:val="font6"/>
    <w:basedOn w:val="Normal"/>
    <w:rsid w:val="00330D8C"/>
    <w:pPr>
      <w:spacing w:before="100" w:beforeAutospacing="1" w:after="100" w:afterAutospacing="1" w:line="240" w:lineRule="auto"/>
    </w:pPr>
    <w:rPr>
      <w:szCs w:val="18"/>
      <w:lang w:eastAsia="en-AU"/>
    </w:rPr>
  </w:style>
  <w:style w:type="paragraph" w:styleId="Footer">
    <w:name w:val="footer"/>
    <w:basedOn w:val="Normal"/>
    <w:link w:val="FooterChar"/>
    <w:rsid w:val="00330D8C"/>
    <w:pPr>
      <w:tabs>
        <w:tab w:val="center" w:pos="4513"/>
        <w:tab w:val="right" w:pos="9026"/>
      </w:tabs>
      <w:spacing w:line="240" w:lineRule="auto"/>
    </w:pPr>
  </w:style>
  <w:style w:type="character" w:customStyle="1" w:styleId="FooterChar">
    <w:name w:val="Footer Char"/>
    <w:basedOn w:val="DefaultParagraphFont"/>
    <w:link w:val="Footer"/>
    <w:rsid w:val="00330D8C"/>
    <w:rPr>
      <w:rFonts w:ascii="Calibri" w:hAnsi="Calibri" w:cs="Times New Roman"/>
      <w:sz w:val="18"/>
      <w:szCs w:val="20"/>
    </w:rPr>
  </w:style>
  <w:style w:type="character" w:styleId="FootnoteReference">
    <w:name w:val="footnote reference"/>
    <w:basedOn w:val="DefaultParagraphFont"/>
    <w:uiPriority w:val="99"/>
    <w:semiHidden/>
    <w:rsid w:val="00330D8C"/>
    <w:rPr>
      <w:vertAlign w:val="superscript"/>
    </w:rPr>
  </w:style>
  <w:style w:type="paragraph" w:styleId="FootnoteText">
    <w:name w:val="footnote text"/>
    <w:basedOn w:val="Normal"/>
    <w:link w:val="FootnoteTextChar"/>
    <w:semiHidden/>
    <w:rsid w:val="00330D8C"/>
    <w:rPr>
      <w:sz w:val="20"/>
    </w:rPr>
  </w:style>
  <w:style w:type="character" w:customStyle="1" w:styleId="FootnoteTextChar">
    <w:name w:val="Footnote Text Char"/>
    <w:basedOn w:val="DefaultParagraphFont"/>
    <w:link w:val="FootnoteText"/>
    <w:rsid w:val="00330D8C"/>
    <w:rPr>
      <w:rFonts w:ascii="Calibri" w:hAnsi="Calibri" w:cs="Times New Roman"/>
      <w:sz w:val="20"/>
      <w:szCs w:val="20"/>
    </w:rPr>
  </w:style>
  <w:style w:type="paragraph" w:styleId="Signature">
    <w:name w:val="Signature"/>
    <w:basedOn w:val="Normal"/>
    <w:link w:val="SignatureChar"/>
    <w:rsid w:val="00330D8C"/>
    <w:pPr>
      <w:spacing w:line="240" w:lineRule="auto"/>
    </w:pPr>
  </w:style>
  <w:style w:type="character" w:customStyle="1" w:styleId="SignatureChar">
    <w:name w:val="Signature Char"/>
    <w:basedOn w:val="DefaultParagraphFont"/>
    <w:link w:val="Signature"/>
    <w:rsid w:val="00330D8C"/>
    <w:rPr>
      <w:rFonts w:ascii="Calibri" w:hAnsi="Calibri" w:cs="Times New Roman"/>
      <w:sz w:val="18"/>
      <w:szCs w:val="20"/>
    </w:rPr>
  </w:style>
  <w:style w:type="paragraph" w:customStyle="1" w:styleId="Graphic">
    <w:name w:val="Graphic"/>
    <w:basedOn w:val="Signature"/>
    <w:rsid w:val="00330D8C"/>
    <w:pPr>
      <w:pBdr>
        <w:top w:val="single" w:sz="4" w:space="1" w:color="auto"/>
        <w:left w:val="single" w:sz="4" w:space="1" w:color="auto"/>
        <w:bottom w:val="single" w:sz="4" w:space="1" w:color="auto"/>
        <w:right w:val="single" w:sz="4" w:space="1" w:color="auto"/>
      </w:pBdr>
      <w:jc w:val="center"/>
    </w:pPr>
  </w:style>
  <w:style w:type="paragraph" w:customStyle="1" w:styleId="GreyShadeTableBreak">
    <w:name w:val="Grey Shade Table Break"/>
    <w:basedOn w:val="Normal"/>
    <w:uiPriority w:val="99"/>
    <w:qFormat/>
    <w:rsid w:val="00330D8C"/>
    <w:pPr>
      <w:shd w:val="clear" w:color="auto" w:fill="D9D9D9" w:themeFill="background1" w:themeFillShade="D9"/>
      <w:tabs>
        <w:tab w:val="left" w:pos="9214"/>
      </w:tabs>
      <w:ind w:right="607"/>
    </w:pPr>
  </w:style>
  <w:style w:type="paragraph" w:customStyle="1" w:styleId="GreyShadeTableBreaknon-Standard">
    <w:name w:val="Grey Shade Table Break non-Standard"/>
    <w:qFormat/>
    <w:rsid w:val="00330D8C"/>
    <w:pPr>
      <w:shd w:val="clear" w:color="auto" w:fill="D9D9D9" w:themeFill="background1" w:themeFillShade="D9"/>
      <w:spacing w:after="0" w:line="240" w:lineRule="auto"/>
      <w:ind w:right="57"/>
    </w:pPr>
    <w:rPr>
      <w:rFonts w:ascii="Times New Roman" w:hAnsi="Times New Roman" w:cs="Times New Roman"/>
      <w:szCs w:val="20"/>
    </w:rPr>
  </w:style>
  <w:style w:type="paragraph" w:styleId="Header">
    <w:name w:val="header"/>
    <w:basedOn w:val="Normal"/>
    <w:link w:val="HeaderChar"/>
    <w:uiPriority w:val="99"/>
    <w:rsid w:val="00330D8C"/>
    <w:pPr>
      <w:tabs>
        <w:tab w:val="center" w:pos="4513"/>
        <w:tab w:val="right" w:pos="9026"/>
      </w:tabs>
      <w:spacing w:line="240" w:lineRule="auto"/>
    </w:pPr>
  </w:style>
  <w:style w:type="character" w:customStyle="1" w:styleId="HeaderChar">
    <w:name w:val="Header Char"/>
    <w:basedOn w:val="DefaultParagraphFont"/>
    <w:link w:val="Header"/>
    <w:uiPriority w:val="99"/>
    <w:rsid w:val="00330D8C"/>
    <w:rPr>
      <w:rFonts w:ascii="Calibri" w:hAnsi="Calibri" w:cs="Times New Roman"/>
      <w:sz w:val="18"/>
      <w:szCs w:val="20"/>
    </w:rPr>
  </w:style>
  <w:style w:type="character" w:customStyle="1" w:styleId="Heading9Char">
    <w:name w:val="Heading 9 Char"/>
    <w:basedOn w:val="DefaultParagraphFont"/>
    <w:link w:val="Heading9"/>
    <w:rsid w:val="00330D8C"/>
    <w:rPr>
      <w:rFonts w:ascii="Calibri" w:hAnsi="Calibri" w:cs="Times New Roman"/>
      <w:sz w:val="18"/>
      <w:szCs w:val="20"/>
    </w:rPr>
  </w:style>
  <w:style w:type="paragraph" w:customStyle="1" w:styleId="Headinga">
    <w:name w:val="Heading a"/>
    <w:basedOn w:val="Normal"/>
    <w:rsid w:val="00330D8C"/>
    <w:pPr>
      <w:spacing w:line="240" w:lineRule="auto"/>
    </w:pPr>
    <w:rPr>
      <w:b/>
      <w:bCs/>
      <w:szCs w:val="18"/>
    </w:rPr>
  </w:style>
  <w:style w:type="character" w:styleId="Hyperlink">
    <w:name w:val="Hyperlink"/>
    <w:basedOn w:val="DefaultParagraphFont"/>
    <w:uiPriority w:val="99"/>
    <w:rsid w:val="00330D8C"/>
    <w:rPr>
      <w:color w:val="0000FF" w:themeColor="hyperlink"/>
      <w:u w:val="single"/>
    </w:rPr>
  </w:style>
  <w:style w:type="paragraph" w:customStyle="1" w:styleId="ItalicLineItem">
    <w:name w:val="Italic Line Item"/>
    <w:basedOn w:val="Normal"/>
    <w:rsid w:val="00330D8C"/>
    <w:pPr>
      <w:tabs>
        <w:tab w:val="left" w:pos="566"/>
      </w:tabs>
      <w:ind w:left="284" w:right="113"/>
      <w:jc w:val="both"/>
    </w:pPr>
    <w:rPr>
      <w:i/>
      <w:sz w:val="20"/>
      <w:lang w:val="en-US"/>
    </w:rPr>
  </w:style>
  <w:style w:type="paragraph" w:customStyle="1" w:styleId="ItalicHeading">
    <w:name w:val="Italic Heading"/>
    <w:basedOn w:val="ItalicLineItem"/>
    <w:rsid w:val="00330D8C"/>
    <w:pPr>
      <w:ind w:left="57" w:right="0"/>
    </w:pPr>
  </w:style>
  <w:style w:type="paragraph" w:customStyle="1" w:styleId="lineitembold">
    <w:name w:val="line item bold"/>
    <w:basedOn w:val="Normal"/>
    <w:rsid w:val="00330D8C"/>
    <w:rPr>
      <w:b/>
      <w:sz w:val="20"/>
    </w:rPr>
  </w:style>
  <w:style w:type="paragraph" w:customStyle="1" w:styleId="lineitemitalic">
    <w:name w:val="line item italic"/>
    <w:basedOn w:val="Normal"/>
    <w:rsid w:val="00330D8C"/>
    <w:rPr>
      <w:i/>
    </w:rPr>
  </w:style>
  <w:style w:type="paragraph" w:customStyle="1" w:styleId="Lineitems">
    <w:name w:val="Line items"/>
    <w:basedOn w:val="Normal"/>
    <w:link w:val="LineitemsChar"/>
    <w:autoRedefine/>
    <w:uiPriority w:val="99"/>
    <w:rsid w:val="00330D8C"/>
    <w:rPr>
      <w:sz w:val="20"/>
    </w:rPr>
  </w:style>
  <w:style w:type="character" w:customStyle="1" w:styleId="LineitemsChar">
    <w:name w:val="Line items Char"/>
    <w:basedOn w:val="DefaultParagraphFont"/>
    <w:link w:val="Lineitems"/>
    <w:uiPriority w:val="99"/>
    <w:locked/>
    <w:rsid w:val="00330D8C"/>
    <w:rPr>
      <w:rFonts w:ascii="Calibri" w:hAnsi="Calibri" w:cs="Times New Roman"/>
      <w:sz w:val="20"/>
      <w:szCs w:val="20"/>
    </w:rPr>
  </w:style>
  <w:style w:type="paragraph" w:customStyle="1" w:styleId="Lineitemtable">
    <w:name w:val="Line item table"/>
    <w:basedOn w:val="Lineitems"/>
    <w:rsid w:val="00330D8C"/>
  </w:style>
  <w:style w:type="paragraph" w:customStyle="1" w:styleId="LineitemsHeading">
    <w:name w:val="Line items Heading"/>
    <w:basedOn w:val="Lineitems"/>
    <w:link w:val="LineitemsHeadingChar"/>
    <w:uiPriority w:val="99"/>
    <w:rsid w:val="00330D8C"/>
    <w:pPr>
      <w:framePr w:hSpace="180" w:wrap="around" w:vAnchor="text" w:hAnchor="margin" w:y="1"/>
    </w:pPr>
    <w:rPr>
      <w:b/>
      <w:sz w:val="18"/>
    </w:rPr>
  </w:style>
  <w:style w:type="character" w:customStyle="1" w:styleId="LineitemsHeadingChar">
    <w:name w:val="Line items Heading Char"/>
    <w:basedOn w:val="LineitemsChar"/>
    <w:link w:val="LineitemsHeading"/>
    <w:uiPriority w:val="99"/>
    <w:locked/>
    <w:rsid w:val="00330D8C"/>
    <w:rPr>
      <w:rFonts w:ascii="Calibri" w:hAnsi="Calibri" w:cs="Times New Roman"/>
      <w:b/>
      <w:sz w:val="18"/>
      <w:szCs w:val="20"/>
    </w:rPr>
  </w:style>
  <w:style w:type="paragraph" w:customStyle="1" w:styleId="LineitemsTotal">
    <w:name w:val="Line items Total"/>
    <w:basedOn w:val="Lineitems"/>
    <w:link w:val="LineitemsTotalChar"/>
    <w:uiPriority w:val="99"/>
    <w:rsid w:val="00330D8C"/>
    <w:pPr>
      <w:framePr w:hSpace="180" w:wrap="around" w:vAnchor="text" w:hAnchor="margin" w:y="1"/>
    </w:pPr>
    <w:rPr>
      <w:b/>
      <w:i/>
    </w:rPr>
  </w:style>
  <w:style w:type="character" w:customStyle="1" w:styleId="LineitemsTotalChar">
    <w:name w:val="Line items Total Char"/>
    <w:basedOn w:val="LineitemsChar"/>
    <w:link w:val="LineitemsTotal"/>
    <w:uiPriority w:val="99"/>
    <w:locked/>
    <w:rsid w:val="00330D8C"/>
    <w:rPr>
      <w:rFonts w:ascii="Calibri" w:hAnsi="Calibri" w:cs="Times New Roman"/>
      <w:b/>
      <w:i/>
      <w:sz w:val="20"/>
      <w:szCs w:val="20"/>
    </w:rPr>
  </w:style>
  <w:style w:type="paragraph" w:styleId="ListParagraph">
    <w:name w:val="List Paragraph"/>
    <w:basedOn w:val="Normal"/>
    <w:qFormat/>
    <w:rsid w:val="00330D8C"/>
    <w:pPr>
      <w:ind w:left="720"/>
      <w:contextualSpacing/>
    </w:pPr>
  </w:style>
  <w:style w:type="paragraph" w:styleId="MacroText">
    <w:name w:val="macro"/>
    <w:link w:val="MacroTextChar"/>
    <w:semiHidden/>
    <w:rsid w:val="00330D8C"/>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hAnsi="Courier New" w:cs="Courier New"/>
      <w:sz w:val="18"/>
      <w:szCs w:val="20"/>
      <w:lang w:val="en-GB"/>
    </w:rPr>
  </w:style>
  <w:style w:type="character" w:customStyle="1" w:styleId="MacroTextChar">
    <w:name w:val="Macro Text Char"/>
    <w:basedOn w:val="DefaultParagraphFont"/>
    <w:link w:val="MacroText"/>
    <w:rsid w:val="00330D8C"/>
    <w:rPr>
      <w:rFonts w:ascii="Courier New" w:hAnsi="Courier New" w:cs="Courier New"/>
      <w:sz w:val="18"/>
      <w:szCs w:val="20"/>
      <w:lang w:val="en-GB"/>
    </w:rPr>
  </w:style>
  <w:style w:type="paragraph" w:customStyle="1" w:styleId="Normal10pt">
    <w:name w:val="Normal + 10 pt"/>
    <w:aliases w:val="Line spacing:  single"/>
    <w:basedOn w:val="Normal"/>
    <w:rsid w:val="00330D8C"/>
    <w:pPr>
      <w:spacing w:before="130" w:after="130"/>
    </w:pPr>
    <w:rPr>
      <w:b/>
      <w:sz w:val="20"/>
    </w:rPr>
  </w:style>
  <w:style w:type="paragraph" w:customStyle="1" w:styleId="Normal8pt">
    <w:name w:val="Normal + 8 pt"/>
    <w:basedOn w:val="Normal"/>
    <w:rsid w:val="00330D8C"/>
    <w:pPr>
      <w:widowControl w:val="0"/>
      <w:autoSpaceDE w:val="0"/>
      <w:autoSpaceDN w:val="0"/>
      <w:spacing w:line="240" w:lineRule="auto"/>
    </w:pPr>
    <w:rPr>
      <w:bCs/>
      <w:iCs/>
      <w:spacing w:val="-6"/>
      <w:sz w:val="16"/>
      <w:szCs w:val="16"/>
      <w:lang w:val="en-US"/>
    </w:rPr>
  </w:style>
  <w:style w:type="paragraph" w:customStyle="1" w:styleId="NormalCalistoMT">
    <w:name w:val="Normal + Calisto MT"/>
    <w:aliases w:val="8 pt,Right"/>
    <w:basedOn w:val="Normal"/>
    <w:rsid w:val="00330D8C"/>
    <w:pPr>
      <w:framePr w:hSpace="180" w:wrap="around" w:vAnchor="text" w:hAnchor="margin" w:y="1"/>
      <w:ind w:right="212"/>
      <w:jc w:val="right"/>
    </w:pPr>
    <w:rPr>
      <w:rFonts w:ascii="Calisto MT" w:hAnsi="Calisto MT"/>
      <w:sz w:val="16"/>
    </w:rPr>
  </w:style>
  <w:style w:type="paragraph" w:customStyle="1" w:styleId="NoteHeading-Level1">
    <w:name w:val="Note Heading - Level 1"/>
    <w:basedOn w:val="Normal"/>
    <w:rsid w:val="00330D8C"/>
  </w:style>
  <w:style w:type="paragraph" w:customStyle="1" w:styleId="NoteHeading-Level2">
    <w:name w:val="Note Heading - Level 2"/>
    <w:basedOn w:val="Normal"/>
    <w:rsid w:val="00330D8C"/>
  </w:style>
  <w:style w:type="paragraph" w:customStyle="1" w:styleId="NoteText">
    <w:name w:val="Note Text"/>
    <w:basedOn w:val="Normal"/>
    <w:autoRedefine/>
    <w:rsid w:val="00330D8C"/>
    <w:pPr>
      <w:tabs>
        <w:tab w:val="left" w:pos="284"/>
      </w:tabs>
      <w:spacing w:after="120"/>
      <w:ind w:left="567"/>
    </w:pPr>
    <w:rPr>
      <w:sz w:val="20"/>
    </w:rPr>
  </w:style>
  <w:style w:type="paragraph" w:customStyle="1" w:styleId="NoteTextBEFOREDotPoint">
    <w:name w:val="Note Text BEFORE Dot Point"/>
    <w:basedOn w:val="NoteText"/>
    <w:rsid w:val="00330D8C"/>
    <w:pPr>
      <w:spacing w:after="0"/>
      <w:ind w:left="178" w:right="57"/>
    </w:pPr>
  </w:style>
  <w:style w:type="paragraph" w:customStyle="1" w:styleId="Notes">
    <w:name w:val="'Notes'"/>
    <w:basedOn w:val="Normal"/>
    <w:rsid w:val="00330D8C"/>
    <w:pPr>
      <w:jc w:val="center"/>
    </w:pPr>
    <w:rPr>
      <w:b/>
    </w:rPr>
  </w:style>
  <w:style w:type="paragraph" w:customStyle="1" w:styleId="NotesBulletPoint">
    <w:name w:val="Notes Bullet Point"/>
    <w:basedOn w:val="Normal"/>
    <w:autoRedefine/>
    <w:rsid w:val="00330D8C"/>
    <w:pPr>
      <w:tabs>
        <w:tab w:val="left" w:pos="413"/>
        <w:tab w:val="num" w:pos="927"/>
      </w:tabs>
      <w:snapToGrid w:val="0"/>
      <w:spacing w:line="240" w:lineRule="auto"/>
      <w:ind w:left="414" w:right="113" w:hanging="301"/>
      <w:jc w:val="both"/>
    </w:pPr>
    <w:rPr>
      <w:sz w:val="20"/>
      <w:lang w:val="en-US" w:eastAsia="en-AU"/>
    </w:rPr>
  </w:style>
  <w:style w:type="paragraph" w:customStyle="1" w:styleId="NotesData">
    <w:name w:val="Notes Data"/>
    <w:basedOn w:val="Normal"/>
    <w:rsid w:val="00330D8C"/>
    <w:pPr>
      <w:framePr w:hSpace="180" w:wrap="around" w:vAnchor="text" w:hAnchor="margin" w:y="1"/>
      <w:jc w:val="center"/>
    </w:pPr>
    <w:rPr>
      <w:sz w:val="20"/>
    </w:rPr>
  </w:style>
  <w:style w:type="paragraph" w:customStyle="1" w:styleId="NotesHeader">
    <w:name w:val="Notes Header"/>
    <w:basedOn w:val="Normal"/>
    <w:next w:val="Normal"/>
    <w:rsid w:val="00330D8C"/>
    <w:pPr>
      <w:jc w:val="center"/>
    </w:pPr>
    <w:rPr>
      <w:rFonts w:ascii="Arial" w:hAnsi="Arial"/>
      <w:b/>
    </w:rPr>
  </w:style>
  <w:style w:type="paragraph" w:customStyle="1" w:styleId="Notesheading">
    <w:name w:val="Notes heading"/>
    <w:basedOn w:val="Normal"/>
    <w:rsid w:val="00330D8C"/>
    <w:pPr>
      <w:spacing w:line="240" w:lineRule="auto"/>
    </w:pPr>
    <w:rPr>
      <w:rFonts w:ascii="Calisto MT" w:hAnsi="Calisto MT"/>
      <w:b/>
      <w:sz w:val="14"/>
      <w:lang w:eastAsia="en-AU"/>
    </w:rPr>
  </w:style>
  <w:style w:type="paragraph" w:customStyle="1" w:styleId="NotesHeading0">
    <w:name w:val="'Notes' Heading"/>
    <w:basedOn w:val="Normal"/>
    <w:autoRedefine/>
    <w:rsid w:val="00330D8C"/>
    <w:pPr>
      <w:ind w:left="57" w:right="57"/>
      <w:jc w:val="center"/>
    </w:pPr>
    <w:rPr>
      <w:b/>
      <w:sz w:val="20"/>
    </w:rPr>
  </w:style>
  <w:style w:type="paragraph" w:customStyle="1" w:styleId="NotesHeading-Level1GreyShade">
    <w:name w:val="Notes Heading - Level 1 Grey Shade"/>
    <w:basedOn w:val="NotesHeading-Level1"/>
    <w:qFormat/>
    <w:rsid w:val="00330D8C"/>
    <w:pPr>
      <w:numPr>
        <w:numId w:val="12"/>
      </w:numPr>
      <w:shd w:val="clear" w:color="auto" w:fill="D9D9D9" w:themeFill="background1" w:themeFillShade="D9"/>
    </w:pPr>
    <w:rPr>
      <w:rFonts w:cstheme="minorHAnsi"/>
    </w:rPr>
  </w:style>
  <w:style w:type="paragraph" w:customStyle="1" w:styleId="NotesHeading-Level2">
    <w:name w:val="Notes Heading - Level 2"/>
    <w:basedOn w:val="NotesHeading-Level1"/>
    <w:rsid w:val="00330D8C"/>
    <w:pPr>
      <w:framePr w:hSpace="180" w:wrap="around" w:vAnchor="text" w:hAnchor="margin" w:y="1"/>
      <w:numPr>
        <w:ilvl w:val="1"/>
      </w:numPr>
    </w:pPr>
    <w:rPr>
      <w:sz w:val="18"/>
    </w:rPr>
  </w:style>
  <w:style w:type="paragraph" w:customStyle="1" w:styleId="NotesHeading3">
    <w:name w:val="Notes Heading 3"/>
    <w:basedOn w:val="Normal"/>
    <w:autoRedefine/>
    <w:rsid w:val="00330D8C"/>
    <w:pPr>
      <w:spacing w:before="80" w:after="40"/>
      <w:ind w:left="113" w:right="113"/>
    </w:pPr>
    <w:rPr>
      <w:u w:val="single"/>
      <w:lang w:val="en-US"/>
    </w:rPr>
  </w:style>
  <w:style w:type="paragraph" w:customStyle="1" w:styleId="NotesHeading3NumberingOff">
    <w:name w:val="Notes Heading 3 Numbering Off"/>
    <w:basedOn w:val="NotesHeading3"/>
    <w:autoRedefine/>
    <w:rsid w:val="00330D8C"/>
    <w:pPr>
      <w:tabs>
        <w:tab w:val="left" w:pos="1132"/>
      </w:tabs>
    </w:pPr>
  </w:style>
  <w:style w:type="paragraph" w:customStyle="1" w:styleId="NotesHeading3a">
    <w:name w:val="Notes Heading 3a"/>
    <w:basedOn w:val="Normal"/>
    <w:autoRedefine/>
    <w:rsid w:val="00330D8C"/>
    <w:pPr>
      <w:tabs>
        <w:tab w:val="num" w:pos="473"/>
      </w:tabs>
      <w:spacing w:after="120"/>
      <w:ind w:left="113" w:right="113"/>
      <w:jc w:val="both"/>
    </w:pPr>
    <w:rPr>
      <w:u w:val="single"/>
      <w:lang w:val="en-US"/>
    </w:rPr>
  </w:style>
  <w:style w:type="paragraph" w:customStyle="1" w:styleId="NotesHeading4">
    <w:name w:val="Notes Heading 4"/>
    <w:basedOn w:val="NoteText"/>
    <w:autoRedefine/>
    <w:rsid w:val="00330D8C"/>
    <w:pPr>
      <w:keepNext/>
      <w:spacing w:before="200" w:after="80"/>
      <w:ind w:right="57"/>
    </w:pPr>
  </w:style>
  <w:style w:type="paragraph" w:customStyle="1" w:styleId="NotesHeading5">
    <w:name w:val="Notes Heading 5"/>
    <w:basedOn w:val="Normal"/>
    <w:autoRedefine/>
    <w:rsid w:val="00330D8C"/>
    <w:pPr>
      <w:spacing w:before="120" w:after="40"/>
      <w:ind w:left="113" w:right="113"/>
      <w:jc w:val="both"/>
    </w:pPr>
    <w:rPr>
      <w:b/>
      <w:sz w:val="20"/>
    </w:rPr>
  </w:style>
  <w:style w:type="paragraph" w:customStyle="1" w:styleId="NotesHeadingPlain">
    <w:name w:val="'Notes' Heading Plain"/>
    <w:basedOn w:val="NotesHeading0"/>
    <w:autoRedefine/>
    <w:rsid w:val="00330D8C"/>
    <w:rPr>
      <w:b w:val="0"/>
    </w:rPr>
  </w:style>
  <w:style w:type="paragraph" w:customStyle="1" w:styleId="NotesLineItem">
    <w:name w:val="Notes Line Item"/>
    <w:basedOn w:val="Normal"/>
    <w:autoRedefine/>
    <w:rsid w:val="00330D8C"/>
    <w:pPr>
      <w:ind w:left="34"/>
    </w:pPr>
    <w:rPr>
      <w:iCs/>
      <w:sz w:val="16"/>
      <w:szCs w:val="16"/>
      <w:lang w:eastAsia="en-AU"/>
    </w:rPr>
  </w:style>
  <w:style w:type="paragraph" w:customStyle="1" w:styleId="NotesReference">
    <w:name w:val="'Notes' Reference"/>
    <w:basedOn w:val="Normal"/>
    <w:autoRedefine/>
    <w:rsid w:val="00330D8C"/>
    <w:pPr>
      <w:ind w:left="57" w:right="57"/>
      <w:jc w:val="center"/>
    </w:pPr>
    <w:rPr>
      <w:sz w:val="20"/>
    </w:rPr>
  </w:style>
  <w:style w:type="paragraph" w:customStyle="1" w:styleId="Notesreferencetext">
    <w:name w:val="Notes reference text"/>
    <w:basedOn w:val="Normal"/>
    <w:next w:val="Normal"/>
    <w:rsid w:val="00330D8C"/>
    <w:pPr>
      <w:jc w:val="center"/>
    </w:pPr>
  </w:style>
  <w:style w:type="paragraph" w:customStyle="1" w:styleId="NotesReferences">
    <w:name w:val="Notes References"/>
    <w:basedOn w:val="Normal"/>
    <w:next w:val="Normal"/>
    <w:rsid w:val="00330D8C"/>
    <w:pPr>
      <w:jc w:val="center"/>
    </w:pPr>
    <w:rPr>
      <w:rFonts w:ascii="Arial" w:hAnsi="Arial"/>
    </w:rPr>
  </w:style>
  <w:style w:type="paragraph" w:customStyle="1" w:styleId="Notessub-lineitem">
    <w:name w:val="Notes sub-line item"/>
    <w:basedOn w:val="Normal"/>
    <w:autoRedefine/>
    <w:rsid w:val="00330D8C"/>
    <w:pPr>
      <w:framePr w:hSpace="180" w:wrap="around" w:vAnchor="page" w:hAnchor="margin" w:y="1985"/>
      <w:tabs>
        <w:tab w:val="left" w:pos="593"/>
        <w:tab w:val="left" w:pos="1443"/>
      </w:tabs>
      <w:ind w:left="567" w:right="113"/>
    </w:pPr>
    <w:rPr>
      <w:sz w:val="20"/>
    </w:rPr>
  </w:style>
  <w:style w:type="paragraph" w:customStyle="1" w:styleId="Notestext">
    <w:name w:val="Notes text"/>
    <w:basedOn w:val="Notes"/>
    <w:rsid w:val="00330D8C"/>
    <w:rPr>
      <w:b w:val="0"/>
    </w:rPr>
  </w:style>
  <w:style w:type="paragraph" w:customStyle="1" w:styleId="ReferenceText">
    <w:name w:val="Reference Text"/>
    <w:basedOn w:val="Normal"/>
    <w:link w:val="ReferenceTextChar"/>
    <w:autoRedefine/>
    <w:uiPriority w:val="99"/>
    <w:qFormat/>
    <w:rsid w:val="00330D8C"/>
    <w:rPr>
      <w:rFonts w:asciiTheme="minorHAnsi" w:hAnsiTheme="minorHAnsi" w:cstheme="minorHAnsi"/>
      <w:lang w:eastAsia="en-AU"/>
    </w:rPr>
  </w:style>
  <w:style w:type="character" w:customStyle="1" w:styleId="ReferenceTextChar">
    <w:name w:val="Reference Text Char"/>
    <w:basedOn w:val="DefaultParagraphFont"/>
    <w:link w:val="ReferenceText"/>
    <w:uiPriority w:val="99"/>
    <w:locked/>
    <w:rsid w:val="00330D8C"/>
    <w:rPr>
      <w:rFonts w:cstheme="minorHAnsi"/>
      <w:sz w:val="18"/>
      <w:szCs w:val="20"/>
      <w:lang w:eastAsia="en-AU"/>
    </w:rPr>
  </w:style>
  <w:style w:type="paragraph" w:customStyle="1" w:styleId="NotesText0">
    <w:name w:val="Notes Text"/>
    <w:basedOn w:val="ReferenceText"/>
    <w:link w:val="NotesTextChar"/>
    <w:uiPriority w:val="99"/>
    <w:rsid w:val="00330D8C"/>
    <w:pPr>
      <w:spacing w:before="100" w:after="100" w:line="240" w:lineRule="auto"/>
    </w:pPr>
    <w:rPr>
      <w:rFonts w:cs="Arial"/>
      <w:szCs w:val="18"/>
    </w:rPr>
  </w:style>
  <w:style w:type="character" w:customStyle="1" w:styleId="NotesTextChar">
    <w:name w:val="Notes Text Char"/>
    <w:basedOn w:val="ReferenceTextChar"/>
    <w:link w:val="NotesText0"/>
    <w:uiPriority w:val="99"/>
    <w:locked/>
    <w:rsid w:val="00330D8C"/>
    <w:rPr>
      <w:rFonts w:cs="Arial"/>
      <w:sz w:val="18"/>
      <w:szCs w:val="18"/>
      <w:lang w:eastAsia="en-AU"/>
    </w:rPr>
  </w:style>
  <w:style w:type="paragraph" w:customStyle="1" w:styleId="NotesTextHeading">
    <w:name w:val="Notes Text Heading"/>
    <w:basedOn w:val="NotesText0"/>
    <w:uiPriority w:val="99"/>
    <w:rsid w:val="00330D8C"/>
    <w:rPr>
      <w:b/>
      <w:i/>
    </w:rPr>
  </w:style>
  <w:style w:type="paragraph" w:customStyle="1" w:styleId="NotesTextLevel1">
    <w:name w:val="Notes Text Level 1"/>
    <w:basedOn w:val="Normal"/>
    <w:next w:val="Normal"/>
    <w:rsid w:val="00330D8C"/>
    <w:rPr>
      <w:rFonts w:ascii="Arial" w:hAnsi="Arial"/>
      <w:b/>
      <w:i/>
      <w:u w:val="single"/>
    </w:rPr>
  </w:style>
  <w:style w:type="paragraph" w:customStyle="1" w:styleId="NotesTextLevel3aboldItalic">
    <w:name w:val="Notes Text Level 3(a) bold + Italic"/>
    <w:basedOn w:val="Normal"/>
    <w:link w:val="NotesTextLevel3aboldItalicChar"/>
    <w:rsid w:val="00330D8C"/>
    <w:rPr>
      <w:rFonts w:ascii="Arial" w:hAnsi="Arial"/>
      <w:b/>
      <w:bCs/>
      <w:i/>
      <w:iCs/>
    </w:rPr>
  </w:style>
  <w:style w:type="character" w:customStyle="1" w:styleId="NotesTextLevel3aboldItalicChar">
    <w:name w:val="Notes Text Level 3(a) bold + Italic Char"/>
    <w:basedOn w:val="DefaultParagraphFont"/>
    <w:link w:val="NotesTextLevel3aboldItalic"/>
    <w:locked/>
    <w:rsid w:val="00330D8C"/>
    <w:rPr>
      <w:rFonts w:ascii="Arial" w:hAnsi="Arial" w:cs="Times New Roman"/>
      <w:b/>
      <w:bCs/>
      <w:i/>
      <w:iCs/>
      <w:sz w:val="18"/>
      <w:szCs w:val="20"/>
    </w:rPr>
  </w:style>
  <w:style w:type="paragraph" w:customStyle="1" w:styleId="Notestothefinancialstatements">
    <w:name w:val="Notes to the financial statements"/>
    <w:aliases w:val="Heading"/>
    <w:basedOn w:val="Normal"/>
    <w:rsid w:val="00330D8C"/>
    <w:pPr>
      <w:tabs>
        <w:tab w:val="left" w:pos="567"/>
        <w:tab w:val="left" w:pos="1134"/>
        <w:tab w:val="left" w:pos="1701"/>
      </w:tabs>
      <w:spacing w:before="60" w:after="60" w:line="240" w:lineRule="auto"/>
    </w:pPr>
    <w:rPr>
      <w:rFonts w:ascii="Tahoma" w:hAnsi="Tahoma"/>
      <w:b/>
      <w:color w:val="000000"/>
      <w:sz w:val="16"/>
      <w:lang w:eastAsia="en-AU"/>
    </w:rPr>
  </w:style>
  <w:style w:type="paragraph" w:customStyle="1" w:styleId="NotesTotal">
    <w:name w:val="Notes Total"/>
    <w:basedOn w:val="Normal"/>
    <w:autoRedefine/>
    <w:rsid w:val="00330D8C"/>
    <w:pPr>
      <w:ind w:left="139" w:right="57"/>
    </w:pPr>
    <w:rPr>
      <w:b/>
      <w:iCs/>
      <w:sz w:val="20"/>
    </w:rPr>
  </w:style>
  <w:style w:type="character" w:styleId="PageNumber">
    <w:name w:val="page number"/>
    <w:basedOn w:val="DefaultParagraphFont"/>
    <w:uiPriority w:val="99"/>
    <w:rsid w:val="00330D8C"/>
    <w:rPr>
      <w:rFonts w:ascii="Times New Roman" w:hAnsi="Times New Roman" w:cs="Times New Roman" w:hint="default"/>
      <w:sz w:val="22"/>
    </w:rPr>
  </w:style>
  <w:style w:type="paragraph" w:customStyle="1" w:styleId="PrimaryStatementsHeading">
    <w:name w:val="Primary Statements Heading"/>
    <w:basedOn w:val="Normal"/>
    <w:autoRedefine/>
    <w:uiPriority w:val="99"/>
    <w:rsid w:val="00330D8C"/>
    <w:pPr>
      <w:spacing w:line="300" w:lineRule="exact"/>
    </w:pPr>
    <w:rPr>
      <w:b/>
      <w:sz w:val="24"/>
      <w:lang w:val="en-US"/>
    </w:rPr>
  </w:style>
  <w:style w:type="paragraph" w:customStyle="1" w:styleId="PeriodHeading">
    <w:name w:val="Period Heading"/>
    <w:basedOn w:val="PrimaryStatementsHeading"/>
    <w:uiPriority w:val="99"/>
    <w:rsid w:val="00330D8C"/>
    <w:rPr>
      <w:i/>
      <w:sz w:val="22"/>
    </w:rPr>
  </w:style>
  <w:style w:type="paragraph" w:customStyle="1" w:styleId="PreviousYearDataTotalLevel2">
    <w:name w:val="Previous Year Data Total Level 2"/>
    <w:basedOn w:val="Normal"/>
    <w:next w:val="Normal"/>
    <w:link w:val="PreviousYearDataTotalLevel2Char"/>
    <w:uiPriority w:val="99"/>
    <w:rsid w:val="00330D8C"/>
    <w:pPr>
      <w:pBdr>
        <w:top w:val="single" w:sz="4" w:space="1" w:color="auto"/>
        <w:bottom w:val="single" w:sz="4" w:space="1" w:color="auto"/>
      </w:pBdr>
      <w:jc w:val="right"/>
    </w:pPr>
  </w:style>
  <w:style w:type="character" w:customStyle="1" w:styleId="PreviousYearDataTotalLevel2Char">
    <w:name w:val="Previous Year Data Total Level 2 Char"/>
    <w:basedOn w:val="DefaultParagraphFont"/>
    <w:link w:val="PreviousYearDataTotalLevel2"/>
    <w:uiPriority w:val="99"/>
    <w:locked/>
    <w:rsid w:val="00330D8C"/>
    <w:rPr>
      <w:rFonts w:ascii="Calibri" w:hAnsi="Calibri" w:cs="Times New Roman"/>
      <w:sz w:val="18"/>
      <w:szCs w:val="20"/>
    </w:rPr>
  </w:style>
  <w:style w:type="paragraph" w:customStyle="1" w:styleId="PreviousYearDataTotalLevel3">
    <w:name w:val="Previous Year Data Total Level 3"/>
    <w:basedOn w:val="Normal"/>
    <w:autoRedefine/>
    <w:uiPriority w:val="99"/>
    <w:rsid w:val="00330D8C"/>
    <w:pPr>
      <w:pBdr>
        <w:top w:val="single" w:sz="4" w:space="1" w:color="auto"/>
        <w:bottom w:val="double" w:sz="6" w:space="1" w:color="auto"/>
      </w:pBdr>
      <w:jc w:val="right"/>
    </w:pPr>
  </w:style>
  <w:style w:type="paragraph" w:customStyle="1" w:styleId="ReferenceTextLetter">
    <w:name w:val="Reference Text Letter"/>
    <w:basedOn w:val="ReferenceText"/>
    <w:qFormat/>
    <w:rsid w:val="00330D8C"/>
    <w:pPr>
      <w:spacing w:line="240" w:lineRule="auto"/>
      <w:ind w:left="567" w:right="567"/>
    </w:pPr>
    <w:rPr>
      <w:rFonts w:cs="Arial"/>
      <w:szCs w:val="18"/>
    </w:rPr>
  </w:style>
  <w:style w:type="paragraph" w:styleId="Revision">
    <w:name w:val="Revision"/>
    <w:uiPriority w:val="99"/>
    <w:semiHidden/>
    <w:rsid w:val="00330D8C"/>
    <w:pPr>
      <w:spacing w:after="0" w:line="240" w:lineRule="auto"/>
    </w:pPr>
    <w:rPr>
      <w:rFonts w:ascii="Calibri" w:hAnsi="Calibri" w:cs="Times New Roman"/>
      <w:sz w:val="18"/>
      <w:szCs w:val="20"/>
    </w:rPr>
  </w:style>
  <w:style w:type="paragraph" w:customStyle="1" w:styleId="SAPHeading-Level1">
    <w:name w:val="SAP Heading - Level 1"/>
    <w:basedOn w:val="NotesHeading-Level1"/>
    <w:rsid w:val="00330D8C"/>
    <w:pPr>
      <w:numPr>
        <w:numId w:val="0"/>
      </w:numPr>
      <w:tabs>
        <w:tab w:val="num" w:pos="851"/>
      </w:tabs>
      <w:ind w:left="851" w:hanging="851"/>
    </w:pPr>
    <w:rPr>
      <w:rFonts w:cstheme="minorHAnsi"/>
    </w:rPr>
  </w:style>
  <w:style w:type="paragraph" w:customStyle="1" w:styleId="SAPHeading-Level2">
    <w:name w:val="SAP Heading - Level 2"/>
    <w:basedOn w:val="SAPHeading-Level1"/>
    <w:rsid w:val="00330D8C"/>
    <w:pPr>
      <w:spacing w:before="100" w:after="100" w:line="240" w:lineRule="auto"/>
      <w:outlineLvl w:val="9"/>
    </w:pPr>
  </w:style>
  <w:style w:type="paragraph" w:customStyle="1" w:styleId="SAPHeading-Level3">
    <w:name w:val="SAP Heading - Level 3"/>
    <w:basedOn w:val="SAPHeading-Level2"/>
    <w:rsid w:val="00330D8C"/>
  </w:style>
  <w:style w:type="paragraph" w:customStyle="1" w:styleId="StatementDateHeader">
    <w:name w:val="Statement Date Header"/>
    <w:basedOn w:val="Normal"/>
    <w:next w:val="Normal"/>
    <w:rsid w:val="00330D8C"/>
    <w:pPr>
      <w:pBdr>
        <w:bottom w:val="single" w:sz="4" w:space="1" w:color="auto"/>
      </w:pBdr>
    </w:pPr>
    <w:rPr>
      <w:rFonts w:ascii="Arial" w:hAnsi="Arial"/>
      <w:i/>
      <w:sz w:val="24"/>
    </w:rPr>
  </w:style>
  <w:style w:type="paragraph" w:customStyle="1" w:styleId="StatementHeading">
    <w:name w:val="Statement Heading"/>
    <w:basedOn w:val="Normal"/>
    <w:rsid w:val="00330D8C"/>
    <w:rPr>
      <w:rFonts w:ascii="Arial" w:hAnsi="Arial"/>
      <w:b/>
      <w:sz w:val="24"/>
    </w:rPr>
  </w:style>
  <w:style w:type="paragraph" w:customStyle="1" w:styleId="StatementName">
    <w:name w:val="Statement Name"/>
    <w:basedOn w:val="Normal"/>
    <w:next w:val="Normal"/>
    <w:link w:val="StatementNameChar"/>
    <w:autoRedefine/>
    <w:rsid w:val="00330D8C"/>
    <w:pPr>
      <w:pBdr>
        <w:bottom w:val="single" w:sz="4" w:space="1" w:color="auto"/>
      </w:pBdr>
    </w:pPr>
    <w:rPr>
      <w:rFonts w:ascii="Arial" w:hAnsi="Arial" w:cs="Arial"/>
      <w:b/>
      <w:sz w:val="24"/>
      <w:szCs w:val="24"/>
    </w:rPr>
  </w:style>
  <w:style w:type="character" w:customStyle="1" w:styleId="StatementNameChar">
    <w:name w:val="Statement Name Char"/>
    <w:basedOn w:val="DefaultParagraphFont"/>
    <w:link w:val="StatementName"/>
    <w:locked/>
    <w:rsid w:val="00330D8C"/>
    <w:rPr>
      <w:rFonts w:ascii="Arial" w:hAnsi="Arial" w:cs="Arial"/>
      <w:b/>
      <w:sz w:val="24"/>
      <w:szCs w:val="24"/>
    </w:rPr>
  </w:style>
  <w:style w:type="paragraph" w:customStyle="1" w:styleId="StatementTextLevel1b">
    <w:name w:val="Statement Text Level 1(b)"/>
    <w:basedOn w:val="Normal"/>
    <w:link w:val="StatementTextLevel1bChar"/>
    <w:uiPriority w:val="99"/>
    <w:rsid w:val="00330D8C"/>
    <w:rPr>
      <w:rFonts w:ascii="Arial" w:hAnsi="Arial"/>
      <w:b/>
      <w:szCs w:val="18"/>
    </w:rPr>
  </w:style>
  <w:style w:type="character" w:customStyle="1" w:styleId="StatementTextLevel1bChar">
    <w:name w:val="Statement Text Level 1(b) Char"/>
    <w:basedOn w:val="DefaultParagraphFont"/>
    <w:link w:val="StatementTextLevel1b"/>
    <w:uiPriority w:val="99"/>
    <w:locked/>
    <w:rsid w:val="00330D8C"/>
    <w:rPr>
      <w:rFonts w:ascii="Arial" w:hAnsi="Arial" w:cs="Times New Roman"/>
      <w:b/>
      <w:sz w:val="18"/>
      <w:szCs w:val="18"/>
    </w:rPr>
  </w:style>
  <w:style w:type="paragraph" w:customStyle="1" w:styleId="StatementTextLevel1bItalic">
    <w:name w:val="Statement Text Level 1(b) + Italic"/>
    <w:basedOn w:val="Normal"/>
    <w:rsid w:val="00330D8C"/>
    <w:rPr>
      <w:rFonts w:ascii="Arial" w:hAnsi="Arial"/>
      <w:b/>
      <w:bCs/>
      <w:i/>
      <w:iCs/>
      <w:szCs w:val="18"/>
    </w:rPr>
  </w:style>
  <w:style w:type="paragraph" w:customStyle="1" w:styleId="StatementTextLevel3">
    <w:name w:val="Statement Text Level 3"/>
    <w:basedOn w:val="Normal"/>
    <w:next w:val="Normal"/>
    <w:rsid w:val="00330D8C"/>
    <w:rPr>
      <w:rFonts w:ascii="Arial" w:hAnsi="Arial"/>
    </w:rPr>
  </w:style>
  <w:style w:type="paragraph" w:customStyle="1" w:styleId="StyleNotesTextBold">
    <w:name w:val="Style Notes Text + Bold"/>
    <w:basedOn w:val="NotesText0"/>
    <w:link w:val="StyleNotesTextBoldChar"/>
    <w:uiPriority w:val="99"/>
    <w:rsid w:val="00330D8C"/>
    <w:pPr>
      <w:ind w:right="-54"/>
    </w:pPr>
    <w:rPr>
      <w:rFonts w:ascii="Calibri" w:hAnsi="Calibri"/>
      <w:bCs/>
      <w:sz w:val="20"/>
      <w:szCs w:val="20"/>
    </w:rPr>
  </w:style>
  <w:style w:type="character" w:customStyle="1" w:styleId="StyleNotesTextBoldChar">
    <w:name w:val="Style Notes Text + Bold Char"/>
    <w:basedOn w:val="NotesTextChar"/>
    <w:link w:val="StyleNotesTextBold"/>
    <w:uiPriority w:val="99"/>
    <w:locked/>
    <w:rsid w:val="00330D8C"/>
    <w:rPr>
      <w:rFonts w:ascii="Calibri" w:hAnsi="Calibri" w:cs="Arial"/>
      <w:bCs/>
      <w:sz w:val="20"/>
      <w:szCs w:val="20"/>
      <w:lang w:eastAsia="en-AU"/>
    </w:rPr>
  </w:style>
  <w:style w:type="paragraph" w:customStyle="1" w:styleId="StyleNotesTextBold1">
    <w:name w:val="Style Notes Text + Bold1"/>
    <w:basedOn w:val="NotesText0"/>
    <w:link w:val="StyleNotesTextBold1Char"/>
    <w:uiPriority w:val="99"/>
    <w:rsid w:val="00330D8C"/>
    <w:pPr>
      <w:ind w:right="-54"/>
    </w:pPr>
    <w:rPr>
      <w:rFonts w:ascii="Calibri" w:hAnsi="Calibri"/>
      <w:bCs/>
      <w:sz w:val="20"/>
      <w:szCs w:val="20"/>
    </w:rPr>
  </w:style>
  <w:style w:type="character" w:customStyle="1" w:styleId="StyleNotesTextBold1Char">
    <w:name w:val="Style Notes Text + Bold1 Char"/>
    <w:basedOn w:val="NotesTextChar"/>
    <w:link w:val="StyleNotesTextBold1"/>
    <w:uiPriority w:val="99"/>
    <w:locked/>
    <w:rsid w:val="00330D8C"/>
    <w:rPr>
      <w:rFonts w:ascii="Calibri" w:hAnsi="Calibri" w:cs="Arial"/>
      <w:bCs/>
      <w:sz w:val="20"/>
      <w:szCs w:val="20"/>
      <w:lang w:eastAsia="en-AU"/>
    </w:rPr>
  </w:style>
  <w:style w:type="paragraph" w:customStyle="1" w:styleId="StyleNotesTextItalic">
    <w:name w:val="Style Notes Text + Italic"/>
    <w:basedOn w:val="NotesText0"/>
    <w:link w:val="StyleNotesTextItalicChar"/>
    <w:uiPriority w:val="99"/>
    <w:rsid w:val="00330D8C"/>
    <w:pPr>
      <w:ind w:right="-54"/>
    </w:pPr>
    <w:rPr>
      <w:i/>
      <w:iCs/>
      <w:u w:val="single"/>
    </w:rPr>
  </w:style>
  <w:style w:type="character" w:customStyle="1" w:styleId="StyleNotesTextItalicChar">
    <w:name w:val="Style Notes Text + Italic Char"/>
    <w:basedOn w:val="NotesTextChar"/>
    <w:link w:val="StyleNotesTextItalic"/>
    <w:uiPriority w:val="99"/>
    <w:locked/>
    <w:rsid w:val="00330D8C"/>
    <w:rPr>
      <w:rFonts w:cs="Arial"/>
      <w:i/>
      <w:iCs/>
      <w:sz w:val="18"/>
      <w:szCs w:val="18"/>
      <w:u w:val="single"/>
      <w:lang w:eastAsia="en-AU"/>
    </w:rPr>
  </w:style>
  <w:style w:type="paragraph" w:customStyle="1" w:styleId="StyleNotesTextItalic1">
    <w:name w:val="Style Notes Text + Italic1"/>
    <w:basedOn w:val="NotesText0"/>
    <w:uiPriority w:val="99"/>
    <w:rsid w:val="00330D8C"/>
    <w:pPr>
      <w:ind w:right="-54"/>
    </w:pPr>
    <w:rPr>
      <w:rFonts w:ascii="Calibri" w:hAnsi="Calibri" w:cs="Times New Roman"/>
      <w:i/>
      <w:iCs/>
      <w:sz w:val="20"/>
      <w:szCs w:val="20"/>
      <w:lang w:eastAsia="en-US"/>
    </w:rPr>
  </w:style>
  <w:style w:type="paragraph" w:customStyle="1" w:styleId="StyleNotesTextPatternClearGray-20">
    <w:name w:val="Style Notes Text + Pattern: Clear (Gray-20%)"/>
    <w:basedOn w:val="NotesText0"/>
    <w:uiPriority w:val="99"/>
    <w:rsid w:val="00330D8C"/>
    <w:pPr>
      <w:ind w:right="-54"/>
    </w:pPr>
    <w:rPr>
      <w:rFonts w:ascii="Calibri" w:hAnsi="Calibri" w:cs="Times New Roman"/>
      <w:sz w:val="20"/>
      <w:szCs w:val="20"/>
      <w:lang w:eastAsia="en-US"/>
    </w:rPr>
  </w:style>
  <w:style w:type="paragraph" w:customStyle="1" w:styleId="StyleNotesTextPatternClearGray-25">
    <w:name w:val="Style Notes Text + Pattern: Clear (Gray-25%)"/>
    <w:basedOn w:val="NotesText0"/>
    <w:autoRedefine/>
    <w:uiPriority w:val="99"/>
    <w:rsid w:val="00330D8C"/>
    <w:pPr>
      <w:shd w:val="clear" w:color="auto" w:fill="CCCCCC"/>
      <w:ind w:right="-54"/>
    </w:pPr>
    <w:rPr>
      <w:rFonts w:ascii="Calibri" w:hAnsi="Calibri"/>
      <w:sz w:val="20"/>
      <w:szCs w:val="20"/>
      <w:lang w:eastAsia="en-US"/>
    </w:rPr>
  </w:style>
  <w:style w:type="paragraph" w:customStyle="1" w:styleId="StyleReferenceTextItalic">
    <w:name w:val="Style Reference Text + Italic"/>
    <w:basedOn w:val="ReferenceText"/>
    <w:link w:val="StyleReferenceTextItalicChar"/>
    <w:uiPriority w:val="99"/>
    <w:rsid w:val="00330D8C"/>
    <w:pPr>
      <w:spacing w:line="240" w:lineRule="atLeast"/>
    </w:pPr>
    <w:rPr>
      <w:rFonts w:ascii="Calibri" w:hAnsi="Calibri" w:cs="Arial"/>
      <w:i/>
      <w:iCs/>
      <w:sz w:val="20"/>
    </w:rPr>
  </w:style>
  <w:style w:type="character" w:customStyle="1" w:styleId="StyleReferenceTextItalicChar">
    <w:name w:val="Style Reference Text + Italic Char"/>
    <w:basedOn w:val="ReferenceTextChar"/>
    <w:link w:val="StyleReferenceTextItalic"/>
    <w:uiPriority w:val="99"/>
    <w:locked/>
    <w:rsid w:val="00330D8C"/>
    <w:rPr>
      <w:rFonts w:ascii="Calibri" w:hAnsi="Calibri" w:cs="Arial"/>
      <w:i/>
      <w:iCs/>
      <w:sz w:val="20"/>
      <w:szCs w:val="20"/>
      <w:lang w:eastAsia="en-AU"/>
    </w:rPr>
  </w:style>
  <w:style w:type="numbering" w:customStyle="1" w:styleId="Style2">
    <w:name w:val="Style2"/>
    <w:rsid w:val="00330D8C"/>
    <w:pPr>
      <w:numPr>
        <w:numId w:val="14"/>
      </w:numPr>
    </w:pPr>
  </w:style>
  <w:style w:type="table" w:styleId="TableGrid">
    <w:name w:val="Table Grid"/>
    <w:basedOn w:val="TableNormal"/>
    <w:uiPriority w:val="59"/>
    <w:rsid w:val="00330D8C"/>
    <w:pPr>
      <w:spacing w:after="0" w:line="260" w:lineRule="atLeast"/>
    </w:pPr>
    <w:rPr>
      <w:rFonts w:ascii="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330D8C"/>
    <w:pPr>
      <w:spacing w:after="0" w:line="240" w:lineRule="auto"/>
    </w:pPr>
    <w:rPr>
      <w:rFonts w:ascii="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Level1">
    <w:name w:val="Table Header Level 1"/>
    <w:basedOn w:val="Normal"/>
    <w:semiHidden/>
    <w:rsid w:val="00330D8C"/>
    <w:pPr>
      <w:jc w:val="center"/>
    </w:pPr>
    <w:rPr>
      <w:rFonts w:ascii="Arial" w:hAnsi="Arial"/>
      <w:b/>
      <w:szCs w:val="18"/>
    </w:rPr>
  </w:style>
  <w:style w:type="paragraph" w:styleId="TableofFigures">
    <w:name w:val="table of figures"/>
    <w:basedOn w:val="Normal"/>
    <w:next w:val="Normal"/>
    <w:semiHidden/>
    <w:rsid w:val="00330D8C"/>
  </w:style>
  <w:style w:type="paragraph" w:customStyle="1" w:styleId="TitlePage">
    <w:name w:val="Title Page"/>
    <w:basedOn w:val="Normal"/>
    <w:autoRedefine/>
    <w:rsid w:val="00330D8C"/>
    <w:pPr>
      <w:spacing w:before="1200" w:after="1200"/>
      <w:ind w:left="57" w:right="57"/>
      <w:jc w:val="right"/>
    </w:pPr>
    <w:rPr>
      <w:b/>
      <w:bCs/>
      <w:sz w:val="48"/>
    </w:rPr>
  </w:style>
  <w:style w:type="paragraph" w:styleId="TOC1">
    <w:name w:val="toc 1"/>
    <w:basedOn w:val="Normal"/>
    <w:next w:val="Normal"/>
    <w:autoRedefine/>
    <w:uiPriority w:val="39"/>
    <w:rsid w:val="00330D8C"/>
    <w:pPr>
      <w:tabs>
        <w:tab w:val="left" w:pos="1134"/>
        <w:tab w:val="right" w:leader="dot" w:pos="9628"/>
      </w:tabs>
      <w:spacing w:after="100"/>
    </w:pPr>
    <w:rPr>
      <w:rFonts w:ascii="Arial" w:hAnsi="Arial"/>
      <w:sz w:val="20"/>
    </w:rPr>
  </w:style>
  <w:style w:type="paragraph" w:styleId="TOC2">
    <w:name w:val="toc 2"/>
    <w:basedOn w:val="Normal"/>
    <w:next w:val="Normal"/>
    <w:autoRedefine/>
    <w:semiHidden/>
    <w:rsid w:val="00330D8C"/>
    <w:pPr>
      <w:spacing w:before="120"/>
      <w:ind w:left="220"/>
    </w:pPr>
    <w:rPr>
      <w:i/>
      <w:iCs/>
      <w:sz w:val="20"/>
    </w:rPr>
  </w:style>
  <w:style w:type="paragraph" w:styleId="TOC3">
    <w:name w:val="toc 3"/>
    <w:basedOn w:val="Normal"/>
    <w:next w:val="Normal"/>
    <w:autoRedefine/>
    <w:uiPriority w:val="39"/>
    <w:rsid w:val="00330D8C"/>
    <w:pPr>
      <w:ind w:left="440"/>
    </w:pPr>
    <w:rPr>
      <w:sz w:val="20"/>
    </w:rPr>
  </w:style>
  <w:style w:type="paragraph" w:styleId="TOC4">
    <w:name w:val="toc 4"/>
    <w:basedOn w:val="Normal"/>
    <w:next w:val="Normal"/>
    <w:autoRedefine/>
    <w:semiHidden/>
    <w:rsid w:val="00330D8C"/>
    <w:pPr>
      <w:ind w:left="660"/>
    </w:pPr>
    <w:rPr>
      <w:sz w:val="20"/>
    </w:rPr>
  </w:style>
  <w:style w:type="paragraph" w:styleId="TOC5">
    <w:name w:val="toc 5"/>
    <w:basedOn w:val="Normal"/>
    <w:next w:val="Normal"/>
    <w:autoRedefine/>
    <w:semiHidden/>
    <w:rsid w:val="00330D8C"/>
    <w:pPr>
      <w:ind w:left="880"/>
    </w:pPr>
    <w:rPr>
      <w:sz w:val="20"/>
    </w:rPr>
  </w:style>
  <w:style w:type="paragraph" w:styleId="TOC6">
    <w:name w:val="toc 6"/>
    <w:basedOn w:val="Normal"/>
    <w:next w:val="Normal"/>
    <w:autoRedefine/>
    <w:semiHidden/>
    <w:rsid w:val="00330D8C"/>
    <w:pPr>
      <w:ind w:left="1100"/>
    </w:pPr>
    <w:rPr>
      <w:sz w:val="20"/>
    </w:rPr>
  </w:style>
  <w:style w:type="paragraph" w:styleId="TOC7">
    <w:name w:val="toc 7"/>
    <w:basedOn w:val="Normal"/>
    <w:next w:val="Normal"/>
    <w:autoRedefine/>
    <w:semiHidden/>
    <w:rsid w:val="00330D8C"/>
    <w:pPr>
      <w:ind w:left="1320"/>
    </w:pPr>
    <w:rPr>
      <w:sz w:val="20"/>
    </w:rPr>
  </w:style>
  <w:style w:type="paragraph" w:styleId="TOC8">
    <w:name w:val="toc 8"/>
    <w:basedOn w:val="Normal"/>
    <w:next w:val="Normal"/>
    <w:autoRedefine/>
    <w:semiHidden/>
    <w:rsid w:val="00330D8C"/>
    <w:pPr>
      <w:ind w:left="1540"/>
    </w:pPr>
    <w:rPr>
      <w:sz w:val="20"/>
    </w:rPr>
  </w:style>
  <w:style w:type="paragraph" w:styleId="TOC9">
    <w:name w:val="toc 9"/>
    <w:basedOn w:val="Normal"/>
    <w:next w:val="Normal"/>
    <w:autoRedefine/>
    <w:semiHidden/>
    <w:rsid w:val="00330D8C"/>
    <w:pPr>
      <w:ind w:left="1760"/>
    </w:pPr>
    <w:rPr>
      <w:sz w:val="20"/>
    </w:rPr>
  </w:style>
  <w:style w:type="paragraph" w:styleId="TOCHeading">
    <w:name w:val="TOC Heading"/>
    <w:basedOn w:val="Heading1"/>
    <w:next w:val="Normal"/>
    <w:uiPriority w:val="39"/>
    <w:unhideWhenUsed/>
    <w:qFormat/>
    <w:rsid w:val="00330D8C"/>
    <w:pPr>
      <w:keepLines/>
      <w:spacing w:before="480" w:after="0" w:line="276" w:lineRule="auto"/>
      <w:outlineLvl w:val="9"/>
    </w:pPr>
    <w:rPr>
      <w:rFonts w:asciiTheme="majorHAnsi" w:eastAsiaTheme="majorEastAsia" w:hAnsiTheme="majorHAnsi" w:cstheme="majorBidi"/>
      <w:b/>
      <w:bCs/>
      <w:color w:val="365F91" w:themeColor="accent1" w:themeShade="BF"/>
      <w:kern w:val="0"/>
      <w:sz w:val="28"/>
      <w:szCs w:val="28"/>
      <w:lang w:val="en-US" w:eastAsia="ja-JP"/>
    </w:rPr>
  </w:style>
  <w:style w:type="paragraph" w:customStyle="1" w:styleId="UnderlineItalics">
    <w:name w:val="Underline Italics"/>
    <w:basedOn w:val="Normal"/>
    <w:qFormat/>
    <w:rsid w:val="00330D8C"/>
    <w:rPr>
      <w:i/>
      <w:u w:val="single"/>
    </w:rPr>
  </w:style>
  <w:style w:type="paragraph" w:customStyle="1" w:styleId="xl141">
    <w:name w:val="xl141"/>
    <w:basedOn w:val="Normal"/>
    <w:rsid w:val="00330D8C"/>
    <w:pPr>
      <w:spacing w:before="100" w:beforeAutospacing="1" w:after="100" w:afterAutospacing="1" w:line="240" w:lineRule="auto"/>
    </w:pPr>
    <w:rPr>
      <w:rFonts w:ascii="Times New Roman" w:hAnsi="Times New Roman"/>
      <w:sz w:val="16"/>
      <w:szCs w:val="16"/>
      <w:lang w:eastAsia="en-AU"/>
    </w:rPr>
  </w:style>
  <w:style w:type="paragraph" w:customStyle="1" w:styleId="xl142">
    <w:name w:val="xl142"/>
    <w:basedOn w:val="Normal"/>
    <w:rsid w:val="00330D8C"/>
    <w:pPr>
      <w:pBdr>
        <w:top w:val="single" w:sz="4" w:space="0" w:color="auto"/>
        <w:bottom w:val="single" w:sz="4" w:space="0" w:color="auto"/>
      </w:pBdr>
      <w:shd w:val="clear" w:color="FFFFFF" w:fill="FFFFFF"/>
      <w:spacing w:before="100" w:beforeAutospacing="1" w:after="100" w:afterAutospacing="1" w:line="240" w:lineRule="auto"/>
      <w:jc w:val="right"/>
    </w:pPr>
    <w:rPr>
      <w:b/>
      <w:bCs/>
      <w:szCs w:val="18"/>
      <w:lang w:eastAsia="en-AU"/>
    </w:rPr>
  </w:style>
  <w:style w:type="paragraph" w:customStyle="1" w:styleId="xl143">
    <w:name w:val="xl143"/>
    <w:basedOn w:val="Normal"/>
    <w:rsid w:val="00330D8C"/>
    <w:pPr>
      <w:shd w:val="clear" w:color="FFFFFF" w:fill="FFFFFF"/>
      <w:spacing w:before="100" w:beforeAutospacing="1" w:after="100" w:afterAutospacing="1" w:line="240" w:lineRule="auto"/>
      <w:ind w:firstLineChars="100" w:firstLine="100"/>
    </w:pPr>
    <w:rPr>
      <w:szCs w:val="18"/>
      <w:lang w:eastAsia="en-AU"/>
    </w:rPr>
  </w:style>
  <w:style w:type="paragraph" w:customStyle="1" w:styleId="xl144">
    <w:name w:val="xl144"/>
    <w:basedOn w:val="Normal"/>
    <w:rsid w:val="00330D8C"/>
    <w:pPr>
      <w:pBdr>
        <w:bottom w:val="single" w:sz="4" w:space="0" w:color="auto"/>
      </w:pBdr>
      <w:shd w:val="clear" w:color="FFFFFF" w:fill="FFFFFF"/>
      <w:spacing w:before="100" w:beforeAutospacing="1" w:after="100" w:afterAutospacing="1" w:line="240" w:lineRule="auto"/>
      <w:jc w:val="right"/>
    </w:pPr>
    <w:rPr>
      <w:b/>
      <w:bCs/>
      <w:szCs w:val="18"/>
      <w:lang w:eastAsia="en-AU"/>
    </w:rPr>
  </w:style>
  <w:style w:type="paragraph" w:customStyle="1" w:styleId="xl145">
    <w:name w:val="xl145"/>
    <w:basedOn w:val="Normal"/>
    <w:rsid w:val="00330D8C"/>
    <w:pPr>
      <w:shd w:val="clear" w:color="FFFFFF" w:fill="FFFFFF"/>
      <w:spacing w:before="100" w:beforeAutospacing="1" w:after="100" w:afterAutospacing="1" w:line="240" w:lineRule="auto"/>
    </w:pPr>
    <w:rPr>
      <w:b/>
      <w:bCs/>
      <w:szCs w:val="18"/>
      <w:lang w:eastAsia="en-AU"/>
    </w:rPr>
  </w:style>
  <w:style w:type="paragraph" w:customStyle="1" w:styleId="xl146">
    <w:name w:val="xl146"/>
    <w:basedOn w:val="Normal"/>
    <w:rsid w:val="00330D8C"/>
    <w:pPr>
      <w:shd w:val="clear" w:color="FFFFFF" w:fill="FFFFFF"/>
      <w:spacing w:before="100" w:beforeAutospacing="1" w:after="100" w:afterAutospacing="1" w:line="240" w:lineRule="auto"/>
    </w:pPr>
    <w:rPr>
      <w:b/>
      <w:bCs/>
      <w:szCs w:val="18"/>
      <w:lang w:eastAsia="en-AU"/>
    </w:rPr>
  </w:style>
  <w:style w:type="paragraph" w:customStyle="1" w:styleId="xl147">
    <w:name w:val="xl147"/>
    <w:basedOn w:val="Normal"/>
    <w:rsid w:val="00330D8C"/>
    <w:pPr>
      <w:shd w:val="clear" w:color="FFFFFF" w:fill="FFFFFF"/>
      <w:spacing w:before="100" w:beforeAutospacing="1" w:after="100" w:afterAutospacing="1" w:line="240" w:lineRule="auto"/>
    </w:pPr>
    <w:rPr>
      <w:rFonts w:ascii="Times New Roman" w:hAnsi="Times New Roman"/>
      <w:szCs w:val="18"/>
      <w:lang w:eastAsia="en-AU"/>
    </w:rPr>
  </w:style>
  <w:style w:type="paragraph" w:customStyle="1" w:styleId="xl148">
    <w:name w:val="xl148"/>
    <w:basedOn w:val="Normal"/>
    <w:rsid w:val="00330D8C"/>
    <w:pPr>
      <w:pBdr>
        <w:top w:val="single" w:sz="4" w:space="0" w:color="auto"/>
        <w:bottom w:val="single" w:sz="4" w:space="0" w:color="auto"/>
      </w:pBdr>
      <w:shd w:val="clear" w:color="FFFFFF" w:fill="FFFFFF"/>
      <w:spacing w:before="100" w:beforeAutospacing="1" w:after="100" w:afterAutospacing="1" w:line="240" w:lineRule="auto"/>
    </w:pPr>
    <w:rPr>
      <w:b/>
      <w:bCs/>
      <w:szCs w:val="18"/>
      <w:lang w:eastAsia="en-AU"/>
    </w:rPr>
  </w:style>
  <w:style w:type="paragraph" w:customStyle="1" w:styleId="xl149">
    <w:name w:val="xl149"/>
    <w:basedOn w:val="Normal"/>
    <w:rsid w:val="00330D8C"/>
    <w:pPr>
      <w:pBdr>
        <w:top w:val="single" w:sz="4" w:space="0" w:color="auto"/>
        <w:bottom w:val="single" w:sz="4" w:space="0" w:color="auto"/>
      </w:pBdr>
      <w:shd w:val="clear" w:color="FFFFFF" w:fill="FFFFFF"/>
      <w:spacing w:before="100" w:beforeAutospacing="1" w:after="100" w:afterAutospacing="1" w:line="240" w:lineRule="auto"/>
    </w:pPr>
    <w:rPr>
      <w:rFonts w:ascii="Times New Roman" w:hAnsi="Times New Roman"/>
      <w:szCs w:val="18"/>
      <w:lang w:eastAsia="en-AU"/>
    </w:rPr>
  </w:style>
  <w:style w:type="paragraph" w:customStyle="1" w:styleId="xl150">
    <w:name w:val="xl150"/>
    <w:basedOn w:val="Normal"/>
    <w:rsid w:val="00330D8C"/>
    <w:pPr>
      <w:pBdr>
        <w:bottom w:val="single" w:sz="4" w:space="0" w:color="auto"/>
      </w:pBdr>
      <w:shd w:val="clear" w:color="FFFFFF" w:fill="FFFFFF"/>
      <w:spacing w:before="100" w:beforeAutospacing="1" w:after="100" w:afterAutospacing="1" w:line="240" w:lineRule="auto"/>
    </w:pPr>
    <w:rPr>
      <w:b/>
      <w:bCs/>
      <w:szCs w:val="18"/>
      <w:lang w:eastAsia="en-AU"/>
    </w:rPr>
  </w:style>
  <w:style w:type="paragraph" w:customStyle="1" w:styleId="xl151">
    <w:name w:val="xl151"/>
    <w:basedOn w:val="Normal"/>
    <w:rsid w:val="00330D8C"/>
    <w:pPr>
      <w:pBdr>
        <w:top w:val="single" w:sz="4" w:space="0" w:color="auto"/>
        <w:bottom w:val="single" w:sz="4" w:space="0" w:color="auto"/>
      </w:pBdr>
      <w:shd w:val="clear" w:color="FFFFFF" w:fill="FFFFFF"/>
      <w:spacing w:before="100" w:beforeAutospacing="1" w:after="100" w:afterAutospacing="1" w:line="240" w:lineRule="auto"/>
    </w:pPr>
    <w:rPr>
      <w:b/>
      <w:bCs/>
      <w:szCs w:val="18"/>
      <w:lang w:eastAsia="en-AU"/>
    </w:rPr>
  </w:style>
  <w:style w:type="paragraph" w:customStyle="1" w:styleId="xl152">
    <w:name w:val="xl152"/>
    <w:basedOn w:val="Normal"/>
    <w:rsid w:val="00330D8C"/>
    <w:pPr>
      <w:shd w:val="clear" w:color="FFFFFF" w:fill="FFFFFF"/>
      <w:spacing w:before="100" w:beforeAutospacing="1" w:after="100" w:afterAutospacing="1" w:line="240" w:lineRule="auto"/>
    </w:pPr>
    <w:rPr>
      <w:szCs w:val="18"/>
      <w:lang w:eastAsia="en-AU"/>
    </w:rPr>
  </w:style>
  <w:style w:type="paragraph" w:customStyle="1" w:styleId="xl153">
    <w:name w:val="xl153"/>
    <w:basedOn w:val="Normal"/>
    <w:rsid w:val="00330D8C"/>
    <w:pPr>
      <w:shd w:val="clear" w:color="FFFFFF" w:fill="FFFFFF"/>
      <w:spacing w:before="100" w:beforeAutospacing="1" w:after="100" w:afterAutospacing="1" w:line="240" w:lineRule="auto"/>
      <w:jc w:val="right"/>
    </w:pPr>
    <w:rPr>
      <w:b/>
      <w:bCs/>
      <w:szCs w:val="18"/>
      <w:lang w:eastAsia="en-AU"/>
    </w:rPr>
  </w:style>
  <w:style w:type="paragraph" w:customStyle="1" w:styleId="xl154">
    <w:name w:val="xl154"/>
    <w:basedOn w:val="Normal"/>
    <w:rsid w:val="00330D8C"/>
    <w:pPr>
      <w:shd w:val="clear" w:color="000000" w:fill="4F81BD"/>
      <w:spacing w:before="100" w:beforeAutospacing="1" w:after="100" w:afterAutospacing="1" w:line="240" w:lineRule="auto"/>
    </w:pPr>
    <w:rPr>
      <w:rFonts w:ascii="Times New Roman" w:hAnsi="Times New Roman"/>
      <w:color w:val="FFFFFF"/>
      <w:sz w:val="16"/>
      <w:szCs w:val="16"/>
      <w:lang w:eastAsia="en-AU"/>
    </w:rPr>
  </w:style>
  <w:style w:type="paragraph" w:customStyle="1" w:styleId="xl155">
    <w:name w:val="xl155"/>
    <w:basedOn w:val="Normal"/>
    <w:rsid w:val="00330D8C"/>
    <w:pPr>
      <w:shd w:val="clear" w:color="FFFFFF" w:fill="FFFFFF"/>
      <w:spacing w:before="100" w:beforeAutospacing="1" w:after="100" w:afterAutospacing="1" w:line="240" w:lineRule="auto"/>
      <w:textAlignment w:val="top"/>
    </w:pPr>
    <w:rPr>
      <w:b/>
      <w:bCs/>
      <w:szCs w:val="18"/>
      <w:lang w:eastAsia="en-AU"/>
    </w:rPr>
  </w:style>
  <w:style w:type="paragraph" w:customStyle="1" w:styleId="xl156">
    <w:name w:val="xl156"/>
    <w:basedOn w:val="Normal"/>
    <w:rsid w:val="00330D8C"/>
    <w:pPr>
      <w:shd w:val="clear" w:color="FFFFFF" w:fill="FFFFFF"/>
      <w:spacing w:before="100" w:beforeAutospacing="1" w:after="100" w:afterAutospacing="1" w:line="240" w:lineRule="auto"/>
      <w:textAlignment w:val="top"/>
    </w:pPr>
    <w:rPr>
      <w:rFonts w:ascii="Times New Roman" w:hAnsi="Times New Roman"/>
      <w:b/>
      <w:bCs/>
      <w:szCs w:val="18"/>
      <w:lang w:eastAsia="en-AU"/>
    </w:rPr>
  </w:style>
  <w:style w:type="paragraph" w:customStyle="1" w:styleId="xl157">
    <w:name w:val="xl157"/>
    <w:basedOn w:val="Normal"/>
    <w:rsid w:val="00330D8C"/>
    <w:pPr>
      <w:shd w:val="clear" w:color="FFFFFF" w:fill="FFFFFF"/>
      <w:spacing w:before="100" w:beforeAutospacing="1" w:after="100" w:afterAutospacing="1" w:line="240" w:lineRule="auto"/>
    </w:pPr>
    <w:rPr>
      <w:b/>
      <w:bCs/>
      <w:szCs w:val="18"/>
      <w:u w:val="single"/>
      <w:lang w:eastAsia="en-AU"/>
    </w:rPr>
  </w:style>
  <w:style w:type="paragraph" w:customStyle="1" w:styleId="xl158">
    <w:name w:val="xl158"/>
    <w:basedOn w:val="Normal"/>
    <w:rsid w:val="00330D8C"/>
    <w:pPr>
      <w:shd w:val="clear" w:color="FFFFFF" w:fill="FFFFFF"/>
      <w:spacing w:before="100" w:beforeAutospacing="1" w:after="100" w:afterAutospacing="1" w:line="240" w:lineRule="auto"/>
    </w:pPr>
    <w:rPr>
      <w:b/>
      <w:bCs/>
      <w:szCs w:val="18"/>
      <w:u w:val="single"/>
      <w:lang w:eastAsia="en-AU"/>
    </w:rPr>
  </w:style>
  <w:style w:type="paragraph" w:customStyle="1" w:styleId="xl159">
    <w:name w:val="xl159"/>
    <w:basedOn w:val="Normal"/>
    <w:rsid w:val="00330D8C"/>
    <w:pPr>
      <w:shd w:val="clear" w:color="FFFFFF" w:fill="FFFFFF"/>
      <w:spacing w:before="100" w:beforeAutospacing="1" w:after="100" w:afterAutospacing="1" w:line="240" w:lineRule="auto"/>
    </w:pPr>
    <w:rPr>
      <w:rFonts w:cs="Calibri"/>
      <w:b/>
      <w:bCs/>
      <w:szCs w:val="18"/>
      <w:u w:val="single"/>
      <w:lang w:eastAsia="en-AU"/>
    </w:rPr>
  </w:style>
  <w:style w:type="paragraph" w:customStyle="1" w:styleId="xl160">
    <w:name w:val="xl160"/>
    <w:basedOn w:val="Normal"/>
    <w:rsid w:val="00330D8C"/>
    <w:pPr>
      <w:shd w:val="clear" w:color="FFFFFF" w:fill="FFFFFF"/>
      <w:spacing w:before="100" w:beforeAutospacing="1" w:after="100" w:afterAutospacing="1" w:line="240" w:lineRule="auto"/>
    </w:pPr>
    <w:rPr>
      <w:rFonts w:cs="Calibri"/>
      <w:b/>
      <w:bCs/>
      <w:szCs w:val="18"/>
      <w:u w:val="single"/>
      <w:lang w:eastAsia="en-AU"/>
    </w:rPr>
  </w:style>
  <w:style w:type="paragraph" w:customStyle="1" w:styleId="xl161">
    <w:name w:val="xl161"/>
    <w:basedOn w:val="Normal"/>
    <w:rsid w:val="00330D8C"/>
    <w:pPr>
      <w:pBdr>
        <w:top w:val="single" w:sz="4" w:space="0" w:color="auto"/>
        <w:bottom w:val="single" w:sz="4" w:space="0" w:color="auto"/>
      </w:pBdr>
      <w:shd w:val="clear" w:color="FFFFFF" w:fill="FFFFFF"/>
      <w:spacing w:before="100" w:beforeAutospacing="1" w:after="100" w:afterAutospacing="1" w:line="240" w:lineRule="auto"/>
      <w:jc w:val="center"/>
    </w:pPr>
    <w:rPr>
      <w:rFonts w:cs="Calibri"/>
      <w:b/>
      <w:bCs/>
      <w:szCs w:val="18"/>
      <w:lang w:eastAsia="en-AU"/>
    </w:rPr>
  </w:style>
  <w:style w:type="paragraph" w:customStyle="1" w:styleId="xl162">
    <w:name w:val="xl162"/>
    <w:basedOn w:val="Normal"/>
    <w:rsid w:val="00330D8C"/>
    <w:pPr>
      <w:shd w:val="clear" w:color="FFFFFF" w:fill="FFFFFF"/>
      <w:spacing w:before="100" w:beforeAutospacing="1" w:after="100" w:afterAutospacing="1" w:line="240" w:lineRule="auto"/>
      <w:jc w:val="right"/>
    </w:pPr>
    <w:rPr>
      <w:rFonts w:cs="Calibri"/>
      <w:szCs w:val="18"/>
      <w:lang w:eastAsia="en-AU"/>
    </w:rPr>
  </w:style>
  <w:style w:type="paragraph" w:customStyle="1" w:styleId="xl163">
    <w:name w:val="xl163"/>
    <w:basedOn w:val="Normal"/>
    <w:rsid w:val="00330D8C"/>
    <w:pPr>
      <w:pBdr>
        <w:top w:val="single" w:sz="4" w:space="0" w:color="auto"/>
        <w:bottom w:val="single" w:sz="4" w:space="0" w:color="auto"/>
      </w:pBdr>
      <w:shd w:val="clear" w:color="FFFFFF" w:fill="FFFFFF"/>
      <w:spacing w:before="100" w:beforeAutospacing="1" w:after="100" w:afterAutospacing="1" w:line="240" w:lineRule="auto"/>
      <w:jc w:val="right"/>
    </w:pPr>
    <w:rPr>
      <w:rFonts w:cs="Calibri"/>
      <w:szCs w:val="18"/>
      <w:lang w:eastAsia="en-AU"/>
    </w:rPr>
  </w:style>
  <w:style w:type="paragraph" w:customStyle="1" w:styleId="xl164">
    <w:name w:val="xl164"/>
    <w:basedOn w:val="Normal"/>
    <w:rsid w:val="00330D8C"/>
    <w:pPr>
      <w:shd w:val="clear" w:color="000000" w:fill="D9D9D9"/>
      <w:spacing w:before="100" w:beforeAutospacing="1" w:after="100" w:afterAutospacing="1" w:line="240" w:lineRule="auto"/>
    </w:pPr>
    <w:rPr>
      <w:rFonts w:ascii="Times New Roman" w:hAnsi="Times New Roman"/>
      <w:szCs w:val="18"/>
      <w:lang w:eastAsia="en-AU"/>
    </w:rPr>
  </w:style>
  <w:style w:type="paragraph" w:customStyle="1" w:styleId="zcontents">
    <w:name w:val="zcontents"/>
    <w:basedOn w:val="Normal"/>
    <w:semiHidden/>
    <w:rsid w:val="00330D8C"/>
    <w:pPr>
      <w:spacing w:after="260" w:line="240" w:lineRule="auto"/>
    </w:pPr>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header" Target="header6.xml"/><Relationship Id="rId26" Type="http://schemas.openxmlformats.org/officeDocument/2006/relationships/header" Target="header13.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10.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footer" Target="footer4.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D0501D24.dotm</Template>
  <TotalTime>37</TotalTime>
  <Pages>97</Pages>
  <Words>24759</Words>
  <Characters>141129</Characters>
  <Application>Microsoft Office Word</Application>
  <DocSecurity>0</DocSecurity>
  <Lines>1176</Lines>
  <Paragraphs>331</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    INDEPENDENT AUDITOR'S REPORT</vt:lpstr>
      <vt:lpstr>        Chief Executive's Responsibility for the Financial Statements</vt:lpstr>
      <vt:lpstr>        Auditor's Responsibility</vt:lpstr>
      <vt:lpstr>        Independence</vt:lpstr>
      <vt:lpstr>        Opinion</vt:lpstr>
      <vt:lpstr>Summary of Significant Accounting Policies</vt:lpstr>
      <vt:lpstr>Events After the Reporting Period</vt:lpstr>
      <vt:lpstr>Net Cash Appropriation Arrangements</vt:lpstr>
      <vt:lpstr>Expenses</vt:lpstr>
      <vt:lpstr>Income</vt:lpstr>
      <vt:lpstr>Fair Value Measurement</vt:lpstr>
      <vt:lpstr>Financial Assets</vt:lpstr>
      <vt:lpstr>Non-Financial Assets</vt:lpstr>
      <vt:lpstr>Payables</vt:lpstr>
      <vt:lpstr>Provisions</vt:lpstr>
      <vt:lpstr>Restructuring</vt:lpstr>
      <vt:lpstr>Cash Flow Reconciliation</vt:lpstr>
      <vt:lpstr>Contingent Assets and Liabilities</vt:lpstr>
      <vt:lpstr>Senior Management Personnel Remuneration</vt:lpstr>
      <vt:lpstr>Remuneration of Auditors</vt:lpstr>
      <vt:lpstr>Financial Instruments</vt:lpstr>
      <vt:lpstr>Financial Assets Reconciliation</vt:lpstr>
      <vt:lpstr>Administered Expenses</vt:lpstr>
    </vt:vector>
  </TitlesOfParts>
  <Company>Australian Government</Company>
  <LinksUpToDate>false</LinksUpToDate>
  <CharactersWithSpaces>165557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Vine</dc:creator>
  <cp:keywords/>
  <dc:description/>
  <cp:lastModifiedBy>Colin Vine</cp:lastModifiedBy>
  <cp:revision>4</cp:revision>
  <dcterms:created xsi:type="dcterms:W3CDTF">2015-10-28T00:16:00Z</dcterms:created>
  <dcterms:modified xsi:type="dcterms:W3CDTF">2015-10-28T01:04:00Z</dcterms:modified>
</cp:coreProperties>
</file>