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8D4" w:rsidRPr="00FC4D30" w:rsidRDefault="00B60CB0" w:rsidP="00B60CB0">
      <w:pPr>
        <w:pStyle w:val="Title"/>
      </w:pPr>
      <w:bookmarkStart w:id="0" w:name="_GoBack"/>
      <w:bookmarkEnd w:id="0"/>
      <w:r>
        <w:rPr>
          <w:noProof/>
          <w:lang w:eastAsia="en-AU"/>
        </w:rPr>
        <w:drawing>
          <wp:anchor distT="0" distB="0" distL="114300" distR="114300" simplePos="0" relativeHeight="251658240" behindDoc="0" locked="0" layoutInCell="1" allowOverlap="1" wp14:anchorId="1EFB8601" wp14:editId="32509BB2">
            <wp:simplePos x="0" y="0"/>
            <wp:positionH relativeFrom="column">
              <wp:posOffset>212558</wp:posOffset>
            </wp:positionH>
            <wp:positionV relativeFrom="paragraph">
              <wp:posOffset>91340</wp:posOffset>
            </wp:positionV>
            <wp:extent cx="6019200" cy="8514000"/>
            <wp:effectExtent l="0" t="0" r="635" b="1905"/>
            <wp:wrapNone/>
            <wp:docPr id="1" name="Picture 1" descr="Decorative image" title="Image of corporate plan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porate Plan_2017-18_Cover.png"/>
                    <pic:cNvPicPr/>
                  </pic:nvPicPr>
                  <pic:blipFill>
                    <a:blip r:embed="rId12" cstate="print">
                      <a:extLst>
                        <a:ext uri="{28A0092B-C50C-407E-A947-70E740481C1C}">
                          <a14:useLocalDpi xmlns:a14="http://schemas.microsoft.com/office/drawing/2010/main"/>
                        </a:ext>
                      </a:extLst>
                    </a:blip>
                    <a:stretch>
                      <a:fillRect/>
                    </a:stretch>
                  </pic:blipFill>
                  <pic:spPr>
                    <a:xfrm>
                      <a:off x="0" y="0"/>
                      <a:ext cx="6019200" cy="8514000"/>
                    </a:xfrm>
                    <a:prstGeom prst="rect">
                      <a:avLst/>
                    </a:prstGeom>
                  </pic:spPr>
                </pic:pic>
              </a:graphicData>
            </a:graphic>
            <wp14:sizeRelH relativeFrom="margin">
              <wp14:pctWidth>0</wp14:pctWidth>
            </wp14:sizeRelH>
            <wp14:sizeRelV relativeFrom="margin">
              <wp14:pctHeight>0</wp14:pctHeight>
            </wp14:sizeRelV>
          </wp:anchor>
        </w:drawing>
      </w:r>
      <w:r>
        <w:tab/>
      </w:r>
      <w:r w:rsidR="007A63B4" w:rsidRPr="00281224">
        <w:t>Depar</w:t>
      </w:r>
      <w:r w:rsidR="00161B0F" w:rsidRPr="00281224">
        <w:t>tment of Education and Training</w:t>
      </w:r>
      <w:r w:rsidR="000B32D3">
        <w:br/>
      </w:r>
      <w:r>
        <w:tab/>
      </w:r>
      <w:r w:rsidR="007A63B4" w:rsidRPr="00281224">
        <w:t>Corporate Plan 2017–18</w:t>
      </w:r>
    </w:p>
    <w:p w:rsidR="00FF48D4" w:rsidRPr="006858A6" w:rsidRDefault="00B60CB0" w:rsidP="00B60CB0">
      <w:pPr>
        <w:pStyle w:val="Sub-title"/>
      </w:pPr>
      <w:r>
        <w:tab/>
      </w:r>
      <w:r w:rsidR="00FC4D30" w:rsidRPr="006858A6">
        <w:t>Opportunity through learning</w:t>
      </w:r>
    </w:p>
    <w:p w:rsidR="00D159F3" w:rsidRPr="00127B0A" w:rsidRDefault="00B60CB0" w:rsidP="00127B0A">
      <w:pPr>
        <w:pStyle w:val="IntroParagraph"/>
        <w:rPr>
          <w:b w:val="0"/>
        </w:rPr>
      </w:pPr>
      <w:r>
        <w:rPr>
          <w:b w:val="0"/>
        </w:rPr>
        <w:tab/>
      </w:r>
      <w:r w:rsidR="00FF48D4" w:rsidRPr="00127B0A">
        <w:rPr>
          <w:b w:val="0"/>
        </w:rPr>
        <w:t>www.education.gov.au</w:t>
      </w:r>
      <w:r w:rsidR="002B328D">
        <w:rPr>
          <w:sz w:val="36"/>
        </w:rPr>
        <w:br w:type="page"/>
      </w:r>
    </w:p>
    <w:p w:rsidR="00D159F3" w:rsidRPr="008C4AAC" w:rsidRDefault="00D159F3" w:rsidP="00446574">
      <w:pPr>
        <w:rPr>
          <w:color w:val="FFFFFF" w:themeColor="background1"/>
          <w:sz w:val="200"/>
          <w:szCs w:val="200"/>
        </w:rPr>
      </w:pPr>
    </w:p>
    <w:p w:rsidR="008C4AAC" w:rsidRPr="008C4AAC" w:rsidRDefault="008C4AAC" w:rsidP="00446574">
      <w:pPr>
        <w:rPr>
          <w:color w:val="FFFFFF" w:themeColor="background1"/>
          <w:sz w:val="200"/>
          <w:szCs w:val="200"/>
        </w:rPr>
      </w:pPr>
    </w:p>
    <w:p w:rsidR="008C4AAC" w:rsidRPr="008C4AAC" w:rsidRDefault="008C4AAC" w:rsidP="00446574">
      <w:pPr>
        <w:rPr>
          <w:color w:val="FFFFFF" w:themeColor="background1"/>
          <w:sz w:val="200"/>
          <w:szCs w:val="200"/>
        </w:rPr>
      </w:pPr>
    </w:p>
    <w:p w:rsidR="00D159F3" w:rsidRPr="00D8692A" w:rsidRDefault="00D159F3" w:rsidP="00D159F3">
      <w:r w:rsidRPr="00D8692A">
        <w:t>© Commonwealth of Australia 2017</w:t>
      </w:r>
    </w:p>
    <w:p w:rsidR="00D159F3" w:rsidRPr="00D8692A" w:rsidRDefault="00D159F3" w:rsidP="00D159F3">
      <w:pPr>
        <w:tabs>
          <w:tab w:val="left" w:pos="1650"/>
        </w:tabs>
        <w:spacing w:before="100" w:beforeAutospacing="1" w:after="100" w:afterAutospacing="1" w:line="240" w:lineRule="auto"/>
        <w:rPr>
          <w:rFonts w:cs="Calibri"/>
        </w:rPr>
      </w:pPr>
      <w:r w:rsidRPr="00D8692A">
        <w:rPr>
          <w:rFonts w:cs="Calibri"/>
          <w:noProof/>
          <w:lang w:eastAsia="en-AU"/>
        </w:rPr>
        <w:drawing>
          <wp:inline distT="0" distB="0" distL="0" distR="0" wp14:anchorId="5880A356" wp14:editId="5A06F474">
            <wp:extent cx="1060450" cy="365760"/>
            <wp:effectExtent l="0" t="0" r="6350" b="0"/>
            <wp:docPr id="2" name="Picture 2"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0450" cy="365760"/>
                    </a:xfrm>
                    <a:prstGeom prst="rect">
                      <a:avLst/>
                    </a:prstGeom>
                    <a:noFill/>
                    <a:ln>
                      <a:noFill/>
                    </a:ln>
                  </pic:spPr>
                </pic:pic>
              </a:graphicData>
            </a:graphic>
          </wp:inline>
        </w:drawing>
      </w:r>
    </w:p>
    <w:p w:rsidR="00D159F3" w:rsidRPr="00D159F3" w:rsidRDefault="00D159F3" w:rsidP="00D159F3">
      <w:r w:rsidRPr="00D8692A">
        <w:t xml:space="preserve">With the exception of the Commonwealth Coat of Arms, the department’s logo, any material protected by a trade mark and where otherwise noted all material presented in this </w:t>
      </w:r>
      <w:r w:rsidRPr="00D159F3">
        <w:t>document is provided under a Creative Commons Attribution 4.0 International (</w:t>
      </w:r>
      <w:r w:rsidRPr="00D159F3">
        <w:rPr>
          <w:rStyle w:val="Hyperlink"/>
        </w:rPr>
        <w:t>https://creativecommons.org/licenses/by/4.0/</w:t>
      </w:r>
      <w:r w:rsidRPr="00D159F3">
        <w:t>) licence.</w:t>
      </w:r>
    </w:p>
    <w:p w:rsidR="00D159F3" w:rsidRPr="00D159F3" w:rsidRDefault="00D159F3" w:rsidP="00D159F3">
      <w:r w:rsidRPr="00D8692A">
        <w:t xml:space="preserve">The details of the relevant licence conditions are available </w:t>
      </w:r>
      <w:r>
        <w:t>on the Creative Commons website</w:t>
      </w:r>
      <w:r w:rsidRPr="00D8692A">
        <w:t xml:space="preserve"> as </w:t>
      </w:r>
      <w:r w:rsidRPr="00D159F3">
        <w:t xml:space="preserve">is </w:t>
      </w:r>
      <w:hyperlink r:id="rId14" w:history="1">
        <w:r w:rsidRPr="00D159F3">
          <w:t>the full legal code for the CC BY 4.0 International (</w:t>
        </w:r>
        <w:r w:rsidRPr="00D159F3">
          <w:rPr>
            <w:rStyle w:val="Hyperlink"/>
          </w:rPr>
          <w:t>https://creativecommons.org/licenses/by/4.0/legalcode</w:t>
        </w:r>
        <w:r w:rsidRPr="00D159F3">
          <w:t>)</w:t>
        </w:r>
      </w:hyperlink>
      <w:r w:rsidRPr="00D159F3">
        <w:t>.</w:t>
      </w:r>
    </w:p>
    <w:p w:rsidR="00D159F3" w:rsidRDefault="00D159F3" w:rsidP="00D159F3">
      <w:pPr>
        <w:tabs>
          <w:tab w:val="left" w:pos="1650"/>
        </w:tabs>
        <w:spacing w:before="100" w:beforeAutospacing="1" w:after="100" w:afterAutospacing="1"/>
        <w:rPr>
          <w:rFonts w:cs="News Gothic Com Light"/>
          <w:color w:val="000000"/>
        </w:rPr>
      </w:pPr>
      <w:r w:rsidRPr="00D8692A">
        <w:rPr>
          <w:rFonts w:cs="News Gothic Com Light"/>
          <w:color w:val="000000"/>
        </w:rPr>
        <w:t xml:space="preserve">The document must be attributed as the </w:t>
      </w:r>
      <w:r>
        <w:rPr>
          <w:rFonts w:cs="News Gothic Com Light"/>
          <w:i/>
          <w:iCs/>
          <w:color w:val="000000"/>
        </w:rPr>
        <w:t>Department of Education and Training Corporate Plan 2017–18</w:t>
      </w:r>
      <w:r w:rsidRPr="00D8692A">
        <w:rPr>
          <w:rFonts w:cs="News Gothic Com Light"/>
          <w:color w:val="000000"/>
        </w:rPr>
        <w:t>.</w:t>
      </w:r>
    </w:p>
    <w:p w:rsidR="00A40EB0" w:rsidRPr="00657190" w:rsidRDefault="00A40EB0" w:rsidP="00657190">
      <w:pPr>
        <w:rPr>
          <w:sz w:val="20"/>
          <w:szCs w:val="20"/>
        </w:rPr>
      </w:pPr>
      <w:r w:rsidRPr="002D6DDE">
        <w:rPr>
          <w:b/>
        </w:rPr>
        <w:t>Disclaimer:</w:t>
      </w:r>
      <w:r w:rsidRPr="002D6DDE">
        <w:t xml:space="preserve"> The Department of Education and Training</w:t>
      </w:r>
      <w:r>
        <w:t xml:space="preserve"> </w:t>
      </w:r>
      <w:r w:rsidRPr="002D6DDE">
        <w:t>acknowledges diversity and respectfully uses both the terms ‘Indigenous’ and ‘Aboriginal and Torres Strait Islander peoples’ interchangeably throughout this document.</w:t>
      </w:r>
    </w:p>
    <w:p w:rsidR="00E37556" w:rsidRDefault="00E37556" w:rsidP="000213F9">
      <w:pPr>
        <w:pStyle w:val="Heading1"/>
        <w:spacing w:before="480"/>
      </w:pPr>
      <w:bookmarkStart w:id="1" w:name="_Toc491179442"/>
      <w:r>
        <w:lastRenderedPageBreak/>
        <w:t>Contents</w:t>
      </w:r>
      <w:bookmarkEnd w:id="1"/>
    </w:p>
    <w:p w:rsidR="00EE26F6" w:rsidRDefault="00E37556">
      <w:pPr>
        <w:pStyle w:val="TOC1"/>
        <w:tabs>
          <w:tab w:val="right" w:leader="dot" w:pos="10070"/>
        </w:tabs>
        <w:rPr>
          <w:noProof/>
          <w:lang w:eastAsia="en-AU"/>
        </w:rPr>
      </w:pPr>
      <w:r>
        <w:rPr>
          <w:sz w:val="36"/>
        </w:rPr>
        <w:fldChar w:fldCharType="begin"/>
      </w:r>
      <w:r>
        <w:rPr>
          <w:sz w:val="36"/>
        </w:rPr>
        <w:instrText xml:space="preserve"> TOC \o "1-2" \h \z \u </w:instrText>
      </w:r>
      <w:r>
        <w:rPr>
          <w:sz w:val="36"/>
        </w:rPr>
        <w:fldChar w:fldCharType="separate"/>
      </w:r>
      <w:hyperlink w:anchor="_Toc491179442" w:history="1">
        <w:r w:rsidR="00EE26F6" w:rsidRPr="0099396A">
          <w:rPr>
            <w:rStyle w:val="Hyperlink"/>
            <w:noProof/>
          </w:rPr>
          <w:t>Contents</w:t>
        </w:r>
        <w:r w:rsidR="00EE26F6">
          <w:rPr>
            <w:noProof/>
            <w:webHidden/>
          </w:rPr>
          <w:tab/>
        </w:r>
        <w:r w:rsidR="00EE26F6">
          <w:rPr>
            <w:noProof/>
            <w:webHidden/>
          </w:rPr>
          <w:fldChar w:fldCharType="begin"/>
        </w:r>
        <w:r w:rsidR="00EE26F6">
          <w:rPr>
            <w:noProof/>
            <w:webHidden/>
          </w:rPr>
          <w:instrText xml:space="preserve"> PAGEREF _Toc491179442 \h </w:instrText>
        </w:r>
        <w:r w:rsidR="00EE26F6">
          <w:rPr>
            <w:noProof/>
            <w:webHidden/>
          </w:rPr>
        </w:r>
        <w:r w:rsidR="00EE26F6">
          <w:rPr>
            <w:noProof/>
            <w:webHidden/>
          </w:rPr>
          <w:fldChar w:fldCharType="separate"/>
        </w:r>
        <w:r w:rsidR="00EE26F6">
          <w:rPr>
            <w:noProof/>
            <w:webHidden/>
          </w:rPr>
          <w:t>3</w:t>
        </w:r>
        <w:r w:rsidR="00EE26F6">
          <w:rPr>
            <w:noProof/>
            <w:webHidden/>
          </w:rPr>
          <w:fldChar w:fldCharType="end"/>
        </w:r>
      </w:hyperlink>
    </w:p>
    <w:p w:rsidR="00EE26F6" w:rsidRDefault="006A6077">
      <w:pPr>
        <w:pStyle w:val="TOC1"/>
        <w:tabs>
          <w:tab w:val="right" w:leader="dot" w:pos="10070"/>
        </w:tabs>
        <w:rPr>
          <w:noProof/>
          <w:lang w:eastAsia="en-AU"/>
        </w:rPr>
      </w:pPr>
      <w:hyperlink w:anchor="_Toc491179443" w:history="1">
        <w:r w:rsidR="00EE26F6" w:rsidRPr="0099396A">
          <w:rPr>
            <w:rStyle w:val="Hyperlink"/>
            <w:noProof/>
          </w:rPr>
          <w:t>Introduction</w:t>
        </w:r>
        <w:r w:rsidR="00EE26F6">
          <w:rPr>
            <w:noProof/>
            <w:webHidden/>
          </w:rPr>
          <w:tab/>
        </w:r>
        <w:r w:rsidR="00EE26F6">
          <w:rPr>
            <w:noProof/>
            <w:webHidden/>
          </w:rPr>
          <w:fldChar w:fldCharType="begin"/>
        </w:r>
        <w:r w:rsidR="00EE26F6">
          <w:rPr>
            <w:noProof/>
            <w:webHidden/>
          </w:rPr>
          <w:instrText xml:space="preserve"> PAGEREF _Toc491179443 \h </w:instrText>
        </w:r>
        <w:r w:rsidR="00EE26F6">
          <w:rPr>
            <w:noProof/>
            <w:webHidden/>
          </w:rPr>
        </w:r>
        <w:r w:rsidR="00EE26F6">
          <w:rPr>
            <w:noProof/>
            <w:webHidden/>
          </w:rPr>
          <w:fldChar w:fldCharType="separate"/>
        </w:r>
        <w:r w:rsidR="00EE26F6">
          <w:rPr>
            <w:noProof/>
            <w:webHidden/>
          </w:rPr>
          <w:t>5</w:t>
        </w:r>
        <w:r w:rsidR="00EE26F6">
          <w:rPr>
            <w:noProof/>
            <w:webHidden/>
          </w:rPr>
          <w:fldChar w:fldCharType="end"/>
        </w:r>
      </w:hyperlink>
    </w:p>
    <w:p w:rsidR="00EE26F6" w:rsidRDefault="006A6077">
      <w:pPr>
        <w:pStyle w:val="TOC1"/>
        <w:tabs>
          <w:tab w:val="right" w:leader="dot" w:pos="10070"/>
        </w:tabs>
        <w:rPr>
          <w:noProof/>
          <w:lang w:eastAsia="en-AU"/>
        </w:rPr>
      </w:pPr>
      <w:hyperlink w:anchor="_Toc491179444" w:history="1">
        <w:r w:rsidR="00EE26F6" w:rsidRPr="0099396A">
          <w:rPr>
            <w:rStyle w:val="Hyperlink"/>
            <w:noProof/>
          </w:rPr>
          <w:t>Purpose</w:t>
        </w:r>
        <w:r w:rsidR="00EE26F6">
          <w:rPr>
            <w:noProof/>
            <w:webHidden/>
          </w:rPr>
          <w:tab/>
        </w:r>
        <w:r w:rsidR="00EE26F6">
          <w:rPr>
            <w:noProof/>
            <w:webHidden/>
          </w:rPr>
          <w:fldChar w:fldCharType="begin"/>
        </w:r>
        <w:r w:rsidR="00EE26F6">
          <w:rPr>
            <w:noProof/>
            <w:webHidden/>
          </w:rPr>
          <w:instrText xml:space="preserve"> PAGEREF _Toc491179444 \h </w:instrText>
        </w:r>
        <w:r w:rsidR="00EE26F6">
          <w:rPr>
            <w:noProof/>
            <w:webHidden/>
          </w:rPr>
        </w:r>
        <w:r w:rsidR="00EE26F6">
          <w:rPr>
            <w:noProof/>
            <w:webHidden/>
          </w:rPr>
          <w:fldChar w:fldCharType="separate"/>
        </w:r>
        <w:r w:rsidR="00EE26F6">
          <w:rPr>
            <w:noProof/>
            <w:webHidden/>
          </w:rPr>
          <w:t>7</w:t>
        </w:r>
        <w:r w:rsidR="00EE26F6">
          <w:rPr>
            <w:noProof/>
            <w:webHidden/>
          </w:rPr>
          <w:fldChar w:fldCharType="end"/>
        </w:r>
      </w:hyperlink>
    </w:p>
    <w:p w:rsidR="00EE26F6" w:rsidRDefault="006A6077">
      <w:pPr>
        <w:pStyle w:val="TOC2"/>
        <w:tabs>
          <w:tab w:val="right" w:leader="dot" w:pos="10070"/>
        </w:tabs>
        <w:rPr>
          <w:noProof/>
          <w:lang w:eastAsia="en-AU"/>
        </w:rPr>
      </w:pPr>
      <w:hyperlink w:anchor="_Toc491179445" w:history="1">
        <w:r w:rsidR="00EE26F6" w:rsidRPr="0099396A">
          <w:rPr>
            <w:rStyle w:val="Hyperlink"/>
            <w:noProof/>
          </w:rPr>
          <w:t>Outcomes</w:t>
        </w:r>
        <w:r w:rsidR="00EE26F6">
          <w:rPr>
            <w:noProof/>
            <w:webHidden/>
          </w:rPr>
          <w:tab/>
        </w:r>
        <w:r w:rsidR="00EE26F6">
          <w:rPr>
            <w:noProof/>
            <w:webHidden/>
          </w:rPr>
          <w:fldChar w:fldCharType="begin"/>
        </w:r>
        <w:r w:rsidR="00EE26F6">
          <w:rPr>
            <w:noProof/>
            <w:webHidden/>
          </w:rPr>
          <w:instrText xml:space="preserve"> PAGEREF _Toc491179445 \h </w:instrText>
        </w:r>
        <w:r w:rsidR="00EE26F6">
          <w:rPr>
            <w:noProof/>
            <w:webHidden/>
          </w:rPr>
        </w:r>
        <w:r w:rsidR="00EE26F6">
          <w:rPr>
            <w:noProof/>
            <w:webHidden/>
          </w:rPr>
          <w:fldChar w:fldCharType="separate"/>
        </w:r>
        <w:r w:rsidR="00EE26F6">
          <w:rPr>
            <w:noProof/>
            <w:webHidden/>
          </w:rPr>
          <w:t>7</w:t>
        </w:r>
        <w:r w:rsidR="00EE26F6">
          <w:rPr>
            <w:noProof/>
            <w:webHidden/>
          </w:rPr>
          <w:fldChar w:fldCharType="end"/>
        </w:r>
      </w:hyperlink>
    </w:p>
    <w:p w:rsidR="00EE26F6" w:rsidRDefault="006A6077">
      <w:pPr>
        <w:pStyle w:val="TOC2"/>
        <w:tabs>
          <w:tab w:val="right" w:leader="dot" w:pos="10070"/>
        </w:tabs>
        <w:rPr>
          <w:noProof/>
          <w:lang w:eastAsia="en-AU"/>
        </w:rPr>
      </w:pPr>
      <w:hyperlink w:anchor="_Toc491179446" w:history="1">
        <w:r w:rsidR="00EE26F6" w:rsidRPr="0099396A">
          <w:rPr>
            <w:rStyle w:val="Hyperlink"/>
            <w:noProof/>
          </w:rPr>
          <w:t>Map of our purpose, programs and outcomes</w:t>
        </w:r>
        <w:r w:rsidR="00EE26F6">
          <w:rPr>
            <w:noProof/>
            <w:webHidden/>
          </w:rPr>
          <w:tab/>
        </w:r>
        <w:r w:rsidR="00EE26F6">
          <w:rPr>
            <w:noProof/>
            <w:webHidden/>
          </w:rPr>
          <w:fldChar w:fldCharType="begin"/>
        </w:r>
        <w:r w:rsidR="00EE26F6">
          <w:rPr>
            <w:noProof/>
            <w:webHidden/>
          </w:rPr>
          <w:instrText xml:space="preserve"> PAGEREF _Toc491179446 \h </w:instrText>
        </w:r>
        <w:r w:rsidR="00EE26F6">
          <w:rPr>
            <w:noProof/>
            <w:webHidden/>
          </w:rPr>
        </w:r>
        <w:r w:rsidR="00EE26F6">
          <w:rPr>
            <w:noProof/>
            <w:webHidden/>
          </w:rPr>
          <w:fldChar w:fldCharType="separate"/>
        </w:r>
        <w:r w:rsidR="00EE26F6">
          <w:rPr>
            <w:noProof/>
            <w:webHidden/>
          </w:rPr>
          <w:t>8</w:t>
        </w:r>
        <w:r w:rsidR="00EE26F6">
          <w:rPr>
            <w:noProof/>
            <w:webHidden/>
          </w:rPr>
          <w:fldChar w:fldCharType="end"/>
        </w:r>
      </w:hyperlink>
    </w:p>
    <w:p w:rsidR="00EE26F6" w:rsidRDefault="006A6077">
      <w:pPr>
        <w:pStyle w:val="TOC1"/>
        <w:tabs>
          <w:tab w:val="right" w:leader="dot" w:pos="10070"/>
        </w:tabs>
        <w:rPr>
          <w:noProof/>
          <w:lang w:eastAsia="en-AU"/>
        </w:rPr>
      </w:pPr>
      <w:hyperlink w:anchor="_Toc491179447" w:history="1">
        <w:r w:rsidR="00EE26F6" w:rsidRPr="0099396A">
          <w:rPr>
            <w:rStyle w:val="Hyperlink"/>
            <w:noProof/>
          </w:rPr>
          <w:t>Environment</w:t>
        </w:r>
        <w:r w:rsidR="00EE26F6">
          <w:rPr>
            <w:noProof/>
            <w:webHidden/>
          </w:rPr>
          <w:tab/>
        </w:r>
        <w:r w:rsidR="00EE26F6">
          <w:rPr>
            <w:noProof/>
            <w:webHidden/>
          </w:rPr>
          <w:fldChar w:fldCharType="begin"/>
        </w:r>
        <w:r w:rsidR="00EE26F6">
          <w:rPr>
            <w:noProof/>
            <w:webHidden/>
          </w:rPr>
          <w:instrText xml:space="preserve"> PAGEREF _Toc491179447 \h </w:instrText>
        </w:r>
        <w:r w:rsidR="00EE26F6">
          <w:rPr>
            <w:noProof/>
            <w:webHidden/>
          </w:rPr>
        </w:r>
        <w:r w:rsidR="00EE26F6">
          <w:rPr>
            <w:noProof/>
            <w:webHidden/>
          </w:rPr>
          <w:fldChar w:fldCharType="separate"/>
        </w:r>
        <w:r w:rsidR="00EE26F6">
          <w:rPr>
            <w:noProof/>
            <w:webHidden/>
          </w:rPr>
          <w:t>9</w:t>
        </w:r>
        <w:r w:rsidR="00EE26F6">
          <w:rPr>
            <w:noProof/>
            <w:webHidden/>
          </w:rPr>
          <w:fldChar w:fldCharType="end"/>
        </w:r>
      </w:hyperlink>
    </w:p>
    <w:p w:rsidR="00EE26F6" w:rsidRDefault="006A6077">
      <w:pPr>
        <w:pStyle w:val="TOC2"/>
        <w:tabs>
          <w:tab w:val="right" w:leader="dot" w:pos="10070"/>
        </w:tabs>
        <w:rPr>
          <w:noProof/>
          <w:lang w:eastAsia="en-AU"/>
        </w:rPr>
      </w:pPr>
      <w:hyperlink w:anchor="_Toc491179448" w:history="1">
        <w:r w:rsidR="00EE26F6" w:rsidRPr="0099396A">
          <w:rPr>
            <w:rStyle w:val="Hyperlink"/>
            <w:noProof/>
          </w:rPr>
          <w:t>The education journey</w:t>
        </w:r>
        <w:r w:rsidR="00EE26F6">
          <w:rPr>
            <w:noProof/>
            <w:webHidden/>
          </w:rPr>
          <w:tab/>
        </w:r>
        <w:r w:rsidR="00EE26F6">
          <w:rPr>
            <w:noProof/>
            <w:webHidden/>
          </w:rPr>
          <w:fldChar w:fldCharType="begin"/>
        </w:r>
        <w:r w:rsidR="00EE26F6">
          <w:rPr>
            <w:noProof/>
            <w:webHidden/>
          </w:rPr>
          <w:instrText xml:space="preserve"> PAGEREF _Toc491179448 \h </w:instrText>
        </w:r>
        <w:r w:rsidR="00EE26F6">
          <w:rPr>
            <w:noProof/>
            <w:webHidden/>
          </w:rPr>
        </w:r>
        <w:r w:rsidR="00EE26F6">
          <w:rPr>
            <w:noProof/>
            <w:webHidden/>
          </w:rPr>
          <w:fldChar w:fldCharType="separate"/>
        </w:r>
        <w:r w:rsidR="00EE26F6">
          <w:rPr>
            <w:noProof/>
            <w:webHidden/>
          </w:rPr>
          <w:t>9</w:t>
        </w:r>
        <w:r w:rsidR="00EE26F6">
          <w:rPr>
            <w:noProof/>
            <w:webHidden/>
          </w:rPr>
          <w:fldChar w:fldCharType="end"/>
        </w:r>
      </w:hyperlink>
    </w:p>
    <w:p w:rsidR="00EE26F6" w:rsidRDefault="006A6077">
      <w:pPr>
        <w:pStyle w:val="TOC2"/>
        <w:tabs>
          <w:tab w:val="right" w:leader="dot" w:pos="10070"/>
        </w:tabs>
        <w:rPr>
          <w:noProof/>
          <w:lang w:eastAsia="en-AU"/>
        </w:rPr>
      </w:pPr>
      <w:hyperlink w:anchor="_Toc491179449" w:history="1">
        <w:r w:rsidR="00EE26F6" w:rsidRPr="0099396A">
          <w:rPr>
            <w:rStyle w:val="Hyperlink"/>
            <w:noProof/>
          </w:rPr>
          <w:t>A new age of work</w:t>
        </w:r>
        <w:r w:rsidR="00EE26F6">
          <w:rPr>
            <w:noProof/>
            <w:webHidden/>
          </w:rPr>
          <w:tab/>
        </w:r>
        <w:r w:rsidR="00EE26F6">
          <w:rPr>
            <w:noProof/>
            <w:webHidden/>
          </w:rPr>
          <w:fldChar w:fldCharType="begin"/>
        </w:r>
        <w:r w:rsidR="00EE26F6">
          <w:rPr>
            <w:noProof/>
            <w:webHidden/>
          </w:rPr>
          <w:instrText xml:space="preserve"> PAGEREF _Toc491179449 \h </w:instrText>
        </w:r>
        <w:r w:rsidR="00EE26F6">
          <w:rPr>
            <w:noProof/>
            <w:webHidden/>
          </w:rPr>
        </w:r>
        <w:r w:rsidR="00EE26F6">
          <w:rPr>
            <w:noProof/>
            <w:webHidden/>
          </w:rPr>
          <w:fldChar w:fldCharType="separate"/>
        </w:r>
        <w:r w:rsidR="00EE26F6">
          <w:rPr>
            <w:noProof/>
            <w:webHidden/>
          </w:rPr>
          <w:t>10</w:t>
        </w:r>
        <w:r w:rsidR="00EE26F6">
          <w:rPr>
            <w:noProof/>
            <w:webHidden/>
          </w:rPr>
          <w:fldChar w:fldCharType="end"/>
        </w:r>
      </w:hyperlink>
    </w:p>
    <w:p w:rsidR="00EE26F6" w:rsidRDefault="006A6077">
      <w:pPr>
        <w:pStyle w:val="TOC2"/>
        <w:tabs>
          <w:tab w:val="right" w:leader="dot" w:pos="10070"/>
        </w:tabs>
        <w:rPr>
          <w:noProof/>
          <w:lang w:eastAsia="en-AU"/>
        </w:rPr>
      </w:pPr>
      <w:hyperlink w:anchor="_Toc491179450" w:history="1">
        <w:r w:rsidR="00EE26F6" w:rsidRPr="0099396A">
          <w:rPr>
            <w:rStyle w:val="Hyperlink"/>
            <w:noProof/>
          </w:rPr>
          <w:t>Social and economic prosperity</w:t>
        </w:r>
        <w:r w:rsidR="00EE26F6">
          <w:rPr>
            <w:noProof/>
            <w:webHidden/>
          </w:rPr>
          <w:tab/>
        </w:r>
        <w:r w:rsidR="00EE26F6">
          <w:rPr>
            <w:noProof/>
            <w:webHidden/>
          </w:rPr>
          <w:fldChar w:fldCharType="begin"/>
        </w:r>
        <w:r w:rsidR="00EE26F6">
          <w:rPr>
            <w:noProof/>
            <w:webHidden/>
          </w:rPr>
          <w:instrText xml:space="preserve"> PAGEREF _Toc491179450 \h </w:instrText>
        </w:r>
        <w:r w:rsidR="00EE26F6">
          <w:rPr>
            <w:noProof/>
            <w:webHidden/>
          </w:rPr>
        </w:r>
        <w:r w:rsidR="00EE26F6">
          <w:rPr>
            <w:noProof/>
            <w:webHidden/>
          </w:rPr>
          <w:fldChar w:fldCharType="separate"/>
        </w:r>
        <w:r w:rsidR="00EE26F6">
          <w:rPr>
            <w:noProof/>
            <w:webHidden/>
          </w:rPr>
          <w:t>10</w:t>
        </w:r>
        <w:r w:rsidR="00EE26F6">
          <w:rPr>
            <w:noProof/>
            <w:webHidden/>
          </w:rPr>
          <w:fldChar w:fldCharType="end"/>
        </w:r>
      </w:hyperlink>
    </w:p>
    <w:p w:rsidR="00EE26F6" w:rsidRDefault="006A6077">
      <w:pPr>
        <w:pStyle w:val="TOC2"/>
        <w:tabs>
          <w:tab w:val="right" w:leader="dot" w:pos="10070"/>
        </w:tabs>
        <w:rPr>
          <w:noProof/>
          <w:lang w:eastAsia="en-AU"/>
        </w:rPr>
      </w:pPr>
      <w:hyperlink w:anchor="_Toc491179451" w:history="1">
        <w:r w:rsidR="00EE26F6" w:rsidRPr="0099396A">
          <w:rPr>
            <w:rStyle w:val="Hyperlink"/>
            <w:noProof/>
          </w:rPr>
          <w:t>Closing the Gap</w:t>
        </w:r>
        <w:r w:rsidR="00EE26F6">
          <w:rPr>
            <w:noProof/>
            <w:webHidden/>
          </w:rPr>
          <w:tab/>
        </w:r>
        <w:r w:rsidR="00EE26F6">
          <w:rPr>
            <w:noProof/>
            <w:webHidden/>
          </w:rPr>
          <w:fldChar w:fldCharType="begin"/>
        </w:r>
        <w:r w:rsidR="00EE26F6">
          <w:rPr>
            <w:noProof/>
            <w:webHidden/>
          </w:rPr>
          <w:instrText xml:space="preserve"> PAGEREF _Toc491179451 \h </w:instrText>
        </w:r>
        <w:r w:rsidR="00EE26F6">
          <w:rPr>
            <w:noProof/>
            <w:webHidden/>
          </w:rPr>
        </w:r>
        <w:r w:rsidR="00EE26F6">
          <w:rPr>
            <w:noProof/>
            <w:webHidden/>
          </w:rPr>
          <w:fldChar w:fldCharType="separate"/>
        </w:r>
        <w:r w:rsidR="00EE26F6">
          <w:rPr>
            <w:noProof/>
            <w:webHidden/>
          </w:rPr>
          <w:t>11</w:t>
        </w:r>
        <w:r w:rsidR="00EE26F6">
          <w:rPr>
            <w:noProof/>
            <w:webHidden/>
          </w:rPr>
          <w:fldChar w:fldCharType="end"/>
        </w:r>
      </w:hyperlink>
    </w:p>
    <w:p w:rsidR="00EE26F6" w:rsidRDefault="006A6077">
      <w:pPr>
        <w:pStyle w:val="TOC2"/>
        <w:tabs>
          <w:tab w:val="right" w:leader="dot" w:pos="10070"/>
        </w:tabs>
        <w:rPr>
          <w:noProof/>
          <w:lang w:eastAsia="en-AU"/>
        </w:rPr>
      </w:pPr>
      <w:hyperlink w:anchor="_Toc491179452" w:history="1">
        <w:r w:rsidR="00EE26F6" w:rsidRPr="0099396A">
          <w:rPr>
            <w:rStyle w:val="Hyperlink"/>
            <w:noProof/>
          </w:rPr>
          <w:t>The way we work</w:t>
        </w:r>
        <w:r w:rsidR="00EE26F6">
          <w:rPr>
            <w:noProof/>
            <w:webHidden/>
          </w:rPr>
          <w:tab/>
        </w:r>
        <w:r w:rsidR="00EE26F6">
          <w:rPr>
            <w:noProof/>
            <w:webHidden/>
          </w:rPr>
          <w:fldChar w:fldCharType="begin"/>
        </w:r>
        <w:r w:rsidR="00EE26F6">
          <w:rPr>
            <w:noProof/>
            <w:webHidden/>
          </w:rPr>
          <w:instrText xml:space="preserve"> PAGEREF _Toc491179452 \h </w:instrText>
        </w:r>
        <w:r w:rsidR="00EE26F6">
          <w:rPr>
            <w:noProof/>
            <w:webHidden/>
          </w:rPr>
        </w:r>
        <w:r w:rsidR="00EE26F6">
          <w:rPr>
            <w:noProof/>
            <w:webHidden/>
          </w:rPr>
          <w:fldChar w:fldCharType="separate"/>
        </w:r>
        <w:r w:rsidR="00EE26F6">
          <w:rPr>
            <w:noProof/>
            <w:webHidden/>
          </w:rPr>
          <w:t>11</w:t>
        </w:r>
        <w:r w:rsidR="00EE26F6">
          <w:rPr>
            <w:noProof/>
            <w:webHidden/>
          </w:rPr>
          <w:fldChar w:fldCharType="end"/>
        </w:r>
      </w:hyperlink>
    </w:p>
    <w:p w:rsidR="00EE26F6" w:rsidRDefault="006A6077">
      <w:pPr>
        <w:pStyle w:val="TOC2"/>
        <w:tabs>
          <w:tab w:val="right" w:leader="dot" w:pos="10070"/>
        </w:tabs>
        <w:rPr>
          <w:noProof/>
          <w:lang w:eastAsia="en-AU"/>
        </w:rPr>
      </w:pPr>
      <w:hyperlink w:anchor="_Toc491179453" w:history="1">
        <w:r w:rsidR="00EE26F6" w:rsidRPr="0099396A">
          <w:rPr>
            <w:rStyle w:val="Hyperlink"/>
            <w:noProof/>
          </w:rPr>
          <w:t>Enterprise risks</w:t>
        </w:r>
        <w:r w:rsidR="00EE26F6">
          <w:rPr>
            <w:noProof/>
            <w:webHidden/>
          </w:rPr>
          <w:tab/>
        </w:r>
        <w:r w:rsidR="00EE26F6">
          <w:rPr>
            <w:noProof/>
            <w:webHidden/>
          </w:rPr>
          <w:fldChar w:fldCharType="begin"/>
        </w:r>
        <w:r w:rsidR="00EE26F6">
          <w:rPr>
            <w:noProof/>
            <w:webHidden/>
          </w:rPr>
          <w:instrText xml:space="preserve"> PAGEREF _Toc491179453 \h </w:instrText>
        </w:r>
        <w:r w:rsidR="00EE26F6">
          <w:rPr>
            <w:noProof/>
            <w:webHidden/>
          </w:rPr>
        </w:r>
        <w:r w:rsidR="00EE26F6">
          <w:rPr>
            <w:noProof/>
            <w:webHidden/>
          </w:rPr>
          <w:fldChar w:fldCharType="separate"/>
        </w:r>
        <w:r w:rsidR="00EE26F6">
          <w:rPr>
            <w:noProof/>
            <w:webHidden/>
          </w:rPr>
          <w:t>13</w:t>
        </w:r>
        <w:r w:rsidR="00EE26F6">
          <w:rPr>
            <w:noProof/>
            <w:webHidden/>
          </w:rPr>
          <w:fldChar w:fldCharType="end"/>
        </w:r>
      </w:hyperlink>
    </w:p>
    <w:p w:rsidR="00EE26F6" w:rsidRDefault="006A6077">
      <w:pPr>
        <w:pStyle w:val="TOC1"/>
        <w:tabs>
          <w:tab w:val="right" w:leader="dot" w:pos="10070"/>
        </w:tabs>
        <w:rPr>
          <w:noProof/>
          <w:lang w:eastAsia="en-AU"/>
        </w:rPr>
      </w:pPr>
      <w:hyperlink w:anchor="_Toc491179454" w:history="1">
        <w:r w:rsidR="00EE26F6" w:rsidRPr="0099396A">
          <w:rPr>
            <w:rStyle w:val="Hyperlink"/>
            <w:noProof/>
          </w:rPr>
          <w:t>Activities and performance</w:t>
        </w:r>
        <w:r w:rsidR="00EE26F6">
          <w:rPr>
            <w:noProof/>
            <w:webHidden/>
          </w:rPr>
          <w:tab/>
        </w:r>
        <w:r w:rsidR="00EE26F6">
          <w:rPr>
            <w:noProof/>
            <w:webHidden/>
          </w:rPr>
          <w:fldChar w:fldCharType="begin"/>
        </w:r>
        <w:r w:rsidR="00EE26F6">
          <w:rPr>
            <w:noProof/>
            <w:webHidden/>
          </w:rPr>
          <w:instrText xml:space="preserve"> PAGEREF _Toc491179454 \h </w:instrText>
        </w:r>
        <w:r w:rsidR="00EE26F6">
          <w:rPr>
            <w:noProof/>
            <w:webHidden/>
          </w:rPr>
        </w:r>
        <w:r w:rsidR="00EE26F6">
          <w:rPr>
            <w:noProof/>
            <w:webHidden/>
          </w:rPr>
          <w:fldChar w:fldCharType="separate"/>
        </w:r>
        <w:r w:rsidR="00EE26F6">
          <w:rPr>
            <w:noProof/>
            <w:webHidden/>
          </w:rPr>
          <w:t>14</w:t>
        </w:r>
        <w:r w:rsidR="00EE26F6">
          <w:rPr>
            <w:noProof/>
            <w:webHidden/>
          </w:rPr>
          <w:fldChar w:fldCharType="end"/>
        </w:r>
      </w:hyperlink>
    </w:p>
    <w:p w:rsidR="00EE26F6" w:rsidRDefault="006A6077">
      <w:pPr>
        <w:pStyle w:val="TOC2"/>
        <w:tabs>
          <w:tab w:val="right" w:leader="dot" w:pos="10070"/>
        </w:tabs>
        <w:rPr>
          <w:noProof/>
          <w:lang w:eastAsia="en-AU"/>
        </w:rPr>
      </w:pPr>
      <w:hyperlink w:anchor="_Toc491179455" w:history="1">
        <w:r w:rsidR="00EE26F6" w:rsidRPr="0099396A">
          <w:rPr>
            <w:rStyle w:val="Hyperlink"/>
            <w:noProof/>
          </w:rPr>
          <w:t>Outcome 1 – Quality early learning and schooling</w:t>
        </w:r>
        <w:r w:rsidR="00EE26F6">
          <w:rPr>
            <w:noProof/>
            <w:webHidden/>
          </w:rPr>
          <w:tab/>
        </w:r>
        <w:r w:rsidR="00EE26F6">
          <w:rPr>
            <w:noProof/>
            <w:webHidden/>
          </w:rPr>
          <w:fldChar w:fldCharType="begin"/>
        </w:r>
        <w:r w:rsidR="00EE26F6">
          <w:rPr>
            <w:noProof/>
            <w:webHidden/>
          </w:rPr>
          <w:instrText xml:space="preserve"> PAGEREF _Toc491179455 \h </w:instrText>
        </w:r>
        <w:r w:rsidR="00EE26F6">
          <w:rPr>
            <w:noProof/>
            <w:webHidden/>
          </w:rPr>
        </w:r>
        <w:r w:rsidR="00EE26F6">
          <w:rPr>
            <w:noProof/>
            <w:webHidden/>
          </w:rPr>
          <w:fldChar w:fldCharType="separate"/>
        </w:r>
        <w:r w:rsidR="00EE26F6">
          <w:rPr>
            <w:noProof/>
            <w:webHidden/>
          </w:rPr>
          <w:t>15</w:t>
        </w:r>
        <w:r w:rsidR="00EE26F6">
          <w:rPr>
            <w:noProof/>
            <w:webHidden/>
          </w:rPr>
          <w:fldChar w:fldCharType="end"/>
        </w:r>
      </w:hyperlink>
    </w:p>
    <w:p w:rsidR="00EE26F6" w:rsidRDefault="006A6077">
      <w:pPr>
        <w:pStyle w:val="TOC2"/>
        <w:tabs>
          <w:tab w:val="right" w:leader="dot" w:pos="10070"/>
        </w:tabs>
        <w:rPr>
          <w:noProof/>
          <w:lang w:eastAsia="en-AU"/>
        </w:rPr>
      </w:pPr>
      <w:hyperlink w:anchor="_Toc491179456" w:history="1">
        <w:r w:rsidR="00EE26F6" w:rsidRPr="0099396A">
          <w:rPr>
            <w:rStyle w:val="Hyperlink"/>
            <w:noProof/>
          </w:rPr>
          <w:t>Outcome 2 – World-class tertiary education, training and research</w:t>
        </w:r>
        <w:r w:rsidR="00EE26F6">
          <w:rPr>
            <w:noProof/>
            <w:webHidden/>
          </w:rPr>
          <w:tab/>
        </w:r>
        <w:r w:rsidR="00EE26F6">
          <w:rPr>
            <w:noProof/>
            <w:webHidden/>
          </w:rPr>
          <w:fldChar w:fldCharType="begin"/>
        </w:r>
        <w:r w:rsidR="00EE26F6">
          <w:rPr>
            <w:noProof/>
            <w:webHidden/>
          </w:rPr>
          <w:instrText xml:space="preserve"> PAGEREF _Toc491179456 \h </w:instrText>
        </w:r>
        <w:r w:rsidR="00EE26F6">
          <w:rPr>
            <w:noProof/>
            <w:webHidden/>
          </w:rPr>
        </w:r>
        <w:r w:rsidR="00EE26F6">
          <w:rPr>
            <w:noProof/>
            <w:webHidden/>
          </w:rPr>
          <w:fldChar w:fldCharType="separate"/>
        </w:r>
        <w:r w:rsidR="00EE26F6">
          <w:rPr>
            <w:noProof/>
            <w:webHidden/>
          </w:rPr>
          <w:t>19</w:t>
        </w:r>
        <w:r w:rsidR="00EE26F6">
          <w:rPr>
            <w:noProof/>
            <w:webHidden/>
          </w:rPr>
          <w:fldChar w:fldCharType="end"/>
        </w:r>
      </w:hyperlink>
    </w:p>
    <w:p w:rsidR="00EE26F6" w:rsidRDefault="006A6077">
      <w:pPr>
        <w:pStyle w:val="TOC1"/>
        <w:tabs>
          <w:tab w:val="right" w:leader="dot" w:pos="10070"/>
        </w:tabs>
        <w:rPr>
          <w:noProof/>
          <w:lang w:eastAsia="en-AU"/>
        </w:rPr>
      </w:pPr>
      <w:hyperlink w:anchor="_Toc491179457" w:history="1">
        <w:r w:rsidR="00EE26F6" w:rsidRPr="0099396A">
          <w:rPr>
            <w:rStyle w:val="Hyperlink"/>
            <w:noProof/>
          </w:rPr>
          <w:t>Capability</w:t>
        </w:r>
        <w:r w:rsidR="00EE26F6">
          <w:rPr>
            <w:noProof/>
            <w:webHidden/>
          </w:rPr>
          <w:tab/>
        </w:r>
        <w:r w:rsidR="00EE26F6">
          <w:rPr>
            <w:noProof/>
            <w:webHidden/>
          </w:rPr>
          <w:fldChar w:fldCharType="begin"/>
        </w:r>
        <w:r w:rsidR="00EE26F6">
          <w:rPr>
            <w:noProof/>
            <w:webHidden/>
          </w:rPr>
          <w:instrText xml:space="preserve"> PAGEREF _Toc491179457 \h </w:instrText>
        </w:r>
        <w:r w:rsidR="00EE26F6">
          <w:rPr>
            <w:noProof/>
            <w:webHidden/>
          </w:rPr>
        </w:r>
        <w:r w:rsidR="00EE26F6">
          <w:rPr>
            <w:noProof/>
            <w:webHidden/>
          </w:rPr>
          <w:fldChar w:fldCharType="separate"/>
        </w:r>
        <w:r w:rsidR="00EE26F6">
          <w:rPr>
            <w:noProof/>
            <w:webHidden/>
          </w:rPr>
          <w:t>23</w:t>
        </w:r>
        <w:r w:rsidR="00EE26F6">
          <w:rPr>
            <w:noProof/>
            <w:webHidden/>
          </w:rPr>
          <w:fldChar w:fldCharType="end"/>
        </w:r>
      </w:hyperlink>
    </w:p>
    <w:p w:rsidR="00EE26F6" w:rsidRDefault="006A6077">
      <w:pPr>
        <w:pStyle w:val="TOC2"/>
        <w:tabs>
          <w:tab w:val="right" w:leader="dot" w:pos="10070"/>
        </w:tabs>
        <w:rPr>
          <w:noProof/>
          <w:lang w:eastAsia="en-AU"/>
        </w:rPr>
      </w:pPr>
      <w:hyperlink w:anchor="_Toc491179458" w:history="1">
        <w:r w:rsidR="00EE26F6" w:rsidRPr="0099396A">
          <w:rPr>
            <w:rStyle w:val="Hyperlink"/>
            <w:noProof/>
          </w:rPr>
          <w:t>People strategy</w:t>
        </w:r>
        <w:r w:rsidR="00EE26F6">
          <w:rPr>
            <w:noProof/>
            <w:webHidden/>
          </w:rPr>
          <w:tab/>
        </w:r>
        <w:r w:rsidR="00EE26F6">
          <w:rPr>
            <w:noProof/>
            <w:webHidden/>
          </w:rPr>
          <w:fldChar w:fldCharType="begin"/>
        </w:r>
        <w:r w:rsidR="00EE26F6">
          <w:rPr>
            <w:noProof/>
            <w:webHidden/>
          </w:rPr>
          <w:instrText xml:space="preserve"> PAGEREF _Toc491179458 \h </w:instrText>
        </w:r>
        <w:r w:rsidR="00EE26F6">
          <w:rPr>
            <w:noProof/>
            <w:webHidden/>
          </w:rPr>
        </w:r>
        <w:r w:rsidR="00EE26F6">
          <w:rPr>
            <w:noProof/>
            <w:webHidden/>
          </w:rPr>
          <w:fldChar w:fldCharType="separate"/>
        </w:r>
        <w:r w:rsidR="00EE26F6">
          <w:rPr>
            <w:noProof/>
            <w:webHidden/>
          </w:rPr>
          <w:t>24</w:t>
        </w:r>
        <w:r w:rsidR="00EE26F6">
          <w:rPr>
            <w:noProof/>
            <w:webHidden/>
          </w:rPr>
          <w:fldChar w:fldCharType="end"/>
        </w:r>
      </w:hyperlink>
    </w:p>
    <w:p w:rsidR="00EE26F6" w:rsidRDefault="006A6077">
      <w:pPr>
        <w:pStyle w:val="TOC2"/>
        <w:tabs>
          <w:tab w:val="right" w:leader="dot" w:pos="10070"/>
        </w:tabs>
        <w:rPr>
          <w:noProof/>
          <w:lang w:eastAsia="en-AU"/>
        </w:rPr>
      </w:pPr>
      <w:hyperlink w:anchor="_Toc491179459" w:history="1">
        <w:r w:rsidR="00EE26F6" w:rsidRPr="0099396A">
          <w:rPr>
            <w:rStyle w:val="Hyperlink"/>
            <w:noProof/>
          </w:rPr>
          <w:t>Information and communications technology</w:t>
        </w:r>
        <w:r w:rsidR="00EE26F6">
          <w:rPr>
            <w:noProof/>
            <w:webHidden/>
          </w:rPr>
          <w:tab/>
        </w:r>
        <w:r w:rsidR="00EE26F6">
          <w:rPr>
            <w:noProof/>
            <w:webHidden/>
          </w:rPr>
          <w:fldChar w:fldCharType="begin"/>
        </w:r>
        <w:r w:rsidR="00EE26F6">
          <w:rPr>
            <w:noProof/>
            <w:webHidden/>
          </w:rPr>
          <w:instrText xml:space="preserve"> PAGEREF _Toc491179459 \h </w:instrText>
        </w:r>
        <w:r w:rsidR="00EE26F6">
          <w:rPr>
            <w:noProof/>
            <w:webHidden/>
          </w:rPr>
        </w:r>
        <w:r w:rsidR="00EE26F6">
          <w:rPr>
            <w:noProof/>
            <w:webHidden/>
          </w:rPr>
          <w:fldChar w:fldCharType="separate"/>
        </w:r>
        <w:r w:rsidR="00EE26F6">
          <w:rPr>
            <w:noProof/>
            <w:webHidden/>
          </w:rPr>
          <w:t>25</w:t>
        </w:r>
        <w:r w:rsidR="00EE26F6">
          <w:rPr>
            <w:noProof/>
            <w:webHidden/>
          </w:rPr>
          <w:fldChar w:fldCharType="end"/>
        </w:r>
      </w:hyperlink>
    </w:p>
    <w:p w:rsidR="00EE26F6" w:rsidRDefault="006A6077">
      <w:pPr>
        <w:pStyle w:val="TOC2"/>
        <w:tabs>
          <w:tab w:val="right" w:leader="dot" w:pos="10070"/>
        </w:tabs>
        <w:rPr>
          <w:noProof/>
          <w:lang w:eastAsia="en-AU"/>
        </w:rPr>
      </w:pPr>
      <w:hyperlink w:anchor="_Toc491179460" w:history="1">
        <w:r w:rsidR="00EE26F6" w:rsidRPr="0099396A">
          <w:rPr>
            <w:rStyle w:val="Hyperlink"/>
            <w:noProof/>
          </w:rPr>
          <w:t>Indigenous business is everyone’s business</w:t>
        </w:r>
        <w:r w:rsidR="00EE26F6">
          <w:rPr>
            <w:noProof/>
            <w:webHidden/>
          </w:rPr>
          <w:tab/>
        </w:r>
        <w:r w:rsidR="00EE26F6">
          <w:rPr>
            <w:noProof/>
            <w:webHidden/>
          </w:rPr>
          <w:fldChar w:fldCharType="begin"/>
        </w:r>
        <w:r w:rsidR="00EE26F6">
          <w:rPr>
            <w:noProof/>
            <w:webHidden/>
          </w:rPr>
          <w:instrText xml:space="preserve"> PAGEREF _Toc491179460 \h </w:instrText>
        </w:r>
        <w:r w:rsidR="00EE26F6">
          <w:rPr>
            <w:noProof/>
            <w:webHidden/>
          </w:rPr>
        </w:r>
        <w:r w:rsidR="00EE26F6">
          <w:rPr>
            <w:noProof/>
            <w:webHidden/>
          </w:rPr>
          <w:fldChar w:fldCharType="separate"/>
        </w:r>
        <w:r w:rsidR="00EE26F6">
          <w:rPr>
            <w:noProof/>
            <w:webHidden/>
          </w:rPr>
          <w:t>25</w:t>
        </w:r>
        <w:r w:rsidR="00EE26F6">
          <w:rPr>
            <w:noProof/>
            <w:webHidden/>
          </w:rPr>
          <w:fldChar w:fldCharType="end"/>
        </w:r>
      </w:hyperlink>
    </w:p>
    <w:p w:rsidR="00EE26F6" w:rsidRDefault="006A6077">
      <w:pPr>
        <w:pStyle w:val="TOC2"/>
        <w:tabs>
          <w:tab w:val="right" w:leader="dot" w:pos="10070"/>
        </w:tabs>
        <w:rPr>
          <w:noProof/>
          <w:lang w:eastAsia="en-AU"/>
        </w:rPr>
      </w:pPr>
      <w:hyperlink w:anchor="_Toc491179461" w:history="1">
        <w:r w:rsidR="00EE26F6" w:rsidRPr="0099396A">
          <w:rPr>
            <w:rStyle w:val="Hyperlink"/>
            <w:noProof/>
          </w:rPr>
          <w:t>Governance</w:t>
        </w:r>
        <w:r w:rsidR="00EE26F6">
          <w:rPr>
            <w:noProof/>
            <w:webHidden/>
          </w:rPr>
          <w:tab/>
        </w:r>
        <w:r w:rsidR="00EE26F6">
          <w:rPr>
            <w:noProof/>
            <w:webHidden/>
          </w:rPr>
          <w:fldChar w:fldCharType="begin"/>
        </w:r>
        <w:r w:rsidR="00EE26F6">
          <w:rPr>
            <w:noProof/>
            <w:webHidden/>
          </w:rPr>
          <w:instrText xml:space="preserve"> PAGEREF _Toc491179461 \h </w:instrText>
        </w:r>
        <w:r w:rsidR="00EE26F6">
          <w:rPr>
            <w:noProof/>
            <w:webHidden/>
          </w:rPr>
        </w:r>
        <w:r w:rsidR="00EE26F6">
          <w:rPr>
            <w:noProof/>
            <w:webHidden/>
          </w:rPr>
          <w:fldChar w:fldCharType="separate"/>
        </w:r>
        <w:r w:rsidR="00EE26F6">
          <w:rPr>
            <w:noProof/>
            <w:webHidden/>
          </w:rPr>
          <w:t>27</w:t>
        </w:r>
        <w:r w:rsidR="00EE26F6">
          <w:rPr>
            <w:noProof/>
            <w:webHidden/>
          </w:rPr>
          <w:fldChar w:fldCharType="end"/>
        </w:r>
      </w:hyperlink>
    </w:p>
    <w:p w:rsidR="00EE26F6" w:rsidRDefault="006A6077">
      <w:pPr>
        <w:pStyle w:val="TOC2"/>
        <w:tabs>
          <w:tab w:val="right" w:leader="dot" w:pos="10070"/>
        </w:tabs>
        <w:rPr>
          <w:noProof/>
          <w:lang w:eastAsia="en-AU"/>
        </w:rPr>
      </w:pPr>
      <w:hyperlink w:anchor="_Toc491179462" w:history="1">
        <w:r w:rsidR="00EE26F6" w:rsidRPr="0099396A">
          <w:rPr>
            <w:rStyle w:val="Hyperlink"/>
            <w:noProof/>
          </w:rPr>
          <w:t>Corporate services</w:t>
        </w:r>
        <w:r w:rsidR="00EE26F6">
          <w:rPr>
            <w:noProof/>
            <w:webHidden/>
          </w:rPr>
          <w:tab/>
        </w:r>
        <w:r w:rsidR="00EE26F6">
          <w:rPr>
            <w:noProof/>
            <w:webHidden/>
          </w:rPr>
          <w:fldChar w:fldCharType="begin"/>
        </w:r>
        <w:r w:rsidR="00EE26F6">
          <w:rPr>
            <w:noProof/>
            <w:webHidden/>
          </w:rPr>
          <w:instrText xml:space="preserve"> PAGEREF _Toc491179462 \h </w:instrText>
        </w:r>
        <w:r w:rsidR="00EE26F6">
          <w:rPr>
            <w:noProof/>
            <w:webHidden/>
          </w:rPr>
        </w:r>
        <w:r w:rsidR="00EE26F6">
          <w:rPr>
            <w:noProof/>
            <w:webHidden/>
          </w:rPr>
          <w:fldChar w:fldCharType="separate"/>
        </w:r>
        <w:r w:rsidR="00EE26F6">
          <w:rPr>
            <w:noProof/>
            <w:webHidden/>
          </w:rPr>
          <w:t>28</w:t>
        </w:r>
        <w:r w:rsidR="00EE26F6">
          <w:rPr>
            <w:noProof/>
            <w:webHidden/>
          </w:rPr>
          <w:fldChar w:fldCharType="end"/>
        </w:r>
      </w:hyperlink>
    </w:p>
    <w:p w:rsidR="00EE26F6" w:rsidRDefault="006A6077">
      <w:pPr>
        <w:pStyle w:val="TOC1"/>
        <w:tabs>
          <w:tab w:val="right" w:leader="dot" w:pos="10070"/>
        </w:tabs>
        <w:rPr>
          <w:noProof/>
          <w:lang w:eastAsia="en-AU"/>
        </w:rPr>
      </w:pPr>
      <w:hyperlink w:anchor="_Toc491179463" w:history="1">
        <w:r w:rsidR="00EE26F6" w:rsidRPr="0099396A">
          <w:rPr>
            <w:rStyle w:val="Hyperlink"/>
            <w:noProof/>
          </w:rPr>
          <w:t>Risk oversight and management</w:t>
        </w:r>
        <w:r w:rsidR="00EE26F6">
          <w:rPr>
            <w:noProof/>
            <w:webHidden/>
          </w:rPr>
          <w:tab/>
        </w:r>
        <w:r w:rsidR="00EE26F6">
          <w:rPr>
            <w:noProof/>
            <w:webHidden/>
          </w:rPr>
          <w:fldChar w:fldCharType="begin"/>
        </w:r>
        <w:r w:rsidR="00EE26F6">
          <w:rPr>
            <w:noProof/>
            <w:webHidden/>
          </w:rPr>
          <w:instrText xml:space="preserve"> PAGEREF _Toc491179463 \h </w:instrText>
        </w:r>
        <w:r w:rsidR="00EE26F6">
          <w:rPr>
            <w:noProof/>
            <w:webHidden/>
          </w:rPr>
        </w:r>
        <w:r w:rsidR="00EE26F6">
          <w:rPr>
            <w:noProof/>
            <w:webHidden/>
          </w:rPr>
          <w:fldChar w:fldCharType="separate"/>
        </w:r>
        <w:r w:rsidR="00EE26F6">
          <w:rPr>
            <w:noProof/>
            <w:webHidden/>
          </w:rPr>
          <w:t>29</w:t>
        </w:r>
        <w:r w:rsidR="00EE26F6">
          <w:rPr>
            <w:noProof/>
            <w:webHidden/>
          </w:rPr>
          <w:fldChar w:fldCharType="end"/>
        </w:r>
      </w:hyperlink>
    </w:p>
    <w:p w:rsidR="00EE26F6" w:rsidRDefault="006A6077">
      <w:pPr>
        <w:pStyle w:val="TOC2"/>
        <w:tabs>
          <w:tab w:val="right" w:leader="dot" w:pos="10070"/>
        </w:tabs>
        <w:rPr>
          <w:noProof/>
          <w:lang w:eastAsia="en-AU"/>
        </w:rPr>
      </w:pPr>
      <w:hyperlink w:anchor="_Toc491179464" w:history="1">
        <w:r w:rsidR="00EE26F6" w:rsidRPr="0099396A">
          <w:rPr>
            <w:rStyle w:val="Hyperlink"/>
            <w:noProof/>
          </w:rPr>
          <w:t>Expanding our approach to risk management</w:t>
        </w:r>
        <w:r w:rsidR="00EE26F6">
          <w:rPr>
            <w:noProof/>
            <w:webHidden/>
          </w:rPr>
          <w:tab/>
        </w:r>
        <w:r w:rsidR="00EE26F6">
          <w:rPr>
            <w:noProof/>
            <w:webHidden/>
          </w:rPr>
          <w:fldChar w:fldCharType="begin"/>
        </w:r>
        <w:r w:rsidR="00EE26F6">
          <w:rPr>
            <w:noProof/>
            <w:webHidden/>
          </w:rPr>
          <w:instrText xml:space="preserve"> PAGEREF _Toc491179464 \h </w:instrText>
        </w:r>
        <w:r w:rsidR="00EE26F6">
          <w:rPr>
            <w:noProof/>
            <w:webHidden/>
          </w:rPr>
        </w:r>
        <w:r w:rsidR="00EE26F6">
          <w:rPr>
            <w:noProof/>
            <w:webHidden/>
          </w:rPr>
          <w:fldChar w:fldCharType="separate"/>
        </w:r>
        <w:r w:rsidR="00EE26F6">
          <w:rPr>
            <w:noProof/>
            <w:webHidden/>
          </w:rPr>
          <w:t>29</w:t>
        </w:r>
        <w:r w:rsidR="00EE26F6">
          <w:rPr>
            <w:noProof/>
            <w:webHidden/>
          </w:rPr>
          <w:fldChar w:fldCharType="end"/>
        </w:r>
      </w:hyperlink>
    </w:p>
    <w:p w:rsidR="00EE26F6" w:rsidRDefault="006A6077">
      <w:pPr>
        <w:pStyle w:val="TOC2"/>
        <w:tabs>
          <w:tab w:val="right" w:leader="dot" w:pos="10070"/>
        </w:tabs>
        <w:rPr>
          <w:noProof/>
          <w:lang w:eastAsia="en-AU"/>
        </w:rPr>
      </w:pPr>
      <w:hyperlink w:anchor="_Toc491179465" w:history="1">
        <w:r w:rsidR="00EE26F6" w:rsidRPr="0099396A">
          <w:rPr>
            <w:rStyle w:val="Hyperlink"/>
            <w:noProof/>
          </w:rPr>
          <w:t>Risk management framework</w:t>
        </w:r>
        <w:r w:rsidR="00EE26F6">
          <w:rPr>
            <w:noProof/>
            <w:webHidden/>
          </w:rPr>
          <w:tab/>
        </w:r>
        <w:r w:rsidR="00EE26F6">
          <w:rPr>
            <w:noProof/>
            <w:webHidden/>
          </w:rPr>
          <w:fldChar w:fldCharType="begin"/>
        </w:r>
        <w:r w:rsidR="00EE26F6">
          <w:rPr>
            <w:noProof/>
            <w:webHidden/>
          </w:rPr>
          <w:instrText xml:space="preserve"> PAGEREF _Toc491179465 \h </w:instrText>
        </w:r>
        <w:r w:rsidR="00EE26F6">
          <w:rPr>
            <w:noProof/>
            <w:webHidden/>
          </w:rPr>
        </w:r>
        <w:r w:rsidR="00EE26F6">
          <w:rPr>
            <w:noProof/>
            <w:webHidden/>
          </w:rPr>
          <w:fldChar w:fldCharType="separate"/>
        </w:r>
        <w:r w:rsidR="00EE26F6">
          <w:rPr>
            <w:noProof/>
            <w:webHidden/>
          </w:rPr>
          <w:t>29</w:t>
        </w:r>
        <w:r w:rsidR="00EE26F6">
          <w:rPr>
            <w:noProof/>
            <w:webHidden/>
          </w:rPr>
          <w:fldChar w:fldCharType="end"/>
        </w:r>
      </w:hyperlink>
    </w:p>
    <w:p w:rsidR="005267A7" w:rsidRDefault="00E37556" w:rsidP="00697ADC">
      <w:pPr>
        <w:pStyle w:val="IntroParagraph"/>
        <w:rPr>
          <w:sz w:val="36"/>
        </w:rPr>
      </w:pPr>
      <w:r>
        <w:rPr>
          <w:sz w:val="36"/>
        </w:rPr>
        <w:fldChar w:fldCharType="end"/>
      </w:r>
      <w:r w:rsidR="004C3380">
        <w:rPr>
          <w:sz w:val="36"/>
        </w:rPr>
        <w:br w:type="page"/>
      </w:r>
    </w:p>
    <w:p w:rsidR="00871A50" w:rsidRPr="00040644" w:rsidRDefault="00871A50" w:rsidP="00B94186">
      <w:pPr>
        <w:pStyle w:val="IntroParagraph"/>
        <w:rPr>
          <w:b w:val="0"/>
          <w:sz w:val="22"/>
        </w:rPr>
      </w:pPr>
      <w:bookmarkStart w:id="2" w:name="_Toc482877512"/>
      <w:r w:rsidRPr="00040644">
        <w:rPr>
          <w:b w:val="0"/>
          <w:sz w:val="22"/>
        </w:rPr>
        <w:lastRenderedPageBreak/>
        <w:t>The Department of Education and Training acknowledges the traditional owners and custodians of country throughout Australia and their continuing connection to land, waters and community. We pay our respect to them and their cultures, and elders past, present and future.</w:t>
      </w:r>
    </w:p>
    <w:p w:rsidR="00871A50" w:rsidRDefault="00B94186" w:rsidP="00B94186">
      <w:pPr>
        <w:jc w:val="center"/>
      </w:pPr>
      <w:r>
        <w:rPr>
          <w:noProof/>
          <w:lang w:eastAsia="en-AU"/>
        </w:rPr>
        <w:drawing>
          <wp:inline distT="0" distB="0" distL="0" distR="0" wp14:anchorId="57DCFAA7" wp14:editId="5388C3D1">
            <wp:extent cx="5274644" cy="7434861"/>
            <wp:effectExtent l="0" t="0" r="2540" b="0"/>
            <wp:docPr id="4" name="Picture 4" descr="Decorative image - Greg (Yidinji) Joseph. Dance of the Brolga. 2013. Acrylic on canvas." title="Indigenous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474" cy="7440260"/>
                    </a:xfrm>
                    <a:prstGeom prst="rect">
                      <a:avLst/>
                    </a:prstGeom>
                    <a:noFill/>
                    <a:ln>
                      <a:noFill/>
                    </a:ln>
                  </pic:spPr>
                </pic:pic>
              </a:graphicData>
            </a:graphic>
          </wp:inline>
        </w:drawing>
      </w:r>
    </w:p>
    <w:p w:rsidR="00871A50" w:rsidRPr="00871A50" w:rsidRDefault="008B1F78" w:rsidP="008B1F78">
      <w:proofErr w:type="gramStart"/>
      <w:r>
        <w:t>Greg (Yidinji) Jos</w:t>
      </w:r>
      <w:r w:rsidR="00B94186">
        <w:t>eph.</w:t>
      </w:r>
      <w:proofErr w:type="gramEnd"/>
      <w:r w:rsidR="00B94186">
        <w:t xml:space="preserve"> </w:t>
      </w:r>
      <w:proofErr w:type="gramStart"/>
      <w:r w:rsidR="00B94186">
        <w:t>Dance of the Brolga.</w:t>
      </w:r>
      <w:proofErr w:type="gramEnd"/>
      <w:r w:rsidR="00B94186">
        <w:t xml:space="preserve"> 2013. </w:t>
      </w:r>
      <w:r>
        <w:t>Acrylic on canvas.</w:t>
      </w:r>
      <w:r w:rsidR="00871A50">
        <w:br w:type="page"/>
      </w:r>
    </w:p>
    <w:p w:rsidR="001251EC" w:rsidRPr="001251EC" w:rsidRDefault="00132169" w:rsidP="000213F9">
      <w:pPr>
        <w:pStyle w:val="Heading1"/>
        <w:spacing w:before="480"/>
      </w:pPr>
      <w:bookmarkStart w:id="3" w:name="_Toc491179443"/>
      <w:r w:rsidRPr="00EE4CCF">
        <w:lastRenderedPageBreak/>
        <w:t>I</w:t>
      </w:r>
      <w:r w:rsidR="007A63B4" w:rsidRPr="00EE4CCF">
        <w:t>ntroduction</w:t>
      </w:r>
      <w:bookmarkEnd w:id="2"/>
      <w:bookmarkEnd w:id="3"/>
    </w:p>
    <w:p w:rsidR="008B1F78" w:rsidRDefault="008B1F78" w:rsidP="008B1F78">
      <w:r>
        <w:t>Education and training is central to individual opportunity, economic growth and social wellbeing, national prosperity and global competitiveness.</w:t>
      </w:r>
    </w:p>
    <w:p w:rsidR="008B1F78" w:rsidRDefault="008B1F78" w:rsidP="008B1F78">
      <w:r>
        <w:t xml:space="preserve">The </w:t>
      </w:r>
      <w:r w:rsidRPr="008B1F78">
        <w:rPr>
          <w:i/>
        </w:rPr>
        <w:t>Department of Education and Training Corporate Plan 2017–18</w:t>
      </w:r>
      <w:r w:rsidR="001922E0">
        <w:t xml:space="preserve">, </w:t>
      </w:r>
      <w:r>
        <w:t>our primary planning document</w:t>
      </w:r>
      <w:r w:rsidR="001922E0">
        <w:t xml:space="preserve">, </w:t>
      </w:r>
      <w:r>
        <w:t>positions us for the year ahead. It will guide us—as individuals and together as an organisation—in our ongoing commitment to providing national leadership on education and training.</w:t>
      </w:r>
    </w:p>
    <w:p w:rsidR="008B1F78" w:rsidRDefault="008B1F78" w:rsidP="008B1F78">
      <w:r>
        <w:t>Our purpose is maximising opportunity and prosperity through national leadership on education and training. Through our national policy and funding programs, we aspire to maximise opportunities for learning and prosperity for current and future generations. We are motivated to always have a positive impact on the lives of individuals, on our communities, and on our nation.</w:t>
      </w:r>
    </w:p>
    <w:p w:rsidR="008B1F78" w:rsidRDefault="008B1F78" w:rsidP="008B1F78">
      <w:r>
        <w:t>The department leads the Australian Government’s efforts to strengthen social wellbeing and economic growth through better access to child care and quality early learning and schooling through to higher education and research, skills and training, and international education.</w:t>
      </w:r>
    </w:p>
    <w:p w:rsidR="008B1F78" w:rsidRDefault="008B1F78" w:rsidP="008B1F78">
      <w:r>
        <w:t>We are implementing the Government’s significant reform agenda, which includes major initiatives in child care, schooling and higher education, and a renewed focus on skilling Australians through apprenticeships and traineeships. Over the next 12 months, the department will focus on the capabilities we require—including the technology, systems, people capability and leadership required—to implement these major reforms.</w:t>
      </w:r>
    </w:p>
    <w:p w:rsidR="008B1F78" w:rsidRDefault="008B1F78" w:rsidP="008B1F78">
      <w:r>
        <w:t>I want the department to build on its national and international reputation as a trusted and leading source of policy expertise and advice that is based on evidence and focused on the future. We are building a national education evidence base to better understand the links between early learning, schooling and tertiary education and training. We’ll work closely with states and territories on delivering partnership agreements for fair, accessible and quality education.</w:t>
      </w:r>
    </w:p>
    <w:p w:rsidR="008B1F78" w:rsidRDefault="008B1F78" w:rsidP="008B1F78">
      <w:r>
        <w:t>I am continually impressed by the knowledge, dedication, commitment and passion our people demonstrate. I am committed to strengthening opportunity for our people—to maximising talent and performance within the department and to building a diverse and inclusive workplace that supports our people to maximise their potential.</w:t>
      </w:r>
    </w:p>
    <w:p w:rsidR="008B1F78" w:rsidRDefault="008B1F78" w:rsidP="008B1F78">
      <w:r>
        <w:t>We are guided by the principle: Indigenous business is everyone’s business. We aim to deepen our cultural understanding, to be an employer of choice and to improve outcomes for Aboriginal and Torres Strait Islander people.</w:t>
      </w:r>
    </w:p>
    <w:p w:rsidR="008B1F78" w:rsidRDefault="008B1F78" w:rsidP="008B1F78">
      <w:r>
        <w:t>This corporate plan has been developed collaboratively with our people throughout the department, as well as with a range of stakeholders. I look forward to working with our Ministers and the early childhood, education, training and research sectors to meet the priorities we have set out together.</w:t>
      </w:r>
    </w:p>
    <w:p w:rsidR="008B1F78" w:rsidRPr="00177DF3" w:rsidRDefault="008B1F78" w:rsidP="00311143">
      <w:pPr>
        <w:spacing w:after="0"/>
        <w:rPr>
          <w:b/>
        </w:rPr>
      </w:pPr>
      <w:r w:rsidRPr="00177DF3">
        <w:rPr>
          <w:b/>
        </w:rPr>
        <w:t>Statement of preparation</w:t>
      </w:r>
    </w:p>
    <w:p w:rsidR="008B1F78" w:rsidRDefault="008B1F78" w:rsidP="008B1F78">
      <w:r>
        <w:t>I, as accountable authority of the Department of Education and Training, present our Corporate Plan 2017–18, prepared for the 2017–18 reporting period and covering the four years from 2017–18 to 2020–21, as required under paragraph 35(1</w:t>
      </w:r>
      <w:proofErr w:type="gramStart"/>
      <w:r>
        <w:t>)(</w:t>
      </w:r>
      <w:proofErr w:type="gramEnd"/>
      <w:r>
        <w:t xml:space="preserve">b) of the </w:t>
      </w:r>
      <w:r w:rsidRPr="008B1F78">
        <w:rPr>
          <w:i/>
        </w:rPr>
        <w:t>Public Governance, Performance and Accountability Act 2013</w:t>
      </w:r>
      <w:r>
        <w:t>.</w:t>
      </w:r>
    </w:p>
    <w:p w:rsidR="00793C74" w:rsidRPr="008B1F78" w:rsidRDefault="00F33C04" w:rsidP="006D7CE9">
      <w:pPr>
        <w:spacing w:after="0"/>
        <w:rPr>
          <w:b/>
        </w:rPr>
      </w:pPr>
      <w:r w:rsidRPr="008B1F78">
        <w:rPr>
          <w:b/>
        </w:rPr>
        <w:t>Dr Michele Bruniges AM</w:t>
      </w:r>
    </w:p>
    <w:p w:rsidR="00793C74" w:rsidRDefault="001C6BA8" w:rsidP="00793C74">
      <w:r w:rsidRPr="001C6BA8">
        <w:t>28</w:t>
      </w:r>
      <w:r w:rsidR="006B7B6E" w:rsidRPr="001C6BA8">
        <w:t xml:space="preserve"> </w:t>
      </w:r>
      <w:r w:rsidR="006B7B6E" w:rsidRPr="006175C7">
        <w:t>August 2017</w:t>
      </w:r>
      <w:r w:rsidR="00CC16AD" w:rsidRPr="00FE35BF">
        <w:br w:type="page"/>
      </w:r>
      <w:bookmarkStart w:id="4" w:name="_Toc482877514"/>
    </w:p>
    <w:p w:rsidR="006D6CF5" w:rsidRPr="004A5DB7" w:rsidRDefault="007D0E7A" w:rsidP="000213F9">
      <w:pPr>
        <w:pStyle w:val="Heading1"/>
        <w:spacing w:before="480"/>
      </w:pPr>
      <w:bookmarkStart w:id="5" w:name="_Toc491179444"/>
      <w:r>
        <w:lastRenderedPageBreak/>
        <w:t>Purpose</w:t>
      </w:r>
      <w:bookmarkEnd w:id="4"/>
      <w:bookmarkEnd w:id="5"/>
    </w:p>
    <w:p w:rsidR="008977F6" w:rsidRPr="00C8618D" w:rsidRDefault="00A95E2A" w:rsidP="00C8618D">
      <w:r w:rsidRPr="00C8618D">
        <w:t>The Department of Education and Training’s purpose is maximising opportunity and prosperity through national leadership on education and training.</w:t>
      </w:r>
    </w:p>
    <w:p w:rsidR="00FA2C92" w:rsidRDefault="00A95E2A" w:rsidP="00A95E2A">
      <w:bookmarkStart w:id="6" w:name="_Toc482877515"/>
      <w:r>
        <w:t xml:space="preserve">Education and training </w:t>
      </w:r>
      <w:r w:rsidR="003E7011">
        <w:t xml:space="preserve">maximises </w:t>
      </w:r>
      <w:r>
        <w:t>life choices for every Australian—of all ages and at every stage of life. By creating and strengthening access to quality education for all Australians and for international students, the department maximises opportunity through learning. Through opportunity, individuals, families and communities are encouraged to maximise their potential, participate in the social and economic wellbeing of their communities, and contribute to national and global prosperity.</w:t>
      </w:r>
    </w:p>
    <w:p w:rsidR="00936DD8" w:rsidRDefault="007477D7" w:rsidP="002C39C9">
      <w:pPr>
        <w:pStyle w:val="Heading2"/>
        <w:spacing w:after="0"/>
      </w:pPr>
      <w:bookmarkStart w:id="7" w:name="_Toc491179445"/>
      <w:r>
        <w:t>O</w:t>
      </w:r>
      <w:r w:rsidR="00936DD8">
        <w:t>utcomes</w:t>
      </w:r>
      <w:bookmarkEnd w:id="7"/>
    </w:p>
    <w:p w:rsidR="00C27D37" w:rsidRDefault="00A95E2A" w:rsidP="00A95E2A">
      <w:pPr>
        <w:rPr>
          <w:lang w:eastAsia="en-US"/>
        </w:rPr>
      </w:pPr>
      <w:r>
        <w:rPr>
          <w:lang w:eastAsia="en-US"/>
        </w:rPr>
        <w:t>The department works to achieve its purpose within the context of delivering the Australian Government’s outcomes as outlined in the Education and Training 2017–18 Portfolio Budget Statements</w:t>
      </w:r>
      <w:r w:rsidR="00C27D37">
        <w:rPr>
          <w:lang w:eastAsia="en-US"/>
        </w:rPr>
        <w:t>:</w:t>
      </w:r>
      <w:r w:rsidR="005D7241">
        <w:rPr>
          <w:rStyle w:val="FootnoteReference"/>
          <w:lang w:eastAsia="en-US"/>
        </w:rPr>
        <w:footnoteReference w:id="1"/>
      </w:r>
    </w:p>
    <w:p w:rsidR="00C27D37" w:rsidRDefault="00BA2EE8" w:rsidP="002C39C9">
      <w:pPr>
        <w:pStyle w:val="Heading3"/>
        <w:spacing w:after="0"/>
      </w:pPr>
      <w:r>
        <w:t>Outcome 1 – Quality early learning and schooling</w:t>
      </w:r>
    </w:p>
    <w:p w:rsidR="000071D9" w:rsidRPr="005041AD" w:rsidRDefault="000071D9" w:rsidP="008B1BE9">
      <w:pPr>
        <w:rPr>
          <w:i/>
        </w:rPr>
      </w:pPr>
      <w:proofErr w:type="gramStart"/>
      <w:r w:rsidRPr="005041AD">
        <w:rPr>
          <w:i/>
        </w:rPr>
        <w:t>Improved early learning, schooling, student educational outcomes and transitions to and from school through access to quality child care, support, parent engagement, quality teaching and learning environments.</w:t>
      </w:r>
      <w:proofErr w:type="gramEnd"/>
    </w:p>
    <w:p w:rsidR="00277E81" w:rsidRPr="00BF6039" w:rsidRDefault="00277E81" w:rsidP="002C39C9">
      <w:pPr>
        <w:pStyle w:val="Heading3"/>
        <w:spacing w:after="0"/>
      </w:pPr>
      <w:r>
        <w:t>Outcome 2 – World-class tertiary education, training and research</w:t>
      </w:r>
    </w:p>
    <w:p w:rsidR="00B65958" w:rsidRDefault="000071D9" w:rsidP="008B1BE9">
      <w:pPr>
        <w:rPr>
          <w:i/>
        </w:rPr>
      </w:pPr>
      <w:r w:rsidRPr="005041AD">
        <w:rPr>
          <w:i/>
        </w:rPr>
        <w:t>Promote growth in economic productivity and social wellbeing through access to quality higher education, international education, and international quality research, skills and training.</w:t>
      </w:r>
    </w:p>
    <w:p w:rsidR="00B65958" w:rsidRPr="005041AD" w:rsidRDefault="00B65958" w:rsidP="00B65958">
      <w:pPr>
        <w:pBdr>
          <w:top w:val="single" w:sz="4" w:space="1" w:color="auto"/>
          <w:left w:val="single" w:sz="4" w:space="4" w:color="auto"/>
          <w:bottom w:val="single" w:sz="4" w:space="1" w:color="auto"/>
          <w:right w:val="single" w:sz="4" w:space="4" w:color="auto"/>
        </w:pBdr>
        <w:rPr>
          <w:i/>
        </w:rPr>
      </w:pPr>
      <w:r>
        <w:rPr>
          <w:i/>
        </w:rPr>
        <w:t>”</w:t>
      </w:r>
      <w:r w:rsidRPr="00B65958">
        <w:rPr>
          <w:i/>
        </w:rPr>
        <w:t>By creating and strengthening</w:t>
      </w:r>
      <w:r>
        <w:rPr>
          <w:i/>
        </w:rPr>
        <w:t xml:space="preserve"> </w:t>
      </w:r>
      <w:r w:rsidRPr="00B65958">
        <w:rPr>
          <w:i/>
        </w:rPr>
        <w:t>access to quality education</w:t>
      </w:r>
      <w:r>
        <w:rPr>
          <w:i/>
        </w:rPr>
        <w:t xml:space="preserve"> </w:t>
      </w:r>
      <w:r w:rsidRPr="00B65958">
        <w:rPr>
          <w:i/>
        </w:rPr>
        <w:t>for all Australians and for</w:t>
      </w:r>
      <w:r>
        <w:rPr>
          <w:i/>
        </w:rPr>
        <w:t xml:space="preserve"> </w:t>
      </w:r>
      <w:r w:rsidRPr="00B65958">
        <w:rPr>
          <w:i/>
        </w:rPr>
        <w:t>international students, the</w:t>
      </w:r>
      <w:r>
        <w:rPr>
          <w:i/>
        </w:rPr>
        <w:t xml:space="preserve"> </w:t>
      </w:r>
      <w:r w:rsidRPr="00B65958">
        <w:rPr>
          <w:i/>
        </w:rPr>
        <w:t>department maximises</w:t>
      </w:r>
      <w:r>
        <w:rPr>
          <w:i/>
        </w:rPr>
        <w:t xml:space="preserve"> </w:t>
      </w:r>
      <w:r w:rsidRPr="00B65958">
        <w:rPr>
          <w:i/>
        </w:rPr>
        <w:t>opportunity through learning.</w:t>
      </w:r>
      <w:r>
        <w:rPr>
          <w:i/>
        </w:rPr>
        <w:t>”</w:t>
      </w:r>
    </w:p>
    <w:p w:rsidR="006A5500" w:rsidRDefault="006A5500">
      <w:pPr>
        <w:rPr>
          <w:rFonts w:ascii="Calibri" w:eastAsiaTheme="majorEastAsia" w:hAnsi="Calibri" w:cstheme="majorBidi"/>
          <w:b/>
          <w:bCs/>
          <w:color w:val="0F6FC6" w:themeColor="accent1"/>
          <w:sz w:val="28"/>
          <w:szCs w:val="26"/>
          <w:lang w:eastAsia="en-US"/>
        </w:rPr>
      </w:pPr>
      <w:r>
        <w:br w:type="page"/>
      </w:r>
    </w:p>
    <w:p w:rsidR="002C4FED" w:rsidRDefault="008F5EFE" w:rsidP="002C39C9">
      <w:pPr>
        <w:pStyle w:val="Heading2"/>
        <w:spacing w:after="0"/>
      </w:pPr>
      <w:bookmarkStart w:id="8" w:name="_Toc491179446"/>
      <w:bookmarkEnd w:id="6"/>
      <w:r>
        <w:lastRenderedPageBreak/>
        <w:t>Map</w:t>
      </w:r>
      <w:r w:rsidR="002C4FED">
        <w:t xml:space="preserve"> of</w:t>
      </w:r>
      <w:r w:rsidR="00933550">
        <w:t xml:space="preserve"> </w:t>
      </w:r>
      <w:r>
        <w:t xml:space="preserve">our </w:t>
      </w:r>
      <w:r w:rsidR="00933550">
        <w:t>purpose, program</w:t>
      </w:r>
      <w:r>
        <w:t>s</w:t>
      </w:r>
      <w:r w:rsidR="00933550">
        <w:t xml:space="preserve"> and outcome</w:t>
      </w:r>
      <w:r>
        <w:t>s</w:t>
      </w:r>
      <w:bookmarkEnd w:id="8"/>
    </w:p>
    <w:p w:rsidR="00B632FA" w:rsidRDefault="00FD3347" w:rsidP="00146D1A">
      <w:r>
        <w:t>The department’s purp</w:t>
      </w:r>
      <w:r w:rsidR="00E62D8F">
        <w:t>o</w:t>
      </w:r>
      <w:r w:rsidR="00B632FA">
        <w:t>se is achieved through funding</w:t>
      </w:r>
      <w:r>
        <w:t xml:space="preserve"> programs linked </w:t>
      </w:r>
      <w:r w:rsidR="00E62D8F">
        <w:t xml:space="preserve">to </w:t>
      </w:r>
      <w:r w:rsidR="00B632FA">
        <w:t>the Government o</w:t>
      </w:r>
      <w:r w:rsidR="00E62D8F">
        <w:t>utcome</w:t>
      </w:r>
      <w:r w:rsidR="00B632FA">
        <w:t>s</w:t>
      </w:r>
      <w:r w:rsidR="00E62D8F">
        <w:t>.</w:t>
      </w:r>
    </w:p>
    <w:p w:rsidR="00FD3347" w:rsidRDefault="00FD3347" w:rsidP="00146D1A">
      <w:r>
        <w:t xml:space="preserve">Programs under </w:t>
      </w:r>
      <w:r w:rsidR="00E62D8F">
        <w:t>O</w:t>
      </w:r>
      <w:r>
        <w:t>utcome 1 are:</w:t>
      </w:r>
    </w:p>
    <w:p w:rsidR="00FD3347" w:rsidRPr="00F6783C" w:rsidRDefault="00FD3347" w:rsidP="00F850A9">
      <w:pPr>
        <w:pStyle w:val="IntroParagraph"/>
        <w:numPr>
          <w:ilvl w:val="0"/>
          <w:numId w:val="33"/>
        </w:numPr>
        <w:spacing w:after="120"/>
        <w:ind w:left="426"/>
        <w:rPr>
          <w:b w:val="0"/>
          <w:sz w:val="22"/>
        </w:rPr>
      </w:pPr>
      <w:r w:rsidRPr="00F6783C">
        <w:rPr>
          <w:b w:val="0"/>
          <w:sz w:val="22"/>
        </w:rPr>
        <w:t>1.1 – Support for the Child Care System</w:t>
      </w:r>
    </w:p>
    <w:p w:rsidR="00FD3347" w:rsidRPr="00F6783C" w:rsidRDefault="00FD3347" w:rsidP="00F850A9">
      <w:pPr>
        <w:pStyle w:val="IntroParagraph"/>
        <w:numPr>
          <w:ilvl w:val="0"/>
          <w:numId w:val="33"/>
        </w:numPr>
        <w:spacing w:after="120"/>
        <w:ind w:left="426"/>
        <w:rPr>
          <w:b w:val="0"/>
          <w:sz w:val="22"/>
        </w:rPr>
      </w:pPr>
      <w:r w:rsidRPr="00F6783C">
        <w:rPr>
          <w:b w:val="0"/>
          <w:sz w:val="22"/>
        </w:rPr>
        <w:t>1.2 – Child Care Benefit</w:t>
      </w:r>
    </w:p>
    <w:p w:rsidR="00FD3347" w:rsidRPr="00F6783C" w:rsidRDefault="00FD3347" w:rsidP="00F850A9">
      <w:pPr>
        <w:pStyle w:val="IntroParagraph"/>
        <w:numPr>
          <w:ilvl w:val="0"/>
          <w:numId w:val="33"/>
        </w:numPr>
        <w:spacing w:after="120"/>
        <w:ind w:left="426"/>
        <w:rPr>
          <w:b w:val="0"/>
          <w:sz w:val="22"/>
        </w:rPr>
      </w:pPr>
      <w:r w:rsidRPr="00F6783C">
        <w:rPr>
          <w:b w:val="0"/>
          <w:sz w:val="22"/>
        </w:rPr>
        <w:t>1.3 – Child Care Rebate</w:t>
      </w:r>
    </w:p>
    <w:p w:rsidR="00FD3347" w:rsidRPr="00F6783C" w:rsidRDefault="00FD3347" w:rsidP="00F850A9">
      <w:pPr>
        <w:pStyle w:val="IntroParagraph"/>
        <w:numPr>
          <w:ilvl w:val="0"/>
          <w:numId w:val="33"/>
        </w:numPr>
        <w:spacing w:after="120"/>
        <w:ind w:left="426"/>
        <w:rPr>
          <w:b w:val="0"/>
          <w:sz w:val="22"/>
        </w:rPr>
      </w:pPr>
      <w:r w:rsidRPr="00F6783C">
        <w:rPr>
          <w:b w:val="0"/>
          <w:sz w:val="22"/>
        </w:rPr>
        <w:t>1.4 – Child Care Subsidy</w:t>
      </w:r>
    </w:p>
    <w:p w:rsidR="00FD3347" w:rsidRPr="00F6783C" w:rsidRDefault="00FD3347" w:rsidP="00F850A9">
      <w:pPr>
        <w:pStyle w:val="IntroParagraph"/>
        <w:numPr>
          <w:ilvl w:val="0"/>
          <w:numId w:val="33"/>
        </w:numPr>
        <w:spacing w:after="120"/>
        <w:ind w:left="426"/>
        <w:rPr>
          <w:b w:val="0"/>
          <w:sz w:val="22"/>
        </w:rPr>
      </w:pPr>
      <w:r w:rsidRPr="00F6783C">
        <w:rPr>
          <w:b w:val="0"/>
          <w:sz w:val="22"/>
        </w:rPr>
        <w:t>1.5 – Government Schools National Support</w:t>
      </w:r>
    </w:p>
    <w:p w:rsidR="00FD3347" w:rsidRPr="00F6783C" w:rsidRDefault="00FD3347" w:rsidP="00F850A9">
      <w:pPr>
        <w:pStyle w:val="IntroParagraph"/>
        <w:numPr>
          <w:ilvl w:val="0"/>
          <w:numId w:val="33"/>
        </w:numPr>
        <w:spacing w:after="120"/>
        <w:ind w:left="426"/>
        <w:rPr>
          <w:b w:val="0"/>
          <w:sz w:val="22"/>
        </w:rPr>
      </w:pPr>
      <w:r w:rsidRPr="00F6783C">
        <w:rPr>
          <w:b w:val="0"/>
          <w:sz w:val="22"/>
        </w:rPr>
        <w:t>1.6 – Non-Government Schools National Support</w:t>
      </w:r>
    </w:p>
    <w:p w:rsidR="00FD3347" w:rsidRPr="00F6783C" w:rsidRDefault="00FD3347" w:rsidP="00F850A9">
      <w:pPr>
        <w:pStyle w:val="IntroParagraph"/>
        <w:numPr>
          <w:ilvl w:val="0"/>
          <w:numId w:val="33"/>
        </w:numPr>
        <w:spacing w:after="120"/>
        <w:ind w:left="426"/>
        <w:rPr>
          <w:b w:val="0"/>
          <w:sz w:val="22"/>
        </w:rPr>
      </w:pPr>
      <w:r w:rsidRPr="00F6783C">
        <w:rPr>
          <w:b w:val="0"/>
          <w:sz w:val="22"/>
        </w:rPr>
        <w:t>1.7 – Early Learning and Schools Support</w:t>
      </w:r>
    </w:p>
    <w:p w:rsidR="00FD3347" w:rsidRDefault="00E62D8F" w:rsidP="00E62D8F">
      <w:r>
        <w:t>Programs under O</w:t>
      </w:r>
      <w:r w:rsidR="00FD3347">
        <w:t>utcome 2 are:</w:t>
      </w:r>
    </w:p>
    <w:p w:rsidR="00FD3347" w:rsidRPr="00F6783C" w:rsidRDefault="00FD3347" w:rsidP="00F850A9">
      <w:pPr>
        <w:pStyle w:val="IntroParagraph"/>
        <w:numPr>
          <w:ilvl w:val="0"/>
          <w:numId w:val="33"/>
        </w:numPr>
        <w:spacing w:after="120"/>
        <w:ind w:left="426"/>
        <w:rPr>
          <w:b w:val="0"/>
          <w:sz w:val="22"/>
        </w:rPr>
      </w:pPr>
      <w:r w:rsidRPr="00F6783C">
        <w:rPr>
          <w:b w:val="0"/>
          <w:sz w:val="22"/>
        </w:rPr>
        <w:t>2.1 – Commonwealth Grants Scheme</w:t>
      </w:r>
    </w:p>
    <w:p w:rsidR="00FD3347" w:rsidRPr="00F6783C" w:rsidRDefault="00FD3347" w:rsidP="00F850A9">
      <w:pPr>
        <w:pStyle w:val="IntroParagraph"/>
        <w:numPr>
          <w:ilvl w:val="0"/>
          <w:numId w:val="33"/>
        </w:numPr>
        <w:spacing w:after="120"/>
        <w:ind w:left="426"/>
        <w:rPr>
          <w:b w:val="0"/>
          <w:sz w:val="22"/>
        </w:rPr>
      </w:pPr>
      <w:r w:rsidRPr="00F6783C">
        <w:rPr>
          <w:b w:val="0"/>
          <w:sz w:val="22"/>
        </w:rPr>
        <w:t>2.2 – Higher Education Superannuation Program</w:t>
      </w:r>
    </w:p>
    <w:p w:rsidR="00FD3347" w:rsidRPr="00F6783C" w:rsidRDefault="00FD3347" w:rsidP="00F850A9">
      <w:pPr>
        <w:pStyle w:val="IntroParagraph"/>
        <w:numPr>
          <w:ilvl w:val="0"/>
          <w:numId w:val="33"/>
        </w:numPr>
        <w:spacing w:after="120"/>
        <w:ind w:left="426"/>
        <w:rPr>
          <w:b w:val="0"/>
          <w:sz w:val="22"/>
        </w:rPr>
      </w:pPr>
      <w:r w:rsidRPr="00F6783C">
        <w:rPr>
          <w:b w:val="0"/>
          <w:sz w:val="22"/>
        </w:rPr>
        <w:t>2.3 – Higher Education Support</w:t>
      </w:r>
    </w:p>
    <w:p w:rsidR="00FD3347" w:rsidRPr="00F6783C" w:rsidRDefault="00FD3347" w:rsidP="00F850A9">
      <w:pPr>
        <w:pStyle w:val="IntroParagraph"/>
        <w:numPr>
          <w:ilvl w:val="0"/>
          <w:numId w:val="33"/>
        </w:numPr>
        <w:spacing w:after="120"/>
        <w:ind w:left="426"/>
        <w:rPr>
          <w:b w:val="0"/>
          <w:sz w:val="22"/>
        </w:rPr>
      </w:pPr>
      <w:r w:rsidRPr="00F6783C">
        <w:rPr>
          <w:b w:val="0"/>
          <w:sz w:val="22"/>
        </w:rPr>
        <w:t>2.4 – Higher Education Loan Program</w:t>
      </w:r>
    </w:p>
    <w:p w:rsidR="00FD3347" w:rsidRPr="00F6783C" w:rsidRDefault="00FD3347" w:rsidP="00F850A9">
      <w:pPr>
        <w:pStyle w:val="IntroParagraph"/>
        <w:numPr>
          <w:ilvl w:val="0"/>
          <w:numId w:val="33"/>
        </w:numPr>
        <w:spacing w:after="120"/>
        <w:ind w:left="426"/>
        <w:rPr>
          <w:b w:val="0"/>
          <w:sz w:val="22"/>
        </w:rPr>
      </w:pPr>
      <w:r w:rsidRPr="00F6783C">
        <w:rPr>
          <w:b w:val="0"/>
          <w:sz w:val="22"/>
        </w:rPr>
        <w:t>2.5 – Investment in Higher Education Research</w:t>
      </w:r>
    </w:p>
    <w:p w:rsidR="00FD3347" w:rsidRPr="00F6783C" w:rsidRDefault="00FD3347" w:rsidP="00F850A9">
      <w:pPr>
        <w:pStyle w:val="IntroParagraph"/>
        <w:numPr>
          <w:ilvl w:val="0"/>
          <w:numId w:val="33"/>
        </w:numPr>
        <w:spacing w:after="120"/>
        <w:ind w:left="426"/>
        <w:rPr>
          <w:b w:val="0"/>
          <w:sz w:val="22"/>
        </w:rPr>
      </w:pPr>
      <w:r w:rsidRPr="00F6783C">
        <w:rPr>
          <w:b w:val="0"/>
          <w:sz w:val="22"/>
        </w:rPr>
        <w:t>2.6 – Research Capacity</w:t>
      </w:r>
    </w:p>
    <w:p w:rsidR="00FD3347" w:rsidRPr="00F6783C" w:rsidRDefault="00FD3347" w:rsidP="00F850A9">
      <w:pPr>
        <w:pStyle w:val="IntroParagraph"/>
        <w:numPr>
          <w:ilvl w:val="0"/>
          <w:numId w:val="33"/>
        </w:numPr>
        <w:spacing w:after="120"/>
        <w:ind w:left="426"/>
        <w:rPr>
          <w:b w:val="0"/>
          <w:sz w:val="22"/>
        </w:rPr>
      </w:pPr>
      <w:r w:rsidRPr="00F6783C">
        <w:rPr>
          <w:b w:val="0"/>
          <w:sz w:val="22"/>
        </w:rPr>
        <w:t>2.7 – International Education Support</w:t>
      </w:r>
    </w:p>
    <w:p w:rsidR="007D0E7A" w:rsidRPr="00FD3347" w:rsidRDefault="00FD3347" w:rsidP="00F850A9">
      <w:pPr>
        <w:pStyle w:val="IntroParagraph"/>
        <w:numPr>
          <w:ilvl w:val="0"/>
          <w:numId w:val="33"/>
        </w:numPr>
        <w:spacing w:after="120"/>
        <w:ind w:left="426"/>
        <w:rPr>
          <w:b w:val="0"/>
          <w:sz w:val="20"/>
        </w:rPr>
      </w:pPr>
      <w:r w:rsidRPr="00F6783C">
        <w:rPr>
          <w:b w:val="0"/>
          <w:sz w:val="22"/>
        </w:rPr>
        <w:t>2.8 – Building Skills and Capability</w:t>
      </w:r>
      <w:r w:rsidR="007D0E7A">
        <w:br w:type="page"/>
      </w:r>
    </w:p>
    <w:p w:rsidR="00FE35BF" w:rsidRDefault="00B011D0" w:rsidP="000213F9">
      <w:pPr>
        <w:pStyle w:val="Heading1"/>
        <w:spacing w:before="480"/>
      </w:pPr>
      <w:bookmarkStart w:id="9" w:name="_Toc491179447"/>
      <w:r>
        <w:lastRenderedPageBreak/>
        <w:t>Environment</w:t>
      </w:r>
      <w:bookmarkEnd w:id="9"/>
    </w:p>
    <w:p w:rsidR="0046106B" w:rsidRDefault="00C8618D" w:rsidP="00C8618D">
      <w:pPr>
        <w:rPr>
          <w:lang w:eastAsia="en-US"/>
        </w:rPr>
      </w:pPr>
      <w:bookmarkStart w:id="10" w:name="_Toc482877519"/>
      <w:r>
        <w:rPr>
          <w:lang w:eastAsia="en-US"/>
        </w:rPr>
        <w:t xml:space="preserve">As national education and training policy leaders, we need to understand and appreciate the characteristics of different learning settings and systems, and the associated funding and regulatory regimes, so that we can have the best policy impact. We </w:t>
      </w:r>
      <w:r w:rsidR="003E7011">
        <w:rPr>
          <w:lang w:eastAsia="en-US"/>
        </w:rPr>
        <w:t xml:space="preserve">appreciate </w:t>
      </w:r>
      <w:r>
        <w:rPr>
          <w:lang w:eastAsia="en-US"/>
        </w:rPr>
        <w:t>the personal and collective benefit accrued from engaging with education and training opportunities across our life course.</w:t>
      </w:r>
    </w:p>
    <w:p w:rsidR="00C8618D" w:rsidRDefault="00C8618D" w:rsidP="00C8618D">
      <w:pPr>
        <w:rPr>
          <w:lang w:eastAsia="en-US"/>
        </w:rPr>
      </w:pPr>
      <w:r>
        <w:rPr>
          <w:lang w:eastAsia="en-US"/>
        </w:rPr>
        <w:t>The evolving nature of work is changing the skills our economy needs and coupled with new technology and shifting demographics, this requires us to re-think how we do our business. These environmental factors and others will influence our focus over the four year period of this plan and beyond.</w:t>
      </w:r>
    </w:p>
    <w:p w:rsidR="008935AC" w:rsidRDefault="008935AC" w:rsidP="002C39C9">
      <w:pPr>
        <w:pStyle w:val="Heading2"/>
        <w:spacing w:after="0"/>
      </w:pPr>
      <w:bookmarkStart w:id="11" w:name="_Toc491179448"/>
      <w:bookmarkEnd w:id="10"/>
      <w:r>
        <w:t>The education journey</w:t>
      </w:r>
      <w:bookmarkEnd w:id="11"/>
    </w:p>
    <w:p w:rsidR="00C8618D" w:rsidRDefault="00C8618D" w:rsidP="00C8618D">
      <w:pPr>
        <w:rPr>
          <w:lang w:eastAsia="en-US"/>
        </w:rPr>
      </w:pPr>
      <w:r>
        <w:rPr>
          <w:lang w:eastAsia="en-US"/>
        </w:rPr>
        <w:t>The learning and education journey is not the same for everybody. People from disadvantaged backgrounds and vulnerable communities can face many barriers to commencing and succeeding in their education journey. Many children commence their education journey in early learning programs in child care or in preschool. While all children are expected to participate in primary and secondary schooling, an individual child might transition more than once between public and private providers, or experience education and training systems in several different states and territories.</w:t>
      </w:r>
    </w:p>
    <w:p w:rsidR="00C8618D" w:rsidRDefault="00C8618D" w:rsidP="00C8618D">
      <w:pPr>
        <w:rPr>
          <w:lang w:eastAsia="en-US"/>
        </w:rPr>
      </w:pPr>
      <w:r>
        <w:rPr>
          <w:lang w:eastAsia="en-US"/>
        </w:rPr>
        <w:t>Some students go straight from school into tertiary education, while others go first to jobs or other activities, but may re</w:t>
      </w:r>
      <w:r w:rsidR="00F130DB">
        <w:rPr>
          <w:lang w:eastAsia="en-US"/>
        </w:rPr>
        <w:t>-</w:t>
      </w:r>
      <w:r>
        <w:rPr>
          <w:lang w:eastAsia="en-US"/>
        </w:rPr>
        <w:t>engage with education later in life. Most people participate in education or training at various stages throughout their lives, including re</w:t>
      </w:r>
      <w:r w:rsidR="00F130DB">
        <w:rPr>
          <w:lang w:eastAsia="en-US"/>
        </w:rPr>
        <w:t>-</w:t>
      </w:r>
      <w:r>
        <w:rPr>
          <w:lang w:eastAsia="en-US"/>
        </w:rPr>
        <w:t>engaging in formal education or retraining themselves, or engaging as parents and families in the formal care, early learning or schooling of their children. New migrants and international students may commence their Australian education journey in schooling, skills and training, or in higher education. Learning settings can vary from small to large; child care providers, schools, public and private training providers or universities; and rural, regional or metropolitan locations.</w:t>
      </w:r>
    </w:p>
    <w:p w:rsidR="00C8618D" w:rsidRDefault="00C8618D" w:rsidP="00C8618D">
      <w:r>
        <w:rPr>
          <w:lang w:eastAsia="en-US"/>
        </w:rPr>
        <w:t xml:space="preserve">Australia’s geographic and demographic challenges require national policies directed at building lifelong </w:t>
      </w:r>
      <w:r w:rsidR="004A61F9">
        <w:rPr>
          <w:lang w:eastAsia="en-US"/>
        </w:rPr>
        <w:t>learning</w:t>
      </w:r>
      <w:r w:rsidR="004A61F9">
        <w:t xml:space="preserve"> opportunities</w:t>
      </w:r>
      <w:r>
        <w:t xml:space="preserve"> that support workforce participation and prosperity through all stages of life, including in regional and remote Australia. Overall Australia’s population is ageing; the proportion of the population aged between 15 and 64 is declining relative to the proportion aged 65 and over.</w:t>
      </w:r>
      <w:r>
        <w:rPr>
          <w:rStyle w:val="FootnoteReference"/>
        </w:rPr>
        <w:footnoteReference w:id="2"/>
      </w:r>
    </w:p>
    <w:p w:rsidR="00C8618D" w:rsidRDefault="00C8618D" w:rsidP="00C8618D">
      <w:r>
        <w:t>At the same time, Aboriginal and Torres Strait Islander people have a much younger age profile, with more than half aged under 25 years. Around 65 per cent of the Aboriginal and Torres Strait Islander population live outside capital city areas. People living in regional and remote areas are more likely to encounter difficulties in accessing educational opportunities.</w:t>
      </w:r>
    </w:p>
    <w:p w:rsidR="00E86DCF" w:rsidRDefault="00C8618D" w:rsidP="00C8618D">
      <w:r>
        <w:t>Acknowledging these diverse circumstances, which mirror the diversity of modern Australia, the department is building a national education evidence base to better understand the education journey, and to better support transition pathways and success for all.</w:t>
      </w:r>
    </w:p>
    <w:p w:rsidR="008935AC" w:rsidRDefault="008935AC" w:rsidP="002C39C9">
      <w:pPr>
        <w:pStyle w:val="Heading2"/>
        <w:spacing w:after="0"/>
      </w:pPr>
      <w:bookmarkStart w:id="12" w:name="_Toc491179449"/>
      <w:r>
        <w:lastRenderedPageBreak/>
        <w:t>A new age of work</w:t>
      </w:r>
      <w:bookmarkEnd w:id="12"/>
    </w:p>
    <w:p w:rsidR="00E67AFE" w:rsidRDefault="00E67AFE" w:rsidP="00E67AFE">
      <w:pPr>
        <w:rPr>
          <w:lang w:eastAsia="en-US"/>
        </w:rPr>
      </w:pPr>
      <w:r>
        <w:rPr>
          <w:lang w:eastAsia="en-US"/>
        </w:rPr>
        <w:t>A new ‘age of work’ is emerging. Today’s young Australians can expect to have as many as 17 different employers, across five different careers in their lifetimes. The Foundation for Young Australians argues that we must ‘shift mindsets’ in how we approach jobs, careers and work to ensure young Australians can thrive in the new world of work.</w:t>
      </w:r>
      <w:r>
        <w:rPr>
          <w:rStyle w:val="FootnoteReference"/>
          <w:lang w:eastAsia="en-US"/>
        </w:rPr>
        <w:footnoteReference w:id="3"/>
      </w:r>
      <w:r>
        <w:rPr>
          <w:lang w:eastAsia="en-US"/>
        </w:rPr>
        <w:t xml:space="preserve"> The focus is no longer so much on preparing for a set career, as with acquiring a ‘portfolio of skills’ that young people can use to navigate uncertain working lives and switch jobs easily. Students will need to be supported in learning skills such as collaboration, problem solving, critical thinking, creativity and innovation. Students themselves will need to be more innovative and creative and be able to work collaboratively with others to be successful in future jobs.</w:t>
      </w:r>
    </w:p>
    <w:p w:rsidR="00EE311E" w:rsidRDefault="00E67AFE" w:rsidP="00EB24BB">
      <w:r>
        <w:rPr>
          <w:lang w:eastAsia="en-US"/>
        </w:rPr>
        <w:t xml:space="preserve">Technological change is also transforming the global </w:t>
      </w:r>
      <w:r w:rsidR="000D7DBE">
        <w:rPr>
          <w:lang w:eastAsia="en-US"/>
        </w:rPr>
        <w:t>labour market.</w:t>
      </w:r>
      <w:r w:rsidR="000D7DBE">
        <w:rPr>
          <w:rStyle w:val="FootnoteReference"/>
          <w:lang w:eastAsia="en-US"/>
        </w:rPr>
        <w:footnoteReference w:id="4"/>
      </w:r>
      <w:r>
        <w:rPr>
          <w:lang w:eastAsia="en-US"/>
        </w:rPr>
        <w:t xml:space="preserve"> Some of today’s jobs did not exist 10 years ago. Many of today’s jobs may not exist in 20 years’ time.</w:t>
      </w:r>
      <w:r w:rsidR="000D7DBE">
        <w:rPr>
          <w:rStyle w:val="FootnoteReference"/>
          <w:lang w:eastAsia="en-US"/>
        </w:rPr>
        <w:footnoteReference w:id="5"/>
      </w:r>
      <w:r>
        <w:rPr>
          <w:lang w:eastAsia="en-US"/>
        </w:rPr>
        <w:t xml:space="preserve"> Education systems and providers face challenges in responding to these evolving demands of the labour market. Employment prospects will be better for those with higher skills, including digital literacy and readiness to use ICT for problem solving. Globalisation and international mobility increase the need for skills and values to support a society that is prosperous, cohesive and culturally diverse, as well as preparing students for a mobile world of work.</w:t>
      </w:r>
    </w:p>
    <w:p w:rsidR="00804B02" w:rsidRDefault="00804B02" w:rsidP="002C39C9">
      <w:pPr>
        <w:pStyle w:val="Heading2"/>
        <w:spacing w:after="0"/>
      </w:pPr>
      <w:bookmarkStart w:id="13" w:name="_Toc491179450"/>
      <w:r>
        <w:t>Social and economic prosperity</w:t>
      </w:r>
      <w:bookmarkEnd w:id="13"/>
    </w:p>
    <w:p w:rsidR="002D371E" w:rsidRPr="002D371E" w:rsidRDefault="002D371E" w:rsidP="002D371E">
      <w:pPr>
        <w:rPr>
          <w:lang w:eastAsia="en-US"/>
        </w:rPr>
      </w:pPr>
      <w:r w:rsidRPr="002D371E">
        <w:rPr>
          <w:lang w:eastAsia="en-US"/>
        </w:rPr>
        <w:t>Education is the foundation of a skilled workforce and a creative community. Education not only prepares people for jobs, it creates confident and creative individuals who are active and informed citizens.</w:t>
      </w:r>
    </w:p>
    <w:p w:rsidR="002D371E" w:rsidRPr="002D371E" w:rsidRDefault="002D371E" w:rsidP="002D371E">
      <w:pPr>
        <w:rPr>
          <w:lang w:eastAsia="en-US"/>
        </w:rPr>
      </w:pPr>
      <w:r w:rsidRPr="002D371E">
        <w:rPr>
          <w:lang w:eastAsia="en-US"/>
        </w:rPr>
        <w:t>Children start to acquire fundamental skills early, including communication and social interaction skills in early childhood education and care</w:t>
      </w:r>
      <w:r w:rsidR="00103CFF">
        <w:rPr>
          <w:lang w:eastAsia="en-US"/>
        </w:rPr>
        <w:t xml:space="preserve"> and at home</w:t>
      </w:r>
      <w:r w:rsidRPr="002D371E">
        <w:rPr>
          <w:lang w:eastAsia="en-US"/>
        </w:rPr>
        <w:t>. Early childhood learning interventions prepare children for later academic and social success. Preschool is linked to higher achievement in schooling.</w:t>
      </w:r>
      <w:r>
        <w:rPr>
          <w:rStyle w:val="FootnoteReference"/>
          <w:lang w:eastAsia="en-US"/>
        </w:rPr>
        <w:footnoteReference w:id="6"/>
      </w:r>
      <w:r w:rsidRPr="002D371E">
        <w:rPr>
          <w:lang w:eastAsia="en-US"/>
        </w:rPr>
        <w:t xml:space="preserve"> Preschool</w:t>
      </w:r>
      <w:r w:rsidR="00103CFF">
        <w:rPr>
          <w:lang w:eastAsia="en-US"/>
        </w:rPr>
        <w:t xml:space="preserve"> and school</w:t>
      </w:r>
      <w:r w:rsidRPr="002D371E">
        <w:rPr>
          <w:lang w:eastAsia="en-US"/>
        </w:rPr>
        <w:t xml:space="preserve"> education play a strong role in promoting equality </w:t>
      </w:r>
      <w:r w:rsidR="009D3B69">
        <w:rPr>
          <w:lang w:eastAsia="en-US"/>
        </w:rPr>
        <w:t xml:space="preserve">of opportunity </w:t>
      </w:r>
      <w:r w:rsidRPr="002D371E">
        <w:rPr>
          <w:lang w:eastAsia="en-US"/>
        </w:rPr>
        <w:t>at an early age, particularly by targeting otherwise disadvantaged and vulnerable students and communities.</w:t>
      </w:r>
    </w:p>
    <w:p w:rsidR="002D371E" w:rsidRDefault="002D371E" w:rsidP="002D371E">
      <w:pPr>
        <w:rPr>
          <w:lang w:eastAsia="en-US"/>
        </w:rPr>
      </w:pPr>
      <w:r w:rsidRPr="002D371E">
        <w:rPr>
          <w:lang w:eastAsia="en-US"/>
        </w:rPr>
        <w:t>The opportunity to participate in the labour market can have a profound impact on an individual’s life experiences and prosperity. People with higher qualifications are more likely to be employed, more likely to earn more, and are better equipped to change jobs.</w:t>
      </w:r>
      <w:r>
        <w:rPr>
          <w:rStyle w:val="FootnoteReference"/>
          <w:lang w:eastAsia="en-US"/>
        </w:rPr>
        <w:footnoteReference w:id="7"/>
      </w:r>
      <w:r w:rsidRPr="002D371E">
        <w:rPr>
          <w:lang w:eastAsia="en-US"/>
        </w:rPr>
        <w:t xml:space="preserve"> Both vocational education and training (VET) and higher education offer pathways to individual advancement, qualifications and jobs.</w:t>
      </w:r>
    </w:p>
    <w:p w:rsidR="00474915" w:rsidRDefault="00474915" w:rsidP="00474915">
      <w:pPr>
        <w:rPr>
          <w:lang w:eastAsia="en-US"/>
        </w:rPr>
      </w:pPr>
      <w:r>
        <w:rPr>
          <w:lang w:eastAsia="en-US"/>
        </w:rPr>
        <w:t>Women’s participation in the labour market is also critical to driving economic prosperity. From July 2018, the Government’s support for child care will be better targeted to support low and middle income families who depend on child care to work, train or study, providing greater opportunity for omen to participate in the workforce. Foundational skills training and English language programs are also important to addressing disadvantage for adult learners, including migrants, and help drive an inclusive and prosperous society.</w:t>
      </w:r>
    </w:p>
    <w:p w:rsidR="00474915" w:rsidRDefault="00474915" w:rsidP="00474915">
      <w:pPr>
        <w:rPr>
          <w:lang w:eastAsia="en-US"/>
        </w:rPr>
      </w:pPr>
      <w:r>
        <w:rPr>
          <w:lang w:eastAsia="en-US"/>
        </w:rPr>
        <w:t>Australia’s world-class tertiary education, training and research are vital to ongoing prosperity. The international education sector is our largest services export and third-largest export industry overall. In 2016, the value of the industry was a record $22.4 billion and enrolments increased by 11 per cent. International education has been identified as one of five sectors that can drive the next wave of Australia’s economic growth and prosperity.</w:t>
      </w:r>
    </w:p>
    <w:p w:rsidR="00474915" w:rsidRDefault="00474915" w:rsidP="00474915">
      <w:pPr>
        <w:rPr>
          <w:lang w:eastAsia="en-US"/>
        </w:rPr>
      </w:pPr>
      <w:r>
        <w:rPr>
          <w:lang w:eastAsia="en-US"/>
        </w:rPr>
        <w:lastRenderedPageBreak/>
        <w:t xml:space="preserve">A key challenge will be continuing to drive the quality and outcomes from our tertiary and vocational education and research sectors to sustain Australia’s international competitiveness and attractiveness to international students. The Government’s </w:t>
      </w:r>
      <w:r w:rsidRPr="00195497">
        <w:rPr>
          <w:i/>
          <w:lang w:eastAsia="en-US"/>
        </w:rPr>
        <w:t>National Strategy for International Education 2025</w:t>
      </w:r>
      <w:r>
        <w:rPr>
          <w:lang w:eastAsia="en-US"/>
        </w:rPr>
        <w:t xml:space="preserve"> acknowledges the importance of this industry in driving Australia’s future economic growth, global engagement and social advancement. Under the leadership of Ministers and experts on the Council for International Education, the strategy will encourage Australia’s international education sector to grow sustainably, and be future focused, innovative and more globally engaged. The strategy is complemented by the </w:t>
      </w:r>
      <w:r w:rsidRPr="00195497">
        <w:rPr>
          <w:i/>
          <w:lang w:eastAsia="en-US"/>
        </w:rPr>
        <w:t>Australian International Education 2025 Roadmap</w:t>
      </w:r>
      <w:r>
        <w:rPr>
          <w:lang w:eastAsia="en-US"/>
        </w:rPr>
        <w:t>—a market development plan to support the international education sector’s sustained long-term growth.</w:t>
      </w:r>
    </w:p>
    <w:p w:rsidR="00474915" w:rsidRPr="002D371E" w:rsidRDefault="00474915" w:rsidP="00474915">
      <w:pPr>
        <w:rPr>
          <w:lang w:eastAsia="en-US"/>
        </w:rPr>
      </w:pPr>
      <w:r>
        <w:rPr>
          <w:lang w:eastAsia="en-US"/>
        </w:rPr>
        <w:t>Research training produces a highly qualified research workforce, drives research and innovation, and contributes subs</w:t>
      </w:r>
      <w:r w:rsidR="00CE7039">
        <w:rPr>
          <w:lang w:eastAsia="en-US"/>
        </w:rPr>
        <w:t>tantially to growing knowledge.</w:t>
      </w:r>
      <w:r w:rsidR="00CE7039">
        <w:rPr>
          <w:rStyle w:val="FootnoteReference"/>
          <w:lang w:eastAsia="en-US"/>
        </w:rPr>
        <w:footnoteReference w:id="8"/>
      </w:r>
      <w:r>
        <w:rPr>
          <w:lang w:eastAsia="en-US"/>
        </w:rPr>
        <w:t xml:space="preserve"> Our world-class research and infrastructure are the reason Australia has historically been at the forefront of global discoveries. The Government provides long-term operational funding certainty for cutting-edge, national research infrastructure to ensure research jobs stay in Australia and so Australia retains its world-class science and research capability.</w:t>
      </w:r>
    </w:p>
    <w:p w:rsidR="0022102A" w:rsidRDefault="0022102A" w:rsidP="002C39C9">
      <w:pPr>
        <w:pStyle w:val="Heading2"/>
        <w:spacing w:after="0"/>
      </w:pPr>
      <w:bookmarkStart w:id="14" w:name="_Toc491179451"/>
      <w:r>
        <w:t>Clo</w:t>
      </w:r>
      <w:r w:rsidR="008873CB">
        <w:t>sing the G</w:t>
      </w:r>
      <w:r>
        <w:t>ap</w:t>
      </w:r>
      <w:bookmarkEnd w:id="14"/>
    </w:p>
    <w:p w:rsidR="00993F61" w:rsidRDefault="00993F61" w:rsidP="00993F61">
      <w:pPr>
        <w:rPr>
          <w:lang w:eastAsia="en-US"/>
        </w:rPr>
      </w:pPr>
      <w:r>
        <w:rPr>
          <w:lang w:eastAsia="en-US"/>
        </w:rPr>
        <w:t>We recognise that more needs to be done to achieve the education-related Council of Australian Government’s (COAG) Closing the Gap targets. While responsibility for Indigenous-specific policy and funding programs is centralised in the Department of the Prime Minister and Cabinet, the department continues to help lead the national effort to improve outcomes for Aboriginal and Torres Strait Islander peoples.</w:t>
      </w:r>
    </w:p>
    <w:p w:rsidR="00993F61" w:rsidRDefault="00993F61" w:rsidP="00993F61">
      <w:pPr>
        <w:rPr>
          <w:lang w:eastAsia="en-US"/>
        </w:rPr>
      </w:pPr>
      <w:r>
        <w:rPr>
          <w:lang w:eastAsia="en-US"/>
        </w:rPr>
        <w:t xml:space="preserve">The department is responsible for significant policy levers and funding for child care, education and training, which can impact Aboriginal and Torres Strait Islander peoples and their communities. We seek to improve educational outcomes for young children through innovative programs like Connected Beginnings, which supports the integration of early childhood, maternal and child health and family support services with schools in </w:t>
      </w:r>
      <w:r w:rsidR="003E7011">
        <w:rPr>
          <w:lang w:eastAsia="en-US"/>
        </w:rPr>
        <w:t xml:space="preserve">a number of </w:t>
      </w:r>
      <w:r>
        <w:rPr>
          <w:lang w:eastAsia="en-US"/>
        </w:rPr>
        <w:t>Indigenous communities. Aboriginal and Torres Islander communities</w:t>
      </w:r>
      <w:r w:rsidR="001C2CFA">
        <w:rPr>
          <w:lang w:eastAsia="en-US"/>
        </w:rPr>
        <w:t xml:space="preserve"> will be consulted</w:t>
      </w:r>
      <w:r>
        <w:rPr>
          <w:lang w:eastAsia="en-US"/>
        </w:rPr>
        <w:t xml:space="preserve"> in developing and implementing </w:t>
      </w:r>
      <w:r w:rsidR="001C2CFA">
        <w:rPr>
          <w:lang w:eastAsia="en-US"/>
        </w:rPr>
        <w:t xml:space="preserve">school </w:t>
      </w:r>
      <w:r>
        <w:rPr>
          <w:lang w:eastAsia="en-US"/>
        </w:rPr>
        <w:t>education reforms tied to new school funding arrangements. The department’s national education policy leadership seeks to ensure that all Aboriginal and Torres Strait Islander people who have the desire and capability to participate in tertiary education and training are able to do so and are supported to succeed.</w:t>
      </w:r>
    </w:p>
    <w:p w:rsidR="00BE00E7" w:rsidRPr="005041AD" w:rsidRDefault="00993F61" w:rsidP="00993F61">
      <w:r>
        <w:rPr>
          <w:lang w:eastAsia="en-US"/>
        </w:rPr>
        <w:t>The department operates on the principle that Indigenous business is everyone’s business, which means that all employees consider our Reconciliation Action Plan in their work. It also means we strive to develop and deliver national policies and funding by working with Aboriginal and Torres Strait Islander peoples, and respecting their cultures and building our cultural capability.</w:t>
      </w:r>
    </w:p>
    <w:p w:rsidR="00EC33A7" w:rsidRDefault="00EC33A7" w:rsidP="002C39C9">
      <w:pPr>
        <w:pStyle w:val="Heading2"/>
        <w:spacing w:after="0"/>
      </w:pPr>
      <w:bookmarkStart w:id="15" w:name="_Toc491179452"/>
      <w:r>
        <w:t>The way we work</w:t>
      </w:r>
      <w:bookmarkEnd w:id="15"/>
    </w:p>
    <w:p w:rsidR="00614E47" w:rsidRDefault="00614E47" w:rsidP="00614E47">
      <w:r>
        <w:t>The department works with a range of stakeholders across all Australian government jurisdictions and with service providers to promote and implement national policies, including driving quality and accountability through national regulations and significant investment in education and training. We aim to maximise the benefits of our state and regional presence, including by using our State Network to support local relationships, contribute local knowledge and intelligence to national policy development, and deliver services nationally.</w:t>
      </w:r>
    </w:p>
    <w:p w:rsidR="000C316E" w:rsidRPr="005524B1" w:rsidRDefault="00614E47" w:rsidP="00614E47">
      <w:r>
        <w:lastRenderedPageBreak/>
        <w:t>Australia’s education architecture is multifaceted and child care, education, training and research are delivered through a complex mix of government, not-for-profit, religious, private and corporate entities. Our policies, regulatory frameworks, funding programs and stakeholder engagement strategies reflect this environment.</w:t>
      </w:r>
    </w:p>
    <w:p w:rsidR="007A3A58" w:rsidRDefault="00C00885" w:rsidP="002C39C9">
      <w:pPr>
        <w:pStyle w:val="Heading2"/>
        <w:spacing w:after="0"/>
      </w:pPr>
      <w:bookmarkStart w:id="16" w:name="_Enterprise_risks"/>
      <w:bookmarkStart w:id="17" w:name="_Ref485392250"/>
      <w:bookmarkStart w:id="18" w:name="_Ref485992759"/>
      <w:bookmarkStart w:id="19" w:name="_Toc491179453"/>
      <w:bookmarkEnd w:id="16"/>
      <w:r>
        <w:t>Enterprise ri</w:t>
      </w:r>
      <w:r w:rsidR="0044214C">
        <w:t>sk</w:t>
      </w:r>
      <w:r>
        <w:t>s</w:t>
      </w:r>
      <w:bookmarkEnd w:id="17"/>
      <w:bookmarkEnd w:id="18"/>
      <w:bookmarkEnd w:id="19"/>
    </w:p>
    <w:p w:rsidR="00605826" w:rsidRDefault="00605826" w:rsidP="00605826">
      <w:bookmarkStart w:id="20" w:name="_Toc482877521"/>
      <w:r>
        <w:t>There are a number of enterprise risks relevant to our purpose that, if realised, would likely impact our performance. We actively manage these risks through systems, processes and strategies that are designed to respond to our environment, shape our activities and improve our capability.</w:t>
      </w:r>
    </w:p>
    <w:p w:rsidR="00B10186" w:rsidRPr="0023760B" w:rsidRDefault="00605826" w:rsidP="00605826">
      <w:r>
        <w:t>The risks identified below relate to the department’s operating environment in 2017–18 and over the four year outlook. Our enterprise risks are reviewed and updated each year as part of the annual corporate planning cycle.</w:t>
      </w:r>
    </w:p>
    <w:p w:rsidR="00F34D97" w:rsidRDefault="00F34D97" w:rsidP="00D411F7">
      <w:pPr>
        <w:pStyle w:val="Caption"/>
        <w:spacing w:after="120"/>
      </w:pPr>
      <w:r>
        <w:t xml:space="preserve">Table </w:t>
      </w:r>
      <w:r>
        <w:fldChar w:fldCharType="begin"/>
      </w:r>
      <w:r>
        <w:instrText xml:space="preserve"> SEQ Table \* ARABIC </w:instrText>
      </w:r>
      <w:r>
        <w:fldChar w:fldCharType="separate"/>
      </w:r>
      <w:r w:rsidR="001C6BA8">
        <w:rPr>
          <w:noProof/>
        </w:rPr>
        <w:t>1</w:t>
      </w:r>
      <w:r>
        <w:fldChar w:fldCharType="end"/>
      </w:r>
      <w:r>
        <w:t xml:space="preserve"> Enterprise strategic risks</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8363"/>
      </w:tblGrid>
      <w:tr w:rsidR="008440D6" w:rsidRPr="008440D6" w:rsidTr="000D54F0">
        <w:trPr>
          <w:trHeight w:val="388"/>
          <w:tblHeader/>
        </w:trPr>
        <w:tc>
          <w:tcPr>
            <w:tcW w:w="2235" w:type="dxa"/>
            <w:tcBorders>
              <w:top w:val="single" w:sz="4" w:space="0" w:color="auto"/>
              <w:left w:val="single" w:sz="4" w:space="0" w:color="auto"/>
              <w:right w:val="single" w:sz="4" w:space="0" w:color="auto"/>
            </w:tcBorders>
          </w:tcPr>
          <w:p w:rsidR="008440D6" w:rsidRPr="00D411F7" w:rsidRDefault="008440D6" w:rsidP="00D411F7">
            <w:pPr>
              <w:pStyle w:val="Heading3"/>
              <w:spacing w:before="120" w:after="120"/>
              <w:outlineLvl w:val="2"/>
            </w:pPr>
            <w:r w:rsidRPr="008440D6">
              <w:t>Strategic risk</w:t>
            </w:r>
          </w:p>
        </w:tc>
        <w:tc>
          <w:tcPr>
            <w:tcW w:w="8363" w:type="dxa"/>
            <w:tcBorders>
              <w:top w:val="single" w:sz="4" w:space="0" w:color="auto"/>
              <w:left w:val="single" w:sz="4" w:space="0" w:color="auto"/>
              <w:right w:val="single" w:sz="4" w:space="0" w:color="auto"/>
            </w:tcBorders>
          </w:tcPr>
          <w:p w:rsidR="008440D6" w:rsidRPr="00D411F7" w:rsidRDefault="008440D6" w:rsidP="00D411F7">
            <w:pPr>
              <w:pStyle w:val="Heading3"/>
              <w:spacing w:before="120" w:after="120"/>
              <w:outlineLvl w:val="2"/>
            </w:pPr>
            <w:r w:rsidRPr="008440D6">
              <w:t>Risk description</w:t>
            </w:r>
          </w:p>
        </w:tc>
      </w:tr>
      <w:tr w:rsidR="0023760B" w:rsidRPr="00D57753" w:rsidTr="00D44054">
        <w:trPr>
          <w:trHeight w:val="1090"/>
        </w:trPr>
        <w:tc>
          <w:tcPr>
            <w:tcW w:w="2235" w:type="dxa"/>
            <w:tcBorders>
              <w:top w:val="single" w:sz="4" w:space="0" w:color="auto"/>
              <w:left w:val="single" w:sz="4" w:space="0" w:color="auto"/>
              <w:right w:val="single" w:sz="4" w:space="0" w:color="auto"/>
            </w:tcBorders>
          </w:tcPr>
          <w:p w:rsidR="0023760B" w:rsidRPr="00D57753" w:rsidRDefault="0023760B" w:rsidP="00426449">
            <w:r w:rsidRPr="00D57753">
              <w:t xml:space="preserve">Lack of capability aligned to priorities </w:t>
            </w:r>
          </w:p>
        </w:tc>
        <w:tc>
          <w:tcPr>
            <w:tcW w:w="8363" w:type="dxa"/>
            <w:tcBorders>
              <w:top w:val="single" w:sz="4" w:space="0" w:color="auto"/>
              <w:left w:val="single" w:sz="4" w:space="0" w:color="auto"/>
              <w:right w:val="single" w:sz="4" w:space="0" w:color="auto"/>
            </w:tcBorders>
          </w:tcPr>
          <w:p w:rsidR="0023760B" w:rsidRPr="00D601CD" w:rsidRDefault="00605826" w:rsidP="00605826">
            <w:r>
              <w:t>Staff capability and resource allocation are not aligned to priority activities that meet the department’s purpose and objectives.</w:t>
            </w:r>
          </w:p>
        </w:tc>
      </w:tr>
      <w:tr w:rsidR="0023760B" w:rsidRPr="00D57753" w:rsidTr="00D44054">
        <w:tc>
          <w:tcPr>
            <w:tcW w:w="2235" w:type="dxa"/>
            <w:tcBorders>
              <w:top w:val="single" w:sz="4" w:space="0" w:color="auto"/>
              <w:left w:val="single" w:sz="4" w:space="0" w:color="auto"/>
              <w:bottom w:val="single" w:sz="4" w:space="0" w:color="auto"/>
              <w:right w:val="single" w:sz="4" w:space="0" w:color="auto"/>
            </w:tcBorders>
          </w:tcPr>
          <w:p w:rsidR="0023760B" w:rsidRPr="00D57753" w:rsidRDefault="0023760B" w:rsidP="00426449">
            <w:r w:rsidRPr="00D57753">
              <w:t>Failing to generate good policy and advice in a changing external environment</w:t>
            </w:r>
          </w:p>
        </w:tc>
        <w:tc>
          <w:tcPr>
            <w:tcW w:w="8363" w:type="dxa"/>
            <w:tcBorders>
              <w:top w:val="single" w:sz="4" w:space="0" w:color="auto"/>
              <w:left w:val="single" w:sz="4" w:space="0" w:color="auto"/>
              <w:bottom w:val="single" w:sz="4" w:space="0" w:color="auto"/>
              <w:right w:val="single" w:sz="4" w:space="0" w:color="auto"/>
            </w:tcBorders>
          </w:tcPr>
          <w:p w:rsidR="0023760B" w:rsidRPr="00D601CD" w:rsidRDefault="00605826" w:rsidP="00605826">
            <w:r>
              <w:t>Policy and advice is not informed by or does not address changing external environment, including changing regulatory and funding architecture, multiple reform agendas, technological change, global advancements and community expectations.</w:t>
            </w:r>
          </w:p>
        </w:tc>
      </w:tr>
      <w:tr w:rsidR="0023760B" w:rsidRPr="00D57753" w:rsidTr="00D44054">
        <w:tc>
          <w:tcPr>
            <w:tcW w:w="2235" w:type="dxa"/>
            <w:tcBorders>
              <w:top w:val="single" w:sz="4" w:space="0" w:color="auto"/>
              <w:left w:val="single" w:sz="4" w:space="0" w:color="auto"/>
              <w:bottom w:val="single" w:sz="4" w:space="0" w:color="auto"/>
              <w:right w:val="single" w:sz="4" w:space="0" w:color="auto"/>
            </w:tcBorders>
          </w:tcPr>
          <w:p w:rsidR="0023760B" w:rsidRPr="00D57753" w:rsidRDefault="0023760B" w:rsidP="00426449">
            <w:r w:rsidRPr="00D57753">
              <w:t>Lack of fit</w:t>
            </w:r>
            <w:r w:rsidR="006C76EF">
              <w:noBreakHyphen/>
            </w:r>
            <w:r w:rsidRPr="00D57753">
              <w:t>for</w:t>
            </w:r>
            <w:r w:rsidR="006C76EF">
              <w:noBreakHyphen/>
            </w:r>
            <w:r w:rsidR="000A5106">
              <w:t>purpose systems, processes and i</w:t>
            </w:r>
            <w:r w:rsidRPr="00D57753">
              <w:t xml:space="preserve">nfrastructure </w:t>
            </w:r>
          </w:p>
        </w:tc>
        <w:tc>
          <w:tcPr>
            <w:tcW w:w="8363" w:type="dxa"/>
            <w:tcBorders>
              <w:top w:val="single" w:sz="4" w:space="0" w:color="auto"/>
              <w:left w:val="single" w:sz="4" w:space="0" w:color="auto"/>
              <w:bottom w:val="single" w:sz="4" w:space="0" w:color="auto"/>
              <w:right w:val="single" w:sz="4" w:space="0" w:color="auto"/>
            </w:tcBorders>
          </w:tcPr>
          <w:p w:rsidR="0023760B" w:rsidRPr="00605826" w:rsidRDefault="00605826" w:rsidP="00D601CD">
            <w:r w:rsidRPr="00605826">
              <w:t>Systems, processes, infrastructure and culture do not support the department to achieve its purpose and objectives.</w:t>
            </w:r>
          </w:p>
        </w:tc>
      </w:tr>
      <w:tr w:rsidR="0023760B" w:rsidRPr="00D57753" w:rsidTr="00D44054">
        <w:tc>
          <w:tcPr>
            <w:tcW w:w="2235" w:type="dxa"/>
            <w:tcBorders>
              <w:top w:val="single" w:sz="4" w:space="0" w:color="auto"/>
              <w:left w:val="single" w:sz="4" w:space="0" w:color="auto"/>
              <w:bottom w:val="single" w:sz="4" w:space="0" w:color="auto"/>
              <w:right w:val="single" w:sz="4" w:space="0" w:color="auto"/>
            </w:tcBorders>
          </w:tcPr>
          <w:p w:rsidR="0023760B" w:rsidRPr="00D57753" w:rsidRDefault="0023760B" w:rsidP="00426449">
            <w:r w:rsidRPr="00D57753">
              <w:t>Lack of fit</w:t>
            </w:r>
            <w:r w:rsidR="006C76EF">
              <w:noBreakHyphen/>
            </w:r>
            <w:r w:rsidRPr="00D57753">
              <w:t>for</w:t>
            </w:r>
            <w:r w:rsidR="006C76EF">
              <w:noBreakHyphen/>
            </w:r>
            <w:r w:rsidR="004C4B3D">
              <w:t xml:space="preserve">purpose </w:t>
            </w:r>
            <w:r w:rsidRPr="00D57753">
              <w:t xml:space="preserve">accountabilities, controls and governance </w:t>
            </w:r>
          </w:p>
        </w:tc>
        <w:tc>
          <w:tcPr>
            <w:tcW w:w="8363" w:type="dxa"/>
            <w:tcBorders>
              <w:top w:val="single" w:sz="4" w:space="0" w:color="auto"/>
              <w:left w:val="single" w:sz="4" w:space="0" w:color="auto"/>
              <w:bottom w:val="single" w:sz="4" w:space="0" w:color="auto"/>
              <w:right w:val="single" w:sz="4" w:space="0" w:color="auto"/>
            </w:tcBorders>
          </w:tcPr>
          <w:p w:rsidR="0023760B" w:rsidRPr="00D601CD" w:rsidRDefault="00605826" w:rsidP="00B10186">
            <w:r w:rsidRPr="00605826">
              <w:t>Accountabilities, controls and governance arrangements fail to ensure the department can meet its purpose and objectives.</w:t>
            </w:r>
          </w:p>
        </w:tc>
      </w:tr>
    </w:tbl>
    <w:p w:rsidR="008440D6" w:rsidRDefault="008440D6">
      <w:pPr>
        <w:rPr>
          <w:lang w:eastAsia="en-US"/>
        </w:rPr>
      </w:pPr>
    </w:p>
    <w:p w:rsidR="00F34D97" w:rsidRDefault="00F34D97" w:rsidP="00D411F7">
      <w:pPr>
        <w:pStyle w:val="Caption"/>
        <w:spacing w:after="120"/>
      </w:pPr>
      <w:r>
        <w:t xml:space="preserve">Table </w:t>
      </w:r>
      <w:r>
        <w:fldChar w:fldCharType="begin"/>
      </w:r>
      <w:r>
        <w:instrText xml:space="preserve"> SEQ Table \* ARABIC </w:instrText>
      </w:r>
      <w:r>
        <w:fldChar w:fldCharType="separate"/>
      </w:r>
      <w:r w:rsidR="001C6BA8">
        <w:rPr>
          <w:noProof/>
        </w:rPr>
        <w:t>2</w:t>
      </w:r>
      <w:r>
        <w:fldChar w:fldCharType="end"/>
      </w:r>
      <w:r>
        <w:t xml:space="preserve"> Enterprise operational risks</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8363"/>
      </w:tblGrid>
      <w:tr w:rsidR="008440D6" w:rsidRPr="008440D6" w:rsidTr="000D54F0">
        <w:trPr>
          <w:trHeight w:val="388"/>
          <w:tblHeader/>
        </w:trPr>
        <w:tc>
          <w:tcPr>
            <w:tcW w:w="2235" w:type="dxa"/>
            <w:tcBorders>
              <w:top w:val="single" w:sz="4" w:space="0" w:color="auto"/>
              <w:left w:val="single" w:sz="4" w:space="0" w:color="auto"/>
              <w:right w:val="single" w:sz="4" w:space="0" w:color="auto"/>
            </w:tcBorders>
          </w:tcPr>
          <w:p w:rsidR="008440D6" w:rsidRPr="00D411F7" w:rsidRDefault="008440D6" w:rsidP="00D411F7">
            <w:pPr>
              <w:pStyle w:val="Heading3"/>
              <w:spacing w:before="120" w:after="120"/>
              <w:outlineLvl w:val="2"/>
            </w:pPr>
            <w:r>
              <w:t>Operational</w:t>
            </w:r>
            <w:r w:rsidRPr="008440D6">
              <w:t xml:space="preserve"> risk</w:t>
            </w:r>
          </w:p>
        </w:tc>
        <w:tc>
          <w:tcPr>
            <w:tcW w:w="8363" w:type="dxa"/>
            <w:tcBorders>
              <w:top w:val="single" w:sz="4" w:space="0" w:color="auto"/>
              <w:left w:val="single" w:sz="4" w:space="0" w:color="auto"/>
              <w:right w:val="single" w:sz="4" w:space="0" w:color="auto"/>
            </w:tcBorders>
          </w:tcPr>
          <w:p w:rsidR="008440D6" w:rsidRPr="00D411F7" w:rsidRDefault="008440D6" w:rsidP="00D411F7">
            <w:pPr>
              <w:pStyle w:val="Heading3"/>
              <w:spacing w:before="120" w:after="120"/>
              <w:outlineLvl w:val="2"/>
            </w:pPr>
            <w:r w:rsidRPr="008440D6">
              <w:t>Risk description</w:t>
            </w:r>
          </w:p>
        </w:tc>
      </w:tr>
      <w:tr w:rsidR="008440D6" w:rsidRPr="00D57753" w:rsidTr="00D44054">
        <w:trPr>
          <w:trHeight w:val="688"/>
        </w:trPr>
        <w:tc>
          <w:tcPr>
            <w:tcW w:w="2235" w:type="dxa"/>
            <w:tcBorders>
              <w:top w:val="single" w:sz="4" w:space="0" w:color="auto"/>
              <w:left w:val="single" w:sz="4" w:space="0" w:color="auto"/>
              <w:bottom w:val="single" w:sz="4" w:space="0" w:color="auto"/>
              <w:right w:val="single" w:sz="4" w:space="0" w:color="auto"/>
            </w:tcBorders>
          </w:tcPr>
          <w:p w:rsidR="008440D6" w:rsidRPr="00D57753" w:rsidRDefault="008440D6" w:rsidP="00514D7F">
            <w:r>
              <w:t>Security</w:t>
            </w:r>
          </w:p>
        </w:tc>
        <w:tc>
          <w:tcPr>
            <w:tcW w:w="8363" w:type="dxa"/>
            <w:tcBorders>
              <w:top w:val="single" w:sz="4" w:space="0" w:color="auto"/>
              <w:left w:val="single" w:sz="4" w:space="0" w:color="auto"/>
              <w:bottom w:val="single" w:sz="4" w:space="0" w:color="auto"/>
              <w:right w:val="single" w:sz="4" w:space="0" w:color="auto"/>
            </w:tcBorders>
          </w:tcPr>
          <w:p w:rsidR="008440D6" w:rsidRPr="00D57753" w:rsidRDefault="008440D6" w:rsidP="00514D7F">
            <w:r w:rsidRPr="002B6AA3">
              <w:t>Failing to protect the physical safety of staff and visitors, information holdings and documents, personal information and IT infrastructure.</w:t>
            </w:r>
          </w:p>
        </w:tc>
      </w:tr>
      <w:tr w:rsidR="008440D6" w:rsidRPr="00D57753" w:rsidTr="00D44054">
        <w:trPr>
          <w:trHeight w:val="1265"/>
        </w:trPr>
        <w:tc>
          <w:tcPr>
            <w:tcW w:w="2235" w:type="dxa"/>
            <w:tcBorders>
              <w:top w:val="single" w:sz="4" w:space="0" w:color="auto"/>
              <w:left w:val="single" w:sz="4" w:space="0" w:color="auto"/>
              <w:right w:val="single" w:sz="4" w:space="0" w:color="auto"/>
            </w:tcBorders>
          </w:tcPr>
          <w:p w:rsidR="008440D6" w:rsidRPr="00D57753" w:rsidRDefault="008440D6" w:rsidP="00514D7F">
            <w:r w:rsidRPr="00D57753">
              <w:t>Communi</w:t>
            </w:r>
            <w:r>
              <w:t>cations and information quality</w:t>
            </w:r>
          </w:p>
        </w:tc>
        <w:tc>
          <w:tcPr>
            <w:tcW w:w="8363" w:type="dxa"/>
            <w:tcBorders>
              <w:top w:val="single" w:sz="4" w:space="0" w:color="auto"/>
              <w:left w:val="single" w:sz="4" w:space="0" w:color="auto"/>
              <w:right w:val="single" w:sz="4" w:space="0" w:color="auto"/>
            </w:tcBorders>
          </w:tcPr>
          <w:p w:rsidR="008440D6" w:rsidRPr="00D57753" w:rsidRDefault="008440D6" w:rsidP="00514D7F">
            <w:r w:rsidRPr="002B6AA3">
              <w:t>Ineffective communication channels result in poor stakeholder management or in lost opportunity to perform better. Information produced is erroneous or irrelevant, or not produced or made available in a timely manner, resulting in poor decisions or reputational damage.</w:t>
            </w:r>
          </w:p>
        </w:tc>
      </w:tr>
      <w:tr w:rsidR="008440D6" w:rsidRPr="00D57753" w:rsidTr="00D44054">
        <w:tc>
          <w:tcPr>
            <w:tcW w:w="2235" w:type="dxa"/>
            <w:tcBorders>
              <w:top w:val="single" w:sz="4" w:space="0" w:color="auto"/>
              <w:left w:val="single" w:sz="4" w:space="0" w:color="auto"/>
              <w:bottom w:val="single" w:sz="4" w:space="0" w:color="auto"/>
              <w:right w:val="single" w:sz="4" w:space="0" w:color="auto"/>
            </w:tcBorders>
          </w:tcPr>
          <w:p w:rsidR="008440D6" w:rsidRPr="00D57753" w:rsidRDefault="008440D6" w:rsidP="00514D7F">
            <w:r w:rsidRPr="00D57753">
              <w:t>Fraud, non</w:t>
            </w:r>
            <w:r w:rsidRPr="00D57753">
              <w:noBreakHyphen/>
              <w:t>compliance</w:t>
            </w:r>
            <w:r>
              <w:t>, and poor financial management</w:t>
            </w:r>
          </w:p>
        </w:tc>
        <w:tc>
          <w:tcPr>
            <w:tcW w:w="8363" w:type="dxa"/>
            <w:tcBorders>
              <w:top w:val="single" w:sz="4" w:space="0" w:color="auto"/>
              <w:left w:val="single" w:sz="4" w:space="0" w:color="auto"/>
              <w:bottom w:val="single" w:sz="4" w:space="0" w:color="auto"/>
              <w:right w:val="single" w:sz="4" w:space="0" w:color="auto"/>
            </w:tcBorders>
          </w:tcPr>
          <w:p w:rsidR="008440D6" w:rsidRPr="00605826" w:rsidRDefault="008440D6" w:rsidP="00514D7F">
            <w:r w:rsidRPr="002B6AA3">
              <w:t>Fraudulent activities perpetrated by staff, or external parties against the department for personal gain. Non-compliance with policies and regulations (including staff failure to bring these to the attention of senior management) resulting in poor performance, poor financial management and/or legal action.</w:t>
            </w:r>
          </w:p>
        </w:tc>
      </w:tr>
    </w:tbl>
    <w:p w:rsidR="005A2DC1" w:rsidRPr="00B22597" w:rsidRDefault="00B22597">
      <w:pPr>
        <w:rPr>
          <w:lang w:eastAsia="en-US"/>
        </w:rPr>
      </w:pPr>
      <w:r>
        <w:rPr>
          <w:lang w:eastAsia="en-US"/>
        </w:rPr>
        <w:t>I</w:t>
      </w:r>
      <w:r>
        <w:t xml:space="preserve">nformation on the department’s approach to risk management is outlined in </w:t>
      </w:r>
      <w:r w:rsidRPr="009B4A90">
        <w:rPr>
          <w:rStyle w:val="ARhyperlink"/>
        </w:rPr>
        <w:fldChar w:fldCharType="begin"/>
      </w:r>
      <w:r w:rsidRPr="009B4A90">
        <w:rPr>
          <w:rStyle w:val="ARhyperlink"/>
        </w:rPr>
        <w:instrText xml:space="preserve"> REF _Ref485645970 \h </w:instrText>
      </w:r>
      <w:r w:rsidR="009B4A90">
        <w:rPr>
          <w:rStyle w:val="ARhyperlink"/>
        </w:rPr>
        <w:instrText xml:space="preserve"> \* MERGEFORMAT </w:instrText>
      </w:r>
      <w:r w:rsidRPr="009B4A90">
        <w:rPr>
          <w:rStyle w:val="ARhyperlink"/>
        </w:rPr>
      </w:r>
      <w:r w:rsidRPr="009B4A90">
        <w:rPr>
          <w:rStyle w:val="ARhyperlink"/>
        </w:rPr>
        <w:fldChar w:fldCharType="separate"/>
      </w:r>
      <w:r w:rsidR="001C6BA8" w:rsidRPr="00B24394">
        <w:rPr>
          <w:rStyle w:val="ARhyperlink"/>
        </w:rPr>
        <w:t>Risk oversight and management</w:t>
      </w:r>
      <w:r w:rsidRPr="009B4A90">
        <w:rPr>
          <w:rStyle w:val="ARhyperlink"/>
        </w:rPr>
        <w:fldChar w:fldCharType="end"/>
      </w:r>
      <w:r>
        <w:t>.</w:t>
      </w:r>
      <w:r w:rsidR="005A2DC1">
        <w:br w:type="page"/>
      </w:r>
    </w:p>
    <w:p w:rsidR="00123E03" w:rsidRDefault="00DD5621" w:rsidP="000213F9">
      <w:pPr>
        <w:pStyle w:val="Heading1"/>
        <w:spacing w:before="480"/>
      </w:pPr>
      <w:bookmarkStart w:id="21" w:name="_Toc491179454"/>
      <w:bookmarkEnd w:id="20"/>
      <w:r>
        <w:lastRenderedPageBreak/>
        <w:t>Activities and performance</w:t>
      </w:r>
      <w:bookmarkEnd w:id="21"/>
    </w:p>
    <w:p w:rsidR="009478D6" w:rsidRDefault="009478D6" w:rsidP="00FD0CFC">
      <w:pPr>
        <w:rPr>
          <w:lang w:val="en"/>
        </w:rPr>
      </w:pPr>
      <w:r w:rsidRPr="009478D6">
        <w:rPr>
          <w:lang w:val="en"/>
        </w:rPr>
        <w:t>The department recognises the importance of communicating what we do and how it impacts opportunity and prosperity—especially for children, families, communities, students, the workforce and the nation. The department aims to better measure, monitor and report our performance.</w:t>
      </w:r>
    </w:p>
    <w:p w:rsidR="009478D6" w:rsidRPr="009478D6" w:rsidRDefault="009478D6" w:rsidP="009478D6">
      <w:pPr>
        <w:rPr>
          <w:lang w:val="en"/>
        </w:rPr>
      </w:pPr>
      <w:r w:rsidRPr="009478D6">
        <w:rPr>
          <w:lang w:val="en"/>
        </w:rPr>
        <w:t>We recognise that responsibility for our outcomes is shared</w:t>
      </w:r>
      <w:r>
        <w:rPr>
          <w:lang w:val="en"/>
        </w:rPr>
        <w:t xml:space="preserve"> </w:t>
      </w:r>
      <w:r w:rsidRPr="009478D6">
        <w:rPr>
          <w:lang w:val="en"/>
        </w:rPr>
        <w:t>and we work with states and territories</w:t>
      </w:r>
      <w:r w:rsidR="004A3AB1">
        <w:rPr>
          <w:lang w:val="en"/>
        </w:rPr>
        <w:t>, educators and experts,</w:t>
      </w:r>
      <w:r w:rsidRPr="009478D6">
        <w:rPr>
          <w:lang w:val="en"/>
        </w:rPr>
        <w:t xml:space="preserve"> and </w:t>
      </w:r>
      <w:r w:rsidR="004A3AB1">
        <w:rPr>
          <w:lang w:val="en"/>
        </w:rPr>
        <w:t xml:space="preserve">with </w:t>
      </w:r>
      <w:r w:rsidRPr="009478D6">
        <w:rPr>
          <w:lang w:val="en"/>
        </w:rPr>
        <w:t>a range of public,</w:t>
      </w:r>
      <w:r>
        <w:rPr>
          <w:lang w:val="en"/>
        </w:rPr>
        <w:t xml:space="preserve"> </w:t>
      </w:r>
      <w:r w:rsidRPr="009478D6">
        <w:rPr>
          <w:lang w:val="en"/>
        </w:rPr>
        <w:t>private and not-for-profit child care, education and training</w:t>
      </w:r>
      <w:r>
        <w:rPr>
          <w:lang w:val="en"/>
        </w:rPr>
        <w:t xml:space="preserve"> </w:t>
      </w:r>
      <w:r w:rsidRPr="009478D6">
        <w:rPr>
          <w:lang w:val="en"/>
        </w:rPr>
        <w:t>providers</w:t>
      </w:r>
      <w:r w:rsidR="004A3AB1">
        <w:rPr>
          <w:lang w:val="en"/>
        </w:rPr>
        <w:t xml:space="preserve"> </w:t>
      </w:r>
      <w:r w:rsidRPr="009478D6">
        <w:rPr>
          <w:lang w:val="en"/>
        </w:rPr>
        <w:t>to develop measures of performance. We are</w:t>
      </w:r>
      <w:r>
        <w:rPr>
          <w:lang w:val="en"/>
        </w:rPr>
        <w:t xml:space="preserve"> </w:t>
      </w:r>
      <w:r w:rsidRPr="009478D6">
        <w:rPr>
          <w:lang w:val="en"/>
        </w:rPr>
        <w:t>driving efforts to build the national education evidence</w:t>
      </w:r>
      <w:r>
        <w:rPr>
          <w:lang w:val="en"/>
        </w:rPr>
        <w:t xml:space="preserve"> </w:t>
      </w:r>
      <w:r w:rsidRPr="009478D6">
        <w:rPr>
          <w:lang w:val="en"/>
        </w:rPr>
        <w:t>base to strengthen national policy development and</w:t>
      </w:r>
      <w:r>
        <w:rPr>
          <w:lang w:val="en"/>
        </w:rPr>
        <w:t xml:space="preserve"> </w:t>
      </w:r>
      <w:r w:rsidRPr="009478D6">
        <w:rPr>
          <w:lang w:val="en"/>
        </w:rPr>
        <w:t>service delivery.</w:t>
      </w:r>
    </w:p>
    <w:p w:rsidR="009478D6" w:rsidRPr="009478D6" w:rsidRDefault="009478D6" w:rsidP="009478D6">
      <w:pPr>
        <w:rPr>
          <w:lang w:val="en"/>
        </w:rPr>
      </w:pPr>
      <w:r w:rsidRPr="009478D6">
        <w:rPr>
          <w:lang w:val="en"/>
        </w:rPr>
        <w:t>This plan outlines priority activities and performance criteria</w:t>
      </w:r>
      <w:r>
        <w:rPr>
          <w:lang w:val="en"/>
        </w:rPr>
        <w:t xml:space="preserve"> </w:t>
      </w:r>
      <w:r w:rsidRPr="009478D6">
        <w:rPr>
          <w:lang w:val="en"/>
        </w:rPr>
        <w:t>for 2017–18 and over the four year outlook. The department’s</w:t>
      </w:r>
      <w:r>
        <w:rPr>
          <w:lang w:val="en"/>
        </w:rPr>
        <w:t xml:space="preserve"> </w:t>
      </w:r>
      <w:r w:rsidRPr="009478D6">
        <w:rPr>
          <w:lang w:val="en"/>
        </w:rPr>
        <w:t>role in contributing to achievement in each area varies;</w:t>
      </w:r>
      <w:r>
        <w:rPr>
          <w:lang w:val="en"/>
        </w:rPr>
        <w:t xml:space="preserve"> </w:t>
      </w:r>
      <w:r w:rsidRPr="009478D6">
        <w:rPr>
          <w:lang w:val="en"/>
        </w:rPr>
        <w:t>sometimes we are involved directly in implementing national</w:t>
      </w:r>
      <w:r>
        <w:rPr>
          <w:lang w:val="en"/>
        </w:rPr>
        <w:t xml:space="preserve"> </w:t>
      </w:r>
      <w:r w:rsidRPr="009478D6">
        <w:rPr>
          <w:lang w:val="en"/>
        </w:rPr>
        <w:t>policy; at other times we use our funding and regulatory role</w:t>
      </w:r>
      <w:r>
        <w:rPr>
          <w:lang w:val="en"/>
        </w:rPr>
        <w:t xml:space="preserve"> </w:t>
      </w:r>
      <w:r w:rsidRPr="009478D6">
        <w:rPr>
          <w:lang w:val="en"/>
        </w:rPr>
        <w:t>to focus on improving outcomes</w:t>
      </w:r>
      <w:r w:rsidR="00D76617" w:rsidRPr="00D76617">
        <w:t xml:space="preserve"> </w:t>
      </w:r>
      <w:r w:rsidR="00D76617" w:rsidRPr="00D76617">
        <w:rPr>
          <w:lang w:val="en"/>
        </w:rPr>
        <w:t>through measures that are implemented by others</w:t>
      </w:r>
      <w:r w:rsidRPr="009478D6">
        <w:rPr>
          <w:lang w:val="en"/>
        </w:rPr>
        <w:t>.</w:t>
      </w:r>
    </w:p>
    <w:p w:rsidR="006C453B" w:rsidRDefault="009478D6">
      <w:pPr>
        <w:rPr>
          <w:rFonts w:asciiTheme="majorHAnsi" w:eastAsiaTheme="majorEastAsia" w:hAnsiTheme="majorHAnsi" w:cstheme="majorBidi"/>
          <w:b/>
          <w:bCs/>
          <w:smallCaps/>
          <w:sz w:val="28"/>
          <w:szCs w:val="28"/>
        </w:rPr>
      </w:pPr>
      <w:r w:rsidRPr="009478D6">
        <w:rPr>
          <w:lang w:val="en"/>
        </w:rPr>
        <w:t>The performance information listed in our corporate plan sits</w:t>
      </w:r>
      <w:r>
        <w:rPr>
          <w:lang w:val="en"/>
        </w:rPr>
        <w:t xml:space="preserve"> </w:t>
      </w:r>
      <w:r w:rsidRPr="009478D6">
        <w:rPr>
          <w:lang w:val="en"/>
        </w:rPr>
        <w:t>within a broader framework of measuring and monitoring our</w:t>
      </w:r>
      <w:r>
        <w:rPr>
          <w:lang w:val="en"/>
        </w:rPr>
        <w:t xml:space="preserve"> </w:t>
      </w:r>
      <w:r w:rsidRPr="009478D6">
        <w:rPr>
          <w:lang w:val="en"/>
        </w:rPr>
        <w:t>performance, in internal business planning and reporting, as</w:t>
      </w:r>
      <w:r>
        <w:rPr>
          <w:lang w:val="en"/>
        </w:rPr>
        <w:t xml:space="preserve"> </w:t>
      </w:r>
      <w:r w:rsidRPr="009478D6">
        <w:rPr>
          <w:lang w:val="en"/>
        </w:rPr>
        <w:t>well as externally. Further information on program resourcing</w:t>
      </w:r>
      <w:r>
        <w:rPr>
          <w:lang w:val="en"/>
        </w:rPr>
        <w:t xml:space="preserve"> </w:t>
      </w:r>
      <w:r w:rsidRPr="009478D6">
        <w:rPr>
          <w:lang w:val="en"/>
        </w:rPr>
        <w:t xml:space="preserve">and performance is available in our </w:t>
      </w:r>
      <w:r w:rsidRPr="009478D6">
        <w:rPr>
          <w:i/>
          <w:lang w:val="en"/>
        </w:rPr>
        <w:t>2017–18 Portfolio Budget Statements</w:t>
      </w:r>
      <w:r w:rsidRPr="009478D6">
        <w:rPr>
          <w:lang w:val="en"/>
        </w:rPr>
        <w:t>. The achievement against the performance</w:t>
      </w:r>
      <w:r>
        <w:rPr>
          <w:lang w:val="en"/>
        </w:rPr>
        <w:t xml:space="preserve"> </w:t>
      </w:r>
      <w:r w:rsidRPr="009478D6">
        <w:rPr>
          <w:lang w:val="en"/>
        </w:rPr>
        <w:t>criteria in this plan and in our budget statements will be</w:t>
      </w:r>
      <w:r>
        <w:rPr>
          <w:lang w:val="en"/>
        </w:rPr>
        <w:t xml:space="preserve"> </w:t>
      </w:r>
      <w:r w:rsidRPr="009478D6">
        <w:rPr>
          <w:lang w:val="en"/>
        </w:rPr>
        <w:t>reported in the department’s annual performance statements,</w:t>
      </w:r>
      <w:r>
        <w:rPr>
          <w:lang w:val="en"/>
        </w:rPr>
        <w:t xml:space="preserve"> </w:t>
      </w:r>
      <w:r w:rsidRPr="009478D6">
        <w:rPr>
          <w:lang w:val="en"/>
        </w:rPr>
        <w:t>at the end of the reporting period.</w:t>
      </w:r>
      <w:r w:rsidR="006C453B">
        <w:br w:type="page"/>
      </w:r>
    </w:p>
    <w:p w:rsidR="00123E03" w:rsidRPr="00C647A1" w:rsidRDefault="005542B8" w:rsidP="002C39C9">
      <w:pPr>
        <w:pStyle w:val="Heading2"/>
        <w:spacing w:after="0"/>
      </w:pPr>
      <w:bookmarkStart w:id="22" w:name="_Toc491179455"/>
      <w:r>
        <w:lastRenderedPageBreak/>
        <w:t xml:space="preserve">Outcome 1 – </w:t>
      </w:r>
      <w:r w:rsidR="003D2680">
        <w:t>Quality</w:t>
      </w:r>
      <w:r>
        <w:t xml:space="preserve"> </w:t>
      </w:r>
      <w:r w:rsidR="003D2680">
        <w:t xml:space="preserve">early learning and </w:t>
      </w:r>
      <w:r w:rsidR="003D2680" w:rsidRPr="002B7F0C">
        <w:t>schooling</w:t>
      </w:r>
      <w:bookmarkEnd w:id="22"/>
    </w:p>
    <w:p w:rsidR="0099247E" w:rsidRDefault="0099247E" w:rsidP="0099247E">
      <w:bookmarkStart w:id="23" w:name="_Toc482877523"/>
      <w:r>
        <w:t>The department is responsible for national policy leadership on early childhood education, child care and schooling, which aims to maximise opportunity and prosperity for all by driving national reforms and quality improvements, including addressing vulnerability and disadvantage in childhood and communities.</w:t>
      </w:r>
    </w:p>
    <w:p w:rsidR="0099247E" w:rsidRDefault="0099247E" w:rsidP="0099247E">
      <w:r>
        <w:t>Access to quality child care provides families with the opportunity to participate in work, study or volunteering in their communities, while their children access quality early learning to maximise their life potential. Access to quality preschool and school education provide children and young people with opportunity through learning, including pathways to further learning or to jobs.</w:t>
      </w:r>
    </w:p>
    <w:p w:rsidR="008941D7" w:rsidRDefault="0099247E" w:rsidP="0099247E">
      <w:r>
        <w:t>Quality school education sets up our children for a successful and fulfilling life. The department leads the Australian Government’s efforts for a nationally consistent</w:t>
      </w:r>
      <w:r w:rsidR="00CB7B27">
        <w:t xml:space="preserve"> approach to school funding</w:t>
      </w:r>
      <w:r w:rsidR="0072657D">
        <w:t xml:space="preserve"> </w:t>
      </w:r>
      <w:r>
        <w:t>that assists every child to reach their full potential so they can fully participate in the workplace, economy and society.</w:t>
      </w:r>
    </w:p>
    <w:p w:rsidR="0099247E" w:rsidRPr="0099247E" w:rsidRDefault="0099247E" w:rsidP="00554411">
      <w:pPr>
        <w:pBdr>
          <w:top w:val="single" w:sz="4" w:space="1" w:color="auto"/>
          <w:left w:val="single" w:sz="4" w:space="4" w:color="auto"/>
          <w:bottom w:val="single" w:sz="4" w:space="1" w:color="auto"/>
          <w:right w:val="single" w:sz="4" w:space="4" w:color="auto"/>
        </w:pBdr>
        <w:rPr>
          <w:i/>
        </w:rPr>
      </w:pPr>
      <w:r>
        <w:rPr>
          <w:i/>
        </w:rPr>
        <w:t>‘</w:t>
      </w:r>
      <w:r w:rsidRPr="0099247E">
        <w:rPr>
          <w:i/>
        </w:rPr>
        <w:t>One million families using approved child care for 1.6 million children.</w:t>
      </w:r>
      <w:r>
        <w:rPr>
          <w:i/>
        </w:rPr>
        <w:t>’</w:t>
      </w:r>
    </w:p>
    <w:p w:rsidR="0099247E" w:rsidRPr="0099247E" w:rsidRDefault="0099247E" w:rsidP="00554411">
      <w:pPr>
        <w:pBdr>
          <w:top w:val="single" w:sz="4" w:space="1" w:color="auto"/>
          <w:left w:val="single" w:sz="4" w:space="4" w:color="auto"/>
          <w:bottom w:val="single" w:sz="4" w:space="1" w:color="auto"/>
          <w:right w:val="single" w:sz="4" w:space="4" w:color="auto"/>
        </w:pBdr>
        <w:rPr>
          <w:i/>
        </w:rPr>
      </w:pPr>
      <w:r>
        <w:rPr>
          <w:i/>
        </w:rPr>
        <w:t>‘</w:t>
      </w:r>
      <w:r w:rsidRPr="0099247E">
        <w:rPr>
          <w:i/>
        </w:rPr>
        <w:t xml:space="preserve">More than 3.8 million </w:t>
      </w:r>
      <w:r w:rsidR="00F130DB">
        <w:rPr>
          <w:i/>
        </w:rPr>
        <w:t>enrolled</w:t>
      </w:r>
      <w:r w:rsidRPr="0099247E">
        <w:rPr>
          <w:i/>
        </w:rPr>
        <w:t xml:space="preserve"> in Australian schools.</w:t>
      </w:r>
      <w:r>
        <w:rPr>
          <w:i/>
        </w:rPr>
        <w:t>’</w:t>
      </w:r>
    </w:p>
    <w:p w:rsidR="0099247E" w:rsidRDefault="0099247E" w:rsidP="00D411F7">
      <w:pPr>
        <w:pStyle w:val="Caption"/>
        <w:spacing w:after="120"/>
      </w:pPr>
      <w:r>
        <w:t xml:space="preserve">Table </w:t>
      </w:r>
      <w:r>
        <w:fldChar w:fldCharType="begin"/>
      </w:r>
      <w:r>
        <w:instrText xml:space="preserve"> SEQ Table \* ARABIC </w:instrText>
      </w:r>
      <w:r>
        <w:fldChar w:fldCharType="separate"/>
      </w:r>
      <w:r w:rsidR="001C6BA8">
        <w:rPr>
          <w:noProof/>
        </w:rPr>
        <w:t>3</w:t>
      </w:r>
      <w:r>
        <w:fldChar w:fldCharType="end"/>
      </w:r>
      <w:r>
        <w:t xml:space="preserve"> Outcom</w:t>
      </w:r>
      <w:r w:rsidR="00F34D97">
        <w:t>e 1 a</w:t>
      </w:r>
      <w:r>
        <w:t>ct</w:t>
      </w:r>
      <w:r w:rsidR="00E633C7">
        <w:t>i</w:t>
      </w:r>
      <w:r>
        <w:t>vities and related strategies</w:t>
      </w:r>
    </w:p>
    <w:tbl>
      <w:tblPr>
        <w:tblStyle w:val="TableGrid"/>
        <w:tblW w:w="10173" w:type="dxa"/>
        <w:tblLook w:val="04A0" w:firstRow="1" w:lastRow="0" w:firstColumn="1" w:lastColumn="0" w:noHBand="0" w:noVBand="1"/>
      </w:tblPr>
      <w:tblGrid>
        <w:gridCol w:w="2235"/>
        <w:gridCol w:w="7938"/>
      </w:tblGrid>
      <w:tr w:rsidR="005F327E" w:rsidRPr="00F6669E" w:rsidTr="00B25327">
        <w:trPr>
          <w:tblHeader/>
        </w:trPr>
        <w:tc>
          <w:tcPr>
            <w:tcW w:w="2235" w:type="dxa"/>
          </w:tcPr>
          <w:p w:rsidR="005F327E" w:rsidRDefault="005F327E" w:rsidP="00D411F7">
            <w:pPr>
              <w:pStyle w:val="Heading3"/>
              <w:spacing w:before="120" w:after="120"/>
              <w:outlineLvl w:val="2"/>
            </w:pPr>
            <w:r>
              <w:t>Activities</w:t>
            </w:r>
          </w:p>
        </w:tc>
        <w:tc>
          <w:tcPr>
            <w:tcW w:w="7938" w:type="dxa"/>
          </w:tcPr>
          <w:p w:rsidR="005F327E" w:rsidRPr="00503F40" w:rsidRDefault="005F327E" w:rsidP="00D411F7">
            <w:pPr>
              <w:pStyle w:val="Heading3"/>
              <w:spacing w:before="120" w:after="120"/>
              <w:outlineLvl w:val="2"/>
              <w:rPr>
                <w:lang w:val="en"/>
              </w:rPr>
            </w:pPr>
            <w:r>
              <w:rPr>
                <w:lang w:val="en"/>
              </w:rPr>
              <w:t>Delivery strategies</w:t>
            </w:r>
          </w:p>
        </w:tc>
      </w:tr>
      <w:tr w:rsidR="002F6EFE" w:rsidRPr="00F6669E" w:rsidTr="00B25327">
        <w:tc>
          <w:tcPr>
            <w:tcW w:w="2235" w:type="dxa"/>
          </w:tcPr>
          <w:p w:rsidR="002F6EFE" w:rsidRPr="006637EA" w:rsidRDefault="00F34D97" w:rsidP="006637EA">
            <w:pPr>
              <w:rPr>
                <w:lang w:eastAsia="en-US"/>
              </w:rPr>
            </w:pPr>
            <w:r w:rsidRPr="00F34D97">
              <w:t>Ensuring access to quality, affordable child care, enabling parents to work, train or study.</w:t>
            </w:r>
          </w:p>
        </w:tc>
        <w:tc>
          <w:tcPr>
            <w:tcW w:w="7938" w:type="dxa"/>
          </w:tcPr>
          <w:p w:rsidR="002440F4" w:rsidRPr="00F24A75" w:rsidRDefault="002440F4" w:rsidP="00F24A75">
            <w:pPr>
              <w:pStyle w:val="ListBullet"/>
              <w:spacing w:after="0"/>
              <w:ind w:left="357" w:hanging="357"/>
            </w:pPr>
            <w:r>
              <w:t xml:space="preserve">Supporting families to access targeted support for child care, while children benefit from quality early learning opportunities. </w:t>
            </w:r>
          </w:p>
          <w:p w:rsidR="00F34D97" w:rsidRPr="00F34D97" w:rsidRDefault="00F34D97" w:rsidP="00F24A75">
            <w:pPr>
              <w:pStyle w:val="ListBullet"/>
              <w:spacing w:after="0"/>
              <w:ind w:left="357" w:hanging="357"/>
              <w:rPr>
                <w:lang w:val="en"/>
              </w:rPr>
            </w:pPr>
            <w:r w:rsidRPr="00F24A75">
              <w:t>Ensuring families and child care services are supported to transition to new arrangements</w:t>
            </w:r>
            <w:r w:rsidRPr="00F34D97">
              <w:rPr>
                <w:lang w:val="en"/>
              </w:rPr>
              <w:t xml:space="preserve"> under the Government’s child care reforms, which will apply from 2 July 2018.</w:t>
            </w:r>
          </w:p>
          <w:p w:rsidR="006637EA" w:rsidRPr="006637EA" w:rsidRDefault="00F34D97" w:rsidP="00F34D97">
            <w:pPr>
              <w:pStyle w:val="ListBullet"/>
              <w:rPr>
                <w:lang w:val="en"/>
              </w:rPr>
            </w:pPr>
            <w:r w:rsidRPr="00F34D97">
              <w:rPr>
                <w:lang w:val="en"/>
              </w:rPr>
              <w:t>Protecting taxpayer funding by focusing on the integrity of child care payments, including continuing compliance activities.</w:t>
            </w:r>
          </w:p>
        </w:tc>
      </w:tr>
      <w:tr w:rsidR="002F6EFE" w:rsidRPr="00F6669E" w:rsidTr="00B25327">
        <w:tc>
          <w:tcPr>
            <w:tcW w:w="2235" w:type="dxa"/>
          </w:tcPr>
          <w:p w:rsidR="002F6EFE" w:rsidRPr="003C3BBD" w:rsidRDefault="00F34D97" w:rsidP="006637EA">
            <w:pPr>
              <w:rPr>
                <w:lang w:eastAsia="en-US"/>
              </w:rPr>
            </w:pPr>
            <w:r w:rsidRPr="00F34D97">
              <w:t>Strengthening access to quality early learning</w:t>
            </w:r>
            <w:r w:rsidR="00385AA2">
              <w:t xml:space="preserve"> and schooling</w:t>
            </w:r>
            <w:r w:rsidRPr="00F34D97">
              <w:t>, including for disadvantaged groups.</w:t>
            </w:r>
          </w:p>
        </w:tc>
        <w:tc>
          <w:tcPr>
            <w:tcW w:w="7938" w:type="dxa"/>
          </w:tcPr>
          <w:p w:rsidR="00F34D97" w:rsidRPr="00F34D97" w:rsidRDefault="00F34D97" w:rsidP="00F24A75">
            <w:pPr>
              <w:pStyle w:val="ListBullet"/>
              <w:spacing w:after="0"/>
              <w:ind w:left="357" w:hanging="357"/>
              <w:rPr>
                <w:lang w:val="en"/>
              </w:rPr>
            </w:pPr>
            <w:r w:rsidRPr="00F34D97">
              <w:rPr>
                <w:lang w:val="en"/>
              </w:rPr>
              <w:t xml:space="preserve">Supporting vulnerable or disadvantaged children and communities, so that more children can access quality </w:t>
            </w:r>
            <w:r w:rsidRPr="00F24A75">
              <w:t>child</w:t>
            </w:r>
            <w:r w:rsidRPr="00F34D97">
              <w:rPr>
                <w:lang w:val="en"/>
              </w:rPr>
              <w:t xml:space="preserve"> care and early learning services, including:</w:t>
            </w:r>
          </w:p>
          <w:p w:rsidR="00F34D97" w:rsidRPr="00F34D97" w:rsidRDefault="00F34D97" w:rsidP="00F34D97">
            <w:pPr>
              <w:pStyle w:val="ListBullet2"/>
              <w:rPr>
                <w:lang w:val="en"/>
              </w:rPr>
            </w:pPr>
            <w:r w:rsidRPr="00F34D97">
              <w:rPr>
                <w:lang w:val="en"/>
              </w:rPr>
              <w:t>building the capacity and capability of child care services to better integrate children with additional needs through the Inclusion Support Programme</w:t>
            </w:r>
          </w:p>
          <w:p w:rsidR="00F34D97" w:rsidRPr="00F34D97" w:rsidRDefault="00F34D97" w:rsidP="00917BB0">
            <w:pPr>
              <w:pStyle w:val="ListBullet2"/>
              <w:spacing w:after="0"/>
              <w:rPr>
                <w:lang w:val="en"/>
              </w:rPr>
            </w:pPr>
            <w:proofErr w:type="gramStart"/>
            <w:r w:rsidRPr="00F34D97">
              <w:rPr>
                <w:lang w:val="en"/>
              </w:rPr>
              <w:t>assisting</w:t>
            </w:r>
            <w:proofErr w:type="gramEnd"/>
            <w:r w:rsidRPr="00F34D97">
              <w:rPr>
                <w:lang w:val="en"/>
              </w:rPr>
              <w:t xml:space="preserve"> child care services to reduce barriers in disadvantaged, regional and remote communities, including supporting eligible families and services to transition to new arrangements on 2 July 2018.</w:t>
            </w:r>
          </w:p>
          <w:p w:rsidR="00D639E4" w:rsidRPr="009E1664" w:rsidRDefault="00385AA2" w:rsidP="00F24A75">
            <w:pPr>
              <w:pStyle w:val="ListBullet"/>
              <w:spacing w:after="0"/>
              <w:ind w:left="357" w:hanging="357"/>
            </w:pPr>
            <w:r w:rsidRPr="00F24A75">
              <w:t>Supporting</w:t>
            </w:r>
            <w:r>
              <w:rPr>
                <w:lang w:val="en"/>
              </w:rPr>
              <w:t xml:space="preserve"> the delivery of</w:t>
            </w:r>
            <w:r w:rsidRPr="00F34D97">
              <w:rPr>
                <w:lang w:val="en"/>
              </w:rPr>
              <w:t xml:space="preserve"> </w:t>
            </w:r>
            <w:r w:rsidR="00F34D97" w:rsidRPr="00F34D97">
              <w:rPr>
                <w:lang w:val="en"/>
              </w:rPr>
              <w:t>at least 600 hours of quality early learning preschool programs for children in the year before full-time school in 2017 and 2018, and consulting with states and territories on longer term arrangements for preschools from 2019.</w:t>
            </w:r>
          </w:p>
          <w:p w:rsidR="006A1214" w:rsidRPr="00510064" w:rsidRDefault="00CB7B27" w:rsidP="00CB7B27">
            <w:pPr>
              <w:pStyle w:val="ListBullet"/>
            </w:pPr>
            <w:r>
              <w:t xml:space="preserve">Supporting national initiatives, such as expanding the Learning for Life program and implementing the Nationally Consistent Collection of Data on School Students with </w:t>
            </w:r>
            <w:proofErr w:type="gramStart"/>
            <w:r>
              <w:t>Disability, that</w:t>
            </w:r>
            <w:proofErr w:type="gramEnd"/>
            <w:r>
              <w:t xml:space="preserve"> help to support disadvantaged school students.</w:t>
            </w:r>
          </w:p>
        </w:tc>
      </w:tr>
      <w:tr w:rsidR="006637EA" w:rsidRPr="00F6669E" w:rsidTr="00B25327">
        <w:trPr>
          <w:cantSplit/>
          <w:trHeight w:val="1386"/>
        </w:trPr>
        <w:tc>
          <w:tcPr>
            <w:tcW w:w="2235" w:type="dxa"/>
          </w:tcPr>
          <w:p w:rsidR="006637EA" w:rsidRPr="00361B09" w:rsidRDefault="00B5782C" w:rsidP="006637EA">
            <w:r w:rsidRPr="00B5782C">
              <w:lastRenderedPageBreak/>
              <w:t>Needs-based funding provided to support quality outcomes for every eligible school student in Australia.</w:t>
            </w:r>
          </w:p>
        </w:tc>
        <w:tc>
          <w:tcPr>
            <w:tcW w:w="7938" w:type="dxa"/>
          </w:tcPr>
          <w:p w:rsidR="006637EA" w:rsidRDefault="00B5782C" w:rsidP="00F24A75">
            <w:pPr>
              <w:pStyle w:val="ListBullet"/>
              <w:spacing w:after="0"/>
              <w:ind w:left="357" w:hanging="357"/>
            </w:pPr>
            <w:r w:rsidRPr="00B5782C">
              <w:t xml:space="preserve">Supporting the Government’s </w:t>
            </w:r>
            <w:r w:rsidRPr="000714E7">
              <w:rPr>
                <w:i/>
              </w:rPr>
              <w:t>Quality Schools</w:t>
            </w:r>
            <w:r w:rsidRPr="00B5782C">
              <w:t xml:space="preserve"> package, including implementing new Commonwealth school funding arrangements from 2018, which will be needs-based, transparent and tied to reforms that boost outcomes across the schooling sector.</w:t>
            </w:r>
          </w:p>
        </w:tc>
      </w:tr>
      <w:tr w:rsidR="006637EA" w:rsidRPr="00F6669E" w:rsidTr="00B25327">
        <w:trPr>
          <w:cantSplit/>
        </w:trPr>
        <w:tc>
          <w:tcPr>
            <w:tcW w:w="2235" w:type="dxa"/>
          </w:tcPr>
          <w:p w:rsidR="006637EA" w:rsidRPr="00361B09" w:rsidRDefault="00B5782C" w:rsidP="006637EA">
            <w:r w:rsidRPr="00B5782C">
              <w:t>Strengthening the national evidence base and lifting outcomes in Australian schools.</w:t>
            </w:r>
          </w:p>
        </w:tc>
        <w:tc>
          <w:tcPr>
            <w:tcW w:w="7938" w:type="dxa"/>
          </w:tcPr>
          <w:p w:rsidR="00B5782C" w:rsidRDefault="00B5782C" w:rsidP="00F24A75">
            <w:pPr>
              <w:pStyle w:val="ListBullet"/>
              <w:spacing w:after="0"/>
              <w:ind w:left="357" w:hanging="357"/>
            </w:pPr>
            <w:r>
              <w:t xml:space="preserve">Contributing to national policy on the most effective teaching and learning strategies, including supporting the Review to Achieve Educational Excellence in Australian Schools, led by David Gonski AC, which will report to Government by </w:t>
            </w:r>
            <w:r w:rsidR="000714E7">
              <w:t>March 2018</w:t>
            </w:r>
            <w:r>
              <w:t>.</w:t>
            </w:r>
          </w:p>
          <w:p w:rsidR="00B5782C" w:rsidRDefault="00B5782C" w:rsidP="00F24A75">
            <w:pPr>
              <w:pStyle w:val="ListBullet"/>
              <w:spacing w:after="0"/>
              <w:ind w:left="357" w:hanging="357"/>
            </w:pPr>
            <w:r>
              <w:t>Helping regional, rural and remote students to succeed in school and in their transition to further study, training and employment, by supporting the Independent Review into Regional, Rural and Remote Education, led by Emeritus Professor John Halsey, which will report to Government by December 2017.</w:t>
            </w:r>
          </w:p>
          <w:p w:rsidR="00B5782C" w:rsidRDefault="00B5782C" w:rsidP="00F24A75">
            <w:pPr>
              <w:pStyle w:val="ListBullet"/>
              <w:spacing w:after="0"/>
              <w:ind w:left="357" w:hanging="357"/>
            </w:pPr>
            <w:r>
              <w:t>Leading efforts to improve our national education evidence base and data for schools and preschools, which is critical for informed policy and decision making in education.</w:t>
            </w:r>
          </w:p>
          <w:p w:rsidR="00B5782C" w:rsidRDefault="00B5782C" w:rsidP="00F24A75">
            <w:pPr>
              <w:pStyle w:val="ListBullet"/>
              <w:spacing w:after="0"/>
              <w:ind w:left="357" w:hanging="357"/>
            </w:pPr>
            <w:r>
              <w:t>Improving school leadership and quality teaching nation-wide through a range of targeted initiatives, and supporting the delivery of the Australian Curriculum, which outlines the knowledge, skills and capabilities that all students need to succeed.</w:t>
            </w:r>
          </w:p>
          <w:p w:rsidR="006637EA" w:rsidRDefault="00B5782C" w:rsidP="00B5782C">
            <w:pPr>
              <w:pStyle w:val="ListBullet"/>
            </w:pPr>
            <w:r>
              <w:t xml:space="preserve">Supporting parents to be positively and actively involved in their child’s education, including through the </w:t>
            </w:r>
            <w:r w:rsidRPr="00B5782C">
              <w:rPr>
                <w:i/>
              </w:rPr>
              <w:t>Learning Potential</w:t>
            </w:r>
            <w:r>
              <w:t xml:space="preserve"> app, an innovative and award-winning approach.</w:t>
            </w:r>
          </w:p>
        </w:tc>
      </w:tr>
      <w:tr w:rsidR="00B5356E" w:rsidRPr="00F6669E" w:rsidTr="00B25327">
        <w:tc>
          <w:tcPr>
            <w:tcW w:w="2235" w:type="dxa"/>
          </w:tcPr>
          <w:p w:rsidR="00B5356E" w:rsidRDefault="00B5782C">
            <w:pPr>
              <w:rPr>
                <w:lang w:eastAsia="en-US"/>
              </w:rPr>
            </w:pPr>
            <w:r w:rsidRPr="00B5782C">
              <w:rPr>
                <w:lang w:eastAsia="en-US"/>
              </w:rPr>
              <w:t>Creating and connecting transition pathways.</w:t>
            </w:r>
          </w:p>
        </w:tc>
        <w:tc>
          <w:tcPr>
            <w:tcW w:w="7938" w:type="dxa"/>
          </w:tcPr>
          <w:p w:rsidR="00614900" w:rsidRDefault="00B5782C" w:rsidP="00B5782C">
            <w:pPr>
              <w:pStyle w:val="ListBullet"/>
            </w:pPr>
            <w:r w:rsidRPr="00B5782C">
              <w:t xml:space="preserve">Preparing students for life beyond school, by supporting our ministers and working with education, industry, career and parent stakeholders to develop the </w:t>
            </w:r>
            <w:r w:rsidRPr="00B5782C">
              <w:rPr>
                <w:i/>
              </w:rPr>
              <w:t>National Career Education Strategy</w:t>
            </w:r>
            <w:r w:rsidRPr="00B5782C">
              <w:t>.</w:t>
            </w:r>
          </w:p>
        </w:tc>
      </w:tr>
      <w:bookmarkEnd w:id="23"/>
    </w:tbl>
    <w:p w:rsidR="0056497B" w:rsidRDefault="0056497B">
      <w:pPr>
        <w:rPr>
          <w:rFonts w:ascii="Calibri" w:eastAsiaTheme="majorEastAsia" w:hAnsi="Calibri" w:cstheme="majorBidi"/>
          <w:b/>
          <w:bCs/>
          <w:color w:val="593674"/>
          <w:sz w:val="24"/>
          <w:lang w:val="en" w:eastAsia="en-US"/>
        </w:rPr>
      </w:pPr>
      <w:r>
        <w:rPr>
          <w:lang w:val="en"/>
        </w:rPr>
        <w:br w:type="page"/>
      </w:r>
    </w:p>
    <w:p w:rsidR="008B3C33" w:rsidRDefault="008B3C33" w:rsidP="00D411F7">
      <w:pPr>
        <w:pStyle w:val="Caption"/>
        <w:spacing w:after="120"/>
      </w:pPr>
      <w:r>
        <w:lastRenderedPageBreak/>
        <w:t xml:space="preserve">Table </w:t>
      </w:r>
      <w:r>
        <w:fldChar w:fldCharType="begin"/>
      </w:r>
      <w:r>
        <w:instrText xml:space="preserve"> SEQ Table \* ARABIC </w:instrText>
      </w:r>
      <w:r>
        <w:fldChar w:fldCharType="separate"/>
      </w:r>
      <w:r w:rsidR="001C6BA8">
        <w:rPr>
          <w:noProof/>
        </w:rPr>
        <w:t>4</w:t>
      </w:r>
      <w:r>
        <w:fldChar w:fldCharType="end"/>
      </w:r>
      <w:r>
        <w:t xml:space="preserve"> </w:t>
      </w:r>
      <w:r w:rsidRPr="006F7A6A">
        <w:t xml:space="preserve">Outcome 1 </w:t>
      </w:r>
      <w:r>
        <w:t>Performance criteria and targets</w:t>
      </w:r>
    </w:p>
    <w:tbl>
      <w:tblPr>
        <w:tblStyle w:val="DEEWRTable"/>
        <w:tblW w:w="1063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erformance criteria table"/>
      </w:tblPr>
      <w:tblGrid>
        <w:gridCol w:w="1951"/>
        <w:gridCol w:w="992"/>
        <w:gridCol w:w="1276"/>
        <w:gridCol w:w="1559"/>
        <w:gridCol w:w="1734"/>
        <w:gridCol w:w="1592"/>
        <w:gridCol w:w="1527"/>
      </w:tblGrid>
      <w:tr w:rsidR="00696046" w:rsidTr="005306FF">
        <w:trPr>
          <w:cnfStyle w:val="100000000000" w:firstRow="1" w:lastRow="0" w:firstColumn="0" w:lastColumn="0" w:oddVBand="0" w:evenVBand="0" w:oddHBand="0" w:evenHBand="0" w:firstRowFirstColumn="0" w:firstRowLastColumn="0" w:lastRowFirstColumn="0" w:lastRowLastColumn="0"/>
          <w:trHeight w:val="271"/>
          <w:tblHeader/>
        </w:trPr>
        <w:tc>
          <w:tcPr>
            <w:cnfStyle w:val="001000000000" w:firstRow="0" w:lastRow="0" w:firstColumn="1" w:lastColumn="0" w:oddVBand="0" w:evenVBand="0" w:oddHBand="0" w:evenHBand="0" w:firstRowFirstColumn="0" w:firstRowLastColumn="0" w:lastRowFirstColumn="0" w:lastRowLastColumn="0"/>
            <w:tcW w:w="1951" w:type="dxa"/>
            <w:vAlign w:val="center"/>
          </w:tcPr>
          <w:p w:rsidR="00514D7F" w:rsidRPr="00514D7F" w:rsidRDefault="00514D7F" w:rsidP="00514D7F">
            <w:pPr>
              <w:rPr>
                <w:sz w:val="18"/>
                <w:szCs w:val="18"/>
              </w:rPr>
            </w:pPr>
            <w:r w:rsidRPr="00514D7F">
              <w:rPr>
                <w:sz w:val="18"/>
                <w:szCs w:val="18"/>
              </w:rPr>
              <w:t>Performance Criteria—</w:t>
            </w:r>
          </w:p>
          <w:p w:rsidR="00696046" w:rsidRPr="00C47399" w:rsidRDefault="00514D7F" w:rsidP="00514D7F">
            <w:pPr>
              <w:rPr>
                <w:sz w:val="18"/>
                <w:szCs w:val="18"/>
              </w:rPr>
            </w:pPr>
            <w:r>
              <w:rPr>
                <w:sz w:val="18"/>
                <w:szCs w:val="18"/>
              </w:rPr>
              <w:t>what we will measure</w:t>
            </w:r>
          </w:p>
        </w:tc>
        <w:tc>
          <w:tcPr>
            <w:tcW w:w="992" w:type="dxa"/>
            <w:vAlign w:val="center"/>
          </w:tcPr>
          <w:p w:rsidR="00696046" w:rsidRPr="007D63AB" w:rsidRDefault="00514D7F" w:rsidP="00514D7F">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Programs</w:t>
            </w:r>
          </w:p>
        </w:tc>
        <w:tc>
          <w:tcPr>
            <w:tcW w:w="1276" w:type="dxa"/>
            <w:vAlign w:val="center"/>
          </w:tcPr>
          <w:p w:rsidR="00696046" w:rsidRPr="007D63AB" w:rsidRDefault="00514D7F" w:rsidP="00514D7F">
            <w:pPr>
              <w:jc w:val="center"/>
              <w:cnfStyle w:val="100000000000" w:firstRow="1" w:lastRow="0" w:firstColumn="0" w:lastColumn="0" w:oddVBand="0" w:evenVBand="0" w:oddHBand="0" w:evenHBand="0" w:firstRowFirstColumn="0" w:firstRowLastColumn="0" w:lastRowFirstColumn="0" w:lastRowLastColumn="0"/>
              <w:rPr>
                <w:sz w:val="18"/>
                <w:szCs w:val="18"/>
              </w:rPr>
            </w:pPr>
            <w:r w:rsidRPr="00514D7F">
              <w:rPr>
                <w:sz w:val="18"/>
                <w:szCs w:val="18"/>
              </w:rPr>
              <w:t>Method</w:t>
            </w:r>
          </w:p>
        </w:tc>
        <w:tc>
          <w:tcPr>
            <w:tcW w:w="1559" w:type="dxa"/>
            <w:vAlign w:val="center"/>
          </w:tcPr>
          <w:p w:rsidR="00696046" w:rsidRDefault="00696046" w:rsidP="00AC65B1">
            <w:pPr>
              <w:keepNext/>
              <w:jc w:val="center"/>
              <w:cnfStyle w:val="100000000000" w:firstRow="1" w:lastRow="0" w:firstColumn="0" w:lastColumn="0" w:oddVBand="0" w:evenVBand="0" w:oddHBand="0" w:evenHBand="0" w:firstRowFirstColumn="0" w:firstRowLastColumn="0" w:lastRowFirstColumn="0" w:lastRowLastColumn="0"/>
              <w:rPr>
                <w:sz w:val="18"/>
                <w:szCs w:val="18"/>
              </w:rPr>
            </w:pPr>
            <w:r w:rsidRPr="007D63AB">
              <w:rPr>
                <w:sz w:val="18"/>
                <w:szCs w:val="18"/>
              </w:rPr>
              <w:t>2017–18</w:t>
            </w:r>
          </w:p>
          <w:p w:rsidR="00514D7F" w:rsidRPr="007D63AB" w:rsidRDefault="00514D7F" w:rsidP="00AC65B1">
            <w:pPr>
              <w:keepNext/>
              <w:jc w:val="center"/>
              <w:cnfStyle w:val="100000000000" w:firstRow="1" w:lastRow="0" w:firstColumn="0" w:lastColumn="0" w:oddVBand="0" w:evenVBand="0" w:oddHBand="0" w:evenHBand="0" w:firstRowFirstColumn="0" w:firstRowLastColumn="0" w:lastRowFirstColumn="0" w:lastRowLastColumn="0"/>
              <w:rPr>
                <w:sz w:val="18"/>
                <w:szCs w:val="18"/>
              </w:rPr>
            </w:pPr>
            <w:r w:rsidRPr="007D63AB">
              <w:rPr>
                <w:sz w:val="18"/>
                <w:szCs w:val="18"/>
              </w:rPr>
              <w:t>Performance targets</w:t>
            </w:r>
          </w:p>
        </w:tc>
        <w:tc>
          <w:tcPr>
            <w:tcW w:w="1734" w:type="dxa"/>
            <w:vAlign w:val="center"/>
          </w:tcPr>
          <w:p w:rsidR="00696046" w:rsidRDefault="00696046" w:rsidP="00436A03">
            <w:pPr>
              <w:jc w:val="center"/>
              <w:cnfStyle w:val="100000000000" w:firstRow="1" w:lastRow="0" w:firstColumn="0" w:lastColumn="0" w:oddVBand="0" w:evenVBand="0" w:oddHBand="0" w:evenHBand="0" w:firstRowFirstColumn="0" w:firstRowLastColumn="0" w:lastRowFirstColumn="0" w:lastRowLastColumn="0"/>
              <w:rPr>
                <w:sz w:val="18"/>
                <w:szCs w:val="18"/>
              </w:rPr>
            </w:pPr>
            <w:r w:rsidRPr="007D63AB">
              <w:rPr>
                <w:sz w:val="18"/>
                <w:szCs w:val="18"/>
              </w:rPr>
              <w:t>2018–19</w:t>
            </w:r>
          </w:p>
          <w:p w:rsidR="00514D7F" w:rsidRPr="007D63AB" w:rsidRDefault="00514D7F" w:rsidP="00436A03">
            <w:pPr>
              <w:jc w:val="center"/>
              <w:cnfStyle w:val="100000000000" w:firstRow="1" w:lastRow="0" w:firstColumn="0" w:lastColumn="0" w:oddVBand="0" w:evenVBand="0" w:oddHBand="0" w:evenHBand="0" w:firstRowFirstColumn="0" w:firstRowLastColumn="0" w:lastRowFirstColumn="0" w:lastRowLastColumn="0"/>
              <w:rPr>
                <w:sz w:val="18"/>
                <w:szCs w:val="18"/>
              </w:rPr>
            </w:pPr>
            <w:r w:rsidRPr="007D63AB">
              <w:rPr>
                <w:sz w:val="18"/>
                <w:szCs w:val="18"/>
              </w:rPr>
              <w:t>Performance targets</w:t>
            </w:r>
          </w:p>
        </w:tc>
        <w:tc>
          <w:tcPr>
            <w:tcW w:w="1592" w:type="dxa"/>
            <w:vAlign w:val="center"/>
          </w:tcPr>
          <w:p w:rsidR="00696046" w:rsidRDefault="00696046" w:rsidP="00436A03">
            <w:pPr>
              <w:jc w:val="center"/>
              <w:cnfStyle w:val="100000000000" w:firstRow="1" w:lastRow="0" w:firstColumn="0" w:lastColumn="0" w:oddVBand="0" w:evenVBand="0" w:oddHBand="0" w:evenHBand="0" w:firstRowFirstColumn="0" w:firstRowLastColumn="0" w:lastRowFirstColumn="0" w:lastRowLastColumn="0"/>
              <w:rPr>
                <w:sz w:val="18"/>
                <w:szCs w:val="18"/>
              </w:rPr>
            </w:pPr>
            <w:r w:rsidRPr="007D63AB">
              <w:rPr>
                <w:sz w:val="18"/>
                <w:szCs w:val="18"/>
              </w:rPr>
              <w:t>2019–20</w:t>
            </w:r>
          </w:p>
          <w:p w:rsidR="00514D7F" w:rsidRPr="007D63AB" w:rsidRDefault="00514D7F" w:rsidP="00436A03">
            <w:pPr>
              <w:jc w:val="center"/>
              <w:cnfStyle w:val="100000000000" w:firstRow="1" w:lastRow="0" w:firstColumn="0" w:lastColumn="0" w:oddVBand="0" w:evenVBand="0" w:oddHBand="0" w:evenHBand="0" w:firstRowFirstColumn="0" w:firstRowLastColumn="0" w:lastRowFirstColumn="0" w:lastRowLastColumn="0"/>
              <w:rPr>
                <w:sz w:val="18"/>
                <w:szCs w:val="18"/>
              </w:rPr>
            </w:pPr>
            <w:r w:rsidRPr="007D63AB">
              <w:rPr>
                <w:sz w:val="18"/>
                <w:szCs w:val="18"/>
              </w:rPr>
              <w:t>Performance targets</w:t>
            </w:r>
          </w:p>
        </w:tc>
        <w:tc>
          <w:tcPr>
            <w:tcW w:w="1527" w:type="dxa"/>
            <w:vAlign w:val="center"/>
          </w:tcPr>
          <w:p w:rsidR="00696046" w:rsidRDefault="00696046" w:rsidP="00436A03">
            <w:pPr>
              <w:jc w:val="center"/>
              <w:cnfStyle w:val="100000000000" w:firstRow="1" w:lastRow="0" w:firstColumn="0" w:lastColumn="0" w:oddVBand="0" w:evenVBand="0" w:oddHBand="0" w:evenHBand="0" w:firstRowFirstColumn="0" w:firstRowLastColumn="0" w:lastRowFirstColumn="0" w:lastRowLastColumn="0"/>
              <w:rPr>
                <w:sz w:val="18"/>
                <w:szCs w:val="18"/>
              </w:rPr>
            </w:pPr>
            <w:r w:rsidRPr="007D63AB">
              <w:rPr>
                <w:sz w:val="18"/>
                <w:szCs w:val="18"/>
              </w:rPr>
              <w:t>2020–21</w:t>
            </w:r>
          </w:p>
          <w:p w:rsidR="00514D7F" w:rsidRPr="007D63AB" w:rsidRDefault="00514D7F" w:rsidP="00436A03">
            <w:pPr>
              <w:jc w:val="center"/>
              <w:cnfStyle w:val="100000000000" w:firstRow="1" w:lastRow="0" w:firstColumn="0" w:lastColumn="0" w:oddVBand="0" w:evenVBand="0" w:oddHBand="0" w:evenHBand="0" w:firstRowFirstColumn="0" w:firstRowLastColumn="0" w:lastRowFirstColumn="0" w:lastRowLastColumn="0"/>
              <w:rPr>
                <w:sz w:val="18"/>
                <w:szCs w:val="18"/>
              </w:rPr>
            </w:pPr>
            <w:r w:rsidRPr="007D63AB">
              <w:rPr>
                <w:sz w:val="18"/>
                <w:szCs w:val="18"/>
              </w:rPr>
              <w:t>Performance targets</w:t>
            </w:r>
          </w:p>
        </w:tc>
      </w:tr>
      <w:tr w:rsidR="00AC672C" w:rsidRPr="00C8399A" w:rsidTr="005306FF">
        <w:tc>
          <w:tcPr>
            <w:cnfStyle w:val="001000000000" w:firstRow="0" w:lastRow="0" w:firstColumn="1" w:lastColumn="0" w:oddVBand="0" w:evenVBand="0" w:oddHBand="0" w:evenHBand="0" w:firstRowFirstColumn="0" w:firstRowLastColumn="0" w:lastRowFirstColumn="0" w:lastRowLastColumn="0"/>
            <w:tcW w:w="1951" w:type="dxa"/>
          </w:tcPr>
          <w:p w:rsidR="00696046" w:rsidRPr="00C8399A" w:rsidRDefault="00514D7F" w:rsidP="00D80A00">
            <w:pPr>
              <w:pStyle w:val="CPTabletext"/>
              <w:rPr>
                <w:color w:val="auto"/>
              </w:rPr>
            </w:pPr>
            <w:r w:rsidRPr="00C8399A">
              <w:rPr>
                <w:color w:val="auto"/>
              </w:rPr>
              <w:t>Child care services and families successfully transition to new arrangements.</w:t>
            </w:r>
            <w:r w:rsidRPr="00C8399A">
              <w:rPr>
                <w:color w:val="auto"/>
                <w:vertAlign w:val="superscript"/>
              </w:rPr>
              <w:t>a</w:t>
            </w:r>
          </w:p>
        </w:tc>
        <w:tc>
          <w:tcPr>
            <w:tcW w:w="992" w:type="dxa"/>
          </w:tcPr>
          <w:p w:rsidR="00696046" w:rsidRPr="00C8399A" w:rsidRDefault="00514D7F" w:rsidP="00D80A00">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8399A">
              <w:rPr>
                <w:color w:val="auto"/>
              </w:rPr>
              <w:t>1.1; 1.4</w:t>
            </w:r>
          </w:p>
        </w:tc>
        <w:tc>
          <w:tcPr>
            <w:tcW w:w="1276" w:type="dxa"/>
          </w:tcPr>
          <w:p w:rsidR="00696046" w:rsidRPr="00C8399A" w:rsidRDefault="00514D7F"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8399A">
              <w:rPr>
                <w:color w:val="auto"/>
              </w:rPr>
              <w:t>Qualitative assessment</w:t>
            </w:r>
          </w:p>
        </w:tc>
        <w:tc>
          <w:tcPr>
            <w:tcW w:w="1559" w:type="dxa"/>
          </w:tcPr>
          <w:p w:rsidR="00696046" w:rsidRPr="00C8399A" w:rsidRDefault="00514D7F" w:rsidP="00514D7F">
            <w:pPr>
              <w:pStyle w:val="CPTabletext"/>
              <w:cnfStyle w:val="000000000000" w:firstRow="0" w:lastRow="0" w:firstColumn="0" w:lastColumn="0" w:oddVBand="0" w:evenVBand="0" w:oddHBand="0" w:evenHBand="0" w:firstRowFirstColumn="0" w:firstRowLastColumn="0" w:lastRowFirstColumn="0" w:lastRowLastColumn="0"/>
              <w:rPr>
                <w:color w:val="auto"/>
                <w:sz w:val="16"/>
                <w:szCs w:val="16"/>
              </w:rPr>
            </w:pPr>
            <w:r w:rsidRPr="00C8399A">
              <w:rPr>
                <w:color w:val="auto"/>
              </w:rPr>
              <w:t>IT system is ready for implementation on 2 July 2018.</w:t>
            </w:r>
          </w:p>
        </w:tc>
        <w:tc>
          <w:tcPr>
            <w:tcW w:w="1734" w:type="dxa"/>
          </w:tcPr>
          <w:p w:rsidR="00696046" w:rsidRPr="00C8399A" w:rsidRDefault="00514D7F"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8399A">
              <w:rPr>
                <w:color w:val="auto"/>
              </w:rPr>
              <w:t>Eligible services and families transition to new arrangements from 2 July 2018.</w:t>
            </w:r>
          </w:p>
        </w:tc>
        <w:tc>
          <w:tcPr>
            <w:tcW w:w="1592" w:type="dxa"/>
            <w:shd w:val="clear" w:color="auto" w:fill="D9D9D9" w:themeFill="background1" w:themeFillShade="D9"/>
          </w:tcPr>
          <w:p w:rsidR="00696046" w:rsidRPr="00C8399A" w:rsidRDefault="00696046" w:rsidP="00D80A00">
            <w:pPr>
              <w:pStyle w:val="CPTabletext"/>
              <w:cnfStyle w:val="000000000000" w:firstRow="0" w:lastRow="0" w:firstColumn="0" w:lastColumn="0" w:oddVBand="0" w:evenVBand="0" w:oddHBand="0" w:evenHBand="0" w:firstRowFirstColumn="0" w:firstRowLastColumn="0" w:lastRowFirstColumn="0" w:lastRowLastColumn="0"/>
              <w:rPr>
                <w:color w:val="auto"/>
              </w:rPr>
            </w:pPr>
          </w:p>
        </w:tc>
        <w:tc>
          <w:tcPr>
            <w:tcW w:w="1527" w:type="dxa"/>
            <w:shd w:val="clear" w:color="auto" w:fill="D9D9D9" w:themeFill="background1" w:themeFillShade="D9"/>
          </w:tcPr>
          <w:p w:rsidR="00696046" w:rsidRPr="00C8399A" w:rsidRDefault="00696046" w:rsidP="00D80A00">
            <w:pPr>
              <w:pStyle w:val="CPTabletext"/>
              <w:cnfStyle w:val="000000000000" w:firstRow="0" w:lastRow="0" w:firstColumn="0" w:lastColumn="0" w:oddVBand="0" w:evenVBand="0" w:oddHBand="0" w:evenHBand="0" w:firstRowFirstColumn="0" w:firstRowLastColumn="0" w:lastRowFirstColumn="0" w:lastRowLastColumn="0"/>
              <w:rPr>
                <w:color w:val="auto"/>
              </w:rPr>
            </w:pPr>
          </w:p>
        </w:tc>
      </w:tr>
      <w:tr w:rsidR="00514D7F" w:rsidRPr="00514D7F" w:rsidTr="005306FF">
        <w:tc>
          <w:tcPr>
            <w:cnfStyle w:val="001000000000" w:firstRow="0" w:lastRow="0" w:firstColumn="1" w:lastColumn="0" w:oddVBand="0" w:evenVBand="0" w:oddHBand="0" w:evenHBand="0" w:firstRowFirstColumn="0" w:firstRowLastColumn="0" w:lastRowFirstColumn="0" w:lastRowLastColumn="0"/>
            <w:tcW w:w="1951" w:type="dxa"/>
          </w:tcPr>
          <w:p w:rsidR="00514D7F" w:rsidRPr="00CD40BE" w:rsidRDefault="00514D7F" w:rsidP="00CD40BE">
            <w:pPr>
              <w:pStyle w:val="CPTabletext"/>
              <w:rPr>
                <w:color w:val="auto"/>
              </w:rPr>
            </w:pPr>
            <w:r w:rsidRPr="00CD40BE">
              <w:rPr>
                <w:color w:val="auto"/>
              </w:rPr>
              <w:t>Capacity and capability</w:t>
            </w:r>
            <w:r w:rsidR="00CD40BE" w:rsidRPr="00CD40BE">
              <w:rPr>
                <w:color w:val="auto"/>
              </w:rPr>
              <w:t xml:space="preserve"> </w:t>
            </w:r>
            <w:r w:rsidRPr="00CD40BE">
              <w:rPr>
                <w:color w:val="auto"/>
              </w:rPr>
              <w:t>of child care services</w:t>
            </w:r>
            <w:r w:rsidR="00CD40BE" w:rsidRPr="00CD40BE">
              <w:rPr>
                <w:color w:val="auto"/>
              </w:rPr>
              <w:t xml:space="preserve"> </w:t>
            </w:r>
            <w:r w:rsidRPr="00CD40BE">
              <w:rPr>
                <w:color w:val="auto"/>
              </w:rPr>
              <w:t>to include children with</w:t>
            </w:r>
            <w:r w:rsidR="00CD40BE" w:rsidRPr="00CD40BE">
              <w:rPr>
                <w:color w:val="auto"/>
              </w:rPr>
              <w:t xml:space="preserve"> </w:t>
            </w:r>
            <w:r w:rsidRPr="00CD40BE">
              <w:rPr>
                <w:color w:val="auto"/>
              </w:rPr>
              <w:t>additional needs.</w:t>
            </w:r>
          </w:p>
        </w:tc>
        <w:tc>
          <w:tcPr>
            <w:tcW w:w="992" w:type="dxa"/>
          </w:tcPr>
          <w:p w:rsidR="00514D7F" w:rsidRPr="00514D7F" w:rsidRDefault="00514D7F"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r w:rsidRPr="00514D7F">
              <w:rPr>
                <w:color w:val="auto"/>
              </w:rPr>
              <w:t>1.1</w:t>
            </w:r>
          </w:p>
        </w:tc>
        <w:tc>
          <w:tcPr>
            <w:tcW w:w="1276" w:type="dxa"/>
          </w:tcPr>
          <w:p w:rsidR="00514D7F" w:rsidRPr="00514D7F" w:rsidRDefault="00514D7F"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r w:rsidRPr="00514D7F">
              <w:rPr>
                <w:color w:val="auto"/>
              </w:rPr>
              <w:t>Assessing Against baseline</w:t>
            </w:r>
          </w:p>
        </w:tc>
        <w:tc>
          <w:tcPr>
            <w:tcW w:w="1559" w:type="dxa"/>
            <w:tcBorders>
              <w:bottom w:val="single" w:sz="4" w:space="0" w:color="auto"/>
            </w:tcBorders>
            <w:shd w:val="clear" w:color="auto" w:fill="D9D9D9" w:themeFill="background1" w:themeFillShade="D9"/>
          </w:tcPr>
          <w:p w:rsidR="00514D7F" w:rsidRPr="00514D7F" w:rsidRDefault="00514D7F"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p>
        </w:tc>
        <w:tc>
          <w:tcPr>
            <w:tcW w:w="1734" w:type="dxa"/>
          </w:tcPr>
          <w:p w:rsidR="00514D7F" w:rsidRPr="00514D7F" w:rsidRDefault="00514D7F"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r w:rsidRPr="00514D7F">
              <w:rPr>
                <w:color w:val="auto"/>
              </w:rPr>
              <w:t>Establish baseline data through new reporting tool.</w:t>
            </w:r>
          </w:p>
        </w:tc>
        <w:tc>
          <w:tcPr>
            <w:tcW w:w="1592" w:type="dxa"/>
            <w:tcBorders>
              <w:bottom w:val="single" w:sz="4" w:space="0" w:color="auto"/>
            </w:tcBorders>
            <w:shd w:val="clear" w:color="auto" w:fill="auto"/>
          </w:tcPr>
          <w:p w:rsidR="00514D7F" w:rsidRPr="00514D7F" w:rsidRDefault="00514D7F"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r w:rsidRPr="00514D7F">
              <w:rPr>
                <w:color w:val="auto"/>
              </w:rPr>
              <w:t>Improved inclusion for children with additional needs.</w:t>
            </w:r>
          </w:p>
        </w:tc>
        <w:tc>
          <w:tcPr>
            <w:tcW w:w="1527" w:type="dxa"/>
            <w:tcBorders>
              <w:bottom w:val="single" w:sz="4" w:space="0" w:color="auto"/>
            </w:tcBorders>
            <w:shd w:val="clear" w:color="auto" w:fill="auto"/>
          </w:tcPr>
          <w:p w:rsidR="00514D7F" w:rsidRPr="00514D7F" w:rsidRDefault="00514D7F"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r w:rsidRPr="00514D7F">
              <w:rPr>
                <w:color w:val="auto"/>
              </w:rPr>
              <w:t>Improved inclusion for children with additional needs.</w:t>
            </w:r>
          </w:p>
        </w:tc>
      </w:tr>
      <w:tr w:rsidR="00514D7F" w:rsidRPr="00514D7F" w:rsidTr="005306FF">
        <w:tc>
          <w:tcPr>
            <w:cnfStyle w:val="001000000000" w:firstRow="0" w:lastRow="0" w:firstColumn="1" w:lastColumn="0" w:oddVBand="0" w:evenVBand="0" w:oddHBand="0" w:evenHBand="0" w:firstRowFirstColumn="0" w:firstRowLastColumn="0" w:lastRowFirstColumn="0" w:lastRowLastColumn="0"/>
            <w:tcW w:w="1951" w:type="dxa"/>
          </w:tcPr>
          <w:p w:rsidR="00514D7F" w:rsidRPr="00514D7F" w:rsidRDefault="00CD40BE" w:rsidP="00CD40BE">
            <w:pPr>
              <w:pStyle w:val="CPTabletext"/>
              <w:rPr>
                <w:color w:val="auto"/>
              </w:rPr>
            </w:pPr>
            <w:r w:rsidRPr="00CD40BE">
              <w:rPr>
                <w:color w:val="auto"/>
              </w:rPr>
              <w:t>Universal access to</w:t>
            </w:r>
            <w:r>
              <w:rPr>
                <w:color w:val="auto"/>
              </w:rPr>
              <w:t xml:space="preserve"> </w:t>
            </w:r>
            <w:r w:rsidRPr="00CD40BE">
              <w:rPr>
                <w:color w:val="auto"/>
              </w:rPr>
              <w:t>preschool education.</w:t>
            </w:r>
          </w:p>
        </w:tc>
        <w:tc>
          <w:tcPr>
            <w:tcW w:w="992" w:type="dxa"/>
          </w:tcPr>
          <w:p w:rsidR="00514D7F" w:rsidRPr="00514D7F" w:rsidRDefault="00CD40BE"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r>
              <w:rPr>
                <w:color w:val="auto"/>
              </w:rPr>
              <w:t>1.7</w:t>
            </w:r>
          </w:p>
        </w:tc>
        <w:tc>
          <w:tcPr>
            <w:tcW w:w="1276" w:type="dxa"/>
          </w:tcPr>
          <w:p w:rsidR="00514D7F" w:rsidRPr="00514D7F" w:rsidRDefault="00CD40BE"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r>
              <w:rPr>
                <w:color w:val="auto"/>
              </w:rPr>
              <w:t>Reporting</w:t>
            </w:r>
          </w:p>
        </w:tc>
        <w:tc>
          <w:tcPr>
            <w:tcW w:w="1559" w:type="dxa"/>
            <w:shd w:val="clear" w:color="auto" w:fill="auto"/>
          </w:tcPr>
          <w:p w:rsidR="00514D7F" w:rsidRPr="00514D7F" w:rsidRDefault="00CD40BE" w:rsidP="00CD40BE">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D40BE">
              <w:rPr>
                <w:color w:val="auto"/>
              </w:rPr>
              <w:t>95% of children enrolled in the year</w:t>
            </w:r>
            <w:r>
              <w:rPr>
                <w:color w:val="auto"/>
              </w:rPr>
              <w:t xml:space="preserve"> </w:t>
            </w:r>
            <w:r w:rsidRPr="00CD40BE">
              <w:rPr>
                <w:color w:val="auto"/>
              </w:rPr>
              <w:t>before full-time school are enrolled in</w:t>
            </w:r>
            <w:r>
              <w:rPr>
                <w:color w:val="auto"/>
              </w:rPr>
              <w:t xml:space="preserve"> </w:t>
            </w:r>
            <w:r w:rsidRPr="00CD40BE">
              <w:rPr>
                <w:color w:val="auto"/>
              </w:rPr>
              <w:t>quality early childhood education for</w:t>
            </w:r>
            <w:r>
              <w:rPr>
                <w:color w:val="auto"/>
              </w:rPr>
              <w:t xml:space="preserve"> </w:t>
            </w:r>
            <w:r w:rsidRPr="00CD40BE">
              <w:rPr>
                <w:color w:val="auto"/>
              </w:rPr>
              <w:t>600 hours per year.</w:t>
            </w:r>
          </w:p>
        </w:tc>
        <w:tc>
          <w:tcPr>
            <w:tcW w:w="1734" w:type="dxa"/>
          </w:tcPr>
          <w:p w:rsidR="00514D7F" w:rsidRPr="00514D7F" w:rsidRDefault="00CD40BE"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D40BE">
              <w:rPr>
                <w:color w:val="auto"/>
              </w:rPr>
              <w:t>95% of children enrolled in the year</w:t>
            </w:r>
            <w:r>
              <w:rPr>
                <w:color w:val="auto"/>
              </w:rPr>
              <w:t xml:space="preserve"> </w:t>
            </w:r>
            <w:r w:rsidRPr="00CD40BE">
              <w:rPr>
                <w:color w:val="auto"/>
              </w:rPr>
              <w:t>before full-time school are enrolled in</w:t>
            </w:r>
            <w:r>
              <w:rPr>
                <w:color w:val="auto"/>
              </w:rPr>
              <w:t xml:space="preserve"> </w:t>
            </w:r>
            <w:r w:rsidRPr="00CD40BE">
              <w:rPr>
                <w:color w:val="auto"/>
              </w:rPr>
              <w:t>quality early childhood education for</w:t>
            </w:r>
            <w:r>
              <w:rPr>
                <w:color w:val="auto"/>
              </w:rPr>
              <w:t xml:space="preserve"> </w:t>
            </w:r>
            <w:r w:rsidRPr="00CD40BE">
              <w:rPr>
                <w:color w:val="auto"/>
              </w:rPr>
              <w:t>600 hours per year.</w:t>
            </w:r>
          </w:p>
        </w:tc>
        <w:tc>
          <w:tcPr>
            <w:tcW w:w="1592" w:type="dxa"/>
            <w:shd w:val="clear" w:color="auto" w:fill="D9D9D9" w:themeFill="background1" w:themeFillShade="D9"/>
          </w:tcPr>
          <w:p w:rsidR="00514D7F" w:rsidRPr="00514D7F" w:rsidRDefault="00514D7F"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p>
        </w:tc>
        <w:tc>
          <w:tcPr>
            <w:tcW w:w="1527" w:type="dxa"/>
            <w:shd w:val="clear" w:color="auto" w:fill="D9D9D9" w:themeFill="background1" w:themeFillShade="D9"/>
          </w:tcPr>
          <w:p w:rsidR="00514D7F" w:rsidRPr="00514D7F" w:rsidRDefault="00514D7F" w:rsidP="00514D7F">
            <w:pPr>
              <w:pStyle w:val="CPTabletext"/>
              <w:cnfStyle w:val="000000000000" w:firstRow="0" w:lastRow="0" w:firstColumn="0" w:lastColumn="0" w:oddVBand="0" w:evenVBand="0" w:oddHBand="0" w:evenHBand="0" w:firstRowFirstColumn="0" w:firstRowLastColumn="0" w:lastRowFirstColumn="0" w:lastRowLastColumn="0"/>
              <w:rPr>
                <w:color w:val="auto"/>
              </w:rPr>
            </w:pPr>
          </w:p>
        </w:tc>
      </w:tr>
      <w:tr w:rsidR="00CD40BE" w:rsidRPr="00514D7F" w:rsidTr="005306FF">
        <w:tc>
          <w:tcPr>
            <w:cnfStyle w:val="001000000000" w:firstRow="0" w:lastRow="0" w:firstColumn="1" w:lastColumn="0" w:oddVBand="0" w:evenVBand="0" w:oddHBand="0" w:evenHBand="0" w:firstRowFirstColumn="0" w:firstRowLastColumn="0" w:lastRowFirstColumn="0" w:lastRowLastColumn="0"/>
            <w:tcW w:w="1951" w:type="dxa"/>
          </w:tcPr>
          <w:p w:rsidR="00CD40BE" w:rsidRPr="00514D7F" w:rsidRDefault="00CD40BE" w:rsidP="00CD40BE">
            <w:pPr>
              <w:pStyle w:val="CPTabletext"/>
              <w:rPr>
                <w:color w:val="auto"/>
              </w:rPr>
            </w:pPr>
            <w:r w:rsidRPr="00CD40BE">
              <w:rPr>
                <w:color w:val="auto"/>
              </w:rPr>
              <w:t>Indigenous children’s</w:t>
            </w:r>
            <w:r>
              <w:rPr>
                <w:color w:val="auto"/>
              </w:rPr>
              <w:t xml:space="preserve"> </w:t>
            </w:r>
            <w:r w:rsidRPr="00CD40BE">
              <w:rPr>
                <w:color w:val="auto"/>
              </w:rPr>
              <w:t>access to preschool</w:t>
            </w:r>
            <w:r>
              <w:rPr>
                <w:color w:val="auto"/>
              </w:rPr>
              <w:t xml:space="preserve"> </w:t>
            </w:r>
            <w:r w:rsidRPr="00CD40BE">
              <w:rPr>
                <w:color w:val="auto"/>
              </w:rPr>
              <w:t>education.</w:t>
            </w:r>
          </w:p>
        </w:tc>
        <w:tc>
          <w:tcPr>
            <w:tcW w:w="992" w:type="dxa"/>
          </w:tcPr>
          <w:p w:rsidR="00CD40BE" w:rsidRPr="00514D7F" w:rsidRDefault="00CD40BE" w:rsidP="0067160B">
            <w:pPr>
              <w:pStyle w:val="CPTabletext"/>
              <w:cnfStyle w:val="000000000000" w:firstRow="0" w:lastRow="0" w:firstColumn="0" w:lastColumn="0" w:oddVBand="0" w:evenVBand="0" w:oddHBand="0" w:evenHBand="0" w:firstRowFirstColumn="0" w:firstRowLastColumn="0" w:lastRowFirstColumn="0" w:lastRowLastColumn="0"/>
              <w:rPr>
                <w:color w:val="auto"/>
              </w:rPr>
            </w:pPr>
            <w:r>
              <w:rPr>
                <w:color w:val="auto"/>
              </w:rPr>
              <w:t>1.7</w:t>
            </w:r>
          </w:p>
        </w:tc>
        <w:tc>
          <w:tcPr>
            <w:tcW w:w="1276" w:type="dxa"/>
          </w:tcPr>
          <w:p w:rsidR="00CD40BE" w:rsidRPr="00514D7F" w:rsidRDefault="00CD40BE" w:rsidP="0067160B">
            <w:pPr>
              <w:pStyle w:val="CPTabletext"/>
              <w:cnfStyle w:val="000000000000" w:firstRow="0" w:lastRow="0" w:firstColumn="0" w:lastColumn="0" w:oddVBand="0" w:evenVBand="0" w:oddHBand="0" w:evenHBand="0" w:firstRowFirstColumn="0" w:firstRowLastColumn="0" w:lastRowFirstColumn="0" w:lastRowLastColumn="0"/>
              <w:rPr>
                <w:color w:val="auto"/>
              </w:rPr>
            </w:pPr>
            <w:r>
              <w:rPr>
                <w:color w:val="auto"/>
              </w:rPr>
              <w:t>Reporting</w:t>
            </w:r>
          </w:p>
        </w:tc>
        <w:tc>
          <w:tcPr>
            <w:tcW w:w="1559" w:type="dxa"/>
            <w:shd w:val="clear" w:color="auto" w:fill="auto"/>
          </w:tcPr>
          <w:p w:rsidR="00CD40BE" w:rsidRPr="00514D7F" w:rsidRDefault="00CD40BE" w:rsidP="00CD40BE">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D40BE">
              <w:rPr>
                <w:color w:val="auto"/>
              </w:rPr>
              <w:t>95% of Indigenous children enrolled</w:t>
            </w:r>
            <w:r>
              <w:rPr>
                <w:color w:val="auto"/>
              </w:rPr>
              <w:t xml:space="preserve"> </w:t>
            </w:r>
            <w:r w:rsidRPr="00CD40BE">
              <w:rPr>
                <w:color w:val="auto"/>
              </w:rPr>
              <w:t>in the year before full-time school are</w:t>
            </w:r>
            <w:r>
              <w:rPr>
                <w:color w:val="auto"/>
              </w:rPr>
              <w:t xml:space="preserve"> </w:t>
            </w:r>
            <w:r w:rsidRPr="00CD40BE">
              <w:rPr>
                <w:color w:val="auto"/>
              </w:rPr>
              <w:t>enrolled in quality early childhood</w:t>
            </w:r>
            <w:r>
              <w:rPr>
                <w:color w:val="auto"/>
              </w:rPr>
              <w:t xml:space="preserve"> </w:t>
            </w:r>
            <w:r w:rsidRPr="00CD40BE">
              <w:rPr>
                <w:color w:val="auto"/>
              </w:rPr>
              <w:t>education for 600 hours per year.</w:t>
            </w:r>
            <w:r w:rsidR="002F0788" w:rsidRPr="00127B0A">
              <w:rPr>
                <w:color w:val="auto"/>
                <w:vertAlign w:val="superscript"/>
              </w:rPr>
              <w:t>b</w:t>
            </w:r>
          </w:p>
        </w:tc>
        <w:tc>
          <w:tcPr>
            <w:tcW w:w="1734" w:type="dxa"/>
          </w:tcPr>
          <w:p w:rsidR="00CD40BE" w:rsidRPr="00514D7F" w:rsidRDefault="00CD40BE" w:rsidP="00D80A00">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D40BE">
              <w:rPr>
                <w:color w:val="auto"/>
              </w:rPr>
              <w:t>95% of Indigenous children enrolled</w:t>
            </w:r>
            <w:r>
              <w:rPr>
                <w:color w:val="auto"/>
              </w:rPr>
              <w:t xml:space="preserve"> </w:t>
            </w:r>
            <w:r w:rsidRPr="00CD40BE">
              <w:rPr>
                <w:color w:val="auto"/>
              </w:rPr>
              <w:t>in the year before full-time school are</w:t>
            </w:r>
            <w:r>
              <w:rPr>
                <w:color w:val="auto"/>
              </w:rPr>
              <w:t xml:space="preserve"> </w:t>
            </w:r>
            <w:r w:rsidRPr="00CD40BE">
              <w:rPr>
                <w:color w:val="auto"/>
              </w:rPr>
              <w:t>enrolled in quality early childhood</w:t>
            </w:r>
            <w:r>
              <w:rPr>
                <w:color w:val="auto"/>
              </w:rPr>
              <w:t xml:space="preserve"> </w:t>
            </w:r>
            <w:r w:rsidRPr="00CD40BE">
              <w:rPr>
                <w:color w:val="auto"/>
              </w:rPr>
              <w:t>education for 600 hours per year.</w:t>
            </w:r>
          </w:p>
        </w:tc>
        <w:tc>
          <w:tcPr>
            <w:tcW w:w="1592" w:type="dxa"/>
            <w:shd w:val="clear" w:color="auto" w:fill="D9D9D9" w:themeFill="background1" w:themeFillShade="D9"/>
          </w:tcPr>
          <w:p w:rsidR="00CD40BE" w:rsidRPr="00514D7F" w:rsidRDefault="00CD40BE" w:rsidP="00D80A00">
            <w:pPr>
              <w:pStyle w:val="CPTabletext"/>
              <w:cnfStyle w:val="000000000000" w:firstRow="0" w:lastRow="0" w:firstColumn="0" w:lastColumn="0" w:oddVBand="0" w:evenVBand="0" w:oddHBand="0" w:evenHBand="0" w:firstRowFirstColumn="0" w:firstRowLastColumn="0" w:lastRowFirstColumn="0" w:lastRowLastColumn="0"/>
              <w:rPr>
                <w:color w:val="auto"/>
              </w:rPr>
            </w:pPr>
          </w:p>
        </w:tc>
        <w:tc>
          <w:tcPr>
            <w:tcW w:w="1527" w:type="dxa"/>
            <w:shd w:val="clear" w:color="auto" w:fill="D9D9D9" w:themeFill="background1" w:themeFillShade="D9"/>
          </w:tcPr>
          <w:p w:rsidR="00CD40BE" w:rsidRPr="00514D7F" w:rsidRDefault="00CD40BE" w:rsidP="00D80A00">
            <w:pPr>
              <w:pStyle w:val="CPTabletext"/>
              <w:cnfStyle w:val="000000000000" w:firstRow="0" w:lastRow="0" w:firstColumn="0" w:lastColumn="0" w:oddVBand="0" w:evenVBand="0" w:oddHBand="0" w:evenHBand="0" w:firstRowFirstColumn="0" w:firstRowLastColumn="0" w:lastRowFirstColumn="0" w:lastRowLastColumn="0"/>
              <w:rPr>
                <w:color w:val="auto"/>
              </w:rPr>
            </w:pPr>
          </w:p>
        </w:tc>
      </w:tr>
      <w:tr w:rsidR="00CD40BE" w:rsidRPr="00514D7F" w:rsidTr="005306FF">
        <w:tc>
          <w:tcPr>
            <w:cnfStyle w:val="001000000000" w:firstRow="0" w:lastRow="0" w:firstColumn="1" w:lastColumn="0" w:oddVBand="0" w:evenVBand="0" w:oddHBand="0" w:evenHBand="0" w:firstRowFirstColumn="0" w:firstRowLastColumn="0" w:lastRowFirstColumn="0" w:lastRowLastColumn="0"/>
            <w:tcW w:w="1951" w:type="dxa"/>
          </w:tcPr>
          <w:p w:rsidR="00CD40BE" w:rsidRPr="00514D7F" w:rsidRDefault="00CD40BE" w:rsidP="002F0788">
            <w:pPr>
              <w:pStyle w:val="CPTabletext"/>
              <w:rPr>
                <w:color w:val="auto"/>
              </w:rPr>
            </w:pPr>
            <w:r w:rsidRPr="00CD40BE">
              <w:rPr>
                <w:color w:val="auto"/>
              </w:rPr>
              <w:t>Quality outcomes from Australian schooling</w:t>
            </w:r>
            <w:r>
              <w:rPr>
                <w:color w:val="auto"/>
              </w:rPr>
              <w:t>.</w:t>
            </w:r>
          </w:p>
        </w:tc>
        <w:tc>
          <w:tcPr>
            <w:tcW w:w="992" w:type="dxa"/>
          </w:tcPr>
          <w:p w:rsidR="00CD40BE" w:rsidRPr="00514D7F" w:rsidRDefault="00CD40BE" w:rsidP="00D80A00">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D40BE">
              <w:rPr>
                <w:color w:val="auto"/>
              </w:rPr>
              <w:t>1.5; 1.6; 1.7</w:t>
            </w:r>
          </w:p>
        </w:tc>
        <w:tc>
          <w:tcPr>
            <w:tcW w:w="1276" w:type="dxa"/>
          </w:tcPr>
          <w:p w:rsidR="00CD40BE" w:rsidRPr="00514D7F" w:rsidRDefault="00CD40BE" w:rsidP="00CD40BE">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D40BE">
              <w:rPr>
                <w:color w:val="auto"/>
              </w:rPr>
              <w:t>National and</w:t>
            </w:r>
            <w:r>
              <w:rPr>
                <w:color w:val="auto"/>
              </w:rPr>
              <w:t xml:space="preserve"> </w:t>
            </w:r>
            <w:r w:rsidRPr="00CD40BE">
              <w:rPr>
                <w:color w:val="auto"/>
              </w:rPr>
              <w:t>International</w:t>
            </w:r>
            <w:r>
              <w:rPr>
                <w:color w:val="auto"/>
              </w:rPr>
              <w:t xml:space="preserve"> </w:t>
            </w:r>
            <w:r w:rsidRPr="00CD40BE">
              <w:rPr>
                <w:color w:val="auto"/>
              </w:rPr>
              <w:t>assessments</w:t>
            </w:r>
          </w:p>
        </w:tc>
        <w:tc>
          <w:tcPr>
            <w:tcW w:w="1559" w:type="dxa"/>
            <w:shd w:val="clear" w:color="auto" w:fill="D9D9D9" w:themeFill="background1" w:themeFillShade="D9"/>
          </w:tcPr>
          <w:p w:rsidR="00CD40BE" w:rsidRPr="00514D7F" w:rsidRDefault="00F130DB" w:rsidP="003543F3">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D40BE">
              <w:rPr>
                <w:color w:val="auto"/>
              </w:rPr>
              <w:t>Greater proportion</w:t>
            </w:r>
            <w:r>
              <w:rPr>
                <w:color w:val="auto"/>
              </w:rPr>
              <w:t xml:space="preserve"> of students achieve</w:t>
            </w:r>
            <w:r w:rsidR="003543F3">
              <w:rPr>
                <w:color w:val="auto"/>
              </w:rPr>
              <w:t xml:space="preserve"> </w:t>
            </w:r>
            <w:r>
              <w:rPr>
                <w:color w:val="auto"/>
              </w:rPr>
              <w:t>at or above minimum standards for reading, writing and numeracy under the National Assessment Program</w:t>
            </w:r>
            <w:r w:rsidR="003543F3">
              <w:rPr>
                <w:color w:val="auto"/>
              </w:rPr>
              <w:t>.</w:t>
            </w:r>
            <w:r w:rsidR="002F0788">
              <w:rPr>
                <w:color w:val="auto"/>
                <w:vertAlign w:val="superscript"/>
              </w:rPr>
              <w:t>c</w:t>
            </w:r>
          </w:p>
        </w:tc>
        <w:tc>
          <w:tcPr>
            <w:tcW w:w="1734" w:type="dxa"/>
          </w:tcPr>
          <w:p w:rsidR="00CD40BE" w:rsidRPr="00514D7F" w:rsidRDefault="00CD40BE" w:rsidP="003543F3">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D40BE">
              <w:rPr>
                <w:color w:val="auto"/>
              </w:rPr>
              <w:t xml:space="preserve">Greater </w:t>
            </w:r>
            <w:proofErr w:type="gramStart"/>
            <w:r w:rsidRPr="00CD40BE">
              <w:rPr>
                <w:color w:val="auto"/>
              </w:rPr>
              <w:t>proportion</w:t>
            </w:r>
            <w:r>
              <w:rPr>
                <w:color w:val="auto"/>
              </w:rPr>
              <w:t xml:space="preserve"> </w:t>
            </w:r>
            <w:r w:rsidRPr="00CD40BE">
              <w:rPr>
                <w:color w:val="auto"/>
              </w:rPr>
              <w:t>of 15 year</w:t>
            </w:r>
            <w:r>
              <w:rPr>
                <w:color w:val="auto"/>
              </w:rPr>
              <w:t xml:space="preserve"> </w:t>
            </w:r>
            <w:r w:rsidRPr="00CD40BE">
              <w:rPr>
                <w:color w:val="auto"/>
              </w:rPr>
              <w:t>olds in 2018</w:t>
            </w:r>
            <w:r>
              <w:rPr>
                <w:color w:val="auto"/>
              </w:rPr>
              <w:t xml:space="preserve"> </w:t>
            </w:r>
            <w:r w:rsidRPr="00CD40BE">
              <w:rPr>
                <w:color w:val="auto"/>
              </w:rPr>
              <w:t>(compared with</w:t>
            </w:r>
            <w:r>
              <w:rPr>
                <w:color w:val="auto"/>
              </w:rPr>
              <w:t xml:space="preserve"> </w:t>
            </w:r>
            <w:r w:rsidRPr="00CD40BE">
              <w:rPr>
                <w:color w:val="auto"/>
              </w:rPr>
              <w:t>2015) achieve</w:t>
            </w:r>
            <w:proofErr w:type="gramEnd"/>
            <w:r w:rsidRPr="00CD40BE">
              <w:rPr>
                <w:color w:val="auto"/>
              </w:rPr>
              <w:t xml:space="preserve"> at</w:t>
            </w:r>
            <w:r>
              <w:rPr>
                <w:color w:val="auto"/>
              </w:rPr>
              <w:t xml:space="preserve"> </w:t>
            </w:r>
            <w:r w:rsidRPr="00CD40BE">
              <w:rPr>
                <w:color w:val="auto"/>
              </w:rPr>
              <w:t>or above Level</w:t>
            </w:r>
            <w:r>
              <w:rPr>
                <w:color w:val="auto"/>
              </w:rPr>
              <w:t xml:space="preserve"> </w:t>
            </w:r>
            <w:r w:rsidRPr="00CD40BE">
              <w:rPr>
                <w:color w:val="auto"/>
              </w:rPr>
              <w:t>3 on each of</w:t>
            </w:r>
            <w:r>
              <w:rPr>
                <w:color w:val="auto"/>
              </w:rPr>
              <w:t xml:space="preserve"> </w:t>
            </w:r>
            <w:r w:rsidRPr="00CD40BE">
              <w:rPr>
                <w:color w:val="auto"/>
              </w:rPr>
              <w:t>the OECD PISA</w:t>
            </w:r>
            <w:r>
              <w:rPr>
                <w:color w:val="auto"/>
              </w:rPr>
              <w:t xml:space="preserve"> </w:t>
            </w:r>
            <w:r w:rsidRPr="00CD40BE">
              <w:rPr>
                <w:color w:val="auto"/>
              </w:rPr>
              <w:t>combined scales</w:t>
            </w:r>
            <w:r>
              <w:rPr>
                <w:color w:val="auto"/>
              </w:rPr>
              <w:t xml:space="preserve"> </w:t>
            </w:r>
            <w:r w:rsidRPr="00CD40BE">
              <w:rPr>
                <w:color w:val="auto"/>
              </w:rPr>
              <w:t>for reading,</w:t>
            </w:r>
            <w:r>
              <w:rPr>
                <w:color w:val="auto"/>
              </w:rPr>
              <w:t xml:space="preserve"> </w:t>
            </w:r>
            <w:r w:rsidRPr="00CD40BE">
              <w:rPr>
                <w:color w:val="auto"/>
              </w:rPr>
              <w:t>mathematics and</w:t>
            </w:r>
            <w:r>
              <w:rPr>
                <w:color w:val="auto"/>
              </w:rPr>
              <w:t xml:space="preserve"> </w:t>
            </w:r>
            <w:r w:rsidRPr="00CD40BE">
              <w:rPr>
                <w:color w:val="auto"/>
              </w:rPr>
              <w:t>scientific literacy.</w:t>
            </w:r>
          </w:p>
        </w:tc>
        <w:tc>
          <w:tcPr>
            <w:tcW w:w="1592" w:type="dxa"/>
            <w:tcBorders>
              <w:bottom w:val="single" w:sz="4" w:space="0" w:color="auto"/>
            </w:tcBorders>
            <w:shd w:val="clear" w:color="auto" w:fill="D9D9D9" w:themeFill="background1" w:themeFillShade="D9"/>
          </w:tcPr>
          <w:p w:rsidR="00CD40BE" w:rsidRPr="00514D7F" w:rsidRDefault="00F130DB" w:rsidP="003543F3">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D40BE">
              <w:rPr>
                <w:color w:val="auto"/>
              </w:rPr>
              <w:t>Greater proportion</w:t>
            </w:r>
            <w:r>
              <w:rPr>
                <w:color w:val="auto"/>
              </w:rPr>
              <w:t xml:space="preserve"> of students achieve at or above minimum standards for reading, writing and numeracy under the National Assessment Program</w:t>
            </w:r>
            <w:r w:rsidR="003543F3">
              <w:rPr>
                <w:color w:val="auto"/>
              </w:rPr>
              <w:t>.</w:t>
            </w:r>
          </w:p>
        </w:tc>
        <w:tc>
          <w:tcPr>
            <w:tcW w:w="1527" w:type="dxa"/>
            <w:shd w:val="clear" w:color="auto" w:fill="D9D9D9" w:themeFill="background1" w:themeFillShade="D9"/>
          </w:tcPr>
          <w:p w:rsidR="00CD40BE" w:rsidRPr="00514D7F" w:rsidRDefault="00F130DB" w:rsidP="003543F3">
            <w:pPr>
              <w:pStyle w:val="CPTabletext"/>
              <w:cnfStyle w:val="000000000000" w:firstRow="0" w:lastRow="0" w:firstColumn="0" w:lastColumn="0" w:oddVBand="0" w:evenVBand="0" w:oddHBand="0" w:evenHBand="0" w:firstRowFirstColumn="0" w:firstRowLastColumn="0" w:lastRowFirstColumn="0" w:lastRowLastColumn="0"/>
              <w:rPr>
                <w:color w:val="auto"/>
              </w:rPr>
            </w:pPr>
            <w:r w:rsidRPr="00CD40BE">
              <w:rPr>
                <w:color w:val="auto"/>
              </w:rPr>
              <w:t>Greater proportion</w:t>
            </w:r>
            <w:r>
              <w:rPr>
                <w:color w:val="auto"/>
              </w:rPr>
              <w:t xml:space="preserve"> of students achieve at or above minimum standards for reading, writing and numeracy under the National Assessment Program</w:t>
            </w:r>
            <w:r w:rsidR="003543F3">
              <w:rPr>
                <w:color w:val="auto"/>
              </w:rPr>
              <w:t>.</w:t>
            </w:r>
          </w:p>
        </w:tc>
      </w:tr>
      <w:tr w:rsidR="00CD40BE" w:rsidRPr="004C58AE" w:rsidTr="005306FF">
        <w:tc>
          <w:tcPr>
            <w:cnfStyle w:val="001000000000" w:firstRow="0" w:lastRow="0" w:firstColumn="1" w:lastColumn="0" w:oddVBand="0" w:evenVBand="0" w:oddHBand="0" w:evenHBand="0" w:firstRowFirstColumn="0" w:firstRowLastColumn="0" w:lastRowFirstColumn="0" w:lastRowLastColumn="0"/>
            <w:tcW w:w="1951" w:type="dxa"/>
          </w:tcPr>
          <w:p w:rsidR="00CD40BE" w:rsidRPr="004C58AE" w:rsidRDefault="00CD40BE" w:rsidP="00C800A2">
            <w:pPr>
              <w:pStyle w:val="CPTabletext"/>
              <w:rPr>
                <w:color w:val="auto"/>
              </w:rPr>
            </w:pPr>
            <w:r w:rsidRPr="004C58AE">
              <w:rPr>
                <w:color w:val="auto"/>
              </w:rPr>
              <w:t>Closing the Gap Aboriginal and Torres Strait Islander students</w:t>
            </w:r>
            <w:r w:rsidR="000F7C8B">
              <w:rPr>
                <w:color w:val="auto"/>
              </w:rPr>
              <w:t>.</w:t>
            </w:r>
          </w:p>
        </w:tc>
        <w:tc>
          <w:tcPr>
            <w:tcW w:w="992" w:type="dxa"/>
          </w:tcPr>
          <w:p w:rsidR="00CD40BE" w:rsidRPr="004C58AE" w:rsidRDefault="00CD40BE" w:rsidP="00D80A00">
            <w:pPr>
              <w:pStyle w:val="CPTabletext"/>
              <w:cnfStyle w:val="000000000000" w:firstRow="0" w:lastRow="0" w:firstColumn="0" w:lastColumn="0" w:oddVBand="0" w:evenVBand="0" w:oddHBand="0" w:evenHBand="0" w:firstRowFirstColumn="0" w:firstRowLastColumn="0" w:lastRowFirstColumn="0" w:lastRowLastColumn="0"/>
              <w:rPr>
                <w:color w:val="auto"/>
              </w:rPr>
            </w:pPr>
            <w:r w:rsidRPr="004C58AE">
              <w:rPr>
                <w:color w:val="auto"/>
              </w:rPr>
              <w:t>1.5; 1.6; 1.7</w:t>
            </w:r>
          </w:p>
        </w:tc>
        <w:tc>
          <w:tcPr>
            <w:tcW w:w="1276" w:type="dxa"/>
          </w:tcPr>
          <w:p w:rsidR="00CD40BE" w:rsidRPr="004C58AE" w:rsidRDefault="00CD40BE" w:rsidP="00BF0153">
            <w:pPr>
              <w:pStyle w:val="CPTabletext"/>
              <w:cnfStyle w:val="000000000000" w:firstRow="0" w:lastRow="0" w:firstColumn="0" w:lastColumn="0" w:oddVBand="0" w:evenVBand="0" w:oddHBand="0" w:evenHBand="0" w:firstRowFirstColumn="0" w:firstRowLastColumn="0" w:lastRowFirstColumn="0" w:lastRowLastColumn="0"/>
              <w:rPr>
                <w:color w:val="auto"/>
              </w:rPr>
            </w:pPr>
            <w:r w:rsidRPr="004C58AE">
              <w:rPr>
                <w:color w:val="auto"/>
              </w:rPr>
              <w:t>Reporting</w:t>
            </w:r>
          </w:p>
        </w:tc>
        <w:tc>
          <w:tcPr>
            <w:tcW w:w="1559" w:type="dxa"/>
            <w:shd w:val="clear" w:color="auto" w:fill="D9D9D9" w:themeFill="background1" w:themeFillShade="D9"/>
          </w:tcPr>
          <w:p w:rsidR="00CD40BE" w:rsidRPr="004C58AE" w:rsidRDefault="00CD40BE" w:rsidP="000225CA">
            <w:pPr>
              <w:pStyle w:val="CPTabletext"/>
              <w:cnfStyle w:val="000000000000" w:firstRow="0" w:lastRow="0" w:firstColumn="0" w:lastColumn="0" w:oddVBand="0" w:evenVBand="0" w:oddHBand="0" w:evenHBand="0" w:firstRowFirstColumn="0" w:firstRowLastColumn="0" w:lastRowFirstColumn="0" w:lastRowLastColumn="0"/>
              <w:rPr>
                <w:color w:val="auto"/>
              </w:rPr>
            </w:pPr>
          </w:p>
        </w:tc>
        <w:tc>
          <w:tcPr>
            <w:tcW w:w="1734" w:type="dxa"/>
            <w:shd w:val="clear" w:color="auto" w:fill="auto"/>
          </w:tcPr>
          <w:p w:rsidR="00CD40BE" w:rsidRPr="004C58AE" w:rsidRDefault="00CD40BE" w:rsidP="002F0788">
            <w:pPr>
              <w:pStyle w:val="CPTabletext"/>
              <w:cnfStyle w:val="000000000000" w:firstRow="0" w:lastRow="0" w:firstColumn="0" w:lastColumn="0" w:oddVBand="0" w:evenVBand="0" w:oddHBand="0" w:evenHBand="0" w:firstRowFirstColumn="0" w:firstRowLastColumn="0" w:lastRowFirstColumn="0" w:lastRowLastColumn="0"/>
              <w:rPr>
                <w:color w:val="auto"/>
              </w:rPr>
            </w:pPr>
            <w:r w:rsidRPr="004C58AE">
              <w:rPr>
                <w:color w:val="auto"/>
              </w:rPr>
              <w:t>Halve the gap for Indigenous children in reading, writing and numeracy within a decade (</w:t>
            </w:r>
            <w:r w:rsidR="00F130DB">
              <w:rPr>
                <w:color w:val="auto"/>
              </w:rPr>
              <w:t xml:space="preserve">by </w:t>
            </w:r>
            <w:r w:rsidRPr="004C58AE">
              <w:rPr>
                <w:color w:val="auto"/>
              </w:rPr>
              <w:t>2018).</w:t>
            </w:r>
            <w:r w:rsidR="002F0788" w:rsidRPr="004C58AE">
              <w:rPr>
                <w:color w:val="auto"/>
              </w:rPr>
              <w:t xml:space="preserve"> Close the gap between Indigenous and non-Indigenous school attendance (by 201</w:t>
            </w:r>
            <w:r w:rsidR="002F0788">
              <w:rPr>
                <w:color w:val="auto"/>
              </w:rPr>
              <w:t>8</w:t>
            </w:r>
            <w:r w:rsidR="002F0788" w:rsidRPr="004C58AE">
              <w:rPr>
                <w:color w:val="auto"/>
              </w:rPr>
              <w:t>).</w:t>
            </w:r>
          </w:p>
        </w:tc>
        <w:tc>
          <w:tcPr>
            <w:tcW w:w="1592" w:type="dxa"/>
            <w:shd w:val="clear" w:color="auto" w:fill="D9D9D9" w:themeFill="background1" w:themeFillShade="D9"/>
          </w:tcPr>
          <w:p w:rsidR="00CD40BE" w:rsidRPr="004C58AE" w:rsidRDefault="00CD40BE">
            <w:pPr>
              <w:pStyle w:val="CPTabletext"/>
              <w:cnfStyle w:val="000000000000" w:firstRow="0" w:lastRow="0" w:firstColumn="0" w:lastColumn="0" w:oddVBand="0" w:evenVBand="0" w:oddHBand="0" w:evenHBand="0" w:firstRowFirstColumn="0" w:firstRowLastColumn="0" w:lastRowFirstColumn="0" w:lastRowLastColumn="0"/>
              <w:rPr>
                <w:color w:val="auto"/>
              </w:rPr>
            </w:pPr>
          </w:p>
        </w:tc>
        <w:tc>
          <w:tcPr>
            <w:tcW w:w="1527" w:type="dxa"/>
            <w:shd w:val="clear" w:color="auto" w:fill="auto"/>
          </w:tcPr>
          <w:p w:rsidR="00CD40BE" w:rsidRPr="004C58AE" w:rsidRDefault="00CD40BE" w:rsidP="000225CA">
            <w:pPr>
              <w:pStyle w:val="CPTabletext"/>
              <w:cnfStyle w:val="000000000000" w:firstRow="0" w:lastRow="0" w:firstColumn="0" w:lastColumn="0" w:oddVBand="0" w:evenVBand="0" w:oddHBand="0" w:evenHBand="0" w:firstRowFirstColumn="0" w:firstRowLastColumn="0" w:lastRowFirstColumn="0" w:lastRowLastColumn="0"/>
              <w:rPr>
                <w:color w:val="auto"/>
              </w:rPr>
            </w:pPr>
            <w:r w:rsidRPr="004C58AE">
              <w:rPr>
                <w:color w:val="auto"/>
              </w:rPr>
              <w:t>Halve the gap for Indigenous people aged 20-24 in Year 12 or equivalent attainment rates (by 2020).</w:t>
            </w:r>
          </w:p>
        </w:tc>
      </w:tr>
    </w:tbl>
    <w:p w:rsidR="00E95E3E" w:rsidRPr="00554411" w:rsidRDefault="00E95E3E" w:rsidP="00D80A00">
      <w:pPr>
        <w:pStyle w:val="CPTabletext"/>
        <w:rPr>
          <w:color w:val="auto"/>
        </w:rPr>
      </w:pPr>
      <w:proofErr w:type="gramStart"/>
      <w:r w:rsidRPr="004C58AE">
        <w:rPr>
          <w:b/>
          <w:color w:val="auto"/>
        </w:rPr>
        <w:t>a</w:t>
      </w:r>
      <w:proofErr w:type="gramEnd"/>
      <w:r w:rsidRPr="004C58AE">
        <w:rPr>
          <w:b/>
          <w:color w:val="auto"/>
        </w:rPr>
        <w:t xml:space="preserve"> </w:t>
      </w:r>
      <w:r w:rsidR="004C58AE" w:rsidRPr="004C58AE">
        <w:rPr>
          <w:color w:val="auto"/>
        </w:rPr>
        <w:t xml:space="preserve">Performance </w:t>
      </w:r>
      <w:r w:rsidR="004C58AE" w:rsidRPr="00554411">
        <w:rPr>
          <w:color w:val="auto"/>
        </w:rPr>
        <w:t>criteria and targets relating to access to quality child care for 2018–19 and beyond are under development.</w:t>
      </w:r>
    </w:p>
    <w:p w:rsidR="002F0788" w:rsidRPr="00554411" w:rsidRDefault="003543F3" w:rsidP="002F0788">
      <w:pPr>
        <w:pStyle w:val="CPTabletext"/>
        <w:rPr>
          <w:b/>
          <w:color w:val="auto"/>
        </w:rPr>
      </w:pPr>
      <w:proofErr w:type="gramStart"/>
      <w:r w:rsidRPr="00554411">
        <w:rPr>
          <w:b/>
          <w:color w:val="auto"/>
        </w:rPr>
        <w:t>b</w:t>
      </w:r>
      <w:proofErr w:type="gramEnd"/>
      <w:r w:rsidRPr="00554411">
        <w:rPr>
          <w:color w:val="auto"/>
        </w:rPr>
        <w:t xml:space="preserve"> </w:t>
      </w:r>
      <w:r w:rsidR="002F0788" w:rsidRPr="00554411">
        <w:rPr>
          <w:color w:val="auto"/>
        </w:rPr>
        <w:t>COAG’s Closing the Gap target is for 95 per cent of all Indigenous four-year-olds enrolled in early childhood education by 2025</w:t>
      </w:r>
      <w:r w:rsidR="00490643" w:rsidRPr="00554411">
        <w:rPr>
          <w:color w:val="auto"/>
        </w:rPr>
        <w:t>.</w:t>
      </w:r>
    </w:p>
    <w:p w:rsidR="00BE2A2F" w:rsidRPr="00554411" w:rsidRDefault="002F0788" w:rsidP="00645BA7">
      <w:pPr>
        <w:pStyle w:val="CPTabletext"/>
        <w:rPr>
          <w:color w:val="auto"/>
        </w:rPr>
      </w:pPr>
      <w:proofErr w:type="gramStart"/>
      <w:r w:rsidRPr="00554411">
        <w:rPr>
          <w:b/>
          <w:color w:val="auto"/>
        </w:rPr>
        <w:t>c</w:t>
      </w:r>
      <w:proofErr w:type="gramEnd"/>
      <w:r w:rsidRPr="00554411">
        <w:rPr>
          <w:color w:val="auto"/>
        </w:rPr>
        <w:t xml:space="preserve"> </w:t>
      </w:r>
      <w:r w:rsidR="003543F3" w:rsidRPr="00554411">
        <w:rPr>
          <w:color w:val="auto"/>
        </w:rPr>
        <w:t>Performan</w:t>
      </w:r>
      <w:r w:rsidR="003C7C6F" w:rsidRPr="00554411">
        <w:rPr>
          <w:color w:val="auto"/>
        </w:rPr>
        <w:t>c</w:t>
      </w:r>
      <w:r w:rsidR="003543F3" w:rsidRPr="00554411">
        <w:rPr>
          <w:color w:val="auto"/>
        </w:rPr>
        <w:t>e against the National Assessment Program targets are measured annually.</w:t>
      </w:r>
      <w:r w:rsidR="00BE2A2F" w:rsidRPr="00AC672C">
        <w:rPr>
          <w:color w:val="FF0000"/>
        </w:rPr>
        <w:br w:type="page"/>
      </w:r>
    </w:p>
    <w:p w:rsidR="007D775D" w:rsidRDefault="00F96B11" w:rsidP="002C39C9">
      <w:pPr>
        <w:pStyle w:val="Heading2"/>
        <w:spacing w:after="0"/>
      </w:pPr>
      <w:bookmarkStart w:id="24" w:name="_Toc491179456"/>
      <w:r>
        <w:lastRenderedPageBreak/>
        <w:t xml:space="preserve">Outcome 2 – </w:t>
      </w:r>
      <w:r w:rsidR="007D775D">
        <w:t>World-class tertiary education, training and research</w:t>
      </w:r>
      <w:bookmarkEnd w:id="24"/>
    </w:p>
    <w:p w:rsidR="00B110ED" w:rsidRDefault="00B110ED" w:rsidP="00B110ED">
      <w:r>
        <w:t>The department’s tertiary education policy leadership contributes to a national understanding of labour market needs and standards, and maximises opportunity for students, apprentices and trainees to participate in quality education and training and to make informed choices along their education journey.</w:t>
      </w:r>
    </w:p>
    <w:p w:rsidR="00B110ED" w:rsidRDefault="00B110ED" w:rsidP="00B110ED">
      <w:r>
        <w:t>Tertiary education and training supports the aspirations of students and the needs of the current and future workforce, improves workforce participation and drives national productivity. Australia’s world-class education, training and research contribute to our global reputation as a leading study destination and our success as a global partner in international education and research collaboration.</w:t>
      </w:r>
    </w:p>
    <w:p w:rsidR="000E378D" w:rsidRDefault="00B110ED" w:rsidP="00B110ED">
      <w:r>
        <w:t xml:space="preserve">We aim to build on the current success of Australian international education and help students, communities and industry around the world to maximise their potential and prosperity. Our work to improve collaboration between universities and industry, including supporting national collaborative research infrastructure, contributes to national and global prosperity by delivering social and </w:t>
      </w:r>
      <w:r w:rsidR="004A61F9">
        <w:t>economic benefits</w:t>
      </w:r>
      <w:r>
        <w:t xml:space="preserve"> for all.</w:t>
      </w:r>
    </w:p>
    <w:p w:rsidR="008B3C33" w:rsidRPr="008B3C33" w:rsidRDefault="008B3C33" w:rsidP="00B110ED">
      <w:pPr>
        <w:rPr>
          <w:i/>
        </w:rPr>
      </w:pPr>
      <w:proofErr w:type="gramStart"/>
      <w:r w:rsidRPr="008B3C33">
        <w:rPr>
          <w:i/>
        </w:rPr>
        <w:t>‘Over 4 million students undertaking vocational education and training.’</w:t>
      </w:r>
      <w:proofErr w:type="gramEnd"/>
    </w:p>
    <w:p w:rsidR="008B3C33" w:rsidRPr="008B3C33" w:rsidRDefault="008B3C33" w:rsidP="00B110ED">
      <w:pPr>
        <w:rPr>
          <w:i/>
        </w:rPr>
      </w:pPr>
      <w:proofErr w:type="gramStart"/>
      <w:r w:rsidRPr="008B3C33">
        <w:rPr>
          <w:i/>
        </w:rPr>
        <w:t>‘More than 550,000 international students studying in Australia.’</w:t>
      </w:r>
      <w:proofErr w:type="gramEnd"/>
    </w:p>
    <w:p w:rsidR="008B3C33" w:rsidRPr="008B3C33" w:rsidRDefault="008B3C33" w:rsidP="00B110ED">
      <w:pPr>
        <w:rPr>
          <w:i/>
        </w:rPr>
      </w:pPr>
      <w:r w:rsidRPr="008B3C33">
        <w:rPr>
          <w:i/>
        </w:rPr>
        <w:t xml:space="preserve">‘1.4 million </w:t>
      </w:r>
      <w:proofErr w:type="gramStart"/>
      <w:r w:rsidRPr="008B3C33">
        <w:rPr>
          <w:i/>
        </w:rPr>
        <w:t>students</w:t>
      </w:r>
      <w:proofErr w:type="gramEnd"/>
      <w:r w:rsidRPr="008B3C33">
        <w:rPr>
          <w:i/>
        </w:rPr>
        <w:t xml:space="preserve"> enrolled in higher education in Australian universities.’</w:t>
      </w:r>
    </w:p>
    <w:p w:rsidR="008B3C33" w:rsidRPr="008B3C33" w:rsidRDefault="008B3C33" w:rsidP="00B110ED">
      <w:pPr>
        <w:rPr>
          <w:i/>
        </w:rPr>
      </w:pPr>
      <w:r w:rsidRPr="008B3C33">
        <w:rPr>
          <w:i/>
        </w:rPr>
        <w:t xml:space="preserve">‘Australia’s </w:t>
      </w:r>
      <w:r w:rsidR="000714E7">
        <w:rPr>
          <w:i/>
        </w:rPr>
        <w:t>National Collaborative Research Infrastructure Strategy (</w:t>
      </w:r>
      <w:r w:rsidRPr="008B3C33">
        <w:rPr>
          <w:i/>
        </w:rPr>
        <w:t>NCRIS</w:t>
      </w:r>
      <w:r w:rsidR="000714E7">
        <w:rPr>
          <w:i/>
        </w:rPr>
        <w:t>)</w:t>
      </w:r>
      <w:r w:rsidRPr="008B3C33">
        <w:rPr>
          <w:i/>
        </w:rPr>
        <w:t xml:space="preserve"> network is used by over 35,000 researchers, both domestically and internationally.’</w:t>
      </w:r>
    </w:p>
    <w:p w:rsidR="008B3C33" w:rsidRDefault="008B3C33" w:rsidP="00D411F7">
      <w:pPr>
        <w:pStyle w:val="Caption"/>
        <w:spacing w:after="120"/>
      </w:pPr>
      <w:r>
        <w:t xml:space="preserve">Table </w:t>
      </w:r>
      <w:r>
        <w:fldChar w:fldCharType="begin"/>
      </w:r>
      <w:r>
        <w:instrText xml:space="preserve"> SEQ Table \* ARABIC </w:instrText>
      </w:r>
      <w:r>
        <w:fldChar w:fldCharType="separate"/>
      </w:r>
      <w:r w:rsidR="001C6BA8">
        <w:rPr>
          <w:noProof/>
        </w:rPr>
        <w:t>5</w:t>
      </w:r>
      <w:r>
        <w:fldChar w:fldCharType="end"/>
      </w:r>
      <w:r>
        <w:t xml:space="preserve"> </w:t>
      </w:r>
      <w:r w:rsidRPr="0016097B">
        <w:t xml:space="preserve">Outcome </w:t>
      </w:r>
      <w:r>
        <w:t>2</w:t>
      </w:r>
      <w:r w:rsidRPr="0016097B">
        <w:t xml:space="preserve"> act</w:t>
      </w:r>
      <w:r w:rsidR="00E633C7">
        <w:t>i</w:t>
      </w:r>
      <w:r w:rsidRPr="0016097B">
        <w:t>vities and related strategies</w:t>
      </w:r>
    </w:p>
    <w:tbl>
      <w:tblPr>
        <w:tblStyle w:val="TableGrid"/>
        <w:tblW w:w="10173" w:type="dxa"/>
        <w:tblLook w:val="04A0" w:firstRow="1" w:lastRow="0" w:firstColumn="1" w:lastColumn="0" w:noHBand="0" w:noVBand="1"/>
      </w:tblPr>
      <w:tblGrid>
        <w:gridCol w:w="2235"/>
        <w:gridCol w:w="7938"/>
      </w:tblGrid>
      <w:tr w:rsidR="00EB548C" w:rsidTr="00B25327">
        <w:trPr>
          <w:tblHeader/>
        </w:trPr>
        <w:tc>
          <w:tcPr>
            <w:tcW w:w="2235" w:type="dxa"/>
          </w:tcPr>
          <w:p w:rsidR="00EB548C" w:rsidRDefault="00EB548C" w:rsidP="00794957">
            <w:pPr>
              <w:pStyle w:val="Heading3"/>
              <w:outlineLvl w:val="2"/>
            </w:pPr>
            <w:r>
              <w:t>Activities</w:t>
            </w:r>
          </w:p>
        </w:tc>
        <w:tc>
          <w:tcPr>
            <w:tcW w:w="7938" w:type="dxa"/>
          </w:tcPr>
          <w:p w:rsidR="00EB548C" w:rsidRPr="00503F40" w:rsidRDefault="00EB548C" w:rsidP="00794957">
            <w:pPr>
              <w:pStyle w:val="Heading3"/>
              <w:outlineLvl w:val="2"/>
              <w:rPr>
                <w:lang w:val="en"/>
              </w:rPr>
            </w:pPr>
            <w:r>
              <w:rPr>
                <w:lang w:val="en"/>
              </w:rPr>
              <w:t>Delivery strategies</w:t>
            </w:r>
          </w:p>
        </w:tc>
      </w:tr>
      <w:tr w:rsidR="000B318A" w:rsidRPr="00314A8C" w:rsidTr="00B25327">
        <w:tc>
          <w:tcPr>
            <w:tcW w:w="2235" w:type="dxa"/>
          </w:tcPr>
          <w:p w:rsidR="000B318A" w:rsidRPr="008B3C33" w:rsidRDefault="008B3C33" w:rsidP="008B3C33">
            <w:pPr>
              <w:rPr>
                <w:rFonts w:ascii="NewsGothicCom-Light" w:hAnsi="NewsGothicCom-Light" w:cs="NewsGothicCom-Light"/>
                <w:color w:val="000000"/>
                <w:sz w:val="18"/>
                <w:szCs w:val="18"/>
              </w:rPr>
            </w:pPr>
            <w:r w:rsidRPr="008B3C33">
              <w:t>Improving the</w:t>
            </w:r>
            <w:r>
              <w:t xml:space="preserve"> </w:t>
            </w:r>
            <w:r w:rsidRPr="008B3C33">
              <w:t>sustainability and</w:t>
            </w:r>
            <w:r>
              <w:t xml:space="preserve"> </w:t>
            </w:r>
            <w:r w:rsidRPr="008B3C33">
              <w:t>effectiveness of</w:t>
            </w:r>
            <w:r>
              <w:t xml:space="preserve"> </w:t>
            </w:r>
            <w:r w:rsidRPr="008B3C33">
              <w:t>Government funding</w:t>
            </w:r>
            <w:r>
              <w:t xml:space="preserve"> </w:t>
            </w:r>
            <w:r w:rsidRPr="008B3C33">
              <w:t>for tertiary education.</w:t>
            </w:r>
          </w:p>
        </w:tc>
        <w:tc>
          <w:tcPr>
            <w:tcW w:w="7938" w:type="dxa"/>
          </w:tcPr>
          <w:p w:rsidR="008B3C33" w:rsidRPr="008B3C33" w:rsidRDefault="008B3C33" w:rsidP="00F24A75">
            <w:pPr>
              <w:pStyle w:val="ListBullet"/>
              <w:spacing w:after="0"/>
              <w:ind w:left="357" w:hanging="357"/>
              <w:rPr>
                <w:lang w:val="en"/>
              </w:rPr>
            </w:pPr>
            <w:r w:rsidRPr="008B3C33">
              <w:rPr>
                <w:lang w:val="en"/>
              </w:rPr>
              <w:t xml:space="preserve">Delivering more choices for students and increasing transparency, accountability and </w:t>
            </w:r>
            <w:r w:rsidRPr="00F24A75">
              <w:t>sustainability</w:t>
            </w:r>
            <w:r w:rsidRPr="008B3C33">
              <w:rPr>
                <w:lang w:val="en"/>
              </w:rPr>
              <w:t xml:space="preserve"> in higher education by implementing the Government’s 2017 higher education reform package.</w:t>
            </w:r>
          </w:p>
          <w:p w:rsidR="005022D9" w:rsidRPr="00314A8C" w:rsidRDefault="008B3C33" w:rsidP="008B3C33">
            <w:pPr>
              <w:pStyle w:val="ListBullet"/>
            </w:pPr>
            <w:r w:rsidRPr="008B3C33">
              <w:rPr>
                <w:lang w:val="en"/>
              </w:rPr>
              <w:t>Providing students with access to tertiary options, while better protecting students and taxpayers, by providing income contingent loans to students in eligible vocational education and training (VET) courses through the VET Student Loans program.</w:t>
            </w:r>
          </w:p>
        </w:tc>
      </w:tr>
      <w:tr w:rsidR="00FD4CCF" w:rsidRPr="00314A8C" w:rsidTr="00B25327">
        <w:tc>
          <w:tcPr>
            <w:tcW w:w="2235" w:type="dxa"/>
          </w:tcPr>
          <w:p w:rsidR="00FD4CCF" w:rsidRPr="00314A8C" w:rsidRDefault="008B3C33" w:rsidP="008B3C33">
            <w:pPr>
              <w:autoSpaceDE w:val="0"/>
              <w:autoSpaceDN w:val="0"/>
              <w:adjustRightInd w:val="0"/>
              <w:rPr>
                <w:lang w:eastAsia="en-US"/>
              </w:rPr>
            </w:pPr>
            <w:r w:rsidRPr="008B3C33">
              <w:t>Maintaining a focus on transparency, quality and informed student choice.</w:t>
            </w:r>
          </w:p>
        </w:tc>
        <w:tc>
          <w:tcPr>
            <w:tcW w:w="7938" w:type="dxa"/>
          </w:tcPr>
          <w:p w:rsidR="008B3C33" w:rsidRPr="00F24A75" w:rsidRDefault="008B3C33" w:rsidP="00F24A75">
            <w:pPr>
              <w:pStyle w:val="ListBullet"/>
              <w:spacing w:after="0"/>
              <w:ind w:left="357" w:hanging="357"/>
            </w:pPr>
            <w:r w:rsidRPr="008B3C33">
              <w:rPr>
                <w:lang w:val="en"/>
              </w:rPr>
              <w:t xml:space="preserve">Transforming the data available to consumers, governments and regulators on VET, and </w:t>
            </w:r>
            <w:r w:rsidRPr="00F24A75">
              <w:t>enhancing the MySkills website to bring together information on outcomes with information on VET options.</w:t>
            </w:r>
          </w:p>
          <w:p w:rsidR="008B3C33" w:rsidRPr="008B3C33" w:rsidRDefault="008B3C33" w:rsidP="00F24A75">
            <w:pPr>
              <w:pStyle w:val="ListBullet"/>
              <w:spacing w:after="0"/>
              <w:ind w:left="357" w:hanging="357"/>
              <w:rPr>
                <w:lang w:val="en"/>
              </w:rPr>
            </w:pPr>
            <w:r w:rsidRPr="00F24A75">
              <w:t>Supporting students to make informed choices and driving excellence and quality in higher education by managing the Quality Indicators in Learning and Teaching surveys and other digital platforms, and by improving the transparency of university admissions processes</w:t>
            </w:r>
            <w:r w:rsidRPr="008B3C33">
              <w:rPr>
                <w:lang w:val="en"/>
              </w:rPr>
              <w:t>.</w:t>
            </w:r>
          </w:p>
          <w:p w:rsidR="00682055" w:rsidRPr="00DA57D0" w:rsidRDefault="008B3C33" w:rsidP="008B3C33">
            <w:pPr>
              <w:pStyle w:val="ListBullet"/>
            </w:pPr>
            <w:r w:rsidRPr="008B3C33">
              <w:rPr>
                <w:lang w:val="en"/>
              </w:rPr>
              <w:t>Lifting training provider standards, implementing stronger consumer protections and implementing the</w:t>
            </w:r>
            <w:r>
              <w:rPr>
                <w:lang w:val="en"/>
              </w:rPr>
              <w:t xml:space="preserve"> </w:t>
            </w:r>
            <w:r w:rsidRPr="008B3C33">
              <w:rPr>
                <w:lang w:val="en"/>
              </w:rPr>
              <w:t>VET Information Strategy to enhance perceptions of and improve information resources about VET.</w:t>
            </w:r>
          </w:p>
        </w:tc>
      </w:tr>
      <w:tr w:rsidR="00AC572D" w:rsidRPr="00314A8C" w:rsidTr="00B25327">
        <w:trPr>
          <w:cantSplit/>
        </w:trPr>
        <w:tc>
          <w:tcPr>
            <w:tcW w:w="2235" w:type="dxa"/>
          </w:tcPr>
          <w:p w:rsidR="00AC572D" w:rsidRPr="00314A8C" w:rsidRDefault="008F40EA" w:rsidP="008F40EA">
            <w:pPr>
              <w:autoSpaceDE w:val="0"/>
              <w:autoSpaceDN w:val="0"/>
              <w:adjustRightInd w:val="0"/>
              <w:rPr>
                <w:lang w:eastAsia="en-US"/>
              </w:rPr>
            </w:pPr>
            <w:r w:rsidRPr="008F40EA">
              <w:lastRenderedPageBreak/>
              <w:t>Strengthening</w:t>
            </w:r>
            <w:r>
              <w:t xml:space="preserve"> </w:t>
            </w:r>
            <w:r w:rsidRPr="008F40EA">
              <w:t>participation of</w:t>
            </w:r>
            <w:r>
              <w:t xml:space="preserve"> </w:t>
            </w:r>
            <w:r w:rsidRPr="008F40EA">
              <w:t>disadvantaged</w:t>
            </w:r>
            <w:r>
              <w:t xml:space="preserve"> </w:t>
            </w:r>
            <w:r w:rsidRPr="008F40EA">
              <w:t>groups.</w:t>
            </w:r>
          </w:p>
        </w:tc>
        <w:tc>
          <w:tcPr>
            <w:tcW w:w="7938" w:type="dxa"/>
          </w:tcPr>
          <w:p w:rsidR="008F40EA" w:rsidRPr="008F40EA" w:rsidRDefault="008F40EA" w:rsidP="00F24A75">
            <w:pPr>
              <w:pStyle w:val="ListBullet"/>
              <w:spacing w:after="0"/>
              <w:ind w:left="357" w:hanging="357"/>
              <w:rPr>
                <w:lang w:val="en"/>
              </w:rPr>
            </w:pPr>
            <w:r w:rsidRPr="008F40EA">
              <w:rPr>
                <w:lang w:val="en"/>
              </w:rPr>
              <w:t xml:space="preserve">Supporting better outcomes for students from low socioeconomic (low SES) status </w:t>
            </w:r>
            <w:r w:rsidRPr="00F24A75">
              <w:t>backgrounds</w:t>
            </w:r>
            <w:r w:rsidRPr="008F40EA">
              <w:rPr>
                <w:lang w:val="en"/>
              </w:rPr>
              <w:t>,</w:t>
            </w:r>
            <w:r>
              <w:rPr>
                <w:lang w:val="en"/>
              </w:rPr>
              <w:t xml:space="preserve"> </w:t>
            </w:r>
            <w:r w:rsidRPr="008F40EA">
              <w:rPr>
                <w:lang w:val="en"/>
              </w:rPr>
              <w:t>Indigenous students and students with disability.</w:t>
            </w:r>
          </w:p>
          <w:p w:rsidR="00AE2CC1" w:rsidRPr="00314A8C" w:rsidRDefault="008F40EA" w:rsidP="008F40EA">
            <w:pPr>
              <w:pStyle w:val="ListBullet"/>
            </w:pPr>
            <w:r w:rsidRPr="008F40EA">
              <w:rPr>
                <w:lang w:val="en"/>
              </w:rPr>
              <w:t>Improving support for regional students, including establishing regional hubs to study locally by</w:t>
            </w:r>
            <w:r>
              <w:rPr>
                <w:lang w:val="en"/>
              </w:rPr>
              <w:t xml:space="preserve"> </w:t>
            </w:r>
            <w:r w:rsidRPr="008F40EA">
              <w:rPr>
                <w:lang w:val="en"/>
              </w:rPr>
              <w:t>distance from any Australian university and implementing the new four year Rural and Regional</w:t>
            </w:r>
            <w:r>
              <w:rPr>
                <w:lang w:val="en"/>
              </w:rPr>
              <w:t xml:space="preserve"> </w:t>
            </w:r>
            <w:r w:rsidRPr="008F40EA">
              <w:rPr>
                <w:lang w:val="en"/>
              </w:rPr>
              <w:t>Enterprise Scholarships.</w:t>
            </w:r>
          </w:p>
        </w:tc>
      </w:tr>
      <w:tr w:rsidR="00906E40" w:rsidRPr="00314A8C" w:rsidTr="00B25327">
        <w:tc>
          <w:tcPr>
            <w:tcW w:w="2235" w:type="dxa"/>
          </w:tcPr>
          <w:p w:rsidR="00785261" w:rsidRPr="00314A8C" w:rsidRDefault="006871BD" w:rsidP="00844DFF">
            <w:pPr>
              <w:autoSpaceDE w:val="0"/>
              <w:autoSpaceDN w:val="0"/>
              <w:adjustRightInd w:val="0"/>
              <w:rPr>
                <w:lang w:eastAsia="en-US"/>
              </w:rPr>
            </w:pPr>
            <w:r w:rsidRPr="00844DFF">
              <w:t>Responding to labour</w:t>
            </w:r>
            <w:r w:rsidR="00844DFF">
              <w:t xml:space="preserve"> </w:t>
            </w:r>
            <w:r w:rsidRPr="00844DFF">
              <w:t>market, industry and</w:t>
            </w:r>
            <w:r w:rsidR="00844DFF">
              <w:t xml:space="preserve"> </w:t>
            </w:r>
            <w:r w:rsidRPr="00844DFF">
              <w:t>employer needs.</w:t>
            </w:r>
          </w:p>
        </w:tc>
        <w:tc>
          <w:tcPr>
            <w:tcW w:w="7938" w:type="dxa"/>
          </w:tcPr>
          <w:p w:rsidR="006871BD" w:rsidRPr="006871BD" w:rsidRDefault="006871BD" w:rsidP="00F24A75">
            <w:pPr>
              <w:pStyle w:val="ListBullet"/>
              <w:spacing w:after="0"/>
              <w:ind w:left="357" w:hanging="357"/>
              <w:rPr>
                <w:lang w:val="en"/>
              </w:rPr>
            </w:pPr>
            <w:r w:rsidRPr="006871BD">
              <w:rPr>
                <w:lang w:val="en"/>
              </w:rPr>
              <w:t>Targeting support under the new Skilling Australians Fund for apprentices, trainees, pre-</w:t>
            </w:r>
            <w:r w:rsidRPr="00F24A75">
              <w:t>apprenticeships</w:t>
            </w:r>
            <w:r w:rsidRPr="006871BD">
              <w:rPr>
                <w:lang w:val="en"/>
              </w:rPr>
              <w:t xml:space="preserve"> and higher level skilled Australians in occupations of high demand, with future growth potential, or in rural and</w:t>
            </w:r>
            <w:r>
              <w:rPr>
                <w:lang w:val="en"/>
              </w:rPr>
              <w:t xml:space="preserve"> </w:t>
            </w:r>
            <w:r w:rsidRPr="006871BD">
              <w:rPr>
                <w:lang w:val="en"/>
              </w:rPr>
              <w:t>regional Australia.</w:t>
            </w:r>
          </w:p>
          <w:p w:rsidR="00D20EF6" w:rsidRPr="00314A8C" w:rsidRDefault="006871BD" w:rsidP="006871BD">
            <w:pPr>
              <w:pStyle w:val="ListBullet"/>
            </w:pPr>
            <w:r w:rsidRPr="006871BD">
              <w:rPr>
                <w:lang w:val="en"/>
              </w:rPr>
              <w:t xml:space="preserve">Responding to labour market needs by facilitating effective engagement between </w:t>
            </w:r>
            <w:r w:rsidR="000A1406">
              <w:rPr>
                <w:lang w:val="en"/>
              </w:rPr>
              <w:t xml:space="preserve">higher education and </w:t>
            </w:r>
            <w:r w:rsidRPr="006871BD">
              <w:rPr>
                <w:lang w:val="en"/>
              </w:rPr>
              <w:t>VET providers and</w:t>
            </w:r>
            <w:r>
              <w:rPr>
                <w:lang w:val="en"/>
              </w:rPr>
              <w:t xml:space="preserve"> </w:t>
            </w:r>
            <w:r w:rsidRPr="006871BD">
              <w:rPr>
                <w:lang w:val="en"/>
              </w:rPr>
              <w:t>industry, improving training package development and supporting training that has strong links to</w:t>
            </w:r>
            <w:r>
              <w:rPr>
                <w:lang w:val="en"/>
              </w:rPr>
              <w:t xml:space="preserve"> </w:t>
            </w:r>
            <w:r w:rsidRPr="006871BD">
              <w:rPr>
                <w:lang w:val="en"/>
              </w:rPr>
              <w:t>industry needs.</w:t>
            </w:r>
          </w:p>
        </w:tc>
      </w:tr>
      <w:tr w:rsidR="00682055" w:rsidRPr="00314A8C" w:rsidTr="00B25327">
        <w:tc>
          <w:tcPr>
            <w:tcW w:w="2235" w:type="dxa"/>
          </w:tcPr>
          <w:p w:rsidR="00682055" w:rsidRPr="00314A8C" w:rsidRDefault="00601A59" w:rsidP="00D44054">
            <w:pPr>
              <w:autoSpaceDE w:val="0"/>
              <w:autoSpaceDN w:val="0"/>
              <w:adjustRightInd w:val="0"/>
              <w:rPr>
                <w:lang w:eastAsia="en-US"/>
              </w:rPr>
            </w:pPr>
            <w:r w:rsidRPr="00601A59">
              <w:t>Creating and</w:t>
            </w:r>
            <w:r w:rsidR="00D44054">
              <w:t xml:space="preserve"> </w:t>
            </w:r>
            <w:r w:rsidRPr="00601A59">
              <w:t>connecting transition</w:t>
            </w:r>
            <w:r w:rsidR="00D44054">
              <w:t xml:space="preserve"> </w:t>
            </w:r>
            <w:r w:rsidRPr="00601A59">
              <w:t>pathways.</w:t>
            </w:r>
          </w:p>
        </w:tc>
        <w:tc>
          <w:tcPr>
            <w:tcW w:w="7938" w:type="dxa"/>
          </w:tcPr>
          <w:p w:rsidR="00601A59" w:rsidRPr="00601A59" w:rsidRDefault="00601A59" w:rsidP="00F24A75">
            <w:pPr>
              <w:pStyle w:val="ListBullet"/>
              <w:spacing w:after="0"/>
              <w:ind w:left="357" w:hanging="357"/>
              <w:rPr>
                <w:lang w:val="en"/>
              </w:rPr>
            </w:pPr>
            <w:r w:rsidRPr="00601A59">
              <w:rPr>
                <w:lang w:val="en"/>
              </w:rPr>
              <w:t>Meeting changing requirements and expectations in VET and higher education by supporting the Higher</w:t>
            </w:r>
            <w:r>
              <w:rPr>
                <w:lang w:val="en"/>
              </w:rPr>
              <w:t xml:space="preserve"> </w:t>
            </w:r>
            <w:r w:rsidRPr="00601A59">
              <w:rPr>
                <w:lang w:val="en"/>
              </w:rPr>
              <w:t xml:space="preserve">Education Standards Panel to undertake a review of higher education provider </w:t>
            </w:r>
            <w:r w:rsidRPr="00F24A75">
              <w:t>categories</w:t>
            </w:r>
            <w:r w:rsidRPr="00601A59">
              <w:rPr>
                <w:lang w:val="en"/>
              </w:rPr>
              <w:t>.</w:t>
            </w:r>
          </w:p>
          <w:p w:rsidR="00682055" w:rsidRPr="00127B0A" w:rsidRDefault="00601A59" w:rsidP="00127B0A">
            <w:pPr>
              <w:pStyle w:val="ListBullet"/>
              <w:rPr>
                <w:lang w:val="en"/>
              </w:rPr>
            </w:pPr>
            <w:r w:rsidRPr="00601A59">
              <w:rPr>
                <w:lang w:val="en"/>
              </w:rPr>
              <w:t>Preparing students for success in higher education by linking secondary schooling standards to entry standards for higher education through a review of the Australian Qualifications Framework by</w:t>
            </w:r>
            <w:r>
              <w:rPr>
                <w:lang w:val="en"/>
              </w:rPr>
              <w:t xml:space="preserve"> </w:t>
            </w:r>
            <w:r w:rsidRPr="00601A59">
              <w:rPr>
                <w:lang w:val="en"/>
              </w:rPr>
              <w:t>31 December 2018.</w:t>
            </w:r>
          </w:p>
        </w:tc>
      </w:tr>
      <w:tr w:rsidR="00B2030E" w:rsidRPr="00314A8C" w:rsidTr="00B25327">
        <w:tc>
          <w:tcPr>
            <w:tcW w:w="2235" w:type="dxa"/>
          </w:tcPr>
          <w:p w:rsidR="00B2030E" w:rsidRPr="00314A8C" w:rsidRDefault="00E33DB8" w:rsidP="00E33DB8">
            <w:pPr>
              <w:autoSpaceDE w:val="0"/>
              <w:autoSpaceDN w:val="0"/>
              <w:adjustRightInd w:val="0"/>
            </w:pPr>
            <w:r w:rsidRPr="00E33DB8">
              <w:t>Strengthening and</w:t>
            </w:r>
            <w:r>
              <w:t xml:space="preserve"> </w:t>
            </w:r>
            <w:r w:rsidRPr="00E33DB8">
              <w:t>growing Australia’s</w:t>
            </w:r>
            <w:r>
              <w:t xml:space="preserve"> </w:t>
            </w:r>
            <w:r w:rsidRPr="00E33DB8">
              <w:t>international</w:t>
            </w:r>
            <w:r>
              <w:t xml:space="preserve"> </w:t>
            </w:r>
            <w:r w:rsidRPr="00E33DB8">
              <w:t>education sector.</w:t>
            </w:r>
          </w:p>
        </w:tc>
        <w:tc>
          <w:tcPr>
            <w:tcW w:w="7938" w:type="dxa"/>
          </w:tcPr>
          <w:p w:rsidR="00DE0336" w:rsidRPr="00DE0336" w:rsidRDefault="00DE0336" w:rsidP="00F24A75">
            <w:pPr>
              <w:pStyle w:val="ListBullet"/>
              <w:spacing w:after="0"/>
              <w:ind w:left="357" w:hanging="357"/>
              <w:rPr>
                <w:lang w:val="en"/>
              </w:rPr>
            </w:pPr>
            <w:r w:rsidRPr="00DE0336">
              <w:rPr>
                <w:lang w:val="en"/>
              </w:rPr>
              <w:t xml:space="preserve">Progressing activities under the </w:t>
            </w:r>
            <w:r w:rsidRPr="00DE0336">
              <w:rPr>
                <w:i/>
                <w:lang w:val="en"/>
              </w:rPr>
              <w:t>National Strategy for International Education 2025</w:t>
            </w:r>
            <w:r w:rsidRPr="00DE0336">
              <w:rPr>
                <w:lang w:val="en"/>
              </w:rPr>
              <w:t xml:space="preserve"> to sustainably grow the sector and ensure Australia remains the partner of choice for high quality education, training and</w:t>
            </w:r>
            <w:r>
              <w:rPr>
                <w:lang w:val="en"/>
              </w:rPr>
              <w:t xml:space="preserve"> </w:t>
            </w:r>
            <w:r w:rsidRPr="00DE0336">
              <w:rPr>
                <w:lang w:val="en"/>
              </w:rPr>
              <w:t>research engagement</w:t>
            </w:r>
            <w:r w:rsidR="00755E45">
              <w:rPr>
                <w:lang w:val="en"/>
              </w:rPr>
              <w:t>, which is important to Australia’s future economic growth and social advancement</w:t>
            </w:r>
            <w:r w:rsidRPr="00DE0336">
              <w:rPr>
                <w:lang w:val="en"/>
              </w:rPr>
              <w:t>.</w:t>
            </w:r>
          </w:p>
          <w:p w:rsidR="00E73F9E" w:rsidRPr="00314A8C" w:rsidRDefault="00DE0336" w:rsidP="00DE0336">
            <w:pPr>
              <w:pStyle w:val="ListBullet"/>
            </w:pPr>
            <w:r w:rsidRPr="00DE0336">
              <w:rPr>
                <w:lang w:val="en"/>
              </w:rPr>
              <w:t>Protecting and strengthening the reputation of Australia’s international education sector, including building</w:t>
            </w:r>
            <w:r>
              <w:rPr>
                <w:lang w:val="en"/>
              </w:rPr>
              <w:t xml:space="preserve"> </w:t>
            </w:r>
            <w:r w:rsidRPr="00DE0336">
              <w:rPr>
                <w:lang w:val="en"/>
              </w:rPr>
              <w:t>confidence in Australian providers and their qualifications, and offering world-leading international</w:t>
            </w:r>
            <w:r>
              <w:rPr>
                <w:lang w:val="en"/>
              </w:rPr>
              <w:t xml:space="preserve"> </w:t>
            </w:r>
            <w:r w:rsidRPr="00DE0336">
              <w:rPr>
                <w:lang w:val="en"/>
              </w:rPr>
              <w:t>student protections.</w:t>
            </w:r>
          </w:p>
        </w:tc>
      </w:tr>
      <w:tr w:rsidR="00383B3A" w:rsidTr="00B25327">
        <w:tc>
          <w:tcPr>
            <w:tcW w:w="2235" w:type="dxa"/>
          </w:tcPr>
          <w:p w:rsidR="00383B3A" w:rsidRPr="00314A8C" w:rsidRDefault="00E33DB8" w:rsidP="00E33DB8">
            <w:pPr>
              <w:autoSpaceDE w:val="0"/>
              <w:autoSpaceDN w:val="0"/>
              <w:adjustRightInd w:val="0"/>
            </w:pPr>
            <w:r w:rsidRPr="00E33DB8">
              <w:t>Maintaining the</w:t>
            </w:r>
            <w:r>
              <w:t xml:space="preserve"> </w:t>
            </w:r>
            <w:r w:rsidRPr="00E33DB8">
              <w:t>world-class standard</w:t>
            </w:r>
            <w:r>
              <w:t xml:space="preserve"> </w:t>
            </w:r>
            <w:r w:rsidRPr="00E33DB8">
              <w:t>of Australian research</w:t>
            </w:r>
            <w:r>
              <w:t xml:space="preserve"> </w:t>
            </w:r>
            <w:r w:rsidRPr="00E33DB8">
              <w:t>and increasing its</w:t>
            </w:r>
            <w:r>
              <w:t xml:space="preserve"> </w:t>
            </w:r>
            <w:r w:rsidRPr="00E33DB8">
              <w:t>benefits.</w:t>
            </w:r>
          </w:p>
        </w:tc>
        <w:tc>
          <w:tcPr>
            <w:tcW w:w="7938" w:type="dxa"/>
          </w:tcPr>
          <w:p w:rsidR="00DE0336" w:rsidRPr="00DE0336" w:rsidRDefault="00DE0336" w:rsidP="00F24A75">
            <w:pPr>
              <w:pStyle w:val="ListBullet"/>
              <w:spacing w:after="0"/>
              <w:ind w:left="357" w:hanging="357"/>
            </w:pPr>
            <w:r w:rsidRPr="00DE0336">
              <w:t xml:space="preserve">Increasing engagement between researchers and industry by advancing the </w:t>
            </w:r>
            <w:r w:rsidRPr="00F24A75">
              <w:rPr>
                <w:lang w:val="en"/>
              </w:rPr>
              <w:t>Government’s</w:t>
            </w:r>
            <w:r>
              <w:t xml:space="preserve"> </w:t>
            </w:r>
            <w:r w:rsidRPr="00DE0336">
              <w:rPr>
                <w:i/>
              </w:rPr>
              <w:t xml:space="preserve">National </w:t>
            </w:r>
            <w:r w:rsidR="00755E45" w:rsidRPr="00DE0336">
              <w:rPr>
                <w:i/>
              </w:rPr>
              <w:t xml:space="preserve">Innovation and </w:t>
            </w:r>
            <w:r w:rsidRPr="00DE0336">
              <w:rPr>
                <w:i/>
              </w:rPr>
              <w:t>Science Agenda</w:t>
            </w:r>
            <w:r w:rsidRPr="00DE0336">
              <w:t>.</w:t>
            </w:r>
          </w:p>
          <w:p w:rsidR="00DE0336" w:rsidRPr="00DE0336" w:rsidRDefault="00DE0336" w:rsidP="00F24A75">
            <w:pPr>
              <w:pStyle w:val="ListBullet"/>
              <w:spacing w:after="0"/>
              <w:ind w:left="357" w:hanging="357"/>
            </w:pPr>
            <w:r w:rsidRPr="00DE0336">
              <w:t xml:space="preserve">Strengthening Australia’s national research infrastructure capacity by establishing an </w:t>
            </w:r>
            <w:r w:rsidRPr="00F24A75">
              <w:rPr>
                <w:lang w:val="en"/>
              </w:rPr>
              <w:t>investment</w:t>
            </w:r>
            <w:r w:rsidRPr="00DE0336">
              <w:t xml:space="preserve"> plan</w:t>
            </w:r>
            <w:r>
              <w:t xml:space="preserve"> </w:t>
            </w:r>
            <w:r w:rsidRPr="00DE0336">
              <w:t xml:space="preserve">informed by the </w:t>
            </w:r>
            <w:r w:rsidRPr="00DE0336">
              <w:rPr>
                <w:i/>
              </w:rPr>
              <w:t>2016 National Research Infrastructure Roadmap</w:t>
            </w:r>
            <w:r w:rsidRPr="00DE0336">
              <w:t>.</w:t>
            </w:r>
          </w:p>
          <w:p w:rsidR="00965CCA" w:rsidRPr="00314A8C" w:rsidRDefault="00DE0336" w:rsidP="003E08B9">
            <w:pPr>
              <w:pStyle w:val="ListBullet"/>
            </w:pPr>
            <w:r w:rsidRPr="00DE0336">
              <w:t xml:space="preserve">Strengthening industry engagement and employment outcomes for PhD students, including </w:t>
            </w:r>
            <w:r w:rsidR="004A61F9" w:rsidRPr="00DE0336">
              <w:t>increasing</w:t>
            </w:r>
            <w:r w:rsidR="004A61F9">
              <w:t xml:space="preserve"> </w:t>
            </w:r>
            <w:r w:rsidR="004A61F9" w:rsidRPr="00DE0336">
              <w:t>internship</w:t>
            </w:r>
            <w:r w:rsidRPr="00DE0336">
              <w:t xml:space="preserve"> opportunities for women in science, technology, engineering and mathematics.</w:t>
            </w:r>
          </w:p>
        </w:tc>
      </w:tr>
    </w:tbl>
    <w:p w:rsidR="00697ADC" w:rsidRDefault="00697ADC">
      <w:pPr>
        <w:rPr>
          <w:b/>
          <w:iCs/>
          <w:color w:val="7030A0"/>
          <w:szCs w:val="18"/>
        </w:rPr>
      </w:pPr>
      <w:r>
        <w:br w:type="page"/>
      </w:r>
    </w:p>
    <w:p w:rsidR="00CB1A10" w:rsidRDefault="00CB1A10" w:rsidP="00D411F7">
      <w:pPr>
        <w:pStyle w:val="Caption"/>
        <w:spacing w:after="120"/>
      </w:pPr>
      <w:r>
        <w:lastRenderedPageBreak/>
        <w:t xml:space="preserve">Table </w:t>
      </w:r>
      <w:r>
        <w:fldChar w:fldCharType="begin"/>
      </w:r>
      <w:r>
        <w:instrText xml:space="preserve"> SEQ Table \* ARABIC </w:instrText>
      </w:r>
      <w:r>
        <w:fldChar w:fldCharType="separate"/>
      </w:r>
      <w:r w:rsidR="001C6BA8">
        <w:rPr>
          <w:noProof/>
        </w:rPr>
        <w:t>6</w:t>
      </w:r>
      <w:r>
        <w:fldChar w:fldCharType="end"/>
      </w:r>
      <w:r>
        <w:t xml:space="preserve"> </w:t>
      </w:r>
      <w:r w:rsidRPr="006A18F4">
        <w:t xml:space="preserve">Outcome </w:t>
      </w:r>
      <w:r>
        <w:t>2</w:t>
      </w:r>
      <w:r w:rsidRPr="006A18F4">
        <w:t xml:space="preserve"> Performance criteria and targets</w:t>
      </w:r>
    </w:p>
    <w:tbl>
      <w:tblPr>
        <w:tblStyle w:val="DEEWRTable"/>
        <w:tblW w:w="1059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erformance criteria table"/>
      </w:tblPr>
      <w:tblGrid>
        <w:gridCol w:w="2017"/>
        <w:gridCol w:w="957"/>
        <w:gridCol w:w="1385"/>
        <w:gridCol w:w="1559"/>
        <w:gridCol w:w="1560"/>
        <w:gridCol w:w="1560"/>
        <w:gridCol w:w="1560"/>
      </w:tblGrid>
      <w:tr w:rsidR="005A7438" w:rsidTr="0067160B">
        <w:trPr>
          <w:cnfStyle w:val="100000000000" w:firstRow="1" w:lastRow="0" w:firstColumn="0" w:lastColumn="0" w:oddVBand="0" w:evenVBand="0" w:oddHBand="0" w:evenHBand="0" w:firstRowFirstColumn="0" w:firstRowLastColumn="0" w:lastRowFirstColumn="0" w:lastRowLastColumn="0"/>
          <w:trHeight w:val="271"/>
          <w:tblHeader/>
        </w:trPr>
        <w:tc>
          <w:tcPr>
            <w:cnfStyle w:val="001000000000" w:firstRow="0" w:lastRow="0" w:firstColumn="1" w:lastColumn="0" w:oddVBand="0" w:evenVBand="0" w:oddHBand="0" w:evenHBand="0" w:firstRowFirstColumn="0" w:firstRowLastColumn="0" w:lastRowFirstColumn="0" w:lastRowLastColumn="0"/>
            <w:tcW w:w="2017" w:type="dxa"/>
            <w:vAlign w:val="center"/>
          </w:tcPr>
          <w:p w:rsidR="005A7438" w:rsidRPr="00514D7F" w:rsidRDefault="005A7438" w:rsidP="0067160B">
            <w:pPr>
              <w:rPr>
                <w:sz w:val="18"/>
                <w:szCs w:val="18"/>
              </w:rPr>
            </w:pPr>
            <w:r w:rsidRPr="00514D7F">
              <w:rPr>
                <w:sz w:val="18"/>
                <w:szCs w:val="18"/>
              </w:rPr>
              <w:t>Performance Criteria—</w:t>
            </w:r>
          </w:p>
          <w:p w:rsidR="005A7438" w:rsidRPr="00C47399" w:rsidRDefault="005A7438" w:rsidP="0067160B">
            <w:pPr>
              <w:rPr>
                <w:sz w:val="18"/>
                <w:szCs w:val="18"/>
              </w:rPr>
            </w:pPr>
            <w:r>
              <w:rPr>
                <w:sz w:val="18"/>
                <w:szCs w:val="18"/>
              </w:rPr>
              <w:t>what we will measure</w:t>
            </w:r>
          </w:p>
        </w:tc>
        <w:tc>
          <w:tcPr>
            <w:tcW w:w="957" w:type="dxa"/>
            <w:vAlign w:val="center"/>
          </w:tcPr>
          <w:p w:rsidR="005A7438" w:rsidRPr="007D63AB" w:rsidRDefault="005A7438" w:rsidP="0067160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Programs</w:t>
            </w:r>
          </w:p>
        </w:tc>
        <w:tc>
          <w:tcPr>
            <w:tcW w:w="1385" w:type="dxa"/>
            <w:vAlign w:val="center"/>
          </w:tcPr>
          <w:p w:rsidR="005A7438" w:rsidRPr="007D63AB" w:rsidRDefault="005A7438" w:rsidP="0067160B">
            <w:pPr>
              <w:jc w:val="center"/>
              <w:cnfStyle w:val="100000000000" w:firstRow="1" w:lastRow="0" w:firstColumn="0" w:lastColumn="0" w:oddVBand="0" w:evenVBand="0" w:oddHBand="0" w:evenHBand="0" w:firstRowFirstColumn="0" w:firstRowLastColumn="0" w:lastRowFirstColumn="0" w:lastRowLastColumn="0"/>
              <w:rPr>
                <w:sz w:val="18"/>
                <w:szCs w:val="18"/>
              </w:rPr>
            </w:pPr>
            <w:r w:rsidRPr="00514D7F">
              <w:rPr>
                <w:sz w:val="18"/>
                <w:szCs w:val="18"/>
              </w:rPr>
              <w:t>Method</w:t>
            </w:r>
          </w:p>
        </w:tc>
        <w:tc>
          <w:tcPr>
            <w:tcW w:w="1559" w:type="dxa"/>
            <w:tcBorders>
              <w:bottom w:val="single" w:sz="4" w:space="0" w:color="auto"/>
            </w:tcBorders>
            <w:vAlign w:val="center"/>
          </w:tcPr>
          <w:p w:rsidR="005A7438" w:rsidRPr="007D63AB" w:rsidRDefault="005A7438" w:rsidP="00622A34">
            <w:pPr>
              <w:jc w:val="center"/>
              <w:cnfStyle w:val="100000000000" w:firstRow="1" w:lastRow="0" w:firstColumn="0" w:lastColumn="0" w:oddVBand="0" w:evenVBand="0" w:oddHBand="0" w:evenHBand="0" w:firstRowFirstColumn="0" w:firstRowLastColumn="0" w:lastRowFirstColumn="0" w:lastRowLastColumn="0"/>
              <w:rPr>
                <w:sz w:val="18"/>
                <w:szCs w:val="18"/>
              </w:rPr>
            </w:pPr>
            <w:r w:rsidRPr="007D63AB">
              <w:rPr>
                <w:sz w:val="18"/>
                <w:szCs w:val="18"/>
              </w:rPr>
              <w:t>2017–18</w:t>
            </w:r>
          </w:p>
        </w:tc>
        <w:tc>
          <w:tcPr>
            <w:tcW w:w="1560" w:type="dxa"/>
            <w:tcBorders>
              <w:bottom w:val="single" w:sz="4" w:space="0" w:color="auto"/>
            </w:tcBorders>
            <w:vAlign w:val="center"/>
          </w:tcPr>
          <w:p w:rsidR="005A7438" w:rsidRPr="007D63AB" w:rsidRDefault="005A7438" w:rsidP="00622A34">
            <w:pPr>
              <w:jc w:val="center"/>
              <w:cnfStyle w:val="100000000000" w:firstRow="1" w:lastRow="0" w:firstColumn="0" w:lastColumn="0" w:oddVBand="0" w:evenVBand="0" w:oddHBand="0" w:evenHBand="0" w:firstRowFirstColumn="0" w:firstRowLastColumn="0" w:lastRowFirstColumn="0" w:lastRowLastColumn="0"/>
              <w:rPr>
                <w:sz w:val="18"/>
                <w:szCs w:val="18"/>
              </w:rPr>
            </w:pPr>
            <w:r w:rsidRPr="007D63AB">
              <w:rPr>
                <w:sz w:val="18"/>
                <w:szCs w:val="18"/>
              </w:rPr>
              <w:t>2018–19</w:t>
            </w:r>
          </w:p>
        </w:tc>
        <w:tc>
          <w:tcPr>
            <w:tcW w:w="1560" w:type="dxa"/>
            <w:tcBorders>
              <w:bottom w:val="single" w:sz="4" w:space="0" w:color="auto"/>
            </w:tcBorders>
            <w:vAlign w:val="center"/>
          </w:tcPr>
          <w:p w:rsidR="005A7438" w:rsidRPr="007D63AB" w:rsidRDefault="005A7438" w:rsidP="00622A34">
            <w:pPr>
              <w:jc w:val="center"/>
              <w:cnfStyle w:val="100000000000" w:firstRow="1" w:lastRow="0" w:firstColumn="0" w:lastColumn="0" w:oddVBand="0" w:evenVBand="0" w:oddHBand="0" w:evenHBand="0" w:firstRowFirstColumn="0" w:firstRowLastColumn="0" w:lastRowFirstColumn="0" w:lastRowLastColumn="0"/>
              <w:rPr>
                <w:sz w:val="18"/>
                <w:szCs w:val="18"/>
              </w:rPr>
            </w:pPr>
            <w:r w:rsidRPr="007D63AB">
              <w:rPr>
                <w:sz w:val="18"/>
                <w:szCs w:val="18"/>
              </w:rPr>
              <w:t>2019–20</w:t>
            </w:r>
          </w:p>
        </w:tc>
        <w:tc>
          <w:tcPr>
            <w:tcW w:w="1560" w:type="dxa"/>
            <w:tcBorders>
              <w:bottom w:val="single" w:sz="4" w:space="0" w:color="auto"/>
            </w:tcBorders>
            <w:vAlign w:val="center"/>
          </w:tcPr>
          <w:p w:rsidR="005A7438" w:rsidRPr="007D63AB" w:rsidRDefault="005A7438" w:rsidP="00622A34">
            <w:pPr>
              <w:jc w:val="center"/>
              <w:cnfStyle w:val="100000000000" w:firstRow="1" w:lastRow="0" w:firstColumn="0" w:lastColumn="0" w:oddVBand="0" w:evenVBand="0" w:oddHBand="0" w:evenHBand="0" w:firstRowFirstColumn="0" w:firstRowLastColumn="0" w:lastRowFirstColumn="0" w:lastRowLastColumn="0"/>
              <w:rPr>
                <w:sz w:val="18"/>
                <w:szCs w:val="18"/>
              </w:rPr>
            </w:pPr>
            <w:r w:rsidRPr="007D63AB">
              <w:rPr>
                <w:sz w:val="18"/>
                <w:szCs w:val="18"/>
              </w:rPr>
              <w:t>2020–21</w:t>
            </w:r>
          </w:p>
        </w:tc>
      </w:tr>
      <w:tr w:rsidR="005A7438" w:rsidRPr="00AF5ED3" w:rsidTr="0010795C">
        <w:tc>
          <w:tcPr>
            <w:cnfStyle w:val="001000000000" w:firstRow="0" w:lastRow="0" w:firstColumn="1" w:lastColumn="0" w:oddVBand="0" w:evenVBand="0" w:oddHBand="0" w:evenHBand="0" w:firstRowFirstColumn="0" w:firstRowLastColumn="0" w:lastRowFirstColumn="0" w:lastRowLastColumn="0"/>
            <w:tcW w:w="2017" w:type="dxa"/>
          </w:tcPr>
          <w:p w:rsidR="005A7438" w:rsidRPr="00AF5ED3" w:rsidRDefault="00C219A6" w:rsidP="00C219A6">
            <w:pPr>
              <w:pStyle w:val="CPTabletext"/>
            </w:pPr>
            <w:r w:rsidRPr="00C219A6">
              <w:t>Increased participation</w:t>
            </w:r>
            <w:r>
              <w:t xml:space="preserve"> </w:t>
            </w:r>
            <w:r w:rsidRPr="00C219A6">
              <w:t>in higher education,</w:t>
            </w:r>
            <w:r>
              <w:t xml:space="preserve"> </w:t>
            </w:r>
            <w:r w:rsidRPr="00C219A6">
              <w:t>particularly for</w:t>
            </w:r>
            <w:r>
              <w:t xml:space="preserve"> </w:t>
            </w:r>
            <w:r w:rsidRPr="00C219A6">
              <w:t>previously under</w:t>
            </w:r>
            <w:r>
              <w:t xml:space="preserve"> </w:t>
            </w:r>
            <w:r w:rsidRPr="00C219A6">
              <w:t>represented groups.</w:t>
            </w:r>
          </w:p>
        </w:tc>
        <w:tc>
          <w:tcPr>
            <w:tcW w:w="957" w:type="dxa"/>
          </w:tcPr>
          <w:p w:rsidR="005A7438" w:rsidRPr="00AF5ED3" w:rsidRDefault="005A7438" w:rsidP="00622A34">
            <w:pPr>
              <w:pStyle w:val="CPTabletext"/>
              <w:cnfStyle w:val="000000000000" w:firstRow="0" w:lastRow="0" w:firstColumn="0" w:lastColumn="0" w:oddVBand="0" w:evenVBand="0" w:oddHBand="0" w:evenHBand="0" w:firstRowFirstColumn="0" w:firstRowLastColumn="0" w:lastRowFirstColumn="0" w:lastRowLastColumn="0"/>
            </w:pPr>
            <w:r>
              <w:t>2.1; 2.3; 2.4; 2.5</w:t>
            </w:r>
          </w:p>
        </w:tc>
        <w:tc>
          <w:tcPr>
            <w:tcW w:w="1385" w:type="dxa"/>
          </w:tcPr>
          <w:p w:rsidR="005A7438" w:rsidRPr="00AF5ED3" w:rsidRDefault="005A7438" w:rsidP="00622A34">
            <w:pPr>
              <w:pStyle w:val="CPTabletext"/>
              <w:cnfStyle w:val="000000000000" w:firstRow="0" w:lastRow="0" w:firstColumn="0" w:lastColumn="0" w:oddVBand="0" w:evenVBand="0" w:oddHBand="0" w:evenHBand="0" w:firstRowFirstColumn="0" w:firstRowLastColumn="0" w:lastRowFirstColumn="0" w:lastRowLastColumn="0"/>
            </w:pPr>
            <w:r>
              <w:t>Time series analysis of university statistics</w:t>
            </w:r>
          </w:p>
        </w:tc>
        <w:tc>
          <w:tcPr>
            <w:tcW w:w="1559" w:type="dxa"/>
            <w:tcBorders>
              <w:bottom w:val="single" w:sz="4" w:space="0" w:color="auto"/>
            </w:tcBorders>
            <w:shd w:val="clear" w:color="auto" w:fill="auto"/>
          </w:tcPr>
          <w:p w:rsidR="00C219A6" w:rsidRDefault="00C219A6" w:rsidP="00C219A6">
            <w:pPr>
              <w:pStyle w:val="CPTabletext"/>
              <w:cnfStyle w:val="000000000000" w:firstRow="0" w:lastRow="0" w:firstColumn="0" w:lastColumn="0" w:oddVBand="0" w:evenVBand="0" w:oddHBand="0" w:evenHBand="0" w:firstRowFirstColumn="0" w:firstRowLastColumn="0" w:lastRowFirstColumn="0" w:lastRowLastColumn="0"/>
            </w:pPr>
            <w:r>
              <w:t>17.9% of domestic undergraduates are from a low SES background (postcode based).</w:t>
            </w:r>
          </w:p>
          <w:p w:rsidR="00C219A6" w:rsidRDefault="00C219A6" w:rsidP="00C219A6">
            <w:pPr>
              <w:pStyle w:val="CPTabletext"/>
              <w:cnfStyle w:val="000000000000" w:firstRow="0" w:lastRow="0" w:firstColumn="0" w:lastColumn="0" w:oddVBand="0" w:evenVBand="0" w:oddHBand="0" w:evenHBand="0" w:firstRowFirstColumn="0" w:firstRowLastColumn="0" w:lastRowFirstColumn="0" w:lastRowLastColumn="0"/>
            </w:pPr>
            <w:r>
              <w:t>1.8% of students at funded higher education providers are Indigenous.</w:t>
            </w:r>
          </w:p>
          <w:p w:rsidR="005A7438" w:rsidRDefault="00C219A6" w:rsidP="00C219A6">
            <w:pPr>
              <w:pStyle w:val="CPTabletext"/>
              <w:cnfStyle w:val="000000000000" w:firstRow="0" w:lastRow="0" w:firstColumn="0" w:lastColumn="0" w:oddVBand="0" w:evenVBand="0" w:oddHBand="0" w:evenHBand="0" w:firstRowFirstColumn="0" w:firstRowLastColumn="0" w:lastRowFirstColumn="0" w:lastRowLastColumn="0"/>
            </w:pPr>
            <w:r>
              <w:t>0.7% completions of higher degrees by research are Indigenous.</w:t>
            </w:r>
          </w:p>
        </w:tc>
        <w:tc>
          <w:tcPr>
            <w:tcW w:w="1560" w:type="dxa"/>
            <w:tcBorders>
              <w:bottom w:val="single" w:sz="4" w:space="0" w:color="auto"/>
            </w:tcBorders>
            <w:shd w:val="clear" w:color="auto" w:fill="auto"/>
          </w:tcPr>
          <w:p w:rsidR="00C219A6" w:rsidRDefault="00C219A6" w:rsidP="00C219A6">
            <w:pPr>
              <w:pStyle w:val="CPTabletext"/>
              <w:cnfStyle w:val="000000000000" w:firstRow="0" w:lastRow="0" w:firstColumn="0" w:lastColumn="0" w:oddVBand="0" w:evenVBand="0" w:oddHBand="0" w:evenHBand="0" w:firstRowFirstColumn="0" w:firstRowLastColumn="0" w:lastRowFirstColumn="0" w:lastRowLastColumn="0"/>
            </w:pPr>
            <w:r>
              <w:t>18.0% of domestic undergraduates are from a low SES background (postcode based).</w:t>
            </w:r>
          </w:p>
          <w:p w:rsidR="00C219A6" w:rsidRDefault="00C219A6" w:rsidP="00C219A6">
            <w:pPr>
              <w:pStyle w:val="CPTabletext"/>
              <w:cnfStyle w:val="000000000000" w:firstRow="0" w:lastRow="0" w:firstColumn="0" w:lastColumn="0" w:oddVBand="0" w:evenVBand="0" w:oddHBand="0" w:evenHBand="0" w:firstRowFirstColumn="0" w:firstRowLastColumn="0" w:lastRowFirstColumn="0" w:lastRowLastColumn="0"/>
            </w:pPr>
            <w:r>
              <w:t>1.9% of students at funded higher education providers are Indigenous.</w:t>
            </w:r>
          </w:p>
          <w:p w:rsidR="005A7438" w:rsidRDefault="00C219A6" w:rsidP="00C219A6">
            <w:pPr>
              <w:pStyle w:val="CPTabletext"/>
              <w:cnfStyle w:val="000000000000" w:firstRow="0" w:lastRow="0" w:firstColumn="0" w:lastColumn="0" w:oddVBand="0" w:evenVBand="0" w:oddHBand="0" w:evenHBand="0" w:firstRowFirstColumn="0" w:firstRowLastColumn="0" w:lastRowFirstColumn="0" w:lastRowLastColumn="0"/>
            </w:pPr>
            <w:r>
              <w:t>0.7% completions of higher degrees by research are Indigenous.</w:t>
            </w:r>
          </w:p>
        </w:tc>
        <w:tc>
          <w:tcPr>
            <w:tcW w:w="1560" w:type="dxa"/>
            <w:tcBorders>
              <w:bottom w:val="single" w:sz="4" w:space="0" w:color="auto"/>
            </w:tcBorders>
            <w:shd w:val="clear" w:color="auto" w:fill="auto"/>
          </w:tcPr>
          <w:p w:rsidR="00C219A6" w:rsidRDefault="00C219A6" w:rsidP="00C219A6">
            <w:pPr>
              <w:pStyle w:val="CPTabletext"/>
              <w:cnfStyle w:val="000000000000" w:firstRow="0" w:lastRow="0" w:firstColumn="0" w:lastColumn="0" w:oddVBand="0" w:evenVBand="0" w:oddHBand="0" w:evenHBand="0" w:firstRowFirstColumn="0" w:firstRowLastColumn="0" w:lastRowFirstColumn="0" w:lastRowLastColumn="0"/>
            </w:pPr>
            <w:r>
              <w:t>18.1% of domestic undergraduates are from a low SES background (postcode based).</w:t>
            </w:r>
          </w:p>
          <w:p w:rsidR="00C219A6" w:rsidRDefault="00C219A6" w:rsidP="00C219A6">
            <w:pPr>
              <w:pStyle w:val="CPTabletext"/>
              <w:cnfStyle w:val="000000000000" w:firstRow="0" w:lastRow="0" w:firstColumn="0" w:lastColumn="0" w:oddVBand="0" w:evenVBand="0" w:oddHBand="0" w:evenHBand="0" w:firstRowFirstColumn="0" w:firstRowLastColumn="0" w:lastRowFirstColumn="0" w:lastRowLastColumn="0"/>
            </w:pPr>
            <w:r>
              <w:t>2.0% of students at funded higher education providers are Indigenous.</w:t>
            </w:r>
          </w:p>
          <w:p w:rsidR="005A7438" w:rsidRDefault="00C219A6" w:rsidP="00C219A6">
            <w:pPr>
              <w:pStyle w:val="CPTabletext"/>
              <w:cnfStyle w:val="000000000000" w:firstRow="0" w:lastRow="0" w:firstColumn="0" w:lastColumn="0" w:oddVBand="0" w:evenVBand="0" w:oddHBand="0" w:evenHBand="0" w:firstRowFirstColumn="0" w:firstRowLastColumn="0" w:lastRowFirstColumn="0" w:lastRowLastColumn="0"/>
            </w:pPr>
            <w:r>
              <w:t>0.8% completions of higher degrees by research are Indigenous.</w:t>
            </w:r>
          </w:p>
        </w:tc>
        <w:tc>
          <w:tcPr>
            <w:tcW w:w="1560" w:type="dxa"/>
            <w:tcBorders>
              <w:bottom w:val="single" w:sz="4" w:space="0" w:color="auto"/>
            </w:tcBorders>
            <w:shd w:val="clear" w:color="auto" w:fill="auto"/>
          </w:tcPr>
          <w:p w:rsidR="00C219A6" w:rsidRDefault="00C219A6" w:rsidP="00C219A6">
            <w:pPr>
              <w:pStyle w:val="CPTabletext"/>
              <w:cnfStyle w:val="000000000000" w:firstRow="0" w:lastRow="0" w:firstColumn="0" w:lastColumn="0" w:oddVBand="0" w:evenVBand="0" w:oddHBand="0" w:evenHBand="0" w:firstRowFirstColumn="0" w:firstRowLastColumn="0" w:lastRowFirstColumn="0" w:lastRowLastColumn="0"/>
            </w:pPr>
            <w:r>
              <w:t>18.2% of domestic undergraduates are from a low SES background (postcode based).</w:t>
            </w:r>
          </w:p>
          <w:p w:rsidR="00C219A6" w:rsidRDefault="00C219A6" w:rsidP="00C219A6">
            <w:pPr>
              <w:pStyle w:val="CPTabletext"/>
              <w:cnfStyle w:val="000000000000" w:firstRow="0" w:lastRow="0" w:firstColumn="0" w:lastColumn="0" w:oddVBand="0" w:evenVBand="0" w:oddHBand="0" w:evenHBand="0" w:firstRowFirstColumn="0" w:firstRowLastColumn="0" w:lastRowFirstColumn="0" w:lastRowLastColumn="0"/>
            </w:pPr>
            <w:r>
              <w:t>2.2% of students at funded higher education providers are Indigenous.</w:t>
            </w:r>
          </w:p>
          <w:p w:rsidR="005A7438" w:rsidRPr="00AF5ED3" w:rsidRDefault="00C219A6" w:rsidP="00C219A6">
            <w:pPr>
              <w:pStyle w:val="CPTabletext"/>
              <w:cnfStyle w:val="000000000000" w:firstRow="0" w:lastRow="0" w:firstColumn="0" w:lastColumn="0" w:oddVBand="0" w:evenVBand="0" w:oddHBand="0" w:evenHBand="0" w:firstRowFirstColumn="0" w:firstRowLastColumn="0" w:lastRowFirstColumn="0" w:lastRowLastColumn="0"/>
            </w:pPr>
            <w:r>
              <w:t>0.9% completions of higher degrees by research are Indigenous.</w:t>
            </w:r>
          </w:p>
        </w:tc>
      </w:tr>
      <w:tr w:rsidR="005A7438" w:rsidRPr="00AF5ED3" w:rsidTr="0010795C">
        <w:tc>
          <w:tcPr>
            <w:cnfStyle w:val="001000000000" w:firstRow="0" w:lastRow="0" w:firstColumn="1" w:lastColumn="0" w:oddVBand="0" w:evenVBand="0" w:oddHBand="0" w:evenHBand="0" w:firstRowFirstColumn="0" w:firstRowLastColumn="0" w:lastRowFirstColumn="0" w:lastRowLastColumn="0"/>
            <w:tcW w:w="2017" w:type="dxa"/>
          </w:tcPr>
          <w:p w:rsidR="005A7438" w:rsidRPr="004E73B5" w:rsidRDefault="005A7438" w:rsidP="00622A34">
            <w:pPr>
              <w:pStyle w:val="CPTabletext"/>
            </w:pPr>
            <w:r>
              <w:t>Under</w:t>
            </w:r>
            <w:r w:rsidRPr="004E73B5">
              <w:t>graduates continue to have</w:t>
            </w:r>
            <w:r>
              <w:t xml:space="preserve"> relatively high employability and </w:t>
            </w:r>
            <w:r w:rsidRPr="00347341">
              <w:t>earnings.</w:t>
            </w:r>
          </w:p>
        </w:tc>
        <w:tc>
          <w:tcPr>
            <w:tcW w:w="957" w:type="dxa"/>
          </w:tcPr>
          <w:p w:rsidR="005A7438" w:rsidRPr="004E73B5" w:rsidRDefault="005A7438" w:rsidP="00622A34">
            <w:pPr>
              <w:pStyle w:val="CPTabletext"/>
              <w:cnfStyle w:val="000000000000" w:firstRow="0" w:lastRow="0" w:firstColumn="0" w:lastColumn="0" w:oddVBand="0" w:evenVBand="0" w:oddHBand="0" w:evenHBand="0" w:firstRowFirstColumn="0" w:firstRowLastColumn="0" w:lastRowFirstColumn="0" w:lastRowLastColumn="0"/>
            </w:pPr>
            <w:r>
              <w:t>2.1; 2.3; 2.4</w:t>
            </w:r>
          </w:p>
        </w:tc>
        <w:tc>
          <w:tcPr>
            <w:tcW w:w="1385" w:type="dxa"/>
          </w:tcPr>
          <w:p w:rsidR="005A7438" w:rsidRPr="004E73B5" w:rsidRDefault="005A7438" w:rsidP="00347341">
            <w:pPr>
              <w:pStyle w:val="CPTabletext"/>
              <w:cnfStyle w:val="000000000000" w:firstRow="0" w:lastRow="0" w:firstColumn="0" w:lastColumn="0" w:oddVBand="0" w:evenVBand="0" w:oddHBand="0" w:evenHBand="0" w:firstRowFirstColumn="0" w:firstRowLastColumn="0" w:lastRowFirstColumn="0" w:lastRowLastColumn="0"/>
            </w:pPr>
            <w:r>
              <w:t>Annual survey and ATO</w:t>
            </w:r>
            <w:r w:rsidR="000F7C8B">
              <w:rPr>
                <w:vertAlign w:val="superscript"/>
              </w:rPr>
              <w:t>a</w:t>
            </w:r>
            <w:r>
              <w:t xml:space="preserve"> data</w:t>
            </w:r>
          </w:p>
        </w:tc>
        <w:tc>
          <w:tcPr>
            <w:tcW w:w="1559" w:type="dxa"/>
          </w:tcPr>
          <w:p w:rsidR="005A7438" w:rsidRPr="004E73B5" w:rsidRDefault="009F15A5" w:rsidP="009F15A5">
            <w:pPr>
              <w:pStyle w:val="CPTabletext"/>
              <w:cnfStyle w:val="000000000000" w:firstRow="0" w:lastRow="0" w:firstColumn="0" w:lastColumn="0" w:oddVBand="0" w:evenVBand="0" w:oddHBand="0" w:evenHBand="0" w:firstRowFirstColumn="0" w:firstRowLastColumn="0" w:lastRowFirstColumn="0" w:lastRowLastColumn="0"/>
            </w:pPr>
            <w:r w:rsidRPr="009F15A5">
              <w:t>87% employed</w:t>
            </w:r>
            <w:r>
              <w:t xml:space="preserve"> </w:t>
            </w:r>
            <w:r w:rsidRPr="009F15A5">
              <w:t>within four</w:t>
            </w:r>
            <w:r>
              <w:t xml:space="preserve"> </w:t>
            </w:r>
            <w:r w:rsidRPr="009F15A5">
              <w:t>months of</w:t>
            </w:r>
            <w:r>
              <w:t xml:space="preserve"> </w:t>
            </w:r>
            <w:r w:rsidRPr="009F15A5">
              <w:t>completing</w:t>
            </w:r>
            <w:r>
              <w:t xml:space="preserve"> </w:t>
            </w:r>
            <w:r w:rsidRPr="009F15A5">
              <w:t>degree.</w:t>
            </w:r>
          </w:p>
        </w:tc>
        <w:tc>
          <w:tcPr>
            <w:tcW w:w="1560" w:type="dxa"/>
          </w:tcPr>
          <w:p w:rsidR="005A7438" w:rsidRPr="004E73B5" w:rsidRDefault="009F15A5" w:rsidP="00622A34">
            <w:pPr>
              <w:pStyle w:val="CPTabletext"/>
              <w:cnfStyle w:val="000000000000" w:firstRow="0" w:lastRow="0" w:firstColumn="0" w:lastColumn="0" w:oddVBand="0" w:evenVBand="0" w:oddHBand="0" w:evenHBand="0" w:firstRowFirstColumn="0" w:firstRowLastColumn="0" w:lastRowFirstColumn="0" w:lastRowLastColumn="0"/>
            </w:pPr>
            <w:r w:rsidRPr="009F15A5">
              <w:t>87% employed</w:t>
            </w:r>
            <w:r>
              <w:t xml:space="preserve"> </w:t>
            </w:r>
            <w:r w:rsidRPr="009F15A5">
              <w:t>within four</w:t>
            </w:r>
            <w:r>
              <w:t xml:space="preserve"> </w:t>
            </w:r>
            <w:r w:rsidRPr="009F15A5">
              <w:t>months of</w:t>
            </w:r>
            <w:r>
              <w:t xml:space="preserve"> </w:t>
            </w:r>
            <w:r w:rsidRPr="009F15A5">
              <w:t>completing</w:t>
            </w:r>
            <w:r>
              <w:t xml:space="preserve"> </w:t>
            </w:r>
            <w:r w:rsidRPr="009F15A5">
              <w:t>degree.</w:t>
            </w:r>
          </w:p>
        </w:tc>
        <w:tc>
          <w:tcPr>
            <w:tcW w:w="1560" w:type="dxa"/>
            <w:shd w:val="clear" w:color="auto" w:fill="auto"/>
          </w:tcPr>
          <w:p w:rsidR="005A7438" w:rsidRPr="004E73B5" w:rsidRDefault="005A7438" w:rsidP="00622A34">
            <w:pPr>
              <w:pStyle w:val="CPTabletext"/>
              <w:cnfStyle w:val="000000000000" w:firstRow="0" w:lastRow="0" w:firstColumn="0" w:lastColumn="0" w:oddVBand="0" w:evenVBand="0" w:oddHBand="0" w:evenHBand="0" w:firstRowFirstColumn="0" w:firstRowLastColumn="0" w:lastRowFirstColumn="0" w:lastRowLastColumn="0"/>
            </w:pPr>
            <w:r>
              <w:t>87.7%</w:t>
            </w:r>
            <w:r w:rsidRPr="00E161E3">
              <w:t xml:space="preserve"> employed within four months of </w:t>
            </w:r>
            <w:r>
              <w:t>completing degree.</w:t>
            </w:r>
          </w:p>
        </w:tc>
        <w:tc>
          <w:tcPr>
            <w:tcW w:w="1560" w:type="dxa"/>
            <w:shd w:val="clear" w:color="auto" w:fill="auto"/>
          </w:tcPr>
          <w:p w:rsidR="005A7438" w:rsidRPr="004E73B5" w:rsidRDefault="005A7438" w:rsidP="00622A34">
            <w:pPr>
              <w:pStyle w:val="CPTabletext"/>
              <w:cnfStyle w:val="000000000000" w:firstRow="0" w:lastRow="0" w:firstColumn="0" w:lastColumn="0" w:oddVBand="0" w:evenVBand="0" w:oddHBand="0" w:evenHBand="0" w:firstRowFirstColumn="0" w:firstRowLastColumn="0" w:lastRowFirstColumn="0" w:lastRowLastColumn="0"/>
            </w:pPr>
            <w:r>
              <w:t>87.7%</w:t>
            </w:r>
            <w:r w:rsidRPr="00E161E3">
              <w:t xml:space="preserve"> employed within four months of </w:t>
            </w:r>
            <w:r>
              <w:t>completing degree.</w:t>
            </w:r>
          </w:p>
        </w:tc>
      </w:tr>
      <w:tr w:rsidR="005A7438" w:rsidRPr="00AF5ED3" w:rsidTr="0010795C">
        <w:tc>
          <w:tcPr>
            <w:cnfStyle w:val="001000000000" w:firstRow="0" w:lastRow="0" w:firstColumn="1" w:lastColumn="0" w:oddVBand="0" w:evenVBand="0" w:oddHBand="0" w:evenHBand="0" w:firstRowFirstColumn="0" w:firstRowLastColumn="0" w:lastRowFirstColumn="0" w:lastRowLastColumn="0"/>
            <w:tcW w:w="2017" w:type="dxa"/>
          </w:tcPr>
          <w:p w:rsidR="005A7438" w:rsidRPr="00EB130F" w:rsidRDefault="008A1745" w:rsidP="00C01AB5">
            <w:pPr>
              <w:pStyle w:val="CPTabletext"/>
              <w:rPr>
                <w:color w:val="auto"/>
              </w:rPr>
            </w:pPr>
            <w:r w:rsidRPr="00C01AB5">
              <w:t>VET training choices</w:t>
            </w:r>
            <w:r w:rsidR="00C01AB5">
              <w:t xml:space="preserve"> </w:t>
            </w:r>
            <w:r w:rsidRPr="00C01AB5">
              <w:t>are better aligned with</w:t>
            </w:r>
            <w:r w:rsidR="00C01AB5">
              <w:t xml:space="preserve"> </w:t>
            </w:r>
            <w:r w:rsidRPr="00C01AB5">
              <w:t>industry needs.</w:t>
            </w:r>
          </w:p>
        </w:tc>
        <w:tc>
          <w:tcPr>
            <w:tcW w:w="957" w:type="dxa"/>
          </w:tcPr>
          <w:p w:rsidR="005A7438" w:rsidRPr="000A0F45" w:rsidRDefault="008A1745" w:rsidP="00622A34">
            <w:pPr>
              <w:pStyle w:val="CPTabletext"/>
              <w:cnfStyle w:val="000000000000" w:firstRow="0" w:lastRow="0" w:firstColumn="0" w:lastColumn="0" w:oddVBand="0" w:evenVBand="0" w:oddHBand="0" w:evenHBand="0" w:firstRowFirstColumn="0" w:firstRowLastColumn="0" w:lastRowFirstColumn="0" w:lastRowLastColumn="0"/>
              <w:rPr>
                <w:color w:val="auto"/>
              </w:rPr>
            </w:pPr>
            <w:r>
              <w:rPr>
                <w:color w:val="auto"/>
              </w:rPr>
              <w:t>2.4</w:t>
            </w:r>
          </w:p>
        </w:tc>
        <w:tc>
          <w:tcPr>
            <w:tcW w:w="1385" w:type="dxa"/>
          </w:tcPr>
          <w:p w:rsidR="005A7438" w:rsidRDefault="00C01AB5" w:rsidP="00C01AB5">
            <w:pPr>
              <w:pStyle w:val="CPTabletext"/>
              <w:cnfStyle w:val="000000000000" w:firstRow="0" w:lastRow="0" w:firstColumn="0" w:lastColumn="0" w:oddVBand="0" w:evenVBand="0" w:oddHBand="0" w:evenHBand="0" w:firstRowFirstColumn="0" w:firstRowLastColumn="0" w:lastRowFirstColumn="0" w:lastRowLastColumn="0"/>
            </w:pPr>
            <w:r w:rsidRPr="00C01AB5">
              <w:t>Survey on</w:t>
            </w:r>
            <w:r>
              <w:t xml:space="preserve"> </w:t>
            </w:r>
            <w:r w:rsidRPr="00C01AB5">
              <w:t>enrolment</w:t>
            </w:r>
          </w:p>
        </w:tc>
        <w:tc>
          <w:tcPr>
            <w:tcW w:w="1559" w:type="dxa"/>
          </w:tcPr>
          <w:p w:rsidR="005A7438" w:rsidRPr="00AF5ED3" w:rsidRDefault="00C01AB5" w:rsidP="00C01AB5">
            <w:pPr>
              <w:pStyle w:val="CPTabletext"/>
              <w:cnfStyle w:val="000000000000" w:firstRow="0" w:lastRow="0" w:firstColumn="0" w:lastColumn="0" w:oddVBand="0" w:evenVBand="0" w:oddHBand="0" w:evenHBand="0" w:firstRowFirstColumn="0" w:firstRowLastColumn="0" w:lastRowFirstColumn="0" w:lastRowLastColumn="0"/>
            </w:pPr>
            <w:r w:rsidRPr="00C01AB5">
              <w:t>80% of VET</w:t>
            </w:r>
            <w:r>
              <w:t xml:space="preserve"> </w:t>
            </w:r>
            <w:r w:rsidRPr="00C01AB5">
              <w:t>Student Loans</w:t>
            </w:r>
            <w:r>
              <w:t xml:space="preserve"> </w:t>
            </w:r>
            <w:r w:rsidRPr="00C01AB5">
              <w:t>students</w:t>
            </w:r>
            <w:r>
              <w:t xml:space="preserve"> </w:t>
            </w:r>
            <w:r w:rsidRPr="00C01AB5">
              <w:t>surveyed report</w:t>
            </w:r>
            <w:r>
              <w:t xml:space="preserve"> </w:t>
            </w:r>
            <w:r w:rsidRPr="00C01AB5">
              <w:t>studying for job</w:t>
            </w:r>
            <w:r>
              <w:t xml:space="preserve"> </w:t>
            </w:r>
            <w:r w:rsidRPr="00C01AB5">
              <w:t xml:space="preserve">or </w:t>
            </w:r>
            <w:r w:rsidR="004A61F9" w:rsidRPr="00C01AB5">
              <w:t>business related</w:t>
            </w:r>
            <w:r>
              <w:t xml:space="preserve"> </w:t>
            </w:r>
            <w:r w:rsidRPr="00C01AB5">
              <w:t>reasons.</w:t>
            </w:r>
          </w:p>
        </w:tc>
        <w:tc>
          <w:tcPr>
            <w:tcW w:w="1560" w:type="dxa"/>
          </w:tcPr>
          <w:p w:rsidR="005A7438" w:rsidRPr="00AF5ED3" w:rsidRDefault="00C01AB5" w:rsidP="00622A34">
            <w:pPr>
              <w:pStyle w:val="CPTabletext"/>
              <w:cnfStyle w:val="000000000000" w:firstRow="0" w:lastRow="0" w:firstColumn="0" w:lastColumn="0" w:oddVBand="0" w:evenVBand="0" w:oddHBand="0" w:evenHBand="0" w:firstRowFirstColumn="0" w:firstRowLastColumn="0" w:lastRowFirstColumn="0" w:lastRowLastColumn="0"/>
            </w:pPr>
            <w:r w:rsidRPr="00C01AB5">
              <w:t>80% of VET</w:t>
            </w:r>
            <w:r>
              <w:t xml:space="preserve"> </w:t>
            </w:r>
            <w:r w:rsidRPr="00C01AB5">
              <w:t>Student Loans</w:t>
            </w:r>
            <w:r>
              <w:t xml:space="preserve"> </w:t>
            </w:r>
            <w:r w:rsidRPr="00C01AB5">
              <w:t>students</w:t>
            </w:r>
            <w:r>
              <w:t xml:space="preserve"> </w:t>
            </w:r>
            <w:r w:rsidRPr="00C01AB5">
              <w:t>surveyed report</w:t>
            </w:r>
            <w:r>
              <w:t xml:space="preserve"> </w:t>
            </w:r>
            <w:r w:rsidRPr="00C01AB5">
              <w:t>studying for job</w:t>
            </w:r>
            <w:r>
              <w:t xml:space="preserve"> </w:t>
            </w:r>
            <w:r w:rsidRPr="00C01AB5">
              <w:t xml:space="preserve">or </w:t>
            </w:r>
            <w:r w:rsidR="004A61F9" w:rsidRPr="00C01AB5">
              <w:t>business related</w:t>
            </w:r>
            <w:r>
              <w:t xml:space="preserve"> </w:t>
            </w:r>
            <w:r w:rsidRPr="00C01AB5">
              <w:t>reasons.</w:t>
            </w:r>
          </w:p>
        </w:tc>
        <w:tc>
          <w:tcPr>
            <w:tcW w:w="1560" w:type="dxa"/>
          </w:tcPr>
          <w:p w:rsidR="005A7438" w:rsidRPr="00AF5ED3" w:rsidRDefault="00C01AB5" w:rsidP="00622A34">
            <w:pPr>
              <w:pStyle w:val="CPTabletext"/>
              <w:cnfStyle w:val="000000000000" w:firstRow="0" w:lastRow="0" w:firstColumn="0" w:lastColumn="0" w:oddVBand="0" w:evenVBand="0" w:oddHBand="0" w:evenHBand="0" w:firstRowFirstColumn="0" w:firstRowLastColumn="0" w:lastRowFirstColumn="0" w:lastRowLastColumn="0"/>
            </w:pPr>
            <w:r w:rsidRPr="00C01AB5">
              <w:t>80% of VET</w:t>
            </w:r>
            <w:r>
              <w:t xml:space="preserve"> </w:t>
            </w:r>
            <w:r w:rsidRPr="00C01AB5">
              <w:t>Student Loans</w:t>
            </w:r>
            <w:r>
              <w:t xml:space="preserve"> </w:t>
            </w:r>
            <w:r w:rsidRPr="00C01AB5">
              <w:t>students</w:t>
            </w:r>
            <w:r>
              <w:t xml:space="preserve"> </w:t>
            </w:r>
            <w:r w:rsidRPr="00C01AB5">
              <w:t>surveyed report</w:t>
            </w:r>
            <w:r>
              <w:t xml:space="preserve"> </w:t>
            </w:r>
            <w:r w:rsidRPr="00C01AB5">
              <w:t>studying for job</w:t>
            </w:r>
            <w:r>
              <w:t xml:space="preserve"> </w:t>
            </w:r>
            <w:r w:rsidRPr="00C01AB5">
              <w:t xml:space="preserve">or </w:t>
            </w:r>
            <w:r w:rsidR="004A61F9" w:rsidRPr="00C01AB5">
              <w:t>business related</w:t>
            </w:r>
            <w:r>
              <w:t xml:space="preserve"> </w:t>
            </w:r>
            <w:r w:rsidRPr="00C01AB5">
              <w:t>reasons.</w:t>
            </w:r>
          </w:p>
        </w:tc>
        <w:tc>
          <w:tcPr>
            <w:tcW w:w="1560" w:type="dxa"/>
          </w:tcPr>
          <w:p w:rsidR="005A7438" w:rsidRPr="00AF5ED3" w:rsidRDefault="00C01AB5" w:rsidP="00622A34">
            <w:pPr>
              <w:pStyle w:val="CPTabletext"/>
              <w:cnfStyle w:val="000000000000" w:firstRow="0" w:lastRow="0" w:firstColumn="0" w:lastColumn="0" w:oddVBand="0" w:evenVBand="0" w:oddHBand="0" w:evenHBand="0" w:firstRowFirstColumn="0" w:firstRowLastColumn="0" w:lastRowFirstColumn="0" w:lastRowLastColumn="0"/>
            </w:pPr>
            <w:r w:rsidRPr="00C01AB5">
              <w:t>80% of VET</w:t>
            </w:r>
            <w:r>
              <w:t xml:space="preserve"> </w:t>
            </w:r>
            <w:r w:rsidRPr="00C01AB5">
              <w:t>Student Loans</w:t>
            </w:r>
            <w:r>
              <w:t xml:space="preserve"> </w:t>
            </w:r>
            <w:r w:rsidRPr="00C01AB5">
              <w:t>students</w:t>
            </w:r>
            <w:r>
              <w:t xml:space="preserve"> </w:t>
            </w:r>
            <w:r w:rsidRPr="00C01AB5">
              <w:t>surveyed report</w:t>
            </w:r>
            <w:r>
              <w:t xml:space="preserve"> </w:t>
            </w:r>
            <w:r w:rsidRPr="00C01AB5">
              <w:t>studying for job</w:t>
            </w:r>
            <w:r>
              <w:t xml:space="preserve"> </w:t>
            </w:r>
            <w:r w:rsidRPr="00C01AB5">
              <w:t xml:space="preserve">or </w:t>
            </w:r>
            <w:r w:rsidR="004A61F9" w:rsidRPr="00C01AB5">
              <w:t>business related</w:t>
            </w:r>
            <w:r>
              <w:t xml:space="preserve"> </w:t>
            </w:r>
            <w:r w:rsidRPr="00C01AB5">
              <w:t>reasons.</w:t>
            </w:r>
          </w:p>
        </w:tc>
      </w:tr>
      <w:tr w:rsidR="005A7438" w:rsidRPr="00AF5ED3" w:rsidTr="0010795C">
        <w:tc>
          <w:tcPr>
            <w:cnfStyle w:val="001000000000" w:firstRow="0" w:lastRow="0" w:firstColumn="1" w:lastColumn="0" w:oddVBand="0" w:evenVBand="0" w:oddHBand="0" w:evenHBand="0" w:firstRowFirstColumn="0" w:firstRowLastColumn="0" w:lastRowFirstColumn="0" w:lastRowLastColumn="0"/>
            <w:tcW w:w="2017" w:type="dxa"/>
          </w:tcPr>
          <w:p w:rsidR="005A7438" w:rsidRDefault="00C01AB5" w:rsidP="009018C3">
            <w:pPr>
              <w:pStyle w:val="CPTabletext"/>
            </w:pPr>
            <w:r w:rsidRPr="00C01AB5">
              <w:t>VET</w:t>
            </w:r>
            <w:r>
              <w:t xml:space="preserve"> </w:t>
            </w:r>
            <w:r w:rsidRPr="00C01AB5">
              <w:t>student satisfaction</w:t>
            </w:r>
            <w:r>
              <w:t xml:space="preserve"> </w:t>
            </w:r>
            <w:r w:rsidRPr="00C01AB5">
              <w:t>and employability.</w:t>
            </w:r>
          </w:p>
        </w:tc>
        <w:tc>
          <w:tcPr>
            <w:tcW w:w="957" w:type="dxa"/>
          </w:tcPr>
          <w:p w:rsidR="005A7438" w:rsidRDefault="008A1745" w:rsidP="00622A34">
            <w:pPr>
              <w:pStyle w:val="CPTabletext"/>
              <w:cnfStyle w:val="000000000000" w:firstRow="0" w:lastRow="0" w:firstColumn="0" w:lastColumn="0" w:oddVBand="0" w:evenVBand="0" w:oddHBand="0" w:evenHBand="0" w:firstRowFirstColumn="0" w:firstRowLastColumn="0" w:lastRowFirstColumn="0" w:lastRowLastColumn="0"/>
            </w:pPr>
            <w:r>
              <w:t>2.8</w:t>
            </w:r>
          </w:p>
        </w:tc>
        <w:tc>
          <w:tcPr>
            <w:tcW w:w="1385" w:type="dxa"/>
          </w:tcPr>
          <w:p w:rsidR="005A7438" w:rsidRDefault="00C01AB5" w:rsidP="00622A34">
            <w:pPr>
              <w:pStyle w:val="CPTabletext"/>
              <w:cnfStyle w:val="000000000000" w:firstRow="0" w:lastRow="0" w:firstColumn="0" w:lastColumn="0" w:oddVBand="0" w:evenVBand="0" w:oddHBand="0" w:evenHBand="0" w:firstRowFirstColumn="0" w:firstRowLastColumn="0" w:lastRowFirstColumn="0" w:lastRowLastColumn="0"/>
            </w:pPr>
            <w:r>
              <w:t>Annual survey</w:t>
            </w:r>
          </w:p>
        </w:tc>
        <w:tc>
          <w:tcPr>
            <w:tcW w:w="1559" w:type="dxa"/>
          </w:tcPr>
          <w:p w:rsidR="00C01AB5" w:rsidRPr="00C01AB5" w:rsidRDefault="00C01AB5" w:rsidP="00C01AB5">
            <w:pPr>
              <w:pStyle w:val="CPTabletext"/>
              <w:cnfStyle w:val="000000000000" w:firstRow="0" w:lastRow="0" w:firstColumn="0" w:lastColumn="0" w:oddVBand="0" w:evenVBand="0" w:oddHBand="0" w:evenHBand="0" w:firstRowFirstColumn="0" w:firstRowLastColumn="0" w:lastRowFirstColumn="0" w:lastRowLastColumn="0"/>
            </w:pPr>
            <w:r w:rsidRPr="00C01AB5">
              <w:t>80% of</w:t>
            </w:r>
            <w:r>
              <w:t xml:space="preserve"> </w:t>
            </w:r>
            <w:r w:rsidRPr="00C01AB5">
              <w:t>graduates are</w:t>
            </w:r>
            <w:r>
              <w:t xml:space="preserve"> </w:t>
            </w:r>
            <w:r w:rsidRPr="00C01AB5">
              <w:t>satisfied with the</w:t>
            </w:r>
            <w:r>
              <w:t xml:space="preserve"> </w:t>
            </w:r>
            <w:r w:rsidRPr="00C01AB5">
              <w:t>overall quality of</w:t>
            </w:r>
            <w:r>
              <w:t xml:space="preserve"> </w:t>
            </w:r>
            <w:r w:rsidRPr="00C01AB5">
              <w:t>their training.</w:t>
            </w:r>
          </w:p>
          <w:p w:rsidR="005A7438" w:rsidRDefault="00C01AB5" w:rsidP="00C01AB5">
            <w:pPr>
              <w:pStyle w:val="CPTabletext"/>
              <w:cnfStyle w:val="000000000000" w:firstRow="0" w:lastRow="0" w:firstColumn="0" w:lastColumn="0" w:oddVBand="0" w:evenVBand="0" w:oddHBand="0" w:evenHBand="0" w:firstRowFirstColumn="0" w:firstRowLastColumn="0" w:lastRowFirstColumn="0" w:lastRowLastColumn="0"/>
            </w:pPr>
            <w:r w:rsidRPr="00C01AB5">
              <w:t>80% of</w:t>
            </w:r>
            <w:r>
              <w:t xml:space="preserve"> </w:t>
            </w:r>
            <w:r w:rsidRPr="00C01AB5">
              <w:t>graduates were</w:t>
            </w:r>
            <w:r>
              <w:t xml:space="preserve"> </w:t>
            </w:r>
            <w:r w:rsidRPr="00C01AB5">
              <w:t>employed or</w:t>
            </w:r>
            <w:r>
              <w:t xml:space="preserve"> </w:t>
            </w:r>
            <w:r w:rsidRPr="00C01AB5">
              <w:t>enrolled in</w:t>
            </w:r>
            <w:r>
              <w:t xml:space="preserve"> </w:t>
            </w:r>
            <w:r w:rsidRPr="00C01AB5">
              <w:t>further study</w:t>
            </w:r>
            <w:r>
              <w:t xml:space="preserve"> </w:t>
            </w:r>
            <w:r w:rsidRPr="00C01AB5">
              <w:t>after training.</w:t>
            </w:r>
          </w:p>
        </w:tc>
        <w:tc>
          <w:tcPr>
            <w:tcW w:w="1560" w:type="dxa"/>
          </w:tcPr>
          <w:p w:rsidR="00C01AB5" w:rsidRPr="00C01AB5" w:rsidRDefault="00C01AB5" w:rsidP="00C01AB5">
            <w:pPr>
              <w:pStyle w:val="CPTabletext"/>
              <w:cnfStyle w:val="000000000000" w:firstRow="0" w:lastRow="0" w:firstColumn="0" w:lastColumn="0" w:oddVBand="0" w:evenVBand="0" w:oddHBand="0" w:evenHBand="0" w:firstRowFirstColumn="0" w:firstRowLastColumn="0" w:lastRowFirstColumn="0" w:lastRowLastColumn="0"/>
            </w:pPr>
            <w:r w:rsidRPr="00C01AB5">
              <w:t>80% of</w:t>
            </w:r>
            <w:r>
              <w:t xml:space="preserve"> </w:t>
            </w:r>
            <w:r w:rsidRPr="00C01AB5">
              <w:t>graduates are</w:t>
            </w:r>
            <w:r>
              <w:t xml:space="preserve"> </w:t>
            </w:r>
            <w:r w:rsidRPr="00C01AB5">
              <w:t>satisfied with the</w:t>
            </w:r>
            <w:r>
              <w:t xml:space="preserve"> </w:t>
            </w:r>
            <w:r w:rsidRPr="00C01AB5">
              <w:t>overall quality of</w:t>
            </w:r>
            <w:r>
              <w:t xml:space="preserve"> </w:t>
            </w:r>
            <w:r w:rsidRPr="00C01AB5">
              <w:t>their training.</w:t>
            </w:r>
          </w:p>
          <w:p w:rsidR="005A7438" w:rsidRDefault="00C01AB5" w:rsidP="00C01AB5">
            <w:pPr>
              <w:pStyle w:val="CPTabletext"/>
              <w:cnfStyle w:val="000000000000" w:firstRow="0" w:lastRow="0" w:firstColumn="0" w:lastColumn="0" w:oddVBand="0" w:evenVBand="0" w:oddHBand="0" w:evenHBand="0" w:firstRowFirstColumn="0" w:firstRowLastColumn="0" w:lastRowFirstColumn="0" w:lastRowLastColumn="0"/>
            </w:pPr>
            <w:r w:rsidRPr="00C01AB5">
              <w:t>80% of</w:t>
            </w:r>
            <w:r>
              <w:t xml:space="preserve"> </w:t>
            </w:r>
            <w:r w:rsidRPr="00C01AB5">
              <w:t>graduates were</w:t>
            </w:r>
            <w:r>
              <w:t xml:space="preserve"> </w:t>
            </w:r>
            <w:r w:rsidRPr="00C01AB5">
              <w:t>employed or</w:t>
            </w:r>
            <w:r>
              <w:t xml:space="preserve"> </w:t>
            </w:r>
            <w:r w:rsidRPr="00C01AB5">
              <w:t>enrolled in</w:t>
            </w:r>
            <w:r>
              <w:t xml:space="preserve"> </w:t>
            </w:r>
            <w:r w:rsidRPr="00C01AB5">
              <w:t>further study</w:t>
            </w:r>
            <w:r>
              <w:t xml:space="preserve"> </w:t>
            </w:r>
            <w:r w:rsidRPr="00C01AB5">
              <w:t>after training.</w:t>
            </w:r>
          </w:p>
        </w:tc>
        <w:tc>
          <w:tcPr>
            <w:tcW w:w="1560" w:type="dxa"/>
          </w:tcPr>
          <w:p w:rsidR="00C01AB5" w:rsidRPr="00C01AB5" w:rsidRDefault="00C01AB5" w:rsidP="00C01AB5">
            <w:pPr>
              <w:pStyle w:val="CPTabletext"/>
              <w:cnfStyle w:val="000000000000" w:firstRow="0" w:lastRow="0" w:firstColumn="0" w:lastColumn="0" w:oddVBand="0" w:evenVBand="0" w:oddHBand="0" w:evenHBand="0" w:firstRowFirstColumn="0" w:firstRowLastColumn="0" w:lastRowFirstColumn="0" w:lastRowLastColumn="0"/>
            </w:pPr>
            <w:r w:rsidRPr="00C01AB5">
              <w:t>80% of</w:t>
            </w:r>
            <w:r>
              <w:t xml:space="preserve"> </w:t>
            </w:r>
            <w:r w:rsidRPr="00C01AB5">
              <w:t>graduates are</w:t>
            </w:r>
            <w:r>
              <w:t xml:space="preserve"> </w:t>
            </w:r>
            <w:r w:rsidRPr="00C01AB5">
              <w:t>satisfied with the</w:t>
            </w:r>
            <w:r>
              <w:t xml:space="preserve"> </w:t>
            </w:r>
            <w:r w:rsidRPr="00C01AB5">
              <w:t>overall quality of</w:t>
            </w:r>
            <w:r>
              <w:t xml:space="preserve"> </w:t>
            </w:r>
            <w:r w:rsidRPr="00C01AB5">
              <w:t>their training.</w:t>
            </w:r>
          </w:p>
          <w:p w:rsidR="005A7438" w:rsidRDefault="00C01AB5" w:rsidP="00C01AB5">
            <w:pPr>
              <w:pStyle w:val="CPTabletext"/>
              <w:cnfStyle w:val="000000000000" w:firstRow="0" w:lastRow="0" w:firstColumn="0" w:lastColumn="0" w:oddVBand="0" w:evenVBand="0" w:oddHBand="0" w:evenHBand="0" w:firstRowFirstColumn="0" w:firstRowLastColumn="0" w:lastRowFirstColumn="0" w:lastRowLastColumn="0"/>
            </w:pPr>
            <w:r w:rsidRPr="00C01AB5">
              <w:t>80% of</w:t>
            </w:r>
            <w:r>
              <w:t xml:space="preserve"> </w:t>
            </w:r>
            <w:r w:rsidRPr="00C01AB5">
              <w:t>graduates were</w:t>
            </w:r>
            <w:r>
              <w:t xml:space="preserve"> </w:t>
            </w:r>
            <w:r w:rsidRPr="00C01AB5">
              <w:t>employed or</w:t>
            </w:r>
            <w:r>
              <w:t xml:space="preserve"> </w:t>
            </w:r>
            <w:r w:rsidRPr="00C01AB5">
              <w:t>enrolled in</w:t>
            </w:r>
            <w:r>
              <w:t xml:space="preserve"> </w:t>
            </w:r>
            <w:r w:rsidRPr="00C01AB5">
              <w:t>further study</w:t>
            </w:r>
            <w:r>
              <w:t xml:space="preserve"> </w:t>
            </w:r>
            <w:r w:rsidRPr="00C01AB5">
              <w:t>after training.</w:t>
            </w:r>
          </w:p>
        </w:tc>
        <w:tc>
          <w:tcPr>
            <w:tcW w:w="1560" w:type="dxa"/>
          </w:tcPr>
          <w:p w:rsidR="00C01AB5" w:rsidRPr="00C01AB5" w:rsidRDefault="00C01AB5" w:rsidP="00C01AB5">
            <w:pPr>
              <w:pStyle w:val="CPTabletext"/>
              <w:cnfStyle w:val="000000000000" w:firstRow="0" w:lastRow="0" w:firstColumn="0" w:lastColumn="0" w:oddVBand="0" w:evenVBand="0" w:oddHBand="0" w:evenHBand="0" w:firstRowFirstColumn="0" w:firstRowLastColumn="0" w:lastRowFirstColumn="0" w:lastRowLastColumn="0"/>
            </w:pPr>
            <w:r w:rsidRPr="00C01AB5">
              <w:t>80% of</w:t>
            </w:r>
            <w:r>
              <w:t xml:space="preserve"> </w:t>
            </w:r>
            <w:r w:rsidRPr="00C01AB5">
              <w:t>graduates are</w:t>
            </w:r>
            <w:r>
              <w:t xml:space="preserve"> </w:t>
            </w:r>
            <w:r w:rsidRPr="00C01AB5">
              <w:t>satisfied with the</w:t>
            </w:r>
            <w:r>
              <w:t xml:space="preserve"> </w:t>
            </w:r>
            <w:r w:rsidRPr="00C01AB5">
              <w:t>overall quality of</w:t>
            </w:r>
            <w:r>
              <w:t xml:space="preserve"> </w:t>
            </w:r>
            <w:r w:rsidRPr="00C01AB5">
              <w:t>their training.</w:t>
            </w:r>
          </w:p>
          <w:p w:rsidR="005A7438" w:rsidRDefault="00C01AB5" w:rsidP="00C01AB5">
            <w:pPr>
              <w:pStyle w:val="CPTabletext"/>
              <w:cnfStyle w:val="000000000000" w:firstRow="0" w:lastRow="0" w:firstColumn="0" w:lastColumn="0" w:oddVBand="0" w:evenVBand="0" w:oddHBand="0" w:evenHBand="0" w:firstRowFirstColumn="0" w:firstRowLastColumn="0" w:lastRowFirstColumn="0" w:lastRowLastColumn="0"/>
            </w:pPr>
            <w:r w:rsidRPr="00C01AB5">
              <w:t>80% of</w:t>
            </w:r>
            <w:r>
              <w:t xml:space="preserve"> </w:t>
            </w:r>
            <w:r w:rsidRPr="00C01AB5">
              <w:t>graduates were</w:t>
            </w:r>
            <w:r>
              <w:t xml:space="preserve"> </w:t>
            </w:r>
            <w:r w:rsidRPr="00C01AB5">
              <w:t>employed or</w:t>
            </w:r>
            <w:r>
              <w:t xml:space="preserve"> </w:t>
            </w:r>
            <w:r w:rsidRPr="00C01AB5">
              <w:t>enrolled in</w:t>
            </w:r>
            <w:r>
              <w:t xml:space="preserve"> </w:t>
            </w:r>
            <w:r w:rsidRPr="00C01AB5">
              <w:t>further study</w:t>
            </w:r>
            <w:r>
              <w:t xml:space="preserve"> </w:t>
            </w:r>
            <w:r w:rsidRPr="00C01AB5">
              <w:t>after training.</w:t>
            </w:r>
          </w:p>
        </w:tc>
      </w:tr>
      <w:tr w:rsidR="005A7438" w:rsidRPr="00AF5ED3" w:rsidTr="0010795C">
        <w:tc>
          <w:tcPr>
            <w:cnfStyle w:val="001000000000" w:firstRow="0" w:lastRow="0" w:firstColumn="1" w:lastColumn="0" w:oddVBand="0" w:evenVBand="0" w:oddHBand="0" w:evenHBand="0" w:firstRowFirstColumn="0" w:firstRowLastColumn="0" w:lastRowFirstColumn="0" w:lastRowLastColumn="0"/>
            <w:tcW w:w="2017" w:type="dxa"/>
          </w:tcPr>
          <w:p w:rsidR="002C626B" w:rsidRPr="002C626B" w:rsidRDefault="002C626B" w:rsidP="002C626B">
            <w:pPr>
              <w:pStyle w:val="CPTabletext"/>
            </w:pPr>
            <w:r w:rsidRPr="002C626B">
              <w:t>Employers’ use and</w:t>
            </w:r>
          </w:p>
          <w:p w:rsidR="005A7438" w:rsidRPr="004E73B5" w:rsidRDefault="002C626B" w:rsidP="002C626B">
            <w:pPr>
              <w:pStyle w:val="CPTabletext"/>
              <w:rPr>
                <w:iCs/>
              </w:rPr>
            </w:pPr>
            <w:proofErr w:type="gramStart"/>
            <w:r w:rsidRPr="002C626B">
              <w:t>views</w:t>
            </w:r>
            <w:proofErr w:type="gramEnd"/>
            <w:r w:rsidRPr="002C626B">
              <w:t xml:space="preserve"> of VET.</w:t>
            </w:r>
          </w:p>
        </w:tc>
        <w:tc>
          <w:tcPr>
            <w:tcW w:w="957" w:type="dxa"/>
          </w:tcPr>
          <w:p w:rsidR="005A7438" w:rsidRDefault="008A1745" w:rsidP="00622A34">
            <w:pPr>
              <w:pStyle w:val="CPTabletext"/>
              <w:cnfStyle w:val="000000000000" w:firstRow="0" w:lastRow="0" w:firstColumn="0" w:lastColumn="0" w:oddVBand="0" w:evenVBand="0" w:oddHBand="0" w:evenHBand="0" w:firstRowFirstColumn="0" w:firstRowLastColumn="0" w:lastRowFirstColumn="0" w:lastRowLastColumn="0"/>
            </w:pPr>
            <w:r>
              <w:t>2.8</w:t>
            </w:r>
          </w:p>
        </w:tc>
        <w:tc>
          <w:tcPr>
            <w:tcW w:w="1385" w:type="dxa"/>
          </w:tcPr>
          <w:p w:rsidR="005A7438" w:rsidRDefault="002C626B" w:rsidP="002C626B">
            <w:pPr>
              <w:pStyle w:val="CPTabletext"/>
              <w:cnfStyle w:val="000000000000" w:firstRow="0" w:lastRow="0" w:firstColumn="0" w:lastColumn="0" w:oddVBand="0" w:evenVBand="0" w:oddHBand="0" w:evenHBand="0" w:firstRowFirstColumn="0" w:firstRowLastColumn="0" w:lastRowFirstColumn="0" w:lastRowLastColumn="0"/>
            </w:pPr>
            <w:r w:rsidRPr="002C626B">
              <w:t>Biennial</w:t>
            </w:r>
            <w:r>
              <w:t xml:space="preserve"> </w:t>
            </w:r>
            <w:r w:rsidRPr="002C626B">
              <w:t>survey</w:t>
            </w:r>
            <w:r>
              <w:t xml:space="preserve"> </w:t>
            </w:r>
            <w:r w:rsidRPr="002C626B">
              <w:t>(2017, 2019)</w:t>
            </w:r>
          </w:p>
        </w:tc>
        <w:tc>
          <w:tcPr>
            <w:tcW w:w="1559" w:type="dxa"/>
          </w:tcPr>
          <w:p w:rsidR="002C626B" w:rsidRPr="002C626B" w:rsidRDefault="002C626B" w:rsidP="002C626B">
            <w:pPr>
              <w:pStyle w:val="CPTabletext"/>
              <w:cnfStyle w:val="000000000000" w:firstRow="0" w:lastRow="0" w:firstColumn="0" w:lastColumn="0" w:oddVBand="0" w:evenVBand="0" w:oddHBand="0" w:evenHBand="0" w:firstRowFirstColumn="0" w:firstRowLastColumn="0" w:lastRowFirstColumn="0" w:lastRowLastColumn="0"/>
            </w:pPr>
            <w:r w:rsidRPr="002C626B">
              <w:t>80% of</w:t>
            </w:r>
            <w:r>
              <w:t xml:space="preserve"> </w:t>
            </w:r>
            <w:r w:rsidRPr="002C626B">
              <w:t>employers</w:t>
            </w:r>
            <w:r>
              <w:t xml:space="preserve"> </w:t>
            </w:r>
            <w:r w:rsidRPr="002C626B">
              <w:t>satisfied with</w:t>
            </w:r>
            <w:r>
              <w:t xml:space="preserve"> </w:t>
            </w:r>
            <w:r w:rsidRPr="002C626B">
              <w:t>apprenticeships</w:t>
            </w:r>
            <w:r>
              <w:t xml:space="preserve"> </w:t>
            </w:r>
            <w:r w:rsidRPr="002C626B">
              <w:t>and traineeships.</w:t>
            </w:r>
          </w:p>
          <w:p w:rsidR="005A7438" w:rsidRPr="00B76842" w:rsidRDefault="002C626B" w:rsidP="002C626B">
            <w:pPr>
              <w:pStyle w:val="CPTabletext"/>
              <w:cnfStyle w:val="000000000000" w:firstRow="0" w:lastRow="0" w:firstColumn="0" w:lastColumn="0" w:oddVBand="0" w:evenVBand="0" w:oddHBand="0" w:evenHBand="0" w:firstRowFirstColumn="0" w:firstRowLastColumn="0" w:lastRowFirstColumn="0" w:lastRowLastColumn="0"/>
            </w:pPr>
            <w:r w:rsidRPr="002C626B">
              <w:t>80% of</w:t>
            </w:r>
            <w:r>
              <w:t xml:space="preserve"> </w:t>
            </w:r>
            <w:r w:rsidRPr="002C626B">
              <w:t>employers</w:t>
            </w:r>
            <w:r>
              <w:t xml:space="preserve"> </w:t>
            </w:r>
            <w:r w:rsidRPr="002C626B">
              <w:t>satisfied with</w:t>
            </w:r>
            <w:r>
              <w:t xml:space="preserve"> </w:t>
            </w:r>
            <w:r w:rsidRPr="002C626B">
              <w:t>nationally</w:t>
            </w:r>
            <w:r>
              <w:t xml:space="preserve"> </w:t>
            </w:r>
            <w:r w:rsidRPr="002C626B">
              <w:t>recognised</w:t>
            </w:r>
            <w:r>
              <w:t xml:space="preserve"> </w:t>
            </w:r>
            <w:r w:rsidRPr="002C626B">
              <w:t>training.</w:t>
            </w:r>
          </w:p>
        </w:tc>
        <w:tc>
          <w:tcPr>
            <w:tcW w:w="1560" w:type="dxa"/>
            <w:shd w:val="clear" w:color="auto" w:fill="D9D9D9" w:themeFill="background1" w:themeFillShade="D9"/>
          </w:tcPr>
          <w:p w:rsidR="005A7438" w:rsidRPr="00B76842" w:rsidRDefault="005A7438" w:rsidP="00622A34">
            <w:pPr>
              <w:pStyle w:val="CPTabletext"/>
              <w:cnfStyle w:val="000000000000" w:firstRow="0" w:lastRow="0" w:firstColumn="0" w:lastColumn="0" w:oddVBand="0" w:evenVBand="0" w:oddHBand="0" w:evenHBand="0" w:firstRowFirstColumn="0" w:firstRowLastColumn="0" w:lastRowFirstColumn="0" w:lastRowLastColumn="0"/>
            </w:pPr>
          </w:p>
        </w:tc>
        <w:tc>
          <w:tcPr>
            <w:tcW w:w="1560" w:type="dxa"/>
          </w:tcPr>
          <w:p w:rsidR="002C626B" w:rsidRPr="002C626B" w:rsidRDefault="002C626B" w:rsidP="002C626B">
            <w:pPr>
              <w:pStyle w:val="CPTabletext"/>
              <w:cnfStyle w:val="000000000000" w:firstRow="0" w:lastRow="0" w:firstColumn="0" w:lastColumn="0" w:oddVBand="0" w:evenVBand="0" w:oddHBand="0" w:evenHBand="0" w:firstRowFirstColumn="0" w:firstRowLastColumn="0" w:lastRowFirstColumn="0" w:lastRowLastColumn="0"/>
            </w:pPr>
            <w:r w:rsidRPr="002C626B">
              <w:t>80% of</w:t>
            </w:r>
            <w:r>
              <w:t xml:space="preserve"> </w:t>
            </w:r>
            <w:r w:rsidRPr="002C626B">
              <w:t>employers</w:t>
            </w:r>
            <w:r>
              <w:t xml:space="preserve"> </w:t>
            </w:r>
            <w:r w:rsidRPr="002C626B">
              <w:t>satisfied with</w:t>
            </w:r>
            <w:r>
              <w:t xml:space="preserve"> </w:t>
            </w:r>
            <w:r w:rsidRPr="002C626B">
              <w:t>apprenticeships</w:t>
            </w:r>
            <w:r>
              <w:t xml:space="preserve"> </w:t>
            </w:r>
            <w:r w:rsidRPr="002C626B">
              <w:t>and traineeships.</w:t>
            </w:r>
          </w:p>
          <w:p w:rsidR="005A7438" w:rsidRPr="00B76842" w:rsidRDefault="002C626B" w:rsidP="002C626B">
            <w:pPr>
              <w:pStyle w:val="CPTabletext"/>
              <w:cnfStyle w:val="000000000000" w:firstRow="0" w:lastRow="0" w:firstColumn="0" w:lastColumn="0" w:oddVBand="0" w:evenVBand="0" w:oddHBand="0" w:evenHBand="0" w:firstRowFirstColumn="0" w:firstRowLastColumn="0" w:lastRowFirstColumn="0" w:lastRowLastColumn="0"/>
            </w:pPr>
            <w:r w:rsidRPr="002C626B">
              <w:t>80% of</w:t>
            </w:r>
            <w:r>
              <w:t xml:space="preserve"> </w:t>
            </w:r>
            <w:r w:rsidRPr="002C626B">
              <w:t>employers</w:t>
            </w:r>
            <w:r>
              <w:t xml:space="preserve"> </w:t>
            </w:r>
            <w:r w:rsidRPr="002C626B">
              <w:t>satisfied with</w:t>
            </w:r>
            <w:r>
              <w:t xml:space="preserve"> </w:t>
            </w:r>
            <w:r w:rsidRPr="002C626B">
              <w:t>nationally</w:t>
            </w:r>
            <w:r>
              <w:t xml:space="preserve"> </w:t>
            </w:r>
            <w:r w:rsidRPr="002C626B">
              <w:t>recognised</w:t>
            </w:r>
            <w:r>
              <w:t xml:space="preserve"> </w:t>
            </w:r>
            <w:r w:rsidRPr="002C626B">
              <w:t>training.</w:t>
            </w:r>
          </w:p>
        </w:tc>
        <w:tc>
          <w:tcPr>
            <w:tcW w:w="1560" w:type="dxa"/>
            <w:shd w:val="clear" w:color="auto" w:fill="D9D9D9" w:themeFill="background1" w:themeFillShade="D9"/>
          </w:tcPr>
          <w:p w:rsidR="005A7438" w:rsidRPr="00B76842" w:rsidRDefault="005A7438" w:rsidP="00622A34">
            <w:pPr>
              <w:pStyle w:val="CPTabletext"/>
              <w:cnfStyle w:val="000000000000" w:firstRow="0" w:lastRow="0" w:firstColumn="0" w:lastColumn="0" w:oddVBand="0" w:evenVBand="0" w:oddHBand="0" w:evenHBand="0" w:firstRowFirstColumn="0" w:firstRowLastColumn="0" w:lastRowFirstColumn="0" w:lastRowLastColumn="0"/>
            </w:pPr>
          </w:p>
        </w:tc>
      </w:tr>
      <w:tr w:rsidR="005A7438" w:rsidRPr="00AF5ED3" w:rsidTr="0010795C">
        <w:tc>
          <w:tcPr>
            <w:cnfStyle w:val="001000000000" w:firstRow="0" w:lastRow="0" w:firstColumn="1" w:lastColumn="0" w:oddVBand="0" w:evenVBand="0" w:oddHBand="0" w:evenHBand="0" w:firstRowFirstColumn="0" w:firstRowLastColumn="0" w:lastRowFirstColumn="0" w:lastRowLastColumn="0"/>
            <w:tcW w:w="2017" w:type="dxa"/>
          </w:tcPr>
          <w:p w:rsidR="005A7438" w:rsidRDefault="002C626B" w:rsidP="002C626B">
            <w:pPr>
              <w:pStyle w:val="CPTabletext"/>
            </w:pPr>
            <w:r w:rsidRPr="002C626B">
              <w:t>Research</w:t>
            </w:r>
            <w:r>
              <w:t xml:space="preserve"> </w:t>
            </w:r>
            <w:r w:rsidRPr="002C626B">
              <w:t>postgraduates</w:t>
            </w:r>
            <w:r>
              <w:t xml:space="preserve"> </w:t>
            </w:r>
            <w:r w:rsidRPr="002C626B">
              <w:t>continue to have</w:t>
            </w:r>
            <w:r>
              <w:t xml:space="preserve"> </w:t>
            </w:r>
            <w:r w:rsidRPr="002C626B">
              <w:t>relatively high</w:t>
            </w:r>
            <w:r>
              <w:t xml:space="preserve"> </w:t>
            </w:r>
            <w:r w:rsidRPr="002C626B">
              <w:t>employability,</w:t>
            </w:r>
            <w:r>
              <w:t xml:space="preserve"> </w:t>
            </w:r>
            <w:r w:rsidRPr="002C626B">
              <w:t>earnings and course</w:t>
            </w:r>
            <w:r>
              <w:t xml:space="preserve"> </w:t>
            </w:r>
            <w:r w:rsidRPr="002C626B">
              <w:t>satisfaction.</w:t>
            </w:r>
          </w:p>
        </w:tc>
        <w:tc>
          <w:tcPr>
            <w:tcW w:w="957" w:type="dxa"/>
          </w:tcPr>
          <w:p w:rsidR="005A7438" w:rsidRDefault="008A1745" w:rsidP="00622A34">
            <w:pPr>
              <w:pStyle w:val="CPTabletext"/>
              <w:cnfStyle w:val="000000000000" w:firstRow="0" w:lastRow="0" w:firstColumn="0" w:lastColumn="0" w:oddVBand="0" w:evenVBand="0" w:oddHBand="0" w:evenHBand="0" w:firstRowFirstColumn="0" w:firstRowLastColumn="0" w:lastRowFirstColumn="0" w:lastRowLastColumn="0"/>
              <w:rPr>
                <w:iCs/>
                <w:color w:val="auto"/>
              </w:rPr>
            </w:pPr>
            <w:r>
              <w:rPr>
                <w:iCs/>
                <w:color w:val="auto"/>
              </w:rPr>
              <w:t>2.5</w:t>
            </w:r>
          </w:p>
        </w:tc>
        <w:tc>
          <w:tcPr>
            <w:tcW w:w="1385" w:type="dxa"/>
          </w:tcPr>
          <w:p w:rsidR="005A7438" w:rsidRPr="004E73B5" w:rsidRDefault="002C626B" w:rsidP="002C626B">
            <w:pPr>
              <w:pStyle w:val="CPTabletext"/>
              <w:cnfStyle w:val="000000000000" w:firstRow="0" w:lastRow="0" w:firstColumn="0" w:lastColumn="0" w:oddVBand="0" w:evenVBand="0" w:oddHBand="0" w:evenHBand="0" w:firstRowFirstColumn="0" w:firstRowLastColumn="0" w:lastRowFirstColumn="0" w:lastRowLastColumn="0"/>
            </w:pPr>
            <w:r w:rsidRPr="002C626B">
              <w:t>Annual</w:t>
            </w:r>
            <w:r>
              <w:t xml:space="preserve"> </w:t>
            </w:r>
            <w:r w:rsidRPr="002C626B">
              <w:t>surveys and</w:t>
            </w:r>
            <w:r>
              <w:t xml:space="preserve"> </w:t>
            </w:r>
            <w:r w:rsidRPr="002C626B">
              <w:t>ATO data</w:t>
            </w:r>
          </w:p>
        </w:tc>
        <w:tc>
          <w:tcPr>
            <w:tcW w:w="1559" w:type="dxa"/>
          </w:tcPr>
          <w:p w:rsidR="005A7438" w:rsidRPr="004E73B5" w:rsidRDefault="002C626B" w:rsidP="002C626B">
            <w:pPr>
              <w:pStyle w:val="CPTabletext"/>
              <w:cnfStyle w:val="000000000000" w:firstRow="0" w:lastRow="0" w:firstColumn="0" w:lastColumn="0" w:oddVBand="0" w:evenVBand="0" w:oddHBand="0" w:evenHBand="0" w:firstRowFirstColumn="0" w:firstRowLastColumn="0" w:lastRowFirstColumn="0" w:lastRowLastColumn="0"/>
            </w:pPr>
            <w:r w:rsidRPr="002C626B">
              <w:t>90.9% employed within four months of completing degree.</w:t>
            </w:r>
          </w:p>
        </w:tc>
        <w:tc>
          <w:tcPr>
            <w:tcW w:w="1560" w:type="dxa"/>
          </w:tcPr>
          <w:p w:rsidR="005A7438" w:rsidRPr="004E73B5" w:rsidRDefault="002C626B" w:rsidP="00622A34">
            <w:pPr>
              <w:pStyle w:val="CPTabletext"/>
              <w:cnfStyle w:val="000000000000" w:firstRow="0" w:lastRow="0" w:firstColumn="0" w:lastColumn="0" w:oddVBand="0" w:evenVBand="0" w:oddHBand="0" w:evenHBand="0" w:firstRowFirstColumn="0" w:firstRowLastColumn="0" w:lastRowFirstColumn="0" w:lastRowLastColumn="0"/>
            </w:pPr>
            <w:r w:rsidRPr="002C626B">
              <w:t>90.9% employed within four months of completing degree.</w:t>
            </w:r>
          </w:p>
        </w:tc>
        <w:tc>
          <w:tcPr>
            <w:tcW w:w="1560" w:type="dxa"/>
            <w:shd w:val="clear" w:color="auto" w:fill="auto"/>
          </w:tcPr>
          <w:p w:rsidR="005A7438" w:rsidRPr="004E73B5" w:rsidRDefault="002C626B" w:rsidP="002C626B">
            <w:pPr>
              <w:pStyle w:val="CPTabletext"/>
              <w:cnfStyle w:val="000000000000" w:firstRow="0" w:lastRow="0" w:firstColumn="0" w:lastColumn="0" w:oddVBand="0" w:evenVBand="0" w:oddHBand="0" w:evenHBand="0" w:firstRowFirstColumn="0" w:firstRowLastColumn="0" w:lastRowFirstColumn="0" w:lastRowLastColumn="0"/>
            </w:pPr>
            <w:r>
              <w:t>91</w:t>
            </w:r>
            <w:r w:rsidRPr="002C626B">
              <w:t>.</w:t>
            </w:r>
            <w:r>
              <w:t>7</w:t>
            </w:r>
            <w:r w:rsidRPr="002C626B">
              <w:t>% employed within four months of completing degree.</w:t>
            </w:r>
          </w:p>
        </w:tc>
        <w:tc>
          <w:tcPr>
            <w:tcW w:w="1560" w:type="dxa"/>
            <w:shd w:val="clear" w:color="auto" w:fill="auto"/>
          </w:tcPr>
          <w:p w:rsidR="005A7438" w:rsidRPr="004E73B5" w:rsidRDefault="002C626B" w:rsidP="002C626B">
            <w:pPr>
              <w:pStyle w:val="CPTabletext"/>
              <w:cnfStyle w:val="000000000000" w:firstRow="0" w:lastRow="0" w:firstColumn="0" w:lastColumn="0" w:oddVBand="0" w:evenVBand="0" w:oddHBand="0" w:evenHBand="0" w:firstRowFirstColumn="0" w:firstRowLastColumn="0" w:lastRowFirstColumn="0" w:lastRowLastColumn="0"/>
            </w:pPr>
            <w:r>
              <w:t>91</w:t>
            </w:r>
            <w:r w:rsidRPr="002C626B">
              <w:t>.</w:t>
            </w:r>
            <w:r>
              <w:t>6</w:t>
            </w:r>
            <w:r w:rsidRPr="002C626B">
              <w:t>% employed within four months of completing degree.</w:t>
            </w:r>
          </w:p>
        </w:tc>
      </w:tr>
      <w:tr w:rsidR="005A7438" w:rsidRPr="00AF5ED3" w:rsidTr="0010795C">
        <w:tc>
          <w:tcPr>
            <w:cnfStyle w:val="001000000000" w:firstRow="0" w:lastRow="0" w:firstColumn="1" w:lastColumn="0" w:oddVBand="0" w:evenVBand="0" w:oddHBand="0" w:evenHBand="0" w:firstRowFirstColumn="0" w:firstRowLastColumn="0" w:lastRowFirstColumn="0" w:lastRowLastColumn="0"/>
            <w:tcW w:w="2017" w:type="dxa"/>
          </w:tcPr>
          <w:p w:rsidR="005A7438" w:rsidRDefault="002C626B" w:rsidP="002C626B">
            <w:pPr>
              <w:pStyle w:val="CPTabletext"/>
            </w:pPr>
            <w:r w:rsidRPr="002C626B">
              <w:lastRenderedPageBreak/>
              <w:t>Australian</w:t>
            </w:r>
            <w:r>
              <w:t xml:space="preserve"> </w:t>
            </w:r>
            <w:r w:rsidRPr="002C626B">
              <w:t>international</w:t>
            </w:r>
            <w:r>
              <w:t xml:space="preserve"> </w:t>
            </w:r>
            <w:r w:rsidRPr="002C626B">
              <w:t>education continues</w:t>
            </w:r>
            <w:r>
              <w:t xml:space="preserve"> </w:t>
            </w:r>
            <w:r w:rsidRPr="002C626B">
              <w:t>to be recognised as</w:t>
            </w:r>
            <w:r>
              <w:t xml:space="preserve"> </w:t>
            </w:r>
            <w:r w:rsidRPr="002C626B">
              <w:t>world leading.</w:t>
            </w:r>
          </w:p>
        </w:tc>
        <w:tc>
          <w:tcPr>
            <w:tcW w:w="957" w:type="dxa"/>
          </w:tcPr>
          <w:p w:rsidR="005A7438" w:rsidRPr="00AF5ED3" w:rsidRDefault="008A1745" w:rsidP="00622A34">
            <w:pPr>
              <w:pStyle w:val="CPTabletext"/>
              <w:cnfStyle w:val="000000000000" w:firstRow="0" w:lastRow="0" w:firstColumn="0" w:lastColumn="0" w:oddVBand="0" w:evenVBand="0" w:oddHBand="0" w:evenHBand="0" w:firstRowFirstColumn="0" w:firstRowLastColumn="0" w:lastRowFirstColumn="0" w:lastRowLastColumn="0"/>
            </w:pPr>
            <w:r>
              <w:t>2.7</w:t>
            </w:r>
          </w:p>
        </w:tc>
        <w:tc>
          <w:tcPr>
            <w:tcW w:w="1385" w:type="dxa"/>
          </w:tcPr>
          <w:p w:rsidR="005A7438" w:rsidRPr="00AF5ED3" w:rsidRDefault="002C626B" w:rsidP="002C626B">
            <w:pPr>
              <w:pStyle w:val="CPTabletext"/>
              <w:cnfStyle w:val="000000000000" w:firstRow="0" w:lastRow="0" w:firstColumn="0" w:lastColumn="0" w:oddVBand="0" w:evenVBand="0" w:oddHBand="0" w:evenHBand="0" w:firstRowFirstColumn="0" w:firstRowLastColumn="0" w:lastRowFirstColumn="0" w:lastRowLastColumn="0"/>
            </w:pPr>
            <w:r w:rsidRPr="002C626B">
              <w:t>Biennial</w:t>
            </w:r>
            <w:r>
              <w:t xml:space="preserve"> </w:t>
            </w:r>
            <w:r w:rsidRPr="002C626B">
              <w:t>survey</w:t>
            </w:r>
            <w:r>
              <w:t xml:space="preserve"> </w:t>
            </w:r>
            <w:r w:rsidRPr="002C626B">
              <w:t>(2018, 2020)</w:t>
            </w:r>
          </w:p>
        </w:tc>
        <w:tc>
          <w:tcPr>
            <w:tcW w:w="1559" w:type="dxa"/>
            <w:shd w:val="clear" w:color="auto" w:fill="D9D9D9" w:themeFill="background1" w:themeFillShade="D9"/>
          </w:tcPr>
          <w:p w:rsidR="005A7438" w:rsidRPr="00AF5ED3" w:rsidRDefault="005A7438" w:rsidP="00622A34">
            <w:pPr>
              <w:pStyle w:val="CPTabletext"/>
              <w:cnfStyle w:val="000000000000" w:firstRow="0" w:lastRow="0" w:firstColumn="0" w:lastColumn="0" w:oddVBand="0" w:evenVBand="0" w:oddHBand="0" w:evenHBand="0" w:firstRowFirstColumn="0" w:firstRowLastColumn="0" w:lastRowFirstColumn="0" w:lastRowLastColumn="0"/>
            </w:pPr>
          </w:p>
        </w:tc>
        <w:tc>
          <w:tcPr>
            <w:tcW w:w="1560" w:type="dxa"/>
          </w:tcPr>
          <w:p w:rsidR="005A7438" w:rsidRPr="00AF5ED3" w:rsidRDefault="002C626B" w:rsidP="002C626B">
            <w:pPr>
              <w:pStyle w:val="CPTabletext"/>
              <w:cnfStyle w:val="000000000000" w:firstRow="0" w:lastRow="0" w:firstColumn="0" w:lastColumn="0" w:oddVBand="0" w:evenVBand="0" w:oddHBand="0" w:evenHBand="0" w:firstRowFirstColumn="0" w:firstRowLastColumn="0" w:lastRowFirstColumn="0" w:lastRowLastColumn="0"/>
            </w:pPr>
            <w:r w:rsidRPr="002C626B">
              <w:t>80% of</w:t>
            </w:r>
            <w:r>
              <w:t xml:space="preserve"> </w:t>
            </w:r>
            <w:r w:rsidRPr="002C626B">
              <w:t>international</w:t>
            </w:r>
            <w:r>
              <w:t xml:space="preserve"> </w:t>
            </w:r>
            <w:r w:rsidRPr="002C626B">
              <w:t>student are</w:t>
            </w:r>
            <w:r>
              <w:t xml:space="preserve"> </w:t>
            </w:r>
            <w:r w:rsidRPr="002C626B">
              <w:t>satisfied or very</w:t>
            </w:r>
            <w:r>
              <w:t xml:space="preserve"> </w:t>
            </w:r>
            <w:r w:rsidRPr="002C626B">
              <w:t>satisfied with</w:t>
            </w:r>
            <w:r>
              <w:t xml:space="preserve"> </w:t>
            </w:r>
            <w:r w:rsidRPr="002C626B">
              <w:t>studying and</w:t>
            </w:r>
            <w:r>
              <w:t xml:space="preserve"> </w:t>
            </w:r>
            <w:r w:rsidRPr="002C626B">
              <w:t>with living in</w:t>
            </w:r>
            <w:r>
              <w:t xml:space="preserve"> </w:t>
            </w:r>
            <w:r w:rsidRPr="002C626B">
              <w:t>Australia.</w:t>
            </w:r>
          </w:p>
        </w:tc>
        <w:tc>
          <w:tcPr>
            <w:tcW w:w="1560" w:type="dxa"/>
            <w:shd w:val="clear" w:color="auto" w:fill="D9D9D9" w:themeFill="background1" w:themeFillShade="D9"/>
          </w:tcPr>
          <w:p w:rsidR="005A7438" w:rsidRPr="00AF5ED3" w:rsidRDefault="005A7438" w:rsidP="00622A34">
            <w:pPr>
              <w:pStyle w:val="CPTabletext"/>
              <w:cnfStyle w:val="000000000000" w:firstRow="0" w:lastRow="0" w:firstColumn="0" w:lastColumn="0" w:oddVBand="0" w:evenVBand="0" w:oddHBand="0" w:evenHBand="0" w:firstRowFirstColumn="0" w:firstRowLastColumn="0" w:lastRowFirstColumn="0" w:lastRowLastColumn="0"/>
            </w:pPr>
          </w:p>
        </w:tc>
        <w:tc>
          <w:tcPr>
            <w:tcW w:w="1560" w:type="dxa"/>
          </w:tcPr>
          <w:p w:rsidR="005A7438" w:rsidRPr="00AF5ED3" w:rsidRDefault="002C626B" w:rsidP="00622A34">
            <w:pPr>
              <w:pStyle w:val="CPTabletext"/>
              <w:cnfStyle w:val="000000000000" w:firstRow="0" w:lastRow="0" w:firstColumn="0" w:lastColumn="0" w:oddVBand="0" w:evenVBand="0" w:oddHBand="0" w:evenHBand="0" w:firstRowFirstColumn="0" w:firstRowLastColumn="0" w:lastRowFirstColumn="0" w:lastRowLastColumn="0"/>
            </w:pPr>
            <w:r w:rsidRPr="002C626B">
              <w:t>80% of</w:t>
            </w:r>
            <w:r>
              <w:t xml:space="preserve"> </w:t>
            </w:r>
            <w:r w:rsidRPr="002C626B">
              <w:t>international</w:t>
            </w:r>
            <w:r>
              <w:t xml:space="preserve"> </w:t>
            </w:r>
            <w:r w:rsidRPr="002C626B">
              <w:t>student are</w:t>
            </w:r>
            <w:r>
              <w:t xml:space="preserve"> </w:t>
            </w:r>
            <w:r w:rsidRPr="002C626B">
              <w:t>satisfied or very</w:t>
            </w:r>
            <w:r>
              <w:t xml:space="preserve"> </w:t>
            </w:r>
            <w:r w:rsidRPr="002C626B">
              <w:t>satisfied with</w:t>
            </w:r>
            <w:r>
              <w:t xml:space="preserve"> </w:t>
            </w:r>
            <w:r w:rsidRPr="002C626B">
              <w:t>studying and</w:t>
            </w:r>
            <w:r>
              <w:t xml:space="preserve"> </w:t>
            </w:r>
            <w:r w:rsidRPr="002C626B">
              <w:t>with living in</w:t>
            </w:r>
            <w:r>
              <w:t xml:space="preserve"> </w:t>
            </w:r>
            <w:r w:rsidRPr="002C626B">
              <w:t>Australia.</w:t>
            </w:r>
          </w:p>
        </w:tc>
      </w:tr>
      <w:tr w:rsidR="005A7438" w:rsidRPr="004E73B5" w:rsidTr="0010795C">
        <w:tc>
          <w:tcPr>
            <w:cnfStyle w:val="001000000000" w:firstRow="0" w:lastRow="0" w:firstColumn="1" w:lastColumn="0" w:oddVBand="0" w:evenVBand="0" w:oddHBand="0" w:evenHBand="0" w:firstRowFirstColumn="0" w:firstRowLastColumn="0" w:lastRowFirstColumn="0" w:lastRowLastColumn="0"/>
            <w:tcW w:w="2017" w:type="dxa"/>
          </w:tcPr>
          <w:p w:rsidR="005A7438" w:rsidRPr="004E73B5" w:rsidRDefault="000D3B51" w:rsidP="00890AA5">
            <w:pPr>
              <w:pStyle w:val="CPTabletext"/>
            </w:pPr>
            <w:r w:rsidRPr="00890AA5">
              <w:t>Australian universities</w:t>
            </w:r>
            <w:r w:rsidR="00890AA5">
              <w:t xml:space="preserve"> </w:t>
            </w:r>
            <w:r w:rsidRPr="00890AA5">
              <w:t>continue to rank</w:t>
            </w:r>
            <w:r w:rsidR="00890AA5">
              <w:t xml:space="preserve"> </w:t>
            </w:r>
            <w:r w:rsidRPr="00890AA5">
              <w:t>highly in terms of</w:t>
            </w:r>
            <w:r w:rsidR="00890AA5">
              <w:t xml:space="preserve"> </w:t>
            </w:r>
            <w:r w:rsidRPr="00890AA5">
              <w:t>research excellence</w:t>
            </w:r>
            <w:r w:rsidR="00890AA5">
              <w:t xml:space="preserve"> </w:t>
            </w:r>
            <w:r w:rsidRPr="00890AA5">
              <w:t>and collaboration.</w:t>
            </w:r>
          </w:p>
        </w:tc>
        <w:tc>
          <w:tcPr>
            <w:tcW w:w="957" w:type="dxa"/>
          </w:tcPr>
          <w:p w:rsidR="005A7438" w:rsidRPr="000A0F45" w:rsidRDefault="008A1745" w:rsidP="00622A34">
            <w:pPr>
              <w:pStyle w:val="CPTabletext"/>
              <w:cnfStyle w:val="000000000000" w:firstRow="0" w:lastRow="0" w:firstColumn="0" w:lastColumn="0" w:oddVBand="0" w:evenVBand="0" w:oddHBand="0" w:evenHBand="0" w:firstRowFirstColumn="0" w:firstRowLastColumn="0" w:lastRowFirstColumn="0" w:lastRowLastColumn="0"/>
              <w:rPr>
                <w:iCs/>
                <w:color w:val="auto"/>
              </w:rPr>
            </w:pPr>
            <w:r>
              <w:rPr>
                <w:iCs/>
                <w:color w:val="auto"/>
              </w:rPr>
              <w:t>2.5; 2.6</w:t>
            </w:r>
          </w:p>
        </w:tc>
        <w:tc>
          <w:tcPr>
            <w:tcW w:w="1385" w:type="dxa"/>
          </w:tcPr>
          <w:p w:rsidR="005A7438" w:rsidRPr="004E73B5" w:rsidRDefault="00890AA5" w:rsidP="00890AA5">
            <w:pPr>
              <w:pStyle w:val="CPTabletext"/>
              <w:cnfStyle w:val="000000000000" w:firstRow="0" w:lastRow="0" w:firstColumn="0" w:lastColumn="0" w:oddVBand="0" w:evenVBand="0" w:oddHBand="0" w:evenHBand="0" w:firstRowFirstColumn="0" w:firstRowLastColumn="0" w:lastRowFirstColumn="0" w:lastRowLastColumn="0"/>
            </w:pPr>
            <w:r w:rsidRPr="00890AA5">
              <w:t>Excellence</w:t>
            </w:r>
            <w:r>
              <w:t xml:space="preserve"> </w:t>
            </w:r>
            <w:r w:rsidRPr="00890AA5">
              <w:t>for Research</w:t>
            </w:r>
            <w:r>
              <w:t xml:space="preserve"> </w:t>
            </w:r>
            <w:r w:rsidRPr="00890AA5">
              <w:t>in Australia</w:t>
            </w:r>
            <w:r>
              <w:t xml:space="preserve"> </w:t>
            </w:r>
            <w:r w:rsidRPr="00890AA5">
              <w:t>(ERA)</w:t>
            </w:r>
            <w:r>
              <w:t xml:space="preserve"> </w:t>
            </w:r>
            <w:r w:rsidRPr="00890AA5">
              <w:t>assessment</w:t>
            </w:r>
            <w:r>
              <w:t xml:space="preserve"> </w:t>
            </w:r>
            <w:r w:rsidRPr="00890AA5">
              <w:t>process</w:t>
            </w:r>
          </w:p>
        </w:tc>
        <w:tc>
          <w:tcPr>
            <w:tcW w:w="1559" w:type="dxa"/>
          </w:tcPr>
          <w:p w:rsidR="005A7438" w:rsidRPr="004E73B5" w:rsidRDefault="00890AA5" w:rsidP="00890AA5">
            <w:pPr>
              <w:pStyle w:val="CPTabletext"/>
              <w:cnfStyle w:val="000000000000" w:firstRow="0" w:lastRow="0" w:firstColumn="0" w:lastColumn="0" w:oddVBand="0" w:evenVBand="0" w:oddHBand="0" w:evenHBand="0" w:firstRowFirstColumn="0" w:firstRowLastColumn="0" w:lastRowFirstColumn="0" w:lastRowLastColumn="0"/>
            </w:pPr>
            <w:r w:rsidRPr="00890AA5">
              <w:t>87% of research</w:t>
            </w:r>
            <w:r>
              <w:t xml:space="preserve"> </w:t>
            </w:r>
            <w:r w:rsidRPr="00890AA5">
              <w:t>in Australian</w:t>
            </w:r>
            <w:r>
              <w:t xml:space="preserve"> </w:t>
            </w:r>
            <w:r w:rsidRPr="00890AA5">
              <w:t>universities is</w:t>
            </w:r>
            <w:r>
              <w:t xml:space="preserve"> </w:t>
            </w:r>
            <w:r w:rsidRPr="00890AA5">
              <w:t>rated as world</w:t>
            </w:r>
            <w:r>
              <w:t xml:space="preserve"> </w:t>
            </w:r>
            <w:r w:rsidRPr="00890AA5">
              <w:t>standard or</w:t>
            </w:r>
            <w:r>
              <w:t xml:space="preserve"> </w:t>
            </w:r>
            <w:r w:rsidRPr="00890AA5">
              <w:t>above.</w:t>
            </w:r>
          </w:p>
        </w:tc>
        <w:tc>
          <w:tcPr>
            <w:tcW w:w="1560" w:type="dxa"/>
          </w:tcPr>
          <w:p w:rsidR="005A7438" w:rsidRPr="004E73B5" w:rsidRDefault="00890AA5" w:rsidP="00622A34">
            <w:pPr>
              <w:pStyle w:val="CPTabletext"/>
              <w:cnfStyle w:val="000000000000" w:firstRow="0" w:lastRow="0" w:firstColumn="0" w:lastColumn="0" w:oddVBand="0" w:evenVBand="0" w:oddHBand="0" w:evenHBand="0" w:firstRowFirstColumn="0" w:firstRowLastColumn="0" w:lastRowFirstColumn="0" w:lastRowLastColumn="0"/>
            </w:pPr>
            <w:r w:rsidRPr="00890AA5">
              <w:t>87% of research</w:t>
            </w:r>
            <w:r>
              <w:t xml:space="preserve"> </w:t>
            </w:r>
            <w:r w:rsidRPr="00890AA5">
              <w:t>in Australian</w:t>
            </w:r>
            <w:r>
              <w:t xml:space="preserve"> </w:t>
            </w:r>
            <w:r w:rsidRPr="00890AA5">
              <w:t>universities is</w:t>
            </w:r>
            <w:r>
              <w:t xml:space="preserve"> </w:t>
            </w:r>
            <w:r w:rsidRPr="00890AA5">
              <w:t>rated as world</w:t>
            </w:r>
            <w:r>
              <w:t xml:space="preserve"> </w:t>
            </w:r>
            <w:r w:rsidRPr="00890AA5">
              <w:t>standard or</w:t>
            </w:r>
            <w:r>
              <w:t xml:space="preserve"> </w:t>
            </w:r>
            <w:r w:rsidRPr="00890AA5">
              <w:t>above.</w:t>
            </w:r>
            <w:r w:rsidR="0041000E" w:rsidRPr="0041000E">
              <w:rPr>
                <w:vertAlign w:val="superscript"/>
              </w:rPr>
              <w:t>b</w:t>
            </w:r>
          </w:p>
        </w:tc>
        <w:tc>
          <w:tcPr>
            <w:tcW w:w="1560" w:type="dxa"/>
          </w:tcPr>
          <w:p w:rsidR="005A7438" w:rsidRPr="004E73B5" w:rsidRDefault="00890AA5" w:rsidP="00622A34">
            <w:pPr>
              <w:pStyle w:val="CPTabletext"/>
              <w:cnfStyle w:val="000000000000" w:firstRow="0" w:lastRow="0" w:firstColumn="0" w:lastColumn="0" w:oddVBand="0" w:evenVBand="0" w:oddHBand="0" w:evenHBand="0" w:firstRowFirstColumn="0" w:firstRowLastColumn="0" w:lastRowFirstColumn="0" w:lastRowLastColumn="0"/>
            </w:pPr>
            <w:r w:rsidRPr="00890AA5">
              <w:t>87% of research</w:t>
            </w:r>
            <w:r>
              <w:t xml:space="preserve"> </w:t>
            </w:r>
            <w:r w:rsidRPr="00890AA5">
              <w:t>in Australian</w:t>
            </w:r>
            <w:r>
              <w:t xml:space="preserve"> </w:t>
            </w:r>
            <w:r w:rsidRPr="00890AA5">
              <w:t>universities is</w:t>
            </w:r>
            <w:r>
              <w:t xml:space="preserve"> </w:t>
            </w:r>
            <w:r w:rsidRPr="00890AA5">
              <w:t>rated as world</w:t>
            </w:r>
            <w:r>
              <w:t xml:space="preserve"> </w:t>
            </w:r>
            <w:r w:rsidRPr="00890AA5">
              <w:t>standard or</w:t>
            </w:r>
            <w:r>
              <w:t xml:space="preserve"> </w:t>
            </w:r>
            <w:r w:rsidRPr="00890AA5">
              <w:t>above.</w:t>
            </w:r>
          </w:p>
        </w:tc>
        <w:tc>
          <w:tcPr>
            <w:tcW w:w="1560" w:type="dxa"/>
          </w:tcPr>
          <w:p w:rsidR="005A7438" w:rsidRPr="004E73B5" w:rsidRDefault="00890AA5" w:rsidP="00622A34">
            <w:pPr>
              <w:pStyle w:val="CPTabletext"/>
              <w:cnfStyle w:val="000000000000" w:firstRow="0" w:lastRow="0" w:firstColumn="0" w:lastColumn="0" w:oddVBand="0" w:evenVBand="0" w:oddHBand="0" w:evenHBand="0" w:firstRowFirstColumn="0" w:firstRowLastColumn="0" w:lastRowFirstColumn="0" w:lastRowLastColumn="0"/>
            </w:pPr>
            <w:r w:rsidRPr="00890AA5">
              <w:t>87% of research</w:t>
            </w:r>
            <w:r>
              <w:t xml:space="preserve"> </w:t>
            </w:r>
            <w:r w:rsidRPr="00890AA5">
              <w:t>in Australian</w:t>
            </w:r>
            <w:r>
              <w:t xml:space="preserve"> </w:t>
            </w:r>
            <w:r w:rsidRPr="00890AA5">
              <w:t>universities is</w:t>
            </w:r>
            <w:r>
              <w:t xml:space="preserve"> </w:t>
            </w:r>
            <w:r w:rsidRPr="00890AA5">
              <w:t>rated as world</w:t>
            </w:r>
            <w:r>
              <w:t xml:space="preserve"> </w:t>
            </w:r>
            <w:r w:rsidRPr="00890AA5">
              <w:t>standard or</w:t>
            </w:r>
            <w:r>
              <w:t xml:space="preserve"> </w:t>
            </w:r>
            <w:r w:rsidRPr="00890AA5">
              <w:t>above.</w:t>
            </w:r>
          </w:p>
        </w:tc>
      </w:tr>
    </w:tbl>
    <w:p w:rsidR="00F611EB" w:rsidRDefault="00F611EB" w:rsidP="00F611EB">
      <w:pPr>
        <w:pStyle w:val="CPTabletext"/>
      </w:pPr>
      <w:bookmarkStart w:id="25" w:name="_Toc459905286"/>
      <w:bookmarkStart w:id="26" w:name="_Toc482877534"/>
      <w:proofErr w:type="gramStart"/>
      <w:r w:rsidRPr="00C47399">
        <w:rPr>
          <w:b/>
        </w:rPr>
        <w:t>a</w:t>
      </w:r>
      <w:proofErr w:type="gramEnd"/>
      <w:r w:rsidRPr="00C47399">
        <w:rPr>
          <w:b/>
        </w:rPr>
        <w:t xml:space="preserve"> </w:t>
      </w:r>
      <w:r w:rsidR="00F13B6E" w:rsidRPr="00F13B6E">
        <w:t>ATO: Australian Taxation Office. AGA: Australian Government Actuary.</w:t>
      </w:r>
    </w:p>
    <w:p w:rsidR="005B5C8A" w:rsidRDefault="005B5C8A" w:rsidP="00F611EB">
      <w:pPr>
        <w:pStyle w:val="CPTabletext"/>
      </w:pPr>
      <w:proofErr w:type="gramStart"/>
      <w:r w:rsidRPr="005041AD">
        <w:rPr>
          <w:b/>
        </w:rPr>
        <w:t>b</w:t>
      </w:r>
      <w:proofErr w:type="gramEnd"/>
      <w:r w:rsidRPr="005041AD">
        <w:rPr>
          <w:b/>
        </w:rPr>
        <w:t xml:space="preserve"> </w:t>
      </w:r>
      <w:r w:rsidR="00F13B6E" w:rsidRPr="00F13B6E">
        <w:t>New indicators will be introduced in 2018 relating to industry engagement.</w:t>
      </w:r>
    </w:p>
    <w:p w:rsidR="00161B0F" w:rsidRPr="000C5B9F" w:rsidRDefault="00161B0F" w:rsidP="000213F9">
      <w:pPr>
        <w:pStyle w:val="Heading1"/>
        <w:spacing w:before="480"/>
      </w:pPr>
      <w:bookmarkStart w:id="27" w:name="_Toc491179457"/>
      <w:r w:rsidRPr="007D6CFC">
        <w:lastRenderedPageBreak/>
        <w:t>Capability</w:t>
      </w:r>
      <w:bookmarkEnd w:id="25"/>
      <w:bookmarkEnd w:id="27"/>
    </w:p>
    <w:p w:rsidR="00E06B70" w:rsidRDefault="00E06B70" w:rsidP="00E06B70">
      <w:bookmarkStart w:id="28" w:name="_Toc459905287"/>
      <w:r>
        <w:t>We aspire to be recognised as a world-class policy agency that delivers on its purpose of maximising opportunity and prosperity through national leadership on education and training. The department continues to give priority to developing the capability of our people and to building our capacity to develop education policies based on evidence and with a view to Australia’s future social and economic needs.</w:t>
      </w:r>
    </w:p>
    <w:p w:rsidR="00E06B70" w:rsidRDefault="00E06B70" w:rsidP="00E06B70">
      <w:r>
        <w:t>Our strengthened governance, internal service delivery and decision-making practices support the department to uphold public sector principles and legislative requirements for accountability, leadership, transparency, integrity, efficiency and risk management.</w:t>
      </w:r>
    </w:p>
    <w:p w:rsidR="00E06B70" w:rsidRDefault="00E06B70" w:rsidP="00E06B70">
      <w:r>
        <w:t>We are contributing to the Australian Public Service (APS) transformation agenda, with a focus on organisational reform and technology transformation to better manage public resources and achieve our purpose and outcomes. Our capability to deliver our purpose is supported by enabling strategies that include:</w:t>
      </w:r>
    </w:p>
    <w:p w:rsidR="00E06B70" w:rsidRDefault="00E06B70" w:rsidP="00F24A75">
      <w:pPr>
        <w:pStyle w:val="ListBullet"/>
        <w:spacing w:after="0"/>
        <w:ind w:left="357" w:hanging="357"/>
      </w:pPr>
      <w:r>
        <w:t>recasting our people strategy and developing our policy and program skills</w:t>
      </w:r>
    </w:p>
    <w:p w:rsidR="00E06B70" w:rsidRDefault="00E06B70" w:rsidP="00F24A75">
      <w:pPr>
        <w:pStyle w:val="ListBullet"/>
        <w:spacing w:after="0"/>
        <w:ind w:left="357" w:hanging="357"/>
      </w:pPr>
      <w:r>
        <w:t>improving decision-making and national education policy through better use of evidence and data</w:t>
      </w:r>
    </w:p>
    <w:p w:rsidR="00E06B70" w:rsidRDefault="00E06B70" w:rsidP="00F24A75">
      <w:pPr>
        <w:pStyle w:val="ListBullet"/>
        <w:spacing w:after="0"/>
        <w:ind w:left="357" w:hanging="357"/>
      </w:pPr>
      <w:r>
        <w:t>transforming our technology and the way we use it</w:t>
      </w:r>
    </w:p>
    <w:p w:rsidR="00E06B70" w:rsidRDefault="00E06B70" w:rsidP="00F24A75">
      <w:pPr>
        <w:pStyle w:val="ListBullet"/>
        <w:spacing w:after="0"/>
        <w:ind w:left="357" w:hanging="357"/>
      </w:pPr>
      <w:r>
        <w:t>strengthening our governance and risk management practices</w:t>
      </w:r>
    </w:p>
    <w:p w:rsidR="00E06B70" w:rsidRDefault="00E06B70" w:rsidP="00F24A75">
      <w:pPr>
        <w:pStyle w:val="ListBullet"/>
        <w:spacing w:after="0"/>
        <w:ind w:left="357" w:hanging="357"/>
      </w:pPr>
      <w:r>
        <w:t>improving business planning and performance monitoring processes</w:t>
      </w:r>
    </w:p>
    <w:p w:rsidR="00E06B70" w:rsidRDefault="00E06B70" w:rsidP="00F24A75">
      <w:pPr>
        <w:pStyle w:val="ListBullet"/>
        <w:spacing w:after="0"/>
        <w:ind w:left="357" w:hanging="357"/>
      </w:pPr>
      <w:r>
        <w:t>reforming delivery of our corporate services and working with our shared service partners</w:t>
      </w:r>
    </w:p>
    <w:p w:rsidR="00E06B70" w:rsidRDefault="00E06B70" w:rsidP="00E06B70">
      <w:pPr>
        <w:pStyle w:val="ListBullet"/>
      </w:pPr>
      <w:proofErr w:type="gramStart"/>
      <w:r>
        <w:t>our</w:t>
      </w:r>
      <w:proofErr w:type="gramEnd"/>
      <w:r>
        <w:t xml:space="preserve"> Indigenous business is everyone’s business framework.</w:t>
      </w:r>
    </w:p>
    <w:p w:rsidR="00295DFA" w:rsidRPr="00E06B70" w:rsidRDefault="00E06B70" w:rsidP="00E06B70">
      <w:r>
        <w:t>Together, these strategies aim to continuously improve the department’s capability over the next four years and beyond. Our strategies are reviewed and updated regularly to meet current and emerging priorities.</w:t>
      </w:r>
      <w:bookmarkStart w:id="29" w:name="_Toc482877538"/>
      <w:bookmarkEnd w:id="26"/>
      <w:bookmarkEnd w:id="28"/>
      <w:r w:rsidR="00295DFA">
        <w:br w:type="page"/>
      </w:r>
    </w:p>
    <w:p w:rsidR="004572F6" w:rsidRDefault="004572F6" w:rsidP="002C39C9">
      <w:pPr>
        <w:pStyle w:val="Heading2"/>
        <w:spacing w:after="0"/>
      </w:pPr>
      <w:bookmarkStart w:id="30" w:name="_Toc491179458"/>
      <w:r>
        <w:lastRenderedPageBreak/>
        <w:t>People</w:t>
      </w:r>
      <w:r w:rsidR="00741EA9">
        <w:t xml:space="preserve"> strategy</w:t>
      </w:r>
      <w:bookmarkEnd w:id="30"/>
    </w:p>
    <w:p w:rsidR="00433BFF" w:rsidRPr="00433BFF" w:rsidRDefault="00433BFF" w:rsidP="00433BFF">
      <w:pPr>
        <w:pStyle w:val="ListBullet"/>
        <w:numPr>
          <w:ilvl w:val="0"/>
          <w:numId w:val="0"/>
        </w:numPr>
      </w:pPr>
      <w:r w:rsidRPr="00433BFF">
        <w:t>We are revamping our people and diversity strategies, including implementing</w:t>
      </w:r>
      <w:r>
        <w:t xml:space="preserve"> </w:t>
      </w:r>
      <w:r w:rsidRPr="00433BFF">
        <w:t>a new policy and program skills framework, and giving priority to our capability</w:t>
      </w:r>
      <w:r>
        <w:t xml:space="preserve"> </w:t>
      </w:r>
      <w:r w:rsidRPr="00433BFF">
        <w:t>to develop rigorous, world-class education policy advice and effective</w:t>
      </w:r>
      <w:r>
        <w:t xml:space="preserve"> </w:t>
      </w:r>
      <w:r w:rsidRPr="00433BFF">
        <w:t>program implementation.</w:t>
      </w:r>
    </w:p>
    <w:p w:rsidR="004C6B16" w:rsidRDefault="00CA76E4" w:rsidP="002C39C9">
      <w:pPr>
        <w:pStyle w:val="Heading3"/>
        <w:spacing w:after="0"/>
      </w:pPr>
      <w:r>
        <w:t>O</w:t>
      </w:r>
      <w:r w:rsidR="00646443">
        <w:t>ur people strategy</w:t>
      </w:r>
    </w:p>
    <w:p w:rsidR="00433BFF" w:rsidRPr="00433BFF" w:rsidRDefault="00433BFF" w:rsidP="002C39C9">
      <w:pPr>
        <w:pStyle w:val="ListBullet"/>
        <w:numPr>
          <w:ilvl w:val="0"/>
          <w:numId w:val="0"/>
        </w:numPr>
        <w:rPr>
          <w:b/>
          <w:bCs/>
        </w:rPr>
      </w:pPr>
      <w:bookmarkStart w:id="31" w:name="_Toc482877540"/>
      <w:bookmarkEnd w:id="29"/>
      <w:r w:rsidRPr="00433BFF">
        <w:t xml:space="preserve">The department is updating our </w:t>
      </w:r>
      <w:r w:rsidRPr="00433BFF">
        <w:rPr>
          <w:i/>
        </w:rPr>
        <w:t>People Strategy</w:t>
      </w:r>
      <w:r w:rsidRPr="00433BFF">
        <w:t>, including</w:t>
      </w:r>
      <w:r>
        <w:t xml:space="preserve"> </w:t>
      </w:r>
      <w:r w:rsidRPr="00433BFF">
        <w:t>consulting with employees and organisational leaders, and</w:t>
      </w:r>
      <w:r>
        <w:t xml:space="preserve"> </w:t>
      </w:r>
      <w:r w:rsidRPr="00433BFF">
        <w:t>taking account of internal and external environmental factors</w:t>
      </w:r>
      <w:r>
        <w:t xml:space="preserve"> </w:t>
      </w:r>
      <w:r w:rsidRPr="00433BFF">
        <w:t>such as:</w:t>
      </w:r>
    </w:p>
    <w:p w:rsidR="00433BFF" w:rsidRPr="00433BFF" w:rsidRDefault="00433BFF" w:rsidP="00F24A75">
      <w:pPr>
        <w:pStyle w:val="ListBullet"/>
        <w:spacing w:after="0"/>
        <w:ind w:left="357" w:hanging="357"/>
      </w:pPr>
      <w:r w:rsidRPr="00433BFF">
        <w:t>APS-wide reforms and broader environmental influences,</w:t>
      </w:r>
      <w:r>
        <w:t xml:space="preserve"> </w:t>
      </w:r>
      <w:r w:rsidRPr="00433BFF">
        <w:t>including changing generational demographics</w:t>
      </w:r>
      <w:r>
        <w:t xml:space="preserve"> </w:t>
      </w:r>
      <w:r w:rsidRPr="00433BFF">
        <w:t>and expectations</w:t>
      </w:r>
    </w:p>
    <w:p w:rsidR="00433BFF" w:rsidRPr="00433BFF" w:rsidRDefault="00433BFF" w:rsidP="00F24A75">
      <w:pPr>
        <w:pStyle w:val="ListBullet"/>
        <w:spacing w:after="0"/>
        <w:ind w:left="357" w:hanging="357"/>
      </w:pPr>
      <w:r w:rsidRPr="00433BFF">
        <w:t>current and future workforce trends, including employee</w:t>
      </w:r>
      <w:r>
        <w:t xml:space="preserve"> </w:t>
      </w:r>
      <w:r w:rsidRPr="00433BFF">
        <w:t>feedback from the APS Employee Census</w:t>
      </w:r>
    </w:p>
    <w:p w:rsidR="00433BFF" w:rsidRPr="00433BFF" w:rsidRDefault="00433BFF" w:rsidP="00433BFF">
      <w:pPr>
        <w:pStyle w:val="ListBullet"/>
      </w:pPr>
      <w:proofErr w:type="gramStart"/>
      <w:r w:rsidRPr="00433BFF">
        <w:t>the</w:t>
      </w:r>
      <w:proofErr w:type="gramEnd"/>
      <w:r w:rsidRPr="00433BFF">
        <w:t xml:space="preserve"> department’s changing role and purpose—and</w:t>
      </w:r>
      <w:r>
        <w:t xml:space="preserve"> </w:t>
      </w:r>
      <w:r w:rsidRPr="00433BFF">
        <w:t>aspiration as a world-class policy agency.</w:t>
      </w:r>
    </w:p>
    <w:p w:rsidR="00433BFF" w:rsidRPr="00433BFF" w:rsidRDefault="00433BFF" w:rsidP="00433BFF">
      <w:pPr>
        <w:pStyle w:val="ListBullet"/>
        <w:numPr>
          <w:ilvl w:val="0"/>
          <w:numId w:val="0"/>
        </w:numPr>
      </w:pPr>
      <w:r w:rsidRPr="00433BFF">
        <w:t>The strategy will articulate the department’s approach</w:t>
      </w:r>
      <w:r>
        <w:t xml:space="preserve"> </w:t>
      </w:r>
      <w:r w:rsidRPr="00433BFF">
        <w:t>over the next four years, with a focus on: optimising talent</w:t>
      </w:r>
      <w:r>
        <w:t xml:space="preserve"> </w:t>
      </w:r>
      <w:r w:rsidRPr="00433BFF">
        <w:t>and driving performance; strong leadership; collaboration,</w:t>
      </w:r>
      <w:r>
        <w:t xml:space="preserve"> </w:t>
      </w:r>
      <w:r w:rsidRPr="00433BFF">
        <w:t>innovation and inclusion; and improving our performance</w:t>
      </w:r>
      <w:r>
        <w:t xml:space="preserve"> </w:t>
      </w:r>
      <w:r w:rsidRPr="00433BFF">
        <w:t>management capabilities and systems.</w:t>
      </w:r>
    </w:p>
    <w:p w:rsidR="00433BFF" w:rsidRPr="00433BFF" w:rsidRDefault="00433BFF" w:rsidP="00433BFF">
      <w:pPr>
        <w:pStyle w:val="ListBullet"/>
        <w:numPr>
          <w:ilvl w:val="0"/>
          <w:numId w:val="0"/>
        </w:numPr>
      </w:pPr>
      <w:r w:rsidRPr="00433BFF">
        <w:t xml:space="preserve">Our new </w:t>
      </w:r>
      <w:r w:rsidRPr="00433BFF">
        <w:rPr>
          <w:i/>
        </w:rPr>
        <w:t>Workplace Diversity and Inclusion Strategy for 2017–2019</w:t>
      </w:r>
      <w:r w:rsidRPr="00433BFF">
        <w:t xml:space="preserve"> reinforces the department’s commitment to</w:t>
      </w:r>
      <w:r>
        <w:t xml:space="preserve"> </w:t>
      </w:r>
      <w:r w:rsidRPr="00433BFF">
        <w:t>building a diverse and inclusive workplace that enables</w:t>
      </w:r>
      <w:r>
        <w:t xml:space="preserve"> </w:t>
      </w:r>
      <w:r w:rsidRPr="00433BFF">
        <w:t>people of all abilities and walks of life to build a rewarding</w:t>
      </w:r>
      <w:r>
        <w:t xml:space="preserve"> </w:t>
      </w:r>
      <w:r w:rsidRPr="00433BFF">
        <w:t>career and maximise their potential.</w:t>
      </w:r>
    </w:p>
    <w:p w:rsidR="00433BFF" w:rsidRDefault="00490643" w:rsidP="00433BFF">
      <w:pPr>
        <w:pStyle w:val="ListBullet"/>
        <w:numPr>
          <w:ilvl w:val="0"/>
          <w:numId w:val="0"/>
        </w:numPr>
        <w:rPr>
          <w:b/>
          <w:bCs/>
        </w:rPr>
      </w:pPr>
      <w:r w:rsidRPr="00490643">
        <w:t>The department’s policy and program skills framework will define the standards and skills necessary for our people to enable the department to provide world-class policy advice, and effective policy implementation and program delivery. The framework will underpin the way the department manages its business from workforce planning through to capability measurement and development.</w:t>
      </w:r>
    </w:p>
    <w:p w:rsidR="0080620C" w:rsidRDefault="0080620C" w:rsidP="002C39C9">
      <w:pPr>
        <w:pStyle w:val="Heading3"/>
        <w:spacing w:after="0"/>
      </w:pPr>
      <w:r>
        <w:t>Improving decision-making through better use of evidence and data</w:t>
      </w:r>
    </w:p>
    <w:p w:rsidR="004F27F1" w:rsidRPr="004F27F1" w:rsidRDefault="004F27F1" w:rsidP="004F27F1">
      <w:pPr>
        <w:pStyle w:val="ListBullet"/>
        <w:numPr>
          <w:ilvl w:val="0"/>
          <w:numId w:val="0"/>
        </w:numPr>
      </w:pPr>
      <w:bookmarkStart w:id="32" w:name="_Toc482877535"/>
      <w:r w:rsidRPr="004F27F1">
        <w:t>We aim to grow our capability and capacity to develop</w:t>
      </w:r>
      <w:r>
        <w:t xml:space="preserve"> </w:t>
      </w:r>
      <w:r w:rsidRPr="004F27F1">
        <w:t>education policy based on evidence with a view to the future,</w:t>
      </w:r>
      <w:r>
        <w:t xml:space="preserve"> </w:t>
      </w:r>
      <w:r w:rsidRPr="004F27F1">
        <w:t>which is vital to our role as national leaders in education</w:t>
      </w:r>
      <w:r>
        <w:t xml:space="preserve"> </w:t>
      </w:r>
      <w:r w:rsidRPr="004F27F1">
        <w:t>policy. In 2017–18 and beyond, we will work on improving</w:t>
      </w:r>
      <w:r>
        <w:t xml:space="preserve"> </w:t>
      </w:r>
      <w:r w:rsidRPr="004F27F1">
        <w:t>the accessibility of data and information, engage with</w:t>
      </w:r>
      <w:r>
        <w:t xml:space="preserve"> </w:t>
      </w:r>
      <w:r w:rsidRPr="004F27F1">
        <w:t>whole-of-government data initiatives and promote data-driven</w:t>
      </w:r>
      <w:r>
        <w:t xml:space="preserve"> </w:t>
      </w:r>
      <w:r w:rsidRPr="004F27F1">
        <w:t>policy development.</w:t>
      </w:r>
    </w:p>
    <w:p w:rsidR="004F27F1" w:rsidRPr="004F27F1" w:rsidRDefault="004F27F1" w:rsidP="004F27F1">
      <w:pPr>
        <w:pStyle w:val="ListBullet"/>
        <w:numPr>
          <w:ilvl w:val="0"/>
          <w:numId w:val="0"/>
        </w:numPr>
      </w:pPr>
      <w:r w:rsidRPr="004F27F1">
        <w:t>Our priorities are:</w:t>
      </w:r>
    </w:p>
    <w:p w:rsidR="004F27F1" w:rsidRPr="004F27F1" w:rsidRDefault="004F27F1" w:rsidP="00F24A75">
      <w:pPr>
        <w:pStyle w:val="ListBullet"/>
        <w:spacing w:after="0"/>
        <w:ind w:left="357" w:hanging="357"/>
      </w:pPr>
      <w:r w:rsidRPr="004F27F1">
        <w:t>developing a National Education Evidence Base to bring</w:t>
      </w:r>
      <w:r>
        <w:t xml:space="preserve"> </w:t>
      </w:r>
      <w:r w:rsidRPr="004F27F1">
        <w:t>together data on all phases of education, from early</w:t>
      </w:r>
      <w:r>
        <w:t xml:space="preserve"> </w:t>
      </w:r>
      <w:r w:rsidRPr="004F27F1">
        <w:t>childhood education and care through to tertiary education</w:t>
      </w:r>
    </w:p>
    <w:p w:rsidR="004F27F1" w:rsidRPr="004F27F1" w:rsidRDefault="004F27F1" w:rsidP="00F24A75">
      <w:pPr>
        <w:pStyle w:val="ListBullet"/>
        <w:spacing w:after="0"/>
        <w:ind w:left="357" w:hanging="357"/>
      </w:pPr>
      <w:r w:rsidRPr="004F27F1">
        <w:t>contributing to cross-agency data linkage initiatives,</w:t>
      </w:r>
      <w:r>
        <w:t xml:space="preserve"> </w:t>
      </w:r>
      <w:r w:rsidRPr="004F27F1">
        <w:t>including the Data Integration Partnership for Australia and</w:t>
      </w:r>
      <w:r>
        <w:t xml:space="preserve"> </w:t>
      </w:r>
      <w:r w:rsidRPr="004F27F1">
        <w:t>Multi-Agency Data Integration Partnership</w:t>
      </w:r>
    </w:p>
    <w:p w:rsidR="004F27F1" w:rsidRPr="004F27F1" w:rsidRDefault="004F27F1" w:rsidP="00F24A75">
      <w:pPr>
        <w:pStyle w:val="ListBullet"/>
        <w:spacing w:after="0"/>
        <w:ind w:left="357" w:hanging="357"/>
      </w:pPr>
      <w:r w:rsidRPr="004F27F1">
        <w:t>establishing a program of data-driven analytical research to</w:t>
      </w:r>
      <w:r>
        <w:t xml:space="preserve"> </w:t>
      </w:r>
      <w:r w:rsidRPr="004F27F1">
        <w:t>drive national leadership in education policy</w:t>
      </w:r>
    </w:p>
    <w:p w:rsidR="004F27F1" w:rsidRPr="004F27F1" w:rsidRDefault="004F27F1" w:rsidP="00F24A75">
      <w:pPr>
        <w:pStyle w:val="ListBullet"/>
        <w:spacing w:after="0"/>
        <w:ind w:left="357" w:hanging="357"/>
      </w:pPr>
      <w:r w:rsidRPr="004F27F1">
        <w:t>implementing a department-wide data management</w:t>
      </w:r>
      <w:r>
        <w:t xml:space="preserve"> </w:t>
      </w:r>
      <w:r w:rsidRPr="004F27F1">
        <w:t>strategy to secure and store our data holdings, ensuring our</w:t>
      </w:r>
      <w:r>
        <w:t xml:space="preserve"> </w:t>
      </w:r>
      <w:r w:rsidRPr="004F27F1">
        <w:t>data is accessible and appropriately protected</w:t>
      </w:r>
    </w:p>
    <w:p w:rsidR="004F27F1" w:rsidRPr="004F27F1" w:rsidRDefault="004F27F1" w:rsidP="004F27F1">
      <w:pPr>
        <w:pStyle w:val="ListBullet"/>
      </w:pPr>
      <w:proofErr w:type="gramStart"/>
      <w:r w:rsidRPr="004F27F1">
        <w:t>continuing</w:t>
      </w:r>
      <w:proofErr w:type="gramEnd"/>
      <w:r w:rsidRPr="004F27F1">
        <w:t xml:space="preserve"> to build staff </w:t>
      </w:r>
      <w:r>
        <w:t xml:space="preserve">capability in data literacy </w:t>
      </w:r>
      <w:r w:rsidR="004A61F9">
        <w:t>and</w:t>
      </w:r>
      <w:r w:rsidR="004A61F9" w:rsidRPr="004F27F1">
        <w:t xml:space="preserve"> data</w:t>
      </w:r>
      <w:r w:rsidRPr="004F27F1">
        <w:t xml:space="preserve"> analytics.</w:t>
      </w:r>
    </w:p>
    <w:p w:rsidR="004572F6" w:rsidRDefault="004572F6" w:rsidP="002C39C9">
      <w:pPr>
        <w:pStyle w:val="Heading2"/>
        <w:spacing w:after="0"/>
      </w:pPr>
      <w:bookmarkStart w:id="33" w:name="_Toc491179459"/>
      <w:r>
        <w:lastRenderedPageBreak/>
        <w:t>Information and communications technology</w:t>
      </w:r>
      <w:bookmarkEnd w:id="33"/>
    </w:p>
    <w:p w:rsidR="00384755" w:rsidRDefault="00384755" w:rsidP="00384755">
      <w:r>
        <w:t>We are transforming our information and communications technology (ICT) capability to improve our business processes and national policy outcomes.</w:t>
      </w:r>
    </w:p>
    <w:p w:rsidR="00384755" w:rsidRDefault="00384755" w:rsidP="00384755">
      <w:r>
        <w:t xml:space="preserve">The department is updating its </w:t>
      </w:r>
      <w:r w:rsidRPr="00B23C2D">
        <w:rPr>
          <w:i/>
        </w:rPr>
        <w:t>Technology Strategy</w:t>
      </w:r>
      <w:r>
        <w:t xml:space="preserve"> to reflect the technology transformation occurring across the APS and within the wider community. The </w:t>
      </w:r>
      <w:r w:rsidRPr="00B23C2D">
        <w:rPr>
          <w:i/>
        </w:rPr>
        <w:t>Technology Strategy</w:t>
      </w:r>
      <w:r>
        <w:t xml:space="preserve"> and delivery roadmap outline our key ICT capability focus areas including:</w:t>
      </w:r>
    </w:p>
    <w:p w:rsidR="00384755" w:rsidRDefault="00384755" w:rsidP="00F24A75">
      <w:pPr>
        <w:pStyle w:val="ListBullet"/>
        <w:spacing w:after="0"/>
        <w:ind w:left="357" w:hanging="357"/>
      </w:pPr>
      <w:r>
        <w:t>building enterprise capabilities through enterprise architecture and strong design governance</w:t>
      </w:r>
    </w:p>
    <w:p w:rsidR="00384755" w:rsidRDefault="00384755" w:rsidP="00F24A75">
      <w:pPr>
        <w:pStyle w:val="ListBullet"/>
        <w:spacing w:after="0"/>
        <w:ind w:left="357" w:hanging="357"/>
      </w:pPr>
      <w:r>
        <w:t>engaging in whole-of-government digital transformation</w:t>
      </w:r>
    </w:p>
    <w:p w:rsidR="00384755" w:rsidRDefault="00384755" w:rsidP="00F24A75">
      <w:pPr>
        <w:pStyle w:val="ListBullet"/>
        <w:spacing w:after="0"/>
        <w:ind w:left="357" w:hanging="357"/>
      </w:pPr>
      <w:r>
        <w:t>focusing on user-centred design and benefits driven investment to deliver strategic priorities</w:t>
      </w:r>
    </w:p>
    <w:p w:rsidR="00384755" w:rsidRDefault="00384755" w:rsidP="00F24A75">
      <w:pPr>
        <w:pStyle w:val="ListBullet"/>
        <w:spacing w:after="0"/>
        <w:ind w:left="357" w:hanging="357"/>
      </w:pPr>
      <w:r>
        <w:t>maturing our portfolio, program and project management capabilities</w:t>
      </w:r>
    </w:p>
    <w:p w:rsidR="00384755" w:rsidRDefault="00384755" w:rsidP="00F24A75">
      <w:pPr>
        <w:pStyle w:val="ListBullet"/>
        <w:spacing w:after="0"/>
        <w:ind w:left="357" w:hanging="357"/>
      </w:pPr>
      <w:r>
        <w:t>utilising our ICT investments to maximise business outcomes and rationalising our application portfolio</w:t>
      </w:r>
    </w:p>
    <w:p w:rsidR="002D24A3" w:rsidRPr="00384755" w:rsidRDefault="00384755" w:rsidP="00384755">
      <w:pPr>
        <w:pStyle w:val="ListBullet"/>
      </w:pPr>
      <w:proofErr w:type="gramStart"/>
      <w:r>
        <w:t>leveraging</w:t>
      </w:r>
      <w:proofErr w:type="gramEnd"/>
      <w:r>
        <w:t xml:space="preserve"> our knowledge and technology to reform business processes.</w:t>
      </w:r>
    </w:p>
    <w:p w:rsidR="00401227" w:rsidRDefault="00401227" w:rsidP="002C39C9">
      <w:pPr>
        <w:pStyle w:val="Heading2"/>
        <w:spacing w:after="0"/>
      </w:pPr>
      <w:bookmarkStart w:id="34" w:name="_Toc491179460"/>
      <w:bookmarkStart w:id="35" w:name="_Toc482877537"/>
      <w:r>
        <w:t>Indigenous business is everyone’s business</w:t>
      </w:r>
      <w:bookmarkEnd w:id="34"/>
    </w:p>
    <w:p w:rsidR="000170BB" w:rsidRDefault="000170BB" w:rsidP="000170BB">
      <w:r>
        <w:t>We proudly support the Government’s priority to improve the wellbeing and opportunities of Aboriginal and Torres Strait Islander peoples through our business and internal operations.</w:t>
      </w:r>
    </w:p>
    <w:p w:rsidR="000170BB" w:rsidRDefault="000170BB" w:rsidP="000170BB">
      <w:r>
        <w:t xml:space="preserve">The department has developed an </w:t>
      </w:r>
      <w:r w:rsidRPr="000170BB">
        <w:rPr>
          <w:i/>
        </w:rPr>
        <w:t>Indigenous Business is Everyone’s Business Framework</w:t>
      </w:r>
      <w:r>
        <w:t xml:space="preserve"> to help employees and stakeholders better understand the department’s philosophy of Indigenous business is everyone’s business. The framework consists of three elements: the right people, the right capabilities, and the right policies and programs. Each element brings together initiatives and documents to guide employees in embedding this philosophy into everything that they do. </w:t>
      </w:r>
    </w:p>
    <w:p w:rsidR="000170BB" w:rsidRDefault="000170BB" w:rsidP="000170BB">
      <w:r>
        <w:t>In 2017–18, the department will progress initiatives that build on our cultural capability, including ensuring the principles of the framework are embedded into our business practices and become part of the way we work.</w:t>
      </w:r>
    </w:p>
    <w:p w:rsidR="00401227" w:rsidRDefault="00401227" w:rsidP="002C39C9">
      <w:pPr>
        <w:pStyle w:val="Heading3"/>
        <w:spacing w:after="0"/>
      </w:pPr>
      <w:r>
        <w:t>Reconciliation Action Plan</w:t>
      </w:r>
    </w:p>
    <w:bookmarkEnd w:id="35"/>
    <w:p w:rsidR="000170BB" w:rsidRPr="000170BB" w:rsidRDefault="000170BB" w:rsidP="000170BB">
      <w:pPr>
        <w:pStyle w:val="ListBullet"/>
        <w:numPr>
          <w:ilvl w:val="0"/>
          <w:numId w:val="0"/>
        </w:numPr>
      </w:pPr>
      <w:r w:rsidRPr="000170BB">
        <w:t xml:space="preserve">The department’s </w:t>
      </w:r>
      <w:r w:rsidRPr="000170BB">
        <w:rPr>
          <w:i/>
        </w:rPr>
        <w:t>2014–2017 Reconciliation Action Plan</w:t>
      </w:r>
      <w:r w:rsidRPr="000170BB">
        <w:t xml:space="preserve"> (RAP) provides the framework through which the department commits to practical actions that build respectful relationships and create opportunities with Aboriginal and Torres Strait Islander peoples. The department remains committed to being an employer of choice for Aboriginal and Torres Strait Islander peoples and through our RAP we aim to increase our representation of Aboriginal and Torres Strait Islander people to 4.5 per cent by December 2017. We proudly support the Government’s Indigenous Procurement Policy so we can foster Aboriginal and Torres Strait Islander business, create jobs and employ more Indigenous Australians.</w:t>
      </w:r>
    </w:p>
    <w:p w:rsidR="00C311EE" w:rsidRDefault="000170BB" w:rsidP="00C8399A">
      <w:pPr>
        <w:pStyle w:val="ListBullet"/>
        <w:numPr>
          <w:ilvl w:val="0"/>
          <w:numId w:val="0"/>
        </w:numPr>
        <w:rPr>
          <w:rFonts w:ascii="Calibri" w:eastAsiaTheme="majorEastAsia" w:hAnsi="Calibri" w:cstheme="majorBidi"/>
          <w:b/>
          <w:bCs/>
          <w:color w:val="0F6FC6" w:themeColor="accent1"/>
          <w:sz w:val="28"/>
          <w:szCs w:val="26"/>
        </w:rPr>
      </w:pPr>
      <w:r w:rsidRPr="000170BB">
        <w:t>Reflecting the different stages of an organisation’s reconciliation journey, there are four types of RAP an organisation can develop: Reflect, Innovate, Stretch and Elevate. The department’s 2014–2017 RAP sits at the Stretch level. The department is currently undergoing a consultative process to consider whether the department can achieve an Elevate RAP for implementation from 2018.</w:t>
      </w:r>
      <w:r w:rsidR="00C311EE">
        <w:br w:type="page"/>
      </w:r>
    </w:p>
    <w:p w:rsidR="002A171F" w:rsidRDefault="002A171F" w:rsidP="002C39C9">
      <w:pPr>
        <w:pStyle w:val="Heading2"/>
        <w:spacing w:after="0"/>
      </w:pPr>
      <w:bookmarkStart w:id="36" w:name="_Toc491179461"/>
      <w:r>
        <w:lastRenderedPageBreak/>
        <w:t>Governance</w:t>
      </w:r>
      <w:bookmarkEnd w:id="36"/>
    </w:p>
    <w:p w:rsidR="00C311EE" w:rsidRPr="00C311EE" w:rsidRDefault="00C311EE" w:rsidP="00C311EE">
      <w:pPr>
        <w:spacing w:after="120"/>
        <w:jc w:val="both"/>
      </w:pPr>
      <w:r w:rsidRPr="00C311EE">
        <w:t>Good governance is essential to the department achieving our purpose and</w:t>
      </w:r>
      <w:r>
        <w:t xml:space="preserve"> </w:t>
      </w:r>
      <w:r w:rsidRPr="00C311EE">
        <w:t xml:space="preserve">outcomes—it helps us determine the direction of our </w:t>
      </w:r>
      <w:proofErr w:type="gramStart"/>
      <w:r w:rsidRPr="00C311EE">
        <w:t>work,</w:t>
      </w:r>
      <w:proofErr w:type="gramEnd"/>
      <w:r w:rsidRPr="00C311EE">
        <w:t xml:space="preserve"> drives organisational</w:t>
      </w:r>
      <w:r>
        <w:t xml:space="preserve"> </w:t>
      </w:r>
      <w:r w:rsidRPr="00C311EE">
        <w:t>stewardship and supports high performance.</w:t>
      </w:r>
    </w:p>
    <w:p w:rsidR="002A171F" w:rsidRDefault="00CD2CAF" w:rsidP="002C39C9">
      <w:pPr>
        <w:pStyle w:val="Heading3"/>
        <w:spacing w:after="0"/>
      </w:pPr>
      <w:r>
        <w:t>O</w:t>
      </w:r>
      <w:r w:rsidR="002A171F">
        <w:t>ur governance structure</w:t>
      </w:r>
    </w:p>
    <w:p w:rsidR="00C311EE" w:rsidRDefault="00C311EE" w:rsidP="00C311EE">
      <w:pPr>
        <w:spacing w:after="120"/>
        <w:jc w:val="both"/>
      </w:pPr>
      <w:r>
        <w:t xml:space="preserve">The department’s governance committee structure was reviewed in December 2016. A new committee structure, comprising </w:t>
      </w:r>
      <w:r w:rsidR="009B3E55">
        <w:t xml:space="preserve">six </w:t>
      </w:r>
      <w:r>
        <w:t>senior committees and the Executive Board, was introduced in 2017, with the objective of supporting the department to identify priorities and achieve objectives.</w:t>
      </w:r>
    </w:p>
    <w:p w:rsidR="00C311EE" w:rsidRDefault="00C311EE" w:rsidP="00C311EE">
      <w:pPr>
        <w:spacing w:after="120"/>
        <w:jc w:val="both"/>
      </w:pPr>
      <w:r>
        <w:t xml:space="preserve">The Executive Board, the department’s decision-making body, focuses on strategic discussion and the delivery of outcomes, while </w:t>
      </w:r>
      <w:r w:rsidR="009B3E55">
        <w:t xml:space="preserve">the six </w:t>
      </w:r>
      <w:r>
        <w:t>senior committees are advisory bodies. The Executive Board and senior committees form a coordinated and unified structure that aims to inform new policy design, drive evidence-based strategies and act as a forum for sharing ideas and best practice. The structure provides support and assurance to the way the department plans, consults, and makes and communicates decisions.</w:t>
      </w:r>
    </w:p>
    <w:p w:rsidR="00C311EE" w:rsidRDefault="00C311EE" w:rsidP="00C311EE">
      <w:pPr>
        <w:spacing w:after="120"/>
        <w:jc w:val="both"/>
      </w:pPr>
      <w:r>
        <w:t xml:space="preserve">Forward work strategies enable committees to identify priorities, manage risks and support the Secretary to meet statutory obligations and facilitate planning and consultation. This includes meeting the requirements of the </w:t>
      </w:r>
      <w:r w:rsidRPr="00C311EE">
        <w:rPr>
          <w:i/>
        </w:rPr>
        <w:t>Public Governance, Performance and Accountability Act 2013</w:t>
      </w:r>
      <w:r>
        <w:t xml:space="preserve"> (PGPA Act) and the </w:t>
      </w:r>
      <w:r w:rsidRPr="00C311EE">
        <w:rPr>
          <w:i/>
        </w:rPr>
        <w:t>Public Service Act 1999</w:t>
      </w:r>
      <w:r>
        <w:t>.</w:t>
      </w:r>
    </w:p>
    <w:p w:rsidR="004E18F1" w:rsidRDefault="004E18F1" w:rsidP="002C39C9">
      <w:pPr>
        <w:pStyle w:val="Heading3"/>
        <w:spacing w:after="0"/>
      </w:pPr>
      <w:r>
        <w:t>Gover</w:t>
      </w:r>
      <w:r w:rsidR="00FD0CFC">
        <w:t>n</w:t>
      </w:r>
      <w:r>
        <w:t>ance committee structure</w:t>
      </w:r>
    </w:p>
    <w:p w:rsidR="00AE62D3" w:rsidRPr="00724B0E" w:rsidRDefault="0009300C" w:rsidP="00AE62D3">
      <w:pPr>
        <w:rPr>
          <w:b/>
          <w:bCs/>
          <w:sz w:val="24"/>
          <w:szCs w:val="24"/>
          <w:lang w:eastAsia="en-AU"/>
        </w:rPr>
      </w:pPr>
      <w:r>
        <w:rPr>
          <w:noProof/>
          <w:lang w:eastAsia="en-AU"/>
        </w:rPr>
        <w:drawing>
          <wp:inline distT="0" distB="0" distL="0" distR="0" wp14:anchorId="648C2ABB" wp14:editId="70502657">
            <wp:extent cx="6314440" cy="2675890"/>
            <wp:effectExtent l="0" t="0" r="0" b="0"/>
            <wp:docPr id="11" name="Picture 11" descr="This image shows the governance structure within the department. The Secretary is supported by six committees; Audit and Assurance; Executive Board; Policy, Strategy and Risk; Digital, Communication and Technology; People and Change; and Indigenous Business is Everyone's Business Committee." title="Governance committe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erformance Reporting\Corporate Plan\2017-2021 Corporate Plan\Design\Images\ED17-0180 - DET - Governance committee structure v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4440" cy="2675890"/>
                    </a:xfrm>
                    <a:prstGeom prst="rect">
                      <a:avLst/>
                    </a:prstGeom>
                    <a:noFill/>
                    <a:ln>
                      <a:noFill/>
                    </a:ln>
                  </pic:spPr>
                </pic:pic>
              </a:graphicData>
            </a:graphic>
          </wp:inline>
        </w:drawing>
      </w:r>
    </w:p>
    <w:bookmarkEnd w:id="32"/>
    <w:p w:rsidR="00DF24AE" w:rsidRDefault="00DF24AE" w:rsidP="002C39C9">
      <w:pPr>
        <w:pStyle w:val="Heading3"/>
        <w:spacing w:after="0"/>
      </w:pPr>
      <w:r>
        <w:t>Improving our business planning and performance monitoring</w:t>
      </w:r>
    </w:p>
    <w:p w:rsidR="00DE7B10" w:rsidRDefault="00DE7B10" w:rsidP="00DE7B10">
      <w:pPr>
        <w:rPr>
          <w:lang w:eastAsia="en-US"/>
        </w:rPr>
      </w:pPr>
      <w:r>
        <w:rPr>
          <w:lang w:eastAsia="en-US"/>
        </w:rPr>
        <w:t>The department has introduced a new internal business planning process, aligned with our corporate planning. In 2017–18 we will also introduce a new quarterly reporting framework to support internal monitoring and reporting on the corporate plan and internal business plans. The new monitoring framework will help the department develop better performance measures over the period of this plan, as well as contribute to a better understanding of what leads to policy and program success.</w:t>
      </w:r>
    </w:p>
    <w:p w:rsidR="00DE7B10" w:rsidRDefault="00DE7B10" w:rsidP="00DE7B10">
      <w:pPr>
        <w:rPr>
          <w:lang w:eastAsia="en-US"/>
        </w:rPr>
      </w:pPr>
      <w:r>
        <w:rPr>
          <w:lang w:eastAsia="en-US"/>
        </w:rPr>
        <w:t xml:space="preserve">Business planning is strongly linked to risk management, including using risk management as a tool to make sound business decisions that support achievement of our purpose. More information on the department’s approach to risk management is outlined in </w:t>
      </w:r>
      <w:hyperlink w:anchor="_Risk_oversight_and" w:history="1">
        <w:r w:rsidRPr="00DE7B10">
          <w:rPr>
            <w:rStyle w:val="Hyperlink"/>
            <w:rFonts w:asciiTheme="minorHAnsi" w:hAnsiTheme="minorHAnsi"/>
            <w:lang w:eastAsia="en-US"/>
          </w:rPr>
          <w:t>Risk oversight and management</w:t>
        </w:r>
      </w:hyperlink>
      <w:r>
        <w:rPr>
          <w:lang w:eastAsia="en-US"/>
        </w:rPr>
        <w:t>.</w:t>
      </w:r>
    </w:p>
    <w:p w:rsidR="00DE7B10" w:rsidRDefault="00DE7B10" w:rsidP="00DE7B10">
      <w:pPr>
        <w:rPr>
          <w:lang w:eastAsia="en-US"/>
        </w:rPr>
      </w:pPr>
      <w:r>
        <w:rPr>
          <w:lang w:eastAsia="en-US"/>
        </w:rPr>
        <w:lastRenderedPageBreak/>
        <w:t xml:space="preserve">Our planning process also reflects our purpose of maximising opportunity by ensuring our external business and internal services are accessible by all—in line with the Government’s </w:t>
      </w:r>
      <w:r w:rsidRPr="00DE7B10">
        <w:rPr>
          <w:i/>
          <w:lang w:eastAsia="en-US"/>
        </w:rPr>
        <w:t>Multicultural Access and Equity Policy</w:t>
      </w:r>
      <w:r>
        <w:rPr>
          <w:lang w:eastAsia="en-US"/>
        </w:rPr>
        <w:t>.</w:t>
      </w:r>
    </w:p>
    <w:p w:rsidR="00272BAE" w:rsidRDefault="00272BAE" w:rsidP="002C39C9">
      <w:pPr>
        <w:pStyle w:val="Heading2"/>
        <w:spacing w:after="0"/>
      </w:pPr>
      <w:bookmarkStart w:id="37" w:name="_Toc491179462"/>
      <w:bookmarkEnd w:id="31"/>
      <w:r>
        <w:t>Corporate s</w:t>
      </w:r>
      <w:r w:rsidR="008E041F">
        <w:t>ervices</w:t>
      </w:r>
      <w:bookmarkEnd w:id="37"/>
    </w:p>
    <w:p w:rsidR="00C00E23" w:rsidRDefault="00C00E23" w:rsidP="00C00E23">
      <w:r>
        <w:t>We are leading an ongoing program of organisational reform that will better support the department to deliver outcomes and maintain excellence and productivity in a constrained fiscal environment.</w:t>
      </w:r>
    </w:p>
    <w:p w:rsidR="00272BAE" w:rsidRDefault="00272BAE" w:rsidP="002C39C9">
      <w:pPr>
        <w:pStyle w:val="Heading3"/>
        <w:spacing w:after="0"/>
      </w:pPr>
      <w:r>
        <w:t>Reforming our corporate delivery</w:t>
      </w:r>
    </w:p>
    <w:p w:rsidR="00C00E23" w:rsidRDefault="00C00E23" w:rsidP="00C00E23">
      <w:r>
        <w:t>In 2017–18, organisational reform will continue with the implementation of a new ‘hub and spoke’ corporate operating model for human resources, finance and parliamentary services. This will help build a ‘one department’ approach to the delivery of corporate services, enabling policy and program areas to focus on their core business, and reducing duplication in service delivery. A subsequent review will look at extending this approach to a range of other corporate and enabling services.</w:t>
      </w:r>
    </w:p>
    <w:p w:rsidR="00CD41F9" w:rsidRDefault="001610B7" w:rsidP="002C39C9">
      <w:pPr>
        <w:pStyle w:val="Heading3"/>
        <w:spacing w:after="0"/>
        <w:rPr>
          <w:lang w:val="en-US"/>
        </w:rPr>
      </w:pPr>
      <w:r>
        <w:rPr>
          <w:lang w:val="en-US"/>
        </w:rPr>
        <w:t>S</w:t>
      </w:r>
      <w:r w:rsidR="00380307">
        <w:rPr>
          <w:lang w:val="en-US"/>
        </w:rPr>
        <w:t>haring corporate services</w:t>
      </w:r>
    </w:p>
    <w:p w:rsidR="006C16B3" w:rsidRDefault="006C16B3" w:rsidP="006C16B3">
      <w:r>
        <w:t>The department participates in the APS Shared and Common Services Program, which aims to ensure public sector corporate services are sourced in the most efficient and effective way. The department contributes to this initiative through shared corporate service arrangements with the Departments of Finance and Employment. These arrangements focus on strengthened governance, assurance and performance reporting arrangements.</w:t>
      </w:r>
    </w:p>
    <w:p w:rsidR="006C16B3" w:rsidRDefault="006C16B3" w:rsidP="006C16B3">
      <w:r>
        <w:t>The Department of Finance’s Service Delivery Office supplies the department with core transactional services, including accounts payable and receivable, credit card management, payroll and payroll system administration, and transactional travel management.</w:t>
      </w:r>
    </w:p>
    <w:p w:rsidR="006C16B3" w:rsidRDefault="006C16B3" w:rsidP="006C16B3">
      <w:r>
        <w:t>The Department of Employment provides some corporate and technology services to the department, including records management, procurement and grants support, financial viability assessments, network access and client computing.</w:t>
      </w:r>
    </w:p>
    <w:p w:rsidR="00846BA9" w:rsidRPr="00846BA9" w:rsidRDefault="006C16B3" w:rsidP="006C16B3">
      <w:r>
        <w:t>The department provides library and theatre (including audio-visual) services to the Department of Employment and other agencies.</w:t>
      </w:r>
    </w:p>
    <w:p w:rsidR="00CD41F9" w:rsidRDefault="00CD41F9" w:rsidP="000213F9">
      <w:pPr>
        <w:pStyle w:val="Heading1"/>
        <w:spacing w:before="480"/>
      </w:pPr>
      <w:bookmarkStart w:id="38" w:name="_Risk_oversight_and"/>
      <w:bookmarkStart w:id="39" w:name="_Ref485645970"/>
      <w:bookmarkStart w:id="40" w:name="_Toc491179463"/>
      <w:bookmarkEnd w:id="38"/>
      <w:r>
        <w:lastRenderedPageBreak/>
        <w:t>Risk oversight and management</w:t>
      </w:r>
      <w:bookmarkEnd w:id="39"/>
      <w:bookmarkEnd w:id="40"/>
    </w:p>
    <w:p w:rsidR="005F64E7" w:rsidRDefault="005F64E7" w:rsidP="005F64E7">
      <w:r>
        <w:t>Our people are encouraged to identify and mitigate risk, and to use risk management as a tool to make sound business decisions that support achievement of our purpose. The department’s current risk management framework is undergoing revision to ensure a consistent approach to the management and monitoring of risks</w:t>
      </w:r>
      <w:r w:rsidR="001462CB">
        <w:t>.</w:t>
      </w:r>
    </w:p>
    <w:p w:rsidR="00CD41F9" w:rsidRDefault="00CD41F9" w:rsidP="002C39C9">
      <w:pPr>
        <w:pStyle w:val="Heading2"/>
        <w:spacing w:after="0"/>
      </w:pPr>
      <w:bookmarkStart w:id="41" w:name="_Toc491179464"/>
      <w:r>
        <w:t>Expanding our approach to risk management</w:t>
      </w:r>
      <w:bookmarkEnd w:id="41"/>
    </w:p>
    <w:p w:rsidR="009B3E55" w:rsidRDefault="005F64E7" w:rsidP="005F64E7">
      <w:r>
        <w:t>In 2017–18 and beyond, we will focus on ensuring that our Risk Management Framework, enterprise-level risks, risk appetite and supporting documentation are relevant to the department’s needs and fit to guide the department’s work. These enhanced tools will continue to support staff with their understanding of how the department embraces risk, and to encourage a culture that shares information across the department.</w:t>
      </w:r>
    </w:p>
    <w:p w:rsidR="005F64E7" w:rsidRDefault="005F64E7" w:rsidP="005F64E7">
      <w:r>
        <w:t xml:space="preserve">In 2016–17, through discussions with the department’s Executive Board, including through the 2017–18 corporate planning process, the department has identified our enterprise-level risks (see </w:t>
      </w:r>
      <w:hyperlink w:anchor="_Enterprise_risks" w:history="1">
        <w:r w:rsidRPr="005F64E7">
          <w:rPr>
            <w:rStyle w:val="Hyperlink"/>
            <w:rFonts w:asciiTheme="minorHAnsi" w:hAnsiTheme="minorHAnsi"/>
          </w:rPr>
          <w:t>Enterprise risks</w:t>
        </w:r>
      </w:hyperlink>
      <w:r>
        <w:t>) and defined the department’s risk appetite and tolerance for risk. The department’s approach was strengthened by the appointment of a Chief Risk Officer in February 2017, who has led this work.</w:t>
      </w:r>
    </w:p>
    <w:p w:rsidR="005F64E7" w:rsidRDefault="005F64E7" w:rsidP="005F64E7">
      <w:r>
        <w:t xml:space="preserve">In 2017–18, we will continue to build on these </w:t>
      </w:r>
      <w:r w:rsidRPr="00554411">
        <w:t xml:space="preserve">achievements </w:t>
      </w:r>
      <w:r w:rsidR="00B24394" w:rsidRPr="00554411">
        <w:t xml:space="preserve">supported by the department’s Risk, Business Continuity and Security Committee, </w:t>
      </w:r>
      <w:r w:rsidRPr="00554411">
        <w:t>with a focus on:</w:t>
      </w:r>
    </w:p>
    <w:p w:rsidR="005F64E7" w:rsidRDefault="005F64E7" w:rsidP="00F24A75">
      <w:pPr>
        <w:pStyle w:val="ListBullet"/>
        <w:spacing w:after="0"/>
        <w:ind w:left="357" w:hanging="357"/>
      </w:pPr>
      <w:r>
        <w:t>building risk management capability at all levels</w:t>
      </w:r>
    </w:p>
    <w:p w:rsidR="005F64E7" w:rsidRDefault="005F64E7" w:rsidP="00F24A75">
      <w:pPr>
        <w:pStyle w:val="ListBullet"/>
        <w:spacing w:after="0"/>
        <w:ind w:left="357" w:hanging="357"/>
      </w:pPr>
      <w:r>
        <w:t>incorporating ‘real time’ risk and issue management to ensure the consideration of risk becomes part of our day- to-day decision making</w:t>
      </w:r>
    </w:p>
    <w:p w:rsidR="005F64E7" w:rsidRDefault="005F64E7" w:rsidP="005F64E7">
      <w:pPr>
        <w:pStyle w:val="ListBullet"/>
      </w:pPr>
      <w:proofErr w:type="gramStart"/>
      <w:r>
        <w:t>developing</w:t>
      </w:r>
      <w:proofErr w:type="gramEnd"/>
      <w:r>
        <w:t xml:space="preserve"> a positive risk culture.</w:t>
      </w:r>
    </w:p>
    <w:p w:rsidR="005F64E7" w:rsidRDefault="005F64E7" w:rsidP="005F64E7">
      <w:r>
        <w:t>This enhanced approach to risk management will assist us to make informed decisions about priorities and resource allocation. It will also enable us to be flexible in the way we engage with and respond to risks and opportunities across the life of this plan.</w:t>
      </w:r>
    </w:p>
    <w:p w:rsidR="00CD41F9" w:rsidRPr="00D977CA" w:rsidRDefault="00AE47A1" w:rsidP="002C39C9">
      <w:pPr>
        <w:pStyle w:val="Heading2"/>
        <w:spacing w:after="0"/>
      </w:pPr>
      <w:bookmarkStart w:id="42" w:name="_Toc491179465"/>
      <w:r>
        <w:t>Risk management f</w:t>
      </w:r>
      <w:r w:rsidR="00CD41F9" w:rsidRPr="006311A9">
        <w:t>ramework</w:t>
      </w:r>
      <w:bookmarkEnd w:id="42"/>
    </w:p>
    <w:p w:rsidR="00161B0F" w:rsidRPr="00CD41F9" w:rsidRDefault="006672B5" w:rsidP="00CD41F9">
      <w:r>
        <w:t xml:space="preserve">Risk management is integral to the department’s strategic and operational environment and is recognised by our Executive as an essential component of sound management and good corporate governance. The department’s risk management framework aligns with broader requirements, including the </w:t>
      </w:r>
      <w:r w:rsidRPr="00B24394">
        <w:rPr>
          <w:i/>
        </w:rPr>
        <w:t xml:space="preserve">Commonwealth Risk Management Policy </w:t>
      </w:r>
      <w:r>
        <w:t>and the Australian/ New Zealand Standard on Risk Management (AS/NZS ISO 31000:2009), and meets the requirements of section 16 of the PGPA Act</w:t>
      </w:r>
      <w:r w:rsidR="00CD41F9">
        <w:t>.</w:t>
      </w:r>
      <w:r w:rsidR="00161B0F">
        <w:rPr>
          <w:color w:val="FF0000"/>
        </w:rPr>
        <w:br w:type="page"/>
      </w:r>
    </w:p>
    <w:p w:rsidR="00161B0F" w:rsidRDefault="00161B0F" w:rsidP="002C39C9">
      <w:pPr>
        <w:pStyle w:val="Heading3"/>
        <w:spacing w:after="0"/>
      </w:pPr>
      <w:r>
        <w:lastRenderedPageBreak/>
        <w:t>Contact us</w:t>
      </w:r>
    </w:p>
    <w:p w:rsidR="00161B0F" w:rsidRDefault="00161B0F" w:rsidP="00161B0F">
      <w:pPr>
        <w:rPr>
          <w:rFonts w:eastAsiaTheme="minorHAnsi"/>
        </w:rPr>
      </w:pPr>
      <w:r>
        <w:t>If you have any questions about this document, please contact:</w:t>
      </w:r>
    </w:p>
    <w:p w:rsidR="00B7616D" w:rsidRDefault="00161B0F" w:rsidP="00B7616D">
      <w:pPr>
        <w:spacing w:after="0"/>
      </w:pPr>
      <w:r>
        <w:t>Planning and Performance</w:t>
      </w:r>
    </w:p>
    <w:p w:rsidR="00B7616D" w:rsidRDefault="00161B0F" w:rsidP="00B7616D">
      <w:pPr>
        <w:spacing w:after="0"/>
      </w:pPr>
      <w:r>
        <w:t>Budget</w:t>
      </w:r>
      <w:r w:rsidR="002A04FF">
        <w:t>, Planning</w:t>
      </w:r>
      <w:r>
        <w:t xml:space="preserve"> and Performance</w:t>
      </w:r>
      <w:r w:rsidR="002A04FF">
        <w:t xml:space="preserve"> Branch</w:t>
      </w:r>
    </w:p>
    <w:p w:rsidR="00B7616D" w:rsidRDefault="00161B0F" w:rsidP="00B7616D">
      <w:pPr>
        <w:spacing w:after="0"/>
      </w:pPr>
      <w:r>
        <w:t>Department of Education and Training</w:t>
      </w:r>
    </w:p>
    <w:p w:rsidR="00B7616D" w:rsidRDefault="00161B0F" w:rsidP="00B7616D">
      <w:pPr>
        <w:spacing w:after="0"/>
      </w:pPr>
      <w:r>
        <w:t>GPO Box 9880</w:t>
      </w:r>
    </w:p>
    <w:p w:rsidR="00161B0F" w:rsidRDefault="00161B0F" w:rsidP="00161B0F">
      <w:r>
        <w:t>CANBERRA ACT 2601</w:t>
      </w:r>
    </w:p>
    <w:p w:rsidR="00161B0F" w:rsidRDefault="00161B0F" w:rsidP="00161B0F">
      <w:pPr>
        <w:rPr>
          <w:rStyle w:val="ARhyperlink"/>
        </w:rPr>
      </w:pPr>
      <w:r>
        <w:t xml:space="preserve">Email: </w:t>
      </w:r>
      <w:hyperlink r:id="rId17" w:history="1">
        <w:r w:rsidR="002A04FF" w:rsidRPr="009E0838">
          <w:rPr>
            <w:rStyle w:val="Hyperlink"/>
          </w:rPr>
          <w:t>planperform@education.gov.au</w:t>
        </w:r>
      </w:hyperlink>
    </w:p>
    <w:p w:rsidR="00161B0F" w:rsidRDefault="00161B0F" w:rsidP="002C39C9">
      <w:pPr>
        <w:pStyle w:val="Heading3"/>
        <w:spacing w:after="0"/>
      </w:pPr>
      <w:r>
        <w:t>Find us</w:t>
      </w:r>
    </w:p>
    <w:p w:rsidR="00161B0F" w:rsidRPr="00E27143" w:rsidRDefault="002A04FF" w:rsidP="00161B0F">
      <w:pPr>
        <w:rPr>
          <w:rStyle w:val="ARhyperlink"/>
          <w:rFonts w:eastAsiaTheme="minorHAnsi"/>
          <w:b w:val="0"/>
        </w:rPr>
      </w:pPr>
      <w:proofErr w:type="gramStart"/>
      <w:r>
        <w:rPr>
          <w:rStyle w:val="ARhyperlink"/>
          <w:b w:val="0"/>
        </w:rPr>
        <w:t>twitter.com/EduSpokesperson</w:t>
      </w:r>
      <w:proofErr w:type="gramEnd"/>
    </w:p>
    <w:p w:rsidR="00161B0F" w:rsidRDefault="00161B0F" w:rsidP="00123E03">
      <w:pPr>
        <w:rPr>
          <w:rStyle w:val="ARhyperlink"/>
          <w:b w:val="0"/>
        </w:rPr>
      </w:pPr>
      <w:r w:rsidRPr="00E27143">
        <w:rPr>
          <w:rStyle w:val="ARhyperlink"/>
          <w:b w:val="0"/>
        </w:rPr>
        <w:t>youtube.com/user/EducationGovAU</w:t>
      </w:r>
    </w:p>
    <w:p w:rsidR="006F2887" w:rsidRPr="00161B0F" w:rsidRDefault="006F2887" w:rsidP="00123E03">
      <w:pPr>
        <w:rPr>
          <w:b/>
          <w:bCs/>
        </w:rPr>
      </w:pPr>
      <w:r>
        <w:rPr>
          <w:rStyle w:val="ARhyperlink"/>
          <w:b w:val="0"/>
        </w:rPr>
        <w:t>www.education.gov.au</w:t>
      </w:r>
    </w:p>
    <w:sectPr w:rsidR="006F2887" w:rsidRPr="00161B0F" w:rsidSect="00697ADC">
      <w:headerReference w:type="default" r:id="rId18"/>
      <w:footerReference w:type="even" r:id="rId19"/>
      <w:footerReference w:type="default" r:id="rId20"/>
      <w:pgSz w:w="12240" w:h="15840"/>
      <w:pgMar w:top="993" w:right="1080" w:bottom="1440" w:left="1080" w:header="436"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779" w:rsidRDefault="00266779" w:rsidP="00855982">
      <w:pPr>
        <w:spacing w:after="0" w:line="240" w:lineRule="auto"/>
      </w:pPr>
      <w:r>
        <w:separator/>
      </w:r>
    </w:p>
  </w:endnote>
  <w:endnote w:type="continuationSeparator" w:id="0">
    <w:p w:rsidR="00266779" w:rsidRDefault="00266779" w:rsidP="0085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NewsGothicCom-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667087"/>
      <w:docPartObj>
        <w:docPartGallery w:val="Page Numbers (Bottom of Page)"/>
        <w:docPartUnique/>
      </w:docPartObj>
    </w:sdtPr>
    <w:sdtEndPr>
      <w:rPr>
        <w:noProof/>
      </w:rPr>
    </w:sdtEndPr>
    <w:sdtContent>
      <w:p w:rsidR="00266779" w:rsidRDefault="00266779">
        <w:pPr>
          <w:pStyle w:val="Footer"/>
        </w:pPr>
        <w:r w:rsidRPr="000670A2">
          <w:rPr>
            <w:b/>
          </w:rPr>
          <w:fldChar w:fldCharType="begin"/>
        </w:r>
        <w:r w:rsidRPr="000670A2">
          <w:rPr>
            <w:b/>
          </w:rPr>
          <w:instrText xml:space="preserve"> PAGE   \* MERGEFORMAT </w:instrText>
        </w:r>
        <w:r w:rsidRPr="000670A2">
          <w:rPr>
            <w:b/>
          </w:rPr>
          <w:fldChar w:fldCharType="separate"/>
        </w:r>
        <w:r w:rsidR="00757513">
          <w:rPr>
            <w:b/>
            <w:noProof/>
          </w:rPr>
          <w:t>2</w:t>
        </w:r>
        <w:r w:rsidRPr="000670A2">
          <w:rPr>
            <w:b/>
            <w:noProof/>
          </w:rPr>
          <w:fldChar w:fldCharType="end"/>
        </w:r>
        <w:r>
          <w:rPr>
            <w:noProof/>
          </w:rPr>
          <w:t xml:space="preserve"> | Department of Education and Training Corporate Plan 2017–18</w:t>
        </w:r>
        <w:r>
          <w:rPr>
            <w:noProof/>
          </w:rPr>
          <w:tab/>
        </w:r>
        <w:r>
          <w:rPr>
            <w:noProof/>
          </w:rPr>
          <w:tab/>
        </w:r>
        <w:r>
          <w:rPr>
            <w:noProof/>
          </w:rPr>
          <w:tab/>
          <w:t xml:space="preserve">        2017–18 to 2020–21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779" w:rsidRDefault="006A6077" w:rsidP="000670A2">
    <w:pPr>
      <w:pStyle w:val="Footer"/>
    </w:pPr>
    <w:sdt>
      <w:sdtPr>
        <w:id w:val="-1316258382"/>
        <w:docPartObj>
          <w:docPartGallery w:val="Page Numbers (Bottom of Page)"/>
          <w:docPartUnique/>
        </w:docPartObj>
      </w:sdtPr>
      <w:sdtEndPr>
        <w:rPr>
          <w:noProof/>
        </w:rPr>
      </w:sdtEndPr>
      <w:sdtContent>
        <w:r w:rsidR="00266779">
          <w:rPr>
            <w:noProof/>
          </w:rPr>
          <w:t>2017–18 to 2020–21</w:t>
        </w:r>
      </w:sdtContent>
    </w:sdt>
    <w:r w:rsidR="00266779">
      <w:tab/>
    </w:r>
    <w:r w:rsidR="00266779">
      <w:tab/>
    </w:r>
    <w:r w:rsidR="00266779">
      <w:tab/>
    </w:r>
    <w:r w:rsidR="00266779">
      <w:rPr>
        <w:noProof/>
      </w:rPr>
      <w:t>Department of Education and Training Corporate Plan 2017–18 |</w:t>
    </w:r>
    <w:r w:rsidR="00266779">
      <w:t xml:space="preserve"> </w:t>
    </w:r>
    <w:sdt>
      <w:sdtPr>
        <w:id w:val="1783532959"/>
        <w:docPartObj>
          <w:docPartGallery w:val="Page Numbers (Bottom of Page)"/>
          <w:docPartUnique/>
        </w:docPartObj>
      </w:sdtPr>
      <w:sdtEndPr>
        <w:rPr>
          <w:noProof/>
        </w:rPr>
      </w:sdtEndPr>
      <w:sdtContent>
        <w:r w:rsidR="00266779" w:rsidRPr="000670A2">
          <w:rPr>
            <w:b/>
          </w:rPr>
          <w:fldChar w:fldCharType="begin"/>
        </w:r>
        <w:r w:rsidR="00266779" w:rsidRPr="000670A2">
          <w:rPr>
            <w:b/>
          </w:rPr>
          <w:instrText xml:space="preserve"> PAGE   \* MERGEFORMAT </w:instrText>
        </w:r>
        <w:r w:rsidR="00266779" w:rsidRPr="000670A2">
          <w:rPr>
            <w:b/>
          </w:rPr>
          <w:fldChar w:fldCharType="separate"/>
        </w:r>
        <w:r w:rsidR="00757513">
          <w:rPr>
            <w:b/>
            <w:noProof/>
          </w:rPr>
          <w:t>19</w:t>
        </w:r>
        <w:r w:rsidR="00266779" w:rsidRPr="000670A2">
          <w:rPr>
            <w:b/>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779" w:rsidRDefault="00266779" w:rsidP="00855982">
      <w:pPr>
        <w:spacing w:after="0" w:line="240" w:lineRule="auto"/>
      </w:pPr>
      <w:r>
        <w:separator/>
      </w:r>
    </w:p>
  </w:footnote>
  <w:footnote w:type="continuationSeparator" w:id="0">
    <w:p w:rsidR="00266779" w:rsidRDefault="00266779" w:rsidP="00855982">
      <w:pPr>
        <w:spacing w:after="0" w:line="240" w:lineRule="auto"/>
      </w:pPr>
      <w:r>
        <w:continuationSeparator/>
      </w:r>
    </w:p>
  </w:footnote>
  <w:footnote w:id="1">
    <w:p w:rsidR="00266779" w:rsidRDefault="00266779" w:rsidP="00A95E2A">
      <w:pPr>
        <w:pStyle w:val="FootnoteText"/>
      </w:pPr>
      <w:r>
        <w:rPr>
          <w:rStyle w:val="FootnoteReference"/>
        </w:rPr>
        <w:footnoteRef/>
      </w:r>
      <w:r>
        <w:t xml:space="preserve"> </w:t>
      </w:r>
      <w:proofErr w:type="gramStart"/>
      <w:r>
        <w:t>Outcome statements, which are set by Government, are part of the Government’s resource management framework, and used for budgeting and reporting against the use of appropriated funds.</w:t>
      </w:r>
      <w:proofErr w:type="gramEnd"/>
    </w:p>
  </w:footnote>
  <w:footnote w:id="2">
    <w:p w:rsidR="00266779" w:rsidRDefault="00266779">
      <w:pPr>
        <w:pStyle w:val="FootnoteText"/>
      </w:pPr>
      <w:r>
        <w:rPr>
          <w:rStyle w:val="FootnoteReference"/>
        </w:rPr>
        <w:footnoteRef/>
      </w:r>
      <w:r>
        <w:t xml:space="preserve"> </w:t>
      </w:r>
      <w:r w:rsidRPr="00C8618D">
        <w:t xml:space="preserve">Australian Government (2015), </w:t>
      </w:r>
      <w:r w:rsidRPr="00C8618D">
        <w:rPr>
          <w:i/>
        </w:rPr>
        <w:t>2015 Intergenerational Report: Australia in 2055</w:t>
      </w:r>
      <w:r w:rsidRPr="00C8618D">
        <w:t xml:space="preserve">, </w:t>
      </w:r>
      <w:proofErr w:type="gramStart"/>
      <w:r w:rsidRPr="00C8618D">
        <w:t>The</w:t>
      </w:r>
      <w:proofErr w:type="gramEnd"/>
      <w:r w:rsidRPr="00C8618D">
        <w:t xml:space="preserve"> Treasury.</w:t>
      </w:r>
    </w:p>
  </w:footnote>
  <w:footnote w:id="3">
    <w:p w:rsidR="00266779" w:rsidRDefault="00266779">
      <w:pPr>
        <w:pStyle w:val="FootnoteText"/>
      </w:pPr>
      <w:r>
        <w:rPr>
          <w:rStyle w:val="FootnoteReference"/>
        </w:rPr>
        <w:footnoteRef/>
      </w:r>
      <w:r>
        <w:t xml:space="preserve"> </w:t>
      </w:r>
      <w:r w:rsidRPr="00E67AFE">
        <w:t xml:space="preserve">Foundation for Young Australians (2016), </w:t>
      </w:r>
      <w:proofErr w:type="gramStart"/>
      <w:r w:rsidRPr="00E67AFE">
        <w:rPr>
          <w:i/>
        </w:rPr>
        <w:t>The</w:t>
      </w:r>
      <w:proofErr w:type="gramEnd"/>
      <w:r w:rsidRPr="00E67AFE">
        <w:rPr>
          <w:i/>
        </w:rPr>
        <w:t xml:space="preserve"> New Work Mindset</w:t>
      </w:r>
      <w:r w:rsidRPr="00E67AFE">
        <w:t>, Melbourne.</w:t>
      </w:r>
    </w:p>
  </w:footnote>
  <w:footnote w:id="4">
    <w:p w:rsidR="00266779" w:rsidRDefault="00266779">
      <w:pPr>
        <w:pStyle w:val="FootnoteText"/>
      </w:pPr>
      <w:r>
        <w:rPr>
          <w:rStyle w:val="FootnoteReference"/>
        </w:rPr>
        <w:footnoteRef/>
      </w:r>
      <w:r>
        <w:t xml:space="preserve"> </w:t>
      </w:r>
      <w:r w:rsidRPr="000D7DBE">
        <w:t xml:space="preserve">OECD (2016), </w:t>
      </w:r>
      <w:r w:rsidRPr="000D7DBE">
        <w:rPr>
          <w:i/>
        </w:rPr>
        <w:t>Education at a Glance 2016: OECD Indicators</w:t>
      </w:r>
      <w:r w:rsidRPr="000D7DBE">
        <w:t>, OECD Publishing, Paris.</w:t>
      </w:r>
    </w:p>
  </w:footnote>
  <w:footnote w:id="5">
    <w:p w:rsidR="00266779" w:rsidRDefault="00266779">
      <w:pPr>
        <w:pStyle w:val="FootnoteText"/>
      </w:pPr>
      <w:r>
        <w:rPr>
          <w:rStyle w:val="FootnoteReference"/>
        </w:rPr>
        <w:footnoteRef/>
      </w:r>
      <w:r>
        <w:t xml:space="preserve"> </w:t>
      </w:r>
      <w:r w:rsidRPr="000D7DBE">
        <w:t xml:space="preserve">CEDA (2015), </w:t>
      </w:r>
      <w:r w:rsidRPr="000D7DBE">
        <w:rPr>
          <w:i/>
        </w:rPr>
        <w:t>Australia’s future workforce</w:t>
      </w:r>
      <w:proofErr w:type="gramStart"/>
      <w:r w:rsidRPr="000D7DBE">
        <w:rPr>
          <w:i/>
        </w:rPr>
        <w:t>?</w:t>
      </w:r>
      <w:r w:rsidRPr="000D7DBE">
        <w:t>,</w:t>
      </w:r>
      <w:proofErr w:type="gramEnd"/>
      <w:r w:rsidRPr="000D7DBE">
        <w:t xml:space="preserve"> CEDA, Melbourne.</w:t>
      </w:r>
    </w:p>
  </w:footnote>
  <w:footnote w:id="6">
    <w:p w:rsidR="00266779" w:rsidRDefault="00266779" w:rsidP="002D371E">
      <w:pPr>
        <w:pStyle w:val="FootnoteText"/>
      </w:pPr>
      <w:r>
        <w:rPr>
          <w:rStyle w:val="FootnoteReference"/>
        </w:rPr>
        <w:footnoteRef/>
      </w:r>
      <w:r>
        <w:t xml:space="preserve"> OECD (2016), ‘What are the benefits from early childhood education?</w:t>
      </w:r>
      <w:proofErr w:type="gramStart"/>
      <w:r>
        <w:t>’,</w:t>
      </w:r>
      <w:proofErr w:type="gramEnd"/>
      <w:r>
        <w:t xml:space="preserve"> </w:t>
      </w:r>
      <w:r w:rsidRPr="002D371E">
        <w:rPr>
          <w:i/>
        </w:rPr>
        <w:t>Education Indicators in Focus</w:t>
      </w:r>
      <w:r>
        <w:t>, No. 42.</w:t>
      </w:r>
    </w:p>
  </w:footnote>
  <w:footnote w:id="7">
    <w:p w:rsidR="00266779" w:rsidRDefault="00266779">
      <w:pPr>
        <w:pStyle w:val="FootnoteText"/>
      </w:pPr>
      <w:r>
        <w:rPr>
          <w:rStyle w:val="FootnoteReference"/>
        </w:rPr>
        <w:footnoteRef/>
      </w:r>
      <w:r>
        <w:t xml:space="preserve"> </w:t>
      </w:r>
      <w:r w:rsidRPr="002D371E">
        <w:t xml:space="preserve">OECD (2016), </w:t>
      </w:r>
      <w:r w:rsidRPr="002D371E">
        <w:rPr>
          <w:i/>
        </w:rPr>
        <w:t>Education at a Glance 2016</w:t>
      </w:r>
      <w:r w:rsidRPr="002D371E">
        <w:t>: OECD Indicators.</w:t>
      </w:r>
    </w:p>
  </w:footnote>
  <w:footnote w:id="8">
    <w:p w:rsidR="00266779" w:rsidRDefault="00266779">
      <w:pPr>
        <w:pStyle w:val="FootnoteText"/>
      </w:pPr>
      <w:r>
        <w:rPr>
          <w:rStyle w:val="FootnoteReference"/>
        </w:rPr>
        <w:footnoteRef/>
      </w:r>
      <w:r>
        <w:t xml:space="preserve"> </w:t>
      </w:r>
      <w:r w:rsidRPr="00CE7039">
        <w:t xml:space="preserve">Australian Council of Learned Academies (2015), </w:t>
      </w:r>
      <w:r w:rsidRPr="00CE7039">
        <w:rPr>
          <w:i/>
        </w:rPr>
        <w:t>Review of Australia’s Research Training System</w:t>
      </w:r>
      <w:r w:rsidRPr="00CE7039">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779" w:rsidRPr="00084678" w:rsidRDefault="00266779" w:rsidP="0008467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8EA02"/>
    <w:lvl w:ilvl="0">
      <w:start w:val="1"/>
      <w:numFmt w:val="bullet"/>
      <w:lvlText w:val=""/>
      <w:lvlJc w:val="left"/>
      <w:pPr>
        <w:tabs>
          <w:tab w:val="num" w:pos="360"/>
        </w:tabs>
        <w:ind w:left="360" w:hanging="360"/>
      </w:pPr>
      <w:rPr>
        <w:rFonts w:ascii="Symbol" w:hAnsi="Symbol" w:hint="default"/>
      </w:rPr>
    </w:lvl>
  </w:abstractNum>
  <w:abstractNum w:abstractNumId="1">
    <w:nsid w:val="33756008"/>
    <w:multiLevelType w:val="hybridMultilevel"/>
    <w:tmpl w:val="90047FEC"/>
    <w:lvl w:ilvl="0" w:tplc="66289E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2075545"/>
    <w:multiLevelType w:val="hybridMultilevel"/>
    <w:tmpl w:val="0936B7D2"/>
    <w:lvl w:ilvl="0" w:tplc="C8749108">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4A6B3EBF"/>
    <w:multiLevelType w:val="hybridMultilevel"/>
    <w:tmpl w:val="5DD65124"/>
    <w:lvl w:ilvl="0" w:tplc="E438BBA6">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51B73210"/>
    <w:multiLevelType w:val="multilevel"/>
    <w:tmpl w:val="BC02211E"/>
    <w:lvl w:ilvl="0">
      <w:start w:val="1"/>
      <w:numFmt w:val="bullet"/>
      <w:pStyle w:val="ListBullet"/>
      <w:lvlText w:val=""/>
      <w:lvlJc w:val="left"/>
      <w:pPr>
        <w:ind w:left="360" w:hanging="360"/>
      </w:pPr>
      <w:rPr>
        <w:rFonts w:ascii="Symbol" w:hAnsi="Symbol" w:hint="default"/>
        <w:color w:val="auto"/>
      </w:rPr>
    </w:lvl>
    <w:lvl w:ilvl="1">
      <w:start w:val="1"/>
      <w:numFmt w:val="bullet"/>
      <w:pStyle w:val="ListBullet2"/>
      <w:lvlText w:val="-"/>
      <w:lvlJc w:val="left"/>
      <w:pPr>
        <w:ind w:left="737" w:hanging="340"/>
      </w:pPr>
      <w:rPr>
        <w:rFonts w:ascii="Courier New" w:hAnsi="Courier New" w:hint="default"/>
      </w:rPr>
    </w:lvl>
    <w:lvl w:ilvl="2">
      <w:start w:val="1"/>
      <w:numFmt w:val="bullet"/>
      <w:pStyle w:val="ListBullet3"/>
      <w:lvlText w:val="o"/>
      <w:lvlJc w:val="left"/>
      <w:pPr>
        <w:ind w:left="1134" w:hanging="340"/>
      </w:pPr>
      <w:rPr>
        <w:rFonts w:ascii="Courier New" w:hAnsi="Courier New" w:cs="Courier New"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711F0863"/>
    <w:multiLevelType w:val="hybridMultilevel"/>
    <w:tmpl w:val="A320ADB2"/>
    <w:lvl w:ilvl="0" w:tplc="47BC62E2">
      <w:start w:val="1"/>
      <w:numFmt w:val="decimal"/>
      <w:pStyle w:val="NumberedParagraph"/>
      <w:lvlText w:val="%1."/>
      <w:lvlJc w:val="left"/>
      <w:pPr>
        <w:ind w:left="785" w:hanging="360"/>
      </w:pPr>
    </w:lvl>
    <w:lvl w:ilvl="1" w:tplc="0C090019">
      <w:start w:val="1"/>
      <w:numFmt w:val="lowerLetter"/>
      <w:lvlText w:val="%2."/>
      <w:lvlJc w:val="left"/>
      <w:pPr>
        <w:ind w:left="1505" w:hanging="360"/>
      </w:pPr>
    </w:lvl>
    <w:lvl w:ilvl="2" w:tplc="0C09001B">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6">
    <w:nsid w:val="72F15305"/>
    <w:multiLevelType w:val="multilevel"/>
    <w:tmpl w:val="5622B6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4"/>
  </w:num>
  <w:num w:numId="3">
    <w:abstractNumId w:val="1"/>
  </w:num>
  <w:num w:numId="4">
    <w:abstractNumId w:val="6"/>
  </w:num>
  <w:num w:numId="5">
    <w:abstractNumId w:val="5"/>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0"/>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proofState w:spelling="clean" w:grammar="clean"/>
  <w:attachedTemplate r:id="rId1"/>
  <w:defaultTabStop w:val="708"/>
  <w:hyphenationZone w:val="425"/>
  <w:evenAndOddHeaders/>
  <w:characterSpacingControl w:val="doNotCompress"/>
  <w:hdrShapeDefaults>
    <o:shapedefaults v:ext="edit" spidmax="76801"/>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3B4"/>
    <w:rsid w:val="0000134B"/>
    <w:rsid w:val="00001498"/>
    <w:rsid w:val="00001A0C"/>
    <w:rsid w:val="00003610"/>
    <w:rsid w:val="0000487D"/>
    <w:rsid w:val="00004E60"/>
    <w:rsid w:val="00005F4D"/>
    <w:rsid w:val="000071D9"/>
    <w:rsid w:val="00007AE7"/>
    <w:rsid w:val="00010D74"/>
    <w:rsid w:val="00011156"/>
    <w:rsid w:val="00013205"/>
    <w:rsid w:val="0001331B"/>
    <w:rsid w:val="00015032"/>
    <w:rsid w:val="00015E4D"/>
    <w:rsid w:val="00016D60"/>
    <w:rsid w:val="000170BB"/>
    <w:rsid w:val="00017808"/>
    <w:rsid w:val="00020054"/>
    <w:rsid w:val="0002095C"/>
    <w:rsid w:val="000213F9"/>
    <w:rsid w:val="0002173E"/>
    <w:rsid w:val="000223D2"/>
    <w:rsid w:val="0002254B"/>
    <w:rsid w:val="000225CA"/>
    <w:rsid w:val="00022DD7"/>
    <w:rsid w:val="000237A4"/>
    <w:rsid w:val="00023CC7"/>
    <w:rsid w:val="000244F8"/>
    <w:rsid w:val="0002466E"/>
    <w:rsid w:val="0002508B"/>
    <w:rsid w:val="00025128"/>
    <w:rsid w:val="0002597D"/>
    <w:rsid w:val="0002608D"/>
    <w:rsid w:val="00027585"/>
    <w:rsid w:val="0003272A"/>
    <w:rsid w:val="00034821"/>
    <w:rsid w:val="00035564"/>
    <w:rsid w:val="0003711F"/>
    <w:rsid w:val="00040644"/>
    <w:rsid w:val="00042813"/>
    <w:rsid w:val="00043C85"/>
    <w:rsid w:val="00044734"/>
    <w:rsid w:val="00046A04"/>
    <w:rsid w:val="000471F4"/>
    <w:rsid w:val="0005103E"/>
    <w:rsid w:val="00051359"/>
    <w:rsid w:val="000519B8"/>
    <w:rsid w:val="00052C01"/>
    <w:rsid w:val="0005309E"/>
    <w:rsid w:val="000532F1"/>
    <w:rsid w:val="0005391E"/>
    <w:rsid w:val="00054815"/>
    <w:rsid w:val="00055D31"/>
    <w:rsid w:val="00056399"/>
    <w:rsid w:val="000567CA"/>
    <w:rsid w:val="00056A42"/>
    <w:rsid w:val="00056D66"/>
    <w:rsid w:val="00057768"/>
    <w:rsid w:val="00060B6C"/>
    <w:rsid w:val="0006105C"/>
    <w:rsid w:val="00061291"/>
    <w:rsid w:val="00061FC7"/>
    <w:rsid w:val="000630E6"/>
    <w:rsid w:val="00063658"/>
    <w:rsid w:val="000670A2"/>
    <w:rsid w:val="000714E7"/>
    <w:rsid w:val="00072256"/>
    <w:rsid w:val="0007415B"/>
    <w:rsid w:val="000761B2"/>
    <w:rsid w:val="000768E6"/>
    <w:rsid w:val="00076B5F"/>
    <w:rsid w:val="00077ED0"/>
    <w:rsid w:val="00080C07"/>
    <w:rsid w:val="000810C5"/>
    <w:rsid w:val="00082834"/>
    <w:rsid w:val="00082DD5"/>
    <w:rsid w:val="000831A9"/>
    <w:rsid w:val="00084678"/>
    <w:rsid w:val="00084D07"/>
    <w:rsid w:val="00084DC5"/>
    <w:rsid w:val="0008650C"/>
    <w:rsid w:val="00086B61"/>
    <w:rsid w:val="0009050D"/>
    <w:rsid w:val="00090A7A"/>
    <w:rsid w:val="0009201C"/>
    <w:rsid w:val="0009300C"/>
    <w:rsid w:val="00093BC9"/>
    <w:rsid w:val="00093D8F"/>
    <w:rsid w:val="000949DC"/>
    <w:rsid w:val="00094DB9"/>
    <w:rsid w:val="00094EB1"/>
    <w:rsid w:val="000950FC"/>
    <w:rsid w:val="00096152"/>
    <w:rsid w:val="000966F9"/>
    <w:rsid w:val="00096919"/>
    <w:rsid w:val="000A1406"/>
    <w:rsid w:val="000A5106"/>
    <w:rsid w:val="000A6290"/>
    <w:rsid w:val="000A6817"/>
    <w:rsid w:val="000A6A51"/>
    <w:rsid w:val="000A760A"/>
    <w:rsid w:val="000B0ACA"/>
    <w:rsid w:val="000B1097"/>
    <w:rsid w:val="000B155D"/>
    <w:rsid w:val="000B1E2C"/>
    <w:rsid w:val="000B318A"/>
    <w:rsid w:val="000B32D3"/>
    <w:rsid w:val="000B3561"/>
    <w:rsid w:val="000B45CD"/>
    <w:rsid w:val="000B509A"/>
    <w:rsid w:val="000B5BBE"/>
    <w:rsid w:val="000B621B"/>
    <w:rsid w:val="000B6397"/>
    <w:rsid w:val="000C007F"/>
    <w:rsid w:val="000C11A1"/>
    <w:rsid w:val="000C161C"/>
    <w:rsid w:val="000C1885"/>
    <w:rsid w:val="000C2202"/>
    <w:rsid w:val="000C2C85"/>
    <w:rsid w:val="000C2F89"/>
    <w:rsid w:val="000C316E"/>
    <w:rsid w:val="000C42D3"/>
    <w:rsid w:val="000C4305"/>
    <w:rsid w:val="000C4C1C"/>
    <w:rsid w:val="000C55F4"/>
    <w:rsid w:val="000C582E"/>
    <w:rsid w:val="000C5A9E"/>
    <w:rsid w:val="000C5AA4"/>
    <w:rsid w:val="000D220E"/>
    <w:rsid w:val="000D397D"/>
    <w:rsid w:val="000D3B51"/>
    <w:rsid w:val="000D3FA8"/>
    <w:rsid w:val="000D4816"/>
    <w:rsid w:val="000D484F"/>
    <w:rsid w:val="000D54F0"/>
    <w:rsid w:val="000D56B4"/>
    <w:rsid w:val="000D634F"/>
    <w:rsid w:val="000D6400"/>
    <w:rsid w:val="000D7DBE"/>
    <w:rsid w:val="000E0EAB"/>
    <w:rsid w:val="000E2D7F"/>
    <w:rsid w:val="000E378D"/>
    <w:rsid w:val="000E4D73"/>
    <w:rsid w:val="000E6929"/>
    <w:rsid w:val="000E705E"/>
    <w:rsid w:val="000E709D"/>
    <w:rsid w:val="000F05BE"/>
    <w:rsid w:val="000F16E4"/>
    <w:rsid w:val="000F31A9"/>
    <w:rsid w:val="000F53FC"/>
    <w:rsid w:val="000F585F"/>
    <w:rsid w:val="000F7509"/>
    <w:rsid w:val="000F79F0"/>
    <w:rsid w:val="000F7C8B"/>
    <w:rsid w:val="001003E5"/>
    <w:rsid w:val="00102F53"/>
    <w:rsid w:val="0010310B"/>
    <w:rsid w:val="001032BF"/>
    <w:rsid w:val="00103CFF"/>
    <w:rsid w:val="00105E70"/>
    <w:rsid w:val="001060AE"/>
    <w:rsid w:val="001077AB"/>
    <w:rsid w:val="0010795C"/>
    <w:rsid w:val="001107AE"/>
    <w:rsid w:val="00111393"/>
    <w:rsid w:val="00111810"/>
    <w:rsid w:val="00112BD8"/>
    <w:rsid w:val="00112D42"/>
    <w:rsid w:val="001131C9"/>
    <w:rsid w:val="001141F5"/>
    <w:rsid w:val="00114E4D"/>
    <w:rsid w:val="001155B7"/>
    <w:rsid w:val="00115D58"/>
    <w:rsid w:val="00116847"/>
    <w:rsid w:val="001213F4"/>
    <w:rsid w:val="00122474"/>
    <w:rsid w:val="001235C0"/>
    <w:rsid w:val="00123D6B"/>
    <w:rsid w:val="00123E03"/>
    <w:rsid w:val="0012421D"/>
    <w:rsid w:val="001251EC"/>
    <w:rsid w:val="00127168"/>
    <w:rsid w:val="00127B0A"/>
    <w:rsid w:val="00132169"/>
    <w:rsid w:val="001325BB"/>
    <w:rsid w:val="00132BBE"/>
    <w:rsid w:val="00132DED"/>
    <w:rsid w:val="00132EB5"/>
    <w:rsid w:val="00132FE3"/>
    <w:rsid w:val="00133107"/>
    <w:rsid w:val="00133D45"/>
    <w:rsid w:val="00134FCA"/>
    <w:rsid w:val="00136246"/>
    <w:rsid w:val="00136CBC"/>
    <w:rsid w:val="00140DE2"/>
    <w:rsid w:val="001462CB"/>
    <w:rsid w:val="00146BB1"/>
    <w:rsid w:val="00146D1A"/>
    <w:rsid w:val="00146DCD"/>
    <w:rsid w:val="00147B50"/>
    <w:rsid w:val="00150457"/>
    <w:rsid w:val="00151041"/>
    <w:rsid w:val="0015135B"/>
    <w:rsid w:val="001522D9"/>
    <w:rsid w:val="00152314"/>
    <w:rsid w:val="00153ADD"/>
    <w:rsid w:val="00156881"/>
    <w:rsid w:val="001610B7"/>
    <w:rsid w:val="00161B0F"/>
    <w:rsid w:val="001626E7"/>
    <w:rsid w:val="001629B4"/>
    <w:rsid w:val="00162EB1"/>
    <w:rsid w:val="0016348C"/>
    <w:rsid w:val="00164AFD"/>
    <w:rsid w:val="00165FC2"/>
    <w:rsid w:val="00166CDC"/>
    <w:rsid w:val="00170C5B"/>
    <w:rsid w:val="00170F1E"/>
    <w:rsid w:val="00172C65"/>
    <w:rsid w:val="00172DB4"/>
    <w:rsid w:val="001740BD"/>
    <w:rsid w:val="00174D24"/>
    <w:rsid w:val="0017585A"/>
    <w:rsid w:val="00176ACF"/>
    <w:rsid w:val="00177153"/>
    <w:rsid w:val="00177D05"/>
    <w:rsid w:val="00177DF3"/>
    <w:rsid w:val="00177FA1"/>
    <w:rsid w:val="00180598"/>
    <w:rsid w:val="0018113C"/>
    <w:rsid w:val="0018172C"/>
    <w:rsid w:val="00182865"/>
    <w:rsid w:val="001829B5"/>
    <w:rsid w:val="0018392B"/>
    <w:rsid w:val="0018645A"/>
    <w:rsid w:val="00186C00"/>
    <w:rsid w:val="001905D1"/>
    <w:rsid w:val="00190665"/>
    <w:rsid w:val="00191A41"/>
    <w:rsid w:val="001922E0"/>
    <w:rsid w:val="0019393F"/>
    <w:rsid w:val="00193C19"/>
    <w:rsid w:val="00194EC1"/>
    <w:rsid w:val="00195111"/>
    <w:rsid w:val="00195497"/>
    <w:rsid w:val="00197B9B"/>
    <w:rsid w:val="00197BA8"/>
    <w:rsid w:val="00197D18"/>
    <w:rsid w:val="001A1194"/>
    <w:rsid w:val="001A11A8"/>
    <w:rsid w:val="001A16F1"/>
    <w:rsid w:val="001A300F"/>
    <w:rsid w:val="001A30AC"/>
    <w:rsid w:val="001A3202"/>
    <w:rsid w:val="001A33CD"/>
    <w:rsid w:val="001A58F7"/>
    <w:rsid w:val="001A686B"/>
    <w:rsid w:val="001A72AA"/>
    <w:rsid w:val="001B061A"/>
    <w:rsid w:val="001B091B"/>
    <w:rsid w:val="001B0C05"/>
    <w:rsid w:val="001B0FE7"/>
    <w:rsid w:val="001B2439"/>
    <w:rsid w:val="001B3274"/>
    <w:rsid w:val="001B4E67"/>
    <w:rsid w:val="001B4EDF"/>
    <w:rsid w:val="001B56E7"/>
    <w:rsid w:val="001B687F"/>
    <w:rsid w:val="001C00EB"/>
    <w:rsid w:val="001C22E9"/>
    <w:rsid w:val="001C2CFA"/>
    <w:rsid w:val="001C44E1"/>
    <w:rsid w:val="001C5B33"/>
    <w:rsid w:val="001C5EEB"/>
    <w:rsid w:val="001C631B"/>
    <w:rsid w:val="001C666D"/>
    <w:rsid w:val="001C6BA8"/>
    <w:rsid w:val="001C721E"/>
    <w:rsid w:val="001C7A19"/>
    <w:rsid w:val="001D0012"/>
    <w:rsid w:val="001D0BDB"/>
    <w:rsid w:val="001D11C4"/>
    <w:rsid w:val="001D1FC0"/>
    <w:rsid w:val="001D36F3"/>
    <w:rsid w:val="001D4362"/>
    <w:rsid w:val="001D4F65"/>
    <w:rsid w:val="001D6F67"/>
    <w:rsid w:val="001D7A5D"/>
    <w:rsid w:val="001D7E04"/>
    <w:rsid w:val="001E02E9"/>
    <w:rsid w:val="001E1166"/>
    <w:rsid w:val="001E15BD"/>
    <w:rsid w:val="001E2C54"/>
    <w:rsid w:val="001E428B"/>
    <w:rsid w:val="001E5AA5"/>
    <w:rsid w:val="001E5AAF"/>
    <w:rsid w:val="001E5FD3"/>
    <w:rsid w:val="001E6357"/>
    <w:rsid w:val="001E715B"/>
    <w:rsid w:val="001E751F"/>
    <w:rsid w:val="001F1F03"/>
    <w:rsid w:val="001F2906"/>
    <w:rsid w:val="001F3AF5"/>
    <w:rsid w:val="001F3DF0"/>
    <w:rsid w:val="001F48EE"/>
    <w:rsid w:val="001F4B2B"/>
    <w:rsid w:val="001F660F"/>
    <w:rsid w:val="001F74F8"/>
    <w:rsid w:val="00200AF5"/>
    <w:rsid w:val="0020218F"/>
    <w:rsid w:val="00202597"/>
    <w:rsid w:val="00204383"/>
    <w:rsid w:val="0020452E"/>
    <w:rsid w:val="002069A5"/>
    <w:rsid w:val="00211B61"/>
    <w:rsid w:val="00212587"/>
    <w:rsid w:val="002130C1"/>
    <w:rsid w:val="0021379D"/>
    <w:rsid w:val="00214536"/>
    <w:rsid w:val="00214AE2"/>
    <w:rsid w:val="002158F5"/>
    <w:rsid w:val="00215CA8"/>
    <w:rsid w:val="00215D54"/>
    <w:rsid w:val="00217AE5"/>
    <w:rsid w:val="00217BB5"/>
    <w:rsid w:val="00220A04"/>
    <w:rsid w:val="0022102A"/>
    <w:rsid w:val="00221BE2"/>
    <w:rsid w:val="00224C46"/>
    <w:rsid w:val="0022507E"/>
    <w:rsid w:val="0022555A"/>
    <w:rsid w:val="00225A49"/>
    <w:rsid w:val="00230158"/>
    <w:rsid w:val="0023064B"/>
    <w:rsid w:val="00230922"/>
    <w:rsid w:val="00233447"/>
    <w:rsid w:val="002339DB"/>
    <w:rsid w:val="00233C03"/>
    <w:rsid w:val="00233C23"/>
    <w:rsid w:val="00233D44"/>
    <w:rsid w:val="00235FA4"/>
    <w:rsid w:val="0023760B"/>
    <w:rsid w:val="00237BE9"/>
    <w:rsid w:val="00237D2F"/>
    <w:rsid w:val="002410D7"/>
    <w:rsid w:val="002411CA"/>
    <w:rsid w:val="002440F4"/>
    <w:rsid w:val="0024455A"/>
    <w:rsid w:val="002468BB"/>
    <w:rsid w:val="00247340"/>
    <w:rsid w:val="0024798F"/>
    <w:rsid w:val="00250622"/>
    <w:rsid w:val="002521F5"/>
    <w:rsid w:val="00252CC7"/>
    <w:rsid w:val="00252E7E"/>
    <w:rsid w:val="00253496"/>
    <w:rsid w:val="002550E7"/>
    <w:rsid w:val="00256A02"/>
    <w:rsid w:val="002577B5"/>
    <w:rsid w:val="0026060A"/>
    <w:rsid w:val="00260B09"/>
    <w:rsid w:val="0026240A"/>
    <w:rsid w:val="002659C1"/>
    <w:rsid w:val="002660F3"/>
    <w:rsid w:val="00266779"/>
    <w:rsid w:val="00266A77"/>
    <w:rsid w:val="00266E09"/>
    <w:rsid w:val="002705AD"/>
    <w:rsid w:val="00270606"/>
    <w:rsid w:val="0027182F"/>
    <w:rsid w:val="00271B29"/>
    <w:rsid w:val="002721C9"/>
    <w:rsid w:val="00272BAE"/>
    <w:rsid w:val="00272BBE"/>
    <w:rsid w:val="00272E2D"/>
    <w:rsid w:val="00272E4E"/>
    <w:rsid w:val="002733DD"/>
    <w:rsid w:val="002742E1"/>
    <w:rsid w:val="002748BF"/>
    <w:rsid w:val="00274D23"/>
    <w:rsid w:val="0027598D"/>
    <w:rsid w:val="00275A1C"/>
    <w:rsid w:val="00277E81"/>
    <w:rsid w:val="002801D2"/>
    <w:rsid w:val="00281224"/>
    <w:rsid w:val="00281CF1"/>
    <w:rsid w:val="0028311C"/>
    <w:rsid w:val="0028332E"/>
    <w:rsid w:val="002864B9"/>
    <w:rsid w:val="00286FF8"/>
    <w:rsid w:val="002878B9"/>
    <w:rsid w:val="002907D0"/>
    <w:rsid w:val="00290DD9"/>
    <w:rsid w:val="002915E6"/>
    <w:rsid w:val="00292276"/>
    <w:rsid w:val="00292D8C"/>
    <w:rsid w:val="002939FB"/>
    <w:rsid w:val="00294EBC"/>
    <w:rsid w:val="00295DFA"/>
    <w:rsid w:val="0029618C"/>
    <w:rsid w:val="00296551"/>
    <w:rsid w:val="00297461"/>
    <w:rsid w:val="002A01D3"/>
    <w:rsid w:val="002A04FF"/>
    <w:rsid w:val="002A171F"/>
    <w:rsid w:val="002A29A4"/>
    <w:rsid w:val="002A367F"/>
    <w:rsid w:val="002A415F"/>
    <w:rsid w:val="002A45F4"/>
    <w:rsid w:val="002A7B8E"/>
    <w:rsid w:val="002B2E28"/>
    <w:rsid w:val="002B2EDB"/>
    <w:rsid w:val="002B304D"/>
    <w:rsid w:val="002B328D"/>
    <w:rsid w:val="002B3568"/>
    <w:rsid w:val="002B49EC"/>
    <w:rsid w:val="002B55E8"/>
    <w:rsid w:val="002B5B66"/>
    <w:rsid w:val="002B677D"/>
    <w:rsid w:val="002B6AA3"/>
    <w:rsid w:val="002B75A6"/>
    <w:rsid w:val="002B7F0C"/>
    <w:rsid w:val="002C017E"/>
    <w:rsid w:val="002C1164"/>
    <w:rsid w:val="002C167B"/>
    <w:rsid w:val="002C17D8"/>
    <w:rsid w:val="002C1C31"/>
    <w:rsid w:val="002C3740"/>
    <w:rsid w:val="002C39C9"/>
    <w:rsid w:val="002C4FED"/>
    <w:rsid w:val="002C586E"/>
    <w:rsid w:val="002C61AD"/>
    <w:rsid w:val="002C626B"/>
    <w:rsid w:val="002C77C0"/>
    <w:rsid w:val="002D007B"/>
    <w:rsid w:val="002D0E4D"/>
    <w:rsid w:val="002D17AF"/>
    <w:rsid w:val="002D24A3"/>
    <w:rsid w:val="002D36C6"/>
    <w:rsid w:val="002D371E"/>
    <w:rsid w:val="002D6232"/>
    <w:rsid w:val="002D724D"/>
    <w:rsid w:val="002E1F54"/>
    <w:rsid w:val="002E2FAA"/>
    <w:rsid w:val="002E3D9F"/>
    <w:rsid w:val="002E3E80"/>
    <w:rsid w:val="002E4F64"/>
    <w:rsid w:val="002E5D34"/>
    <w:rsid w:val="002F0788"/>
    <w:rsid w:val="002F0818"/>
    <w:rsid w:val="002F0D39"/>
    <w:rsid w:val="002F320B"/>
    <w:rsid w:val="002F3424"/>
    <w:rsid w:val="002F36F0"/>
    <w:rsid w:val="002F53A3"/>
    <w:rsid w:val="002F54FA"/>
    <w:rsid w:val="002F6EFE"/>
    <w:rsid w:val="002F72CF"/>
    <w:rsid w:val="0030053C"/>
    <w:rsid w:val="00301205"/>
    <w:rsid w:val="0030128B"/>
    <w:rsid w:val="00301E40"/>
    <w:rsid w:val="00302D3B"/>
    <w:rsid w:val="003041B5"/>
    <w:rsid w:val="003041DF"/>
    <w:rsid w:val="003046F3"/>
    <w:rsid w:val="00305096"/>
    <w:rsid w:val="00306004"/>
    <w:rsid w:val="003061C2"/>
    <w:rsid w:val="003065FE"/>
    <w:rsid w:val="00307BD0"/>
    <w:rsid w:val="00310339"/>
    <w:rsid w:val="00311143"/>
    <w:rsid w:val="00311349"/>
    <w:rsid w:val="00311A6B"/>
    <w:rsid w:val="00312EEE"/>
    <w:rsid w:val="00314A8C"/>
    <w:rsid w:val="00314FB0"/>
    <w:rsid w:val="00315ACE"/>
    <w:rsid w:val="003173B1"/>
    <w:rsid w:val="00321C54"/>
    <w:rsid w:val="0032337B"/>
    <w:rsid w:val="00323B8B"/>
    <w:rsid w:val="00323C37"/>
    <w:rsid w:val="00324ADC"/>
    <w:rsid w:val="0032744C"/>
    <w:rsid w:val="003277FE"/>
    <w:rsid w:val="00331960"/>
    <w:rsid w:val="00332E31"/>
    <w:rsid w:val="003340DA"/>
    <w:rsid w:val="00335CB0"/>
    <w:rsid w:val="0033662A"/>
    <w:rsid w:val="0033739C"/>
    <w:rsid w:val="00340159"/>
    <w:rsid w:val="00340A14"/>
    <w:rsid w:val="003414EE"/>
    <w:rsid w:val="00341D02"/>
    <w:rsid w:val="00341EE3"/>
    <w:rsid w:val="003439A6"/>
    <w:rsid w:val="00343E50"/>
    <w:rsid w:val="003440EE"/>
    <w:rsid w:val="00344A35"/>
    <w:rsid w:val="00344E90"/>
    <w:rsid w:val="003460EC"/>
    <w:rsid w:val="003461F4"/>
    <w:rsid w:val="00346BD0"/>
    <w:rsid w:val="00347341"/>
    <w:rsid w:val="00347B7B"/>
    <w:rsid w:val="00347B98"/>
    <w:rsid w:val="00351464"/>
    <w:rsid w:val="00351EA7"/>
    <w:rsid w:val="0035251F"/>
    <w:rsid w:val="00354250"/>
    <w:rsid w:val="003543F3"/>
    <w:rsid w:val="00354CD7"/>
    <w:rsid w:val="00354CE6"/>
    <w:rsid w:val="00354DA2"/>
    <w:rsid w:val="00355D32"/>
    <w:rsid w:val="00357220"/>
    <w:rsid w:val="003616BC"/>
    <w:rsid w:val="00361B09"/>
    <w:rsid w:val="00364730"/>
    <w:rsid w:val="00364C8B"/>
    <w:rsid w:val="00364E32"/>
    <w:rsid w:val="0036600D"/>
    <w:rsid w:val="003710AA"/>
    <w:rsid w:val="00371B61"/>
    <w:rsid w:val="0037239C"/>
    <w:rsid w:val="00373724"/>
    <w:rsid w:val="00373858"/>
    <w:rsid w:val="00373CCA"/>
    <w:rsid w:val="00373E45"/>
    <w:rsid w:val="00374F4A"/>
    <w:rsid w:val="00375B41"/>
    <w:rsid w:val="00375F51"/>
    <w:rsid w:val="0038014F"/>
    <w:rsid w:val="00380307"/>
    <w:rsid w:val="00380AC4"/>
    <w:rsid w:val="00381684"/>
    <w:rsid w:val="0038204E"/>
    <w:rsid w:val="00383B3A"/>
    <w:rsid w:val="00384755"/>
    <w:rsid w:val="00385AA2"/>
    <w:rsid w:val="003870B2"/>
    <w:rsid w:val="003912F6"/>
    <w:rsid w:val="0039192B"/>
    <w:rsid w:val="00393781"/>
    <w:rsid w:val="00394359"/>
    <w:rsid w:val="00394F84"/>
    <w:rsid w:val="00395172"/>
    <w:rsid w:val="00396665"/>
    <w:rsid w:val="00396FDF"/>
    <w:rsid w:val="00397A5B"/>
    <w:rsid w:val="00397BF2"/>
    <w:rsid w:val="003A0111"/>
    <w:rsid w:val="003A1CB1"/>
    <w:rsid w:val="003A2434"/>
    <w:rsid w:val="003A3355"/>
    <w:rsid w:val="003A40C4"/>
    <w:rsid w:val="003A4257"/>
    <w:rsid w:val="003A4CC0"/>
    <w:rsid w:val="003A5467"/>
    <w:rsid w:val="003A5826"/>
    <w:rsid w:val="003A6242"/>
    <w:rsid w:val="003A6D7E"/>
    <w:rsid w:val="003B0164"/>
    <w:rsid w:val="003B0920"/>
    <w:rsid w:val="003B0C5E"/>
    <w:rsid w:val="003B1D2E"/>
    <w:rsid w:val="003B1E36"/>
    <w:rsid w:val="003B5E72"/>
    <w:rsid w:val="003B64D4"/>
    <w:rsid w:val="003B6717"/>
    <w:rsid w:val="003B674C"/>
    <w:rsid w:val="003C01E6"/>
    <w:rsid w:val="003C221C"/>
    <w:rsid w:val="003C224F"/>
    <w:rsid w:val="003C3169"/>
    <w:rsid w:val="003C37C3"/>
    <w:rsid w:val="003C3BBD"/>
    <w:rsid w:val="003C4034"/>
    <w:rsid w:val="003C5E50"/>
    <w:rsid w:val="003C79FA"/>
    <w:rsid w:val="003C7C6F"/>
    <w:rsid w:val="003D130E"/>
    <w:rsid w:val="003D1BDC"/>
    <w:rsid w:val="003D2435"/>
    <w:rsid w:val="003D2680"/>
    <w:rsid w:val="003D2FC2"/>
    <w:rsid w:val="003D447D"/>
    <w:rsid w:val="003D4C68"/>
    <w:rsid w:val="003D4D4E"/>
    <w:rsid w:val="003D4E5B"/>
    <w:rsid w:val="003D6711"/>
    <w:rsid w:val="003D6860"/>
    <w:rsid w:val="003D6C15"/>
    <w:rsid w:val="003D74C4"/>
    <w:rsid w:val="003E07F9"/>
    <w:rsid w:val="003E08B9"/>
    <w:rsid w:val="003E1172"/>
    <w:rsid w:val="003E14BB"/>
    <w:rsid w:val="003E4FE8"/>
    <w:rsid w:val="003E52F4"/>
    <w:rsid w:val="003E68E0"/>
    <w:rsid w:val="003E6DE6"/>
    <w:rsid w:val="003E6E81"/>
    <w:rsid w:val="003E6F5C"/>
    <w:rsid w:val="003E7011"/>
    <w:rsid w:val="003E74DC"/>
    <w:rsid w:val="003E7BDC"/>
    <w:rsid w:val="003F0919"/>
    <w:rsid w:val="003F2D91"/>
    <w:rsid w:val="003F419E"/>
    <w:rsid w:val="003F5CF4"/>
    <w:rsid w:val="00400411"/>
    <w:rsid w:val="00401227"/>
    <w:rsid w:val="004017A4"/>
    <w:rsid w:val="00401E9B"/>
    <w:rsid w:val="004022F2"/>
    <w:rsid w:val="00402ABF"/>
    <w:rsid w:val="00405FF7"/>
    <w:rsid w:val="00406410"/>
    <w:rsid w:val="004069CD"/>
    <w:rsid w:val="00407D1E"/>
    <w:rsid w:val="00407D5C"/>
    <w:rsid w:val="0041000E"/>
    <w:rsid w:val="0041054C"/>
    <w:rsid w:val="00410D47"/>
    <w:rsid w:val="0041145C"/>
    <w:rsid w:val="00411D9D"/>
    <w:rsid w:val="00412634"/>
    <w:rsid w:val="00412D04"/>
    <w:rsid w:val="00413192"/>
    <w:rsid w:val="004136B4"/>
    <w:rsid w:val="004143DC"/>
    <w:rsid w:val="00414D49"/>
    <w:rsid w:val="00414F0C"/>
    <w:rsid w:val="00415B7F"/>
    <w:rsid w:val="00415C3F"/>
    <w:rsid w:val="00415F3A"/>
    <w:rsid w:val="00417000"/>
    <w:rsid w:val="00421D34"/>
    <w:rsid w:val="00422A3D"/>
    <w:rsid w:val="0042445C"/>
    <w:rsid w:val="004246FE"/>
    <w:rsid w:val="004256B5"/>
    <w:rsid w:val="00426449"/>
    <w:rsid w:val="00430960"/>
    <w:rsid w:val="00432A18"/>
    <w:rsid w:val="0043338C"/>
    <w:rsid w:val="00433605"/>
    <w:rsid w:val="00433BFF"/>
    <w:rsid w:val="00434453"/>
    <w:rsid w:val="00434BAB"/>
    <w:rsid w:val="00436A03"/>
    <w:rsid w:val="00437360"/>
    <w:rsid w:val="00441171"/>
    <w:rsid w:val="00441E7C"/>
    <w:rsid w:val="0044214C"/>
    <w:rsid w:val="00442BDF"/>
    <w:rsid w:val="0044386A"/>
    <w:rsid w:val="00444CA1"/>
    <w:rsid w:val="00444F21"/>
    <w:rsid w:val="00446574"/>
    <w:rsid w:val="0044659C"/>
    <w:rsid w:val="00447AB9"/>
    <w:rsid w:val="0045038A"/>
    <w:rsid w:val="004503A1"/>
    <w:rsid w:val="00451948"/>
    <w:rsid w:val="00452388"/>
    <w:rsid w:val="00452FD0"/>
    <w:rsid w:val="004538D4"/>
    <w:rsid w:val="00455153"/>
    <w:rsid w:val="004557C7"/>
    <w:rsid w:val="00455DF1"/>
    <w:rsid w:val="00456B4D"/>
    <w:rsid w:val="004572F6"/>
    <w:rsid w:val="0045740E"/>
    <w:rsid w:val="00457C8F"/>
    <w:rsid w:val="004601FB"/>
    <w:rsid w:val="004603B6"/>
    <w:rsid w:val="00460522"/>
    <w:rsid w:val="00460F61"/>
    <w:rsid w:val="00460FF1"/>
    <w:rsid w:val="0046106B"/>
    <w:rsid w:val="004621DF"/>
    <w:rsid w:val="00462456"/>
    <w:rsid w:val="00462DAC"/>
    <w:rsid w:val="00463988"/>
    <w:rsid w:val="00463EE0"/>
    <w:rsid w:val="00464404"/>
    <w:rsid w:val="00465881"/>
    <w:rsid w:val="00465DA0"/>
    <w:rsid w:val="0046751F"/>
    <w:rsid w:val="00467900"/>
    <w:rsid w:val="00467CB1"/>
    <w:rsid w:val="004703F1"/>
    <w:rsid w:val="00470C50"/>
    <w:rsid w:val="0047204B"/>
    <w:rsid w:val="0047427C"/>
    <w:rsid w:val="00474915"/>
    <w:rsid w:val="00474DFB"/>
    <w:rsid w:val="00474F67"/>
    <w:rsid w:val="00476217"/>
    <w:rsid w:val="00480047"/>
    <w:rsid w:val="0048037C"/>
    <w:rsid w:val="00480B53"/>
    <w:rsid w:val="004814D9"/>
    <w:rsid w:val="00485E25"/>
    <w:rsid w:val="00487597"/>
    <w:rsid w:val="00487E81"/>
    <w:rsid w:val="00490643"/>
    <w:rsid w:val="00490BD1"/>
    <w:rsid w:val="00491EFA"/>
    <w:rsid w:val="00491F46"/>
    <w:rsid w:val="00493369"/>
    <w:rsid w:val="00494A64"/>
    <w:rsid w:val="0049723E"/>
    <w:rsid w:val="004A090E"/>
    <w:rsid w:val="004A0B78"/>
    <w:rsid w:val="004A1534"/>
    <w:rsid w:val="004A16CE"/>
    <w:rsid w:val="004A18F4"/>
    <w:rsid w:val="004A19A6"/>
    <w:rsid w:val="004A2080"/>
    <w:rsid w:val="004A269C"/>
    <w:rsid w:val="004A272A"/>
    <w:rsid w:val="004A29C8"/>
    <w:rsid w:val="004A37B6"/>
    <w:rsid w:val="004A3948"/>
    <w:rsid w:val="004A3AB1"/>
    <w:rsid w:val="004A4C1F"/>
    <w:rsid w:val="004A5DB7"/>
    <w:rsid w:val="004A5E23"/>
    <w:rsid w:val="004A5EAF"/>
    <w:rsid w:val="004A61F9"/>
    <w:rsid w:val="004A7EEE"/>
    <w:rsid w:val="004B09FC"/>
    <w:rsid w:val="004B2C94"/>
    <w:rsid w:val="004B31B0"/>
    <w:rsid w:val="004B4ED6"/>
    <w:rsid w:val="004B5E70"/>
    <w:rsid w:val="004B5FB1"/>
    <w:rsid w:val="004B7315"/>
    <w:rsid w:val="004C13FC"/>
    <w:rsid w:val="004C2F92"/>
    <w:rsid w:val="004C3380"/>
    <w:rsid w:val="004C4B3D"/>
    <w:rsid w:val="004C58AE"/>
    <w:rsid w:val="004C5C90"/>
    <w:rsid w:val="004C6A0A"/>
    <w:rsid w:val="004C6B16"/>
    <w:rsid w:val="004C7C57"/>
    <w:rsid w:val="004D1C73"/>
    <w:rsid w:val="004D2828"/>
    <w:rsid w:val="004D3449"/>
    <w:rsid w:val="004D3E3E"/>
    <w:rsid w:val="004D426D"/>
    <w:rsid w:val="004D4D8E"/>
    <w:rsid w:val="004D581D"/>
    <w:rsid w:val="004D5E47"/>
    <w:rsid w:val="004D6006"/>
    <w:rsid w:val="004D78F8"/>
    <w:rsid w:val="004E05B0"/>
    <w:rsid w:val="004E0C0B"/>
    <w:rsid w:val="004E1078"/>
    <w:rsid w:val="004E18F1"/>
    <w:rsid w:val="004E3557"/>
    <w:rsid w:val="004E4709"/>
    <w:rsid w:val="004E6EC0"/>
    <w:rsid w:val="004E7A76"/>
    <w:rsid w:val="004F08F4"/>
    <w:rsid w:val="004F0D19"/>
    <w:rsid w:val="004F1E10"/>
    <w:rsid w:val="004F207D"/>
    <w:rsid w:val="004F27F1"/>
    <w:rsid w:val="004F2A17"/>
    <w:rsid w:val="004F35B6"/>
    <w:rsid w:val="004F3A63"/>
    <w:rsid w:val="004F4509"/>
    <w:rsid w:val="004F494A"/>
    <w:rsid w:val="004F4B7E"/>
    <w:rsid w:val="004F4BAA"/>
    <w:rsid w:val="004F5EE9"/>
    <w:rsid w:val="004F7168"/>
    <w:rsid w:val="004F7B8F"/>
    <w:rsid w:val="004F7CAC"/>
    <w:rsid w:val="00501148"/>
    <w:rsid w:val="00501458"/>
    <w:rsid w:val="00501C9C"/>
    <w:rsid w:val="005022D9"/>
    <w:rsid w:val="00502363"/>
    <w:rsid w:val="005032A7"/>
    <w:rsid w:val="00503F40"/>
    <w:rsid w:val="005041AD"/>
    <w:rsid w:val="0050446F"/>
    <w:rsid w:val="00504807"/>
    <w:rsid w:val="00504EF2"/>
    <w:rsid w:val="005079E9"/>
    <w:rsid w:val="00510064"/>
    <w:rsid w:val="00510247"/>
    <w:rsid w:val="005117EE"/>
    <w:rsid w:val="00511A4B"/>
    <w:rsid w:val="00511F5F"/>
    <w:rsid w:val="00512144"/>
    <w:rsid w:val="0051218C"/>
    <w:rsid w:val="00512E2E"/>
    <w:rsid w:val="00512F12"/>
    <w:rsid w:val="00513162"/>
    <w:rsid w:val="00513238"/>
    <w:rsid w:val="005137F6"/>
    <w:rsid w:val="005147C7"/>
    <w:rsid w:val="00514D7F"/>
    <w:rsid w:val="00516C58"/>
    <w:rsid w:val="0051740F"/>
    <w:rsid w:val="0051796A"/>
    <w:rsid w:val="00521BCD"/>
    <w:rsid w:val="00522051"/>
    <w:rsid w:val="0052302A"/>
    <w:rsid w:val="005237A8"/>
    <w:rsid w:val="00523ADF"/>
    <w:rsid w:val="0052441C"/>
    <w:rsid w:val="00524637"/>
    <w:rsid w:val="005250F5"/>
    <w:rsid w:val="00525379"/>
    <w:rsid w:val="005253BE"/>
    <w:rsid w:val="00525830"/>
    <w:rsid w:val="00525EFE"/>
    <w:rsid w:val="0052658A"/>
    <w:rsid w:val="005267A7"/>
    <w:rsid w:val="005271EA"/>
    <w:rsid w:val="00530228"/>
    <w:rsid w:val="005306FF"/>
    <w:rsid w:val="00531190"/>
    <w:rsid w:val="005314C6"/>
    <w:rsid w:val="0053265C"/>
    <w:rsid w:val="00535459"/>
    <w:rsid w:val="0053604D"/>
    <w:rsid w:val="00536BB9"/>
    <w:rsid w:val="00540D5F"/>
    <w:rsid w:val="00540E65"/>
    <w:rsid w:val="00541073"/>
    <w:rsid w:val="00541ED3"/>
    <w:rsid w:val="0054366A"/>
    <w:rsid w:val="005454ED"/>
    <w:rsid w:val="005455E7"/>
    <w:rsid w:val="0054568C"/>
    <w:rsid w:val="00545CC4"/>
    <w:rsid w:val="005463AB"/>
    <w:rsid w:val="005469AC"/>
    <w:rsid w:val="00546EA9"/>
    <w:rsid w:val="00547761"/>
    <w:rsid w:val="005503A7"/>
    <w:rsid w:val="005524B1"/>
    <w:rsid w:val="005542B8"/>
    <w:rsid w:val="00554411"/>
    <w:rsid w:val="00554E93"/>
    <w:rsid w:val="005552D8"/>
    <w:rsid w:val="00555D9E"/>
    <w:rsid w:val="005561B4"/>
    <w:rsid w:val="005607B8"/>
    <w:rsid w:val="005623C1"/>
    <w:rsid w:val="0056241A"/>
    <w:rsid w:val="005634E6"/>
    <w:rsid w:val="0056497B"/>
    <w:rsid w:val="00564D62"/>
    <w:rsid w:val="00570701"/>
    <w:rsid w:val="00570C8E"/>
    <w:rsid w:val="005730C5"/>
    <w:rsid w:val="00573566"/>
    <w:rsid w:val="00573C13"/>
    <w:rsid w:val="0057598D"/>
    <w:rsid w:val="00576CA5"/>
    <w:rsid w:val="00577E6C"/>
    <w:rsid w:val="0058025D"/>
    <w:rsid w:val="00580324"/>
    <w:rsid w:val="00580734"/>
    <w:rsid w:val="00581F05"/>
    <w:rsid w:val="005831C8"/>
    <w:rsid w:val="005838A7"/>
    <w:rsid w:val="005846E8"/>
    <w:rsid w:val="00585462"/>
    <w:rsid w:val="005859A7"/>
    <w:rsid w:val="00586D5D"/>
    <w:rsid w:val="00587673"/>
    <w:rsid w:val="0058777C"/>
    <w:rsid w:val="00587D7F"/>
    <w:rsid w:val="00590AEB"/>
    <w:rsid w:val="00590C7A"/>
    <w:rsid w:val="00591FFE"/>
    <w:rsid w:val="00593284"/>
    <w:rsid w:val="00593AC0"/>
    <w:rsid w:val="00593E9D"/>
    <w:rsid w:val="005941DC"/>
    <w:rsid w:val="00596080"/>
    <w:rsid w:val="005974E1"/>
    <w:rsid w:val="005A12B4"/>
    <w:rsid w:val="005A1C4B"/>
    <w:rsid w:val="005A24AB"/>
    <w:rsid w:val="005A2DC1"/>
    <w:rsid w:val="005A3972"/>
    <w:rsid w:val="005A41F6"/>
    <w:rsid w:val="005A491F"/>
    <w:rsid w:val="005A60E5"/>
    <w:rsid w:val="005A7438"/>
    <w:rsid w:val="005A7DDE"/>
    <w:rsid w:val="005A7FB8"/>
    <w:rsid w:val="005B0096"/>
    <w:rsid w:val="005B0C82"/>
    <w:rsid w:val="005B28E4"/>
    <w:rsid w:val="005B3BC2"/>
    <w:rsid w:val="005B534A"/>
    <w:rsid w:val="005B55E6"/>
    <w:rsid w:val="005B5C8A"/>
    <w:rsid w:val="005B68B2"/>
    <w:rsid w:val="005B74F9"/>
    <w:rsid w:val="005C090B"/>
    <w:rsid w:val="005C28C7"/>
    <w:rsid w:val="005C35E7"/>
    <w:rsid w:val="005C383F"/>
    <w:rsid w:val="005C411A"/>
    <w:rsid w:val="005C466B"/>
    <w:rsid w:val="005C47B5"/>
    <w:rsid w:val="005C5AFC"/>
    <w:rsid w:val="005C68F0"/>
    <w:rsid w:val="005C705C"/>
    <w:rsid w:val="005C7155"/>
    <w:rsid w:val="005C76D6"/>
    <w:rsid w:val="005D2E96"/>
    <w:rsid w:val="005D61AD"/>
    <w:rsid w:val="005D7241"/>
    <w:rsid w:val="005E12DB"/>
    <w:rsid w:val="005E14FF"/>
    <w:rsid w:val="005E1AF2"/>
    <w:rsid w:val="005E2BC5"/>
    <w:rsid w:val="005E4090"/>
    <w:rsid w:val="005E429F"/>
    <w:rsid w:val="005E7016"/>
    <w:rsid w:val="005E7299"/>
    <w:rsid w:val="005F270A"/>
    <w:rsid w:val="005F303B"/>
    <w:rsid w:val="005F327E"/>
    <w:rsid w:val="005F3511"/>
    <w:rsid w:val="005F3CA6"/>
    <w:rsid w:val="005F5E50"/>
    <w:rsid w:val="005F64E7"/>
    <w:rsid w:val="005F6879"/>
    <w:rsid w:val="00600569"/>
    <w:rsid w:val="00600D26"/>
    <w:rsid w:val="00601A59"/>
    <w:rsid w:val="006029CB"/>
    <w:rsid w:val="0060323C"/>
    <w:rsid w:val="00605826"/>
    <w:rsid w:val="00607532"/>
    <w:rsid w:val="00607BFD"/>
    <w:rsid w:val="0061009C"/>
    <w:rsid w:val="00610974"/>
    <w:rsid w:val="006120FF"/>
    <w:rsid w:val="0061309E"/>
    <w:rsid w:val="006132BB"/>
    <w:rsid w:val="00614900"/>
    <w:rsid w:val="00614E47"/>
    <w:rsid w:val="006156DF"/>
    <w:rsid w:val="00615F27"/>
    <w:rsid w:val="0061617F"/>
    <w:rsid w:val="006167C6"/>
    <w:rsid w:val="00616F5B"/>
    <w:rsid w:val="006175AD"/>
    <w:rsid w:val="006175C7"/>
    <w:rsid w:val="00617B91"/>
    <w:rsid w:val="006207C1"/>
    <w:rsid w:val="00620BE9"/>
    <w:rsid w:val="00621586"/>
    <w:rsid w:val="00622A34"/>
    <w:rsid w:val="006233FE"/>
    <w:rsid w:val="00623F31"/>
    <w:rsid w:val="00624357"/>
    <w:rsid w:val="00625D21"/>
    <w:rsid w:val="006274C8"/>
    <w:rsid w:val="00627756"/>
    <w:rsid w:val="0063075F"/>
    <w:rsid w:val="00630A7A"/>
    <w:rsid w:val="00631691"/>
    <w:rsid w:val="0063202B"/>
    <w:rsid w:val="00633965"/>
    <w:rsid w:val="0063620A"/>
    <w:rsid w:val="00640413"/>
    <w:rsid w:val="006404AE"/>
    <w:rsid w:val="006410ED"/>
    <w:rsid w:val="00643E95"/>
    <w:rsid w:val="0064564D"/>
    <w:rsid w:val="00645BA7"/>
    <w:rsid w:val="00646443"/>
    <w:rsid w:val="0064710A"/>
    <w:rsid w:val="0065021B"/>
    <w:rsid w:val="006516D7"/>
    <w:rsid w:val="0065213C"/>
    <w:rsid w:val="00652CD4"/>
    <w:rsid w:val="00652FC3"/>
    <w:rsid w:val="0065368C"/>
    <w:rsid w:val="0065496D"/>
    <w:rsid w:val="0065586F"/>
    <w:rsid w:val="00656290"/>
    <w:rsid w:val="0065648C"/>
    <w:rsid w:val="00657190"/>
    <w:rsid w:val="0065741A"/>
    <w:rsid w:val="0066028F"/>
    <w:rsid w:val="006612B1"/>
    <w:rsid w:val="0066200A"/>
    <w:rsid w:val="00662C4C"/>
    <w:rsid w:val="006637EA"/>
    <w:rsid w:val="00665A94"/>
    <w:rsid w:val="00665F2F"/>
    <w:rsid w:val="00666F3B"/>
    <w:rsid w:val="006672B5"/>
    <w:rsid w:val="0066746D"/>
    <w:rsid w:val="006708FC"/>
    <w:rsid w:val="00670DF2"/>
    <w:rsid w:val="0067160B"/>
    <w:rsid w:val="00673D6A"/>
    <w:rsid w:val="00674A1F"/>
    <w:rsid w:val="0067519D"/>
    <w:rsid w:val="006754A4"/>
    <w:rsid w:val="006756D1"/>
    <w:rsid w:val="00675C6F"/>
    <w:rsid w:val="0067692F"/>
    <w:rsid w:val="0067788B"/>
    <w:rsid w:val="006802E9"/>
    <w:rsid w:val="00682055"/>
    <w:rsid w:val="00682DD2"/>
    <w:rsid w:val="00682E11"/>
    <w:rsid w:val="006844CE"/>
    <w:rsid w:val="0068568C"/>
    <w:rsid w:val="006858A6"/>
    <w:rsid w:val="006871BD"/>
    <w:rsid w:val="0069093A"/>
    <w:rsid w:val="006915CC"/>
    <w:rsid w:val="00691C29"/>
    <w:rsid w:val="00693ACE"/>
    <w:rsid w:val="00694FFE"/>
    <w:rsid w:val="00696046"/>
    <w:rsid w:val="006960F8"/>
    <w:rsid w:val="0069691E"/>
    <w:rsid w:val="00697159"/>
    <w:rsid w:val="00697ADC"/>
    <w:rsid w:val="006A1214"/>
    <w:rsid w:val="006A1240"/>
    <w:rsid w:val="006A1D84"/>
    <w:rsid w:val="006A1EC3"/>
    <w:rsid w:val="006A2232"/>
    <w:rsid w:val="006A3CA1"/>
    <w:rsid w:val="006A5500"/>
    <w:rsid w:val="006A585F"/>
    <w:rsid w:val="006A65C6"/>
    <w:rsid w:val="006B10A8"/>
    <w:rsid w:val="006B14B9"/>
    <w:rsid w:val="006B3B21"/>
    <w:rsid w:val="006B70EA"/>
    <w:rsid w:val="006B7B6E"/>
    <w:rsid w:val="006C03B7"/>
    <w:rsid w:val="006C0CC0"/>
    <w:rsid w:val="006C16B3"/>
    <w:rsid w:val="006C2713"/>
    <w:rsid w:val="006C3454"/>
    <w:rsid w:val="006C3E86"/>
    <w:rsid w:val="006C453B"/>
    <w:rsid w:val="006C5FBA"/>
    <w:rsid w:val="006C633D"/>
    <w:rsid w:val="006C76EF"/>
    <w:rsid w:val="006C770B"/>
    <w:rsid w:val="006D069F"/>
    <w:rsid w:val="006D146A"/>
    <w:rsid w:val="006D20E4"/>
    <w:rsid w:val="006D2301"/>
    <w:rsid w:val="006D4794"/>
    <w:rsid w:val="006D483F"/>
    <w:rsid w:val="006D598C"/>
    <w:rsid w:val="006D66C3"/>
    <w:rsid w:val="006D6CF5"/>
    <w:rsid w:val="006D6EE0"/>
    <w:rsid w:val="006D7176"/>
    <w:rsid w:val="006D7179"/>
    <w:rsid w:val="006D79D3"/>
    <w:rsid w:val="006D7CE9"/>
    <w:rsid w:val="006E143B"/>
    <w:rsid w:val="006E2AA5"/>
    <w:rsid w:val="006E6295"/>
    <w:rsid w:val="006F286B"/>
    <w:rsid w:val="006F2887"/>
    <w:rsid w:val="006F366D"/>
    <w:rsid w:val="006F3A24"/>
    <w:rsid w:val="006F4129"/>
    <w:rsid w:val="006F4E48"/>
    <w:rsid w:val="006F4EFA"/>
    <w:rsid w:val="006F606D"/>
    <w:rsid w:val="006F6E3A"/>
    <w:rsid w:val="00701E3D"/>
    <w:rsid w:val="007036EA"/>
    <w:rsid w:val="0070566B"/>
    <w:rsid w:val="0071165E"/>
    <w:rsid w:val="00711755"/>
    <w:rsid w:val="0071242C"/>
    <w:rsid w:val="00713557"/>
    <w:rsid w:val="00714DE2"/>
    <w:rsid w:val="007162C5"/>
    <w:rsid w:val="0071716B"/>
    <w:rsid w:val="0071798A"/>
    <w:rsid w:val="00717D3F"/>
    <w:rsid w:val="00720DB9"/>
    <w:rsid w:val="00720F3E"/>
    <w:rsid w:val="007213ED"/>
    <w:rsid w:val="00721F30"/>
    <w:rsid w:val="00724B0E"/>
    <w:rsid w:val="007257B5"/>
    <w:rsid w:val="0072657D"/>
    <w:rsid w:val="00727D53"/>
    <w:rsid w:val="007317D9"/>
    <w:rsid w:val="00732005"/>
    <w:rsid w:val="00732CE0"/>
    <w:rsid w:val="007334FE"/>
    <w:rsid w:val="007336EB"/>
    <w:rsid w:val="007345F6"/>
    <w:rsid w:val="0073498C"/>
    <w:rsid w:val="00735157"/>
    <w:rsid w:val="00736C91"/>
    <w:rsid w:val="00740BFC"/>
    <w:rsid w:val="00740D0D"/>
    <w:rsid w:val="00741EA9"/>
    <w:rsid w:val="00742790"/>
    <w:rsid w:val="0074403C"/>
    <w:rsid w:val="0074442B"/>
    <w:rsid w:val="00745F6F"/>
    <w:rsid w:val="007477D7"/>
    <w:rsid w:val="00750B95"/>
    <w:rsid w:val="00751567"/>
    <w:rsid w:val="00751B4F"/>
    <w:rsid w:val="007524F4"/>
    <w:rsid w:val="00752C1E"/>
    <w:rsid w:val="00753742"/>
    <w:rsid w:val="00753A0C"/>
    <w:rsid w:val="0075472B"/>
    <w:rsid w:val="00755E45"/>
    <w:rsid w:val="00756BAF"/>
    <w:rsid w:val="00757513"/>
    <w:rsid w:val="007600AE"/>
    <w:rsid w:val="00761790"/>
    <w:rsid w:val="00761943"/>
    <w:rsid w:val="00762C67"/>
    <w:rsid w:val="00763848"/>
    <w:rsid w:val="00764050"/>
    <w:rsid w:val="00764FED"/>
    <w:rsid w:val="00765A5B"/>
    <w:rsid w:val="00765B66"/>
    <w:rsid w:val="00765F51"/>
    <w:rsid w:val="00765F66"/>
    <w:rsid w:val="00766FF1"/>
    <w:rsid w:val="00767335"/>
    <w:rsid w:val="007674E1"/>
    <w:rsid w:val="007723E4"/>
    <w:rsid w:val="007738D0"/>
    <w:rsid w:val="00773F9D"/>
    <w:rsid w:val="00774979"/>
    <w:rsid w:val="00775FEC"/>
    <w:rsid w:val="00775FEF"/>
    <w:rsid w:val="00776CCA"/>
    <w:rsid w:val="0077712D"/>
    <w:rsid w:val="00782661"/>
    <w:rsid w:val="00782B0B"/>
    <w:rsid w:val="007833A7"/>
    <w:rsid w:val="00784346"/>
    <w:rsid w:val="00784418"/>
    <w:rsid w:val="00784B9D"/>
    <w:rsid w:val="00785261"/>
    <w:rsid w:val="007854DB"/>
    <w:rsid w:val="0078595A"/>
    <w:rsid w:val="00790649"/>
    <w:rsid w:val="0079190D"/>
    <w:rsid w:val="00793C74"/>
    <w:rsid w:val="007941B6"/>
    <w:rsid w:val="00794957"/>
    <w:rsid w:val="007958ED"/>
    <w:rsid w:val="00796152"/>
    <w:rsid w:val="007970E2"/>
    <w:rsid w:val="00797175"/>
    <w:rsid w:val="00797B5C"/>
    <w:rsid w:val="00797B8F"/>
    <w:rsid w:val="007A00D6"/>
    <w:rsid w:val="007A0660"/>
    <w:rsid w:val="007A0867"/>
    <w:rsid w:val="007A15DA"/>
    <w:rsid w:val="007A3A58"/>
    <w:rsid w:val="007A3C6F"/>
    <w:rsid w:val="007A49D3"/>
    <w:rsid w:val="007A5041"/>
    <w:rsid w:val="007A52DB"/>
    <w:rsid w:val="007A63B4"/>
    <w:rsid w:val="007A6E30"/>
    <w:rsid w:val="007A7588"/>
    <w:rsid w:val="007A7963"/>
    <w:rsid w:val="007B0863"/>
    <w:rsid w:val="007B1886"/>
    <w:rsid w:val="007B2BEA"/>
    <w:rsid w:val="007B3E16"/>
    <w:rsid w:val="007B51A9"/>
    <w:rsid w:val="007B6184"/>
    <w:rsid w:val="007B67A7"/>
    <w:rsid w:val="007B73C7"/>
    <w:rsid w:val="007C0AD2"/>
    <w:rsid w:val="007C0CC3"/>
    <w:rsid w:val="007C189C"/>
    <w:rsid w:val="007C409B"/>
    <w:rsid w:val="007C459E"/>
    <w:rsid w:val="007C512C"/>
    <w:rsid w:val="007C5699"/>
    <w:rsid w:val="007C59EA"/>
    <w:rsid w:val="007C5D02"/>
    <w:rsid w:val="007C5D90"/>
    <w:rsid w:val="007C63E6"/>
    <w:rsid w:val="007C703B"/>
    <w:rsid w:val="007D02BC"/>
    <w:rsid w:val="007D0455"/>
    <w:rsid w:val="007D0E7A"/>
    <w:rsid w:val="007D3166"/>
    <w:rsid w:val="007D401F"/>
    <w:rsid w:val="007D4E95"/>
    <w:rsid w:val="007D6417"/>
    <w:rsid w:val="007D69C2"/>
    <w:rsid w:val="007D6AC6"/>
    <w:rsid w:val="007D6B54"/>
    <w:rsid w:val="007D775D"/>
    <w:rsid w:val="007E15BF"/>
    <w:rsid w:val="007E15FD"/>
    <w:rsid w:val="007E193C"/>
    <w:rsid w:val="007E1B42"/>
    <w:rsid w:val="007E1FC2"/>
    <w:rsid w:val="007E2387"/>
    <w:rsid w:val="007E35BA"/>
    <w:rsid w:val="007E66DA"/>
    <w:rsid w:val="007F5991"/>
    <w:rsid w:val="007F5D85"/>
    <w:rsid w:val="007F5F3E"/>
    <w:rsid w:val="007F6330"/>
    <w:rsid w:val="007F690F"/>
    <w:rsid w:val="00800646"/>
    <w:rsid w:val="0080180D"/>
    <w:rsid w:val="00801F92"/>
    <w:rsid w:val="0080215E"/>
    <w:rsid w:val="008027F1"/>
    <w:rsid w:val="008029CB"/>
    <w:rsid w:val="0080390D"/>
    <w:rsid w:val="00803B98"/>
    <w:rsid w:val="00804B02"/>
    <w:rsid w:val="00804DDD"/>
    <w:rsid w:val="0080620C"/>
    <w:rsid w:val="008102AD"/>
    <w:rsid w:val="0081069D"/>
    <w:rsid w:val="00810B88"/>
    <w:rsid w:val="008118C5"/>
    <w:rsid w:val="0081261B"/>
    <w:rsid w:val="00813808"/>
    <w:rsid w:val="008139AC"/>
    <w:rsid w:val="008161C3"/>
    <w:rsid w:val="00816F34"/>
    <w:rsid w:val="00817588"/>
    <w:rsid w:val="008177B0"/>
    <w:rsid w:val="00820315"/>
    <w:rsid w:val="00820681"/>
    <w:rsid w:val="008206D7"/>
    <w:rsid w:val="008215C6"/>
    <w:rsid w:val="00821C63"/>
    <w:rsid w:val="00823D46"/>
    <w:rsid w:val="008241B6"/>
    <w:rsid w:val="00824EE7"/>
    <w:rsid w:val="00826865"/>
    <w:rsid w:val="00826EF3"/>
    <w:rsid w:val="00827792"/>
    <w:rsid w:val="00831760"/>
    <w:rsid w:val="00831F15"/>
    <w:rsid w:val="00832506"/>
    <w:rsid w:val="00832A35"/>
    <w:rsid w:val="0083497D"/>
    <w:rsid w:val="00835940"/>
    <w:rsid w:val="00836E0A"/>
    <w:rsid w:val="00837D85"/>
    <w:rsid w:val="008403C7"/>
    <w:rsid w:val="00842E2C"/>
    <w:rsid w:val="008440D6"/>
    <w:rsid w:val="00844532"/>
    <w:rsid w:val="00844DFF"/>
    <w:rsid w:val="00846BA9"/>
    <w:rsid w:val="00847804"/>
    <w:rsid w:val="00847E9D"/>
    <w:rsid w:val="008502D2"/>
    <w:rsid w:val="00850695"/>
    <w:rsid w:val="008555FD"/>
    <w:rsid w:val="00855982"/>
    <w:rsid w:val="00856663"/>
    <w:rsid w:val="008566E2"/>
    <w:rsid w:val="0086050E"/>
    <w:rsid w:val="0086094F"/>
    <w:rsid w:val="0086143C"/>
    <w:rsid w:val="00861D20"/>
    <w:rsid w:val="008635AE"/>
    <w:rsid w:val="00867DB8"/>
    <w:rsid w:val="008704C5"/>
    <w:rsid w:val="008705F4"/>
    <w:rsid w:val="00871A50"/>
    <w:rsid w:val="00871AAB"/>
    <w:rsid w:val="00871C93"/>
    <w:rsid w:val="00872982"/>
    <w:rsid w:val="0087339C"/>
    <w:rsid w:val="00873F84"/>
    <w:rsid w:val="00874113"/>
    <w:rsid w:val="00875CE6"/>
    <w:rsid w:val="008763FE"/>
    <w:rsid w:val="00876A8F"/>
    <w:rsid w:val="00876DF0"/>
    <w:rsid w:val="00877373"/>
    <w:rsid w:val="008805E3"/>
    <w:rsid w:val="008808F7"/>
    <w:rsid w:val="00881C9C"/>
    <w:rsid w:val="008837F4"/>
    <w:rsid w:val="008873CB"/>
    <w:rsid w:val="008873D7"/>
    <w:rsid w:val="00890AA5"/>
    <w:rsid w:val="00891239"/>
    <w:rsid w:val="0089181E"/>
    <w:rsid w:val="00891B25"/>
    <w:rsid w:val="00892D1F"/>
    <w:rsid w:val="008935AC"/>
    <w:rsid w:val="0089380A"/>
    <w:rsid w:val="00893E5A"/>
    <w:rsid w:val="008941D7"/>
    <w:rsid w:val="008951B0"/>
    <w:rsid w:val="00895572"/>
    <w:rsid w:val="00896218"/>
    <w:rsid w:val="008977F6"/>
    <w:rsid w:val="008A03FD"/>
    <w:rsid w:val="008A070F"/>
    <w:rsid w:val="008A1745"/>
    <w:rsid w:val="008A1CAB"/>
    <w:rsid w:val="008A2424"/>
    <w:rsid w:val="008A3440"/>
    <w:rsid w:val="008A4F43"/>
    <w:rsid w:val="008A71EA"/>
    <w:rsid w:val="008A77F2"/>
    <w:rsid w:val="008A7A3F"/>
    <w:rsid w:val="008B1BE9"/>
    <w:rsid w:val="008B1F78"/>
    <w:rsid w:val="008B2075"/>
    <w:rsid w:val="008B2635"/>
    <w:rsid w:val="008B3C33"/>
    <w:rsid w:val="008B4646"/>
    <w:rsid w:val="008B4730"/>
    <w:rsid w:val="008B75B6"/>
    <w:rsid w:val="008C01F4"/>
    <w:rsid w:val="008C0CEF"/>
    <w:rsid w:val="008C17FB"/>
    <w:rsid w:val="008C2015"/>
    <w:rsid w:val="008C2417"/>
    <w:rsid w:val="008C414F"/>
    <w:rsid w:val="008C42D8"/>
    <w:rsid w:val="008C4AAC"/>
    <w:rsid w:val="008C4C2F"/>
    <w:rsid w:val="008C6E50"/>
    <w:rsid w:val="008C71BB"/>
    <w:rsid w:val="008C757D"/>
    <w:rsid w:val="008D0539"/>
    <w:rsid w:val="008D1E8E"/>
    <w:rsid w:val="008D25D8"/>
    <w:rsid w:val="008D3D5B"/>
    <w:rsid w:val="008D48CE"/>
    <w:rsid w:val="008D4AE4"/>
    <w:rsid w:val="008D6FB8"/>
    <w:rsid w:val="008D7949"/>
    <w:rsid w:val="008E041F"/>
    <w:rsid w:val="008E162B"/>
    <w:rsid w:val="008E1C53"/>
    <w:rsid w:val="008E1E85"/>
    <w:rsid w:val="008E217B"/>
    <w:rsid w:val="008E4BDF"/>
    <w:rsid w:val="008E6853"/>
    <w:rsid w:val="008E6CD5"/>
    <w:rsid w:val="008E7121"/>
    <w:rsid w:val="008E7673"/>
    <w:rsid w:val="008F0430"/>
    <w:rsid w:val="008F07CC"/>
    <w:rsid w:val="008F1477"/>
    <w:rsid w:val="008F1688"/>
    <w:rsid w:val="008F1ECB"/>
    <w:rsid w:val="008F3B16"/>
    <w:rsid w:val="008F40EA"/>
    <w:rsid w:val="008F4D8D"/>
    <w:rsid w:val="008F55F1"/>
    <w:rsid w:val="008F5BE3"/>
    <w:rsid w:val="008F5EFE"/>
    <w:rsid w:val="008F6952"/>
    <w:rsid w:val="008F6D95"/>
    <w:rsid w:val="008F708B"/>
    <w:rsid w:val="008F71D5"/>
    <w:rsid w:val="008F786E"/>
    <w:rsid w:val="009016B1"/>
    <w:rsid w:val="009018C3"/>
    <w:rsid w:val="009021E0"/>
    <w:rsid w:val="00902CE2"/>
    <w:rsid w:val="00905236"/>
    <w:rsid w:val="00905DBE"/>
    <w:rsid w:val="00906E40"/>
    <w:rsid w:val="009119BC"/>
    <w:rsid w:val="00912C7B"/>
    <w:rsid w:val="00912F27"/>
    <w:rsid w:val="0091456C"/>
    <w:rsid w:val="00914F51"/>
    <w:rsid w:val="009162AC"/>
    <w:rsid w:val="009163B8"/>
    <w:rsid w:val="00917BB0"/>
    <w:rsid w:val="00920E53"/>
    <w:rsid w:val="009226A4"/>
    <w:rsid w:val="00922C66"/>
    <w:rsid w:val="0092403E"/>
    <w:rsid w:val="0092577B"/>
    <w:rsid w:val="00926BA9"/>
    <w:rsid w:val="009300B6"/>
    <w:rsid w:val="0093106D"/>
    <w:rsid w:val="00932638"/>
    <w:rsid w:val="00933550"/>
    <w:rsid w:val="00933DC5"/>
    <w:rsid w:val="0093451B"/>
    <w:rsid w:val="00935E59"/>
    <w:rsid w:val="00935EF8"/>
    <w:rsid w:val="00936C2C"/>
    <w:rsid w:val="00936D2D"/>
    <w:rsid w:val="00936DD8"/>
    <w:rsid w:val="009403A7"/>
    <w:rsid w:val="00940CF0"/>
    <w:rsid w:val="00941BED"/>
    <w:rsid w:val="00941FA3"/>
    <w:rsid w:val="009424CB"/>
    <w:rsid w:val="00942B5C"/>
    <w:rsid w:val="00943B3A"/>
    <w:rsid w:val="00944426"/>
    <w:rsid w:val="009457A2"/>
    <w:rsid w:val="009478D6"/>
    <w:rsid w:val="00955F0E"/>
    <w:rsid w:val="0095619D"/>
    <w:rsid w:val="00957F33"/>
    <w:rsid w:val="0096075B"/>
    <w:rsid w:val="0096092F"/>
    <w:rsid w:val="00960DFF"/>
    <w:rsid w:val="0096180E"/>
    <w:rsid w:val="00962600"/>
    <w:rsid w:val="009638E3"/>
    <w:rsid w:val="00964094"/>
    <w:rsid w:val="009644EF"/>
    <w:rsid w:val="0096510E"/>
    <w:rsid w:val="009659F5"/>
    <w:rsid w:val="00965CCA"/>
    <w:rsid w:val="0096605A"/>
    <w:rsid w:val="0096606A"/>
    <w:rsid w:val="00966DE3"/>
    <w:rsid w:val="009678CE"/>
    <w:rsid w:val="0097056A"/>
    <w:rsid w:val="009725B2"/>
    <w:rsid w:val="00972FAB"/>
    <w:rsid w:val="00973256"/>
    <w:rsid w:val="00973A0A"/>
    <w:rsid w:val="00976FDF"/>
    <w:rsid w:val="009819A7"/>
    <w:rsid w:val="009846B7"/>
    <w:rsid w:val="00984CDC"/>
    <w:rsid w:val="0099076F"/>
    <w:rsid w:val="0099247E"/>
    <w:rsid w:val="00993A23"/>
    <w:rsid w:val="00993CB0"/>
    <w:rsid w:val="00993CBE"/>
    <w:rsid w:val="00993F61"/>
    <w:rsid w:val="009942AE"/>
    <w:rsid w:val="00994D97"/>
    <w:rsid w:val="009951A9"/>
    <w:rsid w:val="00995BA6"/>
    <w:rsid w:val="00995C74"/>
    <w:rsid w:val="00995F39"/>
    <w:rsid w:val="00996343"/>
    <w:rsid w:val="009A0EF5"/>
    <w:rsid w:val="009A19A8"/>
    <w:rsid w:val="009A2BA9"/>
    <w:rsid w:val="009A45C9"/>
    <w:rsid w:val="009A504A"/>
    <w:rsid w:val="009A5972"/>
    <w:rsid w:val="009B3E55"/>
    <w:rsid w:val="009B4A90"/>
    <w:rsid w:val="009B4F7A"/>
    <w:rsid w:val="009B5E8F"/>
    <w:rsid w:val="009B7A5B"/>
    <w:rsid w:val="009C0DAC"/>
    <w:rsid w:val="009C22DC"/>
    <w:rsid w:val="009C26CA"/>
    <w:rsid w:val="009C2A1E"/>
    <w:rsid w:val="009C36C1"/>
    <w:rsid w:val="009C49B9"/>
    <w:rsid w:val="009C647C"/>
    <w:rsid w:val="009C6BA1"/>
    <w:rsid w:val="009C7DAA"/>
    <w:rsid w:val="009D08B6"/>
    <w:rsid w:val="009D096B"/>
    <w:rsid w:val="009D0C60"/>
    <w:rsid w:val="009D1825"/>
    <w:rsid w:val="009D294F"/>
    <w:rsid w:val="009D2B2B"/>
    <w:rsid w:val="009D3B69"/>
    <w:rsid w:val="009D3DC7"/>
    <w:rsid w:val="009D5033"/>
    <w:rsid w:val="009D5A23"/>
    <w:rsid w:val="009D5C2F"/>
    <w:rsid w:val="009D6259"/>
    <w:rsid w:val="009D6668"/>
    <w:rsid w:val="009D796E"/>
    <w:rsid w:val="009E1664"/>
    <w:rsid w:val="009E465E"/>
    <w:rsid w:val="009E585E"/>
    <w:rsid w:val="009E6175"/>
    <w:rsid w:val="009E64A7"/>
    <w:rsid w:val="009E71CD"/>
    <w:rsid w:val="009E74BB"/>
    <w:rsid w:val="009E78A9"/>
    <w:rsid w:val="009F0402"/>
    <w:rsid w:val="009F04A7"/>
    <w:rsid w:val="009F15A5"/>
    <w:rsid w:val="009F23D8"/>
    <w:rsid w:val="009F280E"/>
    <w:rsid w:val="009F36FF"/>
    <w:rsid w:val="009F51C4"/>
    <w:rsid w:val="009F5312"/>
    <w:rsid w:val="009F5E5D"/>
    <w:rsid w:val="009F6AC2"/>
    <w:rsid w:val="009F6CCD"/>
    <w:rsid w:val="009F73F4"/>
    <w:rsid w:val="009F799C"/>
    <w:rsid w:val="00A01E32"/>
    <w:rsid w:val="00A05FD5"/>
    <w:rsid w:val="00A078F2"/>
    <w:rsid w:val="00A07FCA"/>
    <w:rsid w:val="00A1033B"/>
    <w:rsid w:val="00A10484"/>
    <w:rsid w:val="00A11F25"/>
    <w:rsid w:val="00A1365D"/>
    <w:rsid w:val="00A142F4"/>
    <w:rsid w:val="00A14774"/>
    <w:rsid w:val="00A155D0"/>
    <w:rsid w:val="00A15631"/>
    <w:rsid w:val="00A15910"/>
    <w:rsid w:val="00A15DFD"/>
    <w:rsid w:val="00A16FF7"/>
    <w:rsid w:val="00A21308"/>
    <w:rsid w:val="00A21F58"/>
    <w:rsid w:val="00A22586"/>
    <w:rsid w:val="00A23101"/>
    <w:rsid w:val="00A25635"/>
    <w:rsid w:val="00A2571B"/>
    <w:rsid w:val="00A2644D"/>
    <w:rsid w:val="00A27396"/>
    <w:rsid w:val="00A27E6E"/>
    <w:rsid w:val="00A31B93"/>
    <w:rsid w:val="00A339C2"/>
    <w:rsid w:val="00A344D5"/>
    <w:rsid w:val="00A346CF"/>
    <w:rsid w:val="00A34700"/>
    <w:rsid w:val="00A35FF3"/>
    <w:rsid w:val="00A36988"/>
    <w:rsid w:val="00A3779A"/>
    <w:rsid w:val="00A40E1D"/>
    <w:rsid w:val="00A40EB0"/>
    <w:rsid w:val="00A40F20"/>
    <w:rsid w:val="00A417FF"/>
    <w:rsid w:val="00A422B6"/>
    <w:rsid w:val="00A429EA"/>
    <w:rsid w:val="00A430FB"/>
    <w:rsid w:val="00A46E72"/>
    <w:rsid w:val="00A46E9D"/>
    <w:rsid w:val="00A5204D"/>
    <w:rsid w:val="00A52CB6"/>
    <w:rsid w:val="00A5302C"/>
    <w:rsid w:val="00A544E9"/>
    <w:rsid w:val="00A56988"/>
    <w:rsid w:val="00A56A02"/>
    <w:rsid w:val="00A605D8"/>
    <w:rsid w:val="00A62051"/>
    <w:rsid w:val="00A6343B"/>
    <w:rsid w:val="00A63CCC"/>
    <w:rsid w:val="00A64D04"/>
    <w:rsid w:val="00A65282"/>
    <w:rsid w:val="00A65595"/>
    <w:rsid w:val="00A65AEC"/>
    <w:rsid w:val="00A65CDD"/>
    <w:rsid w:val="00A67E5B"/>
    <w:rsid w:val="00A67FDD"/>
    <w:rsid w:val="00A70320"/>
    <w:rsid w:val="00A705DC"/>
    <w:rsid w:val="00A70AB5"/>
    <w:rsid w:val="00A71DA5"/>
    <w:rsid w:val="00A7233D"/>
    <w:rsid w:val="00A72503"/>
    <w:rsid w:val="00A72CD1"/>
    <w:rsid w:val="00A73285"/>
    <w:rsid w:val="00A73AB1"/>
    <w:rsid w:val="00A73B49"/>
    <w:rsid w:val="00A747F9"/>
    <w:rsid w:val="00A81CD7"/>
    <w:rsid w:val="00A8252A"/>
    <w:rsid w:val="00A82C3F"/>
    <w:rsid w:val="00A83BA2"/>
    <w:rsid w:val="00A85650"/>
    <w:rsid w:val="00A85B5A"/>
    <w:rsid w:val="00A85EC5"/>
    <w:rsid w:val="00A90349"/>
    <w:rsid w:val="00A940C2"/>
    <w:rsid w:val="00A95E2A"/>
    <w:rsid w:val="00A960C3"/>
    <w:rsid w:val="00A96B20"/>
    <w:rsid w:val="00A96CF6"/>
    <w:rsid w:val="00A971CF"/>
    <w:rsid w:val="00A97971"/>
    <w:rsid w:val="00AA21C0"/>
    <w:rsid w:val="00AA4A7E"/>
    <w:rsid w:val="00AA7E77"/>
    <w:rsid w:val="00AB0252"/>
    <w:rsid w:val="00AB0268"/>
    <w:rsid w:val="00AB102F"/>
    <w:rsid w:val="00AB3058"/>
    <w:rsid w:val="00AB397F"/>
    <w:rsid w:val="00AB407B"/>
    <w:rsid w:val="00AB43DE"/>
    <w:rsid w:val="00AB4C0D"/>
    <w:rsid w:val="00AB5D8D"/>
    <w:rsid w:val="00AB6284"/>
    <w:rsid w:val="00AB744B"/>
    <w:rsid w:val="00AC0F64"/>
    <w:rsid w:val="00AC1C14"/>
    <w:rsid w:val="00AC34D7"/>
    <w:rsid w:val="00AC3A61"/>
    <w:rsid w:val="00AC42F8"/>
    <w:rsid w:val="00AC4748"/>
    <w:rsid w:val="00AC572D"/>
    <w:rsid w:val="00AC64C8"/>
    <w:rsid w:val="00AC65B1"/>
    <w:rsid w:val="00AC672C"/>
    <w:rsid w:val="00AC69D2"/>
    <w:rsid w:val="00AD099E"/>
    <w:rsid w:val="00AD0B82"/>
    <w:rsid w:val="00AD43CF"/>
    <w:rsid w:val="00AD7313"/>
    <w:rsid w:val="00AD73AA"/>
    <w:rsid w:val="00AD771E"/>
    <w:rsid w:val="00AD7AC3"/>
    <w:rsid w:val="00AD7B1F"/>
    <w:rsid w:val="00AE1357"/>
    <w:rsid w:val="00AE1B1A"/>
    <w:rsid w:val="00AE1C9E"/>
    <w:rsid w:val="00AE1F76"/>
    <w:rsid w:val="00AE2CC1"/>
    <w:rsid w:val="00AE2FDC"/>
    <w:rsid w:val="00AE4097"/>
    <w:rsid w:val="00AE47A1"/>
    <w:rsid w:val="00AE51BB"/>
    <w:rsid w:val="00AE58C6"/>
    <w:rsid w:val="00AE5904"/>
    <w:rsid w:val="00AE62D3"/>
    <w:rsid w:val="00AE6898"/>
    <w:rsid w:val="00AE7B3D"/>
    <w:rsid w:val="00AF04E1"/>
    <w:rsid w:val="00AF1236"/>
    <w:rsid w:val="00AF2318"/>
    <w:rsid w:val="00AF386A"/>
    <w:rsid w:val="00AF3EB6"/>
    <w:rsid w:val="00AF3F54"/>
    <w:rsid w:val="00AF5663"/>
    <w:rsid w:val="00AF640F"/>
    <w:rsid w:val="00AF6520"/>
    <w:rsid w:val="00B00C85"/>
    <w:rsid w:val="00B011D0"/>
    <w:rsid w:val="00B0239E"/>
    <w:rsid w:val="00B02A3A"/>
    <w:rsid w:val="00B02F04"/>
    <w:rsid w:val="00B04420"/>
    <w:rsid w:val="00B045C7"/>
    <w:rsid w:val="00B04EFE"/>
    <w:rsid w:val="00B05C6E"/>
    <w:rsid w:val="00B10186"/>
    <w:rsid w:val="00B10324"/>
    <w:rsid w:val="00B10BF4"/>
    <w:rsid w:val="00B110ED"/>
    <w:rsid w:val="00B127DF"/>
    <w:rsid w:val="00B132F0"/>
    <w:rsid w:val="00B14591"/>
    <w:rsid w:val="00B14DA6"/>
    <w:rsid w:val="00B15282"/>
    <w:rsid w:val="00B2030E"/>
    <w:rsid w:val="00B206DD"/>
    <w:rsid w:val="00B2095B"/>
    <w:rsid w:val="00B2215E"/>
    <w:rsid w:val="00B22597"/>
    <w:rsid w:val="00B22902"/>
    <w:rsid w:val="00B230CF"/>
    <w:rsid w:val="00B23C2D"/>
    <w:rsid w:val="00B24394"/>
    <w:rsid w:val="00B24BA3"/>
    <w:rsid w:val="00B25327"/>
    <w:rsid w:val="00B25859"/>
    <w:rsid w:val="00B27079"/>
    <w:rsid w:val="00B27ED7"/>
    <w:rsid w:val="00B30BF6"/>
    <w:rsid w:val="00B32999"/>
    <w:rsid w:val="00B3482A"/>
    <w:rsid w:val="00B35012"/>
    <w:rsid w:val="00B3743B"/>
    <w:rsid w:val="00B4092B"/>
    <w:rsid w:val="00B4138E"/>
    <w:rsid w:val="00B41540"/>
    <w:rsid w:val="00B42602"/>
    <w:rsid w:val="00B4392D"/>
    <w:rsid w:val="00B44710"/>
    <w:rsid w:val="00B45607"/>
    <w:rsid w:val="00B46059"/>
    <w:rsid w:val="00B465F6"/>
    <w:rsid w:val="00B46B8D"/>
    <w:rsid w:val="00B47431"/>
    <w:rsid w:val="00B50B05"/>
    <w:rsid w:val="00B51D36"/>
    <w:rsid w:val="00B52BEF"/>
    <w:rsid w:val="00B5356E"/>
    <w:rsid w:val="00B54C70"/>
    <w:rsid w:val="00B555AA"/>
    <w:rsid w:val="00B56400"/>
    <w:rsid w:val="00B5782C"/>
    <w:rsid w:val="00B60588"/>
    <w:rsid w:val="00B60BE4"/>
    <w:rsid w:val="00B60CB0"/>
    <w:rsid w:val="00B622E9"/>
    <w:rsid w:val="00B62BC0"/>
    <w:rsid w:val="00B632FA"/>
    <w:rsid w:val="00B64502"/>
    <w:rsid w:val="00B65958"/>
    <w:rsid w:val="00B65E32"/>
    <w:rsid w:val="00B6726D"/>
    <w:rsid w:val="00B67C7A"/>
    <w:rsid w:val="00B70A86"/>
    <w:rsid w:val="00B71DFE"/>
    <w:rsid w:val="00B721C7"/>
    <w:rsid w:val="00B72C5A"/>
    <w:rsid w:val="00B73646"/>
    <w:rsid w:val="00B74410"/>
    <w:rsid w:val="00B7616D"/>
    <w:rsid w:val="00B76FC9"/>
    <w:rsid w:val="00B776EF"/>
    <w:rsid w:val="00B77ABA"/>
    <w:rsid w:val="00B77AE0"/>
    <w:rsid w:val="00B8024D"/>
    <w:rsid w:val="00B80791"/>
    <w:rsid w:val="00B80A5F"/>
    <w:rsid w:val="00B80BE5"/>
    <w:rsid w:val="00B814C3"/>
    <w:rsid w:val="00B81753"/>
    <w:rsid w:val="00B84D49"/>
    <w:rsid w:val="00B85CD2"/>
    <w:rsid w:val="00B86D6C"/>
    <w:rsid w:val="00B90049"/>
    <w:rsid w:val="00B90515"/>
    <w:rsid w:val="00B92AAC"/>
    <w:rsid w:val="00B933BC"/>
    <w:rsid w:val="00B94186"/>
    <w:rsid w:val="00BA0A2B"/>
    <w:rsid w:val="00BA0E38"/>
    <w:rsid w:val="00BA2EE8"/>
    <w:rsid w:val="00BA47BC"/>
    <w:rsid w:val="00BA4C8C"/>
    <w:rsid w:val="00BA58C4"/>
    <w:rsid w:val="00BA65D7"/>
    <w:rsid w:val="00BA723D"/>
    <w:rsid w:val="00BA7898"/>
    <w:rsid w:val="00BA7E7E"/>
    <w:rsid w:val="00BB0372"/>
    <w:rsid w:val="00BB0740"/>
    <w:rsid w:val="00BB204E"/>
    <w:rsid w:val="00BB219D"/>
    <w:rsid w:val="00BB26D9"/>
    <w:rsid w:val="00BB7202"/>
    <w:rsid w:val="00BB7727"/>
    <w:rsid w:val="00BC3131"/>
    <w:rsid w:val="00BC3513"/>
    <w:rsid w:val="00BC4C64"/>
    <w:rsid w:val="00BC5021"/>
    <w:rsid w:val="00BC52F6"/>
    <w:rsid w:val="00BC5684"/>
    <w:rsid w:val="00BC6A22"/>
    <w:rsid w:val="00BC7117"/>
    <w:rsid w:val="00BD27F8"/>
    <w:rsid w:val="00BD2E03"/>
    <w:rsid w:val="00BD376D"/>
    <w:rsid w:val="00BD3BB3"/>
    <w:rsid w:val="00BD4813"/>
    <w:rsid w:val="00BD4E3D"/>
    <w:rsid w:val="00BD5A28"/>
    <w:rsid w:val="00BD5E28"/>
    <w:rsid w:val="00BE00E7"/>
    <w:rsid w:val="00BE1DF4"/>
    <w:rsid w:val="00BE2A2F"/>
    <w:rsid w:val="00BE2E7C"/>
    <w:rsid w:val="00BE34C5"/>
    <w:rsid w:val="00BE37B0"/>
    <w:rsid w:val="00BE5652"/>
    <w:rsid w:val="00BE63D2"/>
    <w:rsid w:val="00BE6C10"/>
    <w:rsid w:val="00BF0153"/>
    <w:rsid w:val="00BF0423"/>
    <w:rsid w:val="00BF0A7F"/>
    <w:rsid w:val="00BF0DBA"/>
    <w:rsid w:val="00BF141E"/>
    <w:rsid w:val="00BF1CA4"/>
    <w:rsid w:val="00BF2AB5"/>
    <w:rsid w:val="00BF35D1"/>
    <w:rsid w:val="00BF4023"/>
    <w:rsid w:val="00BF757E"/>
    <w:rsid w:val="00BF7A46"/>
    <w:rsid w:val="00C00885"/>
    <w:rsid w:val="00C00E23"/>
    <w:rsid w:val="00C00F10"/>
    <w:rsid w:val="00C01065"/>
    <w:rsid w:val="00C01AB5"/>
    <w:rsid w:val="00C02B77"/>
    <w:rsid w:val="00C03586"/>
    <w:rsid w:val="00C0596A"/>
    <w:rsid w:val="00C06010"/>
    <w:rsid w:val="00C065A5"/>
    <w:rsid w:val="00C100BB"/>
    <w:rsid w:val="00C120AF"/>
    <w:rsid w:val="00C12119"/>
    <w:rsid w:val="00C12ED5"/>
    <w:rsid w:val="00C13324"/>
    <w:rsid w:val="00C14950"/>
    <w:rsid w:val="00C15BF7"/>
    <w:rsid w:val="00C162DB"/>
    <w:rsid w:val="00C164D1"/>
    <w:rsid w:val="00C16736"/>
    <w:rsid w:val="00C17357"/>
    <w:rsid w:val="00C1773A"/>
    <w:rsid w:val="00C210FB"/>
    <w:rsid w:val="00C219A6"/>
    <w:rsid w:val="00C2208A"/>
    <w:rsid w:val="00C23768"/>
    <w:rsid w:val="00C23D6D"/>
    <w:rsid w:val="00C25313"/>
    <w:rsid w:val="00C25907"/>
    <w:rsid w:val="00C26466"/>
    <w:rsid w:val="00C27D37"/>
    <w:rsid w:val="00C309C5"/>
    <w:rsid w:val="00C311EE"/>
    <w:rsid w:val="00C316C6"/>
    <w:rsid w:val="00C3188B"/>
    <w:rsid w:val="00C33FFF"/>
    <w:rsid w:val="00C3601B"/>
    <w:rsid w:val="00C36614"/>
    <w:rsid w:val="00C4064A"/>
    <w:rsid w:val="00C4357E"/>
    <w:rsid w:val="00C43779"/>
    <w:rsid w:val="00C44D62"/>
    <w:rsid w:val="00C453E3"/>
    <w:rsid w:val="00C45F8C"/>
    <w:rsid w:val="00C50783"/>
    <w:rsid w:val="00C5438A"/>
    <w:rsid w:val="00C563ED"/>
    <w:rsid w:val="00C564AA"/>
    <w:rsid w:val="00C5729E"/>
    <w:rsid w:val="00C57953"/>
    <w:rsid w:val="00C604D9"/>
    <w:rsid w:val="00C61B06"/>
    <w:rsid w:val="00C62539"/>
    <w:rsid w:val="00C631C5"/>
    <w:rsid w:val="00C63418"/>
    <w:rsid w:val="00C63921"/>
    <w:rsid w:val="00C647A1"/>
    <w:rsid w:val="00C64A7D"/>
    <w:rsid w:val="00C64B0E"/>
    <w:rsid w:val="00C65DFC"/>
    <w:rsid w:val="00C718F3"/>
    <w:rsid w:val="00C719A2"/>
    <w:rsid w:val="00C741AE"/>
    <w:rsid w:val="00C74FC9"/>
    <w:rsid w:val="00C75553"/>
    <w:rsid w:val="00C76C2D"/>
    <w:rsid w:val="00C7763A"/>
    <w:rsid w:val="00C77679"/>
    <w:rsid w:val="00C77ADC"/>
    <w:rsid w:val="00C77B73"/>
    <w:rsid w:val="00C800A2"/>
    <w:rsid w:val="00C8068A"/>
    <w:rsid w:val="00C80894"/>
    <w:rsid w:val="00C812D2"/>
    <w:rsid w:val="00C824E0"/>
    <w:rsid w:val="00C8399A"/>
    <w:rsid w:val="00C84125"/>
    <w:rsid w:val="00C8428C"/>
    <w:rsid w:val="00C84798"/>
    <w:rsid w:val="00C8618D"/>
    <w:rsid w:val="00C91F31"/>
    <w:rsid w:val="00C92453"/>
    <w:rsid w:val="00CA035D"/>
    <w:rsid w:val="00CA1D16"/>
    <w:rsid w:val="00CA281B"/>
    <w:rsid w:val="00CA3E90"/>
    <w:rsid w:val="00CA66F4"/>
    <w:rsid w:val="00CA7028"/>
    <w:rsid w:val="00CA7556"/>
    <w:rsid w:val="00CA76E4"/>
    <w:rsid w:val="00CB01F3"/>
    <w:rsid w:val="00CB065A"/>
    <w:rsid w:val="00CB164B"/>
    <w:rsid w:val="00CB1A10"/>
    <w:rsid w:val="00CB25D0"/>
    <w:rsid w:val="00CB6236"/>
    <w:rsid w:val="00CB69AD"/>
    <w:rsid w:val="00CB6C0F"/>
    <w:rsid w:val="00CB769D"/>
    <w:rsid w:val="00CB7B27"/>
    <w:rsid w:val="00CC0CDC"/>
    <w:rsid w:val="00CC0F65"/>
    <w:rsid w:val="00CC16AD"/>
    <w:rsid w:val="00CC184B"/>
    <w:rsid w:val="00CC29FC"/>
    <w:rsid w:val="00CC2C54"/>
    <w:rsid w:val="00CC42B7"/>
    <w:rsid w:val="00CC5579"/>
    <w:rsid w:val="00CC7003"/>
    <w:rsid w:val="00CD1264"/>
    <w:rsid w:val="00CD2B29"/>
    <w:rsid w:val="00CD2CAF"/>
    <w:rsid w:val="00CD3026"/>
    <w:rsid w:val="00CD40BE"/>
    <w:rsid w:val="00CD41F9"/>
    <w:rsid w:val="00CD455D"/>
    <w:rsid w:val="00CD4A93"/>
    <w:rsid w:val="00CD53F1"/>
    <w:rsid w:val="00CD5469"/>
    <w:rsid w:val="00CD5BA3"/>
    <w:rsid w:val="00CD76F0"/>
    <w:rsid w:val="00CD785E"/>
    <w:rsid w:val="00CD7A98"/>
    <w:rsid w:val="00CE1D4A"/>
    <w:rsid w:val="00CE1DB3"/>
    <w:rsid w:val="00CE30C6"/>
    <w:rsid w:val="00CE3314"/>
    <w:rsid w:val="00CE3476"/>
    <w:rsid w:val="00CE431D"/>
    <w:rsid w:val="00CE5CA7"/>
    <w:rsid w:val="00CE6549"/>
    <w:rsid w:val="00CE7039"/>
    <w:rsid w:val="00CF02DD"/>
    <w:rsid w:val="00CF1413"/>
    <w:rsid w:val="00CF28C9"/>
    <w:rsid w:val="00CF2CEA"/>
    <w:rsid w:val="00CF3C2D"/>
    <w:rsid w:val="00CF518B"/>
    <w:rsid w:val="00CF559B"/>
    <w:rsid w:val="00CF585B"/>
    <w:rsid w:val="00CF5C19"/>
    <w:rsid w:val="00CF5D57"/>
    <w:rsid w:val="00CF757D"/>
    <w:rsid w:val="00D00932"/>
    <w:rsid w:val="00D03023"/>
    <w:rsid w:val="00D03D3D"/>
    <w:rsid w:val="00D05643"/>
    <w:rsid w:val="00D06998"/>
    <w:rsid w:val="00D079AE"/>
    <w:rsid w:val="00D07C2A"/>
    <w:rsid w:val="00D109FF"/>
    <w:rsid w:val="00D10C81"/>
    <w:rsid w:val="00D12249"/>
    <w:rsid w:val="00D12942"/>
    <w:rsid w:val="00D14AF6"/>
    <w:rsid w:val="00D152C7"/>
    <w:rsid w:val="00D159F3"/>
    <w:rsid w:val="00D15F9A"/>
    <w:rsid w:val="00D16184"/>
    <w:rsid w:val="00D1620D"/>
    <w:rsid w:val="00D1666D"/>
    <w:rsid w:val="00D20EF6"/>
    <w:rsid w:val="00D21380"/>
    <w:rsid w:val="00D24457"/>
    <w:rsid w:val="00D25B2A"/>
    <w:rsid w:val="00D2717E"/>
    <w:rsid w:val="00D2780F"/>
    <w:rsid w:val="00D31843"/>
    <w:rsid w:val="00D3320E"/>
    <w:rsid w:val="00D33AA6"/>
    <w:rsid w:val="00D33CE9"/>
    <w:rsid w:val="00D354FB"/>
    <w:rsid w:val="00D3650A"/>
    <w:rsid w:val="00D36766"/>
    <w:rsid w:val="00D368CD"/>
    <w:rsid w:val="00D371A6"/>
    <w:rsid w:val="00D411F7"/>
    <w:rsid w:val="00D44054"/>
    <w:rsid w:val="00D47BEA"/>
    <w:rsid w:val="00D50E64"/>
    <w:rsid w:val="00D51860"/>
    <w:rsid w:val="00D5211D"/>
    <w:rsid w:val="00D53014"/>
    <w:rsid w:val="00D5344F"/>
    <w:rsid w:val="00D538FB"/>
    <w:rsid w:val="00D5412F"/>
    <w:rsid w:val="00D565F9"/>
    <w:rsid w:val="00D569FB"/>
    <w:rsid w:val="00D56C18"/>
    <w:rsid w:val="00D57266"/>
    <w:rsid w:val="00D601CD"/>
    <w:rsid w:val="00D61E73"/>
    <w:rsid w:val="00D62D8E"/>
    <w:rsid w:val="00D635EB"/>
    <w:rsid w:val="00D639E4"/>
    <w:rsid w:val="00D64FAF"/>
    <w:rsid w:val="00D659CC"/>
    <w:rsid w:val="00D70E71"/>
    <w:rsid w:val="00D72A12"/>
    <w:rsid w:val="00D72E28"/>
    <w:rsid w:val="00D734EF"/>
    <w:rsid w:val="00D74EC4"/>
    <w:rsid w:val="00D753BE"/>
    <w:rsid w:val="00D75741"/>
    <w:rsid w:val="00D76238"/>
    <w:rsid w:val="00D76617"/>
    <w:rsid w:val="00D7709E"/>
    <w:rsid w:val="00D77912"/>
    <w:rsid w:val="00D80A00"/>
    <w:rsid w:val="00D82616"/>
    <w:rsid w:val="00D8290A"/>
    <w:rsid w:val="00D85399"/>
    <w:rsid w:val="00D86548"/>
    <w:rsid w:val="00D87DEF"/>
    <w:rsid w:val="00D9047A"/>
    <w:rsid w:val="00D9205F"/>
    <w:rsid w:val="00D92967"/>
    <w:rsid w:val="00D94F91"/>
    <w:rsid w:val="00D977CA"/>
    <w:rsid w:val="00D97AD9"/>
    <w:rsid w:val="00D97F34"/>
    <w:rsid w:val="00DA0391"/>
    <w:rsid w:val="00DA081D"/>
    <w:rsid w:val="00DA17E1"/>
    <w:rsid w:val="00DA184C"/>
    <w:rsid w:val="00DA2395"/>
    <w:rsid w:val="00DA2A1F"/>
    <w:rsid w:val="00DA3539"/>
    <w:rsid w:val="00DA384E"/>
    <w:rsid w:val="00DA3F74"/>
    <w:rsid w:val="00DA4111"/>
    <w:rsid w:val="00DA57D0"/>
    <w:rsid w:val="00DB0992"/>
    <w:rsid w:val="00DB12BE"/>
    <w:rsid w:val="00DB3653"/>
    <w:rsid w:val="00DB412E"/>
    <w:rsid w:val="00DB4DF9"/>
    <w:rsid w:val="00DB652A"/>
    <w:rsid w:val="00DB6A79"/>
    <w:rsid w:val="00DB6B6B"/>
    <w:rsid w:val="00DB743D"/>
    <w:rsid w:val="00DB7B0E"/>
    <w:rsid w:val="00DB7B7E"/>
    <w:rsid w:val="00DC0193"/>
    <w:rsid w:val="00DC0F71"/>
    <w:rsid w:val="00DC2068"/>
    <w:rsid w:val="00DC26A5"/>
    <w:rsid w:val="00DC3AC5"/>
    <w:rsid w:val="00DC3BAB"/>
    <w:rsid w:val="00DC3FA3"/>
    <w:rsid w:val="00DC7A50"/>
    <w:rsid w:val="00DD076A"/>
    <w:rsid w:val="00DD391B"/>
    <w:rsid w:val="00DD5621"/>
    <w:rsid w:val="00DD5C66"/>
    <w:rsid w:val="00DD6600"/>
    <w:rsid w:val="00DD6A2C"/>
    <w:rsid w:val="00DD737F"/>
    <w:rsid w:val="00DE0336"/>
    <w:rsid w:val="00DE0F26"/>
    <w:rsid w:val="00DE149A"/>
    <w:rsid w:val="00DE1DC0"/>
    <w:rsid w:val="00DE2BF9"/>
    <w:rsid w:val="00DE38DD"/>
    <w:rsid w:val="00DE440D"/>
    <w:rsid w:val="00DE44A7"/>
    <w:rsid w:val="00DE5BBB"/>
    <w:rsid w:val="00DE6181"/>
    <w:rsid w:val="00DE6916"/>
    <w:rsid w:val="00DE7B10"/>
    <w:rsid w:val="00DF0B45"/>
    <w:rsid w:val="00DF1966"/>
    <w:rsid w:val="00DF1ADE"/>
    <w:rsid w:val="00DF24AE"/>
    <w:rsid w:val="00DF250B"/>
    <w:rsid w:val="00DF394C"/>
    <w:rsid w:val="00DF3AE4"/>
    <w:rsid w:val="00DF3C6F"/>
    <w:rsid w:val="00DF4576"/>
    <w:rsid w:val="00DF5098"/>
    <w:rsid w:val="00DF590C"/>
    <w:rsid w:val="00DF6295"/>
    <w:rsid w:val="00DF694C"/>
    <w:rsid w:val="00DF6CF1"/>
    <w:rsid w:val="00DF6FC1"/>
    <w:rsid w:val="00E000F5"/>
    <w:rsid w:val="00E0090B"/>
    <w:rsid w:val="00E01AFE"/>
    <w:rsid w:val="00E020F4"/>
    <w:rsid w:val="00E023E6"/>
    <w:rsid w:val="00E02A1F"/>
    <w:rsid w:val="00E06B70"/>
    <w:rsid w:val="00E070B8"/>
    <w:rsid w:val="00E071B3"/>
    <w:rsid w:val="00E11F7D"/>
    <w:rsid w:val="00E12AD5"/>
    <w:rsid w:val="00E13681"/>
    <w:rsid w:val="00E140B5"/>
    <w:rsid w:val="00E14839"/>
    <w:rsid w:val="00E14CB7"/>
    <w:rsid w:val="00E1547F"/>
    <w:rsid w:val="00E162D3"/>
    <w:rsid w:val="00E20C8A"/>
    <w:rsid w:val="00E24C31"/>
    <w:rsid w:val="00E25304"/>
    <w:rsid w:val="00E25A49"/>
    <w:rsid w:val="00E26A77"/>
    <w:rsid w:val="00E26B14"/>
    <w:rsid w:val="00E302AE"/>
    <w:rsid w:val="00E332D9"/>
    <w:rsid w:val="00E3357F"/>
    <w:rsid w:val="00E33DB8"/>
    <w:rsid w:val="00E3465E"/>
    <w:rsid w:val="00E35234"/>
    <w:rsid w:val="00E3530C"/>
    <w:rsid w:val="00E3591D"/>
    <w:rsid w:val="00E359AF"/>
    <w:rsid w:val="00E35E9C"/>
    <w:rsid w:val="00E36F98"/>
    <w:rsid w:val="00E37512"/>
    <w:rsid w:val="00E37556"/>
    <w:rsid w:val="00E37AF6"/>
    <w:rsid w:val="00E40AC1"/>
    <w:rsid w:val="00E4127E"/>
    <w:rsid w:val="00E41905"/>
    <w:rsid w:val="00E41D03"/>
    <w:rsid w:val="00E43DDF"/>
    <w:rsid w:val="00E44DA1"/>
    <w:rsid w:val="00E45940"/>
    <w:rsid w:val="00E4690D"/>
    <w:rsid w:val="00E50766"/>
    <w:rsid w:val="00E507B0"/>
    <w:rsid w:val="00E5093F"/>
    <w:rsid w:val="00E529AB"/>
    <w:rsid w:val="00E531EF"/>
    <w:rsid w:val="00E55997"/>
    <w:rsid w:val="00E56A6A"/>
    <w:rsid w:val="00E5751D"/>
    <w:rsid w:val="00E578CA"/>
    <w:rsid w:val="00E57D69"/>
    <w:rsid w:val="00E600F2"/>
    <w:rsid w:val="00E611CB"/>
    <w:rsid w:val="00E62107"/>
    <w:rsid w:val="00E62BA9"/>
    <w:rsid w:val="00E62D8F"/>
    <w:rsid w:val="00E633C7"/>
    <w:rsid w:val="00E6473A"/>
    <w:rsid w:val="00E649B8"/>
    <w:rsid w:val="00E65BA3"/>
    <w:rsid w:val="00E6611F"/>
    <w:rsid w:val="00E669E3"/>
    <w:rsid w:val="00E67AFE"/>
    <w:rsid w:val="00E7034D"/>
    <w:rsid w:val="00E70B35"/>
    <w:rsid w:val="00E72304"/>
    <w:rsid w:val="00E73286"/>
    <w:rsid w:val="00E73F3C"/>
    <w:rsid w:val="00E73F9E"/>
    <w:rsid w:val="00E749C5"/>
    <w:rsid w:val="00E752C0"/>
    <w:rsid w:val="00E756EA"/>
    <w:rsid w:val="00E75D45"/>
    <w:rsid w:val="00E760BA"/>
    <w:rsid w:val="00E76773"/>
    <w:rsid w:val="00E804C5"/>
    <w:rsid w:val="00E80AD2"/>
    <w:rsid w:val="00E8403C"/>
    <w:rsid w:val="00E8454D"/>
    <w:rsid w:val="00E84856"/>
    <w:rsid w:val="00E84B83"/>
    <w:rsid w:val="00E86CAA"/>
    <w:rsid w:val="00E86D7B"/>
    <w:rsid w:val="00E86DCF"/>
    <w:rsid w:val="00E92D42"/>
    <w:rsid w:val="00E95656"/>
    <w:rsid w:val="00E95E3E"/>
    <w:rsid w:val="00E971DC"/>
    <w:rsid w:val="00EA1931"/>
    <w:rsid w:val="00EA1A7A"/>
    <w:rsid w:val="00EA2780"/>
    <w:rsid w:val="00EA3137"/>
    <w:rsid w:val="00EA3CDE"/>
    <w:rsid w:val="00EA482D"/>
    <w:rsid w:val="00EA59EA"/>
    <w:rsid w:val="00EA5A35"/>
    <w:rsid w:val="00EA6C88"/>
    <w:rsid w:val="00EA6EFF"/>
    <w:rsid w:val="00EB059E"/>
    <w:rsid w:val="00EB1797"/>
    <w:rsid w:val="00EB1F34"/>
    <w:rsid w:val="00EB24BB"/>
    <w:rsid w:val="00EB3A07"/>
    <w:rsid w:val="00EB4179"/>
    <w:rsid w:val="00EB4368"/>
    <w:rsid w:val="00EB4730"/>
    <w:rsid w:val="00EB511C"/>
    <w:rsid w:val="00EB52CC"/>
    <w:rsid w:val="00EB5434"/>
    <w:rsid w:val="00EB548C"/>
    <w:rsid w:val="00EB60C8"/>
    <w:rsid w:val="00EB6699"/>
    <w:rsid w:val="00EB701F"/>
    <w:rsid w:val="00EC0A31"/>
    <w:rsid w:val="00EC0E9F"/>
    <w:rsid w:val="00EC22FA"/>
    <w:rsid w:val="00EC33A7"/>
    <w:rsid w:val="00EC3C6C"/>
    <w:rsid w:val="00EC4082"/>
    <w:rsid w:val="00EC44B1"/>
    <w:rsid w:val="00EC4E65"/>
    <w:rsid w:val="00EC56FE"/>
    <w:rsid w:val="00EC7C20"/>
    <w:rsid w:val="00ED1AFF"/>
    <w:rsid w:val="00ED1CE1"/>
    <w:rsid w:val="00ED2267"/>
    <w:rsid w:val="00ED33EB"/>
    <w:rsid w:val="00ED4305"/>
    <w:rsid w:val="00ED433D"/>
    <w:rsid w:val="00ED481C"/>
    <w:rsid w:val="00ED4F6B"/>
    <w:rsid w:val="00ED5288"/>
    <w:rsid w:val="00ED58EC"/>
    <w:rsid w:val="00ED5B1F"/>
    <w:rsid w:val="00EE06F2"/>
    <w:rsid w:val="00EE16D7"/>
    <w:rsid w:val="00EE1BE3"/>
    <w:rsid w:val="00EE26F6"/>
    <w:rsid w:val="00EE311E"/>
    <w:rsid w:val="00EE4CCF"/>
    <w:rsid w:val="00EE595F"/>
    <w:rsid w:val="00EE5F92"/>
    <w:rsid w:val="00EE695B"/>
    <w:rsid w:val="00EE6B3D"/>
    <w:rsid w:val="00EE7DDE"/>
    <w:rsid w:val="00EE7ED9"/>
    <w:rsid w:val="00EF015E"/>
    <w:rsid w:val="00EF0F07"/>
    <w:rsid w:val="00EF1D64"/>
    <w:rsid w:val="00EF3543"/>
    <w:rsid w:val="00EF61B4"/>
    <w:rsid w:val="00EF7903"/>
    <w:rsid w:val="00EF7B14"/>
    <w:rsid w:val="00F01B51"/>
    <w:rsid w:val="00F034D4"/>
    <w:rsid w:val="00F04EB9"/>
    <w:rsid w:val="00F050AB"/>
    <w:rsid w:val="00F063E6"/>
    <w:rsid w:val="00F07423"/>
    <w:rsid w:val="00F1185F"/>
    <w:rsid w:val="00F12152"/>
    <w:rsid w:val="00F130DB"/>
    <w:rsid w:val="00F134D5"/>
    <w:rsid w:val="00F13B6E"/>
    <w:rsid w:val="00F15093"/>
    <w:rsid w:val="00F1556C"/>
    <w:rsid w:val="00F15A3E"/>
    <w:rsid w:val="00F17A97"/>
    <w:rsid w:val="00F20ADB"/>
    <w:rsid w:val="00F245D7"/>
    <w:rsid w:val="00F24A75"/>
    <w:rsid w:val="00F25848"/>
    <w:rsid w:val="00F27B0E"/>
    <w:rsid w:val="00F30430"/>
    <w:rsid w:val="00F31EE6"/>
    <w:rsid w:val="00F3294A"/>
    <w:rsid w:val="00F33C04"/>
    <w:rsid w:val="00F344A4"/>
    <w:rsid w:val="00F345E6"/>
    <w:rsid w:val="00F34BBC"/>
    <w:rsid w:val="00F34D89"/>
    <w:rsid w:val="00F34D97"/>
    <w:rsid w:val="00F35982"/>
    <w:rsid w:val="00F35A9D"/>
    <w:rsid w:val="00F3725D"/>
    <w:rsid w:val="00F37A96"/>
    <w:rsid w:val="00F40983"/>
    <w:rsid w:val="00F41C07"/>
    <w:rsid w:val="00F46CD6"/>
    <w:rsid w:val="00F474F0"/>
    <w:rsid w:val="00F50D59"/>
    <w:rsid w:val="00F5322A"/>
    <w:rsid w:val="00F535C0"/>
    <w:rsid w:val="00F5571B"/>
    <w:rsid w:val="00F567AD"/>
    <w:rsid w:val="00F57342"/>
    <w:rsid w:val="00F57562"/>
    <w:rsid w:val="00F57DAB"/>
    <w:rsid w:val="00F604FA"/>
    <w:rsid w:val="00F611EB"/>
    <w:rsid w:val="00F62DE6"/>
    <w:rsid w:val="00F63CFD"/>
    <w:rsid w:val="00F647DC"/>
    <w:rsid w:val="00F65007"/>
    <w:rsid w:val="00F65784"/>
    <w:rsid w:val="00F65C3A"/>
    <w:rsid w:val="00F65EA0"/>
    <w:rsid w:val="00F6669E"/>
    <w:rsid w:val="00F668C7"/>
    <w:rsid w:val="00F66DB8"/>
    <w:rsid w:val="00F6783C"/>
    <w:rsid w:val="00F67923"/>
    <w:rsid w:val="00F67DF5"/>
    <w:rsid w:val="00F712E1"/>
    <w:rsid w:val="00F71BB9"/>
    <w:rsid w:val="00F71C59"/>
    <w:rsid w:val="00F74F90"/>
    <w:rsid w:val="00F762A9"/>
    <w:rsid w:val="00F76B30"/>
    <w:rsid w:val="00F76B98"/>
    <w:rsid w:val="00F7733C"/>
    <w:rsid w:val="00F7761E"/>
    <w:rsid w:val="00F80516"/>
    <w:rsid w:val="00F80F9D"/>
    <w:rsid w:val="00F813E4"/>
    <w:rsid w:val="00F81947"/>
    <w:rsid w:val="00F836B7"/>
    <w:rsid w:val="00F83B3B"/>
    <w:rsid w:val="00F83B60"/>
    <w:rsid w:val="00F847C9"/>
    <w:rsid w:val="00F84AD0"/>
    <w:rsid w:val="00F84B8A"/>
    <w:rsid w:val="00F850A9"/>
    <w:rsid w:val="00F8570B"/>
    <w:rsid w:val="00F869DF"/>
    <w:rsid w:val="00F90FE0"/>
    <w:rsid w:val="00F91817"/>
    <w:rsid w:val="00F91CA5"/>
    <w:rsid w:val="00F9251C"/>
    <w:rsid w:val="00F929C0"/>
    <w:rsid w:val="00F92C4D"/>
    <w:rsid w:val="00F92C77"/>
    <w:rsid w:val="00F9397A"/>
    <w:rsid w:val="00F9529A"/>
    <w:rsid w:val="00F9551E"/>
    <w:rsid w:val="00F95773"/>
    <w:rsid w:val="00F95972"/>
    <w:rsid w:val="00F9661E"/>
    <w:rsid w:val="00F96A32"/>
    <w:rsid w:val="00F96B11"/>
    <w:rsid w:val="00F97487"/>
    <w:rsid w:val="00FA2667"/>
    <w:rsid w:val="00FA2C92"/>
    <w:rsid w:val="00FA3077"/>
    <w:rsid w:val="00FA3883"/>
    <w:rsid w:val="00FA3DB4"/>
    <w:rsid w:val="00FA6376"/>
    <w:rsid w:val="00FA6699"/>
    <w:rsid w:val="00FA6E56"/>
    <w:rsid w:val="00FA716C"/>
    <w:rsid w:val="00FA7A08"/>
    <w:rsid w:val="00FA7F7E"/>
    <w:rsid w:val="00FB0479"/>
    <w:rsid w:val="00FB17F9"/>
    <w:rsid w:val="00FB258A"/>
    <w:rsid w:val="00FB278C"/>
    <w:rsid w:val="00FB2B0D"/>
    <w:rsid w:val="00FB2C0E"/>
    <w:rsid w:val="00FB2CCC"/>
    <w:rsid w:val="00FB31E6"/>
    <w:rsid w:val="00FB3259"/>
    <w:rsid w:val="00FB52EF"/>
    <w:rsid w:val="00FB7323"/>
    <w:rsid w:val="00FC02F8"/>
    <w:rsid w:val="00FC09D4"/>
    <w:rsid w:val="00FC3920"/>
    <w:rsid w:val="00FC4AC2"/>
    <w:rsid w:val="00FC4D30"/>
    <w:rsid w:val="00FC6132"/>
    <w:rsid w:val="00FC6C52"/>
    <w:rsid w:val="00FD0CFC"/>
    <w:rsid w:val="00FD0F16"/>
    <w:rsid w:val="00FD1BEE"/>
    <w:rsid w:val="00FD2081"/>
    <w:rsid w:val="00FD21AB"/>
    <w:rsid w:val="00FD24A6"/>
    <w:rsid w:val="00FD262C"/>
    <w:rsid w:val="00FD3347"/>
    <w:rsid w:val="00FD37F5"/>
    <w:rsid w:val="00FD39DE"/>
    <w:rsid w:val="00FD42E4"/>
    <w:rsid w:val="00FD4437"/>
    <w:rsid w:val="00FD4845"/>
    <w:rsid w:val="00FD4CCF"/>
    <w:rsid w:val="00FD78BE"/>
    <w:rsid w:val="00FD7ACF"/>
    <w:rsid w:val="00FE0105"/>
    <w:rsid w:val="00FE01ED"/>
    <w:rsid w:val="00FE1AFB"/>
    <w:rsid w:val="00FE2A61"/>
    <w:rsid w:val="00FE35BF"/>
    <w:rsid w:val="00FE4B2A"/>
    <w:rsid w:val="00FE5CF6"/>
    <w:rsid w:val="00FE621C"/>
    <w:rsid w:val="00FF2D13"/>
    <w:rsid w:val="00FF3745"/>
    <w:rsid w:val="00FF48D4"/>
    <w:rsid w:val="00FF4E03"/>
    <w:rsid w:val="00FF5356"/>
    <w:rsid w:val="00FF55FE"/>
    <w:rsid w:val="00FF5BA0"/>
    <w:rsid w:val="00FF5F0F"/>
    <w:rsid w:val="00FF602C"/>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qFormat="1"/>
    <w:lsdException w:name="Title" w:semiHidden="0" w:uiPriority="10" w:unhideWhenUsed="0" w:qFormat="1"/>
    <w:lsdException w:name="Default Paragraph Font" w:uiPriority="1"/>
    <w:lsdException w:name="Subtitle" w:uiPriority="11" w:qFormat="1"/>
    <w:lsdException w:name="Hyperlink"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FD262C"/>
    <w:rPr>
      <w:lang w:val="en-AU"/>
    </w:rPr>
  </w:style>
  <w:style w:type="paragraph" w:styleId="Heading1">
    <w:name w:val="heading 1"/>
    <w:basedOn w:val="Normal"/>
    <w:next w:val="Normal"/>
    <w:link w:val="Heading1Char"/>
    <w:uiPriority w:val="9"/>
    <w:qFormat/>
    <w:rsid w:val="00C80894"/>
    <w:pPr>
      <w:pageBreakBefore/>
      <w:pBdr>
        <w:bottom w:val="single" w:sz="4" w:space="1" w:color="auto"/>
      </w:pBdr>
      <w:spacing w:before="960" w:after="240" w:line="240" w:lineRule="auto"/>
      <w:contextualSpacing/>
      <w:outlineLvl w:val="0"/>
    </w:pPr>
    <w:rPr>
      <w:rFonts w:ascii="Calibri" w:eastAsiaTheme="majorEastAsia" w:hAnsi="Calibri" w:cstheme="majorBidi"/>
      <w:b/>
      <w:bCs/>
      <w:color w:val="7030A0"/>
      <w:sz w:val="40"/>
      <w:szCs w:val="28"/>
      <w:lang w:eastAsia="en-US"/>
    </w:rPr>
  </w:style>
  <w:style w:type="paragraph" w:styleId="Heading2">
    <w:name w:val="heading 2"/>
    <w:basedOn w:val="Normal"/>
    <w:next w:val="Normal"/>
    <w:link w:val="Heading2Char"/>
    <w:uiPriority w:val="9"/>
    <w:unhideWhenUsed/>
    <w:qFormat/>
    <w:rsid w:val="0047427C"/>
    <w:pPr>
      <w:keepNext/>
      <w:spacing w:before="360" w:after="240" w:line="276" w:lineRule="auto"/>
      <w:outlineLvl w:val="1"/>
    </w:pPr>
    <w:rPr>
      <w:rFonts w:ascii="Calibri" w:eastAsiaTheme="majorEastAsia" w:hAnsi="Calibri" w:cstheme="majorBidi"/>
      <w:b/>
      <w:bCs/>
      <w:color w:val="0F6FC6" w:themeColor="accent1"/>
      <w:sz w:val="28"/>
      <w:szCs w:val="26"/>
      <w:lang w:eastAsia="en-US"/>
    </w:rPr>
  </w:style>
  <w:style w:type="paragraph" w:styleId="Heading3">
    <w:name w:val="heading 3"/>
    <w:basedOn w:val="Normal"/>
    <w:next w:val="Normal"/>
    <w:link w:val="Heading3Char"/>
    <w:uiPriority w:val="9"/>
    <w:unhideWhenUsed/>
    <w:qFormat/>
    <w:rsid w:val="00EE1BE3"/>
    <w:pPr>
      <w:keepNext/>
      <w:tabs>
        <w:tab w:val="left" w:pos="4064"/>
      </w:tabs>
      <w:spacing w:before="200" w:after="200" w:line="276" w:lineRule="auto"/>
      <w:outlineLvl w:val="2"/>
    </w:pPr>
    <w:rPr>
      <w:rFonts w:ascii="Calibri" w:eastAsiaTheme="majorEastAsia" w:hAnsi="Calibri" w:cstheme="majorBidi"/>
      <w:b/>
      <w:bCs/>
      <w:color w:val="593674"/>
      <w:sz w:val="24"/>
      <w:lang w:eastAsia="en-US"/>
    </w:rPr>
  </w:style>
  <w:style w:type="paragraph" w:styleId="Heading4">
    <w:name w:val="heading 4"/>
    <w:basedOn w:val="Normal"/>
    <w:next w:val="Normal"/>
    <w:link w:val="Heading4Char"/>
    <w:uiPriority w:val="9"/>
    <w:unhideWhenUsed/>
    <w:qFormat/>
    <w:rsid w:val="00FD262C"/>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D262C"/>
    <w:pPr>
      <w:keepNext/>
      <w:keepLines/>
      <w:spacing w:before="20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FD262C"/>
    <w:pPr>
      <w:keepNext/>
      <w:keepLines/>
      <w:spacing w:before="200" w:after="0"/>
      <w:outlineLvl w:val="5"/>
    </w:pPr>
    <w:rPr>
      <w:rFonts w:asciiTheme="majorHAnsi" w:eastAsiaTheme="majorEastAsia" w:hAnsiTheme="majorHAnsi" w:cstheme="majorBidi"/>
      <w:i/>
      <w:iCs/>
      <w:color w:val="404040" w:themeColor="text1" w:themeTint="BF"/>
    </w:rPr>
  </w:style>
  <w:style w:type="paragraph" w:styleId="Heading7">
    <w:name w:val="heading 7"/>
    <w:basedOn w:val="Normal"/>
    <w:next w:val="Normal"/>
    <w:link w:val="Heading7Char"/>
    <w:uiPriority w:val="9"/>
    <w:semiHidden/>
    <w:unhideWhenUsed/>
    <w:qFormat/>
    <w:rsid w:val="00FD26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262C"/>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FD262C"/>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281224"/>
    <w:pPr>
      <w:spacing w:before="1080" w:after="0" w:line="240" w:lineRule="auto"/>
    </w:pPr>
    <w:rPr>
      <w:rFonts w:eastAsiaTheme="majorEastAsia" w:cstheme="majorBidi"/>
      <w:b/>
      <w:color w:val="7030A0"/>
      <w:sz w:val="56"/>
      <w:szCs w:val="56"/>
    </w:rPr>
  </w:style>
  <w:style w:type="character" w:customStyle="1" w:styleId="TitleChar">
    <w:name w:val="Title Char"/>
    <w:basedOn w:val="DefaultParagraphFont"/>
    <w:link w:val="Title"/>
    <w:uiPriority w:val="1"/>
    <w:rsid w:val="00281224"/>
    <w:rPr>
      <w:rFonts w:eastAsiaTheme="majorEastAsia" w:cstheme="majorBidi"/>
      <w:b/>
      <w:color w:val="7030A0"/>
      <w:sz w:val="56"/>
      <w:szCs w:val="56"/>
      <w:lang w:val="en-AU"/>
    </w:rPr>
  </w:style>
  <w:style w:type="paragraph" w:styleId="Header">
    <w:name w:val="header"/>
    <w:basedOn w:val="Normal"/>
    <w:link w:val="HeaderChar"/>
    <w:uiPriority w:val="99"/>
    <w:unhideWhenUsed/>
    <w:rsid w:val="00855982"/>
    <w:pPr>
      <w:spacing w:after="0" w:line="240" w:lineRule="auto"/>
    </w:pPr>
  </w:style>
  <w:style w:type="character" w:customStyle="1" w:styleId="HeaderChar">
    <w:name w:val="Header Char"/>
    <w:basedOn w:val="DefaultParagraphFont"/>
    <w:link w:val="Header"/>
    <w:uiPriority w:val="99"/>
    <w:rsid w:val="00855982"/>
  </w:style>
  <w:style w:type="character" w:customStyle="1" w:styleId="Heading1Char">
    <w:name w:val="Heading 1 Char"/>
    <w:basedOn w:val="DefaultParagraphFont"/>
    <w:link w:val="Heading1"/>
    <w:uiPriority w:val="9"/>
    <w:rsid w:val="00C80894"/>
    <w:rPr>
      <w:rFonts w:ascii="Calibri" w:eastAsiaTheme="majorEastAsia" w:hAnsi="Calibri" w:cstheme="majorBidi"/>
      <w:b/>
      <w:bCs/>
      <w:color w:val="7030A0"/>
      <w:sz w:val="40"/>
      <w:szCs w:val="28"/>
      <w:lang w:val="en-AU" w:eastAsia="en-US"/>
    </w:rPr>
  </w:style>
  <w:style w:type="character" w:customStyle="1" w:styleId="Heading2Char">
    <w:name w:val="Heading 2 Char"/>
    <w:basedOn w:val="DefaultParagraphFont"/>
    <w:link w:val="Heading2"/>
    <w:uiPriority w:val="9"/>
    <w:rsid w:val="0047427C"/>
    <w:rPr>
      <w:rFonts w:ascii="Calibri" w:eastAsiaTheme="majorEastAsia" w:hAnsi="Calibri" w:cstheme="majorBidi"/>
      <w:b/>
      <w:bCs/>
      <w:color w:val="0F6FC6" w:themeColor="accent1"/>
      <w:sz w:val="28"/>
      <w:szCs w:val="26"/>
      <w:lang w:val="en-AU" w:eastAsia="en-US"/>
    </w:rPr>
  </w:style>
  <w:style w:type="character" w:customStyle="1" w:styleId="Heading3Char">
    <w:name w:val="Heading 3 Char"/>
    <w:basedOn w:val="DefaultParagraphFont"/>
    <w:link w:val="Heading3"/>
    <w:uiPriority w:val="9"/>
    <w:rsid w:val="00EE1BE3"/>
    <w:rPr>
      <w:rFonts w:ascii="Calibri" w:eastAsiaTheme="majorEastAsia" w:hAnsi="Calibri" w:cstheme="majorBidi"/>
      <w:b/>
      <w:bCs/>
      <w:color w:val="593674"/>
      <w:sz w:val="24"/>
      <w:lang w:val="en-AU" w:eastAsia="en-US"/>
    </w:rPr>
  </w:style>
  <w:style w:type="character" w:customStyle="1" w:styleId="Heading4Char">
    <w:name w:val="Heading 4 Char"/>
    <w:basedOn w:val="DefaultParagraphFont"/>
    <w:link w:val="Heading4"/>
    <w:uiPriority w:val="9"/>
    <w:rsid w:val="00FD26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D262C"/>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FD262C"/>
    <w:rPr>
      <w:rFonts w:asciiTheme="majorHAnsi" w:eastAsiaTheme="majorEastAsia" w:hAnsiTheme="majorHAnsi" w:cstheme="majorBidi"/>
      <w:i/>
      <w:iCs/>
      <w:color w:val="404040" w:themeColor="text1" w:themeTint="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436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1D4362"/>
    <w:rPr>
      <w:rFonts w:asciiTheme="majorHAnsi" w:eastAsiaTheme="majorEastAsia" w:hAnsiTheme="majorHAnsi" w:cstheme="majorBidi"/>
      <w:i/>
      <w:iCs/>
      <w:color w:val="404040" w:themeColor="text1" w:themeTint="BF"/>
      <w:szCs w:val="20"/>
    </w:rPr>
  </w:style>
  <w:style w:type="paragraph" w:styleId="Footer">
    <w:name w:val="footer"/>
    <w:basedOn w:val="Normal"/>
    <w:link w:val="FooterChar"/>
    <w:uiPriority w:val="99"/>
    <w:unhideWhenUsed/>
    <w:rsid w:val="00855982"/>
    <w:pPr>
      <w:spacing w:after="0" w:line="240" w:lineRule="auto"/>
    </w:pPr>
  </w:style>
  <w:style w:type="character" w:customStyle="1" w:styleId="FooterChar">
    <w:name w:val="Footer Char"/>
    <w:basedOn w:val="DefaultParagraphFont"/>
    <w:link w:val="Footer"/>
    <w:uiPriority w:val="99"/>
    <w:rsid w:val="00855982"/>
  </w:style>
  <w:style w:type="paragraph" w:styleId="Caption">
    <w:name w:val="caption"/>
    <w:basedOn w:val="Normal"/>
    <w:next w:val="Normal"/>
    <w:uiPriority w:val="35"/>
    <w:unhideWhenUsed/>
    <w:qFormat/>
    <w:rsid w:val="00696046"/>
    <w:pPr>
      <w:keepNext/>
      <w:spacing w:after="200" w:line="240" w:lineRule="auto"/>
    </w:pPr>
    <w:rPr>
      <w:b/>
      <w:iCs/>
      <w:color w:val="7030A0"/>
      <w:szCs w:val="18"/>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1D436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D4362"/>
    <w:rPr>
      <w:rFonts w:ascii="Segoe UI" w:hAnsi="Segoe UI" w:cs="Segoe UI"/>
      <w:szCs w:val="18"/>
    </w:rPr>
  </w:style>
  <w:style w:type="paragraph" w:styleId="BodyText3">
    <w:name w:val="Body Text 3"/>
    <w:basedOn w:val="Normal"/>
    <w:link w:val="BodyText3Char"/>
    <w:uiPriority w:val="99"/>
    <w:semiHidden/>
    <w:unhideWhenUsed/>
    <w:rsid w:val="001D4362"/>
    <w:pPr>
      <w:spacing w:after="120"/>
    </w:pPr>
    <w:rPr>
      <w:szCs w:val="16"/>
    </w:rPr>
  </w:style>
  <w:style w:type="character" w:customStyle="1" w:styleId="BodyText3Char">
    <w:name w:val="Body Text 3 Char"/>
    <w:basedOn w:val="DefaultParagraphFont"/>
    <w:link w:val="BodyText3"/>
    <w:uiPriority w:val="99"/>
    <w:semiHidden/>
    <w:rsid w:val="001D4362"/>
    <w:rPr>
      <w:szCs w:val="16"/>
    </w:rPr>
  </w:style>
  <w:style w:type="paragraph" w:styleId="BodyTextIndent3">
    <w:name w:val="Body Text Indent 3"/>
    <w:basedOn w:val="Normal"/>
    <w:link w:val="BodyTextIndent3Char"/>
    <w:uiPriority w:val="99"/>
    <w:semiHidden/>
    <w:unhideWhenUsed/>
    <w:rsid w:val="001D4362"/>
    <w:pPr>
      <w:spacing w:after="120"/>
      <w:ind w:left="360"/>
    </w:pPr>
    <w:rPr>
      <w:szCs w:val="16"/>
    </w:rPr>
  </w:style>
  <w:style w:type="character" w:customStyle="1" w:styleId="BodyTextIndent3Char">
    <w:name w:val="Body Text Indent 3 Char"/>
    <w:basedOn w:val="DefaultParagraphFont"/>
    <w:link w:val="BodyTextIndent3"/>
    <w:uiPriority w:val="99"/>
    <w:semiHidden/>
    <w:rsid w:val="001D4362"/>
    <w:rPr>
      <w:szCs w:val="16"/>
    </w:rPr>
  </w:style>
  <w:style w:type="character" w:styleId="CommentReference">
    <w:name w:val="annotation reference"/>
    <w:basedOn w:val="DefaultParagraphFont"/>
    <w:uiPriority w:val="99"/>
    <w:semiHidden/>
    <w:unhideWhenUsed/>
    <w:rsid w:val="001D4362"/>
    <w:rPr>
      <w:sz w:val="22"/>
      <w:szCs w:val="16"/>
    </w:rPr>
  </w:style>
  <w:style w:type="paragraph" w:styleId="CommentText">
    <w:name w:val="annotation text"/>
    <w:basedOn w:val="Normal"/>
    <w:link w:val="CommentTextChar"/>
    <w:uiPriority w:val="99"/>
    <w:unhideWhenUsed/>
    <w:rsid w:val="001D4362"/>
    <w:pPr>
      <w:spacing w:line="240" w:lineRule="auto"/>
    </w:pPr>
    <w:rPr>
      <w:szCs w:val="20"/>
    </w:rPr>
  </w:style>
  <w:style w:type="character" w:customStyle="1" w:styleId="CommentTextChar">
    <w:name w:val="Comment Text Char"/>
    <w:basedOn w:val="DefaultParagraphFont"/>
    <w:link w:val="CommentText"/>
    <w:uiPriority w:val="99"/>
    <w:rsid w:val="001D4362"/>
    <w:rPr>
      <w:szCs w:val="20"/>
    </w:rPr>
  </w:style>
  <w:style w:type="paragraph" w:styleId="CommentSubject">
    <w:name w:val="annotation subject"/>
    <w:basedOn w:val="CommentText"/>
    <w:next w:val="CommentText"/>
    <w:link w:val="CommentSubjectChar"/>
    <w:uiPriority w:val="99"/>
    <w:semiHidden/>
    <w:unhideWhenUsed/>
    <w:rsid w:val="001D4362"/>
    <w:rPr>
      <w:b/>
      <w:bCs/>
    </w:rPr>
  </w:style>
  <w:style w:type="character" w:customStyle="1" w:styleId="CommentSubjectChar">
    <w:name w:val="Comment Subject Char"/>
    <w:basedOn w:val="CommentTextChar"/>
    <w:link w:val="CommentSubject"/>
    <w:uiPriority w:val="99"/>
    <w:semiHidden/>
    <w:rsid w:val="001D4362"/>
    <w:rPr>
      <w:b/>
      <w:bCs/>
      <w:szCs w:val="20"/>
    </w:rPr>
  </w:style>
  <w:style w:type="paragraph" w:styleId="DocumentMap">
    <w:name w:val="Document Map"/>
    <w:basedOn w:val="Normal"/>
    <w:link w:val="DocumentMapChar"/>
    <w:uiPriority w:val="99"/>
    <w:semiHidden/>
    <w:unhideWhenUsed/>
    <w:rsid w:val="001D436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1D4362"/>
    <w:rPr>
      <w:rFonts w:ascii="Segoe UI" w:hAnsi="Segoe UI" w:cs="Segoe UI"/>
      <w:szCs w:val="16"/>
    </w:rPr>
  </w:style>
  <w:style w:type="paragraph" w:styleId="EndnoteText">
    <w:name w:val="endnote text"/>
    <w:basedOn w:val="Normal"/>
    <w:link w:val="EndnoteTextChar"/>
    <w:uiPriority w:val="99"/>
    <w:semiHidden/>
    <w:unhideWhenUsed/>
    <w:rsid w:val="001D4362"/>
    <w:pPr>
      <w:spacing w:after="0" w:line="240" w:lineRule="auto"/>
    </w:pPr>
    <w:rPr>
      <w:szCs w:val="20"/>
    </w:rPr>
  </w:style>
  <w:style w:type="character" w:customStyle="1" w:styleId="EndnoteTextChar">
    <w:name w:val="Endnote Text Char"/>
    <w:basedOn w:val="DefaultParagraphFont"/>
    <w:link w:val="EndnoteText"/>
    <w:uiPriority w:val="99"/>
    <w:semiHidden/>
    <w:rsid w:val="001D4362"/>
    <w:rPr>
      <w:szCs w:val="20"/>
    </w:rPr>
  </w:style>
  <w:style w:type="paragraph" w:styleId="EnvelopeReturn">
    <w:name w:val="envelope return"/>
    <w:basedOn w:val="Normal"/>
    <w:uiPriority w:val="99"/>
    <w:semiHidden/>
    <w:unhideWhenUsed/>
    <w:rsid w:val="001D4362"/>
    <w:pPr>
      <w:spacing w:after="0" w:line="240" w:lineRule="auto"/>
    </w:pPr>
    <w:rPr>
      <w:rFonts w:asciiTheme="majorHAnsi" w:eastAsiaTheme="majorEastAsia" w:hAnsiTheme="majorHAnsi" w:cstheme="majorBidi"/>
      <w:szCs w:val="20"/>
    </w:rPr>
  </w:style>
  <w:style w:type="paragraph" w:styleId="FootnoteText">
    <w:name w:val="footnote text"/>
    <w:aliases w:val="Footnote Text Char Char Char,Footnote Text Char Char Char Char,Footnote Text Char Char Char Char Char1,Footnote Text Char Char1 Char,Footnote Text Char1 Char"/>
    <w:basedOn w:val="Normal"/>
    <w:link w:val="FootnoteTextChar"/>
    <w:unhideWhenUsed/>
    <w:rsid w:val="00573C13"/>
    <w:pPr>
      <w:spacing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 Char Char1 Char,Footnote Text Char Char1 Char Char,Footnote Text Char1 Char Char"/>
    <w:basedOn w:val="DefaultParagraphFont"/>
    <w:link w:val="FootnoteText"/>
    <w:rsid w:val="00573C13"/>
    <w:rPr>
      <w:sz w:val="20"/>
      <w:szCs w:val="20"/>
      <w:lang w:val="en-AU"/>
    </w:rPr>
  </w:style>
  <w:style w:type="character" w:styleId="HTMLCode">
    <w:name w:val="HTML Code"/>
    <w:basedOn w:val="DefaultParagraphFont"/>
    <w:uiPriority w:val="99"/>
    <w:semiHidden/>
    <w:unhideWhenUsed/>
    <w:rsid w:val="001D4362"/>
    <w:rPr>
      <w:rFonts w:ascii="Consolas" w:hAnsi="Consolas"/>
      <w:sz w:val="22"/>
      <w:szCs w:val="20"/>
    </w:rPr>
  </w:style>
  <w:style w:type="character" w:styleId="HTMLKeyboard">
    <w:name w:val="HTML Keyboard"/>
    <w:basedOn w:val="DefaultParagraphFont"/>
    <w:uiPriority w:val="99"/>
    <w:semiHidden/>
    <w:unhideWhenUsed/>
    <w:rsid w:val="001D4362"/>
    <w:rPr>
      <w:rFonts w:ascii="Consolas" w:hAnsi="Consolas"/>
      <w:sz w:val="22"/>
      <w:szCs w:val="20"/>
    </w:rPr>
  </w:style>
  <w:style w:type="paragraph" w:styleId="HTMLPreformatted">
    <w:name w:val="HTML Preformatted"/>
    <w:basedOn w:val="Normal"/>
    <w:link w:val="HTMLPreformattedChar"/>
    <w:uiPriority w:val="99"/>
    <w:semiHidden/>
    <w:unhideWhenUsed/>
    <w:rsid w:val="001D436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D4362"/>
    <w:rPr>
      <w:rFonts w:ascii="Consolas" w:hAnsi="Consolas"/>
      <w:szCs w:val="20"/>
    </w:rPr>
  </w:style>
  <w:style w:type="character" w:styleId="HTMLTypewriter">
    <w:name w:val="HTML Typewriter"/>
    <w:basedOn w:val="DefaultParagraphFont"/>
    <w:uiPriority w:val="99"/>
    <w:semiHidden/>
    <w:unhideWhenUsed/>
    <w:rsid w:val="001D4362"/>
    <w:rPr>
      <w:rFonts w:ascii="Consolas" w:hAnsi="Consolas"/>
      <w:sz w:val="22"/>
      <w:szCs w:val="20"/>
    </w:rPr>
  </w:style>
  <w:style w:type="paragraph" w:styleId="MacroText">
    <w:name w:val="macro"/>
    <w:link w:val="MacroTextChar"/>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1D4362"/>
    <w:rPr>
      <w:rFonts w:ascii="Consolas" w:hAnsi="Consolas"/>
      <w:szCs w:val="20"/>
    </w:rPr>
  </w:style>
  <w:style w:type="paragraph" w:styleId="PlainText">
    <w:name w:val="Plain Text"/>
    <w:basedOn w:val="Normal"/>
    <w:link w:val="PlainTextChar"/>
    <w:uiPriority w:val="99"/>
    <w:semiHidden/>
    <w:unhideWhenUsed/>
    <w:rsid w:val="001D436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1D4362"/>
    <w:rPr>
      <w:rFonts w:ascii="Consolas" w:hAnsi="Consolas"/>
      <w:szCs w:val="21"/>
    </w:rPr>
  </w:style>
  <w:style w:type="paragraph" w:styleId="BlockText">
    <w:name w:val="Block Text"/>
    <w:basedOn w:val="Normal"/>
    <w:uiPriority w:val="99"/>
    <w:semiHidden/>
    <w:unhideWhenUsed/>
    <w:rsid w:val="00FD262C"/>
    <w:pPr>
      <w:pBdr>
        <w:top w:val="single" w:sz="2" w:space="10" w:color="073763" w:themeColor="accent1" w:themeShade="80" w:shadow="1"/>
        <w:left w:val="single" w:sz="2" w:space="10" w:color="073763" w:themeColor="accent1" w:themeShade="80" w:shadow="1"/>
        <w:bottom w:val="single" w:sz="2" w:space="10" w:color="073763" w:themeColor="accent1" w:themeShade="80" w:shadow="1"/>
        <w:right w:val="single" w:sz="2" w:space="10" w:color="073763" w:themeColor="accent1" w:themeShade="80" w:shadow="1"/>
      </w:pBdr>
      <w:ind w:left="1152" w:right="1152"/>
    </w:pPr>
    <w:rPr>
      <w:i/>
      <w:iCs/>
      <w:color w:val="073763" w:themeColor="accent1" w:themeShade="80"/>
    </w:rPr>
  </w:style>
  <w:style w:type="character" w:styleId="FollowedHyperlink">
    <w:name w:val="FollowedHyperlink"/>
    <w:basedOn w:val="DefaultParagraphFont"/>
    <w:uiPriority w:val="99"/>
    <w:semiHidden/>
    <w:unhideWhenUsed/>
    <w:rsid w:val="007833A7"/>
    <w:rPr>
      <w:color w:val="073763" w:themeColor="accent1" w:themeShade="80"/>
      <w:u w:val="single"/>
    </w:rPr>
  </w:style>
  <w:style w:type="character" w:styleId="Hyperlink">
    <w:name w:val="Hyperlink"/>
    <w:basedOn w:val="DefaultParagraphFont"/>
    <w:uiPriority w:val="99"/>
    <w:unhideWhenUsed/>
    <w:qFormat/>
    <w:rsid w:val="00753A0C"/>
    <w:rPr>
      <w:rFonts w:ascii="Calibri" w:hAnsi="Calibri"/>
      <w:b/>
      <w:color w:val="0070C0"/>
      <w:u w:val="none"/>
    </w:rPr>
  </w:style>
  <w:style w:type="character" w:styleId="PlaceholderText">
    <w:name w:val="Placeholder Text"/>
    <w:basedOn w:val="DefaultParagraphFont"/>
    <w:uiPriority w:val="99"/>
    <w:semiHidden/>
    <w:rsid w:val="007833A7"/>
    <w:rPr>
      <w:color w:val="595959" w:themeColor="text1" w:themeTint="A6"/>
    </w:rPr>
  </w:style>
  <w:style w:type="character" w:styleId="IntenseEmphasis">
    <w:name w:val="Intense Emphasis"/>
    <w:basedOn w:val="DefaultParagraphFont"/>
    <w:uiPriority w:val="21"/>
    <w:semiHidden/>
    <w:unhideWhenUsed/>
    <w:qFormat/>
    <w:rsid w:val="00FD262C"/>
    <w:rPr>
      <w:i/>
      <w:iCs/>
      <w:color w:val="0B5294" w:themeColor="accent1" w:themeShade="BF"/>
    </w:rPr>
  </w:style>
  <w:style w:type="paragraph" w:styleId="IntenseQuote">
    <w:name w:val="Intense Quote"/>
    <w:basedOn w:val="Normal"/>
    <w:next w:val="Normal"/>
    <w:link w:val="IntenseQuoteChar"/>
    <w:uiPriority w:val="30"/>
    <w:semiHidden/>
    <w:unhideWhenUsed/>
    <w:rsid w:val="00FD262C"/>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customStyle="1" w:styleId="IntenseQuoteChar">
    <w:name w:val="Intense Quote Char"/>
    <w:basedOn w:val="DefaultParagraphFont"/>
    <w:link w:val="IntenseQuote"/>
    <w:uiPriority w:val="30"/>
    <w:semiHidden/>
    <w:rsid w:val="00FD262C"/>
    <w:rPr>
      <w:i/>
      <w:iCs/>
      <w:color w:val="0B5294" w:themeColor="accent1" w:themeShade="BF"/>
    </w:rPr>
  </w:style>
  <w:style w:type="character" w:styleId="IntenseReference">
    <w:name w:val="Intense Reference"/>
    <w:basedOn w:val="DefaultParagraphFont"/>
    <w:uiPriority w:val="32"/>
    <w:semiHidden/>
    <w:unhideWhenUsed/>
    <w:qFormat/>
    <w:rsid w:val="00FD262C"/>
    <w:rPr>
      <w:b/>
      <w:bCs/>
      <w:caps w:val="0"/>
      <w:smallCaps/>
      <w:color w:val="0B5294" w:themeColor="accent1" w:themeShade="BF"/>
      <w:spacing w:val="5"/>
    </w:rPr>
  </w:style>
  <w:style w:type="paragraph" w:styleId="ListParagraph">
    <w:name w:val="List Paragraph"/>
    <w:aliases w:val="NFP GP Bulleted List,List Paragraph1,Recommendation,List Paragraph11,L,bullet point list,List Paragraph - bullets,Bullet point,Dot point 1.5 line spacing,DDM Gen Text,List Paragraph Number,Content descriptions,Bullet Point,Bullet points,列"/>
    <w:basedOn w:val="Normal"/>
    <w:link w:val="ListParagraphChar"/>
    <w:uiPriority w:val="34"/>
    <w:unhideWhenUsed/>
    <w:qFormat/>
    <w:rsid w:val="00F15A3E"/>
    <w:pPr>
      <w:numPr>
        <w:numId w:val="1"/>
      </w:numPr>
      <w:contextualSpacing/>
    </w:pPr>
    <w:rPr>
      <w:color w:val="FF0000"/>
    </w:rPr>
  </w:style>
  <w:style w:type="table" w:styleId="TableGrid">
    <w:name w:val="Table Grid"/>
    <w:basedOn w:val="TableNormal"/>
    <w:rsid w:val="00803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
    <w:name w:val="Grid Table 5 Dark Accent 6"/>
    <w:basedOn w:val="TableNormal"/>
    <w:uiPriority w:val="50"/>
    <w:rsid w:val="00803B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2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C24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C24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C24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C249" w:themeFill="accent6"/>
      </w:tcPr>
    </w:tblStylePr>
    <w:tblStylePr w:type="band1Vert">
      <w:tblPr/>
      <w:tcPr>
        <w:shd w:val="clear" w:color="auto" w:fill="DAE6B6" w:themeFill="accent6" w:themeFillTint="66"/>
      </w:tcPr>
    </w:tblStylePr>
    <w:tblStylePr w:type="band1Horz">
      <w:tblPr/>
      <w:tcPr>
        <w:shd w:val="clear" w:color="auto" w:fill="DAE6B6" w:themeFill="accent6" w:themeFillTint="66"/>
      </w:tcPr>
    </w:tblStylePr>
  </w:style>
  <w:style w:type="character" w:customStyle="1" w:styleId="PBS16TableNormalChar">
    <w:name w:val="PBS16 Table Normal Char"/>
    <w:basedOn w:val="DefaultParagraphFont"/>
    <w:link w:val="PBS16TableNormal"/>
    <w:locked/>
    <w:rsid w:val="009E71CD"/>
    <w:rPr>
      <w:rFonts w:ascii="Arial" w:hAnsi="Arial" w:cs="Arial"/>
      <w:sz w:val="16"/>
      <w:szCs w:val="16"/>
    </w:rPr>
  </w:style>
  <w:style w:type="paragraph" w:customStyle="1" w:styleId="PBS16TableNormal">
    <w:name w:val="PBS16 Table Normal"/>
    <w:basedOn w:val="Normal"/>
    <w:link w:val="PBS16TableNormalChar"/>
    <w:rsid w:val="009E71CD"/>
    <w:pPr>
      <w:spacing w:before="60" w:after="60" w:line="240" w:lineRule="auto"/>
    </w:pPr>
    <w:rPr>
      <w:rFonts w:ascii="Arial" w:hAnsi="Arial" w:cs="Arial"/>
      <w:sz w:val="16"/>
      <w:szCs w:val="16"/>
    </w:rPr>
  </w:style>
  <w:style w:type="paragraph" w:styleId="TOC1">
    <w:name w:val="toc 1"/>
    <w:basedOn w:val="Normal"/>
    <w:next w:val="Normal"/>
    <w:autoRedefine/>
    <w:uiPriority w:val="39"/>
    <w:unhideWhenUsed/>
    <w:rsid w:val="005267A7"/>
    <w:pPr>
      <w:spacing w:after="100"/>
    </w:pPr>
  </w:style>
  <w:style w:type="paragraph" w:styleId="TOC3">
    <w:name w:val="toc 3"/>
    <w:basedOn w:val="Normal"/>
    <w:next w:val="Normal"/>
    <w:autoRedefine/>
    <w:uiPriority w:val="39"/>
    <w:unhideWhenUsed/>
    <w:rsid w:val="005267A7"/>
    <w:pPr>
      <w:spacing w:after="100"/>
      <w:ind w:left="440"/>
    </w:pPr>
  </w:style>
  <w:style w:type="paragraph" w:styleId="TOC2">
    <w:name w:val="toc 2"/>
    <w:basedOn w:val="Normal"/>
    <w:next w:val="Normal"/>
    <w:autoRedefine/>
    <w:uiPriority w:val="39"/>
    <w:unhideWhenUsed/>
    <w:rsid w:val="005267A7"/>
    <w:pPr>
      <w:spacing w:after="100"/>
      <w:ind w:left="220"/>
    </w:pPr>
  </w:style>
  <w:style w:type="character" w:customStyle="1" w:styleId="ListParagraphChar">
    <w:name w:val="List Paragraph Char"/>
    <w:aliases w:val="NFP GP Bulleted List Char,List Paragraph1 Char,Recommendation Char,List Paragraph11 Char,L Char,bullet point list Char,List Paragraph - bullets Char,Bullet point Char,Dot point 1.5 line spacing Char,DDM Gen Text Char,列 Char"/>
    <w:basedOn w:val="DefaultParagraphFont"/>
    <w:link w:val="ListParagraph"/>
    <w:uiPriority w:val="34"/>
    <w:qFormat/>
    <w:rsid w:val="001B091B"/>
    <w:rPr>
      <w:color w:val="FF0000"/>
      <w:lang w:val="en-AU"/>
    </w:rPr>
  </w:style>
  <w:style w:type="paragraph" w:styleId="NormalWeb">
    <w:name w:val="Normal (Web)"/>
    <w:basedOn w:val="Normal"/>
    <w:uiPriority w:val="99"/>
    <w:unhideWhenUsed/>
    <w:rsid w:val="004C3380"/>
    <w:pPr>
      <w:spacing w:after="225" w:line="240" w:lineRule="auto"/>
      <w:jc w:val="both"/>
    </w:pPr>
    <w:rPr>
      <w:rFonts w:ascii="Times New Roman" w:eastAsia="Times New Roman" w:hAnsi="Times New Roman" w:cs="Times New Roman"/>
      <w:sz w:val="24"/>
      <w:szCs w:val="24"/>
      <w:lang w:eastAsia="en-AU"/>
    </w:rPr>
  </w:style>
  <w:style w:type="paragraph" w:customStyle="1" w:styleId="IntroParagraph">
    <w:name w:val="Intro Paragraph"/>
    <w:basedOn w:val="Normal"/>
    <w:qFormat/>
    <w:rsid w:val="00237BE9"/>
    <w:rPr>
      <w:b/>
      <w:sz w:val="24"/>
      <w:szCs w:val="24"/>
    </w:rPr>
  </w:style>
  <w:style w:type="paragraph" w:styleId="ListBullet">
    <w:name w:val="List Bullet"/>
    <w:basedOn w:val="Normal"/>
    <w:uiPriority w:val="99"/>
    <w:unhideWhenUsed/>
    <w:qFormat/>
    <w:rsid w:val="009E64A7"/>
    <w:pPr>
      <w:numPr>
        <w:numId w:val="2"/>
      </w:numPr>
      <w:spacing w:after="120" w:line="276" w:lineRule="auto"/>
    </w:pPr>
    <w:rPr>
      <w:lang w:eastAsia="en-US"/>
    </w:rPr>
  </w:style>
  <w:style w:type="paragraph" w:styleId="ListBullet2">
    <w:name w:val="List Bullet 2"/>
    <w:basedOn w:val="Normal"/>
    <w:uiPriority w:val="99"/>
    <w:unhideWhenUsed/>
    <w:rsid w:val="00AF1236"/>
    <w:pPr>
      <w:numPr>
        <w:ilvl w:val="1"/>
        <w:numId w:val="2"/>
      </w:numPr>
      <w:spacing w:after="120" w:line="276" w:lineRule="auto"/>
      <w:contextualSpacing/>
    </w:pPr>
    <w:rPr>
      <w:lang w:eastAsia="en-US"/>
    </w:rPr>
  </w:style>
  <w:style w:type="paragraph" w:styleId="ListBullet3">
    <w:name w:val="List Bullet 3"/>
    <w:basedOn w:val="Normal"/>
    <w:uiPriority w:val="99"/>
    <w:unhideWhenUsed/>
    <w:rsid w:val="00AF1236"/>
    <w:pPr>
      <w:numPr>
        <w:ilvl w:val="2"/>
        <w:numId w:val="2"/>
      </w:numPr>
      <w:spacing w:after="120" w:line="276" w:lineRule="auto"/>
      <w:contextualSpacing/>
    </w:pPr>
    <w:rPr>
      <w:lang w:eastAsia="en-US"/>
    </w:rPr>
  </w:style>
  <w:style w:type="paragraph" w:styleId="ListBullet4">
    <w:name w:val="List Bullet 4"/>
    <w:basedOn w:val="Normal"/>
    <w:uiPriority w:val="99"/>
    <w:unhideWhenUsed/>
    <w:rsid w:val="00AF1236"/>
    <w:pPr>
      <w:numPr>
        <w:ilvl w:val="3"/>
        <w:numId w:val="2"/>
      </w:numPr>
      <w:spacing w:after="120" w:line="276" w:lineRule="auto"/>
      <w:contextualSpacing/>
    </w:pPr>
    <w:rPr>
      <w:lang w:eastAsia="en-US"/>
    </w:rPr>
  </w:style>
  <w:style w:type="table" w:customStyle="1" w:styleId="DEEWRTable">
    <w:name w:val="DEEWR Table"/>
    <w:basedOn w:val="TableNormal"/>
    <w:uiPriority w:val="99"/>
    <w:rsid w:val="00AF1236"/>
    <w:pPr>
      <w:spacing w:after="0" w:line="240" w:lineRule="auto"/>
    </w:pPr>
    <w:rPr>
      <w:color w:val="000000" w:themeColor="text1"/>
      <w:sz w:val="20"/>
      <w:lang w:val="en-AU" w:eastAsia="en-US"/>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DBEFF9" w:themeColor="background2"/>
        <w:sz w:val="20"/>
      </w:rPr>
      <w:tblPr/>
      <w:tcPr>
        <w:shd w:val="clear" w:color="auto" w:fill="522761"/>
      </w:tcPr>
    </w:tblStylePr>
    <w:tblStylePr w:type="firstCol">
      <w:pPr>
        <w:jc w:val="left"/>
      </w:pPr>
      <w:rPr>
        <w:b/>
      </w:rPr>
    </w:tblStylePr>
  </w:style>
  <w:style w:type="paragraph" w:customStyle="1" w:styleId="Default">
    <w:name w:val="Default"/>
    <w:rsid w:val="00AF1236"/>
    <w:pPr>
      <w:autoSpaceDE w:val="0"/>
      <w:autoSpaceDN w:val="0"/>
      <w:adjustRightInd w:val="0"/>
      <w:spacing w:after="0" w:line="240" w:lineRule="auto"/>
    </w:pPr>
    <w:rPr>
      <w:rFonts w:ascii="Calibri" w:eastAsia="Times New Roman" w:hAnsi="Calibri" w:cs="Calibri"/>
      <w:color w:val="000000"/>
      <w:sz w:val="24"/>
      <w:szCs w:val="24"/>
      <w:lang w:val="en-AU" w:eastAsia="en-AU"/>
    </w:rPr>
  </w:style>
  <w:style w:type="character" w:styleId="FootnoteReference">
    <w:name w:val="footnote reference"/>
    <w:aliases w:val="(NECG) Footnote Reference,AFPC Footnote Reference"/>
    <w:basedOn w:val="DefaultParagraphFont"/>
    <w:unhideWhenUsed/>
    <w:rsid w:val="00AF1236"/>
    <w:rPr>
      <w:vertAlign w:val="superscript"/>
    </w:rPr>
  </w:style>
  <w:style w:type="character" w:customStyle="1" w:styleId="ARhyperlink">
    <w:name w:val="AR hyperlink"/>
    <w:basedOn w:val="DefaultParagraphFont"/>
    <w:uiPriority w:val="1"/>
    <w:qFormat/>
    <w:rsid w:val="000532F1"/>
    <w:rPr>
      <w:b/>
      <w:bCs/>
      <w:color w:val="0070C0"/>
    </w:rPr>
  </w:style>
  <w:style w:type="paragraph" w:customStyle="1" w:styleId="PerformanceHeading">
    <w:name w:val="Performance Heading"/>
    <w:basedOn w:val="Heading1"/>
    <w:qFormat/>
    <w:rsid w:val="001629B4"/>
    <w:pPr>
      <w:spacing w:before="240"/>
    </w:pPr>
    <w:rPr>
      <w:sz w:val="36"/>
    </w:rPr>
  </w:style>
  <w:style w:type="paragraph" w:customStyle="1" w:styleId="CPTabletext">
    <w:name w:val="CP Table text"/>
    <w:basedOn w:val="PBS16TableNormal"/>
    <w:link w:val="CPTabletextChar"/>
    <w:qFormat/>
    <w:rsid w:val="00D80A00"/>
    <w:rPr>
      <w:rFonts w:ascii="Calibri" w:hAnsi="Calibri"/>
      <w:color w:val="000000" w:themeColor="text1"/>
      <w:sz w:val="18"/>
      <w:szCs w:val="18"/>
      <w:lang w:eastAsia="en-US"/>
    </w:rPr>
  </w:style>
  <w:style w:type="character" w:customStyle="1" w:styleId="CPTabletextChar">
    <w:name w:val="CP Table text Char"/>
    <w:basedOn w:val="PBS16TableNormalChar"/>
    <w:link w:val="CPTabletext"/>
    <w:rsid w:val="00D80A00"/>
    <w:rPr>
      <w:rFonts w:ascii="Calibri" w:hAnsi="Calibri" w:cs="Arial"/>
      <w:color w:val="000000" w:themeColor="text1"/>
      <w:sz w:val="18"/>
      <w:szCs w:val="18"/>
      <w:lang w:val="en-AU" w:eastAsia="en-US"/>
    </w:rPr>
  </w:style>
  <w:style w:type="character" w:styleId="Emphasis">
    <w:name w:val="Emphasis"/>
    <w:basedOn w:val="DefaultParagraphFont"/>
    <w:uiPriority w:val="20"/>
    <w:qFormat/>
    <w:rsid w:val="00F1185F"/>
    <w:rPr>
      <w:i/>
      <w:iCs/>
    </w:rPr>
  </w:style>
  <w:style w:type="paragraph" w:customStyle="1" w:styleId="ms-rteelement-p1">
    <w:name w:val="ms-rteelement-p1"/>
    <w:basedOn w:val="Normal"/>
    <w:rsid w:val="00E3465E"/>
    <w:pPr>
      <w:spacing w:after="0" w:line="480" w:lineRule="atLeast"/>
    </w:pPr>
    <w:rPr>
      <w:rFonts w:ascii="Verdana" w:eastAsia="Times New Roman" w:hAnsi="Verdana" w:cs="Times New Roman"/>
      <w:color w:val="313131"/>
      <w:sz w:val="26"/>
      <w:szCs w:val="26"/>
      <w:lang w:eastAsia="en-AU"/>
    </w:rPr>
  </w:style>
  <w:style w:type="paragraph" w:customStyle="1" w:styleId="Sub-title">
    <w:name w:val="Sub-title"/>
    <w:basedOn w:val="Title"/>
    <w:qFormat/>
    <w:rsid w:val="006858A6"/>
    <w:pPr>
      <w:spacing w:before="360"/>
    </w:pPr>
    <w:rPr>
      <w:color w:val="0070C0"/>
      <w:sz w:val="48"/>
    </w:rPr>
  </w:style>
  <w:style w:type="paragraph" w:customStyle="1" w:styleId="Followedhyperlink0">
    <w:name w:val="Followed hyperlink"/>
    <w:basedOn w:val="Normal"/>
    <w:qFormat/>
    <w:rsid w:val="000532F1"/>
  </w:style>
  <w:style w:type="paragraph" w:styleId="BodyText">
    <w:name w:val="Body Text"/>
    <w:basedOn w:val="Normal"/>
    <w:link w:val="BodyTextChar"/>
    <w:uiPriority w:val="99"/>
    <w:semiHidden/>
    <w:unhideWhenUsed/>
    <w:rsid w:val="003B0C5E"/>
    <w:pPr>
      <w:spacing w:after="120"/>
    </w:pPr>
  </w:style>
  <w:style w:type="character" w:customStyle="1" w:styleId="BodyTextChar">
    <w:name w:val="Body Text Char"/>
    <w:basedOn w:val="DefaultParagraphFont"/>
    <w:link w:val="BodyText"/>
    <w:uiPriority w:val="99"/>
    <w:semiHidden/>
    <w:rsid w:val="003B0C5E"/>
    <w:rPr>
      <w:lang w:val="en-AU"/>
    </w:rPr>
  </w:style>
  <w:style w:type="paragraph" w:customStyle="1" w:styleId="NumberedParagraph">
    <w:name w:val="Numbered Paragraph"/>
    <w:basedOn w:val="ListParagraph"/>
    <w:qFormat/>
    <w:rsid w:val="00775FEF"/>
    <w:pPr>
      <w:numPr>
        <w:numId w:val="5"/>
      </w:numPr>
      <w:spacing w:after="120" w:line="240" w:lineRule="auto"/>
      <w:contextualSpacing w:val="0"/>
    </w:pPr>
    <w:rPr>
      <w:rFonts w:eastAsia="Calibri" w:cs="Times New Roman"/>
      <w:color w:val="auto"/>
      <w:szCs w:val="24"/>
      <w:lang w:val="en-US" w:eastAsia="en-US"/>
    </w:rPr>
  </w:style>
  <w:style w:type="paragraph" w:customStyle="1" w:styleId="IGBBodyText">
    <w:name w:val="IGB_Body Text"/>
    <w:basedOn w:val="Normal"/>
    <w:qFormat/>
    <w:rsid w:val="006120FF"/>
    <w:pPr>
      <w:suppressAutoHyphens/>
      <w:autoSpaceDE w:val="0"/>
      <w:autoSpaceDN w:val="0"/>
      <w:adjustRightInd w:val="0"/>
      <w:spacing w:after="120" w:line="240" w:lineRule="atLeast"/>
      <w:textAlignment w:val="center"/>
    </w:pPr>
    <w:rPr>
      <w:rFonts w:ascii="Calibri" w:eastAsia="Times New Roman" w:hAnsi="Calibri" w:cs="Garamond"/>
      <w:color w:val="000000"/>
      <w:sz w:val="21"/>
      <w:lang w:val="en-GB" w:eastAsia="en-AU"/>
    </w:rPr>
  </w:style>
  <w:style w:type="paragraph" w:styleId="Revision">
    <w:name w:val="Revision"/>
    <w:hidden/>
    <w:uiPriority w:val="99"/>
    <w:semiHidden/>
    <w:rsid w:val="00426449"/>
    <w:pPr>
      <w:spacing w:after="0" w:line="240" w:lineRule="auto"/>
    </w:pPr>
    <w:rPr>
      <w:lang w:val="en-AU"/>
    </w:rPr>
  </w:style>
  <w:style w:type="paragraph" w:customStyle="1" w:styleId="PBS16NormalLeft">
    <w:name w:val="PBS16 Normal Left"/>
    <w:basedOn w:val="Normal"/>
    <w:rsid w:val="00D159F3"/>
    <w:pPr>
      <w:spacing w:after="240" w:line="260" w:lineRule="exact"/>
    </w:pPr>
    <w:rPr>
      <w:rFonts w:ascii="Book Antiqua" w:eastAsia="Times New Roman" w:hAnsi="Book Antiqua" w:cs="Times New Roman"/>
      <w:sz w:val="20"/>
      <w:szCs w:val="20"/>
      <w:lang w:eastAsia="en-AU"/>
    </w:rPr>
  </w:style>
  <w:style w:type="character" w:styleId="EndnoteReference">
    <w:name w:val="endnote reference"/>
    <w:basedOn w:val="DefaultParagraphFont"/>
    <w:uiPriority w:val="99"/>
    <w:semiHidden/>
    <w:unhideWhenUsed/>
    <w:rsid w:val="00514D7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qFormat="1"/>
    <w:lsdException w:name="Title" w:semiHidden="0" w:uiPriority="10" w:unhideWhenUsed="0" w:qFormat="1"/>
    <w:lsdException w:name="Default Paragraph Font" w:uiPriority="1"/>
    <w:lsdException w:name="Subtitle" w:uiPriority="11" w:qFormat="1"/>
    <w:lsdException w:name="Hyperlink"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FD262C"/>
    <w:rPr>
      <w:lang w:val="en-AU"/>
    </w:rPr>
  </w:style>
  <w:style w:type="paragraph" w:styleId="Heading1">
    <w:name w:val="heading 1"/>
    <w:basedOn w:val="Normal"/>
    <w:next w:val="Normal"/>
    <w:link w:val="Heading1Char"/>
    <w:uiPriority w:val="9"/>
    <w:qFormat/>
    <w:rsid w:val="00C80894"/>
    <w:pPr>
      <w:pageBreakBefore/>
      <w:pBdr>
        <w:bottom w:val="single" w:sz="4" w:space="1" w:color="auto"/>
      </w:pBdr>
      <w:spacing w:before="960" w:after="240" w:line="240" w:lineRule="auto"/>
      <w:contextualSpacing/>
      <w:outlineLvl w:val="0"/>
    </w:pPr>
    <w:rPr>
      <w:rFonts w:ascii="Calibri" w:eastAsiaTheme="majorEastAsia" w:hAnsi="Calibri" w:cstheme="majorBidi"/>
      <w:b/>
      <w:bCs/>
      <w:color w:val="7030A0"/>
      <w:sz w:val="40"/>
      <w:szCs w:val="28"/>
      <w:lang w:eastAsia="en-US"/>
    </w:rPr>
  </w:style>
  <w:style w:type="paragraph" w:styleId="Heading2">
    <w:name w:val="heading 2"/>
    <w:basedOn w:val="Normal"/>
    <w:next w:val="Normal"/>
    <w:link w:val="Heading2Char"/>
    <w:uiPriority w:val="9"/>
    <w:unhideWhenUsed/>
    <w:qFormat/>
    <w:rsid w:val="0047427C"/>
    <w:pPr>
      <w:keepNext/>
      <w:spacing w:before="360" w:after="240" w:line="276" w:lineRule="auto"/>
      <w:outlineLvl w:val="1"/>
    </w:pPr>
    <w:rPr>
      <w:rFonts w:ascii="Calibri" w:eastAsiaTheme="majorEastAsia" w:hAnsi="Calibri" w:cstheme="majorBidi"/>
      <w:b/>
      <w:bCs/>
      <w:color w:val="0F6FC6" w:themeColor="accent1"/>
      <w:sz w:val="28"/>
      <w:szCs w:val="26"/>
      <w:lang w:eastAsia="en-US"/>
    </w:rPr>
  </w:style>
  <w:style w:type="paragraph" w:styleId="Heading3">
    <w:name w:val="heading 3"/>
    <w:basedOn w:val="Normal"/>
    <w:next w:val="Normal"/>
    <w:link w:val="Heading3Char"/>
    <w:uiPriority w:val="9"/>
    <w:unhideWhenUsed/>
    <w:qFormat/>
    <w:rsid w:val="00EE1BE3"/>
    <w:pPr>
      <w:keepNext/>
      <w:tabs>
        <w:tab w:val="left" w:pos="4064"/>
      </w:tabs>
      <w:spacing w:before="200" w:after="200" w:line="276" w:lineRule="auto"/>
      <w:outlineLvl w:val="2"/>
    </w:pPr>
    <w:rPr>
      <w:rFonts w:ascii="Calibri" w:eastAsiaTheme="majorEastAsia" w:hAnsi="Calibri" w:cstheme="majorBidi"/>
      <w:b/>
      <w:bCs/>
      <w:color w:val="593674"/>
      <w:sz w:val="24"/>
      <w:lang w:eastAsia="en-US"/>
    </w:rPr>
  </w:style>
  <w:style w:type="paragraph" w:styleId="Heading4">
    <w:name w:val="heading 4"/>
    <w:basedOn w:val="Normal"/>
    <w:next w:val="Normal"/>
    <w:link w:val="Heading4Char"/>
    <w:uiPriority w:val="9"/>
    <w:unhideWhenUsed/>
    <w:qFormat/>
    <w:rsid w:val="00FD262C"/>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D262C"/>
    <w:pPr>
      <w:keepNext/>
      <w:keepLines/>
      <w:spacing w:before="20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FD262C"/>
    <w:pPr>
      <w:keepNext/>
      <w:keepLines/>
      <w:spacing w:before="200" w:after="0"/>
      <w:outlineLvl w:val="5"/>
    </w:pPr>
    <w:rPr>
      <w:rFonts w:asciiTheme="majorHAnsi" w:eastAsiaTheme="majorEastAsia" w:hAnsiTheme="majorHAnsi" w:cstheme="majorBidi"/>
      <w:i/>
      <w:iCs/>
      <w:color w:val="404040" w:themeColor="text1" w:themeTint="BF"/>
    </w:rPr>
  </w:style>
  <w:style w:type="paragraph" w:styleId="Heading7">
    <w:name w:val="heading 7"/>
    <w:basedOn w:val="Normal"/>
    <w:next w:val="Normal"/>
    <w:link w:val="Heading7Char"/>
    <w:uiPriority w:val="9"/>
    <w:semiHidden/>
    <w:unhideWhenUsed/>
    <w:qFormat/>
    <w:rsid w:val="00FD26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262C"/>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FD262C"/>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281224"/>
    <w:pPr>
      <w:spacing w:before="1080" w:after="0" w:line="240" w:lineRule="auto"/>
    </w:pPr>
    <w:rPr>
      <w:rFonts w:eastAsiaTheme="majorEastAsia" w:cstheme="majorBidi"/>
      <w:b/>
      <w:color w:val="7030A0"/>
      <w:sz w:val="56"/>
      <w:szCs w:val="56"/>
    </w:rPr>
  </w:style>
  <w:style w:type="character" w:customStyle="1" w:styleId="TitleChar">
    <w:name w:val="Title Char"/>
    <w:basedOn w:val="DefaultParagraphFont"/>
    <w:link w:val="Title"/>
    <w:uiPriority w:val="1"/>
    <w:rsid w:val="00281224"/>
    <w:rPr>
      <w:rFonts w:eastAsiaTheme="majorEastAsia" w:cstheme="majorBidi"/>
      <w:b/>
      <w:color w:val="7030A0"/>
      <w:sz w:val="56"/>
      <w:szCs w:val="56"/>
      <w:lang w:val="en-AU"/>
    </w:rPr>
  </w:style>
  <w:style w:type="paragraph" w:styleId="Header">
    <w:name w:val="header"/>
    <w:basedOn w:val="Normal"/>
    <w:link w:val="HeaderChar"/>
    <w:uiPriority w:val="99"/>
    <w:unhideWhenUsed/>
    <w:rsid w:val="00855982"/>
    <w:pPr>
      <w:spacing w:after="0" w:line="240" w:lineRule="auto"/>
    </w:pPr>
  </w:style>
  <w:style w:type="character" w:customStyle="1" w:styleId="HeaderChar">
    <w:name w:val="Header Char"/>
    <w:basedOn w:val="DefaultParagraphFont"/>
    <w:link w:val="Header"/>
    <w:uiPriority w:val="99"/>
    <w:rsid w:val="00855982"/>
  </w:style>
  <w:style w:type="character" w:customStyle="1" w:styleId="Heading1Char">
    <w:name w:val="Heading 1 Char"/>
    <w:basedOn w:val="DefaultParagraphFont"/>
    <w:link w:val="Heading1"/>
    <w:uiPriority w:val="9"/>
    <w:rsid w:val="00C80894"/>
    <w:rPr>
      <w:rFonts w:ascii="Calibri" w:eastAsiaTheme="majorEastAsia" w:hAnsi="Calibri" w:cstheme="majorBidi"/>
      <w:b/>
      <w:bCs/>
      <w:color w:val="7030A0"/>
      <w:sz w:val="40"/>
      <w:szCs w:val="28"/>
      <w:lang w:val="en-AU" w:eastAsia="en-US"/>
    </w:rPr>
  </w:style>
  <w:style w:type="character" w:customStyle="1" w:styleId="Heading2Char">
    <w:name w:val="Heading 2 Char"/>
    <w:basedOn w:val="DefaultParagraphFont"/>
    <w:link w:val="Heading2"/>
    <w:uiPriority w:val="9"/>
    <w:rsid w:val="0047427C"/>
    <w:rPr>
      <w:rFonts w:ascii="Calibri" w:eastAsiaTheme="majorEastAsia" w:hAnsi="Calibri" w:cstheme="majorBidi"/>
      <w:b/>
      <w:bCs/>
      <w:color w:val="0F6FC6" w:themeColor="accent1"/>
      <w:sz w:val="28"/>
      <w:szCs w:val="26"/>
      <w:lang w:val="en-AU" w:eastAsia="en-US"/>
    </w:rPr>
  </w:style>
  <w:style w:type="character" w:customStyle="1" w:styleId="Heading3Char">
    <w:name w:val="Heading 3 Char"/>
    <w:basedOn w:val="DefaultParagraphFont"/>
    <w:link w:val="Heading3"/>
    <w:uiPriority w:val="9"/>
    <w:rsid w:val="00EE1BE3"/>
    <w:rPr>
      <w:rFonts w:ascii="Calibri" w:eastAsiaTheme="majorEastAsia" w:hAnsi="Calibri" w:cstheme="majorBidi"/>
      <w:b/>
      <w:bCs/>
      <w:color w:val="593674"/>
      <w:sz w:val="24"/>
      <w:lang w:val="en-AU" w:eastAsia="en-US"/>
    </w:rPr>
  </w:style>
  <w:style w:type="character" w:customStyle="1" w:styleId="Heading4Char">
    <w:name w:val="Heading 4 Char"/>
    <w:basedOn w:val="DefaultParagraphFont"/>
    <w:link w:val="Heading4"/>
    <w:uiPriority w:val="9"/>
    <w:rsid w:val="00FD26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D262C"/>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FD262C"/>
    <w:rPr>
      <w:rFonts w:asciiTheme="majorHAnsi" w:eastAsiaTheme="majorEastAsia" w:hAnsiTheme="majorHAnsi" w:cstheme="majorBidi"/>
      <w:i/>
      <w:iCs/>
      <w:color w:val="404040" w:themeColor="text1" w:themeTint="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436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1D4362"/>
    <w:rPr>
      <w:rFonts w:asciiTheme="majorHAnsi" w:eastAsiaTheme="majorEastAsia" w:hAnsiTheme="majorHAnsi" w:cstheme="majorBidi"/>
      <w:i/>
      <w:iCs/>
      <w:color w:val="404040" w:themeColor="text1" w:themeTint="BF"/>
      <w:szCs w:val="20"/>
    </w:rPr>
  </w:style>
  <w:style w:type="paragraph" w:styleId="Footer">
    <w:name w:val="footer"/>
    <w:basedOn w:val="Normal"/>
    <w:link w:val="FooterChar"/>
    <w:uiPriority w:val="99"/>
    <w:unhideWhenUsed/>
    <w:rsid w:val="00855982"/>
    <w:pPr>
      <w:spacing w:after="0" w:line="240" w:lineRule="auto"/>
    </w:pPr>
  </w:style>
  <w:style w:type="character" w:customStyle="1" w:styleId="FooterChar">
    <w:name w:val="Footer Char"/>
    <w:basedOn w:val="DefaultParagraphFont"/>
    <w:link w:val="Footer"/>
    <w:uiPriority w:val="99"/>
    <w:rsid w:val="00855982"/>
  </w:style>
  <w:style w:type="paragraph" w:styleId="Caption">
    <w:name w:val="caption"/>
    <w:basedOn w:val="Normal"/>
    <w:next w:val="Normal"/>
    <w:uiPriority w:val="35"/>
    <w:unhideWhenUsed/>
    <w:qFormat/>
    <w:rsid w:val="00696046"/>
    <w:pPr>
      <w:keepNext/>
      <w:spacing w:after="200" w:line="240" w:lineRule="auto"/>
    </w:pPr>
    <w:rPr>
      <w:b/>
      <w:iCs/>
      <w:color w:val="7030A0"/>
      <w:szCs w:val="18"/>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1D436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D4362"/>
    <w:rPr>
      <w:rFonts w:ascii="Segoe UI" w:hAnsi="Segoe UI" w:cs="Segoe UI"/>
      <w:szCs w:val="18"/>
    </w:rPr>
  </w:style>
  <w:style w:type="paragraph" w:styleId="BodyText3">
    <w:name w:val="Body Text 3"/>
    <w:basedOn w:val="Normal"/>
    <w:link w:val="BodyText3Char"/>
    <w:uiPriority w:val="99"/>
    <w:semiHidden/>
    <w:unhideWhenUsed/>
    <w:rsid w:val="001D4362"/>
    <w:pPr>
      <w:spacing w:after="120"/>
    </w:pPr>
    <w:rPr>
      <w:szCs w:val="16"/>
    </w:rPr>
  </w:style>
  <w:style w:type="character" w:customStyle="1" w:styleId="BodyText3Char">
    <w:name w:val="Body Text 3 Char"/>
    <w:basedOn w:val="DefaultParagraphFont"/>
    <w:link w:val="BodyText3"/>
    <w:uiPriority w:val="99"/>
    <w:semiHidden/>
    <w:rsid w:val="001D4362"/>
    <w:rPr>
      <w:szCs w:val="16"/>
    </w:rPr>
  </w:style>
  <w:style w:type="paragraph" w:styleId="BodyTextIndent3">
    <w:name w:val="Body Text Indent 3"/>
    <w:basedOn w:val="Normal"/>
    <w:link w:val="BodyTextIndent3Char"/>
    <w:uiPriority w:val="99"/>
    <w:semiHidden/>
    <w:unhideWhenUsed/>
    <w:rsid w:val="001D4362"/>
    <w:pPr>
      <w:spacing w:after="120"/>
      <w:ind w:left="360"/>
    </w:pPr>
    <w:rPr>
      <w:szCs w:val="16"/>
    </w:rPr>
  </w:style>
  <w:style w:type="character" w:customStyle="1" w:styleId="BodyTextIndent3Char">
    <w:name w:val="Body Text Indent 3 Char"/>
    <w:basedOn w:val="DefaultParagraphFont"/>
    <w:link w:val="BodyTextIndent3"/>
    <w:uiPriority w:val="99"/>
    <w:semiHidden/>
    <w:rsid w:val="001D4362"/>
    <w:rPr>
      <w:szCs w:val="16"/>
    </w:rPr>
  </w:style>
  <w:style w:type="character" w:styleId="CommentReference">
    <w:name w:val="annotation reference"/>
    <w:basedOn w:val="DefaultParagraphFont"/>
    <w:uiPriority w:val="99"/>
    <w:semiHidden/>
    <w:unhideWhenUsed/>
    <w:rsid w:val="001D4362"/>
    <w:rPr>
      <w:sz w:val="22"/>
      <w:szCs w:val="16"/>
    </w:rPr>
  </w:style>
  <w:style w:type="paragraph" w:styleId="CommentText">
    <w:name w:val="annotation text"/>
    <w:basedOn w:val="Normal"/>
    <w:link w:val="CommentTextChar"/>
    <w:uiPriority w:val="99"/>
    <w:unhideWhenUsed/>
    <w:rsid w:val="001D4362"/>
    <w:pPr>
      <w:spacing w:line="240" w:lineRule="auto"/>
    </w:pPr>
    <w:rPr>
      <w:szCs w:val="20"/>
    </w:rPr>
  </w:style>
  <w:style w:type="character" w:customStyle="1" w:styleId="CommentTextChar">
    <w:name w:val="Comment Text Char"/>
    <w:basedOn w:val="DefaultParagraphFont"/>
    <w:link w:val="CommentText"/>
    <w:uiPriority w:val="99"/>
    <w:rsid w:val="001D4362"/>
    <w:rPr>
      <w:szCs w:val="20"/>
    </w:rPr>
  </w:style>
  <w:style w:type="paragraph" w:styleId="CommentSubject">
    <w:name w:val="annotation subject"/>
    <w:basedOn w:val="CommentText"/>
    <w:next w:val="CommentText"/>
    <w:link w:val="CommentSubjectChar"/>
    <w:uiPriority w:val="99"/>
    <w:semiHidden/>
    <w:unhideWhenUsed/>
    <w:rsid w:val="001D4362"/>
    <w:rPr>
      <w:b/>
      <w:bCs/>
    </w:rPr>
  </w:style>
  <w:style w:type="character" w:customStyle="1" w:styleId="CommentSubjectChar">
    <w:name w:val="Comment Subject Char"/>
    <w:basedOn w:val="CommentTextChar"/>
    <w:link w:val="CommentSubject"/>
    <w:uiPriority w:val="99"/>
    <w:semiHidden/>
    <w:rsid w:val="001D4362"/>
    <w:rPr>
      <w:b/>
      <w:bCs/>
      <w:szCs w:val="20"/>
    </w:rPr>
  </w:style>
  <w:style w:type="paragraph" w:styleId="DocumentMap">
    <w:name w:val="Document Map"/>
    <w:basedOn w:val="Normal"/>
    <w:link w:val="DocumentMapChar"/>
    <w:uiPriority w:val="99"/>
    <w:semiHidden/>
    <w:unhideWhenUsed/>
    <w:rsid w:val="001D436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1D4362"/>
    <w:rPr>
      <w:rFonts w:ascii="Segoe UI" w:hAnsi="Segoe UI" w:cs="Segoe UI"/>
      <w:szCs w:val="16"/>
    </w:rPr>
  </w:style>
  <w:style w:type="paragraph" w:styleId="EndnoteText">
    <w:name w:val="endnote text"/>
    <w:basedOn w:val="Normal"/>
    <w:link w:val="EndnoteTextChar"/>
    <w:uiPriority w:val="99"/>
    <w:semiHidden/>
    <w:unhideWhenUsed/>
    <w:rsid w:val="001D4362"/>
    <w:pPr>
      <w:spacing w:after="0" w:line="240" w:lineRule="auto"/>
    </w:pPr>
    <w:rPr>
      <w:szCs w:val="20"/>
    </w:rPr>
  </w:style>
  <w:style w:type="character" w:customStyle="1" w:styleId="EndnoteTextChar">
    <w:name w:val="Endnote Text Char"/>
    <w:basedOn w:val="DefaultParagraphFont"/>
    <w:link w:val="EndnoteText"/>
    <w:uiPriority w:val="99"/>
    <w:semiHidden/>
    <w:rsid w:val="001D4362"/>
    <w:rPr>
      <w:szCs w:val="20"/>
    </w:rPr>
  </w:style>
  <w:style w:type="paragraph" w:styleId="EnvelopeReturn">
    <w:name w:val="envelope return"/>
    <w:basedOn w:val="Normal"/>
    <w:uiPriority w:val="99"/>
    <w:semiHidden/>
    <w:unhideWhenUsed/>
    <w:rsid w:val="001D4362"/>
    <w:pPr>
      <w:spacing w:after="0" w:line="240" w:lineRule="auto"/>
    </w:pPr>
    <w:rPr>
      <w:rFonts w:asciiTheme="majorHAnsi" w:eastAsiaTheme="majorEastAsia" w:hAnsiTheme="majorHAnsi" w:cstheme="majorBidi"/>
      <w:szCs w:val="20"/>
    </w:rPr>
  </w:style>
  <w:style w:type="paragraph" w:styleId="FootnoteText">
    <w:name w:val="footnote text"/>
    <w:aliases w:val="Footnote Text Char Char Char,Footnote Text Char Char Char Char,Footnote Text Char Char Char Char Char1,Footnote Text Char Char1 Char,Footnote Text Char1 Char"/>
    <w:basedOn w:val="Normal"/>
    <w:link w:val="FootnoteTextChar"/>
    <w:unhideWhenUsed/>
    <w:rsid w:val="00573C13"/>
    <w:pPr>
      <w:spacing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 Char Char1 Char,Footnote Text Char Char1 Char Char,Footnote Text Char1 Char Char"/>
    <w:basedOn w:val="DefaultParagraphFont"/>
    <w:link w:val="FootnoteText"/>
    <w:rsid w:val="00573C13"/>
    <w:rPr>
      <w:sz w:val="20"/>
      <w:szCs w:val="20"/>
      <w:lang w:val="en-AU"/>
    </w:rPr>
  </w:style>
  <w:style w:type="character" w:styleId="HTMLCode">
    <w:name w:val="HTML Code"/>
    <w:basedOn w:val="DefaultParagraphFont"/>
    <w:uiPriority w:val="99"/>
    <w:semiHidden/>
    <w:unhideWhenUsed/>
    <w:rsid w:val="001D4362"/>
    <w:rPr>
      <w:rFonts w:ascii="Consolas" w:hAnsi="Consolas"/>
      <w:sz w:val="22"/>
      <w:szCs w:val="20"/>
    </w:rPr>
  </w:style>
  <w:style w:type="character" w:styleId="HTMLKeyboard">
    <w:name w:val="HTML Keyboard"/>
    <w:basedOn w:val="DefaultParagraphFont"/>
    <w:uiPriority w:val="99"/>
    <w:semiHidden/>
    <w:unhideWhenUsed/>
    <w:rsid w:val="001D4362"/>
    <w:rPr>
      <w:rFonts w:ascii="Consolas" w:hAnsi="Consolas"/>
      <w:sz w:val="22"/>
      <w:szCs w:val="20"/>
    </w:rPr>
  </w:style>
  <w:style w:type="paragraph" w:styleId="HTMLPreformatted">
    <w:name w:val="HTML Preformatted"/>
    <w:basedOn w:val="Normal"/>
    <w:link w:val="HTMLPreformattedChar"/>
    <w:uiPriority w:val="99"/>
    <w:semiHidden/>
    <w:unhideWhenUsed/>
    <w:rsid w:val="001D436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D4362"/>
    <w:rPr>
      <w:rFonts w:ascii="Consolas" w:hAnsi="Consolas"/>
      <w:szCs w:val="20"/>
    </w:rPr>
  </w:style>
  <w:style w:type="character" w:styleId="HTMLTypewriter">
    <w:name w:val="HTML Typewriter"/>
    <w:basedOn w:val="DefaultParagraphFont"/>
    <w:uiPriority w:val="99"/>
    <w:semiHidden/>
    <w:unhideWhenUsed/>
    <w:rsid w:val="001D4362"/>
    <w:rPr>
      <w:rFonts w:ascii="Consolas" w:hAnsi="Consolas"/>
      <w:sz w:val="22"/>
      <w:szCs w:val="20"/>
    </w:rPr>
  </w:style>
  <w:style w:type="paragraph" w:styleId="MacroText">
    <w:name w:val="macro"/>
    <w:link w:val="MacroTextChar"/>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1D4362"/>
    <w:rPr>
      <w:rFonts w:ascii="Consolas" w:hAnsi="Consolas"/>
      <w:szCs w:val="20"/>
    </w:rPr>
  </w:style>
  <w:style w:type="paragraph" w:styleId="PlainText">
    <w:name w:val="Plain Text"/>
    <w:basedOn w:val="Normal"/>
    <w:link w:val="PlainTextChar"/>
    <w:uiPriority w:val="99"/>
    <w:semiHidden/>
    <w:unhideWhenUsed/>
    <w:rsid w:val="001D436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1D4362"/>
    <w:rPr>
      <w:rFonts w:ascii="Consolas" w:hAnsi="Consolas"/>
      <w:szCs w:val="21"/>
    </w:rPr>
  </w:style>
  <w:style w:type="paragraph" w:styleId="BlockText">
    <w:name w:val="Block Text"/>
    <w:basedOn w:val="Normal"/>
    <w:uiPriority w:val="99"/>
    <w:semiHidden/>
    <w:unhideWhenUsed/>
    <w:rsid w:val="00FD262C"/>
    <w:pPr>
      <w:pBdr>
        <w:top w:val="single" w:sz="2" w:space="10" w:color="073763" w:themeColor="accent1" w:themeShade="80" w:shadow="1"/>
        <w:left w:val="single" w:sz="2" w:space="10" w:color="073763" w:themeColor="accent1" w:themeShade="80" w:shadow="1"/>
        <w:bottom w:val="single" w:sz="2" w:space="10" w:color="073763" w:themeColor="accent1" w:themeShade="80" w:shadow="1"/>
        <w:right w:val="single" w:sz="2" w:space="10" w:color="073763" w:themeColor="accent1" w:themeShade="80" w:shadow="1"/>
      </w:pBdr>
      <w:ind w:left="1152" w:right="1152"/>
    </w:pPr>
    <w:rPr>
      <w:i/>
      <w:iCs/>
      <w:color w:val="073763" w:themeColor="accent1" w:themeShade="80"/>
    </w:rPr>
  </w:style>
  <w:style w:type="character" w:styleId="FollowedHyperlink">
    <w:name w:val="FollowedHyperlink"/>
    <w:basedOn w:val="DefaultParagraphFont"/>
    <w:uiPriority w:val="99"/>
    <w:semiHidden/>
    <w:unhideWhenUsed/>
    <w:rsid w:val="007833A7"/>
    <w:rPr>
      <w:color w:val="073763" w:themeColor="accent1" w:themeShade="80"/>
      <w:u w:val="single"/>
    </w:rPr>
  </w:style>
  <w:style w:type="character" w:styleId="Hyperlink">
    <w:name w:val="Hyperlink"/>
    <w:basedOn w:val="DefaultParagraphFont"/>
    <w:uiPriority w:val="99"/>
    <w:unhideWhenUsed/>
    <w:qFormat/>
    <w:rsid w:val="00753A0C"/>
    <w:rPr>
      <w:rFonts w:ascii="Calibri" w:hAnsi="Calibri"/>
      <w:b/>
      <w:color w:val="0070C0"/>
      <w:u w:val="none"/>
    </w:rPr>
  </w:style>
  <w:style w:type="character" w:styleId="PlaceholderText">
    <w:name w:val="Placeholder Text"/>
    <w:basedOn w:val="DefaultParagraphFont"/>
    <w:uiPriority w:val="99"/>
    <w:semiHidden/>
    <w:rsid w:val="007833A7"/>
    <w:rPr>
      <w:color w:val="595959" w:themeColor="text1" w:themeTint="A6"/>
    </w:rPr>
  </w:style>
  <w:style w:type="character" w:styleId="IntenseEmphasis">
    <w:name w:val="Intense Emphasis"/>
    <w:basedOn w:val="DefaultParagraphFont"/>
    <w:uiPriority w:val="21"/>
    <w:semiHidden/>
    <w:unhideWhenUsed/>
    <w:qFormat/>
    <w:rsid w:val="00FD262C"/>
    <w:rPr>
      <w:i/>
      <w:iCs/>
      <w:color w:val="0B5294" w:themeColor="accent1" w:themeShade="BF"/>
    </w:rPr>
  </w:style>
  <w:style w:type="paragraph" w:styleId="IntenseQuote">
    <w:name w:val="Intense Quote"/>
    <w:basedOn w:val="Normal"/>
    <w:next w:val="Normal"/>
    <w:link w:val="IntenseQuoteChar"/>
    <w:uiPriority w:val="30"/>
    <w:semiHidden/>
    <w:unhideWhenUsed/>
    <w:rsid w:val="00FD262C"/>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customStyle="1" w:styleId="IntenseQuoteChar">
    <w:name w:val="Intense Quote Char"/>
    <w:basedOn w:val="DefaultParagraphFont"/>
    <w:link w:val="IntenseQuote"/>
    <w:uiPriority w:val="30"/>
    <w:semiHidden/>
    <w:rsid w:val="00FD262C"/>
    <w:rPr>
      <w:i/>
      <w:iCs/>
      <w:color w:val="0B5294" w:themeColor="accent1" w:themeShade="BF"/>
    </w:rPr>
  </w:style>
  <w:style w:type="character" w:styleId="IntenseReference">
    <w:name w:val="Intense Reference"/>
    <w:basedOn w:val="DefaultParagraphFont"/>
    <w:uiPriority w:val="32"/>
    <w:semiHidden/>
    <w:unhideWhenUsed/>
    <w:qFormat/>
    <w:rsid w:val="00FD262C"/>
    <w:rPr>
      <w:b/>
      <w:bCs/>
      <w:caps w:val="0"/>
      <w:smallCaps/>
      <w:color w:val="0B5294" w:themeColor="accent1" w:themeShade="BF"/>
      <w:spacing w:val="5"/>
    </w:rPr>
  </w:style>
  <w:style w:type="paragraph" w:styleId="ListParagraph">
    <w:name w:val="List Paragraph"/>
    <w:aliases w:val="NFP GP Bulleted List,List Paragraph1,Recommendation,List Paragraph11,L,bullet point list,List Paragraph - bullets,Bullet point,Dot point 1.5 line spacing,DDM Gen Text,List Paragraph Number,Content descriptions,Bullet Point,Bullet points,列"/>
    <w:basedOn w:val="Normal"/>
    <w:link w:val="ListParagraphChar"/>
    <w:uiPriority w:val="34"/>
    <w:unhideWhenUsed/>
    <w:qFormat/>
    <w:rsid w:val="00F15A3E"/>
    <w:pPr>
      <w:numPr>
        <w:numId w:val="1"/>
      </w:numPr>
      <w:contextualSpacing/>
    </w:pPr>
    <w:rPr>
      <w:color w:val="FF0000"/>
    </w:rPr>
  </w:style>
  <w:style w:type="table" w:styleId="TableGrid">
    <w:name w:val="Table Grid"/>
    <w:basedOn w:val="TableNormal"/>
    <w:rsid w:val="00803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
    <w:name w:val="Grid Table 5 Dark Accent 6"/>
    <w:basedOn w:val="TableNormal"/>
    <w:uiPriority w:val="50"/>
    <w:rsid w:val="00803B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2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C24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C24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C24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C249" w:themeFill="accent6"/>
      </w:tcPr>
    </w:tblStylePr>
    <w:tblStylePr w:type="band1Vert">
      <w:tblPr/>
      <w:tcPr>
        <w:shd w:val="clear" w:color="auto" w:fill="DAE6B6" w:themeFill="accent6" w:themeFillTint="66"/>
      </w:tcPr>
    </w:tblStylePr>
    <w:tblStylePr w:type="band1Horz">
      <w:tblPr/>
      <w:tcPr>
        <w:shd w:val="clear" w:color="auto" w:fill="DAE6B6" w:themeFill="accent6" w:themeFillTint="66"/>
      </w:tcPr>
    </w:tblStylePr>
  </w:style>
  <w:style w:type="character" w:customStyle="1" w:styleId="PBS16TableNormalChar">
    <w:name w:val="PBS16 Table Normal Char"/>
    <w:basedOn w:val="DefaultParagraphFont"/>
    <w:link w:val="PBS16TableNormal"/>
    <w:locked/>
    <w:rsid w:val="009E71CD"/>
    <w:rPr>
      <w:rFonts w:ascii="Arial" w:hAnsi="Arial" w:cs="Arial"/>
      <w:sz w:val="16"/>
      <w:szCs w:val="16"/>
    </w:rPr>
  </w:style>
  <w:style w:type="paragraph" w:customStyle="1" w:styleId="PBS16TableNormal">
    <w:name w:val="PBS16 Table Normal"/>
    <w:basedOn w:val="Normal"/>
    <w:link w:val="PBS16TableNormalChar"/>
    <w:rsid w:val="009E71CD"/>
    <w:pPr>
      <w:spacing w:before="60" w:after="60" w:line="240" w:lineRule="auto"/>
    </w:pPr>
    <w:rPr>
      <w:rFonts w:ascii="Arial" w:hAnsi="Arial" w:cs="Arial"/>
      <w:sz w:val="16"/>
      <w:szCs w:val="16"/>
    </w:rPr>
  </w:style>
  <w:style w:type="paragraph" w:styleId="TOC1">
    <w:name w:val="toc 1"/>
    <w:basedOn w:val="Normal"/>
    <w:next w:val="Normal"/>
    <w:autoRedefine/>
    <w:uiPriority w:val="39"/>
    <w:unhideWhenUsed/>
    <w:rsid w:val="005267A7"/>
    <w:pPr>
      <w:spacing w:after="100"/>
    </w:pPr>
  </w:style>
  <w:style w:type="paragraph" w:styleId="TOC3">
    <w:name w:val="toc 3"/>
    <w:basedOn w:val="Normal"/>
    <w:next w:val="Normal"/>
    <w:autoRedefine/>
    <w:uiPriority w:val="39"/>
    <w:unhideWhenUsed/>
    <w:rsid w:val="005267A7"/>
    <w:pPr>
      <w:spacing w:after="100"/>
      <w:ind w:left="440"/>
    </w:pPr>
  </w:style>
  <w:style w:type="paragraph" w:styleId="TOC2">
    <w:name w:val="toc 2"/>
    <w:basedOn w:val="Normal"/>
    <w:next w:val="Normal"/>
    <w:autoRedefine/>
    <w:uiPriority w:val="39"/>
    <w:unhideWhenUsed/>
    <w:rsid w:val="005267A7"/>
    <w:pPr>
      <w:spacing w:after="100"/>
      <w:ind w:left="220"/>
    </w:pPr>
  </w:style>
  <w:style w:type="character" w:customStyle="1" w:styleId="ListParagraphChar">
    <w:name w:val="List Paragraph Char"/>
    <w:aliases w:val="NFP GP Bulleted List Char,List Paragraph1 Char,Recommendation Char,List Paragraph11 Char,L Char,bullet point list Char,List Paragraph - bullets Char,Bullet point Char,Dot point 1.5 line spacing Char,DDM Gen Text Char,列 Char"/>
    <w:basedOn w:val="DefaultParagraphFont"/>
    <w:link w:val="ListParagraph"/>
    <w:uiPriority w:val="34"/>
    <w:qFormat/>
    <w:rsid w:val="001B091B"/>
    <w:rPr>
      <w:color w:val="FF0000"/>
      <w:lang w:val="en-AU"/>
    </w:rPr>
  </w:style>
  <w:style w:type="paragraph" w:styleId="NormalWeb">
    <w:name w:val="Normal (Web)"/>
    <w:basedOn w:val="Normal"/>
    <w:uiPriority w:val="99"/>
    <w:unhideWhenUsed/>
    <w:rsid w:val="004C3380"/>
    <w:pPr>
      <w:spacing w:after="225" w:line="240" w:lineRule="auto"/>
      <w:jc w:val="both"/>
    </w:pPr>
    <w:rPr>
      <w:rFonts w:ascii="Times New Roman" w:eastAsia="Times New Roman" w:hAnsi="Times New Roman" w:cs="Times New Roman"/>
      <w:sz w:val="24"/>
      <w:szCs w:val="24"/>
      <w:lang w:eastAsia="en-AU"/>
    </w:rPr>
  </w:style>
  <w:style w:type="paragraph" w:customStyle="1" w:styleId="IntroParagraph">
    <w:name w:val="Intro Paragraph"/>
    <w:basedOn w:val="Normal"/>
    <w:qFormat/>
    <w:rsid w:val="00237BE9"/>
    <w:rPr>
      <w:b/>
      <w:sz w:val="24"/>
      <w:szCs w:val="24"/>
    </w:rPr>
  </w:style>
  <w:style w:type="paragraph" w:styleId="ListBullet">
    <w:name w:val="List Bullet"/>
    <w:basedOn w:val="Normal"/>
    <w:uiPriority w:val="99"/>
    <w:unhideWhenUsed/>
    <w:qFormat/>
    <w:rsid w:val="009E64A7"/>
    <w:pPr>
      <w:numPr>
        <w:numId w:val="2"/>
      </w:numPr>
      <w:spacing w:after="120" w:line="276" w:lineRule="auto"/>
    </w:pPr>
    <w:rPr>
      <w:lang w:eastAsia="en-US"/>
    </w:rPr>
  </w:style>
  <w:style w:type="paragraph" w:styleId="ListBullet2">
    <w:name w:val="List Bullet 2"/>
    <w:basedOn w:val="Normal"/>
    <w:uiPriority w:val="99"/>
    <w:unhideWhenUsed/>
    <w:rsid w:val="00AF1236"/>
    <w:pPr>
      <w:numPr>
        <w:ilvl w:val="1"/>
        <w:numId w:val="2"/>
      </w:numPr>
      <w:spacing w:after="120" w:line="276" w:lineRule="auto"/>
      <w:contextualSpacing/>
    </w:pPr>
    <w:rPr>
      <w:lang w:eastAsia="en-US"/>
    </w:rPr>
  </w:style>
  <w:style w:type="paragraph" w:styleId="ListBullet3">
    <w:name w:val="List Bullet 3"/>
    <w:basedOn w:val="Normal"/>
    <w:uiPriority w:val="99"/>
    <w:unhideWhenUsed/>
    <w:rsid w:val="00AF1236"/>
    <w:pPr>
      <w:numPr>
        <w:ilvl w:val="2"/>
        <w:numId w:val="2"/>
      </w:numPr>
      <w:spacing w:after="120" w:line="276" w:lineRule="auto"/>
      <w:contextualSpacing/>
    </w:pPr>
    <w:rPr>
      <w:lang w:eastAsia="en-US"/>
    </w:rPr>
  </w:style>
  <w:style w:type="paragraph" w:styleId="ListBullet4">
    <w:name w:val="List Bullet 4"/>
    <w:basedOn w:val="Normal"/>
    <w:uiPriority w:val="99"/>
    <w:unhideWhenUsed/>
    <w:rsid w:val="00AF1236"/>
    <w:pPr>
      <w:numPr>
        <w:ilvl w:val="3"/>
        <w:numId w:val="2"/>
      </w:numPr>
      <w:spacing w:after="120" w:line="276" w:lineRule="auto"/>
      <w:contextualSpacing/>
    </w:pPr>
    <w:rPr>
      <w:lang w:eastAsia="en-US"/>
    </w:rPr>
  </w:style>
  <w:style w:type="table" w:customStyle="1" w:styleId="DEEWRTable">
    <w:name w:val="DEEWR Table"/>
    <w:basedOn w:val="TableNormal"/>
    <w:uiPriority w:val="99"/>
    <w:rsid w:val="00AF1236"/>
    <w:pPr>
      <w:spacing w:after="0" w:line="240" w:lineRule="auto"/>
    </w:pPr>
    <w:rPr>
      <w:color w:val="000000" w:themeColor="text1"/>
      <w:sz w:val="20"/>
      <w:lang w:val="en-AU" w:eastAsia="en-US"/>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DBEFF9" w:themeColor="background2"/>
        <w:sz w:val="20"/>
      </w:rPr>
      <w:tblPr/>
      <w:tcPr>
        <w:shd w:val="clear" w:color="auto" w:fill="522761"/>
      </w:tcPr>
    </w:tblStylePr>
    <w:tblStylePr w:type="firstCol">
      <w:pPr>
        <w:jc w:val="left"/>
      </w:pPr>
      <w:rPr>
        <w:b/>
      </w:rPr>
    </w:tblStylePr>
  </w:style>
  <w:style w:type="paragraph" w:customStyle="1" w:styleId="Default">
    <w:name w:val="Default"/>
    <w:rsid w:val="00AF1236"/>
    <w:pPr>
      <w:autoSpaceDE w:val="0"/>
      <w:autoSpaceDN w:val="0"/>
      <w:adjustRightInd w:val="0"/>
      <w:spacing w:after="0" w:line="240" w:lineRule="auto"/>
    </w:pPr>
    <w:rPr>
      <w:rFonts w:ascii="Calibri" w:eastAsia="Times New Roman" w:hAnsi="Calibri" w:cs="Calibri"/>
      <w:color w:val="000000"/>
      <w:sz w:val="24"/>
      <w:szCs w:val="24"/>
      <w:lang w:val="en-AU" w:eastAsia="en-AU"/>
    </w:rPr>
  </w:style>
  <w:style w:type="character" w:styleId="FootnoteReference">
    <w:name w:val="footnote reference"/>
    <w:aliases w:val="(NECG) Footnote Reference,AFPC Footnote Reference"/>
    <w:basedOn w:val="DefaultParagraphFont"/>
    <w:unhideWhenUsed/>
    <w:rsid w:val="00AF1236"/>
    <w:rPr>
      <w:vertAlign w:val="superscript"/>
    </w:rPr>
  </w:style>
  <w:style w:type="character" w:customStyle="1" w:styleId="ARhyperlink">
    <w:name w:val="AR hyperlink"/>
    <w:basedOn w:val="DefaultParagraphFont"/>
    <w:uiPriority w:val="1"/>
    <w:qFormat/>
    <w:rsid w:val="000532F1"/>
    <w:rPr>
      <w:b/>
      <w:bCs/>
      <w:color w:val="0070C0"/>
    </w:rPr>
  </w:style>
  <w:style w:type="paragraph" w:customStyle="1" w:styleId="PerformanceHeading">
    <w:name w:val="Performance Heading"/>
    <w:basedOn w:val="Heading1"/>
    <w:qFormat/>
    <w:rsid w:val="001629B4"/>
    <w:pPr>
      <w:spacing w:before="240"/>
    </w:pPr>
    <w:rPr>
      <w:sz w:val="36"/>
    </w:rPr>
  </w:style>
  <w:style w:type="paragraph" w:customStyle="1" w:styleId="CPTabletext">
    <w:name w:val="CP Table text"/>
    <w:basedOn w:val="PBS16TableNormal"/>
    <w:link w:val="CPTabletextChar"/>
    <w:qFormat/>
    <w:rsid w:val="00D80A00"/>
    <w:rPr>
      <w:rFonts w:ascii="Calibri" w:hAnsi="Calibri"/>
      <w:color w:val="000000" w:themeColor="text1"/>
      <w:sz w:val="18"/>
      <w:szCs w:val="18"/>
      <w:lang w:eastAsia="en-US"/>
    </w:rPr>
  </w:style>
  <w:style w:type="character" w:customStyle="1" w:styleId="CPTabletextChar">
    <w:name w:val="CP Table text Char"/>
    <w:basedOn w:val="PBS16TableNormalChar"/>
    <w:link w:val="CPTabletext"/>
    <w:rsid w:val="00D80A00"/>
    <w:rPr>
      <w:rFonts w:ascii="Calibri" w:hAnsi="Calibri" w:cs="Arial"/>
      <w:color w:val="000000" w:themeColor="text1"/>
      <w:sz w:val="18"/>
      <w:szCs w:val="18"/>
      <w:lang w:val="en-AU" w:eastAsia="en-US"/>
    </w:rPr>
  </w:style>
  <w:style w:type="character" w:styleId="Emphasis">
    <w:name w:val="Emphasis"/>
    <w:basedOn w:val="DefaultParagraphFont"/>
    <w:uiPriority w:val="20"/>
    <w:qFormat/>
    <w:rsid w:val="00F1185F"/>
    <w:rPr>
      <w:i/>
      <w:iCs/>
    </w:rPr>
  </w:style>
  <w:style w:type="paragraph" w:customStyle="1" w:styleId="ms-rteelement-p1">
    <w:name w:val="ms-rteelement-p1"/>
    <w:basedOn w:val="Normal"/>
    <w:rsid w:val="00E3465E"/>
    <w:pPr>
      <w:spacing w:after="0" w:line="480" w:lineRule="atLeast"/>
    </w:pPr>
    <w:rPr>
      <w:rFonts w:ascii="Verdana" w:eastAsia="Times New Roman" w:hAnsi="Verdana" w:cs="Times New Roman"/>
      <w:color w:val="313131"/>
      <w:sz w:val="26"/>
      <w:szCs w:val="26"/>
      <w:lang w:eastAsia="en-AU"/>
    </w:rPr>
  </w:style>
  <w:style w:type="paragraph" w:customStyle="1" w:styleId="Sub-title">
    <w:name w:val="Sub-title"/>
    <w:basedOn w:val="Title"/>
    <w:qFormat/>
    <w:rsid w:val="006858A6"/>
    <w:pPr>
      <w:spacing w:before="360"/>
    </w:pPr>
    <w:rPr>
      <w:color w:val="0070C0"/>
      <w:sz w:val="48"/>
    </w:rPr>
  </w:style>
  <w:style w:type="paragraph" w:customStyle="1" w:styleId="Followedhyperlink0">
    <w:name w:val="Followed hyperlink"/>
    <w:basedOn w:val="Normal"/>
    <w:qFormat/>
    <w:rsid w:val="000532F1"/>
  </w:style>
  <w:style w:type="paragraph" w:styleId="BodyText">
    <w:name w:val="Body Text"/>
    <w:basedOn w:val="Normal"/>
    <w:link w:val="BodyTextChar"/>
    <w:uiPriority w:val="99"/>
    <w:semiHidden/>
    <w:unhideWhenUsed/>
    <w:rsid w:val="003B0C5E"/>
    <w:pPr>
      <w:spacing w:after="120"/>
    </w:pPr>
  </w:style>
  <w:style w:type="character" w:customStyle="1" w:styleId="BodyTextChar">
    <w:name w:val="Body Text Char"/>
    <w:basedOn w:val="DefaultParagraphFont"/>
    <w:link w:val="BodyText"/>
    <w:uiPriority w:val="99"/>
    <w:semiHidden/>
    <w:rsid w:val="003B0C5E"/>
    <w:rPr>
      <w:lang w:val="en-AU"/>
    </w:rPr>
  </w:style>
  <w:style w:type="paragraph" w:customStyle="1" w:styleId="NumberedParagraph">
    <w:name w:val="Numbered Paragraph"/>
    <w:basedOn w:val="ListParagraph"/>
    <w:qFormat/>
    <w:rsid w:val="00775FEF"/>
    <w:pPr>
      <w:numPr>
        <w:numId w:val="5"/>
      </w:numPr>
      <w:spacing w:after="120" w:line="240" w:lineRule="auto"/>
      <w:contextualSpacing w:val="0"/>
    </w:pPr>
    <w:rPr>
      <w:rFonts w:eastAsia="Calibri" w:cs="Times New Roman"/>
      <w:color w:val="auto"/>
      <w:szCs w:val="24"/>
      <w:lang w:val="en-US" w:eastAsia="en-US"/>
    </w:rPr>
  </w:style>
  <w:style w:type="paragraph" w:customStyle="1" w:styleId="IGBBodyText">
    <w:name w:val="IGB_Body Text"/>
    <w:basedOn w:val="Normal"/>
    <w:qFormat/>
    <w:rsid w:val="006120FF"/>
    <w:pPr>
      <w:suppressAutoHyphens/>
      <w:autoSpaceDE w:val="0"/>
      <w:autoSpaceDN w:val="0"/>
      <w:adjustRightInd w:val="0"/>
      <w:spacing w:after="120" w:line="240" w:lineRule="atLeast"/>
      <w:textAlignment w:val="center"/>
    </w:pPr>
    <w:rPr>
      <w:rFonts w:ascii="Calibri" w:eastAsia="Times New Roman" w:hAnsi="Calibri" w:cs="Garamond"/>
      <w:color w:val="000000"/>
      <w:sz w:val="21"/>
      <w:lang w:val="en-GB" w:eastAsia="en-AU"/>
    </w:rPr>
  </w:style>
  <w:style w:type="paragraph" w:styleId="Revision">
    <w:name w:val="Revision"/>
    <w:hidden/>
    <w:uiPriority w:val="99"/>
    <w:semiHidden/>
    <w:rsid w:val="00426449"/>
    <w:pPr>
      <w:spacing w:after="0" w:line="240" w:lineRule="auto"/>
    </w:pPr>
    <w:rPr>
      <w:lang w:val="en-AU"/>
    </w:rPr>
  </w:style>
  <w:style w:type="paragraph" w:customStyle="1" w:styleId="PBS16NormalLeft">
    <w:name w:val="PBS16 Normal Left"/>
    <w:basedOn w:val="Normal"/>
    <w:rsid w:val="00D159F3"/>
    <w:pPr>
      <w:spacing w:after="240" w:line="260" w:lineRule="exact"/>
    </w:pPr>
    <w:rPr>
      <w:rFonts w:ascii="Book Antiqua" w:eastAsia="Times New Roman" w:hAnsi="Book Antiqua" w:cs="Times New Roman"/>
      <w:sz w:val="20"/>
      <w:szCs w:val="20"/>
      <w:lang w:eastAsia="en-AU"/>
    </w:rPr>
  </w:style>
  <w:style w:type="character" w:styleId="EndnoteReference">
    <w:name w:val="endnote reference"/>
    <w:basedOn w:val="DefaultParagraphFont"/>
    <w:uiPriority w:val="99"/>
    <w:semiHidden/>
    <w:unhideWhenUsed/>
    <w:rsid w:val="00514D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50184">
      <w:bodyDiv w:val="1"/>
      <w:marLeft w:val="0"/>
      <w:marRight w:val="0"/>
      <w:marTop w:val="0"/>
      <w:marBottom w:val="0"/>
      <w:divBdr>
        <w:top w:val="none" w:sz="0" w:space="0" w:color="auto"/>
        <w:left w:val="none" w:sz="0" w:space="0" w:color="auto"/>
        <w:bottom w:val="none" w:sz="0" w:space="0" w:color="auto"/>
        <w:right w:val="none" w:sz="0" w:space="0" w:color="auto"/>
      </w:divBdr>
      <w:divsChild>
        <w:div w:id="1023360238">
          <w:marLeft w:val="0"/>
          <w:marRight w:val="0"/>
          <w:marTop w:val="0"/>
          <w:marBottom w:val="0"/>
          <w:divBdr>
            <w:top w:val="none" w:sz="0" w:space="0" w:color="auto"/>
            <w:left w:val="none" w:sz="0" w:space="0" w:color="auto"/>
            <w:bottom w:val="none" w:sz="0" w:space="0" w:color="auto"/>
            <w:right w:val="none" w:sz="0" w:space="0" w:color="auto"/>
          </w:divBdr>
          <w:divsChild>
            <w:div w:id="1290210620">
              <w:marLeft w:val="0"/>
              <w:marRight w:val="0"/>
              <w:marTop w:val="0"/>
              <w:marBottom w:val="0"/>
              <w:divBdr>
                <w:top w:val="none" w:sz="0" w:space="0" w:color="auto"/>
                <w:left w:val="none" w:sz="0" w:space="0" w:color="auto"/>
                <w:bottom w:val="none" w:sz="0" w:space="0" w:color="auto"/>
                <w:right w:val="none" w:sz="0" w:space="0" w:color="auto"/>
              </w:divBdr>
              <w:divsChild>
                <w:div w:id="487939200">
                  <w:marLeft w:val="0"/>
                  <w:marRight w:val="0"/>
                  <w:marTop w:val="0"/>
                  <w:marBottom w:val="0"/>
                  <w:divBdr>
                    <w:top w:val="none" w:sz="0" w:space="0" w:color="auto"/>
                    <w:left w:val="none" w:sz="0" w:space="0" w:color="auto"/>
                    <w:bottom w:val="none" w:sz="0" w:space="0" w:color="auto"/>
                    <w:right w:val="none" w:sz="0" w:space="0" w:color="auto"/>
                  </w:divBdr>
                  <w:divsChild>
                    <w:div w:id="793980145">
                      <w:marLeft w:val="-225"/>
                      <w:marRight w:val="-225"/>
                      <w:marTop w:val="0"/>
                      <w:marBottom w:val="225"/>
                      <w:divBdr>
                        <w:top w:val="none" w:sz="0" w:space="0" w:color="auto"/>
                        <w:left w:val="none" w:sz="0" w:space="0" w:color="auto"/>
                        <w:bottom w:val="none" w:sz="0" w:space="0" w:color="auto"/>
                        <w:right w:val="none" w:sz="0" w:space="0" w:color="auto"/>
                      </w:divBdr>
                      <w:divsChild>
                        <w:div w:id="60754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62589">
      <w:bodyDiv w:val="1"/>
      <w:marLeft w:val="0"/>
      <w:marRight w:val="0"/>
      <w:marTop w:val="0"/>
      <w:marBottom w:val="0"/>
      <w:divBdr>
        <w:top w:val="none" w:sz="0" w:space="0" w:color="auto"/>
        <w:left w:val="none" w:sz="0" w:space="0" w:color="auto"/>
        <w:bottom w:val="none" w:sz="0" w:space="0" w:color="auto"/>
        <w:right w:val="none" w:sz="0" w:space="0" w:color="auto"/>
      </w:divBdr>
    </w:div>
    <w:div w:id="139618167">
      <w:bodyDiv w:val="1"/>
      <w:marLeft w:val="0"/>
      <w:marRight w:val="0"/>
      <w:marTop w:val="0"/>
      <w:marBottom w:val="0"/>
      <w:divBdr>
        <w:top w:val="none" w:sz="0" w:space="0" w:color="auto"/>
        <w:left w:val="none" w:sz="0" w:space="0" w:color="auto"/>
        <w:bottom w:val="none" w:sz="0" w:space="0" w:color="auto"/>
        <w:right w:val="none" w:sz="0" w:space="0" w:color="auto"/>
      </w:divBdr>
    </w:div>
    <w:div w:id="177157563">
      <w:bodyDiv w:val="1"/>
      <w:marLeft w:val="0"/>
      <w:marRight w:val="0"/>
      <w:marTop w:val="0"/>
      <w:marBottom w:val="0"/>
      <w:divBdr>
        <w:top w:val="none" w:sz="0" w:space="0" w:color="auto"/>
        <w:left w:val="none" w:sz="0" w:space="0" w:color="auto"/>
        <w:bottom w:val="none" w:sz="0" w:space="0" w:color="auto"/>
        <w:right w:val="none" w:sz="0" w:space="0" w:color="auto"/>
      </w:divBdr>
    </w:div>
    <w:div w:id="208805695">
      <w:bodyDiv w:val="1"/>
      <w:marLeft w:val="0"/>
      <w:marRight w:val="0"/>
      <w:marTop w:val="0"/>
      <w:marBottom w:val="0"/>
      <w:divBdr>
        <w:top w:val="none" w:sz="0" w:space="0" w:color="auto"/>
        <w:left w:val="none" w:sz="0" w:space="0" w:color="auto"/>
        <w:bottom w:val="none" w:sz="0" w:space="0" w:color="auto"/>
        <w:right w:val="none" w:sz="0" w:space="0" w:color="auto"/>
      </w:divBdr>
      <w:divsChild>
        <w:div w:id="1883516691">
          <w:marLeft w:val="0"/>
          <w:marRight w:val="0"/>
          <w:marTop w:val="0"/>
          <w:marBottom w:val="0"/>
          <w:divBdr>
            <w:top w:val="none" w:sz="0" w:space="0" w:color="auto"/>
            <w:left w:val="none" w:sz="0" w:space="0" w:color="auto"/>
            <w:bottom w:val="none" w:sz="0" w:space="0" w:color="auto"/>
            <w:right w:val="none" w:sz="0" w:space="0" w:color="auto"/>
          </w:divBdr>
          <w:divsChild>
            <w:div w:id="1213079474">
              <w:marLeft w:val="0"/>
              <w:marRight w:val="0"/>
              <w:marTop w:val="0"/>
              <w:marBottom w:val="0"/>
              <w:divBdr>
                <w:top w:val="none" w:sz="0" w:space="0" w:color="auto"/>
                <w:left w:val="none" w:sz="0" w:space="0" w:color="auto"/>
                <w:bottom w:val="none" w:sz="0" w:space="0" w:color="auto"/>
                <w:right w:val="none" w:sz="0" w:space="0" w:color="auto"/>
              </w:divBdr>
              <w:divsChild>
                <w:div w:id="953511909">
                  <w:marLeft w:val="0"/>
                  <w:marRight w:val="0"/>
                  <w:marTop w:val="0"/>
                  <w:marBottom w:val="0"/>
                  <w:divBdr>
                    <w:top w:val="none" w:sz="0" w:space="0" w:color="auto"/>
                    <w:left w:val="none" w:sz="0" w:space="0" w:color="auto"/>
                    <w:bottom w:val="none" w:sz="0" w:space="0" w:color="auto"/>
                    <w:right w:val="none" w:sz="0" w:space="0" w:color="auto"/>
                  </w:divBdr>
                  <w:divsChild>
                    <w:div w:id="1487740608">
                      <w:marLeft w:val="2565"/>
                      <w:marRight w:val="0"/>
                      <w:marTop w:val="0"/>
                      <w:marBottom w:val="0"/>
                      <w:divBdr>
                        <w:top w:val="none" w:sz="0" w:space="0" w:color="auto"/>
                        <w:left w:val="none" w:sz="0" w:space="0" w:color="auto"/>
                        <w:bottom w:val="none" w:sz="0" w:space="0" w:color="auto"/>
                        <w:right w:val="none" w:sz="0" w:space="0" w:color="auto"/>
                      </w:divBdr>
                      <w:divsChild>
                        <w:div w:id="1399087987">
                          <w:marLeft w:val="0"/>
                          <w:marRight w:val="0"/>
                          <w:marTop w:val="0"/>
                          <w:marBottom w:val="0"/>
                          <w:divBdr>
                            <w:top w:val="none" w:sz="0" w:space="0" w:color="auto"/>
                            <w:left w:val="none" w:sz="0" w:space="0" w:color="auto"/>
                            <w:bottom w:val="none" w:sz="0" w:space="0" w:color="auto"/>
                            <w:right w:val="none" w:sz="0" w:space="0" w:color="auto"/>
                          </w:divBdr>
                          <w:divsChild>
                            <w:div w:id="730351243">
                              <w:marLeft w:val="0"/>
                              <w:marRight w:val="0"/>
                              <w:marTop w:val="0"/>
                              <w:marBottom w:val="0"/>
                              <w:divBdr>
                                <w:top w:val="none" w:sz="0" w:space="0" w:color="auto"/>
                                <w:left w:val="none" w:sz="0" w:space="0" w:color="auto"/>
                                <w:bottom w:val="none" w:sz="0" w:space="0" w:color="auto"/>
                                <w:right w:val="none" w:sz="0" w:space="0" w:color="auto"/>
                              </w:divBdr>
                              <w:divsChild>
                                <w:div w:id="1894386780">
                                  <w:marLeft w:val="0"/>
                                  <w:marRight w:val="0"/>
                                  <w:marTop w:val="0"/>
                                  <w:marBottom w:val="0"/>
                                  <w:divBdr>
                                    <w:top w:val="none" w:sz="0" w:space="0" w:color="auto"/>
                                    <w:left w:val="none" w:sz="0" w:space="0" w:color="auto"/>
                                    <w:bottom w:val="none" w:sz="0" w:space="0" w:color="auto"/>
                                    <w:right w:val="none" w:sz="0" w:space="0" w:color="auto"/>
                                  </w:divBdr>
                                  <w:divsChild>
                                    <w:div w:id="1040084415">
                                      <w:marLeft w:val="0"/>
                                      <w:marRight w:val="0"/>
                                      <w:marTop w:val="0"/>
                                      <w:marBottom w:val="0"/>
                                      <w:divBdr>
                                        <w:top w:val="none" w:sz="0" w:space="0" w:color="auto"/>
                                        <w:left w:val="none" w:sz="0" w:space="0" w:color="auto"/>
                                        <w:bottom w:val="none" w:sz="0" w:space="0" w:color="auto"/>
                                        <w:right w:val="none" w:sz="0" w:space="0" w:color="auto"/>
                                      </w:divBdr>
                                      <w:divsChild>
                                        <w:div w:id="876313774">
                                          <w:marLeft w:val="0"/>
                                          <w:marRight w:val="0"/>
                                          <w:marTop w:val="0"/>
                                          <w:marBottom w:val="0"/>
                                          <w:divBdr>
                                            <w:top w:val="none" w:sz="0" w:space="0" w:color="auto"/>
                                            <w:left w:val="none" w:sz="0" w:space="0" w:color="auto"/>
                                            <w:bottom w:val="none" w:sz="0" w:space="0" w:color="auto"/>
                                            <w:right w:val="none" w:sz="0" w:space="0" w:color="auto"/>
                                          </w:divBdr>
                                          <w:divsChild>
                                            <w:div w:id="643509880">
                                              <w:marLeft w:val="0"/>
                                              <w:marRight w:val="0"/>
                                              <w:marTop w:val="0"/>
                                              <w:marBottom w:val="0"/>
                                              <w:divBdr>
                                                <w:top w:val="none" w:sz="0" w:space="0" w:color="auto"/>
                                                <w:left w:val="none" w:sz="0" w:space="0" w:color="auto"/>
                                                <w:bottom w:val="none" w:sz="0" w:space="0" w:color="auto"/>
                                                <w:right w:val="none" w:sz="0" w:space="0" w:color="auto"/>
                                              </w:divBdr>
                                              <w:divsChild>
                                                <w:div w:id="296573752">
                                                  <w:marLeft w:val="0"/>
                                                  <w:marRight w:val="0"/>
                                                  <w:marTop w:val="0"/>
                                                  <w:marBottom w:val="0"/>
                                                  <w:divBdr>
                                                    <w:top w:val="none" w:sz="0" w:space="0" w:color="auto"/>
                                                    <w:left w:val="none" w:sz="0" w:space="0" w:color="auto"/>
                                                    <w:bottom w:val="none" w:sz="0" w:space="0" w:color="auto"/>
                                                    <w:right w:val="none" w:sz="0" w:space="0" w:color="auto"/>
                                                  </w:divBdr>
                                                  <w:divsChild>
                                                    <w:div w:id="883565467">
                                                      <w:marLeft w:val="0"/>
                                                      <w:marRight w:val="0"/>
                                                      <w:marTop w:val="0"/>
                                                      <w:marBottom w:val="0"/>
                                                      <w:divBdr>
                                                        <w:top w:val="none" w:sz="0" w:space="0" w:color="auto"/>
                                                        <w:left w:val="none" w:sz="0" w:space="0" w:color="auto"/>
                                                        <w:bottom w:val="none" w:sz="0" w:space="0" w:color="auto"/>
                                                        <w:right w:val="none" w:sz="0" w:space="0" w:color="auto"/>
                                                      </w:divBdr>
                                                    </w:div>
                                                    <w:div w:id="1986542175">
                                                      <w:marLeft w:val="0"/>
                                                      <w:marRight w:val="0"/>
                                                      <w:marTop w:val="0"/>
                                                      <w:marBottom w:val="0"/>
                                                      <w:divBdr>
                                                        <w:top w:val="none" w:sz="0" w:space="0" w:color="auto"/>
                                                        <w:left w:val="none" w:sz="0" w:space="0" w:color="auto"/>
                                                        <w:bottom w:val="none" w:sz="0" w:space="0" w:color="auto"/>
                                                        <w:right w:val="none" w:sz="0" w:space="0" w:color="auto"/>
                                                      </w:divBdr>
                                                    </w:div>
                                                    <w:div w:id="2054309610">
                                                      <w:marLeft w:val="0"/>
                                                      <w:marRight w:val="0"/>
                                                      <w:marTop w:val="0"/>
                                                      <w:marBottom w:val="0"/>
                                                      <w:divBdr>
                                                        <w:top w:val="none" w:sz="0" w:space="0" w:color="auto"/>
                                                        <w:left w:val="none" w:sz="0" w:space="0" w:color="auto"/>
                                                        <w:bottom w:val="none" w:sz="0" w:space="0" w:color="auto"/>
                                                        <w:right w:val="none" w:sz="0" w:space="0" w:color="auto"/>
                                                      </w:divBdr>
                                                    </w:div>
                                                    <w:div w:id="205600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3569">
                                              <w:marLeft w:val="0"/>
                                              <w:marRight w:val="0"/>
                                              <w:marTop w:val="0"/>
                                              <w:marBottom w:val="0"/>
                                              <w:divBdr>
                                                <w:top w:val="none" w:sz="0" w:space="0" w:color="auto"/>
                                                <w:left w:val="none" w:sz="0" w:space="0" w:color="auto"/>
                                                <w:bottom w:val="none" w:sz="0" w:space="0" w:color="auto"/>
                                                <w:right w:val="none" w:sz="0" w:space="0" w:color="auto"/>
                                              </w:divBdr>
                                              <w:divsChild>
                                                <w:div w:id="5192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4688040">
      <w:bodyDiv w:val="1"/>
      <w:marLeft w:val="0"/>
      <w:marRight w:val="0"/>
      <w:marTop w:val="0"/>
      <w:marBottom w:val="0"/>
      <w:divBdr>
        <w:top w:val="none" w:sz="0" w:space="0" w:color="auto"/>
        <w:left w:val="none" w:sz="0" w:space="0" w:color="auto"/>
        <w:bottom w:val="none" w:sz="0" w:space="0" w:color="auto"/>
        <w:right w:val="none" w:sz="0" w:space="0" w:color="auto"/>
      </w:divBdr>
    </w:div>
    <w:div w:id="534924744">
      <w:bodyDiv w:val="1"/>
      <w:marLeft w:val="0"/>
      <w:marRight w:val="0"/>
      <w:marTop w:val="0"/>
      <w:marBottom w:val="0"/>
      <w:divBdr>
        <w:top w:val="none" w:sz="0" w:space="0" w:color="auto"/>
        <w:left w:val="none" w:sz="0" w:space="0" w:color="auto"/>
        <w:bottom w:val="none" w:sz="0" w:space="0" w:color="auto"/>
        <w:right w:val="none" w:sz="0" w:space="0" w:color="auto"/>
      </w:divBdr>
    </w:div>
    <w:div w:id="547566939">
      <w:bodyDiv w:val="1"/>
      <w:marLeft w:val="0"/>
      <w:marRight w:val="0"/>
      <w:marTop w:val="0"/>
      <w:marBottom w:val="0"/>
      <w:divBdr>
        <w:top w:val="none" w:sz="0" w:space="0" w:color="auto"/>
        <w:left w:val="none" w:sz="0" w:space="0" w:color="auto"/>
        <w:bottom w:val="none" w:sz="0" w:space="0" w:color="auto"/>
        <w:right w:val="none" w:sz="0" w:space="0" w:color="auto"/>
      </w:divBdr>
      <w:divsChild>
        <w:div w:id="980384641">
          <w:marLeft w:val="0"/>
          <w:marRight w:val="0"/>
          <w:marTop w:val="0"/>
          <w:marBottom w:val="0"/>
          <w:divBdr>
            <w:top w:val="none" w:sz="0" w:space="0" w:color="auto"/>
            <w:left w:val="none" w:sz="0" w:space="0" w:color="auto"/>
            <w:bottom w:val="none" w:sz="0" w:space="0" w:color="auto"/>
            <w:right w:val="none" w:sz="0" w:space="0" w:color="auto"/>
          </w:divBdr>
          <w:divsChild>
            <w:div w:id="798495517">
              <w:marLeft w:val="0"/>
              <w:marRight w:val="0"/>
              <w:marTop w:val="0"/>
              <w:marBottom w:val="0"/>
              <w:divBdr>
                <w:top w:val="none" w:sz="0" w:space="0" w:color="auto"/>
                <w:left w:val="none" w:sz="0" w:space="0" w:color="auto"/>
                <w:bottom w:val="none" w:sz="0" w:space="0" w:color="auto"/>
                <w:right w:val="none" w:sz="0" w:space="0" w:color="auto"/>
              </w:divBdr>
              <w:divsChild>
                <w:div w:id="46531368">
                  <w:marLeft w:val="0"/>
                  <w:marRight w:val="0"/>
                  <w:marTop w:val="0"/>
                  <w:marBottom w:val="0"/>
                  <w:divBdr>
                    <w:top w:val="none" w:sz="0" w:space="0" w:color="auto"/>
                    <w:left w:val="none" w:sz="0" w:space="0" w:color="auto"/>
                    <w:bottom w:val="none" w:sz="0" w:space="0" w:color="auto"/>
                    <w:right w:val="none" w:sz="0" w:space="0" w:color="auto"/>
                  </w:divBdr>
                  <w:divsChild>
                    <w:div w:id="298998916">
                      <w:marLeft w:val="0"/>
                      <w:marRight w:val="0"/>
                      <w:marTop w:val="0"/>
                      <w:marBottom w:val="0"/>
                      <w:divBdr>
                        <w:top w:val="none" w:sz="0" w:space="0" w:color="auto"/>
                        <w:left w:val="none" w:sz="0" w:space="0" w:color="auto"/>
                        <w:bottom w:val="none" w:sz="0" w:space="0" w:color="auto"/>
                        <w:right w:val="none" w:sz="0" w:space="0" w:color="auto"/>
                      </w:divBdr>
                      <w:divsChild>
                        <w:div w:id="1613390952">
                          <w:marLeft w:val="0"/>
                          <w:marRight w:val="0"/>
                          <w:marTop w:val="0"/>
                          <w:marBottom w:val="0"/>
                          <w:divBdr>
                            <w:top w:val="none" w:sz="0" w:space="0" w:color="auto"/>
                            <w:left w:val="none" w:sz="0" w:space="0" w:color="auto"/>
                            <w:bottom w:val="none" w:sz="0" w:space="0" w:color="auto"/>
                            <w:right w:val="none" w:sz="0" w:space="0" w:color="auto"/>
                          </w:divBdr>
                          <w:divsChild>
                            <w:div w:id="200171409">
                              <w:marLeft w:val="0"/>
                              <w:marRight w:val="0"/>
                              <w:marTop w:val="0"/>
                              <w:marBottom w:val="0"/>
                              <w:divBdr>
                                <w:top w:val="none" w:sz="0" w:space="0" w:color="auto"/>
                                <w:left w:val="none" w:sz="0" w:space="0" w:color="auto"/>
                                <w:bottom w:val="none" w:sz="0" w:space="0" w:color="auto"/>
                                <w:right w:val="none" w:sz="0" w:space="0" w:color="auto"/>
                              </w:divBdr>
                              <w:divsChild>
                                <w:div w:id="97514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669862">
                      <w:marLeft w:val="0"/>
                      <w:marRight w:val="0"/>
                      <w:marTop w:val="0"/>
                      <w:marBottom w:val="0"/>
                      <w:divBdr>
                        <w:top w:val="none" w:sz="0" w:space="0" w:color="auto"/>
                        <w:left w:val="none" w:sz="0" w:space="0" w:color="auto"/>
                        <w:bottom w:val="none" w:sz="0" w:space="0" w:color="auto"/>
                        <w:right w:val="none" w:sz="0" w:space="0" w:color="auto"/>
                      </w:divBdr>
                      <w:divsChild>
                        <w:div w:id="377701119">
                          <w:marLeft w:val="0"/>
                          <w:marRight w:val="0"/>
                          <w:marTop w:val="0"/>
                          <w:marBottom w:val="0"/>
                          <w:divBdr>
                            <w:top w:val="none" w:sz="0" w:space="0" w:color="auto"/>
                            <w:left w:val="none" w:sz="0" w:space="0" w:color="auto"/>
                            <w:bottom w:val="none" w:sz="0" w:space="0" w:color="auto"/>
                            <w:right w:val="none" w:sz="0" w:space="0" w:color="auto"/>
                          </w:divBdr>
                          <w:divsChild>
                            <w:div w:id="938222198">
                              <w:marLeft w:val="0"/>
                              <w:marRight w:val="0"/>
                              <w:marTop w:val="0"/>
                              <w:marBottom w:val="0"/>
                              <w:divBdr>
                                <w:top w:val="none" w:sz="0" w:space="0" w:color="auto"/>
                                <w:left w:val="none" w:sz="0" w:space="0" w:color="auto"/>
                                <w:bottom w:val="none" w:sz="0" w:space="0" w:color="auto"/>
                                <w:right w:val="none" w:sz="0" w:space="0" w:color="auto"/>
                              </w:divBdr>
                              <w:divsChild>
                                <w:div w:id="1981153622">
                                  <w:marLeft w:val="0"/>
                                  <w:marRight w:val="0"/>
                                  <w:marTop w:val="0"/>
                                  <w:marBottom w:val="0"/>
                                  <w:divBdr>
                                    <w:top w:val="none" w:sz="0" w:space="0" w:color="auto"/>
                                    <w:left w:val="none" w:sz="0" w:space="0" w:color="auto"/>
                                    <w:bottom w:val="none" w:sz="0" w:space="0" w:color="auto"/>
                                    <w:right w:val="none" w:sz="0" w:space="0" w:color="auto"/>
                                  </w:divBdr>
                                  <w:divsChild>
                                    <w:div w:id="16702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319610">
      <w:bodyDiv w:val="1"/>
      <w:marLeft w:val="0"/>
      <w:marRight w:val="0"/>
      <w:marTop w:val="0"/>
      <w:marBottom w:val="0"/>
      <w:divBdr>
        <w:top w:val="none" w:sz="0" w:space="0" w:color="auto"/>
        <w:left w:val="none" w:sz="0" w:space="0" w:color="auto"/>
        <w:bottom w:val="none" w:sz="0" w:space="0" w:color="auto"/>
        <w:right w:val="none" w:sz="0" w:space="0" w:color="auto"/>
      </w:divBdr>
      <w:divsChild>
        <w:div w:id="312682479">
          <w:marLeft w:val="0"/>
          <w:marRight w:val="0"/>
          <w:marTop w:val="0"/>
          <w:marBottom w:val="0"/>
          <w:divBdr>
            <w:top w:val="none" w:sz="0" w:space="0" w:color="auto"/>
            <w:left w:val="none" w:sz="0" w:space="0" w:color="auto"/>
            <w:bottom w:val="none" w:sz="0" w:space="0" w:color="auto"/>
            <w:right w:val="none" w:sz="0" w:space="0" w:color="auto"/>
          </w:divBdr>
          <w:divsChild>
            <w:div w:id="1985741448">
              <w:marLeft w:val="0"/>
              <w:marRight w:val="0"/>
              <w:marTop w:val="0"/>
              <w:marBottom w:val="0"/>
              <w:divBdr>
                <w:top w:val="none" w:sz="0" w:space="0" w:color="auto"/>
                <w:left w:val="none" w:sz="0" w:space="0" w:color="auto"/>
                <w:bottom w:val="none" w:sz="0" w:space="0" w:color="auto"/>
                <w:right w:val="none" w:sz="0" w:space="0" w:color="auto"/>
              </w:divBdr>
              <w:divsChild>
                <w:div w:id="10029623">
                  <w:marLeft w:val="0"/>
                  <w:marRight w:val="0"/>
                  <w:marTop w:val="0"/>
                  <w:marBottom w:val="0"/>
                  <w:divBdr>
                    <w:top w:val="none" w:sz="0" w:space="0" w:color="auto"/>
                    <w:left w:val="none" w:sz="0" w:space="0" w:color="auto"/>
                    <w:bottom w:val="none" w:sz="0" w:space="0" w:color="auto"/>
                    <w:right w:val="none" w:sz="0" w:space="0" w:color="auto"/>
                  </w:divBdr>
                  <w:divsChild>
                    <w:div w:id="360861518">
                      <w:marLeft w:val="2565"/>
                      <w:marRight w:val="0"/>
                      <w:marTop w:val="0"/>
                      <w:marBottom w:val="0"/>
                      <w:divBdr>
                        <w:top w:val="none" w:sz="0" w:space="0" w:color="auto"/>
                        <w:left w:val="none" w:sz="0" w:space="0" w:color="auto"/>
                        <w:bottom w:val="none" w:sz="0" w:space="0" w:color="auto"/>
                        <w:right w:val="none" w:sz="0" w:space="0" w:color="auto"/>
                      </w:divBdr>
                      <w:divsChild>
                        <w:div w:id="894241837">
                          <w:marLeft w:val="0"/>
                          <w:marRight w:val="0"/>
                          <w:marTop w:val="0"/>
                          <w:marBottom w:val="0"/>
                          <w:divBdr>
                            <w:top w:val="none" w:sz="0" w:space="0" w:color="auto"/>
                            <w:left w:val="none" w:sz="0" w:space="0" w:color="auto"/>
                            <w:bottom w:val="none" w:sz="0" w:space="0" w:color="auto"/>
                            <w:right w:val="none" w:sz="0" w:space="0" w:color="auto"/>
                          </w:divBdr>
                          <w:divsChild>
                            <w:div w:id="1948080853">
                              <w:marLeft w:val="0"/>
                              <w:marRight w:val="0"/>
                              <w:marTop w:val="0"/>
                              <w:marBottom w:val="0"/>
                              <w:divBdr>
                                <w:top w:val="none" w:sz="0" w:space="0" w:color="auto"/>
                                <w:left w:val="none" w:sz="0" w:space="0" w:color="auto"/>
                                <w:bottom w:val="none" w:sz="0" w:space="0" w:color="auto"/>
                                <w:right w:val="none" w:sz="0" w:space="0" w:color="auto"/>
                              </w:divBdr>
                              <w:divsChild>
                                <w:div w:id="1436169349">
                                  <w:marLeft w:val="0"/>
                                  <w:marRight w:val="0"/>
                                  <w:marTop w:val="0"/>
                                  <w:marBottom w:val="0"/>
                                  <w:divBdr>
                                    <w:top w:val="none" w:sz="0" w:space="0" w:color="auto"/>
                                    <w:left w:val="none" w:sz="0" w:space="0" w:color="auto"/>
                                    <w:bottom w:val="none" w:sz="0" w:space="0" w:color="auto"/>
                                    <w:right w:val="none" w:sz="0" w:space="0" w:color="auto"/>
                                  </w:divBdr>
                                  <w:divsChild>
                                    <w:div w:id="1070032475">
                                      <w:marLeft w:val="0"/>
                                      <w:marRight w:val="0"/>
                                      <w:marTop w:val="0"/>
                                      <w:marBottom w:val="0"/>
                                      <w:divBdr>
                                        <w:top w:val="none" w:sz="0" w:space="0" w:color="auto"/>
                                        <w:left w:val="none" w:sz="0" w:space="0" w:color="auto"/>
                                        <w:bottom w:val="none" w:sz="0" w:space="0" w:color="auto"/>
                                        <w:right w:val="none" w:sz="0" w:space="0" w:color="auto"/>
                                      </w:divBdr>
                                      <w:divsChild>
                                        <w:div w:id="115176761">
                                          <w:marLeft w:val="0"/>
                                          <w:marRight w:val="0"/>
                                          <w:marTop w:val="0"/>
                                          <w:marBottom w:val="0"/>
                                          <w:divBdr>
                                            <w:top w:val="none" w:sz="0" w:space="0" w:color="auto"/>
                                            <w:left w:val="none" w:sz="0" w:space="0" w:color="auto"/>
                                            <w:bottom w:val="none" w:sz="0" w:space="0" w:color="auto"/>
                                            <w:right w:val="none" w:sz="0" w:space="0" w:color="auto"/>
                                          </w:divBdr>
                                          <w:divsChild>
                                            <w:div w:id="2125881949">
                                              <w:marLeft w:val="0"/>
                                              <w:marRight w:val="0"/>
                                              <w:marTop w:val="0"/>
                                              <w:marBottom w:val="0"/>
                                              <w:divBdr>
                                                <w:top w:val="none" w:sz="0" w:space="0" w:color="auto"/>
                                                <w:left w:val="none" w:sz="0" w:space="0" w:color="auto"/>
                                                <w:bottom w:val="none" w:sz="0" w:space="0" w:color="auto"/>
                                                <w:right w:val="none" w:sz="0" w:space="0" w:color="auto"/>
                                              </w:divBdr>
                                              <w:divsChild>
                                                <w:div w:id="1069766021">
                                                  <w:marLeft w:val="0"/>
                                                  <w:marRight w:val="0"/>
                                                  <w:marTop w:val="0"/>
                                                  <w:marBottom w:val="0"/>
                                                  <w:divBdr>
                                                    <w:top w:val="none" w:sz="0" w:space="0" w:color="auto"/>
                                                    <w:left w:val="none" w:sz="0" w:space="0" w:color="auto"/>
                                                    <w:bottom w:val="none" w:sz="0" w:space="0" w:color="auto"/>
                                                    <w:right w:val="none" w:sz="0" w:space="0" w:color="auto"/>
                                                  </w:divBdr>
                                                  <w:divsChild>
                                                    <w:div w:id="887570031">
                                                      <w:marLeft w:val="0"/>
                                                      <w:marRight w:val="0"/>
                                                      <w:marTop w:val="0"/>
                                                      <w:marBottom w:val="0"/>
                                                      <w:divBdr>
                                                        <w:top w:val="none" w:sz="0" w:space="0" w:color="auto"/>
                                                        <w:left w:val="none" w:sz="0" w:space="0" w:color="auto"/>
                                                        <w:bottom w:val="none" w:sz="0" w:space="0" w:color="auto"/>
                                                        <w:right w:val="none" w:sz="0" w:space="0" w:color="auto"/>
                                                      </w:divBdr>
                                                    </w:div>
                                                    <w:div w:id="114917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6092278">
      <w:bodyDiv w:val="1"/>
      <w:marLeft w:val="0"/>
      <w:marRight w:val="0"/>
      <w:marTop w:val="0"/>
      <w:marBottom w:val="0"/>
      <w:divBdr>
        <w:top w:val="none" w:sz="0" w:space="0" w:color="auto"/>
        <w:left w:val="none" w:sz="0" w:space="0" w:color="auto"/>
        <w:bottom w:val="none" w:sz="0" w:space="0" w:color="auto"/>
        <w:right w:val="none" w:sz="0" w:space="0" w:color="auto"/>
      </w:divBdr>
    </w:div>
    <w:div w:id="851340885">
      <w:bodyDiv w:val="1"/>
      <w:marLeft w:val="0"/>
      <w:marRight w:val="0"/>
      <w:marTop w:val="0"/>
      <w:marBottom w:val="0"/>
      <w:divBdr>
        <w:top w:val="none" w:sz="0" w:space="0" w:color="auto"/>
        <w:left w:val="none" w:sz="0" w:space="0" w:color="auto"/>
        <w:bottom w:val="none" w:sz="0" w:space="0" w:color="auto"/>
        <w:right w:val="none" w:sz="0" w:space="0" w:color="auto"/>
      </w:divBdr>
    </w:div>
    <w:div w:id="867060280">
      <w:bodyDiv w:val="1"/>
      <w:marLeft w:val="0"/>
      <w:marRight w:val="0"/>
      <w:marTop w:val="0"/>
      <w:marBottom w:val="0"/>
      <w:divBdr>
        <w:top w:val="none" w:sz="0" w:space="0" w:color="auto"/>
        <w:left w:val="none" w:sz="0" w:space="0" w:color="auto"/>
        <w:bottom w:val="none" w:sz="0" w:space="0" w:color="auto"/>
        <w:right w:val="none" w:sz="0" w:space="0" w:color="auto"/>
      </w:divBdr>
    </w:div>
    <w:div w:id="953053509">
      <w:bodyDiv w:val="1"/>
      <w:marLeft w:val="0"/>
      <w:marRight w:val="0"/>
      <w:marTop w:val="0"/>
      <w:marBottom w:val="0"/>
      <w:divBdr>
        <w:top w:val="none" w:sz="0" w:space="0" w:color="auto"/>
        <w:left w:val="none" w:sz="0" w:space="0" w:color="auto"/>
        <w:bottom w:val="none" w:sz="0" w:space="0" w:color="auto"/>
        <w:right w:val="none" w:sz="0" w:space="0" w:color="auto"/>
      </w:divBdr>
    </w:div>
    <w:div w:id="1045982880">
      <w:bodyDiv w:val="1"/>
      <w:marLeft w:val="0"/>
      <w:marRight w:val="0"/>
      <w:marTop w:val="0"/>
      <w:marBottom w:val="0"/>
      <w:divBdr>
        <w:top w:val="none" w:sz="0" w:space="0" w:color="auto"/>
        <w:left w:val="none" w:sz="0" w:space="0" w:color="auto"/>
        <w:bottom w:val="none" w:sz="0" w:space="0" w:color="auto"/>
        <w:right w:val="none" w:sz="0" w:space="0" w:color="auto"/>
      </w:divBdr>
      <w:divsChild>
        <w:div w:id="1017005973">
          <w:marLeft w:val="0"/>
          <w:marRight w:val="0"/>
          <w:marTop w:val="0"/>
          <w:marBottom w:val="0"/>
          <w:divBdr>
            <w:top w:val="none" w:sz="0" w:space="0" w:color="auto"/>
            <w:left w:val="none" w:sz="0" w:space="0" w:color="auto"/>
            <w:bottom w:val="none" w:sz="0" w:space="0" w:color="auto"/>
            <w:right w:val="none" w:sz="0" w:space="0" w:color="auto"/>
          </w:divBdr>
          <w:divsChild>
            <w:div w:id="1111507824">
              <w:marLeft w:val="0"/>
              <w:marRight w:val="0"/>
              <w:marTop w:val="0"/>
              <w:marBottom w:val="0"/>
              <w:divBdr>
                <w:top w:val="none" w:sz="0" w:space="0" w:color="auto"/>
                <w:left w:val="none" w:sz="0" w:space="0" w:color="auto"/>
                <w:bottom w:val="none" w:sz="0" w:space="0" w:color="auto"/>
                <w:right w:val="none" w:sz="0" w:space="0" w:color="auto"/>
              </w:divBdr>
              <w:divsChild>
                <w:div w:id="373425694">
                  <w:marLeft w:val="0"/>
                  <w:marRight w:val="0"/>
                  <w:marTop w:val="0"/>
                  <w:marBottom w:val="0"/>
                  <w:divBdr>
                    <w:top w:val="none" w:sz="0" w:space="0" w:color="auto"/>
                    <w:left w:val="none" w:sz="0" w:space="0" w:color="auto"/>
                    <w:bottom w:val="none" w:sz="0" w:space="0" w:color="auto"/>
                    <w:right w:val="none" w:sz="0" w:space="0" w:color="auto"/>
                  </w:divBdr>
                  <w:divsChild>
                    <w:div w:id="896279171">
                      <w:marLeft w:val="0"/>
                      <w:marRight w:val="0"/>
                      <w:marTop w:val="0"/>
                      <w:marBottom w:val="0"/>
                      <w:divBdr>
                        <w:top w:val="none" w:sz="0" w:space="0" w:color="auto"/>
                        <w:left w:val="none" w:sz="0" w:space="0" w:color="auto"/>
                        <w:bottom w:val="none" w:sz="0" w:space="0" w:color="auto"/>
                        <w:right w:val="none" w:sz="0" w:space="0" w:color="auto"/>
                      </w:divBdr>
                      <w:divsChild>
                        <w:div w:id="1178691693">
                          <w:marLeft w:val="0"/>
                          <w:marRight w:val="0"/>
                          <w:marTop w:val="0"/>
                          <w:marBottom w:val="0"/>
                          <w:divBdr>
                            <w:top w:val="none" w:sz="0" w:space="0" w:color="auto"/>
                            <w:left w:val="none" w:sz="0" w:space="0" w:color="auto"/>
                            <w:bottom w:val="none" w:sz="0" w:space="0" w:color="auto"/>
                            <w:right w:val="none" w:sz="0" w:space="0" w:color="auto"/>
                          </w:divBdr>
                          <w:divsChild>
                            <w:div w:id="1844008187">
                              <w:marLeft w:val="0"/>
                              <w:marRight w:val="0"/>
                              <w:marTop w:val="0"/>
                              <w:marBottom w:val="0"/>
                              <w:divBdr>
                                <w:top w:val="none" w:sz="0" w:space="0" w:color="auto"/>
                                <w:left w:val="none" w:sz="0" w:space="0" w:color="auto"/>
                                <w:bottom w:val="none" w:sz="0" w:space="0" w:color="auto"/>
                                <w:right w:val="none" w:sz="0" w:space="0" w:color="auto"/>
                              </w:divBdr>
                              <w:divsChild>
                                <w:div w:id="1620528470">
                                  <w:marLeft w:val="0"/>
                                  <w:marRight w:val="0"/>
                                  <w:marTop w:val="0"/>
                                  <w:marBottom w:val="0"/>
                                  <w:divBdr>
                                    <w:top w:val="none" w:sz="0" w:space="0" w:color="auto"/>
                                    <w:left w:val="none" w:sz="0" w:space="0" w:color="auto"/>
                                    <w:bottom w:val="none" w:sz="0" w:space="0" w:color="auto"/>
                                    <w:right w:val="none" w:sz="0" w:space="0" w:color="auto"/>
                                  </w:divBdr>
                                  <w:divsChild>
                                    <w:div w:id="59914466">
                                      <w:marLeft w:val="0"/>
                                      <w:marRight w:val="0"/>
                                      <w:marTop w:val="0"/>
                                      <w:marBottom w:val="0"/>
                                      <w:divBdr>
                                        <w:top w:val="none" w:sz="0" w:space="0" w:color="auto"/>
                                        <w:left w:val="none" w:sz="0" w:space="0" w:color="auto"/>
                                        <w:bottom w:val="none" w:sz="0" w:space="0" w:color="auto"/>
                                        <w:right w:val="none" w:sz="0" w:space="0" w:color="auto"/>
                                      </w:divBdr>
                                      <w:divsChild>
                                        <w:div w:id="206721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939329">
      <w:bodyDiv w:val="1"/>
      <w:marLeft w:val="0"/>
      <w:marRight w:val="0"/>
      <w:marTop w:val="0"/>
      <w:marBottom w:val="0"/>
      <w:divBdr>
        <w:top w:val="none" w:sz="0" w:space="0" w:color="auto"/>
        <w:left w:val="none" w:sz="0" w:space="0" w:color="auto"/>
        <w:bottom w:val="none" w:sz="0" w:space="0" w:color="auto"/>
        <w:right w:val="none" w:sz="0" w:space="0" w:color="auto"/>
      </w:divBdr>
    </w:div>
    <w:div w:id="1162936828">
      <w:bodyDiv w:val="1"/>
      <w:marLeft w:val="0"/>
      <w:marRight w:val="0"/>
      <w:marTop w:val="0"/>
      <w:marBottom w:val="0"/>
      <w:divBdr>
        <w:top w:val="none" w:sz="0" w:space="0" w:color="auto"/>
        <w:left w:val="none" w:sz="0" w:space="0" w:color="auto"/>
        <w:bottom w:val="none" w:sz="0" w:space="0" w:color="auto"/>
        <w:right w:val="none" w:sz="0" w:space="0" w:color="auto"/>
      </w:divBdr>
    </w:div>
    <w:div w:id="1188716297">
      <w:bodyDiv w:val="1"/>
      <w:marLeft w:val="0"/>
      <w:marRight w:val="0"/>
      <w:marTop w:val="0"/>
      <w:marBottom w:val="0"/>
      <w:divBdr>
        <w:top w:val="none" w:sz="0" w:space="0" w:color="auto"/>
        <w:left w:val="none" w:sz="0" w:space="0" w:color="auto"/>
        <w:bottom w:val="none" w:sz="0" w:space="0" w:color="auto"/>
        <w:right w:val="none" w:sz="0" w:space="0" w:color="auto"/>
      </w:divBdr>
      <w:divsChild>
        <w:div w:id="1781341892">
          <w:marLeft w:val="0"/>
          <w:marRight w:val="0"/>
          <w:marTop w:val="0"/>
          <w:marBottom w:val="0"/>
          <w:divBdr>
            <w:top w:val="none" w:sz="0" w:space="0" w:color="auto"/>
            <w:left w:val="none" w:sz="0" w:space="0" w:color="auto"/>
            <w:bottom w:val="none" w:sz="0" w:space="0" w:color="auto"/>
            <w:right w:val="none" w:sz="0" w:space="0" w:color="auto"/>
          </w:divBdr>
          <w:divsChild>
            <w:div w:id="1267881502">
              <w:marLeft w:val="0"/>
              <w:marRight w:val="0"/>
              <w:marTop w:val="0"/>
              <w:marBottom w:val="0"/>
              <w:divBdr>
                <w:top w:val="none" w:sz="0" w:space="0" w:color="auto"/>
                <w:left w:val="none" w:sz="0" w:space="0" w:color="auto"/>
                <w:bottom w:val="none" w:sz="0" w:space="0" w:color="auto"/>
                <w:right w:val="none" w:sz="0" w:space="0" w:color="auto"/>
              </w:divBdr>
              <w:divsChild>
                <w:div w:id="1959486379">
                  <w:marLeft w:val="0"/>
                  <w:marRight w:val="0"/>
                  <w:marTop w:val="0"/>
                  <w:marBottom w:val="0"/>
                  <w:divBdr>
                    <w:top w:val="none" w:sz="0" w:space="0" w:color="auto"/>
                    <w:left w:val="none" w:sz="0" w:space="0" w:color="auto"/>
                    <w:bottom w:val="none" w:sz="0" w:space="0" w:color="auto"/>
                    <w:right w:val="none" w:sz="0" w:space="0" w:color="auto"/>
                  </w:divBdr>
                  <w:divsChild>
                    <w:div w:id="1680308913">
                      <w:marLeft w:val="0"/>
                      <w:marRight w:val="0"/>
                      <w:marTop w:val="0"/>
                      <w:marBottom w:val="0"/>
                      <w:divBdr>
                        <w:top w:val="none" w:sz="0" w:space="0" w:color="auto"/>
                        <w:left w:val="none" w:sz="0" w:space="0" w:color="auto"/>
                        <w:bottom w:val="none" w:sz="0" w:space="0" w:color="auto"/>
                        <w:right w:val="none" w:sz="0" w:space="0" w:color="auto"/>
                      </w:divBdr>
                      <w:divsChild>
                        <w:div w:id="1465200426">
                          <w:marLeft w:val="0"/>
                          <w:marRight w:val="0"/>
                          <w:marTop w:val="0"/>
                          <w:marBottom w:val="0"/>
                          <w:divBdr>
                            <w:top w:val="none" w:sz="0" w:space="0" w:color="auto"/>
                            <w:left w:val="none" w:sz="0" w:space="0" w:color="auto"/>
                            <w:bottom w:val="none" w:sz="0" w:space="0" w:color="auto"/>
                            <w:right w:val="none" w:sz="0" w:space="0" w:color="auto"/>
                          </w:divBdr>
                          <w:divsChild>
                            <w:div w:id="1978220774">
                              <w:marLeft w:val="0"/>
                              <w:marRight w:val="0"/>
                              <w:marTop w:val="0"/>
                              <w:marBottom w:val="0"/>
                              <w:divBdr>
                                <w:top w:val="none" w:sz="0" w:space="0" w:color="auto"/>
                                <w:left w:val="none" w:sz="0" w:space="0" w:color="auto"/>
                                <w:bottom w:val="none" w:sz="0" w:space="0" w:color="auto"/>
                                <w:right w:val="none" w:sz="0" w:space="0" w:color="auto"/>
                              </w:divBdr>
                              <w:divsChild>
                                <w:div w:id="160464621">
                                  <w:marLeft w:val="0"/>
                                  <w:marRight w:val="0"/>
                                  <w:marTop w:val="0"/>
                                  <w:marBottom w:val="0"/>
                                  <w:divBdr>
                                    <w:top w:val="none" w:sz="0" w:space="0" w:color="auto"/>
                                    <w:left w:val="none" w:sz="0" w:space="0" w:color="auto"/>
                                    <w:bottom w:val="none" w:sz="0" w:space="0" w:color="auto"/>
                                    <w:right w:val="none" w:sz="0" w:space="0" w:color="auto"/>
                                  </w:divBdr>
                                  <w:divsChild>
                                    <w:div w:id="134100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0867838">
      <w:bodyDiv w:val="1"/>
      <w:marLeft w:val="0"/>
      <w:marRight w:val="0"/>
      <w:marTop w:val="0"/>
      <w:marBottom w:val="0"/>
      <w:divBdr>
        <w:top w:val="none" w:sz="0" w:space="0" w:color="auto"/>
        <w:left w:val="none" w:sz="0" w:space="0" w:color="auto"/>
        <w:bottom w:val="none" w:sz="0" w:space="0" w:color="auto"/>
        <w:right w:val="none" w:sz="0" w:space="0" w:color="auto"/>
      </w:divBdr>
      <w:divsChild>
        <w:div w:id="805707153">
          <w:marLeft w:val="0"/>
          <w:marRight w:val="0"/>
          <w:marTop w:val="0"/>
          <w:marBottom w:val="0"/>
          <w:divBdr>
            <w:top w:val="none" w:sz="0" w:space="0" w:color="auto"/>
            <w:left w:val="none" w:sz="0" w:space="0" w:color="auto"/>
            <w:bottom w:val="none" w:sz="0" w:space="0" w:color="auto"/>
            <w:right w:val="none" w:sz="0" w:space="0" w:color="auto"/>
          </w:divBdr>
          <w:divsChild>
            <w:div w:id="708602261">
              <w:marLeft w:val="0"/>
              <w:marRight w:val="0"/>
              <w:marTop w:val="0"/>
              <w:marBottom w:val="0"/>
              <w:divBdr>
                <w:top w:val="none" w:sz="0" w:space="0" w:color="auto"/>
                <w:left w:val="none" w:sz="0" w:space="0" w:color="auto"/>
                <w:bottom w:val="none" w:sz="0" w:space="0" w:color="auto"/>
                <w:right w:val="none" w:sz="0" w:space="0" w:color="auto"/>
              </w:divBdr>
              <w:divsChild>
                <w:div w:id="1520974012">
                  <w:marLeft w:val="0"/>
                  <w:marRight w:val="0"/>
                  <w:marTop w:val="0"/>
                  <w:marBottom w:val="0"/>
                  <w:divBdr>
                    <w:top w:val="none" w:sz="0" w:space="0" w:color="auto"/>
                    <w:left w:val="none" w:sz="0" w:space="0" w:color="auto"/>
                    <w:bottom w:val="none" w:sz="0" w:space="0" w:color="auto"/>
                    <w:right w:val="none" w:sz="0" w:space="0" w:color="auto"/>
                  </w:divBdr>
                  <w:divsChild>
                    <w:div w:id="53061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908472">
      <w:bodyDiv w:val="1"/>
      <w:marLeft w:val="0"/>
      <w:marRight w:val="0"/>
      <w:marTop w:val="0"/>
      <w:marBottom w:val="0"/>
      <w:divBdr>
        <w:top w:val="none" w:sz="0" w:space="0" w:color="auto"/>
        <w:left w:val="none" w:sz="0" w:space="0" w:color="auto"/>
        <w:bottom w:val="none" w:sz="0" w:space="0" w:color="auto"/>
        <w:right w:val="none" w:sz="0" w:space="0" w:color="auto"/>
      </w:divBdr>
    </w:div>
    <w:div w:id="1438913713">
      <w:bodyDiv w:val="1"/>
      <w:marLeft w:val="0"/>
      <w:marRight w:val="0"/>
      <w:marTop w:val="0"/>
      <w:marBottom w:val="0"/>
      <w:divBdr>
        <w:top w:val="none" w:sz="0" w:space="0" w:color="auto"/>
        <w:left w:val="none" w:sz="0" w:space="0" w:color="auto"/>
        <w:bottom w:val="none" w:sz="0" w:space="0" w:color="auto"/>
        <w:right w:val="none" w:sz="0" w:space="0" w:color="auto"/>
      </w:divBdr>
    </w:div>
    <w:div w:id="1583105279">
      <w:bodyDiv w:val="1"/>
      <w:marLeft w:val="0"/>
      <w:marRight w:val="0"/>
      <w:marTop w:val="0"/>
      <w:marBottom w:val="0"/>
      <w:divBdr>
        <w:top w:val="none" w:sz="0" w:space="0" w:color="auto"/>
        <w:left w:val="none" w:sz="0" w:space="0" w:color="auto"/>
        <w:bottom w:val="none" w:sz="0" w:space="0" w:color="auto"/>
        <w:right w:val="none" w:sz="0" w:space="0" w:color="auto"/>
      </w:divBdr>
      <w:divsChild>
        <w:div w:id="2016374627">
          <w:marLeft w:val="0"/>
          <w:marRight w:val="0"/>
          <w:marTop w:val="0"/>
          <w:marBottom w:val="0"/>
          <w:divBdr>
            <w:top w:val="none" w:sz="0" w:space="0" w:color="auto"/>
            <w:left w:val="none" w:sz="0" w:space="0" w:color="auto"/>
            <w:bottom w:val="none" w:sz="0" w:space="0" w:color="auto"/>
            <w:right w:val="none" w:sz="0" w:space="0" w:color="auto"/>
          </w:divBdr>
          <w:divsChild>
            <w:div w:id="340667742">
              <w:marLeft w:val="0"/>
              <w:marRight w:val="0"/>
              <w:marTop w:val="0"/>
              <w:marBottom w:val="0"/>
              <w:divBdr>
                <w:top w:val="none" w:sz="0" w:space="0" w:color="auto"/>
                <w:left w:val="none" w:sz="0" w:space="0" w:color="auto"/>
                <w:bottom w:val="none" w:sz="0" w:space="0" w:color="auto"/>
                <w:right w:val="none" w:sz="0" w:space="0" w:color="auto"/>
              </w:divBdr>
              <w:divsChild>
                <w:div w:id="1947999274">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1653439535">
      <w:bodyDiv w:val="1"/>
      <w:marLeft w:val="0"/>
      <w:marRight w:val="0"/>
      <w:marTop w:val="0"/>
      <w:marBottom w:val="0"/>
      <w:divBdr>
        <w:top w:val="none" w:sz="0" w:space="0" w:color="auto"/>
        <w:left w:val="none" w:sz="0" w:space="0" w:color="auto"/>
        <w:bottom w:val="none" w:sz="0" w:space="0" w:color="auto"/>
        <w:right w:val="none" w:sz="0" w:space="0" w:color="auto"/>
      </w:divBdr>
      <w:divsChild>
        <w:div w:id="238371013">
          <w:marLeft w:val="0"/>
          <w:marRight w:val="0"/>
          <w:marTop w:val="0"/>
          <w:marBottom w:val="0"/>
          <w:divBdr>
            <w:top w:val="none" w:sz="0" w:space="0" w:color="auto"/>
            <w:left w:val="none" w:sz="0" w:space="0" w:color="auto"/>
            <w:bottom w:val="none" w:sz="0" w:space="0" w:color="auto"/>
            <w:right w:val="none" w:sz="0" w:space="0" w:color="auto"/>
          </w:divBdr>
          <w:divsChild>
            <w:div w:id="1347249756">
              <w:marLeft w:val="0"/>
              <w:marRight w:val="0"/>
              <w:marTop w:val="0"/>
              <w:marBottom w:val="0"/>
              <w:divBdr>
                <w:top w:val="none" w:sz="0" w:space="0" w:color="auto"/>
                <w:left w:val="none" w:sz="0" w:space="0" w:color="auto"/>
                <w:bottom w:val="none" w:sz="0" w:space="0" w:color="auto"/>
                <w:right w:val="none" w:sz="0" w:space="0" w:color="auto"/>
              </w:divBdr>
              <w:divsChild>
                <w:div w:id="2118676843">
                  <w:marLeft w:val="0"/>
                  <w:marRight w:val="0"/>
                  <w:marTop w:val="0"/>
                  <w:marBottom w:val="0"/>
                  <w:divBdr>
                    <w:top w:val="none" w:sz="0" w:space="0" w:color="auto"/>
                    <w:left w:val="none" w:sz="0" w:space="0" w:color="auto"/>
                    <w:bottom w:val="none" w:sz="0" w:space="0" w:color="auto"/>
                    <w:right w:val="none" w:sz="0" w:space="0" w:color="auto"/>
                  </w:divBdr>
                  <w:divsChild>
                    <w:div w:id="997608406">
                      <w:marLeft w:val="0"/>
                      <w:marRight w:val="0"/>
                      <w:marTop w:val="0"/>
                      <w:marBottom w:val="0"/>
                      <w:divBdr>
                        <w:top w:val="none" w:sz="0" w:space="0" w:color="auto"/>
                        <w:left w:val="none" w:sz="0" w:space="0" w:color="auto"/>
                        <w:bottom w:val="none" w:sz="0" w:space="0" w:color="auto"/>
                        <w:right w:val="none" w:sz="0" w:space="0" w:color="auto"/>
                      </w:divBdr>
                      <w:divsChild>
                        <w:div w:id="515703192">
                          <w:marLeft w:val="0"/>
                          <w:marRight w:val="0"/>
                          <w:marTop w:val="0"/>
                          <w:marBottom w:val="0"/>
                          <w:divBdr>
                            <w:top w:val="none" w:sz="0" w:space="0" w:color="auto"/>
                            <w:left w:val="none" w:sz="0" w:space="0" w:color="auto"/>
                            <w:bottom w:val="none" w:sz="0" w:space="0" w:color="auto"/>
                            <w:right w:val="none" w:sz="0" w:space="0" w:color="auto"/>
                          </w:divBdr>
                          <w:divsChild>
                            <w:div w:id="283730444">
                              <w:marLeft w:val="0"/>
                              <w:marRight w:val="0"/>
                              <w:marTop w:val="0"/>
                              <w:marBottom w:val="0"/>
                              <w:divBdr>
                                <w:top w:val="none" w:sz="0" w:space="0" w:color="auto"/>
                                <w:left w:val="none" w:sz="0" w:space="0" w:color="auto"/>
                                <w:bottom w:val="none" w:sz="0" w:space="0" w:color="auto"/>
                                <w:right w:val="none" w:sz="0" w:space="0" w:color="auto"/>
                              </w:divBdr>
                              <w:divsChild>
                                <w:div w:id="101496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589094">
      <w:bodyDiv w:val="1"/>
      <w:marLeft w:val="0"/>
      <w:marRight w:val="0"/>
      <w:marTop w:val="0"/>
      <w:marBottom w:val="0"/>
      <w:divBdr>
        <w:top w:val="none" w:sz="0" w:space="0" w:color="auto"/>
        <w:left w:val="none" w:sz="0" w:space="0" w:color="auto"/>
        <w:bottom w:val="none" w:sz="0" w:space="0" w:color="auto"/>
        <w:right w:val="none" w:sz="0" w:space="0" w:color="auto"/>
      </w:divBdr>
    </w:div>
    <w:div w:id="1770811825">
      <w:bodyDiv w:val="1"/>
      <w:marLeft w:val="0"/>
      <w:marRight w:val="0"/>
      <w:marTop w:val="0"/>
      <w:marBottom w:val="0"/>
      <w:divBdr>
        <w:top w:val="none" w:sz="0" w:space="0" w:color="auto"/>
        <w:left w:val="none" w:sz="0" w:space="0" w:color="auto"/>
        <w:bottom w:val="none" w:sz="0" w:space="0" w:color="auto"/>
        <w:right w:val="none" w:sz="0" w:space="0" w:color="auto"/>
      </w:divBdr>
    </w:div>
    <w:div w:id="1886064338">
      <w:bodyDiv w:val="1"/>
      <w:marLeft w:val="0"/>
      <w:marRight w:val="0"/>
      <w:marTop w:val="0"/>
      <w:marBottom w:val="0"/>
      <w:divBdr>
        <w:top w:val="none" w:sz="0" w:space="0" w:color="auto"/>
        <w:left w:val="none" w:sz="0" w:space="0" w:color="auto"/>
        <w:bottom w:val="none" w:sz="0" w:space="0" w:color="auto"/>
        <w:right w:val="none" w:sz="0" w:space="0" w:color="auto"/>
      </w:divBdr>
    </w:div>
    <w:div w:id="1918858985">
      <w:bodyDiv w:val="1"/>
      <w:marLeft w:val="0"/>
      <w:marRight w:val="0"/>
      <w:marTop w:val="0"/>
      <w:marBottom w:val="0"/>
      <w:divBdr>
        <w:top w:val="none" w:sz="0" w:space="0" w:color="auto"/>
        <w:left w:val="none" w:sz="0" w:space="0" w:color="auto"/>
        <w:bottom w:val="none" w:sz="0" w:space="0" w:color="auto"/>
        <w:right w:val="none" w:sz="0" w:space="0" w:color="auto"/>
      </w:divBdr>
    </w:div>
    <w:div w:id="2020309383">
      <w:bodyDiv w:val="1"/>
      <w:marLeft w:val="0"/>
      <w:marRight w:val="0"/>
      <w:marTop w:val="0"/>
      <w:marBottom w:val="0"/>
      <w:divBdr>
        <w:top w:val="none" w:sz="0" w:space="0" w:color="auto"/>
        <w:left w:val="none" w:sz="0" w:space="0" w:color="auto"/>
        <w:bottom w:val="none" w:sz="0" w:space="0" w:color="auto"/>
        <w:right w:val="none" w:sz="0" w:space="0" w:color="auto"/>
      </w:divBdr>
    </w:div>
    <w:div w:id="2044674628">
      <w:bodyDiv w:val="1"/>
      <w:marLeft w:val="0"/>
      <w:marRight w:val="0"/>
      <w:marTop w:val="0"/>
      <w:marBottom w:val="0"/>
      <w:divBdr>
        <w:top w:val="none" w:sz="0" w:space="0" w:color="auto"/>
        <w:left w:val="none" w:sz="0" w:space="0" w:color="auto"/>
        <w:bottom w:val="none" w:sz="0" w:space="0" w:color="auto"/>
        <w:right w:val="none" w:sz="0" w:space="0" w:color="auto"/>
      </w:divBdr>
    </w:div>
    <w:div w:id="2046327634">
      <w:bodyDiv w:val="1"/>
      <w:marLeft w:val="0"/>
      <w:marRight w:val="0"/>
      <w:marTop w:val="0"/>
      <w:marBottom w:val="0"/>
      <w:divBdr>
        <w:top w:val="none" w:sz="0" w:space="0" w:color="auto"/>
        <w:left w:val="none" w:sz="0" w:space="0" w:color="auto"/>
        <w:bottom w:val="none" w:sz="0" w:space="0" w:color="auto"/>
        <w:right w:val="none" w:sz="0" w:space="0" w:color="auto"/>
      </w:divBdr>
      <w:divsChild>
        <w:div w:id="736174898">
          <w:marLeft w:val="547"/>
          <w:marRight w:val="0"/>
          <w:marTop w:val="0"/>
          <w:marBottom w:val="0"/>
          <w:divBdr>
            <w:top w:val="none" w:sz="0" w:space="0" w:color="auto"/>
            <w:left w:val="none" w:sz="0" w:space="0" w:color="auto"/>
            <w:bottom w:val="none" w:sz="0" w:space="0" w:color="auto"/>
            <w:right w:val="none" w:sz="0" w:space="0" w:color="auto"/>
          </w:divBdr>
        </w:div>
        <w:div w:id="1405949642">
          <w:marLeft w:val="547"/>
          <w:marRight w:val="0"/>
          <w:marTop w:val="0"/>
          <w:marBottom w:val="0"/>
          <w:divBdr>
            <w:top w:val="none" w:sz="0" w:space="0" w:color="auto"/>
            <w:left w:val="none" w:sz="0" w:space="0" w:color="auto"/>
            <w:bottom w:val="none" w:sz="0" w:space="0" w:color="auto"/>
            <w:right w:val="none" w:sz="0" w:space="0" w:color="auto"/>
          </w:divBdr>
        </w:div>
        <w:div w:id="1587153726">
          <w:marLeft w:val="547"/>
          <w:marRight w:val="0"/>
          <w:marTop w:val="0"/>
          <w:marBottom w:val="0"/>
          <w:divBdr>
            <w:top w:val="none" w:sz="0" w:space="0" w:color="auto"/>
            <w:left w:val="none" w:sz="0" w:space="0" w:color="auto"/>
            <w:bottom w:val="none" w:sz="0" w:space="0" w:color="auto"/>
            <w:right w:val="none" w:sz="0" w:space="0" w:color="auto"/>
          </w:divBdr>
        </w:div>
        <w:div w:id="1700204555">
          <w:marLeft w:val="547"/>
          <w:marRight w:val="0"/>
          <w:marTop w:val="0"/>
          <w:marBottom w:val="0"/>
          <w:divBdr>
            <w:top w:val="none" w:sz="0" w:space="0" w:color="auto"/>
            <w:left w:val="none" w:sz="0" w:space="0" w:color="auto"/>
            <w:bottom w:val="none" w:sz="0" w:space="0" w:color="auto"/>
            <w:right w:val="none" w:sz="0" w:space="0" w:color="auto"/>
          </w:divBdr>
        </w:div>
      </w:divsChild>
    </w:div>
    <w:div w:id="209042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mailto:planperform@education.gov.au"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legalcode"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ue\AppData\Roaming\Microsoft\Templates\Report%20design%20(blank).dotx"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856581</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2012-09-19T07:42:00+00:00</AssetStart>
    <FriendlyTitle xmlns="4873beb7-5857-4685-be1f-d57550cc96cc" xsi:nil="true"/>
    <MarketSpecific xmlns="4873beb7-5857-4685-be1f-d57550cc96cc">false</MarketSpecific>
    <TPNamespace xmlns="4873beb7-5857-4685-be1f-d57550cc96cc" xsi:nil="true"/>
    <PublishStatusLookup xmlns="4873beb7-5857-4685-be1f-d57550cc96cc">
      <Value>1622610</Value>
    </PublishStatusLookup>
    <APAuthor xmlns="4873beb7-5857-4685-be1f-d57550cc96cc">
      <UserInfo>
        <DisplayName>REDMOND\v-aptall</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TP103457714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2E30D-EFB4-40E8-AB8F-C2E02C2E7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671810-3EF7-4C8E-BCBA-248ABE2BAB39}">
  <ds:schemaRefs>
    <ds:schemaRef ds:uri="http://purl.org/dc/elements/1.1/"/>
    <ds:schemaRef ds:uri="4873beb7-5857-4685-be1f-d57550cc96cc"/>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4.xml><?xml version="1.0" encoding="utf-8"?>
<ds:datastoreItem xmlns:ds="http://schemas.openxmlformats.org/officeDocument/2006/customXml" ds:itemID="{CA136A4D-3F41-4DA8-A63C-CE6F240A5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design (blank).dotx</Template>
  <TotalTime>4</TotalTime>
  <Pages>26</Pages>
  <Words>8332</Words>
  <Characters>47499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Prue Torrance</dc:creator>
  <cp:lastModifiedBy>Peter Kensey</cp:lastModifiedBy>
  <cp:revision>7</cp:revision>
  <cp:lastPrinted>2017-08-10T04:45:00Z</cp:lastPrinted>
  <dcterms:created xsi:type="dcterms:W3CDTF">2017-08-28T01:27:00Z</dcterms:created>
  <dcterms:modified xsi:type="dcterms:W3CDTF">2017-08-28T23:55:00Z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_MarkAsFinal">
    <vt:bool>true</vt:bool>
  </property>
</Properties>
</file>