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184" w:rsidRPr="001C4839" w:rsidRDefault="00A52184" w:rsidP="001C4839">
      <w:pPr>
        <w:pStyle w:val="Heading1"/>
      </w:pPr>
      <w:r w:rsidRPr="001C4839">
        <w:t>Slide 1</w:t>
      </w:r>
    </w:p>
    <w:tbl>
      <w:tblPr>
        <w:tblStyle w:val="TableGrid"/>
        <w:tblW w:w="0" w:type="auto"/>
        <w:tblLook w:val="04A0" w:firstRow="1" w:lastRow="0" w:firstColumn="1" w:lastColumn="0" w:noHBand="0" w:noVBand="1"/>
      </w:tblPr>
      <w:tblGrid>
        <w:gridCol w:w="9570"/>
      </w:tblGrid>
      <w:tr w:rsidR="00D5156E" w:rsidTr="00D5156E">
        <w:trPr>
          <w:trHeight w:val="7019"/>
        </w:trPr>
        <w:tc>
          <w:tcPr>
            <w:tcW w:w="9570" w:type="dxa"/>
            <w:vAlign w:val="center"/>
          </w:tcPr>
          <w:p w:rsidR="00D5156E" w:rsidRPr="00AB414F" w:rsidRDefault="00D5156E" w:rsidP="00D5156E">
            <w:pPr>
              <w:spacing w:line="360" w:lineRule="auto"/>
              <w:jc w:val="center"/>
              <w:rPr>
                <w:rFonts w:asciiTheme="minorHAnsi" w:hAnsiTheme="minorHAnsi" w:cstheme="minorHAnsi"/>
                <w:sz w:val="40"/>
                <w:szCs w:val="24"/>
              </w:rPr>
            </w:pPr>
            <w:r w:rsidRPr="00AB414F">
              <w:rPr>
                <w:rFonts w:asciiTheme="minorHAnsi" w:hAnsiTheme="minorHAnsi" w:cstheme="minorHAnsi"/>
                <w:sz w:val="40"/>
                <w:szCs w:val="24"/>
              </w:rPr>
              <w:t>Albury-Wodonga Region</w:t>
            </w:r>
          </w:p>
          <w:p w:rsidR="00D5156E" w:rsidRPr="00AB414F" w:rsidRDefault="00D5156E" w:rsidP="00D5156E">
            <w:pPr>
              <w:spacing w:line="360" w:lineRule="auto"/>
              <w:jc w:val="center"/>
              <w:rPr>
                <w:rFonts w:asciiTheme="minorHAnsi" w:hAnsiTheme="minorHAnsi" w:cstheme="minorHAnsi"/>
                <w:sz w:val="40"/>
                <w:szCs w:val="24"/>
              </w:rPr>
            </w:pPr>
            <w:r w:rsidRPr="00AB414F">
              <w:rPr>
                <w:rFonts w:asciiTheme="minorHAnsi" w:hAnsiTheme="minorHAnsi" w:cstheme="minorHAnsi"/>
                <w:sz w:val="40"/>
                <w:szCs w:val="24"/>
              </w:rPr>
              <w:t>8 April 2014</w:t>
            </w:r>
          </w:p>
          <w:p w:rsidR="00D5156E" w:rsidRPr="00AB414F" w:rsidRDefault="00D5156E" w:rsidP="00D5156E">
            <w:pPr>
              <w:spacing w:line="360" w:lineRule="auto"/>
              <w:jc w:val="center"/>
              <w:rPr>
                <w:rFonts w:asciiTheme="minorHAnsi" w:hAnsiTheme="minorHAnsi" w:cstheme="minorHAnsi"/>
                <w:sz w:val="40"/>
                <w:szCs w:val="24"/>
              </w:rPr>
            </w:pPr>
          </w:p>
          <w:p w:rsidR="00D5156E" w:rsidRPr="00AB414F" w:rsidRDefault="00D5156E" w:rsidP="00D5156E">
            <w:pPr>
              <w:spacing w:line="360" w:lineRule="auto"/>
              <w:jc w:val="center"/>
              <w:rPr>
                <w:rFonts w:asciiTheme="minorHAnsi" w:hAnsiTheme="minorHAnsi" w:cstheme="minorHAnsi"/>
                <w:sz w:val="40"/>
                <w:szCs w:val="24"/>
              </w:rPr>
            </w:pPr>
            <w:r w:rsidRPr="00AB414F">
              <w:rPr>
                <w:rFonts w:asciiTheme="minorHAnsi" w:hAnsiTheme="minorHAnsi" w:cstheme="minorHAnsi"/>
                <w:sz w:val="40"/>
                <w:szCs w:val="24"/>
              </w:rPr>
              <w:t>Presenter: Ivan Neville</w:t>
            </w:r>
          </w:p>
          <w:p w:rsidR="00D5156E" w:rsidRPr="00AB414F" w:rsidRDefault="00D5156E" w:rsidP="00D5156E">
            <w:pPr>
              <w:spacing w:line="360" w:lineRule="auto"/>
              <w:jc w:val="center"/>
              <w:rPr>
                <w:rFonts w:asciiTheme="minorHAnsi" w:hAnsiTheme="minorHAnsi" w:cstheme="minorHAnsi"/>
                <w:sz w:val="40"/>
                <w:szCs w:val="24"/>
              </w:rPr>
            </w:pPr>
            <w:r w:rsidRPr="00AB414F">
              <w:rPr>
                <w:rFonts w:asciiTheme="minorHAnsi" w:hAnsiTheme="minorHAnsi" w:cstheme="minorHAnsi"/>
                <w:sz w:val="40"/>
                <w:szCs w:val="24"/>
              </w:rPr>
              <w:t>Branch Manager</w:t>
            </w:r>
          </w:p>
          <w:p w:rsidR="00D5156E" w:rsidRDefault="00D5156E" w:rsidP="00D5156E">
            <w:pPr>
              <w:spacing w:line="360" w:lineRule="auto"/>
              <w:jc w:val="center"/>
            </w:pPr>
            <w:r w:rsidRPr="00AB414F">
              <w:rPr>
                <w:rFonts w:asciiTheme="minorHAnsi" w:hAnsiTheme="minorHAnsi" w:cstheme="minorHAnsi"/>
                <w:sz w:val="40"/>
                <w:szCs w:val="24"/>
              </w:rPr>
              <w:t>Labour Market Research and Analysis Branch</w:t>
            </w:r>
          </w:p>
        </w:tc>
      </w:tr>
    </w:tbl>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8F4207" w:rsidRDefault="008F4207" w:rsidP="00A52184">
      <w:pPr>
        <w:spacing w:line="360" w:lineRule="auto"/>
      </w:pPr>
    </w:p>
    <w:p w:rsidR="00A52184" w:rsidRDefault="00A52184" w:rsidP="00A52184">
      <w:pPr>
        <w:spacing w:line="360" w:lineRule="auto"/>
        <w:jc w:val="center"/>
      </w:pPr>
    </w:p>
    <w:p w:rsidR="00A52184" w:rsidRDefault="00A52184" w:rsidP="00A52184">
      <w:pPr>
        <w:spacing w:line="360" w:lineRule="auto"/>
      </w:pPr>
    </w:p>
    <w:p w:rsidR="00A52184" w:rsidRDefault="00A52184">
      <w:r>
        <w:br w:type="page"/>
      </w:r>
    </w:p>
    <w:p w:rsidR="00A52184" w:rsidRDefault="00A52184" w:rsidP="001C4839">
      <w:pPr>
        <w:pStyle w:val="Heading1"/>
      </w:pPr>
      <w:r w:rsidRPr="001C4839">
        <w:lastRenderedPageBreak/>
        <w:t>Slide 2</w:t>
      </w:r>
    </w:p>
    <w:p w:rsidR="001C4839" w:rsidRPr="00AB414F" w:rsidRDefault="001C4839" w:rsidP="001E36D2">
      <w:pPr>
        <w:pStyle w:val="Heading2"/>
        <w:jc w:val="center"/>
        <w:rPr>
          <w:sz w:val="32"/>
        </w:rPr>
      </w:pPr>
      <w:r w:rsidRPr="00AB414F">
        <w:rPr>
          <w:sz w:val="32"/>
        </w:rPr>
        <w:t>Albury-Wodonga Region</w:t>
      </w:r>
    </w:p>
    <w:p w:rsidR="00A52184" w:rsidRDefault="00A52184" w:rsidP="00A52184">
      <w:pPr>
        <w:spacing w:line="360" w:lineRule="auto"/>
        <w:jc w:val="center"/>
      </w:pPr>
      <w:r>
        <w:rPr>
          <w:noProof/>
          <w:lang w:eastAsia="en-AU"/>
        </w:rPr>
        <w:drawing>
          <wp:inline distT="0" distB="0" distL="0" distR="0">
            <wp:extent cx="5939790" cy="4455160"/>
            <wp:effectExtent l="19050" t="19050" r="22860" b="21590"/>
            <wp:docPr id="1" name="Picture 1" descr="A map of the Local Government Areas that make up the Albury-Wodonga region, with an inset showing the region's location within New South Wales and Victroria" title="Map of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w="3175">
                      <a:solidFill>
                        <a:schemeClr val="tx1"/>
                      </a:solidFill>
                    </a:ln>
                  </pic:spPr>
                </pic:pic>
              </a:graphicData>
            </a:graphic>
          </wp:inline>
        </w:drawing>
      </w:r>
    </w:p>
    <w:p w:rsidR="00A52184" w:rsidRDefault="00A52184" w:rsidP="00A52184">
      <w:pPr>
        <w:spacing w:line="360" w:lineRule="auto"/>
        <w:jc w:val="center"/>
      </w:pPr>
    </w:p>
    <w:p w:rsidR="00A52184" w:rsidRPr="008F4207" w:rsidRDefault="00A52184" w:rsidP="001C4839">
      <w:pPr>
        <w:pStyle w:val="Heading3"/>
        <w:rPr>
          <w:lang w:eastAsia="en-AU"/>
        </w:rPr>
      </w:pPr>
      <w:r w:rsidRPr="008F4207">
        <w:rPr>
          <w:lang w:eastAsia="en-AU"/>
        </w:rPr>
        <w:t>Albury-Wodonga Region</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Albury-Wodonga Region sits within the North Eastern Victoria Priority Employment Area and comprises five</w:t>
      </w:r>
      <w:r w:rsidR="00124B78">
        <w:rPr>
          <w:rFonts w:ascii="Calibri" w:hAnsi="Calibri" w:cs="Calibri"/>
          <w:color w:val="000000"/>
          <w:kern w:val="24"/>
          <w:sz w:val="24"/>
          <w:szCs w:val="24"/>
          <w:lang w:eastAsia="en-AU"/>
        </w:rPr>
        <w:t xml:space="preserve"> Local Government Areas</w:t>
      </w:r>
      <w:r>
        <w:rPr>
          <w:rFonts w:ascii="Calibri" w:hAnsi="Calibri" w:cs="Calibri"/>
          <w:color w:val="000000"/>
          <w:kern w:val="24"/>
          <w:sz w:val="24"/>
          <w:szCs w:val="24"/>
          <w:lang w:eastAsia="en-AU"/>
        </w:rPr>
        <w:t xml:space="preserve"> </w:t>
      </w:r>
      <w:r w:rsidR="00124B78">
        <w:rPr>
          <w:rFonts w:ascii="Calibri" w:hAnsi="Calibri" w:cs="Calibri"/>
          <w:color w:val="000000"/>
          <w:kern w:val="24"/>
          <w:sz w:val="24"/>
          <w:szCs w:val="24"/>
          <w:lang w:eastAsia="en-AU"/>
        </w:rPr>
        <w:t>(</w:t>
      </w:r>
      <w:proofErr w:type="spellStart"/>
      <w:r>
        <w:rPr>
          <w:rFonts w:ascii="Calibri" w:hAnsi="Calibri" w:cs="Calibri"/>
          <w:color w:val="000000"/>
          <w:kern w:val="24"/>
          <w:sz w:val="24"/>
          <w:szCs w:val="24"/>
          <w:lang w:eastAsia="en-AU"/>
        </w:rPr>
        <w:t>LGAs</w:t>
      </w:r>
      <w:proofErr w:type="spellEnd"/>
      <w:r w:rsidR="00124B78">
        <w:rPr>
          <w:rFonts w:ascii="Calibri" w:hAnsi="Calibri" w:cs="Calibri"/>
          <w:color w:val="000000"/>
          <w:kern w:val="24"/>
          <w:sz w:val="24"/>
          <w:szCs w:val="24"/>
          <w:lang w:eastAsia="en-AU"/>
        </w:rPr>
        <w:t>)</w:t>
      </w:r>
      <w:r>
        <w:rPr>
          <w:rFonts w:ascii="Calibri" w:hAnsi="Calibri" w:cs="Calibri"/>
          <w:color w:val="000000"/>
          <w:kern w:val="24"/>
          <w:sz w:val="24"/>
          <w:szCs w:val="24"/>
          <w:lang w:eastAsia="en-AU"/>
        </w:rPr>
        <w:t>:</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Albury</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Corowa Shire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Indigo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Wangaratta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Wodonga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Albury-Wodonga Region makes up 49 per cent of the Hume </w:t>
      </w:r>
      <w:proofErr w:type="spellStart"/>
      <w:r>
        <w:rPr>
          <w:rFonts w:ascii="Calibri" w:hAnsi="Calibri" w:cs="Calibri"/>
          <w:color w:val="000000"/>
          <w:kern w:val="24"/>
          <w:sz w:val="24"/>
          <w:szCs w:val="24"/>
          <w:lang w:eastAsia="en-AU"/>
        </w:rPr>
        <w:t>SA4</w:t>
      </w:r>
      <w:proofErr w:type="spellEnd"/>
      <w:r>
        <w:rPr>
          <w:rFonts w:ascii="Calibri" w:hAnsi="Calibri" w:cs="Calibri"/>
          <w:color w:val="000000"/>
          <w:kern w:val="24"/>
          <w:sz w:val="24"/>
          <w:szCs w:val="24"/>
          <w:lang w:eastAsia="en-AU"/>
        </w:rPr>
        <w:t xml:space="preserve"> (Victoria) and 53 percent of the Murray </w:t>
      </w:r>
      <w:proofErr w:type="spellStart"/>
      <w:r>
        <w:rPr>
          <w:rFonts w:ascii="Calibri" w:hAnsi="Calibri" w:cs="Calibri"/>
          <w:color w:val="000000"/>
          <w:kern w:val="24"/>
          <w:sz w:val="24"/>
          <w:szCs w:val="24"/>
          <w:lang w:eastAsia="en-AU"/>
        </w:rPr>
        <w:t>SA4</w:t>
      </w:r>
      <w:proofErr w:type="spellEnd"/>
      <w:r>
        <w:rPr>
          <w:rFonts w:ascii="Calibri" w:hAnsi="Calibri" w:cs="Calibri"/>
          <w:color w:val="000000"/>
          <w:kern w:val="24"/>
          <w:sz w:val="24"/>
          <w:szCs w:val="24"/>
          <w:lang w:eastAsia="en-AU"/>
        </w:rPr>
        <w:t xml:space="preserve"> (NSW).</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szCs w:val="22"/>
          <w:lang w:eastAsia="en-AU"/>
        </w:rPr>
      </w:pPr>
    </w:p>
    <w:p w:rsidR="00A52184" w:rsidRDefault="00A52184" w:rsidP="00A52184">
      <w:pPr>
        <w:autoSpaceDE w:val="0"/>
        <w:autoSpaceDN w:val="0"/>
        <w:adjustRightInd w:val="0"/>
        <w:rPr>
          <w:rFonts w:ascii="Calibri" w:hAnsi="Calibri" w:cs="Calibri"/>
          <w:color w:val="000000"/>
          <w:szCs w:val="22"/>
          <w:lang w:eastAsia="en-AU"/>
        </w:rPr>
      </w:pPr>
    </w:p>
    <w:p w:rsidR="00A52184" w:rsidRDefault="00A52184" w:rsidP="00A52184">
      <w:pPr>
        <w:autoSpaceDE w:val="0"/>
        <w:autoSpaceDN w:val="0"/>
        <w:adjustRightInd w:val="0"/>
        <w:rPr>
          <w:rFonts w:cs="Arial"/>
          <w:sz w:val="24"/>
          <w:szCs w:val="24"/>
          <w:lang w:eastAsia="en-AU"/>
        </w:rPr>
      </w:pPr>
    </w:p>
    <w:p w:rsidR="00A52184" w:rsidRDefault="00A52184"/>
    <w:p w:rsidR="00A52184" w:rsidRPr="009B2BAC" w:rsidRDefault="00A52184" w:rsidP="001C4839">
      <w:pPr>
        <w:pStyle w:val="Heading1"/>
      </w:pPr>
      <w:r w:rsidRPr="009B2BAC">
        <w:lastRenderedPageBreak/>
        <w:t>Slide 3</w:t>
      </w:r>
    </w:p>
    <w:p w:rsidR="00A52184" w:rsidRPr="00AB414F" w:rsidRDefault="008F4207" w:rsidP="001E36D2">
      <w:pPr>
        <w:pStyle w:val="Heading2"/>
        <w:jc w:val="center"/>
        <w:rPr>
          <w:sz w:val="32"/>
        </w:rPr>
      </w:pPr>
      <w:r w:rsidRPr="00AB414F">
        <w:rPr>
          <w:sz w:val="32"/>
        </w:rPr>
        <w:t>Population profile</w:t>
      </w:r>
    </w:p>
    <w:tbl>
      <w:tblPr>
        <w:tblW w:w="9414" w:type="dxa"/>
        <w:tblCellMar>
          <w:left w:w="0" w:type="dxa"/>
          <w:right w:w="0" w:type="dxa"/>
        </w:tblCellMar>
        <w:tblLook w:val="0600" w:firstRow="0" w:lastRow="0" w:firstColumn="0" w:lastColumn="0" w:noHBand="1" w:noVBand="1"/>
      </w:tblPr>
      <w:tblGrid>
        <w:gridCol w:w="3412"/>
        <w:gridCol w:w="2209"/>
        <w:gridCol w:w="2102"/>
        <w:gridCol w:w="1691"/>
      </w:tblGrid>
      <w:tr w:rsidR="008F4207" w:rsidRPr="009B2BAC" w:rsidTr="00D5156E">
        <w:trPr>
          <w:trHeight w:val="1054"/>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Region</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Adult Population</w:t>
            </w:r>
          </w:p>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(15+)</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Adult Population Growth</w:t>
            </w:r>
          </w:p>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(2007-2012)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Median Age</w:t>
            </w:r>
          </w:p>
        </w:tc>
      </w:tr>
      <w:tr w:rsidR="008F4207" w:rsidRPr="008F4207" w:rsidTr="00D5156E">
        <w:trPr>
          <w:trHeight w:val="298"/>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 xml:space="preserve"> Albury LGA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bottom"/>
              <w:rPr>
                <w:rFonts w:asciiTheme="minorHAnsi" w:hAnsiTheme="minorHAnsi" w:cstheme="minorHAnsi"/>
                <w:sz w:val="32"/>
                <w:szCs w:val="24"/>
                <w:lang w:eastAsia="en-AU"/>
              </w:rPr>
            </w:pPr>
            <w:r w:rsidRPr="00AB414F">
              <w:rPr>
                <w:rFonts w:asciiTheme="minorHAnsi" w:hAnsiTheme="minorHAnsi" w:cstheme="minorHAnsi"/>
                <w:sz w:val="32"/>
                <w:szCs w:val="24"/>
                <w:lang w:eastAsia="en-AU"/>
              </w:rPr>
              <w:t>40,300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bottom"/>
              <w:rPr>
                <w:rFonts w:asciiTheme="minorHAnsi" w:hAnsiTheme="minorHAnsi" w:cstheme="minorHAnsi"/>
                <w:sz w:val="32"/>
                <w:szCs w:val="24"/>
                <w:lang w:eastAsia="en-AU"/>
              </w:rPr>
            </w:pPr>
            <w:r w:rsidRPr="00AB414F">
              <w:rPr>
                <w:rFonts w:asciiTheme="minorHAnsi" w:hAnsiTheme="minorHAnsi" w:cstheme="minorHAnsi"/>
                <w:sz w:val="32"/>
                <w:szCs w:val="24"/>
                <w:lang w:eastAsia="en-AU"/>
              </w:rPr>
              <w:t>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37</w:t>
            </w:r>
          </w:p>
        </w:tc>
      </w:tr>
      <w:tr w:rsidR="008F4207" w:rsidRPr="008F4207" w:rsidTr="00D5156E">
        <w:trPr>
          <w:trHeight w:val="306"/>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 xml:space="preserve"> Wodonga LGA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28,800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35</w:t>
            </w:r>
          </w:p>
        </w:tc>
      </w:tr>
      <w:tr w:rsidR="008F4207" w:rsidRPr="008F4207" w:rsidTr="00D5156E">
        <w:trPr>
          <w:trHeight w:val="306"/>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 xml:space="preserve"> Corowa Shire LGA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9,300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47</w:t>
            </w:r>
          </w:p>
        </w:tc>
      </w:tr>
      <w:tr w:rsidR="008F4207" w:rsidRPr="008F4207" w:rsidTr="00D5156E">
        <w:trPr>
          <w:trHeight w:val="368"/>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AB414F">
            <w:pPr>
              <w:ind w:left="57"/>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Indigo LGA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12,500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44</w:t>
            </w:r>
          </w:p>
        </w:tc>
      </w:tr>
      <w:tr w:rsidR="008F4207" w:rsidRPr="008F4207" w:rsidTr="00D5156E">
        <w:trPr>
          <w:trHeight w:val="348"/>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AB414F">
            <w:pPr>
              <w:ind w:left="57"/>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Wangaratta LGA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22,200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43</w:t>
            </w:r>
          </w:p>
        </w:tc>
      </w:tr>
      <w:tr w:rsidR="008F4207" w:rsidRPr="009B2BAC" w:rsidTr="00D5156E">
        <w:trPr>
          <w:trHeight w:val="380"/>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 xml:space="preserve"> Albury-Wodonga Region</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bottom"/>
              <w:rPr>
                <w:rFonts w:asciiTheme="minorHAnsi" w:hAnsiTheme="minorHAnsi" w:cstheme="minorHAnsi"/>
                <w:sz w:val="32"/>
                <w:szCs w:val="24"/>
                <w:lang w:eastAsia="en-AU"/>
              </w:rPr>
            </w:pPr>
            <w:r w:rsidRPr="00AB414F">
              <w:rPr>
                <w:rFonts w:asciiTheme="minorHAnsi" w:hAnsiTheme="minorHAnsi" w:cstheme="minorHAnsi"/>
                <w:sz w:val="32"/>
                <w:szCs w:val="24"/>
                <w:lang w:eastAsia="en-AU"/>
              </w:rPr>
              <w:t>113,100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bottom"/>
              <w:rPr>
                <w:rFonts w:asciiTheme="minorHAnsi" w:hAnsiTheme="minorHAnsi" w:cstheme="minorHAnsi"/>
                <w:sz w:val="32"/>
                <w:szCs w:val="24"/>
                <w:lang w:eastAsia="en-AU"/>
              </w:rPr>
            </w:pPr>
            <w:r w:rsidRPr="00AB414F">
              <w:rPr>
                <w:rFonts w:asciiTheme="minorHAnsi" w:hAnsiTheme="minorHAnsi" w:cstheme="minorHAnsi"/>
                <w:sz w:val="32"/>
                <w:szCs w:val="24"/>
                <w:lang w:eastAsia="en-AU"/>
              </w:rPr>
              <w:t>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39</w:t>
            </w:r>
          </w:p>
        </w:tc>
      </w:tr>
      <w:tr w:rsidR="008F4207" w:rsidRPr="008F4207" w:rsidTr="00D5156E">
        <w:trPr>
          <w:trHeight w:val="413"/>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 xml:space="preserve"> Victoria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4,599,100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37</w:t>
            </w:r>
          </w:p>
        </w:tc>
      </w:tr>
      <w:tr w:rsidR="008F4207" w:rsidRPr="008F4207" w:rsidTr="00D5156E">
        <w:trPr>
          <w:trHeight w:val="413"/>
        </w:trPr>
        <w:tc>
          <w:tcPr>
            <w:tcW w:w="341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 xml:space="preserve"> Australia</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18,419,600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8F4207" w:rsidRPr="00AB414F" w:rsidRDefault="008F4207" w:rsidP="008F4207">
            <w:pPr>
              <w:jc w:val="center"/>
              <w:textAlignment w:val="center"/>
              <w:rPr>
                <w:rFonts w:asciiTheme="minorHAnsi" w:hAnsiTheme="minorHAnsi" w:cstheme="minorHAnsi"/>
                <w:sz w:val="32"/>
                <w:szCs w:val="24"/>
                <w:lang w:eastAsia="en-AU"/>
              </w:rPr>
            </w:pPr>
            <w:r w:rsidRPr="00AB414F">
              <w:rPr>
                <w:rFonts w:asciiTheme="minorHAnsi" w:hAnsiTheme="minorHAnsi" w:cstheme="minorHAnsi"/>
                <w:sz w:val="32"/>
                <w:szCs w:val="24"/>
                <w:lang w:eastAsia="en-AU"/>
              </w:rPr>
              <w:t>37</w:t>
            </w:r>
          </w:p>
        </w:tc>
      </w:tr>
    </w:tbl>
    <w:p w:rsidR="00A52184" w:rsidRPr="009B2BAC" w:rsidRDefault="00A52184" w:rsidP="00A52184">
      <w:pPr>
        <w:spacing w:line="360" w:lineRule="auto"/>
        <w:jc w:val="center"/>
        <w:rPr>
          <w:rFonts w:asciiTheme="minorHAnsi" w:hAnsiTheme="minorHAnsi" w:cstheme="minorHAnsi"/>
          <w:sz w:val="24"/>
          <w:szCs w:val="24"/>
        </w:rPr>
      </w:pPr>
    </w:p>
    <w:p w:rsidR="00A52184" w:rsidRPr="009B2BAC" w:rsidRDefault="00A52184" w:rsidP="001C4839">
      <w:pPr>
        <w:pStyle w:val="Heading3"/>
        <w:rPr>
          <w:lang w:eastAsia="en-AU"/>
        </w:rPr>
      </w:pPr>
      <w:r w:rsidRPr="009B2BAC">
        <w:rPr>
          <w:lang w:eastAsia="en-AU"/>
        </w:rPr>
        <w:t>Population Profile</w:t>
      </w:r>
    </w:p>
    <w:p w:rsidR="00A52184" w:rsidRPr="009B2BAC" w:rsidRDefault="00A52184" w:rsidP="00A52184">
      <w:pPr>
        <w:autoSpaceDE w:val="0"/>
        <w:autoSpaceDN w:val="0"/>
        <w:adjustRightInd w:val="0"/>
        <w:rPr>
          <w:rFonts w:asciiTheme="minorHAnsi" w:hAnsiTheme="minorHAnsi" w:cstheme="minorHAnsi"/>
          <w:i/>
          <w:iCs/>
          <w:color w:val="000000"/>
          <w:kern w:val="24"/>
          <w:sz w:val="24"/>
          <w:szCs w:val="24"/>
          <w:lang w:eastAsia="en-AU"/>
        </w:rPr>
      </w:pPr>
      <w:r w:rsidRPr="009B2BAC">
        <w:rPr>
          <w:rFonts w:asciiTheme="minorHAnsi" w:hAnsiTheme="minorHAnsi" w:cstheme="minorHAnsi"/>
          <w:i/>
          <w:iCs/>
          <w:color w:val="000000"/>
          <w:kern w:val="24"/>
          <w:sz w:val="24"/>
          <w:szCs w:val="24"/>
          <w:lang w:eastAsia="en-AU"/>
        </w:rPr>
        <w:t>Sources: ABS Estimated Resident Population 2012; ABS, Census of Population and Housing, Usual Residence, 2011</w:t>
      </w:r>
      <w:r w:rsidRPr="009B2BAC">
        <w:rPr>
          <w:rFonts w:asciiTheme="minorHAnsi" w:hAnsiTheme="minorHAnsi" w:cstheme="minorHAnsi"/>
          <w:color w:val="000000"/>
          <w:kern w:val="24"/>
          <w:sz w:val="24"/>
          <w:szCs w:val="24"/>
          <w:lang w:eastAsia="en-AU"/>
        </w:rPr>
        <w:t xml:space="preserve"> </w:t>
      </w:r>
    </w:p>
    <w:p w:rsidR="00A52184" w:rsidRPr="009B2BAC" w:rsidRDefault="00A52184" w:rsidP="00A52184">
      <w:pPr>
        <w:autoSpaceDE w:val="0"/>
        <w:autoSpaceDN w:val="0"/>
        <w:adjustRightInd w:val="0"/>
        <w:rPr>
          <w:rFonts w:asciiTheme="minorHAnsi" w:hAnsiTheme="minorHAnsi" w:cstheme="minorHAnsi"/>
          <w:color w:val="000000"/>
          <w:kern w:val="24"/>
          <w:sz w:val="24"/>
          <w:szCs w:val="24"/>
          <w:lang w:eastAsia="en-AU"/>
        </w:rPr>
      </w:pPr>
    </w:p>
    <w:p w:rsidR="00A52184" w:rsidRPr="009B2BAC" w:rsidRDefault="00A52184" w:rsidP="00A52184">
      <w:pPr>
        <w:autoSpaceDE w:val="0"/>
        <w:autoSpaceDN w:val="0"/>
        <w:adjustRightInd w:val="0"/>
        <w:rPr>
          <w:rFonts w:asciiTheme="minorHAnsi" w:hAnsiTheme="minorHAnsi" w:cstheme="minorHAnsi"/>
          <w:color w:val="000000"/>
          <w:kern w:val="24"/>
          <w:sz w:val="24"/>
          <w:szCs w:val="24"/>
          <w:lang w:eastAsia="en-AU"/>
        </w:rPr>
      </w:pPr>
      <w:r w:rsidRPr="009B2BAC">
        <w:rPr>
          <w:rFonts w:asciiTheme="minorHAnsi" w:hAnsiTheme="minorHAnsi" w:cstheme="minorHAnsi"/>
          <w:color w:val="000000"/>
          <w:kern w:val="24"/>
          <w:sz w:val="24"/>
          <w:szCs w:val="24"/>
          <w:lang w:eastAsia="en-AU"/>
        </w:rPr>
        <w:t xml:space="preserve">In the five years to 2011 the Albury-Wodonga Region experienced slower growth in the adult population (15 years and over) than Victorian and Australia (both 10 per cent). Within the region growth has been strongest in the major centres, Wodonga and, to a lesser extent, Albury. </w:t>
      </w:r>
    </w:p>
    <w:p w:rsidR="00A52184" w:rsidRPr="009B2BAC" w:rsidRDefault="00A52184" w:rsidP="00A52184">
      <w:pPr>
        <w:autoSpaceDE w:val="0"/>
        <w:autoSpaceDN w:val="0"/>
        <w:adjustRightInd w:val="0"/>
        <w:rPr>
          <w:rFonts w:asciiTheme="minorHAnsi" w:hAnsiTheme="minorHAnsi" w:cstheme="minorHAnsi"/>
          <w:color w:val="000000"/>
          <w:kern w:val="24"/>
          <w:sz w:val="24"/>
          <w:szCs w:val="24"/>
          <w:lang w:eastAsia="en-AU"/>
        </w:rPr>
      </w:pPr>
    </w:p>
    <w:p w:rsidR="00A52184" w:rsidRPr="009B2BAC" w:rsidRDefault="00A52184" w:rsidP="00A52184">
      <w:pPr>
        <w:autoSpaceDE w:val="0"/>
        <w:autoSpaceDN w:val="0"/>
        <w:adjustRightInd w:val="0"/>
        <w:rPr>
          <w:rFonts w:asciiTheme="minorHAnsi" w:hAnsiTheme="minorHAnsi" w:cstheme="minorHAnsi"/>
          <w:color w:val="000000"/>
          <w:kern w:val="24"/>
          <w:sz w:val="24"/>
          <w:szCs w:val="24"/>
          <w:lang w:eastAsia="en-AU"/>
        </w:rPr>
      </w:pPr>
      <w:r w:rsidRPr="009B2BAC">
        <w:rPr>
          <w:rFonts w:asciiTheme="minorHAnsi" w:hAnsiTheme="minorHAnsi" w:cstheme="minorHAnsi"/>
          <w:color w:val="000000"/>
          <w:kern w:val="24"/>
          <w:sz w:val="24"/>
          <w:szCs w:val="24"/>
          <w:lang w:eastAsia="en-AU"/>
        </w:rPr>
        <w:t>The median age in the Albury-Wodonga Region is only slightly higher than the state average, although Corowa Shire LGA and Indigo LGA have significantly higher median ages.</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1C4839">
      <w:pPr>
        <w:pStyle w:val="Heading1"/>
      </w:pPr>
      <w:r>
        <w:lastRenderedPageBreak/>
        <w:t>Slide 4</w:t>
      </w:r>
    </w:p>
    <w:p w:rsidR="00A52184" w:rsidRPr="00BE3967" w:rsidRDefault="001C4839" w:rsidP="001E36D2">
      <w:pPr>
        <w:pStyle w:val="Heading2"/>
        <w:jc w:val="center"/>
        <w:rPr>
          <w:sz w:val="32"/>
        </w:rPr>
      </w:pPr>
      <w:r w:rsidRPr="00BE3967">
        <w:rPr>
          <w:sz w:val="32"/>
        </w:rPr>
        <w:t>Age Distribution</w:t>
      </w:r>
    </w:p>
    <w:p w:rsidR="00A52184" w:rsidRDefault="009B2BAC" w:rsidP="00A52184">
      <w:pPr>
        <w:spacing w:line="360" w:lineRule="auto"/>
        <w:jc w:val="center"/>
      </w:pPr>
      <w:r>
        <w:rPr>
          <w:noProof/>
          <w:lang w:eastAsia="en-AU"/>
        </w:rPr>
        <w:drawing>
          <wp:inline distT="0" distB="0" distL="0" distR="0">
            <wp:extent cx="5939790" cy="4455160"/>
            <wp:effectExtent l="19050" t="19050" r="22860" b="21590"/>
            <wp:docPr id="2" name="Picture 2" descr="graph that shows the age distribition of Albury-Wodonga compared with Victoira. See Notes for detail. " title="Ag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w="3175">
                      <a:solidFill>
                        <a:schemeClr val="tx1"/>
                      </a:solidFill>
                    </a:ln>
                  </pic:spPr>
                </pic:pic>
              </a:graphicData>
            </a:graphic>
          </wp:inline>
        </w:drawing>
      </w:r>
    </w:p>
    <w:p w:rsidR="00A52184" w:rsidRDefault="00A52184" w:rsidP="00A52184">
      <w:pPr>
        <w:spacing w:line="360" w:lineRule="auto"/>
        <w:jc w:val="center"/>
      </w:pPr>
    </w:p>
    <w:p w:rsidR="00A52184" w:rsidRPr="009B2BAC" w:rsidRDefault="00A52184" w:rsidP="001C4839">
      <w:pPr>
        <w:pStyle w:val="Heading3"/>
        <w:rPr>
          <w:lang w:eastAsia="en-AU"/>
        </w:rPr>
      </w:pPr>
      <w:r w:rsidRPr="009B2BAC">
        <w:rPr>
          <w:lang w:eastAsia="en-AU"/>
        </w:rPr>
        <w:t>Age distribution</w:t>
      </w:r>
    </w:p>
    <w:p w:rsidR="00A52184" w:rsidRDefault="00A52184" w:rsidP="00A52184">
      <w:pPr>
        <w:autoSpaceDE w:val="0"/>
        <w:autoSpaceDN w:val="0"/>
        <w:adjustRightInd w:val="0"/>
        <w:rPr>
          <w:rFonts w:ascii="Calibri" w:hAnsi="Times New Roman" w:cs="Calibri"/>
          <w:i/>
          <w:iCs/>
          <w:color w:val="000000"/>
          <w:kern w:val="24"/>
          <w:sz w:val="24"/>
          <w:szCs w:val="24"/>
          <w:lang w:eastAsia="en-AU"/>
        </w:rPr>
      </w:pPr>
      <w:r>
        <w:rPr>
          <w:rFonts w:ascii="Calibri" w:hAnsi="Times New Roman" w:cs="Calibri"/>
          <w:i/>
          <w:iCs/>
          <w:color w:val="000000"/>
          <w:kern w:val="24"/>
          <w:sz w:val="24"/>
          <w:szCs w:val="24"/>
          <w:lang w:eastAsia="en-AU"/>
        </w:rPr>
        <w:t>Sources: ABS, Estimated Residential Population 2006 &amp; 2011</w:t>
      </w: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Calibri" w:cs="Calibri"/>
          <w:color w:val="000000"/>
          <w:kern w:val="24"/>
          <w:sz w:val="24"/>
          <w:szCs w:val="24"/>
          <w:lang w:eastAsia="en-AU"/>
        </w:rPr>
        <w:tab/>
      </w: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Calibri" w:cs="Calibri"/>
          <w:color w:val="000000"/>
          <w:kern w:val="24"/>
          <w:sz w:val="24"/>
          <w:szCs w:val="24"/>
          <w:lang w:eastAsia="en-AU"/>
        </w:rPr>
        <w:t xml:space="preserve">This graph shows the age distribution of Albury-Wodonga Region compared with the age distribution of Victoria. </w:t>
      </w:r>
      <w:r>
        <w:rPr>
          <w:rFonts w:ascii="Calibri" w:hAnsi="Times New Roman" w:cs="Calibri"/>
          <w:color w:val="000000"/>
          <w:kern w:val="24"/>
          <w:sz w:val="24"/>
          <w:szCs w:val="24"/>
          <w:lang w:eastAsia="en-AU"/>
        </w:rPr>
        <w:t>The age distribution of the region shows that a markedly smaller proportion of the population is made up of people aged between 20 and 44 years, when compared with the Victorian age distribution. Similar demographic patterns exist for other regional areas and are due in part to young adults moving to major urban centres.</w:t>
      </w:r>
    </w:p>
    <w:p w:rsidR="00A52184" w:rsidRDefault="00A52184" w:rsidP="00A52184">
      <w:pPr>
        <w:autoSpaceDE w:val="0"/>
        <w:autoSpaceDN w:val="0"/>
        <w:adjustRightInd w:val="0"/>
        <w:rPr>
          <w:rFonts w:ascii="Calibri" w:hAnsi="Calibri" w:cs="Calibri"/>
          <w:color w:val="000000"/>
          <w:szCs w:val="22"/>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Pr="009B2BAC" w:rsidRDefault="00A52184" w:rsidP="00775094">
      <w:pPr>
        <w:pStyle w:val="Heading1"/>
      </w:pPr>
      <w:r w:rsidRPr="009B2BAC">
        <w:lastRenderedPageBreak/>
        <w:t>Slide 5</w:t>
      </w:r>
    </w:p>
    <w:p w:rsidR="00A52184" w:rsidRPr="00CB1AD5" w:rsidRDefault="009B2BAC" w:rsidP="00775094">
      <w:pPr>
        <w:pStyle w:val="Heading2"/>
        <w:jc w:val="center"/>
        <w:rPr>
          <w:sz w:val="32"/>
        </w:rPr>
      </w:pPr>
      <w:r w:rsidRPr="00CB1AD5">
        <w:rPr>
          <w:sz w:val="32"/>
        </w:rPr>
        <w:t>Ageing labour force</w:t>
      </w:r>
    </w:p>
    <w:p w:rsidR="009B2BAC" w:rsidRPr="00CB1AD5" w:rsidRDefault="009B2BAC" w:rsidP="001E36D2">
      <w:pPr>
        <w:pStyle w:val="Heading2"/>
        <w:jc w:val="center"/>
        <w:rPr>
          <w:sz w:val="32"/>
        </w:rPr>
      </w:pPr>
      <w:r w:rsidRPr="00CB1AD5">
        <w:rPr>
          <w:sz w:val="32"/>
        </w:rPr>
        <w:t>Albury-Wodonga Region</w:t>
      </w:r>
    </w:p>
    <w:tbl>
      <w:tblPr>
        <w:tblW w:w="9488" w:type="dxa"/>
        <w:tblCellMar>
          <w:left w:w="0" w:type="dxa"/>
          <w:right w:w="0" w:type="dxa"/>
        </w:tblCellMar>
        <w:tblLook w:val="0600" w:firstRow="0" w:lastRow="0" w:firstColumn="0" w:lastColumn="0" w:noHBand="1" w:noVBand="1"/>
      </w:tblPr>
      <w:tblGrid>
        <w:gridCol w:w="2865"/>
        <w:gridCol w:w="2327"/>
        <w:gridCol w:w="2148"/>
        <w:gridCol w:w="2148"/>
      </w:tblGrid>
      <w:tr w:rsidR="00850D05" w:rsidRPr="00850D05" w:rsidTr="00442640">
        <w:trPr>
          <w:trHeight w:val="568"/>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Age</w:t>
            </w:r>
          </w:p>
        </w:tc>
        <w:tc>
          <w:tcPr>
            <w:tcW w:w="2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2007</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2012</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Growth</w:t>
            </w:r>
          </w:p>
        </w:tc>
      </w:tr>
      <w:tr w:rsidR="00850D05" w:rsidRPr="00850D05" w:rsidTr="00442640">
        <w:trPr>
          <w:trHeight w:val="568"/>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15-49 years</w:t>
            </w:r>
          </w:p>
        </w:tc>
        <w:tc>
          <w:tcPr>
            <w:tcW w:w="2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63,170</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62,520</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-1%</w:t>
            </w:r>
          </w:p>
        </w:tc>
      </w:tr>
      <w:tr w:rsidR="00850D05" w:rsidRPr="00850D05" w:rsidTr="00442640">
        <w:trPr>
          <w:trHeight w:val="568"/>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50 years and over</w:t>
            </w:r>
          </w:p>
        </w:tc>
        <w:tc>
          <w:tcPr>
            <w:tcW w:w="2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44,340</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50,610</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14%</w:t>
            </w:r>
          </w:p>
        </w:tc>
      </w:tr>
      <w:tr w:rsidR="00850D05" w:rsidRPr="00850D05" w:rsidTr="00442640">
        <w:trPr>
          <w:trHeight w:val="568"/>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bCs/>
                <w:sz w:val="32"/>
                <w:szCs w:val="24"/>
              </w:rPr>
              <w:t>Total</w:t>
            </w:r>
          </w:p>
        </w:tc>
        <w:tc>
          <w:tcPr>
            <w:tcW w:w="232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107,520</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113,140</w:t>
            </w:r>
          </w:p>
        </w:tc>
        <w:tc>
          <w:tcPr>
            <w:tcW w:w="21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F78EA" w:rsidRPr="00CB1AD5" w:rsidRDefault="00850D05" w:rsidP="00850D05">
            <w:pPr>
              <w:spacing w:line="360" w:lineRule="auto"/>
              <w:jc w:val="center"/>
              <w:rPr>
                <w:rFonts w:asciiTheme="minorHAnsi" w:hAnsiTheme="minorHAnsi" w:cstheme="minorHAnsi"/>
                <w:sz w:val="32"/>
                <w:szCs w:val="24"/>
              </w:rPr>
            </w:pPr>
            <w:r w:rsidRPr="00CB1AD5">
              <w:rPr>
                <w:rFonts w:asciiTheme="minorHAnsi" w:hAnsiTheme="minorHAnsi" w:cstheme="minorHAnsi"/>
                <w:sz w:val="32"/>
                <w:szCs w:val="24"/>
              </w:rPr>
              <w:t>5%</w:t>
            </w:r>
          </w:p>
        </w:tc>
      </w:tr>
    </w:tbl>
    <w:p w:rsidR="00A52184" w:rsidRDefault="00A52184" w:rsidP="00442640">
      <w:pPr>
        <w:spacing w:line="360" w:lineRule="auto"/>
        <w:rPr>
          <w:rFonts w:asciiTheme="minorHAnsi" w:hAnsiTheme="minorHAnsi" w:cstheme="minorHAnsi"/>
          <w:sz w:val="24"/>
          <w:szCs w:val="24"/>
        </w:rPr>
      </w:pPr>
    </w:p>
    <w:p w:rsidR="001E36D2" w:rsidRPr="001E36D2" w:rsidRDefault="001E36D2" w:rsidP="001E36D2">
      <w:pPr>
        <w:pStyle w:val="Heading3"/>
      </w:pPr>
      <w:r>
        <w:t>Albury-Wodonga Region</w:t>
      </w:r>
    </w:p>
    <w:p w:rsidR="00A52184" w:rsidRPr="009B2BAC" w:rsidRDefault="00A52184" w:rsidP="00A52184">
      <w:pPr>
        <w:autoSpaceDE w:val="0"/>
        <w:autoSpaceDN w:val="0"/>
        <w:adjustRightInd w:val="0"/>
        <w:rPr>
          <w:rFonts w:asciiTheme="minorHAnsi" w:hAnsiTheme="minorHAnsi" w:cstheme="minorHAnsi"/>
          <w:i/>
          <w:iCs/>
          <w:color w:val="000000"/>
          <w:kern w:val="24"/>
          <w:sz w:val="24"/>
          <w:szCs w:val="24"/>
          <w:lang w:eastAsia="en-AU"/>
        </w:rPr>
      </w:pPr>
      <w:r w:rsidRPr="009B2BAC">
        <w:rPr>
          <w:rFonts w:asciiTheme="minorHAnsi" w:hAnsiTheme="minorHAnsi" w:cstheme="minorHAnsi"/>
          <w:i/>
          <w:iCs/>
          <w:color w:val="000000"/>
          <w:kern w:val="24"/>
          <w:sz w:val="24"/>
          <w:szCs w:val="24"/>
          <w:lang w:eastAsia="en-AU"/>
        </w:rPr>
        <w:t>Source: ABS, Estimated Residential Population 2007 and 2012</w:t>
      </w:r>
    </w:p>
    <w:p w:rsidR="00A52184" w:rsidRPr="009B2BAC" w:rsidRDefault="00A52184" w:rsidP="00A52184">
      <w:pPr>
        <w:autoSpaceDE w:val="0"/>
        <w:autoSpaceDN w:val="0"/>
        <w:adjustRightInd w:val="0"/>
        <w:rPr>
          <w:rFonts w:asciiTheme="minorHAnsi" w:hAnsiTheme="minorHAnsi" w:cstheme="minorHAnsi"/>
          <w:i/>
          <w:iCs/>
          <w:color w:val="000000"/>
          <w:kern w:val="24"/>
          <w:sz w:val="24"/>
          <w:szCs w:val="24"/>
          <w:lang w:eastAsia="en-AU"/>
        </w:rPr>
      </w:pPr>
    </w:p>
    <w:p w:rsidR="00A52184" w:rsidRPr="009B2BAC" w:rsidRDefault="00A52184" w:rsidP="00A52184">
      <w:pPr>
        <w:autoSpaceDE w:val="0"/>
        <w:autoSpaceDN w:val="0"/>
        <w:adjustRightInd w:val="0"/>
        <w:rPr>
          <w:rFonts w:asciiTheme="minorHAnsi" w:hAnsiTheme="minorHAnsi" w:cstheme="minorHAnsi"/>
          <w:color w:val="000000"/>
          <w:kern w:val="24"/>
          <w:sz w:val="24"/>
          <w:szCs w:val="24"/>
          <w:lang w:eastAsia="en-AU"/>
        </w:rPr>
      </w:pPr>
      <w:r w:rsidRPr="009B2BAC">
        <w:rPr>
          <w:rFonts w:asciiTheme="minorHAnsi" w:hAnsiTheme="minorHAnsi" w:cstheme="minorHAnsi"/>
          <w:color w:val="000000"/>
          <w:kern w:val="24"/>
          <w:sz w:val="24"/>
          <w:szCs w:val="24"/>
          <w:lang w:eastAsia="en-AU"/>
        </w:rPr>
        <w:t xml:space="preserve">Between 2006 and 2011 the population above 50 years of age increased considerably in the Albury-Wodonga Region. On the other hand, the population 15-49 year declined slightly. </w:t>
      </w:r>
    </w:p>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1E36D2">
      <w:pPr>
        <w:pStyle w:val="Heading1"/>
      </w:pPr>
      <w:r>
        <w:lastRenderedPageBreak/>
        <w:t>Slide 6</w:t>
      </w:r>
    </w:p>
    <w:p w:rsidR="00A52184" w:rsidRDefault="00A52184" w:rsidP="00A52184">
      <w:pPr>
        <w:spacing w:line="360" w:lineRule="auto"/>
      </w:pPr>
    </w:p>
    <w:p w:rsidR="001E36D2" w:rsidRPr="00CB1AD5" w:rsidRDefault="001E36D2" w:rsidP="001E36D2">
      <w:pPr>
        <w:pStyle w:val="Heading2"/>
        <w:jc w:val="center"/>
        <w:rPr>
          <w:sz w:val="32"/>
        </w:rPr>
      </w:pPr>
      <w:r w:rsidRPr="00CB1AD5">
        <w:rPr>
          <w:sz w:val="32"/>
        </w:rPr>
        <w:t>Full-time employment decreasing</w:t>
      </w:r>
    </w:p>
    <w:p w:rsidR="001E36D2" w:rsidRPr="00CB1AD5" w:rsidRDefault="001E36D2" w:rsidP="001E36D2">
      <w:pPr>
        <w:pStyle w:val="Heading2"/>
        <w:jc w:val="center"/>
        <w:rPr>
          <w:sz w:val="32"/>
        </w:rPr>
      </w:pPr>
      <w:r w:rsidRPr="00CB1AD5">
        <w:rPr>
          <w:sz w:val="32"/>
        </w:rPr>
        <w:t>Working age population (15-64), 2009-2014</w:t>
      </w:r>
    </w:p>
    <w:p w:rsidR="00A52184" w:rsidRDefault="00442640" w:rsidP="00A52184">
      <w:pPr>
        <w:spacing w:line="360" w:lineRule="auto"/>
        <w:jc w:val="center"/>
      </w:pPr>
      <w:r>
        <w:rPr>
          <w:noProof/>
          <w:lang w:eastAsia="en-AU"/>
        </w:rPr>
        <w:drawing>
          <wp:inline distT="0" distB="0" distL="0" distR="0">
            <wp:extent cx="5939790" cy="4455160"/>
            <wp:effectExtent l="19050" t="19050" r="22860" b="21590"/>
            <wp:docPr id="3" name="Picture 3" descr="Employment growth over the 5 years to February 2014:&#10;Male, full-time, NE Vic PEA: 0%&#10;Male, full-time, Victoria: 4%&#10;Male, part-time, NE Vic PEA: 17%&#10;Male, part-time, Victoria: 11%&#10;Female, full-time, NE Vic PEA: -6%&#10;Female, full-time, Victoria: 6%&#10;Female, part-time, NE Vic PEA: 16%&#10;Female, part-time, Victoria: 11%" title="Full-time employment decreasing, working age population (15-64), 2009-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Pr="00442640" w:rsidRDefault="00A52184" w:rsidP="001E36D2">
      <w:pPr>
        <w:pStyle w:val="Heading3"/>
        <w:rPr>
          <w:lang w:eastAsia="en-AU"/>
        </w:rPr>
      </w:pPr>
      <w:r w:rsidRPr="00442640">
        <w:rPr>
          <w:lang w:eastAsia="en-AU"/>
        </w:rPr>
        <w:t>Full-time employment decreasing</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Times New Roman" w:cs="Calibri"/>
          <w:i/>
          <w:iCs/>
          <w:color w:val="000000"/>
          <w:kern w:val="24"/>
          <w:sz w:val="24"/>
          <w:szCs w:val="24"/>
          <w:lang w:eastAsia="en-AU"/>
        </w:rPr>
        <w:t>Source: ABS Labour Force Survey, February 2014, 12 month averages of original data</w:t>
      </w:r>
    </w:p>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The NE Victoria PEA figures are an aggregation of the Murray, Hume and Shepparton </w:t>
      </w:r>
      <w:proofErr w:type="spellStart"/>
      <w:r>
        <w:rPr>
          <w:rFonts w:ascii="Calibri" w:hAnsi="Calibri" w:cs="Calibri"/>
          <w:i/>
          <w:iCs/>
          <w:color w:val="000000"/>
          <w:kern w:val="24"/>
          <w:sz w:val="24"/>
          <w:szCs w:val="24"/>
          <w:lang w:eastAsia="en-AU"/>
        </w:rPr>
        <w:t>SA4s</w:t>
      </w:r>
      <w:proofErr w:type="spellEnd"/>
      <w:r>
        <w:rPr>
          <w:rFonts w:ascii="Calibri" w:hAnsi="Calibri" w:cs="Calibri"/>
          <w:i/>
          <w:iCs/>
          <w:color w:val="000000"/>
          <w:kern w:val="24"/>
          <w:sz w:val="24"/>
          <w:szCs w:val="24"/>
          <w:lang w:eastAsia="en-AU"/>
        </w:rPr>
        <w:t xml:space="preserve">. The NE Victoria PEA makes up 73 per cent of the combined Murray, Hume and Shepparton </w:t>
      </w:r>
      <w:proofErr w:type="spellStart"/>
      <w:r>
        <w:rPr>
          <w:rFonts w:ascii="Calibri" w:hAnsi="Calibri" w:cs="Calibri"/>
          <w:i/>
          <w:iCs/>
          <w:color w:val="000000"/>
          <w:kern w:val="24"/>
          <w:sz w:val="24"/>
          <w:szCs w:val="24"/>
          <w:lang w:eastAsia="en-AU"/>
        </w:rPr>
        <w:t>SA4s</w:t>
      </w:r>
      <w:proofErr w:type="spellEnd"/>
      <w:r>
        <w:rPr>
          <w:rFonts w:ascii="Calibri" w:hAnsi="Calibri" w:cs="Calibri"/>
          <w:i/>
          <w:iCs/>
          <w:color w:val="000000"/>
          <w:kern w:val="24"/>
          <w:sz w:val="24"/>
          <w:szCs w:val="24"/>
          <w:lang w:eastAsia="en-AU"/>
        </w:rPr>
        <w:t>.</w:t>
      </w:r>
    </w:p>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Full-time jobs growth in the NE Victoria PEA was negative between February 2009 and February 2014, with no change in male full-time employment, and a 6 per cent decrease in female full-time employment.</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1E36D2">
      <w:pPr>
        <w:pStyle w:val="Heading1"/>
      </w:pPr>
      <w:r>
        <w:lastRenderedPageBreak/>
        <w:t>Slide 7</w:t>
      </w:r>
    </w:p>
    <w:p w:rsidR="001E36D2" w:rsidRDefault="001E36D2" w:rsidP="001E36D2"/>
    <w:p w:rsidR="00A52184" w:rsidRPr="00CB1AD5" w:rsidRDefault="001E36D2" w:rsidP="002B734E">
      <w:pPr>
        <w:pStyle w:val="Heading2"/>
        <w:jc w:val="center"/>
        <w:rPr>
          <w:sz w:val="32"/>
        </w:rPr>
      </w:pPr>
      <w:r w:rsidRPr="00CB1AD5">
        <w:rPr>
          <w:sz w:val="32"/>
        </w:rPr>
        <w:t>Unemployment on the rise</w:t>
      </w:r>
    </w:p>
    <w:p w:rsidR="00A52184" w:rsidRDefault="00442640" w:rsidP="00A52184">
      <w:pPr>
        <w:spacing w:line="360" w:lineRule="auto"/>
        <w:jc w:val="center"/>
      </w:pPr>
      <w:r>
        <w:rPr>
          <w:noProof/>
          <w:lang w:eastAsia="en-AU"/>
        </w:rPr>
        <w:drawing>
          <wp:inline distT="0" distB="0" distL="0" distR="0">
            <wp:extent cx="5939790" cy="4455160"/>
            <wp:effectExtent l="19050" t="19050" r="22860" b="21590"/>
            <wp:docPr id="4" name="Picture 4" descr="A line graph showing the unemployment rates for the Albury LGA, Albury-Wodonga Region and Victoria from September 2008 to December 2013, noting that unemployment has recently increased in the Albury-Wodonga region." title="Unemployment on the 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1E36D2">
      <w:pPr>
        <w:pStyle w:val="Heading3"/>
        <w:rPr>
          <w:lang w:eastAsia="en-AU"/>
        </w:rPr>
      </w:pPr>
      <w:r>
        <w:rPr>
          <w:lang w:eastAsia="en-AU"/>
        </w:rPr>
        <w:t>Unemployment on the rise</w:t>
      </w:r>
    </w:p>
    <w:p w:rsidR="00A52184" w:rsidRDefault="00A52184" w:rsidP="00A52184">
      <w:pPr>
        <w:autoSpaceDE w:val="0"/>
        <w:autoSpaceDN w:val="0"/>
        <w:adjustRightInd w:val="0"/>
        <w:rPr>
          <w:rFonts w:ascii="Calibri" w:hAnsi="Times New Roman" w:cs="Calibri"/>
          <w:i/>
          <w:iCs/>
          <w:color w:val="000000"/>
          <w:kern w:val="24"/>
          <w:sz w:val="24"/>
          <w:szCs w:val="24"/>
          <w:lang w:eastAsia="en-AU"/>
        </w:rPr>
      </w:pPr>
      <w:r>
        <w:rPr>
          <w:rFonts w:ascii="Calibri" w:hAnsi="Calibri" w:cs="Calibri"/>
          <w:i/>
          <w:iCs/>
          <w:color w:val="000000"/>
          <w:kern w:val="24"/>
          <w:sz w:val="24"/>
          <w:szCs w:val="24"/>
          <w:lang w:eastAsia="en-AU"/>
        </w:rPr>
        <w:t>Source:</w:t>
      </w:r>
      <w:r>
        <w:rPr>
          <w:rFonts w:ascii="Calibri" w:hAnsi="Calibri" w:cs="Calibri"/>
          <w:color w:val="000000"/>
          <w:kern w:val="24"/>
          <w:sz w:val="24"/>
          <w:szCs w:val="24"/>
          <w:lang w:eastAsia="en-AU"/>
        </w:rPr>
        <w:t xml:space="preserve"> </w:t>
      </w:r>
      <w:r>
        <w:rPr>
          <w:rFonts w:ascii="Calibri" w:hAnsi="Calibri" w:cs="Calibri"/>
          <w:i/>
          <w:iCs/>
          <w:color w:val="000000"/>
          <w:kern w:val="24"/>
          <w:sz w:val="24"/>
          <w:szCs w:val="24"/>
          <w:lang w:eastAsia="en-AU"/>
        </w:rPr>
        <w:t>Department of Employment, Small Area Labour Markets</w:t>
      </w:r>
      <w:r>
        <w:rPr>
          <w:rFonts w:ascii="Calibri" w:hAnsi="Times New Roman" w:cs="Calibri"/>
          <w:i/>
          <w:iCs/>
          <w:color w:val="000000"/>
          <w:kern w:val="24"/>
          <w:sz w:val="24"/>
          <w:szCs w:val="24"/>
          <w:lang w:eastAsia="en-AU"/>
        </w:rPr>
        <w:t>, December Quarter 2013</w:t>
      </w:r>
    </w:p>
    <w:p w:rsidR="00A52184" w:rsidRDefault="00A52184" w:rsidP="00A52184">
      <w:pPr>
        <w:autoSpaceDE w:val="0"/>
        <w:autoSpaceDN w:val="0"/>
        <w:adjustRightInd w:val="0"/>
        <w:rPr>
          <w:rFonts w:ascii="Calibri" w:hAnsi="Times New Roman"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unemployment rate for the Albury-Wodonga Region (5.9 per cent) is slightly higher than the national unemployment rate (5.8 per cent) but lower than the state unemployment rate (6.2 per cent).</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1E36D2">
      <w:pPr>
        <w:pStyle w:val="Heading1"/>
      </w:pPr>
      <w:r w:rsidRPr="00442640">
        <w:lastRenderedPageBreak/>
        <w:t>Slide 8</w:t>
      </w:r>
    </w:p>
    <w:p w:rsidR="002B734E" w:rsidRPr="002B734E" w:rsidRDefault="002B734E" w:rsidP="002B734E"/>
    <w:p w:rsidR="00A52184" w:rsidRPr="00CB1AD5" w:rsidRDefault="00442640" w:rsidP="002B734E">
      <w:pPr>
        <w:pStyle w:val="Heading2"/>
        <w:jc w:val="center"/>
        <w:rPr>
          <w:sz w:val="32"/>
        </w:rPr>
      </w:pPr>
      <w:r w:rsidRPr="00CB1AD5">
        <w:rPr>
          <w:sz w:val="32"/>
        </w:rPr>
        <w:t>Unemployment rate varies by region</w:t>
      </w:r>
    </w:p>
    <w:tbl>
      <w:tblPr>
        <w:tblW w:w="9781" w:type="dxa"/>
        <w:tblCellMar>
          <w:left w:w="0" w:type="dxa"/>
          <w:right w:w="0" w:type="dxa"/>
        </w:tblCellMar>
        <w:tblLook w:val="0600" w:firstRow="0" w:lastRow="0" w:firstColumn="0" w:lastColumn="0" w:noHBand="1" w:noVBand="1"/>
      </w:tblPr>
      <w:tblGrid>
        <w:gridCol w:w="2984"/>
        <w:gridCol w:w="1169"/>
        <w:gridCol w:w="1199"/>
        <w:gridCol w:w="2030"/>
        <w:gridCol w:w="2399"/>
      </w:tblGrid>
      <w:tr w:rsidR="00442640" w:rsidRPr="00442640" w:rsidTr="00D5156E">
        <w:trPr>
          <w:trHeight w:val="822"/>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Region</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Dec-12</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Dec-13</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Annual Change</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Participation Rate</w:t>
            </w:r>
          </w:p>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(Working Age Population, 2011)</w:t>
            </w:r>
          </w:p>
        </w:tc>
      </w:tr>
      <w:tr w:rsidR="00442640" w:rsidRPr="00442640" w:rsidTr="00D5156E">
        <w:trPr>
          <w:trHeight w:val="398"/>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Albury LGA</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6.0%</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7.7%</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1.7%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77.3%</w:t>
            </w:r>
          </w:p>
        </w:tc>
      </w:tr>
      <w:tr w:rsidR="00442640" w:rsidRPr="00442640" w:rsidTr="00D5156E">
        <w:trPr>
          <w:trHeight w:val="398"/>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Wodonga LGA</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7.0%</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5.8%</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-1.2%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77.1%</w:t>
            </w:r>
          </w:p>
        </w:tc>
      </w:tr>
      <w:tr w:rsidR="00442640" w:rsidRPr="00442640" w:rsidTr="00D5156E">
        <w:trPr>
          <w:trHeight w:val="398"/>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Corowa Shire LGA</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4.3%</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5.5%</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1.2%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75.6%</w:t>
            </w:r>
          </w:p>
        </w:tc>
      </w:tr>
      <w:tr w:rsidR="00442640" w:rsidRPr="00442640" w:rsidTr="00D5156E">
        <w:trPr>
          <w:trHeight w:val="485"/>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Indigo LGA</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4.1%</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3.5%</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-0.6%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76.9%</w:t>
            </w:r>
          </w:p>
        </w:tc>
      </w:tr>
      <w:tr w:rsidR="00442640" w:rsidRPr="00442640" w:rsidTr="00D5156E">
        <w:trPr>
          <w:trHeight w:val="398"/>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Wangaratta LGA</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5.8%</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4.6%</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-1.2%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77.9%</w:t>
            </w:r>
          </w:p>
        </w:tc>
      </w:tr>
      <w:tr w:rsidR="00442640" w:rsidRPr="00442640" w:rsidTr="00D5156E">
        <w:trPr>
          <w:trHeight w:val="485"/>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Albury-Wodonga Region</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5.9%</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5.9%</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0.0%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76.3%</w:t>
            </w:r>
          </w:p>
        </w:tc>
      </w:tr>
      <w:tr w:rsidR="00442640" w:rsidRPr="00442640" w:rsidTr="00D5156E">
        <w:trPr>
          <w:trHeight w:val="427"/>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rPr>
                <w:rFonts w:asciiTheme="minorHAnsi" w:hAnsiTheme="minorHAnsi" w:cstheme="minorHAnsi"/>
                <w:sz w:val="28"/>
                <w:szCs w:val="24"/>
              </w:rPr>
            </w:pPr>
            <w:r w:rsidRPr="00CB1AD5">
              <w:rPr>
                <w:rFonts w:asciiTheme="minorHAnsi" w:hAnsiTheme="minorHAnsi" w:cstheme="minorHAnsi"/>
                <w:sz w:val="28"/>
                <w:szCs w:val="24"/>
              </w:rPr>
              <w:t>Victoria (Seasonally adj.)</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5.5%</w:t>
            </w:r>
          </w:p>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(Feb 2013)</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6.4% </w:t>
            </w:r>
            <w:r w:rsidRPr="00CB1AD5">
              <w:rPr>
                <w:rFonts w:asciiTheme="minorHAnsi" w:hAnsiTheme="minorHAnsi" w:cstheme="minorHAnsi"/>
                <w:sz w:val="28"/>
                <w:szCs w:val="24"/>
              </w:rPr>
              <w:br/>
              <w:t>(Feb 2014)</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 xml:space="preserve">0.9% </w:t>
            </w:r>
            <w:proofErr w:type="spellStart"/>
            <w:r w:rsidRPr="00CB1AD5">
              <w:rPr>
                <w:rFonts w:asciiTheme="minorHAnsi" w:hAnsiTheme="minorHAnsi" w:cstheme="minorHAnsi"/>
                <w:sz w:val="28"/>
                <w:szCs w:val="24"/>
              </w:rPr>
              <w:t>pts</w:t>
            </w:r>
            <w:proofErr w:type="spellEnd"/>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42640" w:rsidRPr="00CB1AD5" w:rsidRDefault="00442640" w:rsidP="00D5156E">
            <w:pPr>
              <w:spacing w:line="360" w:lineRule="auto"/>
              <w:jc w:val="center"/>
              <w:rPr>
                <w:rFonts w:asciiTheme="minorHAnsi" w:hAnsiTheme="minorHAnsi" w:cstheme="minorHAnsi"/>
                <w:sz w:val="28"/>
                <w:szCs w:val="24"/>
              </w:rPr>
            </w:pPr>
            <w:r w:rsidRPr="00CB1AD5">
              <w:rPr>
                <w:rFonts w:asciiTheme="minorHAnsi" w:hAnsiTheme="minorHAnsi" w:cstheme="minorHAnsi"/>
                <w:sz w:val="28"/>
                <w:szCs w:val="24"/>
              </w:rPr>
              <w:t>75.6%</w:t>
            </w:r>
          </w:p>
        </w:tc>
      </w:tr>
    </w:tbl>
    <w:p w:rsidR="00A52184" w:rsidRDefault="00A52184" w:rsidP="00A52184">
      <w:pPr>
        <w:spacing w:line="360" w:lineRule="auto"/>
        <w:jc w:val="center"/>
      </w:pPr>
    </w:p>
    <w:p w:rsidR="00A52184" w:rsidRDefault="00A52184" w:rsidP="00A52184">
      <w:pPr>
        <w:spacing w:line="360" w:lineRule="auto"/>
        <w:jc w:val="center"/>
      </w:pPr>
    </w:p>
    <w:p w:rsidR="00A52184" w:rsidRDefault="00A52184" w:rsidP="001E36D2">
      <w:pPr>
        <w:pStyle w:val="Heading3"/>
        <w:rPr>
          <w:lang w:eastAsia="en-AU"/>
        </w:rPr>
      </w:pPr>
      <w:r>
        <w:rPr>
          <w:lang w:eastAsia="en-AU"/>
        </w:rPr>
        <w:t>Unemployment rate varies by region</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Small Area Labour Markets, December Quarter 2013, ABS Labour Force Survey February 2014, ABS Census of Population and Housing 2011</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December 2013, the unemployment rate in the Albury-Wodonga Region was 5.9 per cent, a figure below the state and national unemployment rates (6.4 per cent and 6.0 per cent respectively).</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Albury and Wodonga </w:t>
      </w:r>
      <w:proofErr w:type="spellStart"/>
      <w:r>
        <w:rPr>
          <w:rFonts w:ascii="Calibri" w:hAnsi="Calibri" w:cs="Calibri"/>
          <w:color w:val="000000"/>
          <w:kern w:val="24"/>
          <w:sz w:val="24"/>
          <w:szCs w:val="24"/>
          <w:lang w:eastAsia="en-AU"/>
        </w:rPr>
        <w:t>LGAs</w:t>
      </w:r>
      <w:proofErr w:type="spellEnd"/>
      <w:r>
        <w:rPr>
          <w:rFonts w:ascii="Calibri" w:hAnsi="Calibri" w:cs="Calibri"/>
          <w:color w:val="000000"/>
          <w:kern w:val="24"/>
          <w:sz w:val="24"/>
          <w:szCs w:val="24"/>
          <w:lang w:eastAsia="en-AU"/>
        </w:rPr>
        <w:t xml:space="preserve"> recorded the highest unemployment rates within the Albury-Wodonga Region in December 2013 (7.7 and 5.8 per cent respectively). </w:t>
      </w:r>
      <w:proofErr w:type="gramStart"/>
      <w:r>
        <w:rPr>
          <w:rFonts w:ascii="Calibri" w:hAnsi="Calibri" w:cs="Calibri"/>
          <w:color w:val="000000"/>
          <w:kern w:val="24"/>
          <w:sz w:val="24"/>
          <w:szCs w:val="24"/>
          <w:lang w:eastAsia="en-AU"/>
        </w:rPr>
        <w:t>While the Indigo LGA reported the lowest unemployment rate (3.5 per cent).</w:t>
      </w:r>
      <w:proofErr w:type="gramEnd"/>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From December 2012 to December 2013 the region’s unemployment rate did not change while the unemployment rate rose by 0.7 percentage points for Victoria. The largest decrease within the region was in the Wodonga LGA (-1.2 percentage points). </w:t>
      </w:r>
    </w:p>
    <w:p w:rsidR="00A52184" w:rsidRDefault="00A52184" w:rsidP="00A52184">
      <w:pPr>
        <w:autoSpaceDE w:val="0"/>
        <w:autoSpaceDN w:val="0"/>
        <w:adjustRightInd w:val="0"/>
        <w:rPr>
          <w:rFonts w:cs="Arial"/>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E40458">
      <w:pPr>
        <w:pStyle w:val="Heading1"/>
      </w:pPr>
      <w:r>
        <w:lastRenderedPageBreak/>
        <w:t>Slide 9</w:t>
      </w:r>
    </w:p>
    <w:p w:rsidR="00A52184" w:rsidRDefault="00A52184" w:rsidP="00A52184">
      <w:pPr>
        <w:spacing w:line="360" w:lineRule="auto"/>
      </w:pPr>
    </w:p>
    <w:p w:rsidR="00E40458" w:rsidRPr="00BE3967" w:rsidRDefault="00E40458" w:rsidP="00E40458">
      <w:pPr>
        <w:pStyle w:val="Heading2"/>
        <w:jc w:val="center"/>
        <w:rPr>
          <w:sz w:val="32"/>
        </w:rPr>
      </w:pPr>
      <w:r w:rsidRPr="00BE3967">
        <w:rPr>
          <w:sz w:val="32"/>
        </w:rPr>
        <w:t>Who is unemployed?</w:t>
      </w:r>
    </w:p>
    <w:p w:rsidR="00A52184" w:rsidRDefault="009C44FC" w:rsidP="00A52184">
      <w:pPr>
        <w:spacing w:line="360" w:lineRule="auto"/>
        <w:jc w:val="center"/>
      </w:pPr>
      <w:r>
        <w:rPr>
          <w:noProof/>
          <w:lang w:eastAsia="en-AU"/>
        </w:rPr>
        <w:drawing>
          <wp:inline distT="0" distB="0" distL="0" distR="0">
            <wp:extent cx="5939790" cy="4455160"/>
            <wp:effectExtent l="19050" t="19050" r="22860" b="21590"/>
            <wp:docPr id="5" name="Picture 5" descr="A pie chart showing the distribution of unemployed persons between the under 45 years and 45 years and over age groups." title="Who is unemplo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E40458">
      <w:pPr>
        <w:pStyle w:val="Heading3"/>
        <w:rPr>
          <w:lang w:eastAsia="en-AU"/>
        </w:rPr>
      </w:pPr>
      <w:r>
        <w:rPr>
          <w:lang w:eastAsia="en-AU"/>
        </w:rPr>
        <w:t>Who is unemployed?</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74 per cent of unemployed people in the Albury-Wodonga Region were aged 45 years and under.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w:t>
      </w:r>
      <w:r>
        <w:rPr>
          <w:rFonts w:ascii="Calibri" w:hAnsi="Calibri" w:cs="Calibri"/>
          <w:color w:val="000000"/>
          <w:kern w:val="24"/>
          <w:sz w:val="24"/>
          <w:szCs w:val="24"/>
          <w:lang w:eastAsia="en-AU"/>
        </w:rPr>
        <w:br/>
        <w:t xml:space="preserve">1,300 (37 per cent) were male and 1,300 (37 per cent) were female.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26 per cent of unemployed people in the Albury-Wodonga Region were aged 45 years and over.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500 (15 per cent) were male and 400 (12 per cent) were female.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
        <w:br w:type="page"/>
      </w:r>
    </w:p>
    <w:p w:rsidR="00A52184" w:rsidRPr="00BE3967" w:rsidRDefault="00A52184" w:rsidP="00E40458">
      <w:pPr>
        <w:pStyle w:val="Heading1"/>
        <w:rPr>
          <w:sz w:val="32"/>
        </w:rPr>
      </w:pPr>
      <w:r w:rsidRPr="009C44FC">
        <w:lastRenderedPageBreak/>
        <w:t>Slide 10</w:t>
      </w:r>
    </w:p>
    <w:p w:rsidR="00A52184" w:rsidRPr="00BE3967" w:rsidRDefault="009C44FC" w:rsidP="002B734E">
      <w:pPr>
        <w:pStyle w:val="Heading2"/>
        <w:jc w:val="center"/>
        <w:rPr>
          <w:sz w:val="32"/>
        </w:rPr>
      </w:pPr>
      <w:r w:rsidRPr="00BE3967">
        <w:rPr>
          <w:sz w:val="32"/>
        </w:rPr>
        <w:t>Long-term unemployment an issue in some areas</w:t>
      </w:r>
    </w:p>
    <w:tbl>
      <w:tblPr>
        <w:tblW w:w="10210" w:type="dxa"/>
        <w:tblCellMar>
          <w:left w:w="0" w:type="dxa"/>
          <w:right w:w="0" w:type="dxa"/>
        </w:tblCellMar>
        <w:tblLook w:val="0600" w:firstRow="0" w:lastRow="0" w:firstColumn="0" w:lastColumn="0" w:noHBand="1" w:noVBand="1"/>
      </w:tblPr>
      <w:tblGrid>
        <w:gridCol w:w="2271"/>
        <w:gridCol w:w="3118"/>
        <w:gridCol w:w="2382"/>
        <w:gridCol w:w="2439"/>
      </w:tblGrid>
      <w:tr w:rsidR="009C44FC" w:rsidRPr="009C44FC" w:rsidTr="00D5156E">
        <w:trPr>
          <w:trHeight w:val="1758"/>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D5156E">
            <w:pPr>
              <w:spacing w:line="360" w:lineRule="auto"/>
              <w:rPr>
                <w:rFonts w:asciiTheme="minorHAnsi" w:hAnsiTheme="minorHAnsi" w:cstheme="minorHAnsi"/>
                <w:sz w:val="28"/>
                <w:szCs w:val="24"/>
              </w:rPr>
            </w:pPr>
            <w:r w:rsidRPr="00BE3967">
              <w:rPr>
                <w:rFonts w:asciiTheme="minorHAnsi" w:hAnsiTheme="minorHAnsi" w:cstheme="minorHAnsi"/>
                <w:bCs/>
                <w:sz w:val="28"/>
                <w:szCs w:val="24"/>
                <w:lang w:val="en-US"/>
              </w:rPr>
              <w:t>Region</w:t>
            </w:r>
          </w:p>
        </w:tc>
        <w:tc>
          <w:tcPr>
            <w:tcW w:w="3118"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Long-term unemployed (52 weeks or more) Persons</w:t>
            </w:r>
          </w:p>
        </w:tc>
        <w:tc>
          <w:tcPr>
            <w:tcW w:w="2382" w:type="dxa"/>
            <w:tcBorders>
              <w:top w:val="single" w:sz="8" w:space="0" w:color="000000"/>
              <w:left w:val="single" w:sz="8" w:space="0" w:color="000000"/>
              <w:right w:val="single" w:sz="8" w:space="0" w:color="000000"/>
            </w:tcBorders>
            <w:shd w:val="clear" w:color="auto" w:fill="auto"/>
            <w:vAlign w:val="center"/>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Long-term unemployed (52 weeks or more) Percent of all unemployed</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Average duration  of unemployment</w:t>
            </w:r>
          </w:p>
        </w:tc>
      </w:tr>
      <w:tr w:rsidR="009C44FC" w:rsidRPr="009C44FC" w:rsidTr="00D5156E">
        <w:trPr>
          <w:trHeight w:val="502"/>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D5156E">
            <w:pPr>
              <w:spacing w:line="360" w:lineRule="auto"/>
              <w:rPr>
                <w:rFonts w:asciiTheme="minorHAnsi" w:hAnsiTheme="minorHAnsi" w:cstheme="minorHAnsi"/>
                <w:sz w:val="28"/>
                <w:szCs w:val="24"/>
              </w:rPr>
            </w:pPr>
            <w:r w:rsidRPr="00BE3967">
              <w:rPr>
                <w:rFonts w:asciiTheme="minorHAnsi" w:hAnsiTheme="minorHAnsi" w:cstheme="minorHAnsi"/>
                <w:bCs/>
                <w:sz w:val="28"/>
                <w:szCs w:val="24"/>
              </w:rPr>
              <w:t xml:space="preserve">Murray </w:t>
            </w:r>
            <w:proofErr w:type="spellStart"/>
            <w:r w:rsidRPr="00BE3967">
              <w:rPr>
                <w:rFonts w:asciiTheme="minorHAnsi" w:hAnsiTheme="minorHAnsi" w:cstheme="minorHAnsi"/>
                <w:bCs/>
                <w:sz w:val="28"/>
                <w:szCs w:val="24"/>
              </w:rPr>
              <w:t>SA4</w:t>
            </w:r>
            <w:proofErr w:type="spellEnd"/>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1,200</w:t>
            </w:r>
          </w:p>
        </w:tc>
        <w:tc>
          <w:tcPr>
            <w:tcW w:w="23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37%</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65 weeks</w:t>
            </w:r>
          </w:p>
        </w:tc>
      </w:tr>
      <w:tr w:rsidR="009C44FC" w:rsidRPr="009C44FC" w:rsidTr="00D5156E">
        <w:trPr>
          <w:trHeight w:val="502"/>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D5156E">
            <w:pPr>
              <w:spacing w:line="360" w:lineRule="auto"/>
              <w:rPr>
                <w:rFonts w:asciiTheme="minorHAnsi" w:hAnsiTheme="minorHAnsi" w:cstheme="minorHAnsi"/>
                <w:sz w:val="28"/>
                <w:szCs w:val="24"/>
              </w:rPr>
            </w:pPr>
            <w:r w:rsidRPr="00BE3967">
              <w:rPr>
                <w:rFonts w:asciiTheme="minorHAnsi" w:hAnsiTheme="minorHAnsi" w:cstheme="minorHAnsi"/>
                <w:bCs/>
                <w:sz w:val="28"/>
                <w:szCs w:val="24"/>
              </w:rPr>
              <w:t xml:space="preserve">Hume </w:t>
            </w:r>
            <w:proofErr w:type="spellStart"/>
            <w:r w:rsidRPr="00BE3967">
              <w:rPr>
                <w:rFonts w:asciiTheme="minorHAnsi" w:hAnsiTheme="minorHAnsi" w:cstheme="minorHAnsi"/>
                <w:bCs/>
                <w:sz w:val="28"/>
                <w:szCs w:val="24"/>
              </w:rPr>
              <w:t>SA4</w:t>
            </w:r>
            <w:proofErr w:type="spellEnd"/>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1,000</w:t>
            </w:r>
          </w:p>
        </w:tc>
        <w:tc>
          <w:tcPr>
            <w:tcW w:w="23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24%</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35 weeks</w:t>
            </w:r>
          </w:p>
        </w:tc>
      </w:tr>
      <w:tr w:rsidR="009C44FC" w:rsidRPr="009C44FC" w:rsidTr="00D5156E">
        <w:trPr>
          <w:trHeight w:val="375"/>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D5156E">
            <w:pPr>
              <w:spacing w:line="360" w:lineRule="auto"/>
              <w:rPr>
                <w:rFonts w:asciiTheme="minorHAnsi" w:hAnsiTheme="minorHAnsi" w:cstheme="minorHAnsi"/>
                <w:sz w:val="28"/>
                <w:szCs w:val="24"/>
              </w:rPr>
            </w:pPr>
            <w:r w:rsidRPr="00BE3967">
              <w:rPr>
                <w:rFonts w:asciiTheme="minorHAnsi" w:hAnsiTheme="minorHAnsi" w:cstheme="minorHAnsi"/>
                <w:sz w:val="28"/>
                <w:szCs w:val="24"/>
              </w:rPr>
              <w:t>Victoria</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32,200</w:t>
            </w:r>
          </w:p>
        </w:tc>
        <w:tc>
          <w:tcPr>
            <w:tcW w:w="23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18%</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34 weeks</w:t>
            </w:r>
          </w:p>
        </w:tc>
      </w:tr>
      <w:tr w:rsidR="009C44FC" w:rsidRPr="009C44FC" w:rsidTr="00D5156E">
        <w:trPr>
          <w:trHeight w:val="375"/>
        </w:trPr>
        <w:tc>
          <w:tcPr>
            <w:tcW w:w="22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D5156E">
            <w:pPr>
              <w:spacing w:line="360" w:lineRule="auto"/>
              <w:rPr>
                <w:rFonts w:asciiTheme="minorHAnsi" w:hAnsiTheme="minorHAnsi" w:cstheme="minorHAnsi"/>
                <w:sz w:val="28"/>
                <w:szCs w:val="24"/>
              </w:rPr>
            </w:pPr>
            <w:r w:rsidRPr="00BE3967">
              <w:rPr>
                <w:rFonts w:asciiTheme="minorHAnsi" w:hAnsiTheme="minorHAnsi" w:cstheme="minorHAnsi"/>
                <w:sz w:val="28"/>
                <w:szCs w:val="24"/>
              </w:rPr>
              <w:t>Australia</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137,600</w:t>
            </w:r>
          </w:p>
        </w:tc>
        <w:tc>
          <w:tcPr>
            <w:tcW w:w="23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20%</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C44FC" w:rsidRPr="00BE3967" w:rsidRDefault="009C44FC" w:rsidP="009C44FC">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37 weeks</w:t>
            </w:r>
          </w:p>
        </w:tc>
      </w:tr>
    </w:tbl>
    <w:p w:rsidR="00A52184" w:rsidRDefault="00A52184" w:rsidP="009C44FC">
      <w:pPr>
        <w:spacing w:line="360" w:lineRule="auto"/>
      </w:pPr>
    </w:p>
    <w:p w:rsidR="00E40458" w:rsidRDefault="00E40458" w:rsidP="00E40458">
      <w:pPr>
        <w:pStyle w:val="Heading3"/>
      </w:pPr>
      <w:r>
        <w:t>Long-term unemployment an issue in some areas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Labour Force Data, February 2014, 12 month averages of original data</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b/>
          <w:bCs/>
          <w:i/>
          <w:iCs/>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Long-term unemployed are those who have been unemployed and looking for work for at least 52 weeks.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proportion of unemployed people who were long-term unemployed in the </w:t>
      </w:r>
      <w:r>
        <w:rPr>
          <w:rFonts w:ascii="Calibri" w:hAnsi="Times New Roman" w:cs="Calibri"/>
          <w:color w:val="000000"/>
          <w:kern w:val="24"/>
          <w:sz w:val="24"/>
          <w:szCs w:val="24"/>
          <w:lang w:eastAsia="en-AU"/>
        </w:rPr>
        <w:t xml:space="preserve">Murray </w:t>
      </w:r>
      <w:proofErr w:type="spellStart"/>
      <w:r>
        <w:rPr>
          <w:rFonts w:ascii="Calibri" w:hAnsi="Times New Roman" w:cs="Calibri"/>
          <w:color w:val="000000"/>
          <w:kern w:val="24"/>
          <w:sz w:val="24"/>
          <w:szCs w:val="24"/>
          <w:lang w:eastAsia="en-AU"/>
        </w:rPr>
        <w:t>SA4</w:t>
      </w:r>
      <w:proofErr w:type="spellEnd"/>
      <w:r>
        <w:rPr>
          <w:rFonts w:ascii="Calibri" w:hAnsi="Calibri" w:cs="Calibri"/>
          <w:color w:val="000000"/>
          <w:kern w:val="24"/>
          <w:sz w:val="24"/>
          <w:szCs w:val="24"/>
          <w:lang w:eastAsia="en-AU"/>
        </w:rPr>
        <w:t xml:space="preserve"> (37 per cent) was higher compared with the Victorian (18 per cent) and national averages (20 per cent).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average duration of unemployment in the </w:t>
      </w:r>
      <w:r>
        <w:rPr>
          <w:rFonts w:ascii="Calibri" w:hAnsi="Times New Roman" w:cs="Calibri"/>
          <w:color w:val="000000"/>
          <w:kern w:val="24"/>
          <w:sz w:val="24"/>
          <w:szCs w:val="24"/>
          <w:lang w:eastAsia="en-AU"/>
        </w:rPr>
        <w:t xml:space="preserve">Murray </w:t>
      </w:r>
      <w:proofErr w:type="spellStart"/>
      <w:r>
        <w:rPr>
          <w:rFonts w:ascii="Calibri" w:hAnsi="Times New Roman" w:cs="Calibri"/>
          <w:color w:val="000000"/>
          <w:kern w:val="24"/>
          <w:sz w:val="24"/>
          <w:szCs w:val="24"/>
          <w:lang w:eastAsia="en-AU"/>
        </w:rPr>
        <w:t>SA4</w:t>
      </w:r>
      <w:proofErr w:type="spellEnd"/>
      <w:r>
        <w:rPr>
          <w:rFonts w:ascii="Calibri" w:hAnsi="Times New Roman" w:cs="Calibri"/>
          <w:color w:val="000000"/>
          <w:kern w:val="24"/>
          <w:sz w:val="24"/>
          <w:szCs w:val="24"/>
          <w:lang w:eastAsia="en-AU"/>
        </w:rPr>
        <w:t xml:space="preserve"> </w:t>
      </w:r>
      <w:r>
        <w:rPr>
          <w:rFonts w:ascii="Calibri" w:hAnsi="Calibri" w:cs="Calibri"/>
          <w:color w:val="000000"/>
          <w:kern w:val="24"/>
          <w:sz w:val="24"/>
          <w:szCs w:val="24"/>
          <w:lang w:eastAsia="en-AU"/>
        </w:rPr>
        <w:t xml:space="preserve">(65 weeks) was higher than the Victorian (34 weeks) and national averages (37 weeks).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Pr="008D70CA" w:rsidRDefault="00A52184" w:rsidP="00E40458">
      <w:pPr>
        <w:pStyle w:val="Heading1"/>
        <w:rPr>
          <w:lang w:eastAsia="en-AU"/>
        </w:rPr>
      </w:pPr>
      <w:r w:rsidRPr="008D70CA">
        <w:rPr>
          <w:lang w:eastAsia="en-AU"/>
        </w:rPr>
        <w:lastRenderedPageBreak/>
        <w:t>Slide 11</w:t>
      </w:r>
    </w:p>
    <w:p w:rsidR="00A52184" w:rsidRPr="00BE3967" w:rsidRDefault="008D70CA" w:rsidP="002B734E">
      <w:pPr>
        <w:pStyle w:val="Heading2"/>
        <w:jc w:val="center"/>
        <w:rPr>
          <w:sz w:val="32"/>
          <w:lang w:eastAsia="en-AU"/>
        </w:rPr>
      </w:pPr>
      <w:r w:rsidRPr="00BE3967">
        <w:rPr>
          <w:sz w:val="32"/>
          <w:lang w:eastAsia="en-AU"/>
        </w:rPr>
        <w:t>Jobless Families</w:t>
      </w:r>
    </w:p>
    <w:tbl>
      <w:tblPr>
        <w:tblW w:w="9790" w:type="dxa"/>
        <w:tblCellMar>
          <w:left w:w="0" w:type="dxa"/>
          <w:right w:w="0" w:type="dxa"/>
        </w:tblCellMar>
        <w:tblLook w:val="0600" w:firstRow="0" w:lastRow="0" w:firstColumn="0" w:lastColumn="0" w:noHBand="1" w:noVBand="1"/>
      </w:tblPr>
      <w:tblGrid>
        <w:gridCol w:w="3324"/>
        <w:gridCol w:w="2245"/>
        <w:gridCol w:w="2066"/>
        <w:gridCol w:w="2155"/>
      </w:tblGrid>
      <w:tr w:rsidR="008D70CA" w:rsidRPr="008D70CA" w:rsidTr="00D5156E">
        <w:trPr>
          <w:trHeight w:val="1435"/>
        </w:trPr>
        <w:tc>
          <w:tcPr>
            <w:tcW w:w="3324"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D5156E">
            <w:pPr>
              <w:spacing w:line="360" w:lineRule="auto"/>
              <w:rPr>
                <w:rFonts w:asciiTheme="minorHAnsi" w:hAnsiTheme="minorHAnsi" w:cstheme="minorHAnsi"/>
                <w:sz w:val="28"/>
                <w:szCs w:val="24"/>
              </w:rPr>
            </w:pPr>
            <w:r w:rsidRPr="00BE3967">
              <w:rPr>
                <w:rFonts w:asciiTheme="minorHAnsi" w:hAnsiTheme="minorHAnsi" w:cstheme="minorHAnsi"/>
                <w:bCs/>
                <w:sz w:val="28"/>
                <w:szCs w:val="24"/>
              </w:rPr>
              <w:t>Region</w:t>
            </w:r>
          </w:p>
        </w:tc>
        <w:tc>
          <w:tcPr>
            <w:tcW w:w="224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Number of children in jobless families*</w:t>
            </w:r>
          </w:p>
        </w:tc>
        <w:tc>
          <w:tcPr>
            <w:tcW w:w="206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 xml:space="preserve">Number of jobless families </w:t>
            </w:r>
          </w:p>
        </w:tc>
        <w:tc>
          <w:tcPr>
            <w:tcW w:w="215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D70CA"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 xml:space="preserve">Proportion </w:t>
            </w:r>
          </w:p>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 xml:space="preserve">of all  families that are jobless              </w:t>
            </w:r>
          </w:p>
        </w:tc>
      </w:tr>
      <w:tr w:rsidR="008D70CA" w:rsidRPr="008D70CA" w:rsidTr="00D5156E">
        <w:trPr>
          <w:trHeight w:val="461"/>
        </w:trPr>
        <w:tc>
          <w:tcPr>
            <w:tcW w:w="332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D5156E">
            <w:pPr>
              <w:spacing w:line="360" w:lineRule="auto"/>
              <w:rPr>
                <w:rFonts w:asciiTheme="minorHAnsi" w:hAnsiTheme="minorHAnsi" w:cstheme="minorHAnsi"/>
                <w:sz w:val="28"/>
                <w:szCs w:val="24"/>
              </w:rPr>
            </w:pPr>
            <w:r w:rsidRPr="00BE3967">
              <w:rPr>
                <w:rFonts w:asciiTheme="minorHAnsi" w:hAnsiTheme="minorHAnsi" w:cstheme="minorHAnsi"/>
                <w:sz w:val="28"/>
                <w:szCs w:val="24"/>
              </w:rPr>
              <w:t>Albury LGA</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1,600</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750</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16%</w:t>
            </w:r>
          </w:p>
        </w:tc>
      </w:tr>
      <w:tr w:rsidR="008D70CA" w:rsidRPr="008D70CA" w:rsidTr="00D5156E">
        <w:trPr>
          <w:trHeight w:val="461"/>
        </w:trPr>
        <w:tc>
          <w:tcPr>
            <w:tcW w:w="332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D5156E">
            <w:pPr>
              <w:spacing w:line="360" w:lineRule="auto"/>
              <w:rPr>
                <w:rFonts w:asciiTheme="minorHAnsi" w:hAnsiTheme="minorHAnsi" w:cstheme="minorHAnsi"/>
                <w:sz w:val="28"/>
                <w:szCs w:val="24"/>
              </w:rPr>
            </w:pPr>
            <w:r w:rsidRPr="00BE3967">
              <w:rPr>
                <w:rFonts w:asciiTheme="minorHAnsi" w:hAnsiTheme="minorHAnsi" w:cstheme="minorHAnsi"/>
                <w:sz w:val="28"/>
                <w:szCs w:val="24"/>
              </w:rPr>
              <w:t>Wodonga LGA</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1,410</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660</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17%</w:t>
            </w:r>
          </w:p>
        </w:tc>
      </w:tr>
      <w:tr w:rsidR="008D70CA" w:rsidRPr="008D70CA" w:rsidTr="00D5156E">
        <w:trPr>
          <w:trHeight w:val="478"/>
        </w:trPr>
        <w:tc>
          <w:tcPr>
            <w:tcW w:w="332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D5156E">
            <w:pPr>
              <w:spacing w:line="360" w:lineRule="auto"/>
              <w:rPr>
                <w:rFonts w:asciiTheme="minorHAnsi" w:hAnsiTheme="minorHAnsi" w:cstheme="minorHAnsi"/>
                <w:sz w:val="28"/>
                <w:szCs w:val="24"/>
              </w:rPr>
            </w:pPr>
            <w:r w:rsidRPr="00BE3967">
              <w:rPr>
                <w:rFonts w:asciiTheme="minorHAnsi" w:hAnsiTheme="minorHAnsi" w:cstheme="minorHAnsi"/>
                <w:sz w:val="28"/>
                <w:szCs w:val="24"/>
              </w:rPr>
              <w:t>Wangaratta LGA</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770</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340</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14%</w:t>
            </w:r>
          </w:p>
        </w:tc>
      </w:tr>
      <w:tr w:rsidR="008D70CA" w:rsidRPr="008D70CA" w:rsidTr="00D5156E">
        <w:trPr>
          <w:trHeight w:val="531"/>
        </w:trPr>
        <w:tc>
          <w:tcPr>
            <w:tcW w:w="332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D5156E">
            <w:pPr>
              <w:spacing w:line="360" w:lineRule="auto"/>
              <w:rPr>
                <w:rFonts w:asciiTheme="minorHAnsi" w:hAnsiTheme="minorHAnsi" w:cstheme="minorHAnsi"/>
                <w:sz w:val="28"/>
                <w:szCs w:val="24"/>
              </w:rPr>
            </w:pPr>
            <w:r w:rsidRPr="00BE3967">
              <w:rPr>
                <w:rFonts w:asciiTheme="minorHAnsi" w:hAnsiTheme="minorHAnsi" w:cstheme="minorHAnsi"/>
                <w:bCs/>
                <w:sz w:val="28"/>
                <w:szCs w:val="24"/>
              </w:rPr>
              <w:t>Albury-Wodonga Region</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4,340</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2,030</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bCs/>
                <w:sz w:val="28"/>
                <w:szCs w:val="24"/>
              </w:rPr>
              <w:t>15%</w:t>
            </w:r>
          </w:p>
        </w:tc>
      </w:tr>
      <w:tr w:rsidR="008D70CA" w:rsidRPr="008D70CA" w:rsidTr="00D5156E">
        <w:trPr>
          <w:trHeight w:val="426"/>
        </w:trPr>
        <w:tc>
          <w:tcPr>
            <w:tcW w:w="332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D5156E">
            <w:pPr>
              <w:spacing w:line="360" w:lineRule="auto"/>
              <w:rPr>
                <w:rFonts w:asciiTheme="minorHAnsi" w:hAnsiTheme="minorHAnsi" w:cstheme="minorHAnsi"/>
                <w:sz w:val="28"/>
                <w:szCs w:val="24"/>
              </w:rPr>
            </w:pPr>
            <w:r w:rsidRPr="00BE3967">
              <w:rPr>
                <w:rFonts w:asciiTheme="minorHAnsi" w:hAnsiTheme="minorHAnsi" w:cstheme="minorHAnsi"/>
                <w:sz w:val="28"/>
                <w:szCs w:val="24"/>
              </w:rPr>
              <w:t xml:space="preserve"> Victoria</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145,050</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66,720</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8174C" w:rsidRPr="00BE3967" w:rsidRDefault="008D70CA" w:rsidP="008D70CA">
            <w:pPr>
              <w:spacing w:line="360" w:lineRule="auto"/>
              <w:jc w:val="center"/>
              <w:rPr>
                <w:rFonts w:asciiTheme="minorHAnsi" w:hAnsiTheme="minorHAnsi" w:cstheme="minorHAnsi"/>
                <w:sz w:val="28"/>
                <w:szCs w:val="24"/>
              </w:rPr>
            </w:pPr>
            <w:r w:rsidRPr="00BE3967">
              <w:rPr>
                <w:rFonts w:asciiTheme="minorHAnsi" w:hAnsiTheme="minorHAnsi" w:cstheme="minorHAnsi"/>
                <w:sz w:val="28"/>
                <w:szCs w:val="24"/>
              </w:rPr>
              <w:t>13%</w:t>
            </w:r>
          </w:p>
        </w:tc>
      </w:tr>
    </w:tbl>
    <w:p w:rsidR="008D70CA" w:rsidRPr="00427300" w:rsidRDefault="008D70CA" w:rsidP="00427300">
      <w:pPr>
        <w:rPr>
          <w:rFonts w:asciiTheme="minorHAnsi" w:hAnsiTheme="minorHAnsi" w:cstheme="minorHAnsi"/>
          <w:sz w:val="24"/>
        </w:rPr>
      </w:pPr>
      <w:r w:rsidRPr="00427300">
        <w:rPr>
          <w:rFonts w:asciiTheme="minorHAnsi" w:hAnsiTheme="minorHAnsi" w:cstheme="minorHAnsi"/>
          <w:sz w:val="24"/>
        </w:rPr>
        <w:t>*Dependent children under 15 years of age; number is a minimum</w:t>
      </w:r>
    </w:p>
    <w:p w:rsidR="00A52184" w:rsidRDefault="00A52184" w:rsidP="008D70CA">
      <w:pPr>
        <w:spacing w:line="360" w:lineRule="auto"/>
      </w:pPr>
    </w:p>
    <w:p w:rsidR="00E40458" w:rsidRDefault="00E40458" w:rsidP="00E40458">
      <w:pPr>
        <w:pStyle w:val="Heading3"/>
        <w:rPr>
          <w:lang w:eastAsia="en-AU"/>
        </w:rPr>
      </w:pPr>
      <w:r w:rsidRPr="008D70CA">
        <w:rPr>
          <w:lang w:eastAsia="en-AU"/>
        </w:rPr>
        <w:t>Jobless Families</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Usual Residence, 2011</w:t>
      </w:r>
    </w:p>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Note: as Census 2011 includes families with six children or more under the one classification, the numbers of children in the above slide are a minimum as an exact number is not available.</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Jobless families are families where the parents are unemployed or not in the labour force, with children under 15 years of age.</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Some 15 per cent of all families (with children under 15 years) in the Albury-Wodonga Region were jobless, a figure slightly larger than that for Victoria (13 per cent). However, family joblessness varied greatly between </w:t>
      </w:r>
      <w:proofErr w:type="spellStart"/>
      <w:r>
        <w:rPr>
          <w:rFonts w:ascii="Calibri" w:hAnsi="Calibri" w:cs="Calibri"/>
          <w:color w:val="000000"/>
          <w:kern w:val="24"/>
          <w:sz w:val="24"/>
          <w:szCs w:val="24"/>
          <w:lang w:eastAsia="en-AU"/>
        </w:rPr>
        <w:t>LGAs</w:t>
      </w:r>
      <w:proofErr w:type="spellEnd"/>
      <w:r>
        <w:rPr>
          <w:rFonts w:ascii="Calibri" w:hAnsi="Calibri" w:cs="Calibri"/>
          <w:color w:val="000000"/>
          <w:kern w:val="24"/>
          <w:sz w:val="24"/>
          <w:szCs w:val="24"/>
          <w:lang w:eastAsia="en-AU"/>
        </w:rPr>
        <w:t xml:space="preserve">.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least </w:t>
      </w:r>
      <w:r w:rsidR="000F52FE">
        <w:rPr>
          <w:rFonts w:ascii="Calibri" w:hAnsi="Calibri" w:cs="Calibri"/>
          <w:color w:val="000000"/>
          <w:kern w:val="24"/>
          <w:sz w:val="24"/>
          <w:szCs w:val="24"/>
          <w:lang w:eastAsia="en-AU"/>
        </w:rPr>
        <w:t>4,340</w:t>
      </w:r>
      <w:r>
        <w:rPr>
          <w:rFonts w:ascii="Calibri" w:hAnsi="Calibri" w:cs="Calibri"/>
          <w:color w:val="000000"/>
          <w:kern w:val="24"/>
          <w:sz w:val="24"/>
          <w:szCs w:val="24"/>
          <w:lang w:eastAsia="en-AU"/>
        </w:rPr>
        <w:t xml:space="preserve"> dependent children under the age of 15 were in a family with no working parent.</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Pr="008D70CA" w:rsidRDefault="00A52184" w:rsidP="00E40458">
      <w:pPr>
        <w:pStyle w:val="Heading1"/>
      </w:pPr>
      <w:r w:rsidRPr="008D70CA">
        <w:lastRenderedPageBreak/>
        <w:t>Slide 12</w:t>
      </w:r>
    </w:p>
    <w:p w:rsidR="00A52184" w:rsidRPr="00BE3967" w:rsidRDefault="00E40458" w:rsidP="002B734E">
      <w:pPr>
        <w:pStyle w:val="Heading2"/>
        <w:jc w:val="center"/>
        <w:rPr>
          <w:sz w:val="32"/>
          <w:lang w:eastAsia="en-AU"/>
        </w:rPr>
      </w:pPr>
      <w:r w:rsidRPr="00BE3967">
        <w:rPr>
          <w:sz w:val="32"/>
          <w:lang w:eastAsia="en-AU"/>
        </w:rPr>
        <w:t>What are the youth doing?</w:t>
      </w:r>
    </w:p>
    <w:p w:rsidR="00A52184" w:rsidRDefault="008D70CA" w:rsidP="00A52184">
      <w:pPr>
        <w:spacing w:line="360" w:lineRule="auto"/>
        <w:jc w:val="center"/>
      </w:pPr>
      <w:r>
        <w:rPr>
          <w:noProof/>
          <w:lang w:eastAsia="en-AU"/>
        </w:rPr>
        <w:drawing>
          <wp:inline distT="0" distB="0" distL="0" distR="0">
            <wp:extent cx="5939790" cy="4455160"/>
            <wp:effectExtent l="19050" t="19050" r="22860" b="21590"/>
            <wp:docPr id="6" name="Picture 6" descr="Graph that shows the population of 15 to 24 year olds in the region, who are studying and not studying, employed and not employed and completed year 12 and did not complete year 12. See notes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1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E40458">
      <w:pPr>
        <w:spacing w:line="360" w:lineRule="auto"/>
      </w:pPr>
    </w:p>
    <w:p w:rsidR="00A52184" w:rsidRDefault="00A52184" w:rsidP="00E40458">
      <w:pPr>
        <w:pStyle w:val="Heading3"/>
        <w:rPr>
          <w:lang w:eastAsia="en-AU"/>
        </w:rPr>
      </w:pPr>
      <w:r>
        <w:rPr>
          <w:lang w:eastAsia="en-AU"/>
        </w:rPr>
        <w:t> What are the youth doing?</w:t>
      </w:r>
    </w:p>
    <w:p w:rsidR="00A52184" w:rsidRDefault="00A52184" w:rsidP="00A52184">
      <w:pPr>
        <w:autoSpaceDE w:val="0"/>
        <w:autoSpaceDN w:val="0"/>
        <w:adjustRightInd w:val="0"/>
        <w:rPr>
          <w:rFonts w:ascii="Calibri" w:hAnsi="Times New Roman" w:cs="Calibri"/>
          <w:i/>
          <w:iCs/>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2011</w:t>
      </w:r>
    </w:p>
    <w:p w:rsidR="00A52184" w:rsidRDefault="00A52184" w:rsidP="00A52184">
      <w:pPr>
        <w:autoSpaceDE w:val="0"/>
        <w:autoSpaceDN w:val="0"/>
        <w:adjustRightInd w:val="0"/>
        <w:rPr>
          <w:rFonts w:ascii="Calibri" w:hAnsi="Times New Roman" w:cs="Calibri"/>
          <w:i/>
          <w:iCs/>
          <w:color w:val="000000"/>
          <w:kern w:val="24"/>
          <w:sz w:val="24"/>
          <w:szCs w:val="24"/>
          <w:lang w:eastAsia="en-AU"/>
        </w:rPr>
      </w:pP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At the time of the census, there were 16,740 15-24 years old in the Albury-Wodonga Region, of whom 7,350 (44 per cent) were not studying.</w:t>
      </w: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Of the 7,350 who were not studying, those who did not complete year 12, whether they are employed are not employed, are vulnerable and may have difficulty entering the labour market.</w:t>
      </w:r>
    </w:p>
    <w:p w:rsidR="000B0EB9" w:rsidRDefault="000B0EB9" w:rsidP="00A52184">
      <w:pPr>
        <w:autoSpaceDE w:val="0"/>
        <w:autoSpaceDN w:val="0"/>
        <w:adjustRightInd w:val="0"/>
        <w:rPr>
          <w:rFonts w:ascii="Calibri" w:hAnsi="Times New Roman" w:cs="Calibri"/>
          <w:color w:val="FFFFFF"/>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sidRPr="00E40458">
        <w:rPr>
          <w:rFonts w:ascii="Calibri" w:hAnsi="Calibri" w:cs="Calibri"/>
          <w:bCs/>
          <w:color w:val="000000"/>
          <w:kern w:val="24"/>
          <w:sz w:val="24"/>
          <w:szCs w:val="24"/>
          <w:lang w:eastAsia="en-AU"/>
        </w:rPr>
        <w:t>Note</w:t>
      </w:r>
      <w:r>
        <w:rPr>
          <w:rFonts w:ascii="Calibri" w:hAnsi="Calibri" w:cs="Calibri"/>
          <w:b/>
          <w:bCs/>
          <w:color w:val="000000"/>
          <w:kern w:val="24"/>
          <w:sz w:val="24"/>
          <w:szCs w:val="24"/>
          <w:lang w:eastAsia="en-AU"/>
        </w:rPr>
        <w:t xml:space="preserve">: </w:t>
      </w:r>
      <w:r>
        <w:rPr>
          <w:rFonts w:ascii="Calibri" w:hAnsi="Calibri" w:cs="Calibri"/>
          <w:color w:val="000000"/>
          <w:kern w:val="24"/>
          <w:sz w:val="24"/>
          <w:szCs w:val="24"/>
          <w:lang w:eastAsia="en-AU"/>
        </w:rPr>
        <w:t>Not stated records for FT/PT Student Status, Labour Force Status and Highest Year of School Completed have not been included.</w:t>
      </w:r>
    </w:p>
    <w:p w:rsidR="00A52184" w:rsidRDefault="00A52184">
      <w:r>
        <w:br w:type="page"/>
      </w:r>
    </w:p>
    <w:p w:rsidR="00A52184" w:rsidRDefault="00A52184" w:rsidP="00E40458">
      <w:pPr>
        <w:pStyle w:val="Heading1"/>
      </w:pPr>
      <w:r>
        <w:lastRenderedPageBreak/>
        <w:t>Slide 13</w:t>
      </w:r>
    </w:p>
    <w:p w:rsidR="00A52184" w:rsidRDefault="00A52184" w:rsidP="00A52184">
      <w:pPr>
        <w:spacing w:line="360" w:lineRule="auto"/>
      </w:pPr>
    </w:p>
    <w:p w:rsidR="00E40458" w:rsidRPr="00BE3967" w:rsidRDefault="00E40458" w:rsidP="00E40458">
      <w:pPr>
        <w:pStyle w:val="Heading2"/>
        <w:jc w:val="center"/>
        <w:rPr>
          <w:sz w:val="32"/>
        </w:rPr>
      </w:pPr>
      <w:r w:rsidRPr="00BE3967">
        <w:rPr>
          <w:sz w:val="32"/>
        </w:rPr>
        <w:t>High levels of disengagement among young adults</w:t>
      </w:r>
    </w:p>
    <w:p w:rsidR="00E40458" w:rsidRPr="00BE3967" w:rsidRDefault="00E40458" w:rsidP="00E40458">
      <w:pPr>
        <w:pStyle w:val="Heading2"/>
        <w:jc w:val="center"/>
        <w:rPr>
          <w:sz w:val="32"/>
        </w:rPr>
      </w:pPr>
      <w:r w:rsidRPr="00BE3967">
        <w:rPr>
          <w:sz w:val="32"/>
        </w:rPr>
        <w:t>(20-24 year olds)</w:t>
      </w:r>
    </w:p>
    <w:p w:rsidR="00A52184" w:rsidRDefault="00830CA1" w:rsidP="00A52184">
      <w:pPr>
        <w:spacing w:line="360" w:lineRule="auto"/>
        <w:jc w:val="center"/>
      </w:pPr>
      <w:r>
        <w:rPr>
          <w:noProof/>
          <w:lang w:eastAsia="en-AU"/>
        </w:rPr>
        <w:drawing>
          <wp:inline distT="0" distB="0" distL="0" distR="0">
            <wp:extent cx="5939790" cy="4455160"/>
            <wp:effectExtent l="19050" t="19050" r="22860" b="21590"/>
            <wp:docPr id="7" name="Picture 7" descr="Graph that shows the proportion of 20-24 year olds who are Unemployed and Not Studying with Not in the Labour Force &amp; Not Studying. See notes for further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1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E40458">
      <w:pPr>
        <w:pStyle w:val="Heading3"/>
        <w:rPr>
          <w:lang w:eastAsia="en-AU"/>
        </w:rPr>
      </w:pPr>
      <w:r>
        <w:rPr>
          <w:lang w:eastAsia="en-AU"/>
        </w:rPr>
        <w:t>High levels of disengagement amongst young adults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ABS, Census of Population and Housing, Usual Residence, 2011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the time of the 2011 Census, 14 per cent of young adults (persons aged 20 to 24 years) in the Albury-Wodonga Region were neither working </w:t>
      </w:r>
      <w:r w:rsidR="000F52FE">
        <w:rPr>
          <w:rFonts w:ascii="Calibri" w:hAnsi="Calibri" w:cs="Calibri"/>
          <w:color w:val="000000"/>
          <w:kern w:val="24"/>
          <w:sz w:val="24"/>
          <w:szCs w:val="24"/>
          <w:lang w:eastAsia="en-AU"/>
        </w:rPr>
        <w:t>n</w:t>
      </w:r>
      <w:r>
        <w:rPr>
          <w:rFonts w:ascii="Calibri" w:hAnsi="Calibri" w:cs="Calibri"/>
          <w:color w:val="000000"/>
          <w:kern w:val="24"/>
          <w:sz w:val="24"/>
          <w:szCs w:val="24"/>
          <w:lang w:eastAsia="en-AU"/>
        </w:rPr>
        <w:t xml:space="preserve">or studying. This figure was higher when compared with Victoria (11 per cent).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For young adult males in the Albury-Wodonga Region, 5 per cent were not in the labour force and not studying and a further 6 per cent were unemployed and not studying.</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For young adult females in the region, 12 per cent were not in the labour force and not studying and a further 4 per cent were unemployed and not studying.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sidP="00E40458">
      <w:pPr>
        <w:pStyle w:val="Heading1"/>
      </w:pPr>
      <w:r>
        <w:lastRenderedPageBreak/>
        <w:t>Slide 14</w:t>
      </w:r>
    </w:p>
    <w:p w:rsidR="00A00A60" w:rsidRDefault="00A00A60" w:rsidP="00A00A60">
      <w:pPr>
        <w:spacing w:line="360" w:lineRule="auto"/>
        <w:jc w:val="center"/>
      </w:pPr>
    </w:p>
    <w:p w:rsidR="00A52184" w:rsidRPr="00BE3967" w:rsidRDefault="00A00A60" w:rsidP="00E40458">
      <w:pPr>
        <w:pStyle w:val="Heading2"/>
        <w:jc w:val="center"/>
        <w:rPr>
          <w:sz w:val="32"/>
          <w:lang w:eastAsia="en-AU"/>
        </w:rPr>
      </w:pPr>
      <w:r w:rsidRPr="00BE3967">
        <w:rPr>
          <w:sz w:val="32"/>
          <w:lang w:eastAsia="en-AU"/>
        </w:rPr>
        <w:t>Lower Educational Attainment – persons aged 25-34 years</w:t>
      </w:r>
    </w:p>
    <w:tbl>
      <w:tblPr>
        <w:tblW w:w="9371" w:type="dxa"/>
        <w:tblCellMar>
          <w:left w:w="0" w:type="dxa"/>
          <w:right w:w="0" w:type="dxa"/>
        </w:tblCellMar>
        <w:tblLook w:val="0600" w:firstRow="0" w:lastRow="0" w:firstColumn="0" w:lastColumn="0" w:noHBand="1" w:noVBand="1"/>
      </w:tblPr>
      <w:tblGrid>
        <w:gridCol w:w="2709"/>
        <w:gridCol w:w="1842"/>
        <w:gridCol w:w="2552"/>
        <w:gridCol w:w="2268"/>
      </w:tblGrid>
      <w:tr w:rsidR="00A00A60" w:rsidRPr="00A00A60" w:rsidTr="00E40458">
        <w:trPr>
          <w:trHeight w:val="1381"/>
        </w:trPr>
        <w:tc>
          <w:tcPr>
            <w:tcW w:w="2709"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center"/>
              <w:rPr>
                <w:rFonts w:cs="Arial"/>
                <w:sz w:val="32"/>
                <w:szCs w:val="24"/>
                <w:lang w:eastAsia="en-AU"/>
              </w:rPr>
            </w:pPr>
            <w:r w:rsidRPr="00BE3967">
              <w:rPr>
                <w:rFonts w:ascii="Calibri" w:hAnsi="Calibri" w:cs="Calibri"/>
                <w:b/>
                <w:bCs/>
                <w:color w:val="000000"/>
                <w:kern w:val="24"/>
                <w:sz w:val="32"/>
                <w:szCs w:val="24"/>
                <w:lang w:eastAsia="en-AU"/>
              </w:rPr>
              <w:t>Region</w:t>
            </w:r>
          </w:p>
        </w:tc>
        <w:tc>
          <w:tcPr>
            <w:tcW w:w="184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center"/>
              <w:rPr>
                <w:rFonts w:cs="Arial"/>
                <w:sz w:val="32"/>
                <w:szCs w:val="24"/>
                <w:lang w:eastAsia="en-AU"/>
              </w:rPr>
            </w:pPr>
            <w:r w:rsidRPr="00BE3967">
              <w:rPr>
                <w:rFonts w:ascii="Calibri" w:hAnsi="Calibri" w:cs="Calibri"/>
                <w:b/>
                <w:bCs/>
                <w:color w:val="000000"/>
                <w:kern w:val="24"/>
                <w:sz w:val="32"/>
                <w:szCs w:val="24"/>
                <w:lang w:eastAsia="en-AU"/>
              </w:rPr>
              <w:t xml:space="preserve">Completed </w:t>
            </w:r>
            <w:proofErr w:type="spellStart"/>
            <w:r w:rsidRPr="00BE3967">
              <w:rPr>
                <w:rFonts w:ascii="Calibri" w:hAnsi="Calibri" w:cs="Calibri"/>
                <w:b/>
                <w:bCs/>
                <w:color w:val="000000"/>
                <w:kern w:val="24"/>
                <w:sz w:val="32"/>
                <w:szCs w:val="24"/>
                <w:lang w:eastAsia="en-AU"/>
              </w:rPr>
              <w:t>Yr</w:t>
            </w:r>
            <w:proofErr w:type="spellEnd"/>
            <w:r w:rsidRPr="00BE3967">
              <w:rPr>
                <w:rFonts w:ascii="Calibri" w:hAnsi="Calibri" w:cs="Calibri"/>
                <w:b/>
                <w:bCs/>
                <w:color w:val="000000"/>
                <w:kern w:val="24"/>
                <w:sz w:val="32"/>
                <w:szCs w:val="24"/>
                <w:lang w:eastAsia="en-AU"/>
              </w:rPr>
              <w:t xml:space="preserve"> 12</w:t>
            </w:r>
          </w:p>
        </w:tc>
        <w:tc>
          <w:tcPr>
            <w:tcW w:w="255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center"/>
              <w:rPr>
                <w:rFonts w:cs="Arial"/>
                <w:sz w:val="32"/>
                <w:szCs w:val="24"/>
                <w:lang w:eastAsia="en-AU"/>
              </w:rPr>
            </w:pPr>
            <w:r w:rsidRPr="00BE3967">
              <w:rPr>
                <w:rFonts w:ascii="Calibri" w:hAnsi="Calibri" w:cs="Calibri"/>
                <w:b/>
                <w:bCs/>
                <w:color w:val="000000"/>
                <w:kern w:val="24"/>
                <w:sz w:val="32"/>
                <w:szCs w:val="24"/>
                <w:lang w:eastAsia="en-AU"/>
              </w:rPr>
              <w:t>Attained Advanced Diploma, Diploma or Certificate III &amp; IV Level</w:t>
            </w:r>
          </w:p>
        </w:tc>
        <w:tc>
          <w:tcPr>
            <w:tcW w:w="2268"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center"/>
              <w:rPr>
                <w:rFonts w:cs="Arial"/>
                <w:sz w:val="32"/>
                <w:szCs w:val="24"/>
                <w:lang w:eastAsia="en-AU"/>
              </w:rPr>
            </w:pPr>
            <w:r w:rsidRPr="00BE3967">
              <w:rPr>
                <w:rFonts w:ascii="Calibri" w:hAnsi="Calibri" w:cs="Calibri"/>
                <w:b/>
                <w:bCs/>
                <w:color w:val="000000"/>
                <w:kern w:val="24"/>
                <w:sz w:val="32"/>
                <w:szCs w:val="24"/>
                <w:lang w:eastAsia="en-AU"/>
              </w:rPr>
              <w:t>Attained Bachelor Degree or Higher</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ind w:left="58"/>
              <w:textAlignment w:val="center"/>
              <w:rPr>
                <w:rFonts w:cs="Arial"/>
                <w:sz w:val="32"/>
                <w:szCs w:val="24"/>
                <w:lang w:eastAsia="en-AU"/>
              </w:rPr>
            </w:pPr>
            <w:r w:rsidRPr="00BE3967">
              <w:rPr>
                <w:rFonts w:ascii="Calibri" w:hAnsi="Calibri" w:cs="Calibri"/>
                <w:color w:val="000000"/>
                <w:kern w:val="24"/>
                <w:sz w:val="32"/>
                <w:szCs w:val="24"/>
                <w:lang w:eastAsia="en-AU"/>
              </w:rPr>
              <w:t>Albury LGA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65%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37%</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26%</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ind w:left="58"/>
              <w:textAlignment w:val="center"/>
              <w:rPr>
                <w:rFonts w:cs="Arial"/>
                <w:sz w:val="32"/>
                <w:szCs w:val="24"/>
                <w:lang w:eastAsia="en-AU"/>
              </w:rPr>
            </w:pPr>
            <w:r w:rsidRPr="00BE3967">
              <w:rPr>
                <w:rFonts w:ascii="Calibri" w:hAnsi="Calibri" w:cs="Calibri"/>
                <w:color w:val="000000"/>
                <w:kern w:val="24"/>
                <w:sz w:val="32"/>
                <w:szCs w:val="24"/>
                <w:lang w:eastAsia="en-AU"/>
              </w:rPr>
              <w:t>Wodonga LGA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60%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41%</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19%</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ind w:left="58"/>
              <w:textAlignment w:val="center"/>
              <w:rPr>
                <w:rFonts w:cs="Arial"/>
                <w:sz w:val="32"/>
                <w:szCs w:val="24"/>
                <w:lang w:eastAsia="en-AU"/>
              </w:rPr>
            </w:pPr>
            <w:r w:rsidRPr="00BE3967">
              <w:rPr>
                <w:rFonts w:ascii="Calibri" w:hAnsi="Calibri" w:cs="Calibri"/>
                <w:color w:val="000000"/>
                <w:kern w:val="24"/>
                <w:sz w:val="32"/>
                <w:szCs w:val="24"/>
                <w:lang w:eastAsia="en-AU"/>
              </w:rPr>
              <w:t>Corowa Shire LGA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53%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44%</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15%</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ind w:left="58"/>
              <w:textAlignment w:val="center"/>
              <w:rPr>
                <w:rFonts w:cs="Arial"/>
                <w:sz w:val="32"/>
                <w:szCs w:val="24"/>
                <w:lang w:eastAsia="en-AU"/>
              </w:rPr>
            </w:pPr>
            <w:r w:rsidRPr="00BE3967">
              <w:rPr>
                <w:rFonts w:ascii="Calibri" w:hAnsi="Calibri" w:cs="Calibri"/>
                <w:color w:val="000000"/>
                <w:kern w:val="24"/>
                <w:sz w:val="32"/>
                <w:szCs w:val="24"/>
                <w:lang w:eastAsia="en-AU"/>
              </w:rPr>
              <w:t>Indigo LGA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61%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39%</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24%</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ind w:left="58"/>
              <w:textAlignment w:val="center"/>
              <w:rPr>
                <w:rFonts w:cs="Arial"/>
                <w:sz w:val="32"/>
                <w:szCs w:val="24"/>
                <w:lang w:eastAsia="en-AU"/>
              </w:rPr>
            </w:pPr>
            <w:r w:rsidRPr="00BE3967">
              <w:rPr>
                <w:rFonts w:ascii="Calibri" w:hAnsi="Calibri" w:cs="Calibri"/>
                <w:color w:val="000000"/>
                <w:kern w:val="24"/>
                <w:sz w:val="32"/>
                <w:szCs w:val="24"/>
                <w:lang w:eastAsia="en-AU"/>
              </w:rPr>
              <w:t>Wangaratta LGA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63%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40%</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22%</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ind w:left="58"/>
              <w:textAlignment w:val="center"/>
              <w:rPr>
                <w:rFonts w:cs="Arial"/>
                <w:sz w:val="32"/>
                <w:szCs w:val="24"/>
                <w:lang w:eastAsia="en-AU"/>
              </w:rPr>
            </w:pPr>
            <w:r w:rsidRPr="00BE3967">
              <w:rPr>
                <w:rFonts w:ascii="Calibri" w:hAnsi="Calibri" w:cs="Calibri"/>
                <w:b/>
                <w:bCs/>
                <w:color w:val="000000"/>
                <w:kern w:val="24"/>
                <w:sz w:val="32"/>
                <w:szCs w:val="24"/>
                <w:lang w:eastAsia="en-AU"/>
              </w:rPr>
              <w:t>Albury-Wodonga Region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b/>
                <w:bCs/>
                <w:color w:val="000000"/>
                <w:kern w:val="24"/>
                <w:sz w:val="32"/>
                <w:szCs w:val="24"/>
                <w:lang w:eastAsia="en-AU"/>
              </w:rPr>
              <w:t>62%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b/>
                <w:bCs/>
                <w:color w:val="000000"/>
                <w:kern w:val="24"/>
                <w:sz w:val="32"/>
                <w:szCs w:val="24"/>
                <w:lang w:eastAsia="en-AU"/>
              </w:rPr>
              <w:t>39%</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b/>
                <w:bCs/>
                <w:color w:val="000000"/>
                <w:kern w:val="24"/>
                <w:sz w:val="32"/>
                <w:szCs w:val="24"/>
                <w:lang w:eastAsia="en-AU"/>
              </w:rPr>
              <w:t>23%</w:t>
            </w:r>
          </w:p>
        </w:tc>
      </w:tr>
      <w:tr w:rsidR="00A00A60" w:rsidRPr="00A00A60" w:rsidTr="00E40458">
        <w:trPr>
          <w:trHeight w:val="372"/>
        </w:trPr>
        <w:tc>
          <w:tcPr>
            <w:tcW w:w="2709"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textAlignment w:val="center"/>
              <w:rPr>
                <w:rFonts w:cs="Arial"/>
                <w:sz w:val="32"/>
                <w:szCs w:val="24"/>
                <w:lang w:eastAsia="en-AU"/>
              </w:rPr>
            </w:pPr>
            <w:r w:rsidRPr="00BE3967">
              <w:rPr>
                <w:rFonts w:ascii="Calibri" w:hAnsi="Calibri" w:cs="Calibri"/>
                <w:color w:val="000000"/>
                <w:kern w:val="24"/>
                <w:sz w:val="32"/>
                <w:szCs w:val="24"/>
                <w:lang w:eastAsia="en-AU"/>
              </w:rPr>
              <w:t xml:space="preserve"> Victoria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79%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29%</w:t>
            </w:r>
          </w:p>
        </w:tc>
        <w:tc>
          <w:tcPr>
            <w:tcW w:w="226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40%</w:t>
            </w:r>
          </w:p>
        </w:tc>
      </w:tr>
      <w:tr w:rsidR="00A00A60" w:rsidRPr="00A00A60" w:rsidTr="00E40458">
        <w:trPr>
          <w:trHeight w:val="372"/>
        </w:trPr>
        <w:tc>
          <w:tcPr>
            <w:tcW w:w="2709"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textAlignment w:val="center"/>
              <w:rPr>
                <w:rFonts w:cs="Arial"/>
                <w:sz w:val="32"/>
                <w:szCs w:val="24"/>
                <w:lang w:eastAsia="en-AU"/>
              </w:rPr>
            </w:pPr>
            <w:r w:rsidRPr="00BE3967">
              <w:rPr>
                <w:rFonts w:ascii="Calibri" w:hAnsi="Calibri" w:cs="Calibri"/>
                <w:color w:val="000000"/>
                <w:kern w:val="24"/>
                <w:sz w:val="32"/>
                <w:szCs w:val="24"/>
                <w:lang w:eastAsia="en-AU"/>
              </w:rPr>
              <w:t xml:space="preserve"> Australia</w:t>
            </w:r>
          </w:p>
        </w:tc>
        <w:tc>
          <w:tcPr>
            <w:tcW w:w="1842"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75%</w:t>
            </w:r>
          </w:p>
        </w:tc>
        <w:tc>
          <w:tcPr>
            <w:tcW w:w="2552"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30%</w:t>
            </w:r>
          </w:p>
        </w:tc>
        <w:tc>
          <w:tcPr>
            <w:tcW w:w="2268"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A00A60" w:rsidRPr="00BE3967" w:rsidRDefault="00A00A60" w:rsidP="00A00A60">
            <w:pPr>
              <w:jc w:val="center"/>
              <w:textAlignment w:val="bottom"/>
              <w:rPr>
                <w:rFonts w:cs="Arial"/>
                <w:sz w:val="32"/>
                <w:szCs w:val="24"/>
                <w:lang w:eastAsia="en-AU"/>
              </w:rPr>
            </w:pPr>
            <w:r w:rsidRPr="00BE3967">
              <w:rPr>
                <w:rFonts w:ascii="Calibri" w:hAnsi="Calibri" w:cs="Calibri"/>
                <w:color w:val="000000"/>
                <w:kern w:val="24"/>
                <w:sz w:val="32"/>
                <w:szCs w:val="24"/>
                <w:lang w:eastAsia="en-AU"/>
              </w:rPr>
              <w:t>35%</w:t>
            </w:r>
          </w:p>
        </w:tc>
      </w:tr>
    </w:tbl>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E40458" w:rsidRPr="00E40458" w:rsidRDefault="00E40458" w:rsidP="00E40458">
      <w:pPr>
        <w:pStyle w:val="Heading3"/>
        <w:rPr>
          <w:rFonts w:asciiTheme="minorHAnsi" w:hAnsiTheme="minorHAnsi"/>
          <w:iCs/>
          <w:szCs w:val="28"/>
          <w:lang w:eastAsia="en-AU"/>
        </w:rPr>
      </w:pPr>
      <w:r w:rsidRPr="00A00A60">
        <w:rPr>
          <w:lang w:eastAsia="en-AU"/>
        </w:rPr>
        <w:t>Lower Educational Attainment – persons aged 25-34 years</w:t>
      </w:r>
    </w:p>
    <w:p w:rsidR="00E40458" w:rsidRDefault="00E40458" w:rsidP="00E40458">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ABS, Census of Population and Housing, Usual Residence, 2011 </w:t>
      </w:r>
    </w:p>
    <w:p w:rsidR="00E40458" w:rsidRDefault="00E40458"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Job seekers who have not completed Year 12 and have limited experience in the workforce are likely to lack many basic employability skills that employers value and look for in applicants, particularly for lower skilled vacancies and entry level positions such as apprenticeships and traineeships.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the time of the 2011 Census, the proportion of 25 to 34 year olds in the Albury-Wodonga Region who had completed Year 12 or equivalent was 62 per cent, smaller than for Victoria (79 per cent) and Australia (75 per cent).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the time of the 2011 Census, the proportion of 25 to 34 year olds who had attained an Advanced Diploma, Diploma or Certificate level III or IV in the Albury-Wodonga Region (39 per cent) was larger than state and national averages (29 per cent and 30 per cent respectively), while the proportion who had attained a Bachelor Degree or higher (23 per cent) was far lower than the state and national averages (40 per cent and 35 per cent respectively).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E40458">
      <w:pPr>
        <w:pStyle w:val="Heading1"/>
      </w:pPr>
      <w:r>
        <w:lastRenderedPageBreak/>
        <w:t>Slide 15</w:t>
      </w:r>
    </w:p>
    <w:p w:rsidR="00A52184" w:rsidRDefault="00A52184" w:rsidP="00A52184">
      <w:pPr>
        <w:spacing w:line="360" w:lineRule="auto"/>
      </w:pPr>
    </w:p>
    <w:p w:rsidR="00E40458" w:rsidRPr="00BE3967" w:rsidRDefault="00E40458" w:rsidP="00E40458">
      <w:pPr>
        <w:pStyle w:val="Heading2"/>
        <w:jc w:val="center"/>
        <w:rPr>
          <w:sz w:val="32"/>
        </w:rPr>
      </w:pPr>
      <w:r w:rsidRPr="00BE3967">
        <w:rPr>
          <w:sz w:val="32"/>
        </w:rPr>
        <w:t>Educational Attainment &amp; Labour Market Outcomes</w:t>
      </w:r>
    </w:p>
    <w:p w:rsidR="00E40458" w:rsidRPr="00BE3967" w:rsidRDefault="00E40458" w:rsidP="00E40458">
      <w:pPr>
        <w:pStyle w:val="Heading2"/>
        <w:jc w:val="center"/>
        <w:rPr>
          <w:sz w:val="32"/>
        </w:rPr>
      </w:pPr>
      <w:r w:rsidRPr="00BE3967">
        <w:rPr>
          <w:sz w:val="32"/>
        </w:rPr>
        <w:t>Persons aged 25-34 years</w:t>
      </w:r>
    </w:p>
    <w:p w:rsidR="00A52184" w:rsidRDefault="007B355A" w:rsidP="00A52184">
      <w:pPr>
        <w:spacing w:line="360" w:lineRule="auto"/>
        <w:jc w:val="center"/>
      </w:pPr>
      <w:r>
        <w:rPr>
          <w:noProof/>
          <w:lang w:eastAsia="en-AU"/>
        </w:rPr>
        <w:drawing>
          <wp:inline distT="0" distB="0" distL="0" distR="0">
            <wp:extent cx="5939790" cy="4455160"/>
            <wp:effectExtent l="19050" t="19050" r="22860" b="21590"/>
            <wp:docPr id="8" name="Picture 8" descr="Line graph representing the participation rate:&#10;Bachelor degree or higher 90.8%&#10;Advanced diploma and diploma level 85.3%&#10;Certificate III and IV 88.8%&#10;Year 12 or equivalent 79.1%&#10;Certificate I and II 74.2%&#10;Below Year 12 67.0%&#10;&#10;Column graph representing the unemployment rate:&#10;Bachelor degree or higher 2.5%&#10;Advanced diploma and diploma level 3.3%&#10;Certificate III and IV 3.6%&#10;Year 12 or equivalent 6.7%&#10;Certificate I and II 13.2%&#10;Below Year 12 13.3%&#10;" title="Educational Attainment and Labour Market Outcomes persons aged 25-3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1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E40458">
      <w:pPr>
        <w:pStyle w:val="Heading3"/>
        <w:rPr>
          <w:lang w:eastAsia="en-AU"/>
        </w:rPr>
      </w:pPr>
      <w:r>
        <w:rPr>
          <w:lang w:eastAsia="en-AU"/>
        </w:rPr>
        <w:t>Educational Attainment and Labour Market Outcomes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Census of Population and Housing, Usual Residence, 2011</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There is a strong relationship between educational attainment and employment outcomes. For those aged 25 to 34 years in the Albury-Wodonga Region, there were high unemployment rates for those who had completed Certificate I &amp; II, but had not completed Year 12 (13.2%) and those who did not complete Year 12 without any further post school qualification (13.3%).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Unemployment rates were considerably lower for those who have completed a tertiary education at the Bachelor degree, Advanced Diploma and Diploma Level. It should also be noted that employment outcomes are better for those who have attained Certificate Levels III or IV. This emphasises the importance of post school education in ensuring success in gaining employment. </w:t>
      </w:r>
    </w:p>
    <w:p w:rsidR="00A52184" w:rsidRDefault="00A52184" w:rsidP="00A52184">
      <w:pPr>
        <w:autoSpaceDE w:val="0"/>
        <w:autoSpaceDN w:val="0"/>
        <w:adjustRightInd w:val="0"/>
        <w:rPr>
          <w:rFonts w:cs="Arial"/>
          <w:sz w:val="24"/>
          <w:szCs w:val="24"/>
          <w:lang w:eastAsia="en-AU"/>
        </w:rPr>
      </w:pPr>
    </w:p>
    <w:p w:rsidR="00A52184" w:rsidRDefault="00A52184">
      <w:r>
        <w:br w:type="page"/>
      </w:r>
    </w:p>
    <w:p w:rsidR="00A52184" w:rsidRDefault="00A52184" w:rsidP="00E40458">
      <w:pPr>
        <w:pStyle w:val="Heading1"/>
      </w:pPr>
      <w:r>
        <w:lastRenderedPageBreak/>
        <w:t>Slide 16</w:t>
      </w:r>
    </w:p>
    <w:p w:rsidR="00E40458" w:rsidRPr="00BE3967" w:rsidRDefault="00E40458" w:rsidP="00E40458">
      <w:pPr>
        <w:pStyle w:val="Heading2"/>
        <w:jc w:val="center"/>
        <w:rPr>
          <w:sz w:val="32"/>
        </w:rPr>
      </w:pPr>
      <w:r w:rsidRPr="00BE3967">
        <w:rPr>
          <w:sz w:val="32"/>
        </w:rPr>
        <w:t>Weaker Labour Market Outcomes for Indigenous Working Age Population</w:t>
      </w:r>
    </w:p>
    <w:tbl>
      <w:tblPr>
        <w:tblW w:w="9642" w:type="dxa"/>
        <w:tblLayout w:type="fixed"/>
        <w:tblCellMar>
          <w:left w:w="0" w:type="dxa"/>
          <w:right w:w="0" w:type="dxa"/>
        </w:tblCellMar>
        <w:tblLook w:val="0600" w:firstRow="0" w:lastRow="0" w:firstColumn="0" w:lastColumn="0" w:noHBand="1" w:noVBand="1"/>
      </w:tblPr>
      <w:tblGrid>
        <w:gridCol w:w="1845"/>
        <w:gridCol w:w="1560"/>
        <w:gridCol w:w="1559"/>
        <w:gridCol w:w="1559"/>
        <w:gridCol w:w="1559"/>
        <w:gridCol w:w="1560"/>
      </w:tblGrid>
      <w:tr w:rsidR="007B355A" w:rsidRPr="007B355A" w:rsidTr="009E7BED">
        <w:trPr>
          <w:trHeight w:val="606"/>
        </w:trPr>
        <w:tc>
          <w:tcPr>
            <w:tcW w:w="1845"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rPr>
                <w:rFonts w:asciiTheme="minorHAnsi" w:hAnsiTheme="minorHAnsi" w:cstheme="minorHAnsi"/>
                <w:sz w:val="28"/>
                <w:szCs w:val="24"/>
                <w:lang w:eastAsia="en-AU"/>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 WAP Indigenous</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Unemployment rate (%)</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Participation rate (%)</w:t>
            </w:r>
          </w:p>
        </w:tc>
      </w:tr>
      <w:tr w:rsidR="007B355A" w:rsidRPr="007B355A" w:rsidTr="009E7BED">
        <w:trPr>
          <w:trHeight w:val="719"/>
        </w:trPr>
        <w:tc>
          <w:tcPr>
            <w:tcW w:w="184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355A" w:rsidRPr="00BE3967" w:rsidRDefault="007B355A" w:rsidP="007B355A">
            <w:pPr>
              <w:rPr>
                <w:rFonts w:asciiTheme="minorHAnsi" w:hAnsiTheme="minorHAnsi" w:cstheme="minorHAnsi"/>
                <w:sz w:val="28"/>
                <w:szCs w:val="24"/>
                <w:lang w:eastAsia="en-AU"/>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B355A" w:rsidRPr="00BE3967" w:rsidRDefault="007B355A" w:rsidP="007B355A">
            <w:pPr>
              <w:rPr>
                <w:rFonts w:asciiTheme="minorHAnsi" w:hAnsiTheme="minorHAnsi" w:cstheme="minorHAnsi"/>
                <w:sz w:val="28"/>
                <w:szCs w:val="24"/>
                <w:lang w:eastAsia="en-A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Indigenous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Non-Indigenous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Indigenous</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7B355A" w:rsidRPr="00BE3967" w:rsidRDefault="007B355A" w:rsidP="007B355A">
            <w:pPr>
              <w:jc w:val="center"/>
              <w:textAlignment w:val="baseline"/>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Non-Indigenous</w:t>
            </w:r>
          </w:p>
        </w:tc>
      </w:tr>
      <w:tr w:rsidR="007B355A" w:rsidRPr="007B355A" w:rsidTr="009E7BED">
        <w:trPr>
          <w:trHeight w:val="591"/>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70" w:type="dxa"/>
              <w:bottom w:w="0" w:type="dxa"/>
              <w:right w:w="15" w:type="dxa"/>
            </w:tcMar>
            <w:vAlign w:val="center"/>
            <w:hideMark/>
          </w:tcPr>
          <w:p w:rsidR="007B355A" w:rsidRPr="00BE3967" w:rsidRDefault="007B355A" w:rsidP="009E7BED">
            <w:pPr>
              <w:ind w:left="-57"/>
              <w:textAlignment w:val="bottom"/>
              <w:rPr>
                <w:rFonts w:asciiTheme="minorHAnsi" w:hAnsiTheme="minorHAnsi" w:cstheme="minorHAnsi"/>
                <w:sz w:val="28"/>
                <w:szCs w:val="24"/>
                <w:lang w:eastAsia="en-AU"/>
              </w:rPr>
            </w:pPr>
            <w:r w:rsidRPr="00BE3967">
              <w:rPr>
                <w:rFonts w:asciiTheme="minorHAnsi" w:eastAsiaTheme="minorEastAsia" w:hAnsiTheme="minorHAnsi" w:cstheme="minorHAnsi"/>
                <w:kern w:val="24"/>
                <w:sz w:val="28"/>
                <w:szCs w:val="24"/>
                <w:lang w:eastAsia="en-AU"/>
              </w:rPr>
              <w:t>Albury LGA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2.1%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20.7%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52.7%</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77.9%</w:t>
            </w:r>
          </w:p>
        </w:tc>
      </w:tr>
      <w:tr w:rsidR="007B355A" w:rsidRPr="007B355A" w:rsidTr="009E7BED">
        <w:trPr>
          <w:trHeight w:val="573"/>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70" w:type="dxa"/>
              <w:bottom w:w="0" w:type="dxa"/>
              <w:right w:w="15" w:type="dxa"/>
            </w:tcMar>
            <w:vAlign w:val="center"/>
            <w:hideMark/>
          </w:tcPr>
          <w:p w:rsidR="007B355A" w:rsidRPr="00BE3967" w:rsidRDefault="007B355A" w:rsidP="009E7BED">
            <w:pPr>
              <w:ind w:left="-57"/>
              <w:textAlignment w:val="bottom"/>
              <w:rPr>
                <w:rFonts w:asciiTheme="minorHAnsi" w:hAnsiTheme="minorHAnsi" w:cstheme="minorHAnsi"/>
                <w:sz w:val="28"/>
                <w:szCs w:val="24"/>
                <w:lang w:eastAsia="en-AU"/>
              </w:rPr>
            </w:pPr>
            <w:r w:rsidRPr="00BE3967">
              <w:rPr>
                <w:rFonts w:asciiTheme="minorHAnsi" w:eastAsiaTheme="minorEastAsia" w:hAnsiTheme="minorHAnsi" w:cstheme="minorHAnsi"/>
                <w:kern w:val="24"/>
                <w:sz w:val="28"/>
                <w:szCs w:val="24"/>
                <w:lang w:eastAsia="en-AU"/>
              </w:rPr>
              <w:t>Wodonga LGA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1.6%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27.6%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56.1%</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77.5%</w:t>
            </w:r>
          </w:p>
        </w:tc>
      </w:tr>
      <w:tr w:rsidR="007B355A" w:rsidRPr="007B355A" w:rsidTr="009E7BED">
        <w:trPr>
          <w:trHeight w:val="573"/>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9E7BED">
            <w:pPr>
              <w:ind w:left="113"/>
              <w:textAlignment w:val="bottom"/>
              <w:rPr>
                <w:rFonts w:asciiTheme="minorHAnsi" w:hAnsiTheme="minorHAnsi" w:cstheme="minorHAnsi"/>
                <w:sz w:val="28"/>
                <w:szCs w:val="24"/>
                <w:lang w:eastAsia="en-AU"/>
              </w:rPr>
            </w:pPr>
            <w:r w:rsidRPr="00BE3967">
              <w:rPr>
                <w:rFonts w:asciiTheme="minorHAnsi" w:eastAsiaTheme="minorEastAsia" w:hAnsiTheme="minorHAnsi" w:cstheme="minorHAnsi"/>
                <w:kern w:val="24"/>
                <w:sz w:val="28"/>
                <w:szCs w:val="24"/>
                <w:lang w:eastAsia="en-AU"/>
              </w:rPr>
              <w:t>Corowa Shire  LGA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1.3%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23.7%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4.6%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71.1%</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75.9%</w:t>
            </w:r>
          </w:p>
        </w:tc>
      </w:tr>
      <w:tr w:rsidR="007B355A" w:rsidRPr="007B355A" w:rsidTr="009E7BED">
        <w:trPr>
          <w:trHeight w:val="573"/>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9E7BED">
            <w:pPr>
              <w:ind w:left="113"/>
              <w:textAlignment w:val="bottom"/>
              <w:rPr>
                <w:rFonts w:asciiTheme="minorHAnsi" w:hAnsiTheme="minorHAnsi" w:cstheme="minorHAnsi"/>
                <w:sz w:val="28"/>
                <w:szCs w:val="24"/>
                <w:lang w:eastAsia="en-AU"/>
              </w:rPr>
            </w:pPr>
            <w:r w:rsidRPr="00BE3967">
              <w:rPr>
                <w:rFonts w:asciiTheme="minorHAnsi" w:eastAsiaTheme="minorEastAsia" w:hAnsiTheme="minorHAnsi" w:cstheme="minorHAnsi"/>
                <w:kern w:val="24"/>
                <w:sz w:val="28"/>
                <w:szCs w:val="24"/>
                <w:lang w:eastAsia="en-AU"/>
              </w:rPr>
              <w:t>Indigo LGA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9.1%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4.1%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62.5%</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77.1%</w:t>
            </w:r>
          </w:p>
        </w:tc>
      </w:tr>
      <w:tr w:rsidR="007B355A" w:rsidRPr="007B355A" w:rsidTr="009E7BED">
        <w:trPr>
          <w:trHeight w:val="573"/>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9E7BED">
            <w:pPr>
              <w:ind w:left="113"/>
              <w:textAlignment w:val="bottom"/>
              <w:rPr>
                <w:rFonts w:asciiTheme="minorHAnsi" w:hAnsiTheme="minorHAnsi" w:cstheme="minorHAnsi"/>
                <w:sz w:val="28"/>
                <w:szCs w:val="24"/>
                <w:lang w:eastAsia="en-AU"/>
              </w:rPr>
            </w:pPr>
            <w:r w:rsidRPr="00BE3967">
              <w:rPr>
                <w:rFonts w:asciiTheme="minorHAnsi" w:eastAsiaTheme="minorEastAsia" w:hAnsiTheme="minorHAnsi" w:cstheme="minorHAnsi"/>
                <w:kern w:val="24"/>
                <w:sz w:val="28"/>
                <w:szCs w:val="24"/>
                <w:lang w:eastAsia="en-AU"/>
              </w:rPr>
              <w:t>Wangaratta  LGA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12.2%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4.9%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54.3%</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78.1%</w:t>
            </w:r>
          </w:p>
        </w:tc>
      </w:tr>
      <w:tr w:rsidR="007B355A" w:rsidRPr="007B355A" w:rsidTr="009E7BED">
        <w:trPr>
          <w:trHeight w:val="617"/>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70" w:type="dxa"/>
              <w:bottom w:w="0" w:type="dxa"/>
              <w:right w:w="15" w:type="dxa"/>
            </w:tcMar>
            <w:vAlign w:val="center"/>
            <w:hideMark/>
          </w:tcPr>
          <w:p w:rsidR="007B355A" w:rsidRPr="00BE3967" w:rsidRDefault="007B355A" w:rsidP="009E7BED">
            <w:pPr>
              <w:ind w:left="-57"/>
              <w:textAlignment w:val="bottom"/>
              <w:rPr>
                <w:rFonts w:asciiTheme="minorHAnsi" w:hAnsiTheme="minorHAnsi" w:cstheme="minorHAnsi"/>
                <w:sz w:val="28"/>
                <w:szCs w:val="24"/>
                <w:lang w:eastAsia="en-AU"/>
              </w:rPr>
            </w:pPr>
            <w:r w:rsidRPr="00BE3967">
              <w:rPr>
                <w:rFonts w:asciiTheme="minorHAnsi" w:hAnsiTheme="minorHAnsi" w:cstheme="minorHAnsi"/>
                <w:bCs/>
                <w:kern w:val="24"/>
                <w:sz w:val="28"/>
                <w:szCs w:val="24"/>
                <w:lang w:eastAsia="en-AU"/>
              </w:rPr>
              <w:t>Albury-Wodonga Region</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eastAsiaTheme="minorEastAsia" w:hAnsiTheme="minorHAnsi" w:cstheme="minorHAnsi"/>
                <w:kern w:val="24"/>
                <w:sz w:val="28"/>
                <w:szCs w:val="24"/>
                <w:lang w:eastAsia="en-AU"/>
              </w:rPr>
              <w:t>1.6%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21.0%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55.7%</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77.6%</w:t>
            </w:r>
          </w:p>
        </w:tc>
      </w:tr>
      <w:tr w:rsidR="007B355A" w:rsidRPr="007B355A" w:rsidTr="009E7BED">
        <w:trPr>
          <w:trHeight w:val="584"/>
        </w:trPr>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70" w:type="dxa"/>
              <w:bottom w:w="0" w:type="dxa"/>
              <w:right w:w="15" w:type="dxa"/>
            </w:tcMar>
            <w:vAlign w:val="center"/>
            <w:hideMark/>
          </w:tcPr>
          <w:p w:rsidR="007B355A" w:rsidRPr="00BE3967" w:rsidRDefault="007B355A" w:rsidP="009E7BED">
            <w:pPr>
              <w:ind w:left="-57"/>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Victoria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center"/>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0.7%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14.2%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59.0%</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B355A" w:rsidRPr="00BE3967" w:rsidRDefault="007B355A" w:rsidP="007B355A">
            <w:pPr>
              <w:jc w:val="center"/>
              <w:textAlignment w:val="bottom"/>
              <w:rPr>
                <w:rFonts w:asciiTheme="minorHAnsi" w:hAnsiTheme="minorHAnsi" w:cstheme="minorHAnsi"/>
                <w:sz w:val="28"/>
                <w:szCs w:val="24"/>
                <w:lang w:eastAsia="en-AU"/>
              </w:rPr>
            </w:pPr>
            <w:r w:rsidRPr="00BE3967">
              <w:rPr>
                <w:rFonts w:asciiTheme="minorHAnsi" w:hAnsiTheme="minorHAnsi" w:cstheme="minorHAnsi"/>
                <w:kern w:val="24"/>
                <w:sz w:val="28"/>
                <w:szCs w:val="24"/>
                <w:lang w:eastAsia="en-AU"/>
              </w:rPr>
              <w:t>75.8%</w:t>
            </w:r>
          </w:p>
        </w:tc>
      </w:tr>
    </w:tbl>
    <w:p w:rsidR="00A52184" w:rsidRDefault="00A52184" w:rsidP="00A52184">
      <w:pPr>
        <w:spacing w:line="360" w:lineRule="auto"/>
        <w:jc w:val="center"/>
      </w:pPr>
    </w:p>
    <w:p w:rsidR="00A52184" w:rsidRDefault="00A52184" w:rsidP="00E40458">
      <w:pPr>
        <w:pStyle w:val="Heading3"/>
        <w:rPr>
          <w:lang w:eastAsia="en-AU"/>
        </w:rPr>
      </w:pPr>
      <w:r>
        <w:rPr>
          <w:lang w:eastAsia="en-AU"/>
        </w:rPr>
        <w:t>Weaker Labour Market Outcomes for Indigenous Working Age Population</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Census of Population and Housing, Usual Residence, 2011</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This slide shows labour market outcomes of the Indigenous working age population in Albury-Wodonga Region, Victoria and Australia.</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Some 1.6 per cent of the working age population in Albury-Wodonga Region identify themselves as Indigenous, a figure larger than that for the state (0.7 per cent).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For Albury-Wodonga Region, the unemployment rate for Indigenous people was 21.0 per cent, four times the unemployment rate for non-Indigenous people (5.2 per cent). This disparity is greater compared with the state Indigenous and non-Indigenous unemployment rates.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E40458">
      <w:pPr>
        <w:pStyle w:val="Heading1"/>
      </w:pPr>
      <w:r>
        <w:lastRenderedPageBreak/>
        <w:t>Slide 17</w:t>
      </w:r>
    </w:p>
    <w:p w:rsidR="00E40458" w:rsidRDefault="00E40458" w:rsidP="00E40458"/>
    <w:p w:rsidR="00A52184" w:rsidRPr="009E7BED" w:rsidRDefault="00E40458" w:rsidP="00E40458">
      <w:pPr>
        <w:pStyle w:val="Heading2"/>
        <w:jc w:val="center"/>
        <w:rPr>
          <w:sz w:val="32"/>
        </w:rPr>
      </w:pPr>
      <w:r w:rsidRPr="009E7BED">
        <w:rPr>
          <w:sz w:val="32"/>
        </w:rPr>
        <w:t>Employment by Industry</w:t>
      </w:r>
    </w:p>
    <w:p w:rsidR="00A52184" w:rsidRDefault="007B355A" w:rsidP="00A52184">
      <w:pPr>
        <w:spacing w:line="360" w:lineRule="auto"/>
        <w:jc w:val="center"/>
      </w:pPr>
      <w:r>
        <w:rPr>
          <w:noProof/>
          <w:lang w:eastAsia="en-AU"/>
        </w:rPr>
        <w:drawing>
          <wp:inline distT="0" distB="0" distL="0" distR="0">
            <wp:extent cx="5939790" cy="4455160"/>
            <wp:effectExtent l="19050" t="19050" r="22860" b="21590"/>
            <wp:docPr id="9" name="Picture 9" descr="Murray-Hume SA4&#10;Health Care and Social Assistance 13%&#10;Retail Trade 11%&#10;Manufacturing 10%&#10;Accommodation and Food Services 9%&#10;Agriculture, Forestry and Fishing 9%&#10;Construction 9%&#10;Public Administration and Safety 7%&#10;Education and Training 7%&#10;&#10;Victoria&#10;Health Care and Social Assistance 12%&#10;Retail Trade 11%&#10;Manufacturing 10%&#10;Accommodation and Food Services 6%&#10;Agriculture, Forestry and Fishing 3%&#10;Construction 9%&#10;Public Administration and Safety 5%&#10;Education and Training 8%" title="Employment by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1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E40458">
      <w:pPr>
        <w:pStyle w:val="Heading3"/>
        <w:rPr>
          <w:lang w:eastAsia="en-AU"/>
        </w:rPr>
      </w:pPr>
      <w:r>
        <w:rPr>
          <w:lang w:eastAsia="en-AU"/>
        </w:rPr>
        <w:t>Employment by Industry</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Labour Force Survey, February 2014, 4 quarter averages of original data</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color w:val="000000"/>
          <w:kern w:val="24"/>
          <w:sz w:val="24"/>
          <w:szCs w:val="24"/>
          <w:lang w:eastAsia="en-AU"/>
        </w:rPr>
      </w:pPr>
      <w:r>
        <w:rPr>
          <w:rFonts w:ascii="Calibri" w:hAnsi="Calibri" w:cs="Calibri"/>
          <w:color w:val="000000"/>
          <w:kern w:val="24"/>
          <w:sz w:val="24"/>
          <w:szCs w:val="24"/>
          <w:lang w:eastAsia="en-AU"/>
        </w:rPr>
        <w:t>The largest employing industries in the region are the Health Care and Social Assistance, Retail Trade and Manufacturing industries.</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E40458">
      <w:pPr>
        <w:pStyle w:val="Heading1"/>
      </w:pPr>
      <w:r>
        <w:lastRenderedPageBreak/>
        <w:t>Slide 18</w:t>
      </w:r>
    </w:p>
    <w:p w:rsidR="00E40458" w:rsidRDefault="00E40458" w:rsidP="00E40458"/>
    <w:p w:rsidR="00E40458" w:rsidRPr="009E7BED" w:rsidRDefault="00E40458" w:rsidP="00E40458">
      <w:pPr>
        <w:pStyle w:val="Heading2"/>
        <w:jc w:val="center"/>
        <w:rPr>
          <w:sz w:val="32"/>
        </w:rPr>
      </w:pPr>
      <w:r w:rsidRPr="009E7BED">
        <w:rPr>
          <w:sz w:val="32"/>
        </w:rPr>
        <w:t>Employment Growth for Largest Industries</w:t>
      </w:r>
    </w:p>
    <w:p w:rsidR="00A52184" w:rsidRPr="009E7BED" w:rsidRDefault="00E40458" w:rsidP="00687974">
      <w:pPr>
        <w:pStyle w:val="Heading2"/>
        <w:jc w:val="center"/>
        <w:rPr>
          <w:sz w:val="32"/>
        </w:rPr>
      </w:pPr>
      <w:r w:rsidRPr="009E7BED">
        <w:rPr>
          <w:sz w:val="32"/>
        </w:rPr>
        <w:t>Albury-Wodonga Region 2009-2014</w:t>
      </w:r>
    </w:p>
    <w:p w:rsidR="00A52184" w:rsidRDefault="009315EC" w:rsidP="00A52184">
      <w:pPr>
        <w:spacing w:line="360" w:lineRule="auto"/>
        <w:jc w:val="center"/>
      </w:pPr>
      <w:r>
        <w:rPr>
          <w:noProof/>
          <w:lang w:eastAsia="en-AU"/>
        </w:rPr>
        <w:drawing>
          <wp:inline distT="0" distB="0" distL="0" distR="0">
            <wp:extent cx="5939790" cy="4455160"/>
            <wp:effectExtent l="19050" t="19050" r="22860" b="21590"/>
            <wp:docPr id="10" name="Picture 10" descr="Accommodation and Food Services 36%&#10;Health Care and Social Assistance 35%&#10;Construction 18%&#10;Eductation and Training 9%&#10;Retail Trade -1%&#10;Manufacturing -12%&#10;Agriculture, Forestry and Fishing -12%&#10;Other Services -25%" title="Employment growth for largest industries, Albury-Wodonga Region 2009-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1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E40458">
      <w:pPr>
        <w:pStyle w:val="Heading3"/>
        <w:rPr>
          <w:lang w:eastAsia="en-AU"/>
        </w:rPr>
      </w:pPr>
      <w:r>
        <w:rPr>
          <w:lang w:eastAsia="en-AU"/>
        </w:rPr>
        <w:t>Employment Growth for Largest Industries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Labour Force Survey, February 2014, 4 quarter averages of original data</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Industries that have grown significantly over the last five years include Accommodation and Food Services and Health Care and Social Assistance.</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color w:val="000000"/>
          <w:kern w:val="24"/>
          <w:sz w:val="24"/>
          <w:szCs w:val="24"/>
          <w:lang w:eastAsia="en-AU"/>
        </w:rPr>
      </w:pPr>
      <w:r>
        <w:rPr>
          <w:rFonts w:ascii="Calibri" w:hAnsi="Calibri" w:cs="Calibri"/>
          <w:color w:val="000000"/>
          <w:kern w:val="24"/>
          <w:sz w:val="24"/>
          <w:szCs w:val="24"/>
          <w:lang w:eastAsia="en-AU"/>
        </w:rPr>
        <w:t>Two of the largest employing industries, Manufacturing and Agriculture, Forestry and Fishing, experienced significant decreases in employment.</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Pr="009E7BED" w:rsidRDefault="00A52184" w:rsidP="002B734E">
      <w:pPr>
        <w:pStyle w:val="Heading1"/>
        <w:rPr>
          <w:sz w:val="28"/>
        </w:rPr>
      </w:pPr>
      <w:r w:rsidRPr="007A7747">
        <w:lastRenderedPageBreak/>
        <w:t>Slide 19</w:t>
      </w:r>
    </w:p>
    <w:p w:rsidR="002B734E" w:rsidRPr="009E7BED" w:rsidRDefault="002B734E" w:rsidP="007254EE">
      <w:pPr>
        <w:pStyle w:val="Heading2"/>
        <w:jc w:val="center"/>
        <w:rPr>
          <w:sz w:val="32"/>
        </w:rPr>
      </w:pPr>
      <w:r w:rsidRPr="009E7BED">
        <w:rPr>
          <w:sz w:val="32"/>
        </w:rPr>
        <w:t>Recruitment activity mixed</w:t>
      </w:r>
    </w:p>
    <w:tbl>
      <w:tblPr>
        <w:tblStyle w:val="TableGrid"/>
        <w:tblW w:w="0" w:type="auto"/>
        <w:tblLook w:val="04A0" w:firstRow="1" w:lastRow="0" w:firstColumn="1" w:lastColumn="0" w:noHBand="0" w:noVBand="1"/>
      </w:tblPr>
      <w:tblGrid>
        <w:gridCol w:w="9180"/>
      </w:tblGrid>
      <w:tr w:rsidR="00D5156E" w:rsidTr="0004729E">
        <w:trPr>
          <w:trHeight w:val="7019"/>
        </w:trPr>
        <w:tc>
          <w:tcPr>
            <w:tcW w:w="9180" w:type="dxa"/>
          </w:tcPr>
          <w:p w:rsidR="00D5156E" w:rsidRPr="00AB414F" w:rsidRDefault="00D5156E" w:rsidP="00D5156E">
            <w:pPr>
              <w:pStyle w:val="ListParagraph"/>
              <w:jc w:val="center"/>
              <w:textAlignment w:val="baseline"/>
              <w:rPr>
                <w:rFonts w:asciiTheme="minorHAnsi" w:hAnsiTheme="minorHAnsi" w:cstheme="minorHAnsi"/>
                <w:sz w:val="32"/>
              </w:rPr>
            </w:pPr>
          </w:p>
          <w:p w:rsidR="00D5156E" w:rsidRPr="00AB414F" w:rsidRDefault="00D5156E" w:rsidP="00D5156E">
            <w:pPr>
              <w:pStyle w:val="ListParagraph"/>
              <w:jc w:val="center"/>
              <w:textAlignment w:val="baseline"/>
              <w:rPr>
                <w:rFonts w:asciiTheme="minorHAnsi" w:hAnsiTheme="minorHAnsi" w:cstheme="minorHAnsi"/>
                <w:sz w:val="32"/>
              </w:rPr>
            </w:pPr>
            <w:r w:rsidRPr="00AB414F">
              <w:rPr>
                <w:rFonts w:asciiTheme="minorHAnsi" w:hAnsiTheme="minorHAnsi" w:cstheme="minorHAnsi"/>
                <w:sz w:val="32"/>
              </w:rPr>
              <w:t>Recruitment activity mixed</w:t>
            </w:r>
          </w:p>
          <w:p w:rsidR="00D5156E" w:rsidRPr="00AB414F" w:rsidRDefault="00D5156E" w:rsidP="00D5156E">
            <w:pPr>
              <w:pStyle w:val="ListParagraph"/>
              <w:textAlignment w:val="baseline"/>
              <w:rPr>
                <w:rFonts w:asciiTheme="minorHAnsi" w:hAnsiTheme="minorHAnsi" w:cstheme="minorHAnsi"/>
                <w:sz w:val="32"/>
              </w:rPr>
            </w:pPr>
          </w:p>
          <w:p w:rsidR="00D5156E" w:rsidRPr="00AB414F" w:rsidRDefault="00D5156E" w:rsidP="00D5156E">
            <w:pPr>
              <w:pStyle w:val="ListParagraph"/>
              <w:numPr>
                <w:ilvl w:val="0"/>
                <w:numId w:val="5"/>
              </w:numPr>
              <w:spacing w:line="360" w:lineRule="auto"/>
              <w:textAlignment w:val="baseline"/>
              <w:rPr>
                <w:rFonts w:asciiTheme="minorHAnsi" w:hAnsiTheme="minorHAnsi" w:cstheme="minorHAnsi"/>
                <w:sz w:val="32"/>
              </w:rPr>
            </w:pPr>
            <w:r w:rsidRPr="00AB414F">
              <w:rPr>
                <w:rFonts w:asciiTheme="minorHAnsi" w:eastAsiaTheme="minorEastAsia" w:hAnsiTheme="minorHAnsi" w:cstheme="minorHAnsi"/>
                <w:color w:val="000000" w:themeColor="text1"/>
                <w:kern w:val="24"/>
                <w:sz w:val="32"/>
              </w:rPr>
              <w:t xml:space="preserve">The proportion of employers who had recruited (62 per cent) had increased since the region was last surveyed </w:t>
            </w:r>
            <w:r w:rsidR="00AB414F">
              <w:rPr>
                <w:rFonts w:asciiTheme="minorHAnsi" w:eastAsiaTheme="minorEastAsia" w:hAnsiTheme="minorHAnsi" w:cstheme="minorHAnsi"/>
                <w:color w:val="000000" w:themeColor="text1"/>
                <w:kern w:val="24"/>
                <w:sz w:val="32"/>
              </w:rPr>
              <w:br/>
            </w:r>
            <w:r w:rsidRPr="00AB414F">
              <w:rPr>
                <w:rFonts w:asciiTheme="minorHAnsi" w:eastAsiaTheme="minorEastAsia" w:hAnsiTheme="minorHAnsi" w:cstheme="minorHAnsi"/>
                <w:color w:val="000000" w:themeColor="text1"/>
                <w:kern w:val="24"/>
                <w:sz w:val="32"/>
              </w:rPr>
              <w:t>(50 per cent)</w:t>
            </w:r>
          </w:p>
          <w:p w:rsidR="00D5156E" w:rsidRPr="00AB414F" w:rsidRDefault="00D5156E" w:rsidP="00D5156E">
            <w:pPr>
              <w:pStyle w:val="ListParagraph"/>
              <w:numPr>
                <w:ilvl w:val="0"/>
                <w:numId w:val="5"/>
              </w:numPr>
              <w:spacing w:line="360" w:lineRule="auto"/>
              <w:textAlignment w:val="baseline"/>
              <w:rPr>
                <w:rFonts w:asciiTheme="minorHAnsi" w:hAnsiTheme="minorHAnsi" w:cstheme="minorHAnsi"/>
                <w:sz w:val="32"/>
              </w:rPr>
            </w:pPr>
            <w:r w:rsidRPr="00AB414F">
              <w:rPr>
                <w:rFonts w:asciiTheme="minorHAnsi" w:eastAsiaTheme="minorEastAsia" w:hAnsiTheme="minorHAnsi" w:cstheme="minorHAnsi"/>
                <w:color w:val="000000" w:themeColor="text1"/>
                <w:kern w:val="24"/>
                <w:sz w:val="32"/>
              </w:rPr>
              <w:t>Around 1 in 5 employers increased staff numbers</w:t>
            </w:r>
          </w:p>
          <w:p w:rsidR="00D5156E" w:rsidRPr="00AB414F" w:rsidRDefault="00D5156E" w:rsidP="00D5156E">
            <w:pPr>
              <w:pStyle w:val="ListParagraph"/>
              <w:numPr>
                <w:ilvl w:val="0"/>
                <w:numId w:val="5"/>
              </w:numPr>
              <w:spacing w:line="360" w:lineRule="auto"/>
              <w:textAlignment w:val="baseline"/>
              <w:rPr>
                <w:rFonts w:asciiTheme="minorHAnsi" w:hAnsiTheme="minorHAnsi" w:cstheme="minorHAnsi"/>
                <w:sz w:val="32"/>
              </w:rPr>
            </w:pPr>
            <w:r w:rsidRPr="00AB414F">
              <w:rPr>
                <w:rFonts w:asciiTheme="minorHAnsi" w:eastAsiaTheme="minorEastAsia" w:hAnsiTheme="minorHAnsi" w:cstheme="minorHAnsi"/>
                <w:color w:val="000000" w:themeColor="text1"/>
                <w:kern w:val="24"/>
                <w:sz w:val="32"/>
              </w:rPr>
              <w:t>Unfilled vacancies (3.6 per c</w:t>
            </w:r>
            <w:r w:rsidR="0004729E">
              <w:rPr>
                <w:rFonts w:asciiTheme="minorHAnsi" w:eastAsiaTheme="minorEastAsia" w:hAnsiTheme="minorHAnsi" w:cstheme="minorHAnsi"/>
                <w:color w:val="000000" w:themeColor="text1"/>
                <w:kern w:val="24"/>
                <w:sz w:val="32"/>
              </w:rPr>
              <w:t xml:space="preserve">ent) and recruitment difficulty </w:t>
            </w:r>
            <w:r w:rsidR="0004729E">
              <w:rPr>
                <w:rFonts w:asciiTheme="minorHAnsi" w:eastAsiaTheme="minorEastAsia" w:hAnsiTheme="minorHAnsi" w:cstheme="minorHAnsi"/>
                <w:color w:val="000000" w:themeColor="text1"/>
                <w:kern w:val="24"/>
                <w:sz w:val="32"/>
              </w:rPr>
              <w:br/>
            </w:r>
            <w:r w:rsidRPr="00AB414F">
              <w:rPr>
                <w:rFonts w:asciiTheme="minorHAnsi" w:eastAsiaTheme="minorEastAsia" w:hAnsiTheme="minorHAnsi" w:cstheme="minorHAnsi"/>
                <w:color w:val="000000" w:themeColor="text1"/>
                <w:kern w:val="24"/>
                <w:sz w:val="32"/>
              </w:rPr>
              <w:t>(31 per cent) in employers’ most recent recruitment round were low</w:t>
            </w:r>
          </w:p>
          <w:p w:rsidR="00D5156E" w:rsidRPr="00427300" w:rsidRDefault="00D5156E" w:rsidP="00A52184">
            <w:pPr>
              <w:pStyle w:val="ListParagraph"/>
              <w:numPr>
                <w:ilvl w:val="0"/>
                <w:numId w:val="5"/>
              </w:numPr>
              <w:spacing w:line="360" w:lineRule="auto"/>
              <w:textAlignment w:val="baseline"/>
              <w:rPr>
                <w:rFonts w:asciiTheme="minorHAnsi" w:hAnsiTheme="minorHAnsi" w:cstheme="minorHAnsi"/>
              </w:rPr>
            </w:pPr>
            <w:r w:rsidRPr="00AB414F">
              <w:rPr>
                <w:rFonts w:asciiTheme="minorHAnsi" w:eastAsiaTheme="minorEastAsia" w:hAnsiTheme="minorHAnsi" w:cstheme="minorHAnsi"/>
                <w:color w:val="000000" w:themeColor="text1"/>
                <w:kern w:val="24"/>
                <w:sz w:val="32"/>
              </w:rPr>
              <w:t>Competition for vacancies was low, so there are still opportunities available</w:t>
            </w:r>
          </w:p>
        </w:tc>
      </w:tr>
    </w:tbl>
    <w:p w:rsidR="007A7747" w:rsidRDefault="007A7747" w:rsidP="00A52184">
      <w:pPr>
        <w:autoSpaceDE w:val="0"/>
        <w:autoSpaceDN w:val="0"/>
        <w:adjustRightInd w:val="0"/>
        <w:rPr>
          <w:rFonts w:asciiTheme="minorHAnsi" w:hAnsiTheme="minorHAnsi" w:cstheme="minorHAnsi"/>
          <w:bCs/>
          <w:color w:val="000000"/>
          <w:kern w:val="24"/>
          <w:sz w:val="24"/>
          <w:szCs w:val="24"/>
          <w:u w:val="single"/>
          <w:lang w:eastAsia="en-AU"/>
        </w:rPr>
      </w:pPr>
    </w:p>
    <w:p w:rsidR="00A52184" w:rsidRPr="007A7747" w:rsidRDefault="00A52184" w:rsidP="002B734E">
      <w:pPr>
        <w:pStyle w:val="Heading3"/>
        <w:rPr>
          <w:lang w:eastAsia="en-AU"/>
        </w:rPr>
      </w:pPr>
      <w:r w:rsidRPr="007A7747">
        <w:rPr>
          <w:lang w:eastAsia="en-AU"/>
        </w:rPr>
        <w:t>Recruitment activity mixed</w:t>
      </w:r>
    </w:p>
    <w:p w:rsidR="00A52184" w:rsidRPr="007A7747" w:rsidRDefault="00A52184" w:rsidP="00A52184">
      <w:pPr>
        <w:autoSpaceDE w:val="0"/>
        <w:autoSpaceDN w:val="0"/>
        <w:adjustRightInd w:val="0"/>
        <w:rPr>
          <w:rFonts w:asciiTheme="minorHAnsi" w:hAnsiTheme="minorHAnsi" w:cstheme="minorHAnsi"/>
          <w:i/>
          <w:iCs/>
          <w:color w:val="000000"/>
          <w:kern w:val="24"/>
          <w:sz w:val="24"/>
          <w:szCs w:val="24"/>
          <w:lang w:eastAsia="en-AU"/>
        </w:rPr>
      </w:pPr>
      <w:r w:rsidRPr="007A7747">
        <w:rPr>
          <w:rFonts w:asciiTheme="minorHAnsi" w:hAnsiTheme="minorHAnsi" w:cstheme="minorHAnsi"/>
          <w:i/>
          <w:iCs/>
          <w:color w:val="000000"/>
          <w:kern w:val="24"/>
          <w:sz w:val="24"/>
          <w:szCs w:val="24"/>
          <w:lang w:eastAsia="en-AU"/>
        </w:rPr>
        <w:t>Source: Department of Employment, Survey of Employers’ Recruitment Experiences, October 2013 and September 2012, North Eastern Victoria Priority Employment Area and all regions surveyed in the 9 months to November 2013</w:t>
      </w: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r w:rsidRPr="007A7747">
        <w:rPr>
          <w:rFonts w:asciiTheme="minorHAnsi" w:hAnsiTheme="minorHAnsi" w:cstheme="minorHAnsi"/>
          <w:color w:val="000000"/>
          <w:kern w:val="24"/>
          <w:sz w:val="24"/>
          <w:szCs w:val="24"/>
          <w:lang w:eastAsia="en-AU"/>
        </w:rPr>
        <w:t xml:space="preserve">210 employers were surveyed in Albury-Wodonga Region, as part of the North Eastern Victoria PEA survey in October 2013. </w:t>
      </w: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r w:rsidRPr="007A7747">
        <w:rPr>
          <w:rFonts w:asciiTheme="minorHAnsi" w:hAnsiTheme="minorHAnsi" w:cstheme="minorHAnsi"/>
          <w:color w:val="000000"/>
          <w:kern w:val="24"/>
          <w:sz w:val="24"/>
          <w:szCs w:val="24"/>
          <w:lang w:eastAsia="en-AU"/>
        </w:rPr>
        <w:t> </w:t>
      </w: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r w:rsidRPr="007A7747">
        <w:rPr>
          <w:rFonts w:asciiTheme="minorHAnsi" w:hAnsiTheme="minorHAnsi" w:cstheme="minorHAnsi"/>
          <w:color w:val="000000"/>
          <w:kern w:val="24"/>
          <w:sz w:val="24"/>
          <w:szCs w:val="24"/>
          <w:lang w:eastAsia="en-AU"/>
        </w:rPr>
        <w:t xml:space="preserve">The proportion of employers who had recruited (62 per cent) had increased since the region was last surveyed, when the figure was 50 per cent, and was smaller than the results for all previous surveys in the region back to December 2009. </w:t>
      </w: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r w:rsidRPr="007A7747">
        <w:rPr>
          <w:rFonts w:asciiTheme="minorHAnsi" w:hAnsiTheme="minorHAnsi" w:cstheme="minorHAnsi"/>
          <w:color w:val="000000"/>
          <w:kern w:val="24"/>
          <w:sz w:val="24"/>
          <w:szCs w:val="24"/>
          <w:lang w:eastAsia="en-AU"/>
        </w:rPr>
        <w:t>  </w:t>
      </w: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r w:rsidRPr="007A7747">
        <w:rPr>
          <w:rFonts w:asciiTheme="minorHAnsi" w:hAnsiTheme="minorHAnsi" w:cstheme="minorHAnsi"/>
          <w:color w:val="000000"/>
          <w:kern w:val="24"/>
          <w:sz w:val="24"/>
          <w:szCs w:val="24"/>
          <w:lang w:eastAsia="en-AU"/>
        </w:rPr>
        <w:t xml:space="preserve">The rate of unfilled vacancies (3.6 per cent) was higher than in September 2012 (1.8 per cent) but slightly lower compared to all regions surveyed (3.8 per cent). </w:t>
      </w: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p>
    <w:p w:rsidR="00A52184" w:rsidRPr="007A7747" w:rsidRDefault="00A52184" w:rsidP="00A52184">
      <w:pPr>
        <w:autoSpaceDE w:val="0"/>
        <w:autoSpaceDN w:val="0"/>
        <w:adjustRightInd w:val="0"/>
        <w:rPr>
          <w:rFonts w:asciiTheme="minorHAnsi" w:hAnsiTheme="minorHAnsi" w:cstheme="minorHAnsi"/>
          <w:color w:val="000000"/>
          <w:kern w:val="24"/>
          <w:sz w:val="24"/>
          <w:szCs w:val="24"/>
          <w:lang w:eastAsia="en-AU"/>
        </w:rPr>
      </w:pPr>
      <w:r w:rsidRPr="007A7747">
        <w:rPr>
          <w:rFonts w:asciiTheme="minorHAnsi" w:hAnsiTheme="minorHAnsi" w:cstheme="minorHAnsi"/>
          <w:color w:val="000000"/>
          <w:kern w:val="24"/>
          <w:sz w:val="24"/>
          <w:szCs w:val="24"/>
          <w:lang w:eastAsia="en-AU"/>
        </w:rPr>
        <w:t>The proportion of employers who reported recruitment difficulty (44 per cent) was also lower compared with all regions (49 per cent).</w:t>
      </w:r>
    </w:p>
    <w:p w:rsidR="00A52184" w:rsidRDefault="00A52184" w:rsidP="00A52184">
      <w:pPr>
        <w:spacing w:line="360" w:lineRule="auto"/>
      </w:pPr>
    </w:p>
    <w:p w:rsidR="00A52184" w:rsidRDefault="00A52184" w:rsidP="007254EE">
      <w:pPr>
        <w:pStyle w:val="Heading1"/>
      </w:pPr>
      <w:r>
        <w:lastRenderedPageBreak/>
        <w:t>Slide 20</w:t>
      </w:r>
    </w:p>
    <w:p w:rsidR="00A52184" w:rsidRDefault="00A52184" w:rsidP="00A52184">
      <w:pPr>
        <w:spacing w:line="360" w:lineRule="auto"/>
      </w:pPr>
    </w:p>
    <w:p w:rsidR="007254EE" w:rsidRPr="009E7BED" w:rsidRDefault="007254EE" w:rsidP="00687974">
      <w:pPr>
        <w:pStyle w:val="Heading2"/>
        <w:jc w:val="center"/>
        <w:rPr>
          <w:sz w:val="32"/>
          <w:lang w:eastAsia="en-AU"/>
        </w:rPr>
      </w:pPr>
      <w:r w:rsidRPr="009E7BED">
        <w:rPr>
          <w:sz w:val="32"/>
          <w:lang w:eastAsia="en-AU"/>
        </w:rPr>
        <w:t>Small increase in Demand for Labour</w:t>
      </w:r>
    </w:p>
    <w:p w:rsidR="00A52184" w:rsidRDefault="00DD0B4C" w:rsidP="00A52184">
      <w:pPr>
        <w:spacing w:line="360" w:lineRule="auto"/>
        <w:jc w:val="center"/>
      </w:pPr>
      <w:r>
        <w:rPr>
          <w:noProof/>
          <w:lang w:eastAsia="en-AU"/>
        </w:rPr>
        <w:drawing>
          <wp:inline distT="0" distB="0" distL="0" distR="0">
            <wp:extent cx="5939790" cy="4455160"/>
            <wp:effectExtent l="19050" t="19050" r="22860" b="21590"/>
            <wp:docPr id="11" name="Picture 11" descr="Proportion of Employers recruited&#10;2010 74%&#10;2011 75%&#10;2012 50%&#10;2013 62%&#10;&#10;Vacancies left unfilled&#10;2010 6.2%&#10;2011 4.8%&#10;2012 1.8%&#10;2013 3.6%" title="Small increase in demand for labour, Albury-Wodonga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2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7254EE">
      <w:pPr>
        <w:pStyle w:val="Heading3"/>
        <w:rPr>
          <w:lang w:eastAsia="en-AU"/>
        </w:rPr>
      </w:pPr>
      <w:r>
        <w:rPr>
          <w:lang w:eastAsia="en-AU"/>
        </w:rPr>
        <w:t>Small increase in Demand for Labour</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12 months before the survey, October 2013, September 2012, August 2011, August 2010, </w:t>
      </w:r>
      <w:r>
        <w:rPr>
          <w:rFonts w:ascii="Calibri" w:hAnsi="Times New Roman" w:cs="Calibri"/>
          <w:i/>
          <w:iCs/>
          <w:color w:val="000000"/>
          <w:kern w:val="24"/>
          <w:sz w:val="24"/>
          <w:szCs w:val="24"/>
          <w:lang w:eastAsia="en-AU"/>
        </w:rPr>
        <w:t xml:space="preserve">North Eastern </w:t>
      </w:r>
      <w:r>
        <w:rPr>
          <w:rFonts w:ascii="Calibri" w:hAnsi="Calibri" w:cs="Calibri"/>
          <w:i/>
          <w:iCs/>
          <w:color w:val="000000"/>
          <w:kern w:val="24"/>
          <w:sz w:val="24"/>
          <w:szCs w:val="24"/>
          <w:lang w:eastAsia="en-AU"/>
        </w:rPr>
        <w:t>Victoria Priority Employment Area (Albury-Wodonga region)</w:t>
      </w:r>
    </w:p>
    <w:p w:rsidR="00A52184" w:rsidRDefault="00A52184" w:rsidP="00A52184">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u w:val="single"/>
          <w:lang w:eastAsia="en-AU"/>
        </w:rPr>
        <w:t xml:space="preserve">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graphs compares indicators of recruitment activity from the October 2013 survey (</w:t>
      </w:r>
      <w:r>
        <w:rPr>
          <w:rFonts w:ascii="Calibri" w:hAnsi="Calibri" w:cs="Calibri"/>
          <w:i/>
          <w:iCs/>
          <w:color w:val="000000"/>
          <w:kern w:val="24"/>
          <w:sz w:val="24"/>
          <w:szCs w:val="24"/>
          <w:lang w:eastAsia="en-AU"/>
        </w:rPr>
        <w:t xml:space="preserve">proportion of employers who had </w:t>
      </w:r>
      <w:proofErr w:type="gramStart"/>
      <w:r>
        <w:rPr>
          <w:rFonts w:ascii="Calibri" w:hAnsi="Calibri" w:cs="Calibri"/>
          <w:i/>
          <w:iCs/>
          <w:color w:val="000000"/>
          <w:kern w:val="24"/>
          <w:sz w:val="24"/>
          <w:szCs w:val="24"/>
          <w:lang w:eastAsia="en-AU"/>
        </w:rPr>
        <w:t xml:space="preserve">recruited  </w:t>
      </w:r>
      <w:r>
        <w:rPr>
          <w:rFonts w:ascii="Calibri" w:hAnsi="Calibri" w:cs="Calibri"/>
          <w:color w:val="000000"/>
          <w:kern w:val="24"/>
          <w:sz w:val="24"/>
          <w:szCs w:val="24"/>
          <w:lang w:eastAsia="en-AU"/>
        </w:rPr>
        <w:t>and</w:t>
      </w:r>
      <w:proofErr w:type="gramEnd"/>
      <w:r>
        <w:rPr>
          <w:rFonts w:ascii="Calibri" w:hAnsi="Calibri" w:cs="Calibri"/>
          <w:color w:val="000000"/>
          <w:kern w:val="24"/>
          <w:sz w:val="24"/>
          <w:szCs w:val="24"/>
          <w:lang w:eastAsia="en-AU"/>
        </w:rPr>
        <w:t xml:space="preserve"> </w:t>
      </w:r>
      <w:r>
        <w:rPr>
          <w:rFonts w:ascii="Calibri" w:hAnsi="Calibri" w:cs="Calibri"/>
          <w:i/>
          <w:iCs/>
          <w:color w:val="000000"/>
          <w:kern w:val="24"/>
          <w:sz w:val="24"/>
          <w:szCs w:val="24"/>
          <w:lang w:eastAsia="en-AU"/>
        </w:rPr>
        <w:t xml:space="preserve">vacancies left unfilled  </w:t>
      </w:r>
      <w:r>
        <w:rPr>
          <w:rFonts w:ascii="Calibri" w:hAnsi="Calibri" w:cs="Calibri"/>
          <w:color w:val="000000"/>
          <w:kern w:val="24"/>
          <w:sz w:val="24"/>
          <w:szCs w:val="24"/>
          <w:lang w:eastAsia="en-AU"/>
        </w:rPr>
        <w:t xml:space="preserve">in the past twelve months) with those of three previous surveys going back to August 2010.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results indicate a recent increase in recruitment activity and the proportion of unfilled vacancies in the Albury-Wodonga Region.</w:t>
      </w: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7254EE">
      <w:pPr>
        <w:pStyle w:val="Heading1"/>
      </w:pPr>
      <w:r>
        <w:lastRenderedPageBreak/>
        <w:t>Slide 21</w:t>
      </w:r>
    </w:p>
    <w:p w:rsidR="007254EE" w:rsidRDefault="007254EE" w:rsidP="007254EE"/>
    <w:p w:rsidR="00A52184" w:rsidRPr="009E7BED" w:rsidRDefault="007254EE" w:rsidP="00687974">
      <w:pPr>
        <w:pStyle w:val="Heading2"/>
        <w:jc w:val="center"/>
        <w:rPr>
          <w:sz w:val="32"/>
          <w:lang w:eastAsia="en-AU"/>
        </w:rPr>
      </w:pPr>
      <w:r w:rsidRPr="009E7BED">
        <w:rPr>
          <w:sz w:val="32"/>
          <w:lang w:eastAsia="en-AU"/>
        </w:rPr>
        <w:t>Few suitable applicants</w:t>
      </w:r>
    </w:p>
    <w:p w:rsidR="00A52184" w:rsidRDefault="00DD0B4C" w:rsidP="00A52184">
      <w:pPr>
        <w:spacing w:line="360" w:lineRule="auto"/>
        <w:jc w:val="center"/>
      </w:pPr>
      <w:r>
        <w:rPr>
          <w:noProof/>
          <w:lang w:eastAsia="en-AU"/>
        </w:rPr>
        <w:drawing>
          <wp:inline distT="0" distB="0" distL="0" distR="0">
            <wp:extent cx="5939790" cy="4455160"/>
            <wp:effectExtent l="19050" t="19050" r="22860" b="21590"/>
            <wp:docPr id="12" name="Picture 12" descr="Bar graph comparing the average number of applicants per vacancy and the average number of suitable applicants per vacancy for the various occupation groups and for the region as a whole, compared with the previous survey as well as all regions surveyed to November 2013 " title="Few suitable applicants by occupation: Albury-Wodonga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2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Pr="00D5156E" w:rsidRDefault="00A52184" w:rsidP="00687974">
      <w:pPr>
        <w:pStyle w:val="Heading3"/>
        <w:rPr>
          <w:lang w:eastAsia="en-AU"/>
        </w:rPr>
      </w:pPr>
      <w:r w:rsidRPr="00D5156E">
        <w:rPr>
          <w:lang w:eastAsia="en-AU"/>
        </w:rPr>
        <w:t>Few suitable applicants</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October 2013 and September 2012, North Eastern Victoria Priority Employment Area and all regions surveyed in the 9 months to November 2013.</w:t>
      </w:r>
    </w:p>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There was, on average, less competition for vacancies in the Albury-Wodonga Region (6.8 applicants per vacancy) compared with the last time the region was surveyed (8.1 applicants per vacancy). The average number of suitable applicants per vacancy (1.4) was also lower compared to the previous survey (2.6).</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There was a high level of competition for Technicians and Trade Workers and Labourers vacancies, with an average of 8.5 and 9.0 applicants per vacancy respectively.</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Employers recruiting for Clerical and Administrative Workers had little choice of applicants with an average of 2.4 applicants.</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color w:val="000000"/>
          <w:kern w:val="24"/>
          <w:sz w:val="24"/>
          <w:szCs w:val="24"/>
          <w:lang w:eastAsia="en-AU"/>
        </w:rPr>
        <w:t> </w:t>
      </w:r>
    </w:p>
    <w:p w:rsidR="00A52184" w:rsidRDefault="00A52184">
      <w:r>
        <w:br w:type="page"/>
      </w:r>
    </w:p>
    <w:p w:rsidR="00687974" w:rsidRDefault="00A52184" w:rsidP="00687974">
      <w:pPr>
        <w:pStyle w:val="Heading1"/>
      </w:pPr>
      <w:r>
        <w:lastRenderedPageBreak/>
        <w:t>Slide 22</w:t>
      </w:r>
    </w:p>
    <w:p w:rsidR="00687974" w:rsidRPr="009E7BED" w:rsidRDefault="00687974" w:rsidP="00687974">
      <w:pPr>
        <w:pStyle w:val="Heading2"/>
        <w:jc w:val="center"/>
        <w:rPr>
          <w:rFonts w:ascii="Calibri" w:hAnsi="Calibri"/>
          <w:sz w:val="32"/>
          <w:szCs w:val="32"/>
        </w:rPr>
      </w:pPr>
      <w:r w:rsidRPr="009E7BED">
        <w:rPr>
          <w:sz w:val="32"/>
        </w:rPr>
        <w:t>Reasons applicants did not receive an interview</w:t>
      </w:r>
    </w:p>
    <w:p w:rsidR="00687974" w:rsidRPr="009E7BED" w:rsidRDefault="00687974" w:rsidP="00687974">
      <w:pPr>
        <w:pStyle w:val="Heading2"/>
        <w:jc w:val="center"/>
        <w:rPr>
          <w:sz w:val="32"/>
        </w:rPr>
      </w:pPr>
      <w:r w:rsidRPr="009E7BED">
        <w:rPr>
          <w:sz w:val="32"/>
        </w:rPr>
        <w:t>Albury-Wodonga Region</w:t>
      </w:r>
    </w:p>
    <w:tbl>
      <w:tblPr>
        <w:tblStyle w:val="TableGrid"/>
        <w:tblW w:w="0" w:type="auto"/>
        <w:tblLook w:val="04A0" w:firstRow="1" w:lastRow="0" w:firstColumn="1" w:lastColumn="0" w:noHBand="0" w:noVBand="1"/>
      </w:tblPr>
      <w:tblGrid>
        <w:gridCol w:w="9570"/>
      </w:tblGrid>
      <w:tr w:rsidR="00D5156E" w:rsidTr="00D5156E">
        <w:trPr>
          <w:trHeight w:val="7019"/>
        </w:trPr>
        <w:tc>
          <w:tcPr>
            <w:tcW w:w="9570" w:type="dxa"/>
          </w:tcPr>
          <w:p w:rsidR="00D5156E" w:rsidRPr="0004729E" w:rsidRDefault="00D5156E" w:rsidP="0004729E">
            <w:pPr>
              <w:spacing w:before="360" w:line="360" w:lineRule="auto"/>
              <w:jc w:val="center"/>
              <w:rPr>
                <w:rFonts w:asciiTheme="minorHAnsi" w:hAnsiTheme="minorHAnsi" w:cstheme="minorHAnsi"/>
                <w:sz w:val="40"/>
                <w:szCs w:val="24"/>
              </w:rPr>
            </w:pPr>
            <w:r w:rsidRPr="0004729E">
              <w:rPr>
                <w:rFonts w:asciiTheme="minorHAnsi" w:hAnsiTheme="minorHAnsi" w:cstheme="minorHAnsi"/>
                <w:sz w:val="40"/>
                <w:szCs w:val="24"/>
              </w:rPr>
              <w:t>Reasons applicants did not receive an interview</w:t>
            </w:r>
          </w:p>
          <w:p w:rsidR="00D5156E" w:rsidRPr="0004729E" w:rsidRDefault="00D5156E" w:rsidP="00D5156E">
            <w:pPr>
              <w:spacing w:line="360" w:lineRule="auto"/>
              <w:jc w:val="center"/>
              <w:rPr>
                <w:rFonts w:asciiTheme="minorHAnsi" w:hAnsiTheme="minorHAnsi" w:cstheme="minorHAnsi"/>
                <w:sz w:val="40"/>
                <w:szCs w:val="24"/>
              </w:rPr>
            </w:pPr>
            <w:r w:rsidRPr="0004729E">
              <w:rPr>
                <w:rFonts w:asciiTheme="minorHAnsi" w:hAnsiTheme="minorHAnsi" w:cstheme="minorHAnsi"/>
                <w:sz w:val="40"/>
                <w:szCs w:val="24"/>
              </w:rPr>
              <w:t>Albury-Wodonga Region</w:t>
            </w:r>
          </w:p>
          <w:p w:rsidR="00D5156E" w:rsidRPr="0004729E" w:rsidRDefault="00D5156E" w:rsidP="00D5156E">
            <w:pPr>
              <w:pStyle w:val="ListParagraph"/>
              <w:numPr>
                <w:ilvl w:val="0"/>
                <w:numId w:val="6"/>
              </w:numPr>
              <w:kinsoku w:val="0"/>
              <w:overflowPunct w:val="0"/>
              <w:spacing w:line="360" w:lineRule="auto"/>
              <w:textAlignment w:val="baseline"/>
              <w:rPr>
                <w:sz w:val="40"/>
              </w:rPr>
            </w:pPr>
            <w:r w:rsidRPr="0004729E">
              <w:rPr>
                <w:rFonts w:ascii="Calibri" w:eastAsiaTheme="minorEastAsia" w:hAnsi="Calibri" w:cs="Calibri"/>
                <w:color w:val="000000" w:themeColor="text1"/>
                <w:sz w:val="40"/>
              </w:rPr>
              <w:t>68% of applicants did not receive an interview</w:t>
            </w:r>
          </w:p>
          <w:p w:rsidR="00D5156E" w:rsidRPr="0004729E" w:rsidRDefault="00D5156E" w:rsidP="00D5156E">
            <w:pPr>
              <w:pStyle w:val="ListParagraph"/>
              <w:numPr>
                <w:ilvl w:val="0"/>
                <w:numId w:val="6"/>
              </w:numPr>
              <w:kinsoku w:val="0"/>
              <w:overflowPunct w:val="0"/>
              <w:spacing w:line="360" w:lineRule="auto"/>
              <w:textAlignment w:val="baseline"/>
              <w:rPr>
                <w:sz w:val="40"/>
              </w:rPr>
            </w:pPr>
            <w:r w:rsidRPr="0004729E">
              <w:rPr>
                <w:rFonts w:ascii="Calibri" w:eastAsiaTheme="minorEastAsia" w:hAnsi="Calibri" w:cs="Calibri"/>
                <w:color w:val="000000" w:themeColor="text1"/>
                <w:sz w:val="40"/>
              </w:rPr>
              <w:t>Reasons applicants did not get an interview include:</w:t>
            </w:r>
          </w:p>
          <w:p w:rsidR="00D5156E" w:rsidRPr="0004729E" w:rsidRDefault="00D5156E" w:rsidP="00D5156E">
            <w:pPr>
              <w:pStyle w:val="ListParagraph"/>
              <w:numPr>
                <w:ilvl w:val="1"/>
                <w:numId w:val="6"/>
              </w:numPr>
              <w:kinsoku w:val="0"/>
              <w:overflowPunct w:val="0"/>
              <w:spacing w:line="360" w:lineRule="auto"/>
              <w:textAlignment w:val="baseline"/>
              <w:rPr>
                <w:sz w:val="40"/>
              </w:rPr>
            </w:pPr>
            <w:r w:rsidRPr="0004729E">
              <w:rPr>
                <w:rFonts w:ascii="Calibri" w:eastAsiaTheme="minorEastAsia" w:hAnsi="Calibri" w:cs="Calibri"/>
                <w:color w:val="000000" w:themeColor="text1"/>
                <w:sz w:val="40"/>
              </w:rPr>
              <w:t>Insufficient experience to perform job duties (45%)</w:t>
            </w:r>
          </w:p>
          <w:p w:rsidR="00D5156E" w:rsidRPr="0004729E" w:rsidRDefault="00D5156E" w:rsidP="00D5156E">
            <w:pPr>
              <w:pStyle w:val="ListParagraph"/>
              <w:numPr>
                <w:ilvl w:val="1"/>
                <w:numId w:val="6"/>
              </w:numPr>
              <w:kinsoku w:val="0"/>
              <w:overflowPunct w:val="0"/>
              <w:spacing w:line="360" w:lineRule="auto"/>
              <w:textAlignment w:val="baseline"/>
              <w:rPr>
                <w:sz w:val="40"/>
              </w:rPr>
            </w:pPr>
            <w:r w:rsidRPr="0004729E">
              <w:rPr>
                <w:rFonts w:ascii="Calibri" w:eastAsiaTheme="minorEastAsia" w:hAnsi="Calibri" w:cs="Calibri"/>
                <w:color w:val="000000" w:themeColor="text1"/>
                <w:sz w:val="40"/>
              </w:rPr>
              <w:t>Insufficient qualifications or training (28%)</w:t>
            </w:r>
          </w:p>
          <w:p w:rsidR="00D5156E" w:rsidRPr="0004729E" w:rsidRDefault="00D5156E" w:rsidP="00D5156E">
            <w:pPr>
              <w:pStyle w:val="ListParagraph"/>
              <w:numPr>
                <w:ilvl w:val="1"/>
                <w:numId w:val="6"/>
              </w:numPr>
              <w:kinsoku w:val="0"/>
              <w:overflowPunct w:val="0"/>
              <w:spacing w:line="360" w:lineRule="auto"/>
              <w:textAlignment w:val="baseline"/>
              <w:rPr>
                <w:sz w:val="40"/>
              </w:rPr>
            </w:pPr>
            <w:r w:rsidRPr="0004729E">
              <w:rPr>
                <w:rFonts w:ascii="Calibri" w:eastAsiaTheme="minorEastAsia" w:hAnsi="Calibri" w:cs="Calibri"/>
                <w:color w:val="000000" w:themeColor="text1"/>
                <w:sz w:val="40"/>
              </w:rPr>
              <w:t>Application poorly written/presented or not good enough (19%)</w:t>
            </w:r>
          </w:p>
          <w:p w:rsidR="00D5156E" w:rsidRDefault="00D5156E" w:rsidP="00D5156E">
            <w:pPr>
              <w:autoSpaceDE w:val="0"/>
              <w:autoSpaceDN w:val="0"/>
              <w:adjustRightInd w:val="0"/>
              <w:jc w:val="center"/>
              <w:rPr>
                <w:rFonts w:ascii="Calibri" w:hAnsi="Calibri" w:cs="Calibri"/>
                <w:b/>
                <w:bCs/>
                <w:color w:val="000000"/>
                <w:kern w:val="24"/>
                <w:sz w:val="24"/>
                <w:szCs w:val="24"/>
                <w:u w:val="single"/>
                <w:lang w:eastAsia="en-AU"/>
              </w:rPr>
            </w:pPr>
          </w:p>
        </w:tc>
      </w:tr>
    </w:tbl>
    <w:p w:rsidR="007A7747" w:rsidRDefault="007A7747" w:rsidP="00A52184">
      <w:pPr>
        <w:autoSpaceDE w:val="0"/>
        <w:autoSpaceDN w:val="0"/>
        <w:adjustRightInd w:val="0"/>
        <w:rPr>
          <w:rFonts w:ascii="Calibri" w:hAnsi="Calibri" w:cs="Calibri"/>
          <w:b/>
          <w:bCs/>
          <w:color w:val="000000"/>
          <w:kern w:val="24"/>
          <w:sz w:val="24"/>
          <w:szCs w:val="24"/>
          <w:u w:val="single"/>
          <w:lang w:eastAsia="en-AU"/>
        </w:rPr>
      </w:pPr>
    </w:p>
    <w:p w:rsidR="00A52184" w:rsidRPr="007A7747" w:rsidRDefault="00A52184" w:rsidP="00687974">
      <w:pPr>
        <w:pStyle w:val="Heading3"/>
        <w:rPr>
          <w:lang w:eastAsia="en-AU"/>
        </w:rPr>
      </w:pPr>
      <w:r w:rsidRPr="007A7747">
        <w:rPr>
          <w:lang w:eastAsia="en-AU"/>
        </w:rPr>
        <w:t>Reasons applicants did not receive an interview</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October 2013, North Eastern Victoria Priority Employment Area</w:t>
      </w:r>
    </w:p>
    <w:p w:rsidR="00A52184" w:rsidRDefault="00A52184" w:rsidP="00A52184">
      <w:pPr>
        <w:autoSpaceDE w:val="0"/>
        <w:autoSpaceDN w:val="0"/>
        <w:adjustRightInd w:val="0"/>
        <w:rPr>
          <w:rFonts w:ascii="Calibri" w:hAnsi="Calibri" w:cs="Calibri"/>
          <w:b/>
          <w:bCs/>
          <w:color w:val="000000"/>
          <w:kern w:val="24"/>
          <w:sz w:val="24"/>
          <w:szCs w:val="24"/>
          <w:u w:val="single"/>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Over two-thirds (68 per cent) did not receive an interview.</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Reasons applicants did not get an interview include:</w:t>
      </w:r>
    </w:p>
    <w:p w:rsidR="00A52184" w:rsidRDefault="00A52184" w:rsidP="00A52184">
      <w:pPr>
        <w:numPr>
          <w:ilvl w:val="0"/>
          <w:numId w:val="1"/>
        </w:numPr>
        <w:autoSpaceDE w:val="0"/>
        <w:autoSpaceDN w:val="0"/>
        <w:adjustRightInd w:val="0"/>
        <w:ind w:left="117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Insufficient experience to perform job duties (45%)</w:t>
      </w:r>
    </w:p>
    <w:p w:rsidR="00A52184" w:rsidRDefault="00A52184" w:rsidP="00A52184">
      <w:pPr>
        <w:numPr>
          <w:ilvl w:val="0"/>
          <w:numId w:val="1"/>
        </w:numPr>
        <w:autoSpaceDE w:val="0"/>
        <w:autoSpaceDN w:val="0"/>
        <w:adjustRightInd w:val="0"/>
        <w:ind w:left="117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Insufficient qualifications or training (28%)</w:t>
      </w:r>
    </w:p>
    <w:p w:rsidR="00A52184" w:rsidRDefault="00A52184" w:rsidP="00A52184">
      <w:pPr>
        <w:numPr>
          <w:ilvl w:val="0"/>
          <w:numId w:val="1"/>
        </w:numPr>
        <w:autoSpaceDE w:val="0"/>
        <w:autoSpaceDN w:val="0"/>
        <w:adjustRightInd w:val="0"/>
        <w:ind w:left="117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Application poorly written/presented or not good enough (19%)</w:t>
      </w:r>
    </w:p>
    <w:p w:rsidR="00A52184" w:rsidRDefault="00A52184" w:rsidP="00A52184">
      <w:pPr>
        <w:autoSpaceDE w:val="0"/>
        <w:autoSpaceDN w:val="0"/>
        <w:adjustRightInd w:val="0"/>
        <w:ind w:left="1170" w:hanging="450"/>
        <w:rPr>
          <w:rFonts w:ascii="Calibri" w:hAnsi="Times New Roman" w:cs="Calibri"/>
          <w:color w:val="000000"/>
          <w:sz w:val="20"/>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687974">
      <w:pPr>
        <w:pStyle w:val="Heading1"/>
      </w:pPr>
      <w:r>
        <w:lastRenderedPageBreak/>
        <w:t>Slide 23</w:t>
      </w:r>
    </w:p>
    <w:p w:rsidR="00687974" w:rsidRPr="009E7BED" w:rsidRDefault="00687974" w:rsidP="00687974">
      <w:pPr>
        <w:pStyle w:val="Heading2"/>
        <w:jc w:val="center"/>
        <w:rPr>
          <w:sz w:val="32"/>
          <w:lang w:eastAsia="en-AU"/>
        </w:rPr>
      </w:pPr>
      <w:r w:rsidRPr="009E7BED">
        <w:rPr>
          <w:sz w:val="32"/>
          <w:lang w:eastAsia="en-AU"/>
        </w:rPr>
        <w:t>The recruitment process</w:t>
      </w:r>
    </w:p>
    <w:p w:rsidR="00687974" w:rsidRPr="009E7BED" w:rsidRDefault="00687974" w:rsidP="00687974">
      <w:pPr>
        <w:pStyle w:val="Heading2"/>
        <w:jc w:val="center"/>
        <w:rPr>
          <w:sz w:val="32"/>
          <w:lang w:eastAsia="en-AU"/>
        </w:rPr>
      </w:pPr>
      <w:r w:rsidRPr="009E7BED">
        <w:rPr>
          <w:sz w:val="32"/>
          <w:lang w:eastAsia="en-AU"/>
        </w:rPr>
        <w:t>In the Albury-Wodonga Region</w:t>
      </w:r>
    </w:p>
    <w:p w:rsidR="00A52184" w:rsidRDefault="007A7747" w:rsidP="00A52184">
      <w:pPr>
        <w:spacing w:line="360" w:lineRule="auto"/>
        <w:jc w:val="center"/>
      </w:pPr>
      <w:r>
        <w:rPr>
          <w:noProof/>
          <w:lang w:eastAsia="en-AU"/>
        </w:rPr>
        <w:drawing>
          <wp:inline distT="0" distB="0" distL="0" distR="0">
            <wp:extent cx="5939790" cy="4455160"/>
            <wp:effectExtent l="19050" t="19050" r="22860" b="21590"/>
            <wp:docPr id="15" name="Picture 15" descr="Slide shows the average number of applicants per vacancy (7), the average number of applicants per vacancy who received an interview (2) and of these the average number who were considered suitable (1), as well as the average number of applicants who were not interviewed (5)." title="The recruitment process in the Albury-Wodonga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2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Pr="00D5156E" w:rsidRDefault="00A52184" w:rsidP="00687974">
      <w:pPr>
        <w:pStyle w:val="Heading3"/>
      </w:pPr>
    </w:p>
    <w:p w:rsidR="00A52184" w:rsidRPr="00D5156E" w:rsidRDefault="00A52184" w:rsidP="00687974">
      <w:pPr>
        <w:pStyle w:val="Heading3"/>
        <w:rPr>
          <w:rFonts w:cs="Calibri"/>
          <w:color w:val="000000"/>
          <w:kern w:val="24"/>
          <w:szCs w:val="24"/>
          <w:lang w:eastAsia="en-AU"/>
        </w:rPr>
      </w:pPr>
      <w:r w:rsidRPr="00D5156E">
        <w:rPr>
          <w:rFonts w:cs="Calibri"/>
          <w:color w:val="000000"/>
          <w:kern w:val="24"/>
          <w:szCs w:val="24"/>
          <w:lang w:eastAsia="en-AU"/>
        </w:rPr>
        <w:t>The recruitment process – in the Albury-Wodonga Region</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Department of Employment, Survey of Employers’ Recruitment Experiences, October 2013 and September 2012, </w:t>
      </w:r>
      <w:r>
        <w:rPr>
          <w:rFonts w:ascii="Calibri" w:hAnsi="Times New Roman" w:cs="Calibri"/>
          <w:i/>
          <w:iCs/>
          <w:color w:val="000000"/>
          <w:kern w:val="24"/>
          <w:sz w:val="24"/>
          <w:szCs w:val="24"/>
          <w:lang w:eastAsia="en-AU"/>
        </w:rPr>
        <w:t xml:space="preserve">North Eastern </w:t>
      </w:r>
      <w:r>
        <w:rPr>
          <w:rFonts w:ascii="Calibri" w:hAnsi="Calibri" w:cs="Calibri"/>
          <w:i/>
          <w:iCs/>
          <w:color w:val="000000"/>
          <w:kern w:val="24"/>
          <w:sz w:val="24"/>
          <w:szCs w:val="24"/>
          <w:lang w:eastAsia="en-AU"/>
        </w:rPr>
        <w:t>Victoria Priority Employment Area</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This slide shows</w:t>
      </w:r>
      <w:proofErr w:type="gramEnd"/>
      <w:r>
        <w:rPr>
          <w:rFonts w:ascii="Calibri" w:hAnsi="Calibri" w:cs="Calibri"/>
          <w:color w:val="000000"/>
          <w:kern w:val="24"/>
          <w:sz w:val="24"/>
          <w:szCs w:val="24"/>
          <w:lang w:eastAsia="en-AU"/>
        </w:rPr>
        <w:t xml:space="preserve"> the recruitment process employers go through in the Albury-Wodonga Region</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On average employers in Albury-Wodonga Region receive 7 (6.8) applicants per vacancy.</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these applicants on average only 2 (2.2) are interviewed.</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Of these interviewed applicants only 1 (1.4) are suitable for the vacancy.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w:t>
      </w:r>
      <w:proofErr w:type="gramStart"/>
      <w:r>
        <w:rPr>
          <w:rFonts w:ascii="Calibri" w:hAnsi="Calibri" w:cs="Calibri"/>
          <w:color w:val="000000"/>
          <w:kern w:val="24"/>
          <w:sz w:val="24"/>
          <w:szCs w:val="24"/>
          <w:lang w:eastAsia="en-AU"/>
        </w:rPr>
        <w:t>reason</w:t>
      </w:r>
      <w:proofErr w:type="gramEnd"/>
      <w:r>
        <w:rPr>
          <w:rFonts w:ascii="Calibri" w:hAnsi="Calibri" w:cs="Calibri"/>
          <w:color w:val="000000"/>
          <w:kern w:val="24"/>
          <w:sz w:val="24"/>
          <w:szCs w:val="24"/>
          <w:lang w:eastAsia="en-AU"/>
        </w:rPr>
        <w:t xml:space="preserve"> applicants do not get an interview were:</w:t>
      </w:r>
    </w:p>
    <w:p w:rsidR="00A52184" w:rsidRDefault="00A52184" w:rsidP="00A52184">
      <w:pPr>
        <w:numPr>
          <w:ilvl w:val="0"/>
          <w:numId w:val="2"/>
        </w:numPr>
        <w:autoSpaceDE w:val="0"/>
        <w:autoSpaceDN w:val="0"/>
        <w:adjustRightInd w:val="0"/>
        <w:ind w:left="45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Lack of relevant experience</w:t>
      </w:r>
    </w:p>
    <w:p w:rsidR="00A52184" w:rsidRDefault="00A52184" w:rsidP="00A52184">
      <w:pPr>
        <w:numPr>
          <w:ilvl w:val="0"/>
          <w:numId w:val="2"/>
        </w:numPr>
        <w:autoSpaceDE w:val="0"/>
        <w:autoSpaceDN w:val="0"/>
        <w:adjustRightInd w:val="0"/>
        <w:ind w:left="45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Insufficient qualifications or training</w:t>
      </w:r>
    </w:p>
    <w:p w:rsidR="00A52184" w:rsidRDefault="00A52184" w:rsidP="00A52184">
      <w:pPr>
        <w:numPr>
          <w:ilvl w:val="0"/>
          <w:numId w:val="2"/>
        </w:numPr>
        <w:autoSpaceDE w:val="0"/>
        <w:autoSpaceDN w:val="0"/>
        <w:adjustRightInd w:val="0"/>
        <w:ind w:left="45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Poorly written/presented application</w:t>
      </w:r>
    </w:p>
    <w:p w:rsidR="00A52184" w:rsidRDefault="00A52184" w:rsidP="00A52184">
      <w:pPr>
        <w:numPr>
          <w:ilvl w:val="0"/>
          <w:numId w:val="2"/>
        </w:numPr>
        <w:autoSpaceDE w:val="0"/>
        <w:autoSpaceDN w:val="0"/>
        <w:adjustRightInd w:val="0"/>
        <w:ind w:left="450" w:hanging="450"/>
        <w:rPr>
          <w:rFonts w:ascii="Calibri" w:hAnsi="Calibri" w:cs="Calibri"/>
          <w:color w:val="000000"/>
          <w:kern w:val="24"/>
          <w:sz w:val="24"/>
          <w:szCs w:val="24"/>
          <w:lang w:eastAsia="en-AU"/>
        </w:rPr>
      </w:pPr>
      <w:r>
        <w:rPr>
          <w:rFonts w:ascii="Calibri" w:hAnsi="Calibri" w:cs="Calibri"/>
          <w:color w:val="000000"/>
          <w:kern w:val="24"/>
          <w:sz w:val="24"/>
          <w:szCs w:val="24"/>
          <w:lang w:eastAsia="en-AU"/>
        </w:rPr>
        <w:t>Basic employability skills</w:t>
      </w:r>
    </w:p>
    <w:p w:rsidR="00A52184" w:rsidRDefault="00A52184"/>
    <w:p w:rsidR="00687974" w:rsidRDefault="00A52184" w:rsidP="00687974">
      <w:pPr>
        <w:pStyle w:val="Heading1"/>
      </w:pPr>
      <w:r>
        <w:lastRenderedPageBreak/>
        <w:t>Slide 24</w:t>
      </w:r>
    </w:p>
    <w:p w:rsidR="004F2819" w:rsidRPr="009E7BED" w:rsidRDefault="00687974" w:rsidP="00687974">
      <w:pPr>
        <w:pStyle w:val="Heading2"/>
        <w:jc w:val="center"/>
        <w:rPr>
          <w:sz w:val="32"/>
          <w:szCs w:val="32"/>
        </w:rPr>
      </w:pPr>
      <w:r w:rsidRPr="009E7BED">
        <w:rPr>
          <w:sz w:val="32"/>
          <w:lang w:eastAsia="en-AU"/>
        </w:rPr>
        <w:t>Basic Employability Skills</w:t>
      </w:r>
    </w:p>
    <w:tbl>
      <w:tblPr>
        <w:tblStyle w:val="TableGrid"/>
        <w:tblW w:w="0" w:type="auto"/>
        <w:tblLook w:val="04A0" w:firstRow="1" w:lastRow="0" w:firstColumn="1" w:lastColumn="0" w:noHBand="0" w:noVBand="1"/>
      </w:tblPr>
      <w:tblGrid>
        <w:gridCol w:w="9570"/>
      </w:tblGrid>
      <w:tr w:rsidR="00D5156E" w:rsidTr="00D5156E">
        <w:trPr>
          <w:trHeight w:val="7019"/>
        </w:trPr>
        <w:tc>
          <w:tcPr>
            <w:tcW w:w="9570" w:type="dxa"/>
          </w:tcPr>
          <w:p w:rsidR="00D5156E" w:rsidRPr="00AB414F" w:rsidRDefault="00D5156E" w:rsidP="00AB414F">
            <w:pPr>
              <w:autoSpaceDE w:val="0"/>
              <w:autoSpaceDN w:val="0"/>
              <w:adjustRightInd w:val="0"/>
              <w:spacing w:before="360"/>
              <w:jc w:val="center"/>
              <w:rPr>
                <w:rFonts w:ascii="Calibri" w:hAnsi="Calibri" w:cs="Calibri"/>
                <w:bCs/>
                <w:color w:val="000000"/>
                <w:kern w:val="24"/>
                <w:sz w:val="40"/>
                <w:szCs w:val="24"/>
                <w:u w:val="single"/>
                <w:lang w:eastAsia="en-AU"/>
              </w:rPr>
            </w:pPr>
            <w:r w:rsidRPr="00AB414F">
              <w:rPr>
                <w:rFonts w:ascii="Calibri" w:hAnsi="Calibri" w:cs="Calibri"/>
                <w:bCs/>
                <w:color w:val="000000"/>
                <w:kern w:val="24"/>
                <w:sz w:val="40"/>
                <w:szCs w:val="24"/>
                <w:u w:val="single"/>
                <w:lang w:eastAsia="en-AU"/>
              </w:rPr>
              <w:t>Basic Employability Skills</w:t>
            </w:r>
          </w:p>
          <w:p w:rsidR="00D5156E" w:rsidRPr="00AB414F" w:rsidRDefault="00D5156E" w:rsidP="00D5156E">
            <w:pPr>
              <w:autoSpaceDE w:val="0"/>
              <w:autoSpaceDN w:val="0"/>
              <w:adjustRightInd w:val="0"/>
              <w:rPr>
                <w:rFonts w:ascii="Calibri" w:hAnsi="Calibri" w:cs="Calibri"/>
                <w:color w:val="000000"/>
                <w:kern w:val="24"/>
                <w:sz w:val="40"/>
                <w:szCs w:val="24"/>
                <w:lang w:eastAsia="en-AU"/>
              </w:rPr>
            </w:pPr>
          </w:p>
          <w:p w:rsidR="00D5156E" w:rsidRPr="00AB414F" w:rsidRDefault="00D5156E" w:rsidP="00687974">
            <w:p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Most importance placed on:</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30 per cent personal traits and qualities only</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28 per cent technical skills only</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41 per cent both equally important</w:t>
            </w:r>
          </w:p>
          <w:p w:rsidR="00D5156E" w:rsidRPr="00AB414F" w:rsidRDefault="00D5156E" w:rsidP="00687974">
            <w:p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w:t>
            </w:r>
          </w:p>
          <w:p w:rsidR="00D5156E" w:rsidRPr="00AB414F" w:rsidRDefault="00D5156E" w:rsidP="00687974">
            <w:p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Personal traits and qualities applicants lacked:</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Enthusiasm</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Motivation</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Communication</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Confidence</w:t>
            </w:r>
          </w:p>
          <w:p w:rsidR="00D5156E" w:rsidRPr="00AB414F" w:rsidRDefault="00D5156E" w:rsidP="00687974">
            <w:pPr>
              <w:numPr>
                <w:ilvl w:val="0"/>
                <w:numId w:val="3"/>
              </w:numPr>
              <w:autoSpaceDE w:val="0"/>
              <w:autoSpaceDN w:val="0"/>
              <w:adjustRightInd w:val="0"/>
              <w:ind w:left="567"/>
              <w:rPr>
                <w:rFonts w:ascii="Calibri" w:hAnsi="Calibri" w:cs="Calibri"/>
                <w:color w:val="000000"/>
                <w:kern w:val="24"/>
                <w:sz w:val="40"/>
                <w:szCs w:val="24"/>
                <w:lang w:eastAsia="en-AU"/>
              </w:rPr>
            </w:pPr>
            <w:r w:rsidRPr="00AB414F">
              <w:rPr>
                <w:rFonts w:ascii="Calibri" w:hAnsi="Calibri" w:cs="Calibri"/>
                <w:color w:val="000000"/>
                <w:kern w:val="24"/>
                <w:sz w:val="40"/>
                <w:szCs w:val="24"/>
                <w:lang w:eastAsia="en-AU"/>
              </w:rPr>
              <w:t xml:space="preserve"> Teamwork</w:t>
            </w:r>
          </w:p>
          <w:p w:rsidR="00D5156E" w:rsidRDefault="00D5156E" w:rsidP="00A52184">
            <w:pPr>
              <w:spacing w:line="360" w:lineRule="auto"/>
              <w:jc w:val="center"/>
            </w:pPr>
          </w:p>
        </w:tc>
      </w:tr>
    </w:tbl>
    <w:p w:rsidR="004F2819" w:rsidRDefault="004F2819" w:rsidP="00A52184">
      <w:pPr>
        <w:autoSpaceDE w:val="0"/>
        <w:autoSpaceDN w:val="0"/>
        <w:adjustRightInd w:val="0"/>
        <w:rPr>
          <w:rFonts w:ascii="Calibri" w:hAnsi="Calibri" w:cs="Calibri"/>
          <w:b/>
          <w:bCs/>
          <w:color w:val="000000"/>
          <w:kern w:val="24"/>
          <w:sz w:val="24"/>
          <w:szCs w:val="24"/>
          <w:u w:val="single"/>
          <w:lang w:eastAsia="en-AU"/>
        </w:rPr>
      </w:pPr>
    </w:p>
    <w:p w:rsidR="004F2819" w:rsidRDefault="004F2819" w:rsidP="00A52184">
      <w:pPr>
        <w:autoSpaceDE w:val="0"/>
        <w:autoSpaceDN w:val="0"/>
        <w:adjustRightInd w:val="0"/>
        <w:rPr>
          <w:rFonts w:ascii="Calibri" w:hAnsi="Calibri" w:cs="Calibri"/>
          <w:b/>
          <w:bCs/>
          <w:color w:val="000000"/>
          <w:kern w:val="24"/>
          <w:sz w:val="24"/>
          <w:szCs w:val="24"/>
          <w:u w:val="single"/>
          <w:lang w:eastAsia="en-AU"/>
        </w:rPr>
      </w:pPr>
    </w:p>
    <w:p w:rsidR="00A52184" w:rsidRPr="004F2819" w:rsidRDefault="00A52184" w:rsidP="00687974">
      <w:pPr>
        <w:pStyle w:val="Heading3"/>
        <w:rPr>
          <w:lang w:eastAsia="en-AU"/>
        </w:rPr>
      </w:pPr>
      <w:r w:rsidRPr="004F2819">
        <w:rPr>
          <w:lang w:eastAsia="en-AU"/>
        </w:rPr>
        <w:t>Basic Employability Skills</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All regions surveyed in the 12 months to December 2010</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Most importance placed on:</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30 per cent personal traits and qualities only</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28 per cent technical skills only</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41 per cent both equally important</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Personal traits and qualities applicants lacked:</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Enthusiasm</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Motivation</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Communication</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Confidence</w:t>
      </w:r>
    </w:p>
    <w:p w:rsidR="00A52184" w:rsidRDefault="00A52184" w:rsidP="00A52184">
      <w:pPr>
        <w:numPr>
          <w:ilvl w:val="0"/>
          <w:numId w:val="3"/>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Teamwork</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p w:rsidR="00687974" w:rsidRDefault="00687974"/>
    <w:p w:rsidR="00A52184" w:rsidRDefault="00A52184" w:rsidP="00687974">
      <w:pPr>
        <w:pStyle w:val="Heading1"/>
      </w:pPr>
      <w:r>
        <w:lastRenderedPageBreak/>
        <w:t>Slide 25</w:t>
      </w:r>
    </w:p>
    <w:p w:rsidR="00687974" w:rsidRPr="009E7BED" w:rsidRDefault="00687974" w:rsidP="00687974">
      <w:pPr>
        <w:pStyle w:val="Heading2"/>
        <w:jc w:val="center"/>
        <w:rPr>
          <w:sz w:val="32"/>
          <w:lang w:eastAsia="en-AU"/>
        </w:rPr>
      </w:pPr>
      <w:r w:rsidRPr="009E7BED">
        <w:rPr>
          <w:sz w:val="32"/>
          <w:lang w:eastAsia="en-AU"/>
        </w:rPr>
        <w:t>Recruitment Methods</w:t>
      </w:r>
    </w:p>
    <w:p w:rsidR="00A52184" w:rsidRPr="009E7BED" w:rsidRDefault="00687974" w:rsidP="00687974">
      <w:pPr>
        <w:pStyle w:val="Heading2"/>
        <w:jc w:val="center"/>
        <w:rPr>
          <w:sz w:val="32"/>
        </w:rPr>
      </w:pPr>
      <w:r w:rsidRPr="009E7BED">
        <w:rPr>
          <w:sz w:val="32"/>
        </w:rPr>
        <w:t>Albury-Wodonga Region</w:t>
      </w:r>
    </w:p>
    <w:p w:rsidR="00A52184" w:rsidRDefault="004F2819" w:rsidP="00A52184">
      <w:pPr>
        <w:spacing w:line="360" w:lineRule="auto"/>
        <w:jc w:val="center"/>
      </w:pPr>
      <w:r>
        <w:rPr>
          <w:noProof/>
          <w:lang w:eastAsia="en-AU"/>
        </w:rPr>
        <w:drawing>
          <wp:inline distT="0" distB="0" distL="0" distR="0">
            <wp:extent cx="5939790" cy="4455160"/>
            <wp:effectExtent l="19050" t="19050" r="22860" b="21590"/>
            <wp:docPr id="17" name="Picture 17" descr="Pie chart dividing the number of vacancies into those for which recruitment was carried out by formal and informal methods. See notes for details" title="Recruitment methods, Albury-Wodonga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2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Pr="00687974" w:rsidRDefault="00A52184" w:rsidP="00687974">
      <w:pPr>
        <w:pStyle w:val="Heading3"/>
        <w:rPr>
          <w:lang w:eastAsia="en-AU"/>
        </w:rPr>
      </w:pPr>
      <w:r w:rsidRPr="00687974">
        <w:rPr>
          <w:lang w:eastAsia="en-AU"/>
        </w:rPr>
        <w:t>Recruitment Methods</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October 2013, North Eastern Victoria Priority Employment Area</w:t>
      </w:r>
    </w:p>
    <w:p w:rsidR="00A52184" w:rsidRDefault="00A52184" w:rsidP="00A52184">
      <w:pPr>
        <w:autoSpaceDE w:val="0"/>
        <w:autoSpaceDN w:val="0"/>
        <w:adjustRightInd w:val="0"/>
        <w:rPr>
          <w:rFonts w:ascii="Calibri" w:hAnsi="Calibri" w:cs="Calibri"/>
          <w:b/>
          <w:bCs/>
          <w:color w:val="000000"/>
          <w:kern w:val="24"/>
          <w:sz w:val="24"/>
          <w:szCs w:val="24"/>
          <w:u w:val="single"/>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60 per cent of vacancies in the Albury-Wodonga Region were recruited for through formal methods of recruitment (such as the Internet or Newspapers), receiving an average of 11.1 applicants per vacancy.</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By contrast, 40 per cent of vacancies were recruited for through informal methods only (such as word of mouth or approached by job seeker), receiving an average of just 3.0 applicants per vacancy.</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Employers for some 7 per cent of vacancies relied solely on being approached directly by job seekers. For those vacancies there was an average of 2.6 applicants per vacancy.</w:t>
      </w:r>
    </w:p>
    <w:p w:rsidR="00A52184" w:rsidRDefault="00A52184" w:rsidP="00A52184">
      <w:pPr>
        <w:autoSpaceDE w:val="0"/>
        <w:autoSpaceDN w:val="0"/>
        <w:adjustRightInd w:val="0"/>
        <w:rPr>
          <w:rFonts w:cs="Arial"/>
          <w:sz w:val="24"/>
          <w:szCs w:val="24"/>
          <w:lang w:eastAsia="en-AU"/>
        </w:rPr>
      </w:pPr>
    </w:p>
    <w:p w:rsidR="00A52184" w:rsidRDefault="00A52184"/>
    <w:p w:rsidR="00A52184" w:rsidRDefault="00A52184" w:rsidP="00522253">
      <w:pPr>
        <w:pStyle w:val="Heading1"/>
      </w:pPr>
      <w:r>
        <w:lastRenderedPageBreak/>
        <w:t>Slide 26</w:t>
      </w:r>
    </w:p>
    <w:p w:rsidR="00687974" w:rsidRPr="009E7BED" w:rsidRDefault="00687974" w:rsidP="00522253">
      <w:pPr>
        <w:pStyle w:val="Heading2"/>
        <w:jc w:val="center"/>
        <w:rPr>
          <w:sz w:val="32"/>
          <w:lang w:eastAsia="en-AU"/>
        </w:rPr>
      </w:pPr>
      <w:r w:rsidRPr="009E7BED">
        <w:rPr>
          <w:sz w:val="32"/>
          <w:lang w:eastAsia="en-AU"/>
        </w:rPr>
        <w:t>Occupations that were Difficult to Fill</w:t>
      </w:r>
    </w:p>
    <w:tbl>
      <w:tblPr>
        <w:tblW w:w="10168" w:type="dxa"/>
        <w:tblCellMar>
          <w:left w:w="0" w:type="dxa"/>
          <w:right w:w="0" w:type="dxa"/>
        </w:tblCellMar>
        <w:tblLook w:val="0420" w:firstRow="1" w:lastRow="0" w:firstColumn="0" w:lastColumn="0" w:noHBand="0" w:noVBand="1"/>
      </w:tblPr>
      <w:tblGrid>
        <w:gridCol w:w="5085"/>
        <w:gridCol w:w="5083"/>
      </w:tblGrid>
      <w:tr w:rsidR="004F2819" w:rsidRPr="004F2819" w:rsidTr="002E7FC8">
        <w:trPr>
          <w:trHeight w:val="338"/>
        </w:trPr>
        <w:tc>
          <w:tcPr>
            <w:tcW w:w="10168" w:type="dxa"/>
            <w:gridSpan w:val="2"/>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bottom"/>
            <w:hideMark/>
          </w:tcPr>
          <w:p w:rsidR="004F2819" w:rsidRPr="004F2819" w:rsidRDefault="004F2819" w:rsidP="004F2819">
            <w:pPr>
              <w:jc w:val="center"/>
              <w:textAlignment w:val="center"/>
              <w:rPr>
                <w:rFonts w:cs="Arial"/>
                <w:sz w:val="24"/>
                <w:szCs w:val="24"/>
                <w:lang w:eastAsia="en-AU"/>
              </w:rPr>
            </w:pPr>
            <w:r w:rsidRPr="004F2819">
              <w:rPr>
                <w:rFonts w:ascii="Calibri" w:hAnsi="Calibri" w:cs="Calibri"/>
                <w:color w:val="000000" w:themeColor="text1"/>
                <w:kern w:val="24"/>
                <w:sz w:val="24"/>
                <w:szCs w:val="24"/>
                <w:lang w:eastAsia="en-AU"/>
              </w:rPr>
              <w:t>Higher Skill Level – Bachelor Degree or Higher</w:t>
            </w:r>
          </w:p>
          <w:p w:rsidR="004F2819" w:rsidRPr="004F2819" w:rsidRDefault="004F2819" w:rsidP="004F2819">
            <w:pPr>
              <w:jc w:val="center"/>
              <w:textAlignment w:val="center"/>
              <w:rPr>
                <w:rFonts w:cs="Arial"/>
                <w:sz w:val="24"/>
                <w:szCs w:val="24"/>
                <w:lang w:eastAsia="en-AU"/>
              </w:rPr>
            </w:pPr>
            <w:r w:rsidRPr="004F2819">
              <w:rPr>
                <w:rFonts w:ascii="Calibri" w:hAnsi="Calibri" w:cs="Calibri"/>
                <w:color w:val="000000" w:themeColor="text1"/>
                <w:kern w:val="24"/>
                <w:sz w:val="24"/>
                <w:szCs w:val="24"/>
                <w:lang w:eastAsia="en-AU"/>
              </w:rPr>
              <w:t>Medium Skill Level – Certificate IV to Associate Degree</w:t>
            </w:r>
          </w:p>
        </w:tc>
      </w:tr>
      <w:tr w:rsidR="004F2819" w:rsidRPr="004F2819" w:rsidTr="002E7FC8">
        <w:trPr>
          <w:trHeight w:val="459"/>
        </w:trPr>
        <w:tc>
          <w:tcPr>
            <w:tcW w:w="10168" w:type="dxa"/>
            <w:gridSpan w:val="2"/>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hAnsi="Calibri" w:cs="Calibri"/>
                <w:color w:val="000000" w:themeColor="text1"/>
                <w:kern w:val="24"/>
                <w:sz w:val="24"/>
                <w:szCs w:val="24"/>
                <w:lang w:eastAsia="en-AU"/>
              </w:rPr>
              <w:t>Early Childhood Teachers</w:t>
            </w:r>
          </w:p>
        </w:tc>
      </w:tr>
      <w:tr w:rsidR="004F2819" w:rsidRPr="004F2819" w:rsidTr="004F2819">
        <w:trPr>
          <w:trHeight w:val="459"/>
        </w:trPr>
        <w:tc>
          <w:tcPr>
            <w:tcW w:w="50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eastAsiaTheme="minorEastAsia" w:hAnsi="Calibri" w:cs="Calibri"/>
                <w:color w:val="000000"/>
                <w:kern w:val="24"/>
                <w:sz w:val="24"/>
                <w:szCs w:val="24"/>
                <w:lang w:eastAsia="en-AU"/>
              </w:rPr>
              <w:t>Cabinetmakers</w:t>
            </w:r>
          </w:p>
        </w:tc>
        <w:tc>
          <w:tcPr>
            <w:tcW w:w="50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hAnsi="Calibri" w:cs="Calibri"/>
                <w:color w:val="000000" w:themeColor="text1"/>
                <w:kern w:val="24"/>
                <w:sz w:val="24"/>
                <w:szCs w:val="24"/>
                <w:lang w:eastAsia="en-AU"/>
              </w:rPr>
              <w:t>Chef *</w:t>
            </w:r>
          </w:p>
        </w:tc>
      </w:tr>
      <w:tr w:rsidR="004F2819" w:rsidRPr="004F2819" w:rsidTr="004F2819">
        <w:trPr>
          <w:trHeight w:val="459"/>
        </w:trPr>
        <w:tc>
          <w:tcPr>
            <w:tcW w:w="50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hAnsi="Calibri" w:cs="Calibri"/>
                <w:color w:val="000000" w:themeColor="text1"/>
                <w:kern w:val="24"/>
                <w:sz w:val="24"/>
                <w:szCs w:val="24"/>
                <w:lang w:eastAsia="en-AU"/>
              </w:rPr>
              <w:t>Architectural, Building and Survey Technicians</w:t>
            </w:r>
          </w:p>
        </w:tc>
        <w:tc>
          <w:tcPr>
            <w:tcW w:w="50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hAnsi="Calibri" w:cs="Calibri"/>
                <w:color w:val="000000" w:themeColor="text1"/>
                <w:kern w:val="24"/>
                <w:sz w:val="24"/>
                <w:szCs w:val="24"/>
                <w:lang w:eastAsia="en-AU"/>
              </w:rPr>
              <w:t>Motor Mechanics *</w:t>
            </w:r>
          </w:p>
        </w:tc>
      </w:tr>
      <w:tr w:rsidR="004F2819" w:rsidRPr="004F2819" w:rsidTr="004F2819">
        <w:trPr>
          <w:trHeight w:val="459"/>
        </w:trPr>
        <w:tc>
          <w:tcPr>
            <w:tcW w:w="50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hAnsi="Calibri" w:cs="Calibri"/>
                <w:color w:val="000000" w:themeColor="text1"/>
                <w:kern w:val="24"/>
                <w:sz w:val="24"/>
                <w:szCs w:val="24"/>
                <w:lang w:eastAsia="en-AU"/>
              </w:rPr>
              <w:t>Structural Steel and Welding Trades Workers *</w:t>
            </w:r>
          </w:p>
        </w:tc>
        <w:tc>
          <w:tcPr>
            <w:tcW w:w="50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F2819" w:rsidRPr="004F2819" w:rsidRDefault="004F2819" w:rsidP="004F2819">
            <w:pPr>
              <w:jc w:val="center"/>
              <w:rPr>
                <w:rFonts w:cs="Arial"/>
                <w:sz w:val="24"/>
                <w:szCs w:val="24"/>
                <w:lang w:eastAsia="en-AU"/>
              </w:rPr>
            </w:pPr>
            <w:r w:rsidRPr="004F2819">
              <w:rPr>
                <w:rFonts w:ascii="Calibri" w:hAnsi="Calibri" w:cs="Calibri"/>
                <w:color w:val="000000" w:themeColor="text1"/>
                <w:kern w:val="24"/>
                <w:sz w:val="24"/>
                <w:szCs w:val="24"/>
                <w:lang w:eastAsia="en-AU"/>
              </w:rPr>
              <w:t>Cooks</w:t>
            </w:r>
          </w:p>
        </w:tc>
      </w:tr>
    </w:tbl>
    <w:p w:rsidR="00A52184" w:rsidRDefault="00A52184" w:rsidP="00A52184">
      <w:pPr>
        <w:spacing w:line="360" w:lineRule="auto"/>
        <w:jc w:val="center"/>
      </w:pPr>
    </w:p>
    <w:tbl>
      <w:tblPr>
        <w:tblW w:w="10146" w:type="dxa"/>
        <w:tblCellMar>
          <w:left w:w="0" w:type="dxa"/>
          <w:right w:w="0" w:type="dxa"/>
        </w:tblCellMar>
        <w:tblLook w:val="0420" w:firstRow="1" w:lastRow="0" w:firstColumn="0" w:lastColumn="0" w:noHBand="0" w:noVBand="1"/>
      </w:tblPr>
      <w:tblGrid>
        <w:gridCol w:w="5074"/>
        <w:gridCol w:w="5072"/>
      </w:tblGrid>
      <w:tr w:rsidR="002E7FC8" w:rsidRPr="002E7FC8" w:rsidTr="002E7FC8">
        <w:trPr>
          <w:trHeight w:val="379"/>
        </w:trPr>
        <w:tc>
          <w:tcPr>
            <w:tcW w:w="10146" w:type="dxa"/>
            <w:gridSpan w:val="2"/>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rsidR="002E7FC8" w:rsidRPr="002E7FC8" w:rsidRDefault="002E7FC8" w:rsidP="002E7FC8">
            <w:pPr>
              <w:jc w:val="center"/>
              <w:rPr>
                <w:rFonts w:cs="Arial"/>
                <w:sz w:val="24"/>
                <w:szCs w:val="24"/>
                <w:lang w:eastAsia="en-AU"/>
              </w:rPr>
            </w:pPr>
            <w:r w:rsidRPr="002E7FC8">
              <w:rPr>
                <w:rFonts w:ascii="Calibri" w:hAnsi="Calibri" w:cs="Calibri"/>
                <w:color w:val="000000" w:themeColor="text1"/>
                <w:kern w:val="24"/>
                <w:sz w:val="24"/>
                <w:szCs w:val="24"/>
                <w:lang w:eastAsia="en-AU"/>
              </w:rPr>
              <w:t>Lower Skill Level – Compulsory Secondary Education to Certificate III</w:t>
            </w:r>
          </w:p>
        </w:tc>
      </w:tr>
      <w:tr w:rsidR="002E7FC8" w:rsidRPr="002E7FC8" w:rsidTr="002E7FC8">
        <w:trPr>
          <w:trHeight w:val="408"/>
        </w:trPr>
        <w:tc>
          <w:tcPr>
            <w:tcW w:w="5074" w:type="dxa"/>
            <w:tcBorders>
              <w:top w:val="single" w:sz="1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2E7FC8" w:rsidRPr="002E7FC8" w:rsidRDefault="002E7FC8" w:rsidP="002E7FC8">
            <w:pPr>
              <w:jc w:val="center"/>
              <w:rPr>
                <w:rFonts w:cs="Arial"/>
                <w:sz w:val="24"/>
                <w:szCs w:val="24"/>
                <w:lang w:eastAsia="en-AU"/>
              </w:rPr>
            </w:pPr>
            <w:r w:rsidRPr="002E7FC8">
              <w:rPr>
                <w:rFonts w:ascii="Calibri" w:hAnsi="Calibri" w:cs="Calibri"/>
                <w:color w:val="000000" w:themeColor="text1"/>
                <w:kern w:val="24"/>
                <w:sz w:val="24"/>
                <w:szCs w:val="24"/>
                <w:lang w:eastAsia="en-AU"/>
              </w:rPr>
              <w:t>Housekeepers *</w:t>
            </w:r>
          </w:p>
        </w:tc>
        <w:tc>
          <w:tcPr>
            <w:tcW w:w="5072" w:type="dxa"/>
            <w:tcBorders>
              <w:top w:val="single" w:sz="1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2E7FC8" w:rsidRPr="002E7FC8" w:rsidRDefault="002E7FC8" w:rsidP="002E7FC8">
            <w:pPr>
              <w:jc w:val="center"/>
              <w:rPr>
                <w:rFonts w:cs="Arial"/>
                <w:sz w:val="24"/>
                <w:szCs w:val="24"/>
                <w:lang w:eastAsia="en-AU"/>
              </w:rPr>
            </w:pPr>
            <w:r w:rsidRPr="002E7FC8">
              <w:rPr>
                <w:rFonts w:ascii="Calibri" w:hAnsi="Calibri" w:cs="Calibri"/>
                <w:color w:val="000000" w:themeColor="text1"/>
                <w:kern w:val="24"/>
                <w:sz w:val="24"/>
                <w:szCs w:val="24"/>
                <w:lang w:eastAsia="en-AU"/>
              </w:rPr>
              <w:t>Child Carers</w:t>
            </w:r>
          </w:p>
        </w:tc>
      </w:tr>
      <w:tr w:rsidR="002E7FC8" w:rsidRPr="002E7FC8" w:rsidTr="002E7FC8">
        <w:trPr>
          <w:trHeight w:val="408"/>
        </w:trPr>
        <w:tc>
          <w:tcPr>
            <w:tcW w:w="1014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E7FC8" w:rsidRPr="002E7FC8" w:rsidRDefault="002E7FC8" w:rsidP="002E7FC8">
            <w:pPr>
              <w:jc w:val="center"/>
              <w:rPr>
                <w:rFonts w:cs="Arial"/>
                <w:sz w:val="24"/>
                <w:szCs w:val="24"/>
                <w:lang w:eastAsia="en-AU"/>
              </w:rPr>
            </w:pPr>
            <w:r w:rsidRPr="002E7FC8">
              <w:rPr>
                <w:rFonts w:ascii="Calibri" w:hAnsi="Calibri" w:cs="Calibri"/>
                <w:color w:val="000000" w:themeColor="text1"/>
                <w:kern w:val="24"/>
                <w:sz w:val="24"/>
                <w:szCs w:val="24"/>
                <w:lang w:eastAsia="en-AU"/>
              </w:rPr>
              <w:t>Truck Drivers</w:t>
            </w:r>
          </w:p>
        </w:tc>
      </w:tr>
    </w:tbl>
    <w:p w:rsidR="00A52184" w:rsidRDefault="00A52184" w:rsidP="00A52184">
      <w:pPr>
        <w:spacing w:line="360" w:lineRule="auto"/>
        <w:jc w:val="center"/>
      </w:pPr>
    </w:p>
    <w:p w:rsidR="00A52184" w:rsidRPr="00687974" w:rsidRDefault="00A52184" w:rsidP="00687974">
      <w:pPr>
        <w:pStyle w:val="Heading3"/>
        <w:rPr>
          <w:lang w:eastAsia="en-AU"/>
        </w:rPr>
      </w:pPr>
      <w:r w:rsidRPr="00687974">
        <w:rPr>
          <w:lang w:eastAsia="en-AU"/>
        </w:rPr>
        <w:t>Occupations that were Difficult to Fill</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September 2012, North Eastern Victoria Priority Employment Area</w:t>
      </w:r>
    </w:p>
    <w:p w:rsidR="00A52184" w:rsidRDefault="00A52184" w:rsidP="00A52184">
      <w:pPr>
        <w:autoSpaceDE w:val="0"/>
        <w:autoSpaceDN w:val="0"/>
        <w:adjustRightInd w:val="0"/>
        <w:rPr>
          <w:rFonts w:ascii="Calibri" w:hAnsi="Calibri" w:cs="Calibri"/>
          <w:b/>
          <w:bCs/>
          <w:color w:val="000000"/>
          <w:kern w:val="24"/>
          <w:sz w:val="24"/>
          <w:szCs w:val="24"/>
          <w:u w:val="single"/>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slide shows the vacancies that employers considered difficult to fill throughout the North Eastern Victoria PEA </w:t>
      </w:r>
      <w:r>
        <w:rPr>
          <w:rFonts w:ascii="Calibri" w:hAnsi="Calibri" w:cs="Calibri"/>
          <w:i/>
          <w:iCs/>
          <w:color w:val="000000"/>
          <w:kern w:val="24"/>
          <w:sz w:val="24"/>
          <w:szCs w:val="24"/>
          <w:lang w:eastAsia="en-AU"/>
        </w:rPr>
        <w:t>(*Occupations also difficult to fill in the September 2012 Survey)</w:t>
      </w: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Pr>
          <w:rFonts w:ascii="Calibri" w:hAnsi="Calibri" w:cs="Calibri"/>
          <w:b/>
          <w:bCs/>
          <w:i/>
          <w:iCs/>
          <w:color w:val="000000"/>
          <w:kern w:val="24"/>
          <w:sz w:val="24"/>
          <w:szCs w:val="24"/>
          <w:lang w:eastAsia="en-AU"/>
        </w:rPr>
        <w:t> </w:t>
      </w: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sidRPr="00687974">
        <w:rPr>
          <w:rFonts w:ascii="Calibri" w:hAnsi="Calibri" w:cs="Calibri"/>
          <w:bCs/>
          <w:color w:val="000000"/>
          <w:kern w:val="24"/>
          <w:sz w:val="24"/>
          <w:szCs w:val="24"/>
          <w:u w:val="single"/>
          <w:lang w:eastAsia="en-AU"/>
        </w:rPr>
        <w:t>Higher Skill Level (1) - Bachelor Degree or Higher</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Early Childhood Teachers</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sidRPr="00687974">
        <w:rPr>
          <w:rFonts w:ascii="Calibri" w:hAnsi="Calibri" w:cs="Calibri"/>
          <w:bCs/>
          <w:color w:val="000000"/>
          <w:kern w:val="24"/>
          <w:sz w:val="24"/>
          <w:szCs w:val="24"/>
          <w:u w:val="single"/>
          <w:lang w:eastAsia="en-AU"/>
        </w:rPr>
        <w:t xml:space="preserve">Medium Skill Level (2&amp;3) – Certificate IV to Associate Degree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Cabinetmakers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Motor Mechanics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Chefs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Architectural, Building and Survey Technicians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Cooks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Structural Steel and Welding Trades Workers *</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 </w:t>
      </w: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sidRPr="00687974">
        <w:rPr>
          <w:rFonts w:ascii="Calibri" w:hAnsi="Calibri" w:cs="Calibri"/>
          <w:bCs/>
          <w:color w:val="000000"/>
          <w:kern w:val="24"/>
          <w:sz w:val="24"/>
          <w:szCs w:val="24"/>
          <w:u w:val="single"/>
          <w:lang w:eastAsia="en-AU"/>
        </w:rPr>
        <w:t>Lower Skill Level (4&amp;5) – Compulsory Secondary Education to Certificate III</w:t>
      </w:r>
      <w:r w:rsidRPr="00687974">
        <w:rPr>
          <w:rFonts w:ascii="Calibri" w:hAnsi="Calibri" w:cs="Calibri"/>
          <w:color w:val="000000"/>
          <w:kern w:val="24"/>
          <w:sz w:val="24"/>
          <w:szCs w:val="24"/>
          <w:u w:val="single"/>
          <w:lang w:eastAsia="en-AU"/>
        </w:rPr>
        <w:t xml:space="preserve"> </w:t>
      </w:r>
      <w:r w:rsidRPr="00687974">
        <w:rPr>
          <w:rFonts w:ascii="Calibri" w:hAnsi="Calibri" w:cs="Calibri"/>
          <w:bCs/>
          <w:color w:val="000000"/>
          <w:kern w:val="24"/>
          <w:sz w:val="24"/>
          <w:szCs w:val="24"/>
          <w:u w:val="single"/>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Housekeepers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Child Carers</w:t>
      </w:r>
    </w:p>
    <w:p w:rsidR="00A52184" w:rsidRDefault="00A52184" w:rsidP="00A52184">
      <w:pPr>
        <w:autoSpaceDE w:val="0"/>
        <w:autoSpaceDN w:val="0"/>
        <w:adjustRightInd w:val="0"/>
        <w:rPr>
          <w:rFonts w:cs="Arial"/>
          <w:sz w:val="24"/>
          <w:szCs w:val="24"/>
          <w:lang w:eastAsia="en-AU"/>
        </w:rPr>
      </w:pPr>
      <w:r>
        <w:rPr>
          <w:rFonts w:ascii="Calibri" w:hAnsi="Calibri" w:cs="Calibri"/>
          <w:color w:val="000000"/>
          <w:kern w:val="24"/>
          <w:sz w:val="24"/>
          <w:szCs w:val="24"/>
          <w:lang w:eastAsia="en-AU"/>
        </w:rPr>
        <w:t>Truck Drivers</w:t>
      </w:r>
    </w:p>
    <w:p w:rsidR="00A52184" w:rsidRDefault="00A52184"/>
    <w:p w:rsidR="00A52184" w:rsidRDefault="00A52184" w:rsidP="00687974">
      <w:pPr>
        <w:pStyle w:val="Heading1"/>
      </w:pPr>
      <w:r>
        <w:lastRenderedPageBreak/>
        <w:t>Slide 27</w:t>
      </w:r>
    </w:p>
    <w:p w:rsidR="002E7FC8" w:rsidRPr="009E7BED" w:rsidRDefault="00687974" w:rsidP="00687974">
      <w:pPr>
        <w:pStyle w:val="Heading2"/>
        <w:jc w:val="center"/>
        <w:rPr>
          <w:sz w:val="32"/>
        </w:rPr>
      </w:pPr>
      <w:r w:rsidRPr="009E7BED">
        <w:rPr>
          <w:sz w:val="32"/>
        </w:rPr>
        <w:t>Recruitment Outlook</w:t>
      </w:r>
    </w:p>
    <w:tbl>
      <w:tblPr>
        <w:tblStyle w:val="TableGrid"/>
        <w:tblW w:w="0" w:type="auto"/>
        <w:tblLook w:val="04A0" w:firstRow="1" w:lastRow="0" w:firstColumn="1" w:lastColumn="0" w:noHBand="0" w:noVBand="1"/>
      </w:tblPr>
      <w:tblGrid>
        <w:gridCol w:w="9570"/>
      </w:tblGrid>
      <w:tr w:rsidR="00687974" w:rsidTr="00687974">
        <w:trPr>
          <w:trHeight w:val="7188"/>
        </w:trPr>
        <w:tc>
          <w:tcPr>
            <w:tcW w:w="9570" w:type="dxa"/>
          </w:tcPr>
          <w:p w:rsidR="00687974" w:rsidRPr="00AB414F" w:rsidRDefault="00687974" w:rsidP="00687974">
            <w:pPr>
              <w:pStyle w:val="ListParagraph"/>
              <w:kinsoku w:val="0"/>
              <w:overflowPunct w:val="0"/>
              <w:spacing w:before="600"/>
              <w:jc w:val="center"/>
              <w:textAlignment w:val="baseline"/>
              <w:rPr>
                <w:rFonts w:asciiTheme="minorHAnsi" w:hAnsiTheme="minorHAnsi" w:cstheme="minorHAnsi"/>
                <w:sz w:val="40"/>
              </w:rPr>
            </w:pPr>
            <w:r w:rsidRPr="00AB414F">
              <w:rPr>
                <w:rFonts w:asciiTheme="minorHAnsi" w:hAnsiTheme="minorHAnsi" w:cstheme="minorHAnsi"/>
                <w:sz w:val="40"/>
              </w:rPr>
              <w:t>Recruitment Outlook</w:t>
            </w:r>
          </w:p>
          <w:p w:rsidR="00687974" w:rsidRPr="00AB414F" w:rsidRDefault="00687974" w:rsidP="00687974">
            <w:pPr>
              <w:pStyle w:val="ListParagraph"/>
              <w:kinsoku w:val="0"/>
              <w:overflowPunct w:val="0"/>
              <w:textAlignment w:val="baseline"/>
              <w:rPr>
                <w:sz w:val="40"/>
              </w:rPr>
            </w:pPr>
          </w:p>
          <w:p w:rsidR="00687974" w:rsidRPr="00AB414F" w:rsidRDefault="00687974" w:rsidP="00687974">
            <w:pPr>
              <w:pStyle w:val="ListParagraph"/>
              <w:numPr>
                <w:ilvl w:val="0"/>
                <w:numId w:val="9"/>
              </w:numPr>
              <w:kinsoku w:val="0"/>
              <w:overflowPunct w:val="0"/>
              <w:textAlignment w:val="baseline"/>
              <w:rPr>
                <w:sz w:val="40"/>
              </w:rPr>
            </w:pPr>
            <w:r w:rsidRPr="00AB414F">
              <w:rPr>
                <w:rFonts w:ascii="Calibri" w:eastAsiaTheme="minorEastAsia" w:hAnsi="Calibri" w:cs="Calibri"/>
                <w:color w:val="000000" w:themeColor="text1"/>
                <w:sz w:val="40"/>
              </w:rPr>
              <w:t>Employers’ outlook somewhat cautious</w:t>
            </w:r>
          </w:p>
          <w:p w:rsidR="00687974" w:rsidRPr="00AB414F" w:rsidRDefault="00687974" w:rsidP="00687974">
            <w:pPr>
              <w:pStyle w:val="ListParagraph"/>
              <w:numPr>
                <w:ilvl w:val="0"/>
                <w:numId w:val="9"/>
              </w:numPr>
              <w:kinsoku w:val="0"/>
              <w:overflowPunct w:val="0"/>
              <w:textAlignment w:val="baseline"/>
              <w:rPr>
                <w:sz w:val="40"/>
              </w:rPr>
            </w:pPr>
            <w:r w:rsidRPr="00AB414F">
              <w:rPr>
                <w:rFonts w:ascii="Calibri" w:eastAsiaTheme="minorEastAsia" w:hAnsi="Calibri" w:cs="Calibri"/>
                <w:color w:val="000000" w:themeColor="text1"/>
                <w:sz w:val="40"/>
              </w:rPr>
              <w:t>38 per cent of employers expected to recruit in the next 12 months with 17 per cent of employers expecting to increase staff numbers</w:t>
            </w:r>
          </w:p>
          <w:p w:rsidR="00687974" w:rsidRPr="00AB414F" w:rsidRDefault="00687974" w:rsidP="00687974">
            <w:pPr>
              <w:pStyle w:val="ListParagraph"/>
              <w:numPr>
                <w:ilvl w:val="0"/>
                <w:numId w:val="9"/>
              </w:numPr>
              <w:kinsoku w:val="0"/>
              <w:overflowPunct w:val="0"/>
              <w:textAlignment w:val="baseline"/>
              <w:rPr>
                <w:sz w:val="40"/>
              </w:rPr>
            </w:pPr>
            <w:r w:rsidRPr="00AB414F">
              <w:rPr>
                <w:rFonts w:ascii="Calibri" w:eastAsiaTheme="minorEastAsia" w:hAnsi="Calibri" w:cs="Calibri"/>
                <w:color w:val="000000" w:themeColor="text1"/>
                <w:sz w:val="40"/>
              </w:rPr>
              <w:t>Strong recruitment expected in the Accommodation and Food Services and Education and Training industries</w:t>
            </w:r>
          </w:p>
          <w:p w:rsidR="00687974" w:rsidRPr="00AB414F" w:rsidRDefault="00687974" w:rsidP="00687974">
            <w:pPr>
              <w:pStyle w:val="ListParagraph"/>
              <w:numPr>
                <w:ilvl w:val="0"/>
                <w:numId w:val="9"/>
              </w:numPr>
              <w:kinsoku w:val="0"/>
              <w:overflowPunct w:val="0"/>
              <w:textAlignment w:val="baseline"/>
              <w:rPr>
                <w:sz w:val="40"/>
              </w:rPr>
            </w:pPr>
            <w:r w:rsidRPr="00AB414F">
              <w:rPr>
                <w:rFonts w:ascii="Calibri" w:eastAsiaTheme="minorEastAsia" w:hAnsi="Calibri" w:cs="Calibri"/>
                <w:color w:val="000000" w:themeColor="text1"/>
                <w:sz w:val="40"/>
              </w:rPr>
              <w:t>Economy was the greatest concern for almost half of surveyed employers</w:t>
            </w:r>
          </w:p>
          <w:p w:rsidR="00687974" w:rsidRDefault="00687974" w:rsidP="00A52184">
            <w:pPr>
              <w:autoSpaceDE w:val="0"/>
              <w:autoSpaceDN w:val="0"/>
              <w:adjustRightInd w:val="0"/>
              <w:rPr>
                <w:rFonts w:ascii="Calibri" w:hAnsi="Times New Roman" w:cs="Calibri"/>
                <w:b/>
                <w:bCs/>
                <w:color w:val="000000"/>
                <w:kern w:val="24"/>
                <w:sz w:val="24"/>
                <w:szCs w:val="24"/>
                <w:u w:val="single"/>
                <w:lang w:eastAsia="en-AU"/>
              </w:rPr>
            </w:pPr>
          </w:p>
        </w:tc>
      </w:tr>
    </w:tbl>
    <w:p w:rsidR="002E7FC8" w:rsidRDefault="002E7FC8" w:rsidP="00A52184">
      <w:pPr>
        <w:autoSpaceDE w:val="0"/>
        <w:autoSpaceDN w:val="0"/>
        <w:adjustRightInd w:val="0"/>
        <w:rPr>
          <w:rFonts w:ascii="Calibri" w:hAnsi="Times New Roman" w:cs="Calibri"/>
          <w:b/>
          <w:bCs/>
          <w:color w:val="000000"/>
          <w:kern w:val="24"/>
          <w:sz w:val="24"/>
          <w:szCs w:val="24"/>
          <w:u w:val="single"/>
          <w:lang w:eastAsia="en-AU"/>
        </w:rPr>
      </w:pPr>
    </w:p>
    <w:p w:rsidR="002E7FC8" w:rsidRDefault="002E7FC8" w:rsidP="00A52184">
      <w:pPr>
        <w:autoSpaceDE w:val="0"/>
        <w:autoSpaceDN w:val="0"/>
        <w:adjustRightInd w:val="0"/>
        <w:rPr>
          <w:rFonts w:ascii="Calibri" w:hAnsi="Times New Roman" w:cs="Calibri"/>
          <w:b/>
          <w:bCs/>
          <w:color w:val="000000"/>
          <w:kern w:val="24"/>
          <w:sz w:val="24"/>
          <w:szCs w:val="24"/>
          <w:u w:val="single"/>
          <w:lang w:eastAsia="en-AU"/>
        </w:rPr>
      </w:pPr>
    </w:p>
    <w:p w:rsidR="00A52184" w:rsidRDefault="00A52184" w:rsidP="00687974">
      <w:pPr>
        <w:pStyle w:val="Heading3"/>
        <w:rPr>
          <w:lang w:eastAsia="en-AU"/>
        </w:rPr>
      </w:pPr>
      <w:r>
        <w:rPr>
          <w:lang w:eastAsia="en-AU"/>
        </w:rPr>
        <w:t>Recruitment Outlook</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October 2013, North Eastern Victoria Priority Employment Area</w:t>
      </w:r>
    </w:p>
    <w:p w:rsidR="00A52184" w:rsidRDefault="00A52184" w:rsidP="00A52184">
      <w:pPr>
        <w:autoSpaceDE w:val="0"/>
        <w:autoSpaceDN w:val="0"/>
        <w:adjustRightInd w:val="0"/>
        <w:rPr>
          <w:rFonts w:ascii="Calibri" w:hAnsi="Calibri" w:cs="Calibri"/>
          <w:i/>
          <w:iCs/>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38 per cent of employers expected to recruit in the next 12 months.</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Only 17 per cent of employers expected to increase staff numbers in the next 12 months.</w:t>
      </w: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w:t>
      </w:r>
    </w:p>
    <w:p w:rsidR="00A52184" w:rsidRDefault="00A52184" w:rsidP="00A52184">
      <w:pPr>
        <w:autoSpaceDE w:val="0"/>
        <w:autoSpaceDN w:val="0"/>
        <w:adjustRightInd w:val="0"/>
        <w:rPr>
          <w:rFonts w:cs="Arial"/>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687974" w:rsidRDefault="00A52184" w:rsidP="00522253">
      <w:pPr>
        <w:pStyle w:val="Heading1"/>
      </w:pPr>
      <w:r>
        <w:lastRenderedPageBreak/>
        <w:t>Slide 28</w:t>
      </w:r>
    </w:p>
    <w:p w:rsidR="00687974" w:rsidRPr="009E7BED" w:rsidRDefault="00687974" w:rsidP="00522253">
      <w:pPr>
        <w:pStyle w:val="Heading2"/>
        <w:jc w:val="center"/>
        <w:rPr>
          <w:sz w:val="32"/>
          <w:lang w:eastAsia="en-AU"/>
        </w:rPr>
      </w:pPr>
      <w:r w:rsidRPr="009E7BED">
        <w:rPr>
          <w:sz w:val="32"/>
          <w:lang w:eastAsia="en-AU"/>
        </w:rPr>
        <w:t>Occupations employers expect to recruit for in the 12 months following the survey</w:t>
      </w:r>
    </w:p>
    <w:tbl>
      <w:tblPr>
        <w:tblW w:w="10053" w:type="dxa"/>
        <w:tblCellMar>
          <w:left w:w="0" w:type="dxa"/>
          <w:right w:w="0" w:type="dxa"/>
        </w:tblCellMar>
        <w:tblLook w:val="0600" w:firstRow="0" w:lastRow="0" w:firstColumn="0" w:lastColumn="0" w:noHBand="1" w:noVBand="1"/>
      </w:tblPr>
      <w:tblGrid>
        <w:gridCol w:w="4903"/>
        <w:gridCol w:w="5150"/>
      </w:tblGrid>
      <w:tr w:rsidR="00C546C2" w:rsidRPr="00C546C2" w:rsidTr="00C546C2">
        <w:trPr>
          <w:trHeight w:val="340"/>
        </w:trPr>
        <w:tc>
          <w:tcPr>
            <w:tcW w:w="100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themeColor="text1"/>
                <w:kern w:val="24"/>
                <w:sz w:val="24"/>
                <w:szCs w:val="24"/>
                <w:lang w:eastAsia="en-AU"/>
              </w:rPr>
              <w:t xml:space="preserve">Higher Skill Level – Bachelor Degree of Higher </w:t>
            </w:r>
          </w:p>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themeColor="text1"/>
                <w:kern w:val="24"/>
                <w:sz w:val="24"/>
                <w:szCs w:val="24"/>
                <w:lang w:eastAsia="en-AU"/>
              </w:rPr>
              <w:t>Medium Skill Level – Certificate IV to Associate Degree</w:t>
            </w:r>
          </w:p>
        </w:tc>
      </w:tr>
      <w:tr w:rsidR="00C546C2" w:rsidRPr="00C546C2" w:rsidTr="00C546C2">
        <w:trPr>
          <w:trHeight w:val="379"/>
        </w:trPr>
        <w:tc>
          <w:tcPr>
            <w:tcW w:w="100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 xml:space="preserve">Early Childhood Teachers </w:t>
            </w:r>
          </w:p>
        </w:tc>
      </w:tr>
      <w:tr w:rsidR="00C546C2" w:rsidRPr="00C546C2" w:rsidTr="00C546C2">
        <w:trPr>
          <w:trHeight w:val="409"/>
        </w:trPr>
        <w:tc>
          <w:tcPr>
            <w:tcW w:w="49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Cabinetmakers</w:t>
            </w:r>
          </w:p>
        </w:tc>
        <w:tc>
          <w:tcPr>
            <w:tcW w:w="5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Chefs</w:t>
            </w:r>
          </w:p>
        </w:tc>
      </w:tr>
    </w:tbl>
    <w:p w:rsidR="00A52184" w:rsidRDefault="00A52184" w:rsidP="00A52184">
      <w:pPr>
        <w:spacing w:line="360" w:lineRule="auto"/>
      </w:pPr>
    </w:p>
    <w:tbl>
      <w:tblPr>
        <w:tblW w:w="10052" w:type="dxa"/>
        <w:tblCellMar>
          <w:left w:w="0" w:type="dxa"/>
          <w:right w:w="0" w:type="dxa"/>
        </w:tblCellMar>
        <w:tblLook w:val="0600" w:firstRow="0" w:lastRow="0" w:firstColumn="0" w:lastColumn="0" w:noHBand="1" w:noVBand="1"/>
      </w:tblPr>
      <w:tblGrid>
        <w:gridCol w:w="4902"/>
        <w:gridCol w:w="5150"/>
      </w:tblGrid>
      <w:tr w:rsidR="00C546C2" w:rsidRPr="00C546C2" w:rsidTr="00C546C2">
        <w:trPr>
          <w:trHeight w:val="487"/>
        </w:trPr>
        <w:tc>
          <w:tcPr>
            <w:tcW w:w="1005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eastAsiaTheme="minorEastAsia" w:hAnsi="Calibri" w:cs="Calibri"/>
                <w:color w:val="000000"/>
                <w:kern w:val="24"/>
                <w:sz w:val="24"/>
                <w:szCs w:val="24"/>
                <w:lang w:eastAsia="en-AU"/>
              </w:rPr>
              <w:t>Lower Skill Level – Compulsory Second</w:t>
            </w:r>
            <w:bookmarkStart w:id="0" w:name="_GoBack"/>
            <w:bookmarkEnd w:id="0"/>
            <w:r w:rsidRPr="00C546C2">
              <w:rPr>
                <w:rFonts w:ascii="Calibri" w:eastAsiaTheme="minorEastAsia" w:hAnsi="Calibri" w:cs="Calibri"/>
                <w:color w:val="000000"/>
                <w:kern w:val="24"/>
                <w:sz w:val="24"/>
                <w:szCs w:val="24"/>
                <w:lang w:eastAsia="en-AU"/>
              </w:rPr>
              <w:t>ary Education to Certificate III</w:t>
            </w:r>
          </w:p>
        </w:tc>
      </w:tr>
      <w:tr w:rsidR="00C546C2" w:rsidRPr="00C546C2" w:rsidTr="00C546C2">
        <w:trPr>
          <w:trHeight w:val="442"/>
        </w:trPr>
        <w:tc>
          <w:tcPr>
            <w:tcW w:w="49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 xml:space="preserve">Sales Assistants (General) </w:t>
            </w:r>
          </w:p>
        </w:tc>
        <w:tc>
          <w:tcPr>
            <w:tcW w:w="5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Packers</w:t>
            </w:r>
          </w:p>
        </w:tc>
      </w:tr>
      <w:tr w:rsidR="00C546C2" w:rsidRPr="00C546C2" w:rsidTr="00C546C2">
        <w:trPr>
          <w:trHeight w:val="442"/>
        </w:trPr>
        <w:tc>
          <w:tcPr>
            <w:tcW w:w="49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 xml:space="preserve">General Clerks </w:t>
            </w:r>
          </w:p>
        </w:tc>
        <w:tc>
          <w:tcPr>
            <w:tcW w:w="5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 xml:space="preserve">Truck Drivers </w:t>
            </w:r>
          </w:p>
        </w:tc>
      </w:tr>
      <w:tr w:rsidR="00C546C2" w:rsidRPr="00C546C2" w:rsidTr="00C546C2">
        <w:trPr>
          <w:trHeight w:val="442"/>
        </w:trPr>
        <w:tc>
          <w:tcPr>
            <w:tcW w:w="49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Crop Farm Workers</w:t>
            </w:r>
          </w:p>
        </w:tc>
        <w:tc>
          <w:tcPr>
            <w:tcW w:w="5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Waiters</w:t>
            </w:r>
          </w:p>
        </w:tc>
      </w:tr>
      <w:tr w:rsidR="00C546C2" w:rsidRPr="00C546C2" w:rsidTr="00C546C2">
        <w:trPr>
          <w:trHeight w:val="442"/>
        </w:trPr>
        <w:tc>
          <w:tcPr>
            <w:tcW w:w="49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Child Carers</w:t>
            </w:r>
          </w:p>
        </w:tc>
        <w:tc>
          <w:tcPr>
            <w:tcW w:w="5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546C2" w:rsidRPr="00C546C2" w:rsidRDefault="00C546C2" w:rsidP="00C546C2">
            <w:pPr>
              <w:jc w:val="center"/>
              <w:textAlignment w:val="center"/>
              <w:rPr>
                <w:rFonts w:cs="Arial"/>
                <w:sz w:val="24"/>
                <w:szCs w:val="24"/>
                <w:lang w:eastAsia="en-AU"/>
              </w:rPr>
            </w:pPr>
            <w:r w:rsidRPr="00C546C2">
              <w:rPr>
                <w:rFonts w:ascii="Calibri" w:hAnsi="Calibri" w:cs="Calibri"/>
                <w:color w:val="000000"/>
                <w:kern w:val="24"/>
                <w:sz w:val="24"/>
                <w:szCs w:val="24"/>
                <w:lang w:eastAsia="en-AU"/>
              </w:rPr>
              <w:t>Bar Attendants and Baristas</w:t>
            </w:r>
          </w:p>
        </w:tc>
      </w:tr>
    </w:tbl>
    <w:p w:rsidR="00C546C2" w:rsidRDefault="00C546C2" w:rsidP="00A52184">
      <w:pPr>
        <w:spacing w:line="360" w:lineRule="auto"/>
      </w:pPr>
    </w:p>
    <w:p w:rsidR="00A52184" w:rsidRDefault="00A52184" w:rsidP="009E7BED">
      <w:pPr>
        <w:spacing w:line="360" w:lineRule="auto"/>
      </w:pPr>
    </w:p>
    <w:p w:rsidR="00A52184" w:rsidRDefault="00A52184" w:rsidP="00687974">
      <w:pPr>
        <w:pStyle w:val="Heading3"/>
        <w:rPr>
          <w:lang w:eastAsia="en-AU"/>
        </w:rPr>
      </w:pPr>
      <w:r>
        <w:rPr>
          <w:lang w:eastAsia="en-AU"/>
        </w:rPr>
        <w:t>Occupations employers expect to recruit for in the 12 months following the survey</w:t>
      </w:r>
    </w:p>
    <w:p w:rsidR="00A52184" w:rsidRDefault="00A52184" w:rsidP="00A52184">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Department of Employment, Survey of Employers’ Recruitment Experiences, October 2013, North Eastern Victoria Priority Employment Area</w:t>
      </w: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slide shows the vacancies that employers most commonly expected to recruit for throughout the North Eastern Victoria PEA in the 12 months following the survey.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 </w:t>
      </w: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sidRPr="00687974">
        <w:rPr>
          <w:rFonts w:ascii="Calibri" w:hAnsi="Calibri" w:cs="Calibri"/>
          <w:bCs/>
          <w:color w:val="000000"/>
          <w:kern w:val="24"/>
          <w:sz w:val="24"/>
          <w:szCs w:val="24"/>
          <w:u w:val="single"/>
          <w:lang w:eastAsia="en-AU"/>
        </w:rPr>
        <w:t>Higher Skill Level (1) - Bachelor Degree or Higher</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Early Childhood Teachers</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sidRPr="00687974">
        <w:rPr>
          <w:rFonts w:ascii="Calibri" w:hAnsi="Calibri" w:cs="Calibri"/>
          <w:bCs/>
          <w:color w:val="000000"/>
          <w:kern w:val="24"/>
          <w:sz w:val="24"/>
          <w:szCs w:val="24"/>
          <w:u w:val="single"/>
          <w:lang w:eastAsia="en-AU"/>
        </w:rPr>
        <w:t xml:space="preserve">Medium Skill Level (2 &amp; 3) – Certificate IV to Associate Degree </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Cabinetmakers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Chefs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A52184" w:rsidRPr="00687974" w:rsidRDefault="00A52184" w:rsidP="00A52184">
      <w:pPr>
        <w:autoSpaceDE w:val="0"/>
        <w:autoSpaceDN w:val="0"/>
        <w:adjustRightInd w:val="0"/>
        <w:rPr>
          <w:rFonts w:ascii="Calibri" w:hAnsi="Calibri" w:cs="Calibri"/>
          <w:color w:val="000000"/>
          <w:kern w:val="24"/>
          <w:sz w:val="24"/>
          <w:szCs w:val="24"/>
          <w:u w:val="single"/>
          <w:lang w:eastAsia="en-AU"/>
        </w:rPr>
      </w:pPr>
      <w:r w:rsidRPr="00687974">
        <w:rPr>
          <w:rFonts w:ascii="Calibri" w:hAnsi="Calibri" w:cs="Calibri"/>
          <w:bCs/>
          <w:color w:val="000000"/>
          <w:kern w:val="24"/>
          <w:sz w:val="24"/>
          <w:szCs w:val="24"/>
          <w:u w:val="single"/>
          <w:lang w:eastAsia="en-AU"/>
        </w:rPr>
        <w:t>Lower Skill Level (4 &amp; 5) – Compulsory Secondary Education to Certificate III</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Sales Assistants (General)</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General Clerks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Crop Farm Workers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Child Carers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Packers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Truck Drivers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Waiters</w:t>
      </w:r>
    </w:p>
    <w:p w:rsidR="00A52184" w:rsidRDefault="00A52184" w:rsidP="00A52184">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Bar Attendants and Baristas</w:t>
      </w:r>
    </w:p>
    <w:p w:rsidR="00A52184" w:rsidRDefault="00A52184" w:rsidP="00A52184">
      <w:pPr>
        <w:autoSpaceDE w:val="0"/>
        <w:autoSpaceDN w:val="0"/>
        <w:adjustRightInd w:val="0"/>
        <w:rPr>
          <w:rFonts w:cs="Arial"/>
          <w:sz w:val="24"/>
          <w:szCs w:val="24"/>
          <w:lang w:eastAsia="en-AU"/>
        </w:rPr>
      </w:pPr>
    </w:p>
    <w:p w:rsidR="00A52184" w:rsidRDefault="00A52184"/>
    <w:p w:rsidR="00A52184" w:rsidRPr="00687974" w:rsidRDefault="00A52184" w:rsidP="00687974">
      <w:pPr>
        <w:pStyle w:val="Heading1"/>
      </w:pPr>
      <w:r>
        <w:lastRenderedPageBreak/>
        <w:t>Slide 29</w:t>
      </w:r>
    </w:p>
    <w:p w:rsidR="00687974" w:rsidRPr="009E7BED" w:rsidRDefault="00687974" w:rsidP="00687974">
      <w:pPr>
        <w:pStyle w:val="Heading2"/>
        <w:jc w:val="center"/>
        <w:rPr>
          <w:sz w:val="32"/>
          <w:lang w:val="en-US" w:eastAsia="en-AU"/>
        </w:rPr>
      </w:pPr>
      <w:r w:rsidRPr="009E7BED">
        <w:rPr>
          <w:sz w:val="32"/>
          <w:lang w:val="en-US" w:eastAsia="en-AU"/>
        </w:rPr>
        <w:t>Conclusion</w:t>
      </w:r>
    </w:p>
    <w:tbl>
      <w:tblPr>
        <w:tblStyle w:val="TableGrid"/>
        <w:tblW w:w="0" w:type="auto"/>
        <w:tblLook w:val="04A0" w:firstRow="1" w:lastRow="0" w:firstColumn="1" w:lastColumn="0" w:noHBand="0" w:noVBand="1"/>
      </w:tblPr>
      <w:tblGrid>
        <w:gridCol w:w="9570"/>
      </w:tblGrid>
      <w:tr w:rsidR="00D5156E" w:rsidTr="00D5156E">
        <w:trPr>
          <w:trHeight w:val="7019"/>
        </w:trPr>
        <w:tc>
          <w:tcPr>
            <w:tcW w:w="9570" w:type="dxa"/>
          </w:tcPr>
          <w:p w:rsidR="00D5156E" w:rsidRPr="006E6409" w:rsidRDefault="00D5156E" w:rsidP="00866FE0">
            <w:pPr>
              <w:spacing w:before="240" w:line="360" w:lineRule="auto"/>
              <w:jc w:val="center"/>
            </w:pPr>
            <w:r w:rsidRPr="006E6409">
              <w:rPr>
                <w:rFonts w:asciiTheme="minorHAnsi" w:hAnsiTheme="minorHAnsi" w:cstheme="minorHAnsi"/>
                <w:sz w:val="24"/>
                <w:szCs w:val="24"/>
              </w:rPr>
              <w:t>Conclusion</w:t>
            </w:r>
          </w:p>
          <w:p w:rsidR="00D5156E" w:rsidRPr="006E6409" w:rsidRDefault="00D5156E" w:rsidP="00D5156E">
            <w:pPr>
              <w:numPr>
                <w:ilvl w:val="0"/>
                <w:numId w:val="3"/>
              </w:numPr>
              <w:autoSpaceDE w:val="0"/>
              <w:autoSpaceDN w:val="0"/>
              <w:adjustRightInd w:val="0"/>
              <w:ind w:left="450" w:hanging="450"/>
              <w:rPr>
                <w:rFonts w:asciiTheme="minorHAnsi" w:hAnsiTheme="minorHAnsi" w:cstheme="minorHAnsi"/>
                <w:color w:val="000000"/>
                <w:kern w:val="24"/>
                <w:sz w:val="24"/>
                <w:szCs w:val="24"/>
                <w:lang w:eastAsia="en-AU"/>
              </w:rPr>
            </w:pPr>
            <w:r w:rsidRPr="006E6409">
              <w:rPr>
                <w:rFonts w:asciiTheme="minorHAnsi" w:hAnsiTheme="minorHAnsi" w:cstheme="minorHAnsi"/>
                <w:bCs/>
                <w:color w:val="000000"/>
                <w:kern w:val="24"/>
                <w:sz w:val="24"/>
                <w:szCs w:val="24"/>
                <w:lang w:eastAsia="en-AU"/>
              </w:rPr>
              <w:t>Labour market conditions subdued</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 xml:space="preserve">Unemployment rate is rising, and is very high in the </w:t>
            </w:r>
            <w:proofErr w:type="spellStart"/>
            <w:r w:rsidRPr="006E6409">
              <w:rPr>
                <w:rFonts w:asciiTheme="minorHAnsi" w:hAnsiTheme="minorHAnsi" w:cstheme="minorHAnsi"/>
                <w:color w:val="000000"/>
                <w:kern w:val="24"/>
                <w:sz w:val="24"/>
                <w:szCs w:val="24"/>
                <w:lang w:val="en-US" w:eastAsia="en-AU"/>
              </w:rPr>
              <w:t>Albury</w:t>
            </w:r>
            <w:proofErr w:type="spellEnd"/>
            <w:r w:rsidRPr="006E6409">
              <w:rPr>
                <w:rFonts w:asciiTheme="minorHAnsi" w:hAnsiTheme="minorHAnsi" w:cstheme="minorHAnsi"/>
                <w:color w:val="000000"/>
                <w:kern w:val="24"/>
                <w:sz w:val="24"/>
                <w:szCs w:val="24"/>
                <w:lang w:val="en-US" w:eastAsia="en-AU"/>
              </w:rPr>
              <w:t xml:space="preserve"> LGA</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6E6409">
              <w:rPr>
                <w:rFonts w:asciiTheme="minorHAnsi" w:hAnsiTheme="minorHAnsi" w:cstheme="minorHAnsi"/>
                <w:color w:val="000000"/>
                <w:kern w:val="24"/>
                <w:sz w:val="24"/>
                <w:szCs w:val="24"/>
                <w:lang w:eastAsia="en-AU"/>
              </w:rPr>
              <w:t>Decline of full-time employing industries (Agriculture and Manufacturing)</w:t>
            </w:r>
          </w:p>
          <w:p w:rsidR="00D5156E" w:rsidRPr="006E6409" w:rsidRDefault="00D5156E" w:rsidP="00D5156E">
            <w:pPr>
              <w:numPr>
                <w:ilvl w:val="0"/>
                <w:numId w:val="3"/>
              </w:numPr>
              <w:autoSpaceDE w:val="0"/>
              <w:autoSpaceDN w:val="0"/>
              <w:adjustRightInd w:val="0"/>
              <w:ind w:left="450" w:hanging="450"/>
              <w:rPr>
                <w:rFonts w:asciiTheme="minorHAnsi" w:hAnsiTheme="minorHAnsi" w:cstheme="minorHAnsi"/>
                <w:color w:val="000000"/>
                <w:kern w:val="24"/>
                <w:sz w:val="24"/>
                <w:szCs w:val="24"/>
                <w:lang w:eastAsia="en-AU"/>
              </w:rPr>
            </w:pPr>
            <w:r w:rsidRPr="006E6409">
              <w:rPr>
                <w:rFonts w:asciiTheme="minorHAnsi" w:hAnsiTheme="minorHAnsi" w:cstheme="minorHAnsi"/>
                <w:bCs/>
                <w:color w:val="000000"/>
                <w:kern w:val="24"/>
                <w:sz w:val="24"/>
                <w:szCs w:val="24"/>
                <w:lang w:eastAsia="en-AU"/>
              </w:rPr>
              <w:t>Challenges</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Youth unemployment/disengagement and low education levels</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Weaker labour market outcomes among Indigenous</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Jobless families</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Slow population growth, particular among younger age groups</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6E6409">
              <w:rPr>
                <w:rFonts w:asciiTheme="minorHAnsi" w:hAnsiTheme="minorHAnsi" w:cstheme="minorHAnsi"/>
                <w:color w:val="000000"/>
                <w:kern w:val="24"/>
                <w:sz w:val="24"/>
                <w:szCs w:val="24"/>
                <w:lang w:val="en-US" w:eastAsia="en-AU"/>
              </w:rPr>
              <w:t>Transition from Agriculture and Manufacturing to Services sector</w:t>
            </w:r>
          </w:p>
          <w:p w:rsidR="00D5156E" w:rsidRPr="006E6409" w:rsidRDefault="00D5156E" w:rsidP="00D5156E">
            <w:pPr>
              <w:numPr>
                <w:ilvl w:val="0"/>
                <w:numId w:val="3"/>
              </w:numPr>
              <w:autoSpaceDE w:val="0"/>
              <w:autoSpaceDN w:val="0"/>
              <w:adjustRightInd w:val="0"/>
              <w:ind w:left="450" w:hanging="450"/>
              <w:rPr>
                <w:rFonts w:asciiTheme="minorHAnsi" w:hAnsiTheme="minorHAnsi" w:cstheme="minorHAnsi"/>
                <w:color w:val="000000"/>
                <w:kern w:val="24"/>
                <w:sz w:val="24"/>
                <w:szCs w:val="24"/>
                <w:lang w:eastAsia="en-AU"/>
              </w:rPr>
            </w:pPr>
            <w:r w:rsidRPr="006E6409">
              <w:rPr>
                <w:rFonts w:asciiTheme="minorHAnsi" w:hAnsiTheme="minorHAnsi" w:cstheme="minorHAnsi"/>
                <w:bCs/>
                <w:color w:val="000000"/>
                <w:kern w:val="24"/>
                <w:sz w:val="24"/>
                <w:szCs w:val="24"/>
                <w:lang w:eastAsia="en-AU"/>
              </w:rPr>
              <w:t xml:space="preserve">Opportunities  </w:t>
            </w:r>
          </w:p>
          <w:p w:rsidR="00D5156E" w:rsidRPr="006E6409" w:rsidRDefault="00D5156E" w:rsidP="00D5156E">
            <w:pPr>
              <w:numPr>
                <w:ilvl w:val="0"/>
                <w:numId w:val="4"/>
              </w:numPr>
              <w:autoSpaceDE w:val="0"/>
              <w:autoSpaceDN w:val="0"/>
              <w:adjustRightInd w:val="0"/>
              <w:ind w:left="1260" w:hanging="54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Recruitment activity picking up</w:t>
            </w:r>
          </w:p>
          <w:p w:rsidR="00D5156E" w:rsidRPr="006E6409" w:rsidRDefault="00D5156E" w:rsidP="00D5156E">
            <w:pPr>
              <w:numPr>
                <w:ilvl w:val="0"/>
                <w:numId w:val="4"/>
              </w:numPr>
              <w:autoSpaceDE w:val="0"/>
              <w:autoSpaceDN w:val="0"/>
              <w:adjustRightInd w:val="0"/>
              <w:ind w:left="1260" w:hanging="54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Strong employment growth expected in Health Care and Social Assistance</w:t>
            </w:r>
          </w:p>
          <w:p w:rsidR="00D5156E" w:rsidRPr="006E6409" w:rsidRDefault="00D5156E" w:rsidP="00D5156E">
            <w:pPr>
              <w:numPr>
                <w:ilvl w:val="0"/>
                <w:numId w:val="4"/>
              </w:numPr>
              <w:autoSpaceDE w:val="0"/>
              <w:autoSpaceDN w:val="0"/>
              <w:adjustRightInd w:val="0"/>
              <w:ind w:left="1260" w:hanging="540"/>
              <w:rPr>
                <w:rFonts w:asciiTheme="minorHAnsi" w:hAnsiTheme="minorHAnsi" w:cstheme="minorHAnsi"/>
                <w:color w:val="000000"/>
                <w:kern w:val="24"/>
                <w:sz w:val="24"/>
                <w:szCs w:val="24"/>
                <w:lang w:val="en-US" w:eastAsia="en-AU"/>
              </w:rPr>
            </w:pPr>
            <w:r w:rsidRPr="006E6409">
              <w:rPr>
                <w:rFonts w:asciiTheme="minorHAnsi" w:hAnsiTheme="minorHAnsi" w:cstheme="minorHAnsi"/>
                <w:color w:val="000000"/>
                <w:kern w:val="24"/>
                <w:sz w:val="24"/>
                <w:szCs w:val="24"/>
                <w:lang w:val="en-US" w:eastAsia="en-AU"/>
              </w:rPr>
              <w:t>Opportunities for less experienced job seekers in industries with high turnover (Retail Trade and Accommodation and Food Services)</w:t>
            </w:r>
          </w:p>
          <w:p w:rsidR="00D5156E" w:rsidRPr="006E6409" w:rsidRDefault="00D5156E" w:rsidP="00D5156E">
            <w:pPr>
              <w:numPr>
                <w:ilvl w:val="0"/>
                <w:numId w:val="3"/>
              </w:numPr>
              <w:autoSpaceDE w:val="0"/>
              <w:autoSpaceDN w:val="0"/>
              <w:adjustRightInd w:val="0"/>
              <w:ind w:left="450" w:hanging="450"/>
              <w:rPr>
                <w:rFonts w:asciiTheme="minorHAnsi" w:hAnsiTheme="minorHAnsi" w:cstheme="minorHAnsi"/>
                <w:bCs/>
                <w:color w:val="000000"/>
                <w:kern w:val="24"/>
                <w:sz w:val="24"/>
                <w:szCs w:val="24"/>
                <w:lang w:eastAsia="en-AU"/>
              </w:rPr>
            </w:pPr>
            <w:r w:rsidRPr="006E6409">
              <w:rPr>
                <w:rFonts w:asciiTheme="minorHAnsi" w:hAnsiTheme="minorHAnsi" w:cstheme="minorHAnsi"/>
                <w:bCs/>
                <w:color w:val="000000"/>
                <w:kern w:val="24"/>
                <w:sz w:val="24"/>
                <w:szCs w:val="24"/>
                <w:lang w:eastAsia="en-AU"/>
              </w:rPr>
              <w:t>Job seekers need to have…</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6E6409">
              <w:rPr>
                <w:rFonts w:asciiTheme="minorHAnsi" w:hAnsiTheme="minorHAnsi" w:cstheme="minorHAnsi"/>
                <w:color w:val="000000"/>
                <w:kern w:val="24"/>
                <w:sz w:val="24"/>
                <w:szCs w:val="24"/>
                <w:lang w:eastAsia="en-AU"/>
              </w:rPr>
              <w:t>Employability skills</w:t>
            </w:r>
          </w:p>
          <w:p w:rsidR="00D5156E" w:rsidRPr="006E6409" w:rsidRDefault="00D5156E" w:rsidP="00D5156E">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6E6409">
              <w:rPr>
                <w:rFonts w:asciiTheme="minorHAnsi" w:hAnsiTheme="minorHAnsi" w:cstheme="minorHAnsi"/>
                <w:color w:val="000000"/>
                <w:kern w:val="24"/>
                <w:sz w:val="24"/>
                <w:szCs w:val="24"/>
                <w:lang w:eastAsia="en-AU"/>
              </w:rPr>
              <w:t>Education and Training</w:t>
            </w:r>
          </w:p>
          <w:p w:rsidR="00D5156E" w:rsidRPr="006E6409" w:rsidRDefault="00D5156E" w:rsidP="00D5156E">
            <w:pPr>
              <w:numPr>
                <w:ilvl w:val="0"/>
                <w:numId w:val="3"/>
              </w:numPr>
              <w:autoSpaceDE w:val="0"/>
              <w:autoSpaceDN w:val="0"/>
              <w:adjustRightInd w:val="0"/>
              <w:ind w:left="450" w:hanging="450"/>
              <w:rPr>
                <w:rFonts w:asciiTheme="minorHAnsi" w:hAnsiTheme="minorHAnsi" w:cstheme="minorHAnsi"/>
                <w:bCs/>
                <w:color w:val="000000"/>
                <w:kern w:val="24"/>
                <w:sz w:val="24"/>
                <w:szCs w:val="24"/>
                <w:lang w:val="en-US" w:eastAsia="en-AU"/>
              </w:rPr>
            </w:pPr>
            <w:r w:rsidRPr="006E6409">
              <w:rPr>
                <w:rFonts w:asciiTheme="minorHAnsi" w:hAnsiTheme="minorHAnsi" w:cstheme="minorHAnsi"/>
                <w:bCs/>
                <w:color w:val="000000"/>
                <w:kern w:val="24"/>
                <w:sz w:val="24"/>
                <w:szCs w:val="24"/>
                <w:lang w:eastAsia="en-AU"/>
              </w:rPr>
              <w:t>Collaboration with key stakeholders</w:t>
            </w:r>
          </w:p>
          <w:p w:rsidR="00D5156E" w:rsidRDefault="00D5156E" w:rsidP="00A52184">
            <w:pPr>
              <w:autoSpaceDE w:val="0"/>
              <w:autoSpaceDN w:val="0"/>
              <w:adjustRightInd w:val="0"/>
              <w:rPr>
                <w:rFonts w:ascii="Calibri" w:hAnsi="Calibri" w:cs="Calibri"/>
                <w:color w:val="000000"/>
                <w:kern w:val="24"/>
                <w:sz w:val="24"/>
                <w:szCs w:val="24"/>
                <w:lang w:eastAsia="en-AU"/>
              </w:rPr>
            </w:pPr>
          </w:p>
        </w:tc>
      </w:tr>
    </w:tbl>
    <w:p w:rsidR="006D03E6" w:rsidRDefault="006D03E6" w:rsidP="00687974">
      <w:pPr>
        <w:pStyle w:val="Heading3"/>
      </w:pPr>
      <w:r>
        <w:t>Conclusion</w:t>
      </w:r>
    </w:p>
    <w:p w:rsidR="006D03E6" w:rsidRPr="00C546C2" w:rsidRDefault="006D03E6" w:rsidP="006D03E6">
      <w:pPr>
        <w:numPr>
          <w:ilvl w:val="0"/>
          <w:numId w:val="3"/>
        </w:numPr>
        <w:autoSpaceDE w:val="0"/>
        <w:autoSpaceDN w:val="0"/>
        <w:adjustRightInd w:val="0"/>
        <w:ind w:left="450" w:hanging="450"/>
        <w:rPr>
          <w:rFonts w:asciiTheme="minorHAnsi" w:hAnsiTheme="minorHAnsi" w:cstheme="minorHAnsi"/>
          <w:color w:val="000000"/>
          <w:kern w:val="24"/>
          <w:sz w:val="24"/>
          <w:szCs w:val="24"/>
          <w:lang w:eastAsia="en-AU"/>
        </w:rPr>
      </w:pPr>
      <w:r w:rsidRPr="00C546C2">
        <w:rPr>
          <w:rFonts w:asciiTheme="minorHAnsi" w:hAnsiTheme="minorHAnsi" w:cstheme="minorHAnsi"/>
          <w:bCs/>
          <w:color w:val="000000"/>
          <w:kern w:val="24"/>
          <w:sz w:val="24"/>
          <w:szCs w:val="24"/>
          <w:lang w:eastAsia="en-AU"/>
        </w:rPr>
        <w:t>Labour market conditions subdued</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 xml:space="preserve">Unemployment rate is rising, and is very high in the </w:t>
      </w:r>
      <w:proofErr w:type="spellStart"/>
      <w:r w:rsidRPr="00C546C2">
        <w:rPr>
          <w:rFonts w:asciiTheme="minorHAnsi" w:hAnsiTheme="minorHAnsi" w:cstheme="minorHAnsi"/>
          <w:color w:val="000000"/>
          <w:kern w:val="24"/>
          <w:sz w:val="24"/>
          <w:szCs w:val="24"/>
          <w:lang w:val="en-US" w:eastAsia="en-AU"/>
        </w:rPr>
        <w:t>Albury</w:t>
      </w:r>
      <w:proofErr w:type="spellEnd"/>
      <w:r w:rsidRPr="00C546C2">
        <w:rPr>
          <w:rFonts w:asciiTheme="minorHAnsi" w:hAnsiTheme="minorHAnsi" w:cstheme="minorHAnsi"/>
          <w:color w:val="000000"/>
          <w:kern w:val="24"/>
          <w:sz w:val="24"/>
          <w:szCs w:val="24"/>
          <w:lang w:val="en-US" w:eastAsia="en-AU"/>
        </w:rPr>
        <w:t xml:space="preserve"> LGA</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C546C2">
        <w:rPr>
          <w:rFonts w:asciiTheme="minorHAnsi" w:hAnsiTheme="minorHAnsi" w:cstheme="minorHAnsi"/>
          <w:color w:val="000000"/>
          <w:kern w:val="24"/>
          <w:sz w:val="24"/>
          <w:szCs w:val="24"/>
          <w:lang w:eastAsia="en-AU"/>
        </w:rPr>
        <w:t>Decline of full-time employing industries (Agriculture and Manufacturing)</w:t>
      </w:r>
    </w:p>
    <w:p w:rsidR="006D03E6" w:rsidRPr="00C546C2" w:rsidRDefault="006D03E6" w:rsidP="006D03E6">
      <w:pPr>
        <w:numPr>
          <w:ilvl w:val="0"/>
          <w:numId w:val="3"/>
        </w:numPr>
        <w:autoSpaceDE w:val="0"/>
        <w:autoSpaceDN w:val="0"/>
        <w:adjustRightInd w:val="0"/>
        <w:ind w:left="450" w:hanging="450"/>
        <w:rPr>
          <w:rFonts w:asciiTheme="minorHAnsi" w:hAnsiTheme="minorHAnsi" w:cstheme="minorHAnsi"/>
          <w:color w:val="000000"/>
          <w:kern w:val="24"/>
          <w:sz w:val="24"/>
          <w:szCs w:val="24"/>
          <w:lang w:eastAsia="en-AU"/>
        </w:rPr>
      </w:pPr>
      <w:r w:rsidRPr="00C546C2">
        <w:rPr>
          <w:rFonts w:asciiTheme="minorHAnsi" w:hAnsiTheme="minorHAnsi" w:cstheme="minorHAnsi"/>
          <w:bCs/>
          <w:color w:val="000000"/>
          <w:kern w:val="24"/>
          <w:sz w:val="24"/>
          <w:szCs w:val="24"/>
          <w:lang w:eastAsia="en-AU"/>
        </w:rPr>
        <w:t>Challenges</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Youth unemployment/disengagement and low education levels</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Weaker labour market outcomes among Indigenous</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Jobless families</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Slow population growth, particular among younger age groups</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C546C2">
        <w:rPr>
          <w:rFonts w:asciiTheme="minorHAnsi" w:hAnsiTheme="minorHAnsi" w:cstheme="minorHAnsi"/>
          <w:color w:val="000000"/>
          <w:kern w:val="24"/>
          <w:sz w:val="24"/>
          <w:szCs w:val="24"/>
          <w:lang w:val="en-US" w:eastAsia="en-AU"/>
        </w:rPr>
        <w:t>Transition from Agriculture and Manufacturing to Services sector</w:t>
      </w:r>
    </w:p>
    <w:p w:rsidR="006D03E6" w:rsidRPr="00C546C2" w:rsidRDefault="006D03E6" w:rsidP="006D03E6">
      <w:pPr>
        <w:numPr>
          <w:ilvl w:val="0"/>
          <w:numId w:val="3"/>
        </w:numPr>
        <w:autoSpaceDE w:val="0"/>
        <w:autoSpaceDN w:val="0"/>
        <w:adjustRightInd w:val="0"/>
        <w:ind w:left="450" w:hanging="450"/>
        <w:rPr>
          <w:rFonts w:asciiTheme="minorHAnsi" w:hAnsiTheme="minorHAnsi" w:cstheme="minorHAnsi"/>
          <w:color w:val="000000"/>
          <w:kern w:val="24"/>
          <w:sz w:val="24"/>
          <w:szCs w:val="24"/>
          <w:lang w:eastAsia="en-AU"/>
        </w:rPr>
      </w:pPr>
      <w:r w:rsidRPr="00C546C2">
        <w:rPr>
          <w:rFonts w:asciiTheme="minorHAnsi" w:hAnsiTheme="minorHAnsi" w:cstheme="minorHAnsi"/>
          <w:bCs/>
          <w:color w:val="000000"/>
          <w:kern w:val="24"/>
          <w:sz w:val="24"/>
          <w:szCs w:val="24"/>
          <w:lang w:eastAsia="en-AU"/>
        </w:rPr>
        <w:t xml:space="preserve">Opportunities  </w:t>
      </w:r>
    </w:p>
    <w:p w:rsidR="006D03E6" w:rsidRPr="00C546C2" w:rsidRDefault="006D03E6" w:rsidP="006D03E6">
      <w:pPr>
        <w:numPr>
          <w:ilvl w:val="0"/>
          <w:numId w:val="4"/>
        </w:numPr>
        <w:autoSpaceDE w:val="0"/>
        <w:autoSpaceDN w:val="0"/>
        <w:adjustRightInd w:val="0"/>
        <w:ind w:left="1260" w:hanging="54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Recruitment activity picking up</w:t>
      </w:r>
    </w:p>
    <w:p w:rsidR="006D03E6" w:rsidRPr="00C546C2" w:rsidRDefault="006D03E6" w:rsidP="006D03E6">
      <w:pPr>
        <w:numPr>
          <w:ilvl w:val="0"/>
          <w:numId w:val="4"/>
        </w:numPr>
        <w:autoSpaceDE w:val="0"/>
        <w:autoSpaceDN w:val="0"/>
        <w:adjustRightInd w:val="0"/>
        <w:ind w:left="1260" w:hanging="54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Strong employment growth expected in Health Care and Social Assistance</w:t>
      </w:r>
    </w:p>
    <w:p w:rsidR="006D03E6" w:rsidRPr="00C546C2" w:rsidRDefault="006D03E6" w:rsidP="006D03E6">
      <w:pPr>
        <w:numPr>
          <w:ilvl w:val="0"/>
          <w:numId w:val="4"/>
        </w:numPr>
        <w:autoSpaceDE w:val="0"/>
        <w:autoSpaceDN w:val="0"/>
        <w:adjustRightInd w:val="0"/>
        <w:ind w:left="1260" w:hanging="540"/>
        <w:rPr>
          <w:rFonts w:asciiTheme="minorHAnsi" w:hAnsiTheme="minorHAnsi" w:cstheme="minorHAnsi"/>
          <w:color w:val="000000"/>
          <w:kern w:val="24"/>
          <w:sz w:val="24"/>
          <w:szCs w:val="24"/>
          <w:lang w:val="en-US" w:eastAsia="en-AU"/>
        </w:rPr>
      </w:pPr>
      <w:r w:rsidRPr="00C546C2">
        <w:rPr>
          <w:rFonts w:asciiTheme="minorHAnsi" w:hAnsiTheme="minorHAnsi" w:cstheme="minorHAnsi"/>
          <w:color w:val="000000"/>
          <w:kern w:val="24"/>
          <w:sz w:val="24"/>
          <w:szCs w:val="24"/>
          <w:lang w:val="en-US" w:eastAsia="en-AU"/>
        </w:rPr>
        <w:t>Opportunities for less experienced job seekers in industries with high turnover (Retail Trade and Accommodation and Food Services)</w:t>
      </w:r>
    </w:p>
    <w:p w:rsidR="006D03E6" w:rsidRPr="00C546C2" w:rsidRDefault="006D03E6" w:rsidP="006D03E6">
      <w:pPr>
        <w:numPr>
          <w:ilvl w:val="0"/>
          <w:numId w:val="3"/>
        </w:numPr>
        <w:autoSpaceDE w:val="0"/>
        <w:autoSpaceDN w:val="0"/>
        <w:adjustRightInd w:val="0"/>
        <w:ind w:left="450" w:hanging="450"/>
        <w:rPr>
          <w:rFonts w:asciiTheme="minorHAnsi" w:hAnsiTheme="minorHAnsi" w:cstheme="minorHAnsi"/>
          <w:bCs/>
          <w:color w:val="000000"/>
          <w:kern w:val="24"/>
          <w:sz w:val="24"/>
          <w:szCs w:val="24"/>
          <w:lang w:eastAsia="en-AU"/>
        </w:rPr>
      </w:pPr>
      <w:r w:rsidRPr="00C546C2">
        <w:rPr>
          <w:rFonts w:asciiTheme="minorHAnsi" w:hAnsiTheme="minorHAnsi" w:cstheme="minorHAnsi"/>
          <w:bCs/>
          <w:color w:val="000000"/>
          <w:kern w:val="24"/>
          <w:sz w:val="24"/>
          <w:szCs w:val="24"/>
          <w:lang w:eastAsia="en-AU"/>
        </w:rPr>
        <w:t>Job seekers need to have…</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C546C2">
        <w:rPr>
          <w:rFonts w:asciiTheme="minorHAnsi" w:hAnsiTheme="minorHAnsi" w:cstheme="minorHAnsi"/>
          <w:color w:val="000000"/>
          <w:kern w:val="24"/>
          <w:sz w:val="24"/>
          <w:szCs w:val="24"/>
          <w:lang w:eastAsia="en-AU"/>
        </w:rPr>
        <w:t>Employability skills</w:t>
      </w:r>
    </w:p>
    <w:p w:rsidR="006D03E6" w:rsidRPr="00C546C2" w:rsidRDefault="006D03E6" w:rsidP="006D03E6">
      <w:pPr>
        <w:numPr>
          <w:ilvl w:val="0"/>
          <w:numId w:val="4"/>
        </w:numPr>
        <w:autoSpaceDE w:val="0"/>
        <w:autoSpaceDN w:val="0"/>
        <w:adjustRightInd w:val="0"/>
        <w:ind w:left="1170" w:hanging="450"/>
        <w:rPr>
          <w:rFonts w:asciiTheme="minorHAnsi" w:hAnsiTheme="minorHAnsi" w:cstheme="minorHAnsi"/>
          <w:color w:val="000000"/>
          <w:kern w:val="24"/>
          <w:sz w:val="24"/>
          <w:szCs w:val="24"/>
          <w:lang w:eastAsia="en-AU"/>
        </w:rPr>
      </w:pPr>
      <w:r w:rsidRPr="00C546C2">
        <w:rPr>
          <w:rFonts w:asciiTheme="minorHAnsi" w:hAnsiTheme="minorHAnsi" w:cstheme="minorHAnsi"/>
          <w:color w:val="000000"/>
          <w:kern w:val="24"/>
          <w:sz w:val="24"/>
          <w:szCs w:val="24"/>
          <w:lang w:eastAsia="en-AU"/>
        </w:rPr>
        <w:t>Education and Training</w:t>
      </w:r>
    </w:p>
    <w:p w:rsidR="006D03E6" w:rsidRPr="00687974" w:rsidRDefault="006D03E6" w:rsidP="00687974">
      <w:pPr>
        <w:numPr>
          <w:ilvl w:val="0"/>
          <w:numId w:val="3"/>
        </w:numPr>
        <w:autoSpaceDE w:val="0"/>
        <w:autoSpaceDN w:val="0"/>
        <w:adjustRightInd w:val="0"/>
        <w:ind w:left="450" w:hanging="450"/>
        <w:rPr>
          <w:rFonts w:asciiTheme="minorHAnsi" w:hAnsiTheme="minorHAnsi" w:cstheme="minorHAnsi"/>
          <w:bCs/>
          <w:color w:val="000000"/>
          <w:kern w:val="24"/>
          <w:sz w:val="24"/>
          <w:szCs w:val="24"/>
          <w:lang w:val="en-US" w:eastAsia="en-AU"/>
        </w:rPr>
      </w:pPr>
      <w:r w:rsidRPr="00C546C2">
        <w:rPr>
          <w:rFonts w:asciiTheme="minorHAnsi" w:hAnsiTheme="minorHAnsi" w:cstheme="minorHAnsi"/>
          <w:bCs/>
          <w:color w:val="000000"/>
          <w:kern w:val="24"/>
          <w:sz w:val="24"/>
          <w:szCs w:val="24"/>
          <w:lang w:eastAsia="en-AU"/>
        </w:rPr>
        <w:t>Collaboration with key stakeholders</w:t>
      </w:r>
    </w:p>
    <w:p w:rsidR="00A52184" w:rsidRDefault="00A52184" w:rsidP="00687974">
      <w:pPr>
        <w:pStyle w:val="Heading1"/>
      </w:pPr>
      <w:r>
        <w:lastRenderedPageBreak/>
        <w:t>Slide 30</w:t>
      </w:r>
    </w:p>
    <w:p w:rsidR="00687974" w:rsidRPr="009E7BED" w:rsidRDefault="00687974" w:rsidP="00687974">
      <w:pPr>
        <w:pStyle w:val="Heading2"/>
        <w:jc w:val="center"/>
        <w:rPr>
          <w:sz w:val="32"/>
        </w:rPr>
      </w:pPr>
      <w:r w:rsidRPr="009E7BED">
        <w:rPr>
          <w:sz w:val="32"/>
        </w:rPr>
        <w:t>Further Information</w:t>
      </w:r>
    </w:p>
    <w:p w:rsidR="00A52184" w:rsidRDefault="002A1346" w:rsidP="00A52184">
      <w:pPr>
        <w:spacing w:line="360" w:lineRule="auto"/>
        <w:jc w:val="center"/>
      </w:pPr>
      <w:r>
        <w:rPr>
          <w:noProof/>
          <w:lang w:eastAsia="en-AU"/>
        </w:rPr>
        <w:drawing>
          <wp:inline distT="0" distB="0" distL="0" distR="0">
            <wp:extent cx="5939790" cy="4455160"/>
            <wp:effectExtent l="19050" t="19050" r="22860" b="21590"/>
            <wp:docPr id="20" name="Picture 20" descr="Links to further information" title="Furthe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3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687974">
      <w:pPr>
        <w:pStyle w:val="Heading3"/>
        <w:rPr>
          <w:lang w:eastAsia="en-AU"/>
        </w:rPr>
      </w:pPr>
      <w:r>
        <w:rPr>
          <w:lang w:eastAsia="en-AU"/>
        </w:rPr>
        <w:t>Further Information</w:t>
      </w:r>
    </w:p>
    <w:p w:rsidR="00A52184" w:rsidRDefault="00A52184" w:rsidP="00A52184">
      <w:pPr>
        <w:autoSpaceDE w:val="0"/>
        <w:autoSpaceDN w:val="0"/>
        <w:adjustRightInd w:val="0"/>
        <w:rPr>
          <w:rFonts w:ascii="Calibri" w:hAnsi="Times New Roman" w:cs="Calibri"/>
          <w:b/>
          <w:bCs/>
          <w:color w:val="000000"/>
          <w:kern w:val="24"/>
          <w:sz w:val="24"/>
          <w:szCs w:val="24"/>
          <w:u w:val="single"/>
          <w:lang w:eastAsia="en-AU"/>
        </w:rPr>
      </w:pPr>
    </w:p>
    <w:p w:rsidR="00A52184" w:rsidRDefault="00A52184" w:rsidP="00A52184">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More information on labour market conditions and other research on small areas can be found on these websites:</w:t>
      </w:r>
    </w:p>
    <w:p w:rsidR="00A52184" w:rsidRDefault="00A52184" w:rsidP="00A52184">
      <w:pPr>
        <w:numPr>
          <w:ilvl w:val="0"/>
          <w:numId w:val="2"/>
        </w:numPr>
        <w:autoSpaceDE w:val="0"/>
        <w:autoSpaceDN w:val="0"/>
        <w:adjustRightInd w:val="0"/>
        <w:ind w:left="270" w:hanging="270"/>
        <w:rPr>
          <w:rFonts w:ascii="Calibri" w:hAnsi="Times New Roman" w:cs="Calibri"/>
          <w:color w:val="000000"/>
          <w:kern w:val="24"/>
          <w:sz w:val="24"/>
          <w:szCs w:val="24"/>
          <w:lang w:eastAsia="en-AU"/>
        </w:rPr>
      </w:pPr>
      <w:r>
        <w:rPr>
          <w:rFonts w:ascii="Calibri" w:hAnsi="Times New Roman" w:cs="Calibri"/>
          <w:color w:val="000000"/>
          <w:kern w:val="24"/>
          <w:sz w:val="24"/>
          <w:szCs w:val="24"/>
          <w:u w:val="single"/>
          <w:lang w:eastAsia="en-AU"/>
        </w:rPr>
        <w:t>www.employment.gov.au/regionalreports</w:t>
      </w:r>
    </w:p>
    <w:p w:rsidR="00A52184" w:rsidRDefault="00A52184" w:rsidP="00A52184">
      <w:pPr>
        <w:numPr>
          <w:ilvl w:val="0"/>
          <w:numId w:val="2"/>
        </w:numPr>
        <w:autoSpaceDE w:val="0"/>
        <w:autoSpaceDN w:val="0"/>
        <w:adjustRightInd w:val="0"/>
        <w:ind w:left="270" w:hanging="270"/>
        <w:rPr>
          <w:rFonts w:ascii="Calibri" w:hAnsi="Calibri" w:cs="Calibri"/>
          <w:color w:val="000000"/>
          <w:kern w:val="24"/>
          <w:sz w:val="24"/>
          <w:szCs w:val="24"/>
          <w:lang w:eastAsia="en-AU"/>
        </w:rPr>
      </w:pPr>
      <w:r>
        <w:rPr>
          <w:rFonts w:ascii="Calibri" w:hAnsi="Calibri" w:cs="Calibri"/>
          <w:color w:val="000000"/>
          <w:kern w:val="24"/>
          <w:sz w:val="24"/>
          <w:szCs w:val="24"/>
          <w:u w:val="single"/>
          <w:lang w:eastAsia="en-AU"/>
        </w:rPr>
        <w:t>www.lmip.gov.au</w:t>
      </w:r>
    </w:p>
    <w:p w:rsidR="00A52184" w:rsidRDefault="00A52184" w:rsidP="00A52184">
      <w:pPr>
        <w:numPr>
          <w:ilvl w:val="0"/>
          <w:numId w:val="2"/>
        </w:numPr>
        <w:autoSpaceDE w:val="0"/>
        <w:autoSpaceDN w:val="0"/>
        <w:adjustRightInd w:val="0"/>
        <w:ind w:left="270" w:hanging="270"/>
        <w:rPr>
          <w:rFonts w:ascii="Calibri" w:hAnsi="Calibri" w:cs="Calibri"/>
          <w:color w:val="000000"/>
          <w:kern w:val="24"/>
          <w:sz w:val="24"/>
          <w:szCs w:val="24"/>
          <w:lang w:eastAsia="en-AU"/>
        </w:rPr>
      </w:pPr>
      <w:r>
        <w:rPr>
          <w:rFonts w:ascii="Calibri" w:hAnsi="Calibri" w:cs="Calibri"/>
          <w:color w:val="000000"/>
          <w:kern w:val="24"/>
          <w:sz w:val="24"/>
          <w:szCs w:val="24"/>
          <w:u w:val="single"/>
          <w:lang w:eastAsia="en-AU"/>
        </w:rPr>
        <w:t>www.emplyoment.gov.au/SkillShortages</w:t>
      </w:r>
    </w:p>
    <w:p w:rsidR="00A52184" w:rsidRDefault="00A52184" w:rsidP="00A52184">
      <w:pPr>
        <w:numPr>
          <w:ilvl w:val="0"/>
          <w:numId w:val="2"/>
        </w:numPr>
        <w:autoSpaceDE w:val="0"/>
        <w:autoSpaceDN w:val="0"/>
        <w:adjustRightInd w:val="0"/>
        <w:ind w:left="270" w:hanging="270"/>
        <w:rPr>
          <w:rFonts w:ascii="Calibri" w:hAnsi="Calibri" w:cs="Calibri"/>
          <w:color w:val="000000"/>
          <w:kern w:val="24"/>
          <w:sz w:val="24"/>
          <w:szCs w:val="24"/>
          <w:lang w:eastAsia="en-AU"/>
        </w:rPr>
      </w:pPr>
      <w:r>
        <w:rPr>
          <w:rFonts w:ascii="Calibri" w:hAnsi="Calibri" w:cs="Calibri"/>
          <w:color w:val="000000"/>
          <w:kern w:val="24"/>
          <w:sz w:val="24"/>
          <w:szCs w:val="24"/>
          <w:u w:val="single"/>
          <w:lang w:eastAsia="en-AU"/>
        </w:rPr>
        <w:t>www.employment.gov.au/australianjobs</w:t>
      </w:r>
    </w:p>
    <w:p w:rsidR="00A52184" w:rsidRDefault="00A52184" w:rsidP="00A52184">
      <w:pPr>
        <w:numPr>
          <w:ilvl w:val="0"/>
          <w:numId w:val="2"/>
        </w:numPr>
        <w:autoSpaceDE w:val="0"/>
        <w:autoSpaceDN w:val="0"/>
        <w:adjustRightInd w:val="0"/>
        <w:ind w:left="270" w:hanging="270"/>
        <w:rPr>
          <w:rFonts w:ascii="Calibri" w:hAnsi="Calibri" w:cs="Calibri"/>
          <w:color w:val="000000"/>
          <w:kern w:val="24"/>
          <w:sz w:val="24"/>
          <w:szCs w:val="24"/>
          <w:lang w:eastAsia="en-AU"/>
        </w:rPr>
      </w:pPr>
      <w:r>
        <w:rPr>
          <w:rFonts w:ascii="Calibri" w:hAnsi="Calibri" w:cs="Calibri"/>
          <w:color w:val="000000"/>
          <w:kern w:val="24"/>
          <w:sz w:val="24"/>
          <w:szCs w:val="24"/>
          <w:u w:val="single"/>
          <w:lang w:eastAsia="en-AU"/>
        </w:rPr>
        <w:t>www.joboutlook.gov.au</w:t>
      </w:r>
    </w:p>
    <w:p w:rsidR="00A52184" w:rsidRDefault="00A52184" w:rsidP="00A52184">
      <w:pPr>
        <w:autoSpaceDE w:val="0"/>
        <w:autoSpaceDN w:val="0"/>
        <w:adjustRightInd w:val="0"/>
        <w:rPr>
          <w:rFonts w:ascii="Calibri" w:hAnsi="Times New Roman" w:cs="Calibri"/>
          <w:color w:val="000000"/>
          <w:kern w:val="24"/>
          <w:sz w:val="24"/>
          <w:szCs w:val="24"/>
          <w:lang w:eastAsia="en-AU"/>
        </w:rPr>
      </w:pPr>
    </w:p>
    <w:p w:rsidR="00A52184" w:rsidRDefault="00A52184" w:rsidP="00A52184">
      <w:pPr>
        <w:autoSpaceDE w:val="0"/>
        <w:autoSpaceDN w:val="0"/>
        <w:adjustRightInd w:val="0"/>
        <w:rPr>
          <w:rFonts w:ascii="Calibri" w:hAnsi="Times New Roman" w:cs="Calibri"/>
          <w:color w:val="000000"/>
          <w:kern w:val="24"/>
          <w:sz w:val="24"/>
          <w:szCs w:val="24"/>
          <w:lang w:eastAsia="en-AU"/>
        </w:rPr>
      </w:pPr>
    </w:p>
    <w:p w:rsidR="00A52184" w:rsidRDefault="00A52184" w:rsidP="00A52184">
      <w:pPr>
        <w:autoSpaceDE w:val="0"/>
        <w:autoSpaceDN w:val="0"/>
        <w:adjustRightInd w:val="0"/>
        <w:ind w:left="72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9E7BED">
      <w:pPr>
        <w:pStyle w:val="Heading1"/>
      </w:pPr>
      <w:r>
        <w:lastRenderedPageBreak/>
        <w:t>Slide 31</w:t>
      </w:r>
    </w:p>
    <w:p w:rsidR="00A52184" w:rsidRDefault="00A52184" w:rsidP="00026A05">
      <w:pPr>
        <w:spacing w:line="360" w:lineRule="auto"/>
        <w:jc w:val="center"/>
      </w:pPr>
    </w:p>
    <w:tbl>
      <w:tblPr>
        <w:tblStyle w:val="TableGrid"/>
        <w:tblW w:w="0" w:type="auto"/>
        <w:tblLook w:val="04A0" w:firstRow="1" w:lastRow="0" w:firstColumn="1" w:lastColumn="0" w:noHBand="0" w:noVBand="1"/>
      </w:tblPr>
      <w:tblGrid>
        <w:gridCol w:w="9570"/>
      </w:tblGrid>
      <w:tr w:rsidR="00026A05" w:rsidTr="00026A05">
        <w:trPr>
          <w:trHeight w:val="7019"/>
        </w:trPr>
        <w:tc>
          <w:tcPr>
            <w:tcW w:w="9570" w:type="dxa"/>
          </w:tcPr>
          <w:p w:rsidR="00026A05" w:rsidRPr="00AB414F" w:rsidRDefault="00026A05" w:rsidP="00026A05">
            <w:pPr>
              <w:autoSpaceDE w:val="0"/>
              <w:autoSpaceDN w:val="0"/>
              <w:adjustRightInd w:val="0"/>
              <w:spacing w:before="960"/>
              <w:jc w:val="center"/>
              <w:rPr>
                <w:rFonts w:asciiTheme="minorHAnsi" w:hAnsiTheme="minorHAnsi" w:cstheme="minorHAnsi"/>
                <w:color w:val="0070C0"/>
                <w:kern w:val="24"/>
                <w:sz w:val="48"/>
                <w:szCs w:val="24"/>
                <w:u w:val="single"/>
                <w:lang w:eastAsia="en-AU"/>
              </w:rPr>
            </w:pPr>
            <w:r w:rsidRPr="00AB414F">
              <w:rPr>
                <w:rFonts w:asciiTheme="minorHAnsi" w:hAnsiTheme="minorHAnsi" w:cstheme="minorHAnsi"/>
                <w:color w:val="000000"/>
                <w:kern w:val="24"/>
                <w:sz w:val="48"/>
                <w:szCs w:val="24"/>
                <w:lang w:eastAsia="en-AU"/>
              </w:rPr>
              <w:t xml:space="preserve">If you have any questions about the presentation please contact the Recruitment Analysis and Employer Surveys sections on </w:t>
            </w:r>
            <w:r w:rsidRPr="00AB414F">
              <w:rPr>
                <w:rFonts w:asciiTheme="minorHAnsi" w:hAnsiTheme="minorHAnsi" w:cstheme="minorHAnsi"/>
                <w:color w:val="0070C0"/>
                <w:kern w:val="24"/>
                <w:sz w:val="48"/>
                <w:szCs w:val="24"/>
                <w:u w:val="single"/>
                <w:lang w:eastAsia="en-AU"/>
              </w:rPr>
              <w:t>1800 059 439</w:t>
            </w:r>
            <w:r w:rsidRPr="00AB414F">
              <w:rPr>
                <w:rFonts w:asciiTheme="minorHAnsi" w:hAnsiTheme="minorHAnsi" w:cstheme="minorHAnsi"/>
                <w:color w:val="0070C0"/>
                <w:kern w:val="24"/>
                <w:sz w:val="48"/>
                <w:szCs w:val="24"/>
                <w:lang w:eastAsia="en-AU"/>
              </w:rPr>
              <w:t xml:space="preserve"> </w:t>
            </w:r>
            <w:r w:rsidRPr="00AB414F">
              <w:rPr>
                <w:rFonts w:asciiTheme="minorHAnsi" w:hAnsiTheme="minorHAnsi" w:cstheme="minorHAnsi"/>
                <w:color w:val="000000"/>
                <w:kern w:val="24"/>
                <w:sz w:val="48"/>
                <w:szCs w:val="24"/>
                <w:lang w:eastAsia="en-AU"/>
              </w:rPr>
              <w:t xml:space="preserve">or email </w:t>
            </w:r>
            <w:r w:rsidRPr="00AB414F">
              <w:rPr>
                <w:rFonts w:asciiTheme="minorHAnsi" w:hAnsiTheme="minorHAnsi" w:cstheme="minorHAnsi"/>
                <w:color w:val="0070C0"/>
                <w:kern w:val="24"/>
                <w:sz w:val="48"/>
                <w:szCs w:val="24"/>
                <w:u w:val="single"/>
                <w:lang w:eastAsia="en-AU"/>
              </w:rPr>
              <w:t>recruitmentsurveys@employment.gov.au</w:t>
            </w:r>
          </w:p>
          <w:p w:rsidR="00026A05" w:rsidRDefault="00026A05" w:rsidP="00026A05">
            <w:pPr>
              <w:spacing w:line="360" w:lineRule="auto"/>
              <w:jc w:val="center"/>
            </w:pPr>
          </w:p>
        </w:tc>
      </w:tr>
    </w:tbl>
    <w:p w:rsidR="00026A05" w:rsidRDefault="00026A05" w:rsidP="00A52184">
      <w:pPr>
        <w:spacing w:line="360" w:lineRule="auto"/>
      </w:pPr>
    </w:p>
    <w:p w:rsidR="00A52184" w:rsidRDefault="00A52184" w:rsidP="00A52184">
      <w:pPr>
        <w:spacing w:line="360" w:lineRule="auto"/>
        <w:jc w:val="center"/>
      </w:pPr>
    </w:p>
    <w:p w:rsidR="00A52184" w:rsidRPr="00687974" w:rsidRDefault="00A52184" w:rsidP="00A52184">
      <w:pPr>
        <w:autoSpaceDE w:val="0"/>
        <w:autoSpaceDN w:val="0"/>
        <w:adjustRightInd w:val="0"/>
        <w:rPr>
          <w:rFonts w:asciiTheme="minorHAnsi" w:hAnsiTheme="minorHAnsi" w:cstheme="minorHAnsi"/>
          <w:color w:val="0070C0"/>
          <w:kern w:val="24"/>
          <w:sz w:val="24"/>
          <w:szCs w:val="24"/>
          <w:u w:val="single"/>
          <w:lang w:eastAsia="en-AU"/>
        </w:rPr>
      </w:pPr>
      <w:r w:rsidRPr="00687974">
        <w:rPr>
          <w:rFonts w:asciiTheme="minorHAnsi" w:hAnsiTheme="minorHAnsi" w:cstheme="minorHAnsi"/>
          <w:color w:val="000000"/>
          <w:kern w:val="24"/>
          <w:sz w:val="24"/>
          <w:szCs w:val="24"/>
          <w:lang w:eastAsia="en-AU"/>
        </w:rPr>
        <w:t xml:space="preserve">If you have any questions about the presentation please contact the Recruitment Analysis and Employer Surveys sections on </w:t>
      </w:r>
      <w:r w:rsidRPr="00687974">
        <w:rPr>
          <w:rFonts w:asciiTheme="minorHAnsi" w:hAnsiTheme="minorHAnsi" w:cstheme="minorHAnsi"/>
          <w:color w:val="0070C0"/>
          <w:kern w:val="24"/>
          <w:sz w:val="24"/>
          <w:szCs w:val="24"/>
          <w:u w:val="single"/>
          <w:lang w:eastAsia="en-AU"/>
        </w:rPr>
        <w:t>1800 059 439</w:t>
      </w:r>
      <w:r w:rsidRPr="00687974">
        <w:rPr>
          <w:rFonts w:asciiTheme="minorHAnsi" w:hAnsiTheme="minorHAnsi" w:cstheme="minorHAnsi"/>
          <w:color w:val="0070C0"/>
          <w:kern w:val="24"/>
          <w:sz w:val="24"/>
          <w:szCs w:val="24"/>
          <w:lang w:eastAsia="en-AU"/>
        </w:rPr>
        <w:t xml:space="preserve"> </w:t>
      </w:r>
      <w:r w:rsidRPr="00687974">
        <w:rPr>
          <w:rFonts w:asciiTheme="minorHAnsi" w:hAnsiTheme="minorHAnsi" w:cstheme="minorHAnsi"/>
          <w:color w:val="000000"/>
          <w:kern w:val="24"/>
          <w:sz w:val="24"/>
          <w:szCs w:val="24"/>
          <w:lang w:eastAsia="en-AU"/>
        </w:rPr>
        <w:t xml:space="preserve">or email </w:t>
      </w:r>
      <w:r w:rsidRPr="00687974">
        <w:rPr>
          <w:rFonts w:asciiTheme="minorHAnsi" w:hAnsiTheme="minorHAnsi" w:cstheme="minorHAnsi"/>
          <w:color w:val="0070C0"/>
          <w:kern w:val="24"/>
          <w:sz w:val="24"/>
          <w:szCs w:val="24"/>
          <w:u w:val="single"/>
          <w:lang w:eastAsia="en-AU"/>
        </w:rPr>
        <w:t>recruitmentsurveys@employment.gov.au</w:t>
      </w:r>
    </w:p>
    <w:p w:rsidR="00A52184" w:rsidRDefault="00A52184" w:rsidP="00A52184">
      <w:pPr>
        <w:autoSpaceDE w:val="0"/>
        <w:autoSpaceDN w:val="0"/>
        <w:adjustRightInd w:val="0"/>
        <w:rPr>
          <w:rFonts w:ascii="Calibri" w:hAnsi="Calibri" w:cs="Calibri"/>
          <w:color w:val="000000"/>
          <w:kern w:val="24"/>
          <w:sz w:val="24"/>
          <w:szCs w:val="24"/>
          <w:lang w:eastAsia="en-AU"/>
        </w:rPr>
      </w:pPr>
    </w:p>
    <w:p w:rsidR="00A52184" w:rsidRDefault="00A52184" w:rsidP="00A52184">
      <w:pPr>
        <w:autoSpaceDE w:val="0"/>
        <w:autoSpaceDN w:val="0"/>
        <w:adjustRightInd w:val="0"/>
        <w:rPr>
          <w:rFonts w:cs="Arial"/>
          <w:sz w:val="24"/>
          <w:szCs w:val="24"/>
          <w:lang w:eastAsia="en-AU"/>
        </w:rPr>
      </w:pPr>
    </w:p>
    <w:p w:rsidR="00A52184" w:rsidRDefault="00A52184" w:rsidP="00A52184">
      <w:pPr>
        <w:spacing w:line="360" w:lineRule="auto"/>
      </w:pPr>
    </w:p>
    <w:p w:rsidR="00A52184" w:rsidRDefault="00A52184">
      <w:r>
        <w:br w:type="page"/>
      </w:r>
    </w:p>
    <w:p w:rsidR="00A52184" w:rsidRDefault="00A52184" w:rsidP="00687974">
      <w:pPr>
        <w:pStyle w:val="Heading1"/>
      </w:pPr>
      <w:r>
        <w:lastRenderedPageBreak/>
        <w:t>Slide 32</w:t>
      </w:r>
    </w:p>
    <w:p w:rsidR="00A52184" w:rsidRDefault="00A52184" w:rsidP="00A52184">
      <w:pPr>
        <w:spacing w:line="360" w:lineRule="auto"/>
      </w:pPr>
    </w:p>
    <w:p w:rsidR="00A52184" w:rsidRDefault="002A1346" w:rsidP="00A52184">
      <w:pPr>
        <w:spacing w:line="360" w:lineRule="auto"/>
        <w:jc w:val="center"/>
      </w:pPr>
      <w:r>
        <w:rPr>
          <w:noProof/>
          <w:lang w:eastAsia="en-AU"/>
        </w:rPr>
        <w:drawing>
          <wp:inline distT="0" distB="0" distL="0" distR="0">
            <wp:extent cx="5939790" cy="4455160"/>
            <wp:effectExtent l="19050" t="19050" r="22860" b="215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3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a:ln>
                      <a:solidFill>
                        <a:schemeClr val="tx1"/>
                      </a:solidFill>
                    </a:ln>
                  </pic:spPr>
                </pic:pic>
              </a:graphicData>
            </a:graphic>
          </wp:inline>
        </w:drawing>
      </w:r>
    </w:p>
    <w:p w:rsidR="00A52184" w:rsidRDefault="00A52184" w:rsidP="00A52184">
      <w:pPr>
        <w:spacing w:line="360" w:lineRule="auto"/>
        <w:jc w:val="center"/>
      </w:pPr>
    </w:p>
    <w:p w:rsidR="00A52184" w:rsidRDefault="00A52184" w:rsidP="00A52184">
      <w:pPr>
        <w:spacing w:line="360" w:lineRule="auto"/>
      </w:pPr>
    </w:p>
    <w:p w:rsidR="00A52184" w:rsidRDefault="00A52184" w:rsidP="00A52184">
      <w:pPr>
        <w:spacing w:line="360" w:lineRule="auto"/>
      </w:pPr>
    </w:p>
    <w:p w:rsidR="007A7747" w:rsidRDefault="007A7747">
      <w:pPr>
        <w:spacing w:line="360" w:lineRule="auto"/>
      </w:pPr>
    </w:p>
    <w:sectPr w:rsidR="007A7747" w:rsidSect="00B4410E">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300" w:rsidRDefault="00427300" w:rsidP="005D6D92">
      <w:r>
        <w:separator/>
      </w:r>
    </w:p>
  </w:endnote>
  <w:endnote w:type="continuationSeparator" w:id="0">
    <w:p w:rsidR="00427300" w:rsidRDefault="00427300" w:rsidP="005D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00" w:rsidRDefault="004273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00" w:rsidRDefault="004273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00" w:rsidRDefault="00427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300" w:rsidRDefault="00427300" w:rsidP="005D6D92">
      <w:r>
        <w:separator/>
      </w:r>
    </w:p>
  </w:footnote>
  <w:footnote w:type="continuationSeparator" w:id="0">
    <w:p w:rsidR="00427300" w:rsidRDefault="00427300" w:rsidP="005D6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00" w:rsidRDefault="004273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00" w:rsidRDefault="004273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00" w:rsidRDefault="00427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7B0A2C8"/>
    <w:lvl w:ilvl="0">
      <w:numFmt w:val="bullet"/>
      <w:lvlText w:val="*"/>
      <w:lvlJc w:val="left"/>
    </w:lvl>
  </w:abstractNum>
  <w:abstractNum w:abstractNumId="1">
    <w:nsid w:val="509F244B"/>
    <w:multiLevelType w:val="hybridMultilevel"/>
    <w:tmpl w:val="2A80B77E"/>
    <w:lvl w:ilvl="0" w:tplc="FE1C3280">
      <w:start w:val="1"/>
      <w:numFmt w:val="bullet"/>
      <w:lvlText w:val="•"/>
      <w:lvlJc w:val="left"/>
      <w:pPr>
        <w:tabs>
          <w:tab w:val="num" w:pos="720"/>
        </w:tabs>
        <w:ind w:left="720" w:hanging="360"/>
      </w:pPr>
      <w:rPr>
        <w:rFonts w:ascii="Times New Roman" w:hAnsi="Times New Roman" w:hint="default"/>
      </w:rPr>
    </w:lvl>
    <w:lvl w:ilvl="1" w:tplc="D1D8F4FA" w:tentative="1">
      <w:start w:val="1"/>
      <w:numFmt w:val="bullet"/>
      <w:lvlText w:val="•"/>
      <w:lvlJc w:val="left"/>
      <w:pPr>
        <w:tabs>
          <w:tab w:val="num" w:pos="1440"/>
        </w:tabs>
        <w:ind w:left="1440" w:hanging="360"/>
      </w:pPr>
      <w:rPr>
        <w:rFonts w:ascii="Times New Roman" w:hAnsi="Times New Roman" w:hint="default"/>
      </w:rPr>
    </w:lvl>
    <w:lvl w:ilvl="2" w:tplc="BA668154" w:tentative="1">
      <w:start w:val="1"/>
      <w:numFmt w:val="bullet"/>
      <w:lvlText w:val="•"/>
      <w:lvlJc w:val="left"/>
      <w:pPr>
        <w:tabs>
          <w:tab w:val="num" w:pos="2160"/>
        </w:tabs>
        <w:ind w:left="2160" w:hanging="360"/>
      </w:pPr>
      <w:rPr>
        <w:rFonts w:ascii="Times New Roman" w:hAnsi="Times New Roman" w:hint="default"/>
      </w:rPr>
    </w:lvl>
    <w:lvl w:ilvl="3" w:tplc="03E85D68" w:tentative="1">
      <w:start w:val="1"/>
      <w:numFmt w:val="bullet"/>
      <w:lvlText w:val="•"/>
      <w:lvlJc w:val="left"/>
      <w:pPr>
        <w:tabs>
          <w:tab w:val="num" w:pos="2880"/>
        </w:tabs>
        <w:ind w:left="2880" w:hanging="360"/>
      </w:pPr>
      <w:rPr>
        <w:rFonts w:ascii="Times New Roman" w:hAnsi="Times New Roman" w:hint="default"/>
      </w:rPr>
    </w:lvl>
    <w:lvl w:ilvl="4" w:tplc="B762BAF0" w:tentative="1">
      <w:start w:val="1"/>
      <w:numFmt w:val="bullet"/>
      <w:lvlText w:val="•"/>
      <w:lvlJc w:val="left"/>
      <w:pPr>
        <w:tabs>
          <w:tab w:val="num" w:pos="3600"/>
        </w:tabs>
        <w:ind w:left="3600" w:hanging="360"/>
      </w:pPr>
      <w:rPr>
        <w:rFonts w:ascii="Times New Roman" w:hAnsi="Times New Roman" w:hint="default"/>
      </w:rPr>
    </w:lvl>
    <w:lvl w:ilvl="5" w:tplc="23362AA0" w:tentative="1">
      <w:start w:val="1"/>
      <w:numFmt w:val="bullet"/>
      <w:lvlText w:val="•"/>
      <w:lvlJc w:val="left"/>
      <w:pPr>
        <w:tabs>
          <w:tab w:val="num" w:pos="4320"/>
        </w:tabs>
        <w:ind w:left="4320" w:hanging="360"/>
      </w:pPr>
      <w:rPr>
        <w:rFonts w:ascii="Times New Roman" w:hAnsi="Times New Roman" w:hint="default"/>
      </w:rPr>
    </w:lvl>
    <w:lvl w:ilvl="6" w:tplc="AE101414" w:tentative="1">
      <w:start w:val="1"/>
      <w:numFmt w:val="bullet"/>
      <w:lvlText w:val="•"/>
      <w:lvlJc w:val="left"/>
      <w:pPr>
        <w:tabs>
          <w:tab w:val="num" w:pos="5040"/>
        </w:tabs>
        <w:ind w:left="5040" w:hanging="360"/>
      </w:pPr>
      <w:rPr>
        <w:rFonts w:ascii="Times New Roman" w:hAnsi="Times New Roman" w:hint="default"/>
      </w:rPr>
    </w:lvl>
    <w:lvl w:ilvl="7" w:tplc="C442B58C" w:tentative="1">
      <w:start w:val="1"/>
      <w:numFmt w:val="bullet"/>
      <w:lvlText w:val="•"/>
      <w:lvlJc w:val="left"/>
      <w:pPr>
        <w:tabs>
          <w:tab w:val="num" w:pos="5760"/>
        </w:tabs>
        <w:ind w:left="5760" w:hanging="360"/>
      </w:pPr>
      <w:rPr>
        <w:rFonts w:ascii="Times New Roman" w:hAnsi="Times New Roman" w:hint="default"/>
      </w:rPr>
    </w:lvl>
    <w:lvl w:ilvl="8" w:tplc="368E4AB2" w:tentative="1">
      <w:start w:val="1"/>
      <w:numFmt w:val="bullet"/>
      <w:lvlText w:val="•"/>
      <w:lvlJc w:val="left"/>
      <w:pPr>
        <w:tabs>
          <w:tab w:val="num" w:pos="6480"/>
        </w:tabs>
        <w:ind w:left="6480" w:hanging="360"/>
      </w:pPr>
      <w:rPr>
        <w:rFonts w:ascii="Times New Roman" w:hAnsi="Times New Roman" w:hint="default"/>
      </w:rPr>
    </w:lvl>
  </w:abstractNum>
  <w:abstractNum w:abstractNumId="2">
    <w:nsid w:val="54981BA3"/>
    <w:multiLevelType w:val="hybridMultilevel"/>
    <w:tmpl w:val="F44473FC"/>
    <w:lvl w:ilvl="0" w:tplc="0E54027E">
      <w:start w:val="1"/>
      <w:numFmt w:val="bullet"/>
      <w:lvlText w:val="•"/>
      <w:lvlJc w:val="left"/>
      <w:pPr>
        <w:tabs>
          <w:tab w:val="num" w:pos="720"/>
        </w:tabs>
        <w:ind w:left="720" w:hanging="360"/>
      </w:pPr>
      <w:rPr>
        <w:rFonts w:ascii="Arial" w:hAnsi="Arial" w:hint="default"/>
      </w:rPr>
    </w:lvl>
    <w:lvl w:ilvl="1" w:tplc="D792BC22" w:tentative="1">
      <w:start w:val="1"/>
      <w:numFmt w:val="bullet"/>
      <w:lvlText w:val="•"/>
      <w:lvlJc w:val="left"/>
      <w:pPr>
        <w:tabs>
          <w:tab w:val="num" w:pos="1440"/>
        </w:tabs>
        <w:ind w:left="1440" w:hanging="360"/>
      </w:pPr>
      <w:rPr>
        <w:rFonts w:ascii="Arial" w:hAnsi="Arial" w:hint="default"/>
      </w:rPr>
    </w:lvl>
    <w:lvl w:ilvl="2" w:tplc="D49AAB9A" w:tentative="1">
      <w:start w:val="1"/>
      <w:numFmt w:val="bullet"/>
      <w:lvlText w:val="•"/>
      <w:lvlJc w:val="left"/>
      <w:pPr>
        <w:tabs>
          <w:tab w:val="num" w:pos="2160"/>
        </w:tabs>
        <w:ind w:left="2160" w:hanging="360"/>
      </w:pPr>
      <w:rPr>
        <w:rFonts w:ascii="Arial" w:hAnsi="Arial" w:hint="default"/>
      </w:rPr>
    </w:lvl>
    <w:lvl w:ilvl="3" w:tplc="B0040090" w:tentative="1">
      <w:start w:val="1"/>
      <w:numFmt w:val="bullet"/>
      <w:lvlText w:val="•"/>
      <w:lvlJc w:val="left"/>
      <w:pPr>
        <w:tabs>
          <w:tab w:val="num" w:pos="2880"/>
        </w:tabs>
        <w:ind w:left="2880" w:hanging="360"/>
      </w:pPr>
      <w:rPr>
        <w:rFonts w:ascii="Arial" w:hAnsi="Arial" w:hint="default"/>
      </w:rPr>
    </w:lvl>
    <w:lvl w:ilvl="4" w:tplc="13FCF9A2" w:tentative="1">
      <w:start w:val="1"/>
      <w:numFmt w:val="bullet"/>
      <w:lvlText w:val="•"/>
      <w:lvlJc w:val="left"/>
      <w:pPr>
        <w:tabs>
          <w:tab w:val="num" w:pos="3600"/>
        </w:tabs>
        <w:ind w:left="3600" w:hanging="360"/>
      </w:pPr>
      <w:rPr>
        <w:rFonts w:ascii="Arial" w:hAnsi="Arial" w:hint="default"/>
      </w:rPr>
    </w:lvl>
    <w:lvl w:ilvl="5" w:tplc="8018910E" w:tentative="1">
      <w:start w:val="1"/>
      <w:numFmt w:val="bullet"/>
      <w:lvlText w:val="•"/>
      <w:lvlJc w:val="left"/>
      <w:pPr>
        <w:tabs>
          <w:tab w:val="num" w:pos="4320"/>
        </w:tabs>
        <w:ind w:left="4320" w:hanging="360"/>
      </w:pPr>
      <w:rPr>
        <w:rFonts w:ascii="Arial" w:hAnsi="Arial" w:hint="default"/>
      </w:rPr>
    </w:lvl>
    <w:lvl w:ilvl="6" w:tplc="5C743AA2" w:tentative="1">
      <w:start w:val="1"/>
      <w:numFmt w:val="bullet"/>
      <w:lvlText w:val="•"/>
      <w:lvlJc w:val="left"/>
      <w:pPr>
        <w:tabs>
          <w:tab w:val="num" w:pos="5040"/>
        </w:tabs>
        <w:ind w:left="5040" w:hanging="360"/>
      </w:pPr>
      <w:rPr>
        <w:rFonts w:ascii="Arial" w:hAnsi="Arial" w:hint="default"/>
      </w:rPr>
    </w:lvl>
    <w:lvl w:ilvl="7" w:tplc="B92432B6" w:tentative="1">
      <w:start w:val="1"/>
      <w:numFmt w:val="bullet"/>
      <w:lvlText w:val="•"/>
      <w:lvlJc w:val="left"/>
      <w:pPr>
        <w:tabs>
          <w:tab w:val="num" w:pos="5760"/>
        </w:tabs>
        <w:ind w:left="5760" w:hanging="360"/>
      </w:pPr>
      <w:rPr>
        <w:rFonts w:ascii="Arial" w:hAnsi="Arial" w:hint="default"/>
      </w:rPr>
    </w:lvl>
    <w:lvl w:ilvl="8" w:tplc="D7D215A6" w:tentative="1">
      <w:start w:val="1"/>
      <w:numFmt w:val="bullet"/>
      <w:lvlText w:val="•"/>
      <w:lvlJc w:val="left"/>
      <w:pPr>
        <w:tabs>
          <w:tab w:val="num" w:pos="6480"/>
        </w:tabs>
        <w:ind w:left="6480" w:hanging="360"/>
      </w:pPr>
      <w:rPr>
        <w:rFonts w:ascii="Arial" w:hAnsi="Arial" w:hint="default"/>
      </w:rPr>
    </w:lvl>
  </w:abstractNum>
  <w:abstractNum w:abstractNumId="3">
    <w:nsid w:val="5F0D4349"/>
    <w:multiLevelType w:val="hybridMultilevel"/>
    <w:tmpl w:val="16948CDC"/>
    <w:lvl w:ilvl="0" w:tplc="39A01FE6">
      <w:start w:val="1"/>
      <w:numFmt w:val="bullet"/>
      <w:lvlText w:val="•"/>
      <w:lvlJc w:val="left"/>
      <w:pPr>
        <w:tabs>
          <w:tab w:val="num" w:pos="720"/>
        </w:tabs>
        <w:ind w:left="720" w:hanging="360"/>
      </w:pPr>
      <w:rPr>
        <w:rFonts w:ascii="Times New Roman" w:hAnsi="Times New Roman" w:hint="default"/>
      </w:rPr>
    </w:lvl>
    <w:lvl w:ilvl="1" w:tplc="07F0042E">
      <w:start w:val="5607"/>
      <w:numFmt w:val="bullet"/>
      <w:lvlText w:val="–"/>
      <w:lvlJc w:val="left"/>
      <w:pPr>
        <w:tabs>
          <w:tab w:val="num" w:pos="1440"/>
        </w:tabs>
        <w:ind w:left="1440" w:hanging="360"/>
      </w:pPr>
      <w:rPr>
        <w:rFonts w:ascii="Times New Roman" w:hAnsi="Times New Roman" w:hint="default"/>
      </w:rPr>
    </w:lvl>
    <w:lvl w:ilvl="2" w:tplc="C3B69E58" w:tentative="1">
      <w:start w:val="1"/>
      <w:numFmt w:val="bullet"/>
      <w:lvlText w:val="•"/>
      <w:lvlJc w:val="left"/>
      <w:pPr>
        <w:tabs>
          <w:tab w:val="num" w:pos="2160"/>
        </w:tabs>
        <w:ind w:left="2160" w:hanging="360"/>
      </w:pPr>
      <w:rPr>
        <w:rFonts w:ascii="Times New Roman" w:hAnsi="Times New Roman" w:hint="default"/>
      </w:rPr>
    </w:lvl>
    <w:lvl w:ilvl="3" w:tplc="28C808EE" w:tentative="1">
      <w:start w:val="1"/>
      <w:numFmt w:val="bullet"/>
      <w:lvlText w:val="•"/>
      <w:lvlJc w:val="left"/>
      <w:pPr>
        <w:tabs>
          <w:tab w:val="num" w:pos="2880"/>
        </w:tabs>
        <w:ind w:left="2880" w:hanging="360"/>
      </w:pPr>
      <w:rPr>
        <w:rFonts w:ascii="Times New Roman" w:hAnsi="Times New Roman" w:hint="default"/>
      </w:rPr>
    </w:lvl>
    <w:lvl w:ilvl="4" w:tplc="025276DC" w:tentative="1">
      <w:start w:val="1"/>
      <w:numFmt w:val="bullet"/>
      <w:lvlText w:val="•"/>
      <w:lvlJc w:val="left"/>
      <w:pPr>
        <w:tabs>
          <w:tab w:val="num" w:pos="3600"/>
        </w:tabs>
        <w:ind w:left="3600" w:hanging="360"/>
      </w:pPr>
      <w:rPr>
        <w:rFonts w:ascii="Times New Roman" w:hAnsi="Times New Roman" w:hint="default"/>
      </w:rPr>
    </w:lvl>
    <w:lvl w:ilvl="5" w:tplc="5F18B798" w:tentative="1">
      <w:start w:val="1"/>
      <w:numFmt w:val="bullet"/>
      <w:lvlText w:val="•"/>
      <w:lvlJc w:val="left"/>
      <w:pPr>
        <w:tabs>
          <w:tab w:val="num" w:pos="4320"/>
        </w:tabs>
        <w:ind w:left="4320" w:hanging="360"/>
      </w:pPr>
      <w:rPr>
        <w:rFonts w:ascii="Times New Roman" w:hAnsi="Times New Roman" w:hint="default"/>
      </w:rPr>
    </w:lvl>
    <w:lvl w:ilvl="6" w:tplc="B0B2538A" w:tentative="1">
      <w:start w:val="1"/>
      <w:numFmt w:val="bullet"/>
      <w:lvlText w:val="•"/>
      <w:lvlJc w:val="left"/>
      <w:pPr>
        <w:tabs>
          <w:tab w:val="num" w:pos="5040"/>
        </w:tabs>
        <w:ind w:left="5040" w:hanging="360"/>
      </w:pPr>
      <w:rPr>
        <w:rFonts w:ascii="Times New Roman" w:hAnsi="Times New Roman" w:hint="default"/>
      </w:rPr>
    </w:lvl>
    <w:lvl w:ilvl="7" w:tplc="52DE94F6" w:tentative="1">
      <w:start w:val="1"/>
      <w:numFmt w:val="bullet"/>
      <w:lvlText w:val="•"/>
      <w:lvlJc w:val="left"/>
      <w:pPr>
        <w:tabs>
          <w:tab w:val="num" w:pos="5760"/>
        </w:tabs>
        <w:ind w:left="5760" w:hanging="360"/>
      </w:pPr>
      <w:rPr>
        <w:rFonts w:ascii="Times New Roman" w:hAnsi="Times New Roman" w:hint="default"/>
      </w:rPr>
    </w:lvl>
    <w:lvl w:ilvl="8" w:tplc="1D14EE8A" w:tentative="1">
      <w:start w:val="1"/>
      <w:numFmt w:val="bullet"/>
      <w:lvlText w:val="•"/>
      <w:lvlJc w:val="left"/>
      <w:pPr>
        <w:tabs>
          <w:tab w:val="num" w:pos="6480"/>
        </w:tabs>
        <w:ind w:left="6480" w:hanging="360"/>
      </w:pPr>
      <w:rPr>
        <w:rFonts w:ascii="Times New Roman" w:hAnsi="Times New Roman" w:hint="default"/>
      </w:rPr>
    </w:lvl>
  </w:abstractNum>
  <w:abstractNum w:abstractNumId="4">
    <w:nsid w:val="74E016FA"/>
    <w:multiLevelType w:val="hybridMultilevel"/>
    <w:tmpl w:val="3D0A0EDC"/>
    <w:lvl w:ilvl="0" w:tplc="9466A6C6">
      <w:start w:val="1"/>
      <w:numFmt w:val="bullet"/>
      <w:lvlText w:val="–"/>
      <w:lvlJc w:val="left"/>
      <w:pPr>
        <w:tabs>
          <w:tab w:val="num" w:pos="720"/>
        </w:tabs>
        <w:ind w:left="720" w:hanging="360"/>
      </w:pPr>
      <w:rPr>
        <w:rFonts w:ascii="Times New Roman" w:hAnsi="Times New Roman" w:hint="default"/>
      </w:rPr>
    </w:lvl>
    <w:lvl w:ilvl="1" w:tplc="830A95F0">
      <w:start w:val="1"/>
      <w:numFmt w:val="bullet"/>
      <w:lvlText w:val="–"/>
      <w:lvlJc w:val="left"/>
      <w:pPr>
        <w:tabs>
          <w:tab w:val="num" w:pos="1440"/>
        </w:tabs>
        <w:ind w:left="1440" w:hanging="360"/>
      </w:pPr>
      <w:rPr>
        <w:rFonts w:ascii="Times New Roman" w:hAnsi="Times New Roman" w:hint="default"/>
      </w:rPr>
    </w:lvl>
    <w:lvl w:ilvl="2" w:tplc="890ABB2E" w:tentative="1">
      <w:start w:val="1"/>
      <w:numFmt w:val="bullet"/>
      <w:lvlText w:val="–"/>
      <w:lvlJc w:val="left"/>
      <w:pPr>
        <w:tabs>
          <w:tab w:val="num" w:pos="2160"/>
        </w:tabs>
        <w:ind w:left="2160" w:hanging="360"/>
      </w:pPr>
      <w:rPr>
        <w:rFonts w:ascii="Times New Roman" w:hAnsi="Times New Roman" w:hint="default"/>
      </w:rPr>
    </w:lvl>
    <w:lvl w:ilvl="3" w:tplc="5106E18A" w:tentative="1">
      <w:start w:val="1"/>
      <w:numFmt w:val="bullet"/>
      <w:lvlText w:val="–"/>
      <w:lvlJc w:val="left"/>
      <w:pPr>
        <w:tabs>
          <w:tab w:val="num" w:pos="2880"/>
        </w:tabs>
        <w:ind w:left="2880" w:hanging="360"/>
      </w:pPr>
      <w:rPr>
        <w:rFonts w:ascii="Times New Roman" w:hAnsi="Times New Roman" w:hint="default"/>
      </w:rPr>
    </w:lvl>
    <w:lvl w:ilvl="4" w:tplc="FBC2F4CC" w:tentative="1">
      <w:start w:val="1"/>
      <w:numFmt w:val="bullet"/>
      <w:lvlText w:val="–"/>
      <w:lvlJc w:val="left"/>
      <w:pPr>
        <w:tabs>
          <w:tab w:val="num" w:pos="3600"/>
        </w:tabs>
        <w:ind w:left="3600" w:hanging="360"/>
      </w:pPr>
      <w:rPr>
        <w:rFonts w:ascii="Times New Roman" w:hAnsi="Times New Roman" w:hint="default"/>
      </w:rPr>
    </w:lvl>
    <w:lvl w:ilvl="5" w:tplc="DA9052EE" w:tentative="1">
      <w:start w:val="1"/>
      <w:numFmt w:val="bullet"/>
      <w:lvlText w:val="–"/>
      <w:lvlJc w:val="left"/>
      <w:pPr>
        <w:tabs>
          <w:tab w:val="num" w:pos="4320"/>
        </w:tabs>
        <w:ind w:left="4320" w:hanging="360"/>
      </w:pPr>
      <w:rPr>
        <w:rFonts w:ascii="Times New Roman" w:hAnsi="Times New Roman" w:hint="default"/>
      </w:rPr>
    </w:lvl>
    <w:lvl w:ilvl="6" w:tplc="E2CC293E" w:tentative="1">
      <w:start w:val="1"/>
      <w:numFmt w:val="bullet"/>
      <w:lvlText w:val="–"/>
      <w:lvlJc w:val="left"/>
      <w:pPr>
        <w:tabs>
          <w:tab w:val="num" w:pos="5040"/>
        </w:tabs>
        <w:ind w:left="5040" w:hanging="360"/>
      </w:pPr>
      <w:rPr>
        <w:rFonts w:ascii="Times New Roman" w:hAnsi="Times New Roman" w:hint="default"/>
      </w:rPr>
    </w:lvl>
    <w:lvl w:ilvl="7" w:tplc="B63825CC" w:tentative="1">
      <w:start w:val="1"/>
      <w:numFmt w:val="bullet"/>
      <w:lvlText w:val="–"/>
      <w:lvlJc w:val="left"/>
      <w:pPr>
        <w:tabs>
          <w:tab w:val="num" w:pos="5760"/>
        </w:tabs>
        <w:ind w:left="5760" w:hanging="360"/>
      </w:pPr>
      <w:rPr>
        <w:rFonts w:ascii="Times New Roman" w:hAnsi="Times New Roman" w:hint="default"/>
      </w:rPr>
    </w:lvl>
    <w:lvl w:ilvl="8" w:tplc="4F18A756" w:tentative="1">
      <w:start w:val="1"/>
      <w:numFmt w:val="bullet"/>
      <w:lvlText w:val="–"/>
      <w:lvlJc w:val="left"/>
      <w:pPr>
        <w:tabs>
          <w:tab w:val="num" w:pos="6480"/>
        </w:tabs>
        <w:ind w:left="6480" w:hanging="360"/>
      </w:pPr>
      <w:rPr>
        <w:rFonts w:ascii="Times New Roman" w:hAnsi="Times New Roman" w:hint="default"/>
      </w:rPr>
    </w:lvl>
  </w:abstractNum>
  <w:abstractNum w:abstractNumId="5">
    <w:nsid w:val="7C6E4B9C"/>
    <w:multiLevelType w:val="hybridMultilevel"/>
    <w:tmpl w:val="CAB05BD6"/>
    <w:lvl w:ilvl="0" w:tplc="A614FD6E">
      <w:start w:val="1"/>
      <w:numFmt w:val="bullet"/>
      <w:lvlText w:val="–"/>
      <w:lvlJc w:val="left"/>
      <w:pPr>
        <w:tabs>
          <w:tab w:val="num" w:pos="720"/>
        </w:tabs>
        <w:ind w:left="720" w:hanging="360"/>
      </w:pPr>
      <w:rPr>
        <w:rFonts w:ascii="Times New Roman" w:hAnsi="Times New Roman" w:hint="default"/>
      </w:rPr>
    </w:lvl>
    <w:lvl w:ilvl="1" w:tplc="13B2E290">
      <w:start w:val="1"/>
      <w:numFmt w:val="bullet"/>
      <w:lvlText w:val="–"/>
      <w:lvlJc w:val="left"/>
      <w:pPr>
        <w:tabs>
          <w:tab w:val="num" w:pos="1440"/>
        </w:tabs>
        <w:ind w:left="1440" w:hanging="360"/>
      </w:pPr>
      <w:rPr>
        <w:rFonts w:ascii="Times New Roman" w:hAnsi="Times New Roman" w:hint="default"/>
      </w:rPr>
    </w:lvl>
    <w:lvl w:ilvl="2" w:tplc="548AA42C" w:tentative="1">
      <w:start w:val="1"/>
      <w:numFmt w:val="bullet"/>
      <w:lvlText w:val="–"/>
      <w:lvlJc w:val="left"/>
      <w:pPr>
        <w:tabs>
          <w:tab w:val="num" w:pos="2160"/>
        </w:tabs>
        <w:ind w:left="2160" w:hanging="360"/>
      </w:pPr>
      <w:rPr>
        <w:rFonts w:ascii="Times New Roman" w:hAnsi="Times New Roman" w:hint="default"/>
      </w:rPr>
    </w:lvl>
    <w:lvl w:ilvl="3" w:tplc="CDD8622A" w:tentative="1">
      <w:start w:val="1"/>
      <w:numFmt w:val="bullet"/>
      <w:lvlText w:val="–"/>
      <w:lvlJc w:val="left"/>
      <w:pPr>
        <w:tabs>
          <w:tab w:val="num" w:pos="2880"/>
        </w:tabs>
        <w:ind w:left="2880" w:hanging="360"/>
      </w:pPr>
      <w:rPr>
        <w:rFonts w:ascii="Times New Roman" w:hAnsi="Times New Roman" w:hint="default"/>
      </w:rPr>
    </w:lvl>
    <w:lvl w:ilvl="4" w:tplc="3C76C748" w:tentative="1">
      <w:start w:val="1"/>
      <w:numFmt w:val="bullet"/>
      <w:lvlText w:val="–"/>
      <w:lvlJc w:val="left"/>
      <w:pPr>
        <w:tabs>
          <w:tab w:val="num" w:pos="3600"/>
        </w:tabs>
        <w:ind w:left="3600" w:hanging="360"/>
      </w:pPr>
      <w:rPr>
        <w:rFonts w:ascii="Times New Roman" w:hAnsi="Times New Roman" w:hint="default"/>
      </w:rPr>
    </w:lvl>
    <w:lvl w:ilvl="5" w:tplc="A6D4B178" w:tentative="1">
      <w:start w:val="1"/>
      <w:numFmt w:val="bullet"/>
      <w:lvlText w:val="–"/>
      <w:lvlJc w:val="left"/>
      <w:pPr>
        <w:tabs>
          <w:tab w:val="num" w:pos="4320"/>
        </w:tabs>
        <w:ind w:left="4320" w:hanging="360"/>
      </w:pPr>
      <w:rPr>
        <w:rFonts w:ascii="Times New Roman" w:hAnsi="Times New Roman" w:hint="default"/>
      </w:rPr>
    </w:lvl>
    <w:lvl w:ilvl="6" w:tplc="B82C022E" w:tentative="1">
      <w:start w:val="1"/>
      <w:numFmt w:val="bullet"/>
      <w:lvlText w:val="–"/>
      <w:lvlJc w:val="left"/>
      <w:pPr>
        <w:tabs>
          <w:tab w:val="num" w:pos="5040"/>
        </w:tabs>
        <w:ind w:left="5040" w:hanging="360"/>
      </w:pPr>
      <w:rPr>
        <w:rFonts w:ascii="Times New Roman" w:hAnsi="Times New Roman" w:hint="default"/>
      </w:rPr>
    </w:lvl>
    <w:lvl w:ilvl="7" w:tplc="D63C557A" w:tentative="1">
      <w:start w:val="1"/>
      <w:numFmt w:val="bullet"/>
      <w:lvlText w:val="–"/>
      <w:lvlJc w:val="left"/>
      <w:pPr>
        <w:tabs>
          <w:tab w:val="num" w:pos="5760"/>
        </w:tabs>
        <w:ind w:left="5760" w:hanging="360"/>
      </w:pPr>
      <w:rPr>
        <w:rFonts w:ascii="Times New Roman" w:hAnsi="Times New Roman" w:hint="default"/>
      </w:rPr>
    </w:lvl>
    <w:lvl w:ilvl="8" w:tplc="8EB8D668"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Calibri" w:hAnsi="Calibri" w:cs="Calibri"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Arial" w:hAnsi="Arial" w:cs="Arial" w:hint="default"/>
          <w:sz w:val="24"/>
        </w:rPr>
      </w:lvl>
    </w:lvlOverride>
  </w:num>
  <w:num w:numId="4">
    <w:abstractNumId w:val="0"/>
    <w:lvlOverride w:ilvl="0">
      <w:lvl w:ilvl="0">
        <w:numFmt w:val="bullet"/>
        <w:lvlText w:val="o"/>
        <w:legacy w:legacy="1" w:legacySpace="0" w:legacyIndent="0"/>
        <w:lvlJc w:val="left"/>
        <w:rPr>
          <w:rFonts w:ascii="Courier New" w:hAnsi="Courier New" w:cs="Courier New" w:hint="default"/>
          <w:sz w:val="24"/>
        </w:rPr>
      </w:lvl>
    </w:lvlOverride>
  </w:num>
  <w:num w:numId="5">
    <w:abstractNumId w:val="2"/>
  </w:num>
  <w:num w:numId="6">
    <w:abstractNumId w:val="3"/>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A52184"/>
    <w:rsid w:val="00026A05"/>
    <w:rsid w:val="0004729E"/>
    <w:rsid w:val="000B0EB9"/>
    <w:rsid w:val="000F52FE"/>
    <w:rsid w:val="00124B78"/>
    <w:rsid w:val="001C4839"/>
    <w:rsid w:val="001E36D2"/>
    <w:rsid w:val="002A1346"/>
    <w:rsid w:val="002B734E"/>
    <w:rsid w:val="002E7FC8"/>
    <w:rsid w:val="003440B9"/>
    <w:rsid w:val="00352509"/>
    <w:rsid w:val="00353ADF"/>
    <w:rsid w:val="00427300"/>
    <w:rsid w:val="00442640"/>
    <w:rsid w:val="004F2819"/>
    <w:rsid w:val="00522253"/>
    <w:rsid w:val="005435CF"/>
    <w:rsid w:val="005479E5"/>
    <w:rsid w:val="005D236C"/>
    <w:rsid w:val="005D6D92"/>
    <w:rsid w:val="00687974"/>
    <w:rsid w:val="006D03E6"/>
    <w:rsid w:val="006E6409"/>
    <w:rsid w:val="007254EE"/>
    <w:rsid w:val="00737AB0"/>
    <w:rsid w:val="00775094"/>
    <w:rsid w:val="007A7747"/>
    <w:rsid w:val="007B355A"/>
    <w:rsid w:val="00830CA1"/>
    <w:rsid w:val="00850D05"/>
    <w:rsid w:val="00866FE0"/>
    <w:rsid w:val="008D70CA"/>
    <w:rsid w:val="008F4207"/>
    <w:rsid w:val="008F78EA"/>
    <w:rsid w:val="009315EC"/>
    <w:rsid w:val="00974C08"/>
    <w:rsid w:val="009B2BAC"/>
    <w:rsid w:val="009C44FC"/>
    <w:rsid w:val="009E7BED"/>
    <w:rsid w:val="00A00A60"/>
    <w:rsid w:val="00A35BAC"/>
    <w:rsid w:val="00A52184"/>
    <w:rsid w:val="00A71854"/>
    <w:rsid w:val="00AB414F"/>
    <w:rsid w:val="00AD4040"/>
    <w:rsid w:val="00AE4F6C"/>
    <w:rsid w:val="00B16127"/>
    <w:rsid w:val="00B4410E"/>
    <w:rsid w:val="00BB72A7"/>
    <w:rsid w:val="00BB7ECC"/>
    <w:rsid w:val="00BE3967"/>
    <w:rsid w:val="00C546C2"/>
    <w:rsid w:val="00C8174C"/>
    <w:rsid w:val="00CA6335"/>
    <w:rsid w:val="00CB1AD5"/>
    <w:rsid w:val="00CD07E1"/>
    <w:rsid w:val="00D40C7D"/>
    <w:rsid w:val="00D5156E"/>
    <w:rsid w:val="00D56664"/>
    <w:rsid w:val="00DA7401"/>
    <w:rsid w:val="00DD0B4C"/>
    <w:rsid w:val="00E40458"/>
    <w:rsid w:val="00E65DE5"/>
    <w:rsid w:val="00FA57B9"/>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1C4839"/>
    <w:pPr>
      <w:keepNext/>
      <w:outlineLvl w:val="0"/>
    </w:pPr>
    <w:rPr>
      <w:rFonts w:ascii="Calibri" w:eastAsia="Batang" w:hAnsi="Calibri" w:cs="Arial"/>
      <w:bCs/>
      <w:sz w:val="24"/>
      <w:szCs w:val="32"/>
    </w:rPr>
  </w:style>
  <w:style w:type="paragraph" w:styleId="Heading2">
    <w:name w:val="heading 2"/>
    <w:basedOn w:val="Normal"/>
    <w:next w:val="Normal"/>
    <w:qFormat/>
    <w:rsid w:val="001C4839"/>
    <w:pPr>
      <w:keepNext/>
      <w:spacing w:before="120" w:after="120"/>
      <w:outlineLvl w:val="1"/>
    </w:pPr>
    <w:rPr>
      <w:rFonts w:asciiTheme="minorHAnsi" w:hAnsiTheme="minorHAnsi" w:cs="Arial"/>
      <w:bCs/>
      <w:iCs/>
      <w:sz w:val="24"/>
      <w:szCs w:val="28"/>
    </w:rPr>
  </w:style>
  <w:style w:type="paragraph" w:styleId="Heading3">
    <w:name w:val="heading 3"/>
    <w:basedOn w:val="Normal"/>
    <w:next w:val="Normal"/>
    <w:qFormat/>
    <w:rsid w:val="001C4839"/>
    <w:pPr>
      <w:keepNext/>
      <w:spacing w:before="60" w:after="60"/>
      <w:outlineLvl w:val="2"/>
    </w:pPr>
    <w:rPr>
      <w:rFonts w:ascii="Calibri" w:hAnsi="Calibri" w:cs="Arial"/>
      <w:bCs/>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A52184"/>
    <w:rPr>
      <w:rFonts w:ascii="Tahoma" w:hAnsi="Tahoma" w:cs="Tahoma"/>
      <w:sz w:val="16"/>
      <w:szCs w:val="16"/>
    </w:rPr>
  </w:style>
  <w:style w:type="character" w:customStyle="1" w:styleId="BalloonTextChar">
    <w:name w:val="Balloon Text Char"/>
    <w:basedOn w:val="DefaultParagraphFont"/>
    <w:link w:val="BalloonText"/>
    <w:uiPriority w:val="99"/>
    <w:semiHidden/>
    <w:rsid w:val="00A52184"/>
    <w:rPr>
      <w:rFonts w:ascii="Tahoma" w:hAnsi="Tahoma" w:cs="Tahoma"/>
      <w:sz w:val="16"/>
      <w:szCs w:val="16"/>
      <w:lang w:eastAsia="en-US"/>
    </w:rPr>
  </w:style>
  <w:style w:type="table" w:styleId="TableGrid">
    <w:name w:val="Table Grid"/>
    <w:basedOn w:val="TableNormal"/>
    <w:uiPriority w:val="59"/>
    <w:rsid w:val="008F4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4207"/>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7A7747"/>
    <w:pPr>
      <w:ind w:left="720"/>
      <w:contextualSpacing/>
    </w:pPr>
    <w:rPr>
      <w:rFonts w:ascii="Times New Roman" w:hAnsi="Times New Roman"/>
      <w:sz w:val="24"/>
      <w:szCs w:val="24"/>
      <w:lang w:eastAsia="en-AU"/>
    </w:rPr>
  </w:style>
  <w:style w:type="paragraph" w:styleId="Header">
    <w:name w:val="header"/>
    <w:basedOn w:val="Normal"/>
    <w:link w:val="HeaderChar"/>
    <w:uiPriority w:val="99"/>
    <w:unhideWhenUsed/>
    <w:rsid w:val="005D6D92"/>
    <w:pPr>
      <w:tabs>
        <w:tab w:val="center" w:pos="4513"/>
        <w:tab w:val="right" w:pos="9026"/>
      </w:tabs>
    </w:pPr>
  </w:style>
  <w:style w:type="character" w:customStyle="1" w:styleId="HeaderChar">
    <w:name w:val="Header Char"/>
    <w:basedOn w:val="DefaultParagraphFont"/>
    <w:link w:val="Header"/>
    <w:uiPriority w:val="99"/>
    <w:rsid w:val="005D6D92"/>
    <w:rPr>
      <w:rFonts w:ascii="Arial" w:hAnsi="Arial"/>
      <w:sz w:val="22"/>
      <w:lang w:eastAsia="en-US"/>
    </w:rPr>
  </w:style>
  <w:style w:type="paragraph" w:styleId="Footer">
    <w:name w:val="footer"/>
    <w:basedOn w:val="Normal"/>
    <w:link w:val="FooterChar"/>
    <w:uiPriority w:val="99"/>
    <w:unhideWhenUsed/>
    <w:rsid w:val="005D6D92"/>
    <w:pPr>
      <w:tabs>
        <w:tab w:val="center" w:pos="4513"/>
        <w:tab w:val="right" w:pos="9026"/>
      </w:tabs>
    </w:pPr>
  </w:style>
  <w:style w:type="character" w:customStyle="1" w:styleId="FooterChar">
    <w:name w:val="Footer Char"/>
    <w:basedOn w:val="DefaultParagraphFont"/>
    <w:link w:val="Footer"/>
    <w:uiPriority w:val="99"/>
    <w:rsid w:val="005D6D92"/>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1C4839"/>
    <w:pPr>
      <w:keepNext/>
      <w:outlineLvl w:val="0"/>
    </w:pPr>
    <w:rPr>
      <w:rFonts w:ascii="Calibri" w:eastAsia="Batang" w:hAnsi="Calibri" w:cs="Arial"/>
      <w:bCs/>
      <w:sz w:val="24"/>
      <w:szCs w:val="32"/>
    </w:rPr>
  </w:style>
  <w:style w:type="paragraph" w:styleId="Heading2">
    <w:name w:val="heading 2"/>
    <w:basedOn w:val="Normal"/>
    <w:next w:val="Normal"/>
    <w:qFormat/>
    <w:rsid w:val="001C4839"/>
    <w:pPr>
      <w:keepNext/>
      <w:spacing w:before="120" w:after="120"/>
      <w:outlineLvl w:val="1"/>
    </w:pPr>
    <w:rPr>
      <w:rFonts w:asciiTheme="minorHAnsi" w:hAnsiTheme="minorHAnsi" w:cs="Arial"/>
      <w:bCs/>
      <w:iCs/>
      <w:sz w:val="24"/>
      <w:szCs w:val="28"/>
    </w:rPr>
  </w:style>
  <w:style w:type="paragraph" w:styleId="Heading3">
    <w:name w:val="heading 3"/>
    <w:basedOn w:val="Normal"/>
    <w:next w:val="Normal"/>
    <w:qFormat/>
    <w:rsid w:val="001C4839"/>
    <w:pPr>
      <w:keepNext/>
      <w:spacing w:before="60" w:after="60"/>
      <w:outlineLvl w:val="2"/>
    </w:pPr>
    <w:rPr>
      <w:rFonts w:ascii="Calibri" w:hAnsi="Calibri" w:cs="Arial"/>
      <w:bCs/>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A52184"/>
    <w:rPr>
      <w:rFonts w:ascii="Tahoma" w:hAnsi="Tahoma" w:cs="Tahoma"/>
      <w:sz w:val="16"/>
      <w:szCs w:val="16"/>
    </w:rPr>
  </w:style>
  <w:style w:type="character" w:customStyle="1" w:styleId="BalloonTextChar">
    <w:name w:val="Balloon Text Char"/>
    <w:basedOn w:val="DefaultParagraphFont"/>
    <w:link w:val="BalloonText"/>
    <w:uiPriority w:val="99"/>
    <w:semiHidden/>
    <w:rsid w:val="00A52184"/>
    <w:rPr>
      <w:rFonts w:ascii="Tahoma" w:hAnsi="Tahoma" w:cs="Tahoma"/>
      <w:sz w:val="16"/>
      <w:szCs w:val="16"/>
      <w:lang w:eastAsia="en-US"/>
    </w:rPr>
  </w:style>
  <w:style w:type="table" w:styleId="TableGrid">
    <w:name w:val="Table Grid"/>
    <w:basedOn w:val="TableNormal"/>
    <w:uiPriority w:val="59"/>
    <w:rsid w:val="008F4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4207"/>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7A7747"/>
    <w:pPr>
      <w:ind w:left="720"/>
      <w:contextualSpacing/>
    </w:pPr>
    <w:rPr>
      <w:rFonts w:ascii="Times New Roman" w:hAnsi="Times New Roman"/>
      <w:sz w:val="24"/>
      <w:szCs w:val="24"/>
      <w:lang w:eastAsia="en-AU"/>
    </w:rPr>
  </w:style>
  <w:style w:type="paragraph" w:styleId="Header">
    <w:name w:val="header"/>
    <w:basedOn w:val="Normal"/>
    <w:link w:val="HeaderChar"/>
    <w:uiPriority w:val="99"/>
    <w:unhideWhenUsed/>
    <w:rsid w:val="005D6D92"/>
    <w:pPr>
      <w:tabs>
        <w:tab w:val="center" w:pos="4513"/>
        <w:tab w:val="right" w:pos="9026"/>
      </w:tabs>
    </w:pPr>
  </w:style>
  <w:style w:type="character" w:customStyle="1" w:styleId="HeaderChar">
    <w:name w:val="Header Char"/>
    <w:basedOn w:val="DefaultParagraphFont"/>
    <w:link w:val="Header"/>
    <w:uiPriority w:val="99"/>
    <w:rsid w:val="005D6D92"/>
    <w:rPr>
      <w:rFonts w:ascii="Arial" w:hAnsi="Arial"/>
      <w:sz w:val="22"/>
      <w:lang w:eastAsia="en-US"/>
    </w:rPr>
  </w:style>
  <w:style w:type="paragraph" w:styleId="Footer">
    <w:name w:val="footer"/>
    <w:basedOn w:val="Normal"/>
    <w:link w:val="FooterChar"/>
    <w:uiPriority w:val="99"/>
    <w:unhideWhenUsed/>
    <w:rsid w:val="005D6D92"/>
    <w:pPr>
      <w:tabs>
        <w:tab w:val="center" w:pos="4513"/>
        <w:tab w:val="right" w:pos="9026"/>
      </w:tabs>
    </w:pPr>
  </w:style>
  <w:style w:type="character" w:customStyle="1" w:styleId="FooterChar">
    <w:name w:val="Footer Char"/>
    <w:basedOn w:val="DefaultParagraphFont"/>
    <w:link w:val="Footer"/>
    <w:uiPriority w:val="99"/>
    <w:rsid w:val="005D6D9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6306">
      <w:bodyDiv w:val="1"/>
      <w:marLeft w:val="0"/>
      <w:marRight w:val="0"/>
      <w:marTop w:val="0"/>
      <w:marBottom w:val="0"/>
      <w:divBdr>
        <w:top w:val="none" w:sz="0" w:space="0" w:color="auto"/>
        <w:left w:val="none" w:sz="0" w:space="0" w:color="auto"/>
        <w:bottom w:val="none" w:sz="0" w:space="0" w:color="auto"/>
        <w:right w:val="none" w:sz="0" w:space="0" w:color="auto"/>
      </w:divBdr>
      <w:divsChild>
        <w:div w:id="2009941867">
          <w:marLeft w:val="547"/>
          <w:marRight w:val="0"/>
          <w:marTop w:val="20"/>
          <w:marBottom w:val="0"/>
          <w:divBdr>
            <w:top w:val="none" w:sz="0" w:space="0" w:color="auto"/>
            <w:left w:val="none" w:sz="0" w:space="0" w:color="auto"/>
            <w:bottom w:val="none" w:sz="0" w:space="0" w:color="auto"/>
            <w:right w:val="none" w:sz="0" w:space="0" w:color="auto"/>
          </w:divBdr>
        </w:div>
        <w:div w:id="1553270177">
          <w:marLeft w:val="547"/>
          <w:marRight w:val="0"/>
          <w:marTop w:val="20"/>
          <w:marBottom w:val="0"/>
          <w:divBdr>
            <w:top w:val="none" w:sz="0" w:space="0" w:color="auto"/>
            <w:left w:val="none" w:sz="0" w:space="0" w:color="auto"/>
            <w:bottom w:val="none" w:sz="0" w:space="0" w:color="auto"/>
            <w:right w:val="none" w:sz="0" w:space="0" w:color="auto"/>
          </w:divBdr>
        </w:div>
        <w:div w:id="519394884">
          <w:marLeft w:val="547"/>
          <w:marRight w:val="0"/>
          <w:marTop w:val="20"/>
          <w:marBottom w:val="0"/>
          <w:divBdr>
            <w:top w:val="none" w:sz="0" w:space="0" w:color="auto"/>
            <w:left w:val="none" w:sz="0" w:space="0" w:color="auto"/>
            <w:bottom w:val="none" w:sz="0" w:space="0" w:color="auto"/>
            <w:right w:val="none" w:sz="0" w:space="0" w:color="auto"/>
          </w:divBdr>
        </w:div>
        <w:div w:id="1459686774">
          <w:marLeft w:val="547"/>
          <w:marRight w:val="0"/>
          <w:marTop w:val="20"/>
          <w:marBottom w:val="0"/>
          <w:divBdr>
            <w:top w:val="none" w:sz="0" w:space="0" w:color="auto"/>
            <w:left w:val="none" w:sz="0" w:space="0" w:color="auto"/>
            <w:bottom w:val="none" w:sz="0" w:space="0" w:color="auto"/>
            <w:right w:val="none" w:sz="0" w:space="0" w:color="auto"/>
          </w:divBdr>
        </w:div>
      </w:divsChild>
    </w:div>
    <w:div w:id="95029520">
      <w:bodyDiv w:val="1"/>
      <w:marLeft w:val="0"/>
      <w:marRight w:val="0"/>
      <w:marTop w:val="0"/>
      <w:marBottom w:val="0"/>
      <w:divBdr>
        <w:top w:val="none" w:sz="0" w:space="0" w:color="auto"/>
        <w:left w:val="none" w:sz="0" w:space="0" w:color="auto"/>
        <w:bottom w:val="none" w:sz="0" w:space="0" w:color="auto"/>
        <w:right w:val="none" w:sz="0" w:space="0" w:color="auto"/>
      </w:divBdr>
    </w:div>
    <w:div w:id="187526395">
      <w:bodyDiv w:val="1"/>
      <w:marLeft w:val="0"/>
      <w:marRight w:val="0"/>
      <w:marTop w:val="0"/>
      <w:marBottom w:val="0"/>
      <w:divBdr>
        <w:top w:val="none" w:sz="0" w:space="0" w:color="auto"/>
        <w:left w:val="none" w:sz="0" w:space="0" w:color="auto"/>
        <w:bottom w:val="none" w:sz="0" w:space="0" w:color="auto"/>
        <w:right w:val="none" w:sz="0" w:space="0" w:color="auto"/>
      </w:divBdr>
    </w:div>
    <w:div w:id="391780475">
      <w:bodyDiv w:val="1"/>
      <w:marLeft w:val="0"/>
      <w:marRight w:val="0"/>
      <w:marTop w:val="0"/>
      <w:marBottom w:val="0"/>
      <w:divBdr>
        <w:top w:val="none" w:sz="0" w:space="0" w:color="auto"/>
        <w:left w:val="none" w:sz="0" w:space="0" w:color="auto"/>
        <w:bottom w:val="none" w:sz="0" w:space="0" w:color="auto"/>
        <w:right w:val="none" w:sz="0" w:space="0" w:color="auto"/>
      </w:divBdr>
    </w:div>
    <w:div w:id="466553718">
      <w:bodyDiv w:val="1"/>
      <w:marLeft w:val="0"/>
      <w:marRight w:val="0"/>
      <w:marTop w:val="0"/>
      <w:marBottom w:val="0"/>
      <w:divBdr>
        <w:top w:val="none" w:sz="0" w:space="0" w:color="auto"/>
        <w:left w:val="none" w:sz="0" w:space="0" w:color="auto"/>
        <w:bottom w:val="none" w:sz="0" w:space="0" w:color="auto"/>
        <w:right w:val="none" w:sz="0" w:space="0" w:color="auto"/>
      </w:divBdr>
    </w:div>
    <w:div w:id="508831059">
      <w:bodyDiv w:val="1"/>
      <w:marLeft w:val="0"/>
      <w:marRight w:val="0"/>
      <w:marTop w:val="0"/>
      <w:marBottom w:val="0"/>
      <w:divBdr>
        <w:top w:val="none" w:sz="0" w:space="0" w:color="auto"/>
        <w:left w:val="none" w:sz="0" w:space="0" w:color="auto"/>
        <w:bottom w:val="none" w:sz="0" w:space="0" w:color="auto"/>
        <w:right w:val="none" w:sz="0" w:space="0" w:color="auto"/>
      </w:divBdr>
      <w:divsChild>
        <w:div w:id="184909745">
          <w:marLeft w:val="547"/>
          <w:marRight w:val="0"/>
          <w:marTop w:val="20"/>
          <w:marBottom w:val="0"/>
          <w:divBdr>
            <w:top w:val="none" w:sz="0" w:space="0" w:color="auto"/>
            <w:left w:val="none" w:sz="0" w:space="0" w:color="auto"/>
            <w:bottom w:val="none" w:sz="0" w:space="0" w:color="auto"/>
            <w:right w:val="none" w:sz="0" w:space="0" w:color="auto"/>
          </w:divBdr>
        </w:div>
        <w:div w:id="1994135446">
          <w:marLeft w:val="547"/>
          <w:marRight w:val="0"/>
          <w:marTop w:val="20"/>
          <w:marBottom w:val="0"/>
          <w:divBdr>
            <w:top w:val="none" w:sz="0" w:space="0" w:color="auto"/>
            <w:left w:val="none" w:sz="0" w:space="0" w:color="auto"/>
            <w:bottom w:val="none" w:sz="0" w:space="0" w:color="auto"/>
            <w:right w:val="none" w:sz="0" w:space="0" w:color="auto"/>
          </w:divBdr>
        </w:div>
        <w:div w:id="2095853022">
          <w:marLeft w:val="1166"/>
          <w:marRight w:val="0"/>
          <w:marTop w:val="134"/>
          <w:marBottom w:val="0"/>
          <w:divBdr>
            <w:top w:val="none" w:sz="0" w:space="0" w:color="auto"/>
            <w:left w:val="none" w:sz="0" w:space="0" w:color="auto"/>
            <w:bottom w:val="none" w:sz="0" w:space="0" w:color="auto"/>
            <w:right w:val="none" w:sz="0" w:space="0" w:color="auto"/>
          </w:divBdr>
        </w:div>
        <w:div w:id="1561985088">
          <w:marLeft w:val="1166"/>
          <w:marRight w:val="0"/>
          <w:marTop w:val="134"/>
          <w:marBottom w:val="0"/>
          <w:divBdr>
            <w:top w:val="none" w:sz="0" w:space="0" w:color="auto"/>
            <w:left w:val="none" w:sz="0" w:space="0" w:color="auto"/>
            <w:bottom w:val="none" w:sz="0" w:space="0" w:color="auto"/>
            <w:right w:val="none" w:sz="0" w:space="0" w:color="auto"/>
          </w:divBdr>
        </w:div>
        <w:div w:id="722295969">
          <w:marLeft w:val="1166"/>
          <w:marRight w:val="0"/>
          <w:marTop w:val="134"/>
          <w:marBottom w:val="0"/>
          <w:divBdr>
            <w:top w:val="none" w:sz="0" w:space="0" w:color="auto"/>
            <w:left w:val="none" w:sz="0" w:space="0" w:color="auto"/>
            <w:bottom w:val="none" w:sz="0" w:space="0" w:color="auto"/>
            <w:right w:val="none" w:sz="0" w:space="0" w:color="auto"/>
          </w:divBdr>
        </w:div>
      </w:divsChild>
    </w:div>
    <w:div w:id="570047434">
      <w:bodyDiv w:val="1"/>
      <w:marLeft w:val="0"/>
      <w:marRight w:val="0"/>
      <w:marTop w:val="0"/>
      <w:marBottom w:val="0"/>
      <w:divBdr>
        <w:top w:val="none" w:sz="0" w:space="0" w:color="auto"/>
        <w:left w:val="none" w:sz="0" w:space="0" w:color="auto"/>
        <w:bottom w:val="none" w:sz="0" w:space="0" w:color="auto"/>
        <w:right w:val="none" w:sz="0" w:space="0" w:color="auto"/>
      </w:divBdr>
    </w:div>
    <w:div w:id="580066331">
      <w:bodyDiv w:val="1"/>
      <w:marLeft w:val="0"/>
      <w:marRight w:val="0"/>
      <w:marTop w:val="0"/>
      <w:marBottom w:val="0"/>
      <w:divBdr>
        <w:top w:val="none" w:sz="0" w:space="0" w:color="auto"/>
        <w:left w:val="none" w:sz="0" w:space="0" w:color="auto"/>
        <w:bottom w:val="none" w:sz="0" w:space="0" w:color="auto"/>
        <w:right w:val="none" w:sz="0" w:space="0" w:color="auto"/>
      </w:divBdr>
      <w:divsChild>
        <w:div w:id="1651597322">
          <w:marLeft w:val="547"/>
          <w:marRight w:val="0"/>
          <w:marTop w:val="20"/>
          <w:marBottom w:val="0"/>
          <w:divBdr>
            <w:top w:val="none" w:sz="0" w:space="0" w:color="auto"/>
            <w:left w:val="none" w:sz="0" w:space="0" w:color="auto"/>
            <w:bottom w:val="none" w:sz="0" w:space="0" w:color="auto"/>
            <w:right w:val="none" w:sz="0" w:space="0" w:color="auto"/>
          </w:divBdr>
        </w:div>
        <w:div w:id="1883052234">
          <w:marLeft w:val="547"/>
          <w:marRight w:val="0"/>
          <w:marTop w:val="20"/>
          <w:marBottom w:val="0"/>
          <w:divBdr>
            <w:top w:val="none" w:sz="0" w:space="0" w:color="auto"/>
            <w:left w:val="none" w:sz="0" w:space="0" w:color="auto"/>
            <w:bottom w:val="none" w:sz="0" w:space="0" w:color="auto"/>
            <w:right w:val="none" w:sz="0" w:space="0" w:color="auto"/>
          </w:divBdr>
        </w:div>
        <w:div w:id="949094851">
          <w:marLeft w:val="547"/>
          <w:marRight w:val="0"/>
          <w:marTop w:val="20"/>
          <w:marBottom w:val="0"/>
          <w:divBdr>
            <w:top w:val="none" w:sz="0" w:space="0" w:color="auto"/>
            <w:left w:val="none" w:sz="0" w:space="0" w:color="auto"/>
            <w:bottom w:val="none" w:sz="0" w:space="0" w:color="auto"/>
            <w:right w:val="none" w:sz="0" w:space="0" w:color="auto"/>
          </w:divBdr>
        </w:div>
        <w:div w:id="1678389102">
          <w:marLeft w:val="547"/>
          <w:marRight w:val="0"/>
          <w:marTop w:val="20"/>
          <w:marBottom w:val="0"/>
          <w:divBdr>
            <w:top w:val="none" w:sz="0" w:space="0" w:color="auto"/>
            <w:left w:val="none" w:sz="0" w:space="0" w:color="auto"/>
            <w:bottom w:val="none" w:sz="0" w:space="0" w:color="auto"/>
            <w:right w:val="none" w:sz="0" w:space="0" w:color="auto"/>
          </w:divBdr>
        </w:div>
      </w:divsChild>
    </w:div>
    <w:div w:id="654605505">
      <w:bodyDiv w:val="1"/>
      <w:marLeft w:val="0"/>
      <w:marRight w:val="0"/>
      <w:marTop w:val="0"/>
      <w:marBottom w:val="0"/>
      <w:divBdr>
        <w:top w:val="none" w:sz="0" w:space="0" w:color="auto"/>
        <w:left w:val="none" w:sz="0" w:space="0" w:color="auto"/>
        <w:bottom w:val="none" w:sz="0" w:space="0" w:color="auto"/>
        <w:right w:val="none" w:sz="0" w:space="0" w:color="auto"/>
      </w:divBdr>
    </w:div>
    <w:div w:id="918561979">
      <w:bodyDiv w:val="1"/>
      <w:marLeft w:val="0"/>
      <w:marRight w:val="0"/>
      <w:marTop w:val="0"/>
      <w:marBottom w:val="0"/>
      <w:divBdr>
        <w:top w:val="none" w:sz="0" w:space="0" w:color="auto"/>
        <w:left w:val="none" w:sz="0" w:space="0" w:color="auto"/>
        <w:bottom w:val="none" w:sz="0" w:space="0" w:color="auto"/>
        <w:right w:val="none" w:sz="0" w:space="0" w:color="auto"/>
      </w:divBdr>
    </w:div>
    <w:div w:id="1110779289">
      <w:bodyDiv w:val="1"/>
      <w:marLeft w:val="0"/>
      <w:marRight w:val="0"/>
      <w:marTop w:val="0"/>
      <w:marBottom w:val="0"/>
      <w:divBdr>
        <w:top w:val="none" w:sz="0" w:space="0" w:color="auto"/>
        <w:left w:val="none" w:sz="0" w:space="0" w:color="auto"/>
        <w:bottom w:val="none" w:sz="0" w:space="0" w:color="auto"/>
        <w:right w:val="none" w:sz="0" w:space="0" w:color="auto"/>
      </w:divBdr>
      <w:divsChild>
        <w:div w:id="744452784">
          <w:marLeft w:val="446"/>
          <w:marRight w:val="0"/>
          <w:marTop w:val="0"/>
          <w:marBottom w:val="0"/>
          <w:divBdr>
            <w:top w:val="none" w:sz="0" w:space="0" w:color="auto"/>
            <w:left w:val="none" w:sz="0" w:space="0" w:color="auto"/>
            <w:bottom w:val="none" w:sz="0" w:space="0" w:color="auto"/>
            <w:right w:val="none" w:sz="0" w:space="0" w:color="auto"/>
          </w:divBdr>
        </w:div>
        <w:div w:id="735322984">
          <w:marLeft w:val="446"/>
          <w:marRight w:val="0"/>
          <w:marTop w:val="0"/>
          <w:marBottom w:val="0"/>
          <w:divBdr>
            <w:top w:val="none" w:sz="0" w:space="0" w:color="auto"/>
            <w:left w:val="none" w:sz="0" w:space="0" w:color="auto"/>
            <w:bottom w:val="none" w:sz="0" w:space="0" w:color="auto"/>
            <w:right w:val="none" w:sz="0" w:space="0" w:color="auto"/>
          </w:divBdr>
        </w:div>
        <w:div w:id="1534923212">
          <w:marLeft w:val="446"/>
          <w:marRight w:val="0"/>
          <w:marTop w:val="0"/>
          <w:marBottom w:val="0"/>
          <w:divBdr>
            <w:top w:val="none" w:sz="0" w:space="0" w:color="auto"/>
            <w:left w:val="none" w:sz="0" w:space="0" w:color="auto"/>
            <w:bottom w:val="none" w:sz="0" w:space="0" w:color="auto"/>
            <w:right w:val="none" w:sz="0" w:space="0" w:color="auto"/>
          </w:divBdr>
        </w:div>
        <w:div w:id="1526940548">
          <w:marLeft w:val="446"/>
          <w:marRight w:val="0"/>
          <w:marTop w:val="0"/>
          <w:marBottom w:val="0"/>
          <w:divBdr>
            <w:top w:val="none" w:sz="0" w:space="0" w:color="auto"/>
            <w:left w:val="none" w:sz="0" w:space="0" w:color="auto"/>
            <w:bottom w:val="none" w:sz="0" w:space="0" w:color="auto"/>
            <w:right w:val="none" w:sz="0" w:space="0" w:color="auto"/>
          </w:divBdr>
        </w:div>
      </w:divsChild>
    </w:div>
    <w:div w:id="1207529200">
      <w:bodyDiv w:val="1"/>
      <w:marLeft w:val="0"/>
      <w:marRight w:val="0"/>
      <w:marTop w:val="0"/>
      <w:marBottom w:val="0"/>
      <w:divBdr>
        <w:top w:val="none" w:sz="0" w:space="0" w:color="auto"/>
        <w:left w:val="none" w:sz="0" w:space="0" w:color="auto"/>
        <w:bottom w:val="none" w:sz="0" w:space="0" w:color="auto"/>
        <w:right w:val="none" w:sz="0" w:space="0" w:color="auto"/>
      </w:divBdr>
    </w:div>
    <w:div w:id="1245139847">
      <w:bodyDiv w:val="1"/>
      <w:marLeft w:val="0"/>
      <w:marRight w:val="0"/>
      <w:marTop w:val="0"/>
      <w:marBottom w:val="0"/>
      <w:divBdr>
        <w:top w:val="none" w:sz="0" w:space="0" w:color="auto"/>
        <w:left w:val="none" w:sz="0" w:space="0" w:color="auto"/>
        <w:bottom w:val="none" w:sz="0" w:space="0" w:color="auto"/>
        <w:right w:val="none" w:sz="0" w:space="0" w:color="auto"/>
      </w:divBdr>
    </w:div>
    <w:div w:id="1419406359">
      <w:bodyDiv w:val="1"/>
      <w:marLeft w:val="0"/>
      <w:marRight w:val="0"/>
      <w:marTop w:val="0"/>
      <w:marBottom w:val="0"/>
      <w:divBdr>
        <w:top w:val="none" w:sz="0" w:space="0" w:color="auto"/>
        <w:left w:val="none" w:sz="0" w:space="0" w:color="auto"/>
        <w:bottom w:val="none" w:sz="0" w:space="0" w:color="auto"/>
        <w:right w:val="none" w:sz="0" w:space="0" w:color="auto"/>
      </w:divBdr>
      <w:divsChild>
        <w:div w:id="2094011529">
          <w:marLeft w:val="547"/>
          <w:marRight w:val="0"/>
          <w:marTop w:val="20"/>
          <w:marBottom w:val="0"/>
          <w:divBdr>
            <w:top w:val="none" w:sz="0" w:space="0" w:color="auto"/>
            <w:left w:val="none" w:sz="0" w:space="0" w:color="auto"/>
            <w:bottom w:val="none" w:sz="0" w:space="0" w:color="auto"/>
            <w:right w:val="none" w:sz="0" w:space="0" w:color="auto"/>
          </w:divBdr>
        </w:div>
        <w:div w:id="666324747">
          <w:marLeft w:val="547"/>
          <w:marRight w:val="0"/>
          <w:marTop w:val="20"/>
          <w:marBottom w:val="0"/>
          <w:divBdr>
            <w:top w:val="none" w:sz="0" w:space="0" w:color="auto"/>
            <w:left w:val="none" w:sz="0" w:space="0" w:color="auto"/>
            <w:bottom w:val="none" w:sz="0" w:space="0" w:color="auto"/>
            <w:right w:val="none" w:sz="0" w:space="0" w:color="auto"/>
          </w:divBdr>
        </w:div>
        <w:div w:id="789472757">
          <w:marLeft w:val="1166"/>
          <w:marRight w:val="0"/>
          <w:marTop w:val="134"/>
          <w:marBottom w:val="0"/>
          <w:divBdr>
            <w:top w:val="none" w:sz="0" w:space="0" w:color="auto"/>
            <w:left w:val="none" w:sz="0" w:space="0" w:color="auto"/>
            <w:bottom w:val="none" w:sz="0" w:space="0" w:color="auto"/>
            <w:right w:val="none" w:sz="0" w:space="0" w:color="auto"/>
          </w:divBdr>
        </w:div>
        <w:div w:id="263806322">
          <w:marLeft w:val="1166"/>
          <w:marRight w:val="0"/>
          <w:marTop w:val="134"/>
          <w:marBottom w:val="0"/>
          <w:divBdr>
            <w:top w:val="none" w:sz="0" w:space="0" w:color="auto"/>
            <w:left w:val="none" w:sz="0" w:space="0" w:color="auto"/>
            <w:bottom w:val="none" w:sz="0" w:space="0" w:color="auto"/>
            <w:right w:val="none" w:sz="0" w:space="0" w:color="auto"/>
          </w:divBdr>
        </w:div>
        <w:div w:id="561789775">
          <w:marLeft w:val="1166"/>
          <w:marRight w:val="0"/>
          <w:marTop w:val="134"/>
          <w:marBottom w:val="0"/>
          <w:divBdr>
            <w:top w:val="none" w:sz="0" w:space="0" w:color="auto"/>
            <w:left w:val="none" w:sz="0" w:space="0" w:color="auto"/>
            <w:bottom w:val="none" w:sz="0" w:space="0" w:color="auto"/>
            <w:right w:val="none" w:sz="0" w:space="0" w:color="auto"/>
          </w:divBdr>
        </w:div>
      </w:divsChild>
    </w:div>
    <w:div w:id="1662537658">
      <w:bodyDiv w:val="1"/>
      <w:marLeft w:val="0"/>
      <w:marRight w:val="0"/>
      <w:marTop w:val="0"/>
      <w:marBottom w:val="0"/>
      <w:divBdr>
        <w:top w:val="none" w:sz="0" w:space="0" w:color="auto"/>
        <w:left w:val="none" w:sz="0" w:space="0" w:color="auto"/>
        <w:bottom w:val="none" w:sz="0" w:space="0" w:color="auto"/>
        <w:right w:val="none" w:sz="0" w:space="0" w:color="auto"/>
      </w:divBdr>
    </w:div>
    <w:div w:id="1714117775">
      <w:bodyDiv w:val="1"/>
      <w:marLeft w:val="0"/>
      <w:marRight w:val="0"/>
      <w:marTop w:val="0"/>
      <w:marBottom w:val="0"/>
      <w:divBdr>
        <w:top w:val="none" w:sz="0" w:space="0" w:color="auto"/>
        <w:left w:val="none" w:sz="0" w:space="0" w:color="auto"/>
        <w:bottom w:val="none" w:sz="0" w:space="0" w:color="auto"/>
        <w:right w:val="none" w:sz="0" w:space="0" w:color="auto"/>
      </w:divBdr>
      <w:divsChild>
        <w:div w:id="112291452">
          <w:marLeft w:val="446"/>
          <w:marRight w:val="0"/>
          <w:marTop w:val="0"/>
          <w:marBottom w:val="0"/>
          <w:divBdr>
            <w:top w:val="none" w:sz="0" w:space="0" w:color="auto"/>
            <w:left w:val="none" w:sz="0" w:space="0" w:color="auto"/>
            <w:bottom w:val="none" w:sz="0" w:space="0" w:color="auto"/>
            <w:right w:val="none" w:sz="0" w:space="0" w:color="auto"/>
          </w:divBdr>
        </w:div>
        <w:div w:id="1972515345">
          <w:marLeft w:val="446"/>
          <w:marRight w:val="0"/>
          <w:marTop w:val="0"/>
          <w:marBottom w:val="0"/>
          <w:divBdr>
            <w:top w:val="none" w:sz="0" w:space="0" w:color="auto"/>
            <w:left w:val="none" w:sz="0" w:space="0" w:color="auto"/>
            <w:bottom w:val="none" w:sz="0" w:space="0" w:color="auto"/>
            <w:right w:val="none" w:sz="0" w:space="0" w:color="auto"/>
          </w:divBdr>
        </w:div>
        <w:div w:id="664092405">
          <w:marLeft w:val="446"/>
          <w:marRight w:val="0"/>
          <w:marTop w:val="0"/>
          <w:marBottom w:val="0"/>
          <w:divBdr>
            <w:top w:val="none" w:sz="0" w:space="0" w:color="auto"/>
            <w:left w:val="none" w:sz="0" w:space="0" w:color="auto"/>
            <w:bottom w:val="none" w:sz="0" w:space="0" w:color="auto"/>
            <w:right w:val="none" w:sz="0" w:space="0" w:color="auto"/>
          </w:divBdr>
        </w:div>
        <w:div w:id="355232431">
          <w:marLeft w:val="446"/>
          <w:marRight w:val="0"/>
          <w:marTop w:val="0"/>
          <w:marBottom w:val="0"/>
          <w:divBdr>
            <w:top w:val="none" w:sz="0" w:space="0" w:color="auto"/>
            <w:left w:val="none" w:sz="0" w:space="0" w:color="auto"/>
            <w:bottom w:val="none" w:sz="0" w:space="0" w:color="auto"/>
            <w:right w:val="none" w:sz="0" w:space="0" w:color="auto"/>
          </w:divBdr>
        </w:div>
      </w:divsChild>
    </w:div>
    <w:div w:id="1749811301">
      <w:bodyDiv w:val="1"/>
      <w:marLeft w:val="0"/>
      <w:marRight w:val="0"/>
      <w:marTop w:val="0"/>
      <w:marBottom w:val="0"/>
      <w:divBdr>
        <w:top w:val="none" w:sz="0" w:space="0" w:color="auto"/>
        <w:left w:val="none" w:sz="0" w:space="0" w:color="auto"/>
        <w:bottom w:val="none" w:sz="0" w:space="0" w:color="auto"/>
        <w:right w:val="none" w:sz="0" w:space="0" w:color="auto"/>
      </w:divBdr>
    </w:div>
    <w:div w:id="1756054307">
      <w:bodyDiv w:val="1"/>
      <w:marLeft w:val="0"/>
      <w:marRight w:val="0"/>
      <w:marTop w:val="0"/>
      <w:marBottom w:val="0"/>
      <w:divBdr>
        <w:top w:val="none" w:sz="0" w:space="0" w:color="auto"/>
        <w:left w:val="none" w:sz="0" w:space="0" w:color="auto"/>
        <w:bottom w:val="none" w:sz="0" w:space="0" w:color="auto"/>
        <w:right w:val="none" w:sz="0" w:space="0" w:color="auto"/>
      </w:divBdr>
      <w:divsChild>
        <w:div w:id="2046519312">
          <w:marLeft w:val="1166"/>
          <w:marRight w:val="0"/>
          <w:marTop w:val="125"/>
          <w:marBottom w:val="0"/>
          <w:divBdr>
            <w:top w:val="none" w:sz="0" w:space="0" w:color="auto"/>
            <w:left w:val="none" w:sz="0" w:space="0" w:color="auto"/>
            <w:bottom w:val="none" w:sz="0" w:space="0" w:color="auto"/>
            <w:right w:val="none" w:sz="0" w:space="0" w:color="auto"/>
          </w:divBdr>
        </w:div>
        <w:div w:id="1132557669">
          <w:marLeft w:val="1166"/>
          <w:marRight w:val="0"/>
          <w:marTop w:val="125"/>
          <w:marBottom w:val="0"/>
          <w:divBdr>
            <w:top w:val="none" w:sz="0" w:space="0" w:color="auto"/>
            <w:left w:val="none" w:sz="0" w:space="0" w:color="auto"/>
            <w:bottom w:val="none" w:sz="0" w:space="0" w:color="auto"/>
            <w:right w:val="none" w:sz="0" w:space="0" w:color="auto"/>
          </w:divBdr>
        </w:div>
        <w:div w:id="2117560180">
          <w:marLeft w:val="1166"/>
          <w:marRight w:val="0"/>
          <w:marTop w:val="125"/>
          <w:marBottom w:val="0"/>
          <w:divBdr>
            <w:top w:val="none" w:sz="0" w:space="0" w:color="auto"/>
            <w:left w:val="none" w:sz="0" w:space="0" w:color="auto"/>
            <w:bottom w:val="none" w:sz="0" w:space="0" w:color="auto"/>
            <w:right w:val="none" w:sz="0" w:space="0" w:color="auto"/>
          </w:divBdr>
        </w:div>
        <w:div w:id="1189375744">
          <w:marLeft w:val="1166"/>
          <w:marRight w:val="0"/>
          <w:marTop w:val="125"/>
          <w:marBottom w:val="0"/>
          <w:divBdr>
            <w:top w:val="none" w:sz="0" w:space="0" w:color="auto"/>
            <w:left w:val="none" w:sz="0" w:space="0" w:color="auto"/>
            <w:bottom w:val="none" w:sz="0" w:space="0" w:color="auto"/>
            <w:right w:val="none" w:sz="0" w:space="0" w:color="auto"/>
          </w:divBdr>
        </w:div>
        <w:div w:id="1472358026">
          <w:marLeft w:val="1166"/>
          <w:marRight w:val="0"/>
          <w:marTop w:val="125"/>
          <w:marBottom w:val="0"/>
          <w:divBdr>
            <w:top w:val="none" w:sz="0" w:space="0" w:color="auto"/>
            <w:left w:val="none" w:sz="0" w:space="0" w:color="auto"/>
            <w:bottom w:val="none" w:sz="0" w:space="0" w:color="auto"/>
            <w:right w:val="none" w:sz="0" w:space="0" w:color="auto"/>
          </w:divBdr>
        </w:div>
        <w:div w:id="1339848205">
          <w:marLeft w:val="1166"/>
          <w:marRight w:val="0"/>
          <w:marTop w:val="125"/>
          <w:marBottom w:val="0"/>
          <w:divBdr>
            <w:top w:val="none" w:sz="0" w:space="0" w:color="auto"/>
            <w:left w:val="none" w:sz="0" w:space="0" w:color="auto"/>
            <w:bottom w:val="none" w:sz="0" w:space="0" w:color="auto"/>
            <w:right w:val="none" w:sz="0" w:space="0" w:color="auto"/>
          </w:divBdr>
        </w:div>
        <w:div w:id="480077879">
          <w:marLeft w:val="1166"/>
          <w:marRight w:val="0"/>
          <w:marTop w:val="125"/>
          <w:marBottom w:val="0"/>
          <w:divBdr>
            <w:top w:val="none" w:sz="0" w:space="0" w:color="auto"/>
            <w:left w:val="none" w:sz="0" w:space="0" w:color="auto"/>
            <w:bottom w:val="none" w:sz="0" w:space="0" w:color="auto"/>
            <w:right w:val="none" w:sz="0" w:space="0" w:color="auto"/>
          </w:divBdr>
        </w:div>
        <w:div w:id="859851257">
          <w:marLeft w:val="1166"/>
          <w:marRight w:val="0"/>
          <w:marTop w:val="125"/>
          <w:marBottom w:val="0"/>
          <w:divBdr>
            <w:top w:val="none" w:sz="0" w:space="0" w:color="auto"/>
            <w:left w:val="none" w:sz="0" w:space="0" w:color="auto"/>
            <w:bottom w:val="none" w:sz="0" w:space="0" w:color="auto"/>
            <w:right w:val="none" w:sz="0" w:space="0" w:color="auto"/>
          </w:divBdr>
        </w:div>
      </w:divsChild>
    </w:div>
    <w:div w:id="1762795491">
      <w:bodyDiv w:val="1"/>
      <w:marLeft w:val="0"/>
      <w:marRight w:val="0"/>
      <w:marTop w:val="0"/>
      <w:marBottom w:val="0"/>
      <w:divBdr>
        <w:top w:val="none" w:sz="0" w:space="0" w:color="auto"/>
        <w:left w:val="none" w:sz="0" w:space="0" w:color="auto"/>
        <w:bottom w:val="none" w:sz="0" w:space="0" w:color="auto"/>
        <w:right w:val="none" w:sz="0" w:space="0" w:color="auto"/>
      </w:divBdr>
    </w:div>
    <w:div w:id="1885210195">
      <w:bodyDiv w:val="1"/>
      <w:marLeft w:val="0"/>
      <w:marRight w:val="0"/>
      <w:marTop w:val="0"/>
      <w:marBottom w:val="0"/>
      <w:divBdr>
        <w:top w:val="none" w:sz="0" w:space="0" w:color="auto"/>
        <w:left w:val="none" w:sz="0" w:space="0" w:color="auto"/>
        <w:bottom w:val="none" w:sz="0" w:space="0" w:color="auto"/>
        <w:right w:val="none" w:sz="0" w:space="0" w:color="auto"/>
      </w:divBdr>
    </w:div>
    <w:div w:id="1920865595">
      <w:bodyDiv w:val="1"/>
      <w:marLeft w:val="0"/>
      <w:marRight w:val="0"/>
      <w:marTop w:val="0"/>
      <w:marBottom w:val="0"/>
      <w:divBdr>
        <w:top w:val="none" w:sz="0" w:space="0" w:color="auto"/>
        <w:left w:val="none" w:sz="0" w:space="0" w:color="auto"/>
        <w:bottom w:val="none" w:sz="0" w:space="0" w:color="auto"/>
        <w:right w:val="none" w:sz="0" w:space="0" w:color="auto"/>
      </w:divBdr>
    </w:div>
    <w:div w:id="196453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32"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AECE2D-11F1-4EA0-BE75-D45A644AC87A}"/>
</file>

<file path=customXml/itemProps2.xml><?xml version="1.0" encoding="utf-8"?>
<ds:datastoreItem xmlns:ds="http://schemas.openxmlformats.org/officeDocument/2006/customXml" ds:itemID="{CACE14C7-AEAC-4C1F-9A8C-1D99F5BB917A}"/>
</file>

<file path=customXml/itemProps3.xml><?xml version="1.0" encoding="utf-8"?>
<ds:datastoreItem xmlns:ds="http://schemas.openxmlformats.org/officeDocument/2006/customXml" ds:itemID="{4DBB75EF-1E31-4639-9D2E-CBE6B43C4286}"/>
</file>

<file path=docProps/app.xml><?xml version="1.0" encoding="utf-8"?>
<Properties xmlns="http://schemas.openxmlformats.org/officeDocument/2006/extended-properties" xmlns:vt="http://schemas.openxmlformats.org/officeDocument/2006/docPropsVTypes">
  <Template>55D5FBEA.dotm</Template>
  <TotalTime>2850</TotalTime>
  <Pages>32</Pages>
  <Words>3651</Words>
  <Characters>20848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Lavers</dc:creator>
  <cp:lastModifiedBy>Preshant Joseph</cp:lastModifiedBy>
  <cp:revision>29</cp:revision>
  <dcterms:created xsi:type="dcterms:W3CDTF">2014-08-25T22:22:00Z</dcterms:created>
  <dcterms:modified xsi:type="dcterms:W3CDTF">2014-12-15T02:59:00Z</dcterms:modified>
</cp:coreProperties>
</file>