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E20" w:rsidRDefault="003F7E20" w:rsidP="007F3983">
      <w:pPr>
        <w:pStyle w:val="Department"/>
        <w:spacing w:before="1320"/>
      </w:pPr>
      <w:bookmarkStart w:id="0" w:name="_Toc190766151"/>
      <w:r>
        <w:t>Workplace Gender Equality Agency</w:t>
      </w:r>
    </w:p>
    <w:p w:rsidR="003F7E20" w:rsidRDefault="003F7E20" w:rsidP="00B676B8">
      <w:pPr>
        <w:pStyle w:val="DepartmentSubtitle"/>
        <w:spacing w:before="2080"/>
      </w:pPr>
      <w:r>
        <w:t>Entity resources and planned performance</w:t>
      </w:r>
    </w:p>
    <w:p w:rsidR="003F7E20" w:rsidRDefault="003F7E20" w:rsidP="00257FF4"/>
    <w:p w:rsidR="003B51BB" w:rsidRDefault="003B51BB" w:rsidP="00452907">
      <w:pPr>
        <w:pStyle w:val="ContentsHeading"/>
        <w:sectPr w:rsidR="003B51BB" w:rsidSect="00F64B73">
          <w:footerReference w:type="even" r:id="rId14"/>
          <w:footerReference w:type="default" r:id="rId15"/>
          <w:type w:val="oddPage"/>
          <w:pgSz w:w="9979" w:h="14175" w:code="259"/>
          <w:pgMar w:top="1418" w:right="1418" w:bottom="1418" w:left="1418" w:header="851" w:footer="1134" w:gutter="0"/>
          <w:cols w:space="708"/>
          <w:titlePg/>
          <w:docGrid w:linePitch="360"/>
        </w:sectPr>
      </w:pPr>
    </w:p>
    <w:p w:rsidR="003F7E20" w:rsidRPr="00452907" w:rsidRDefault="003F7E20" w:rsidP="00452907">
      <w:pPr>
        <w:pStyle w:val="ContentsHeading"/>
      </w:pPr>
      <w:r w:rsidRPr="00452907">
        <w:lastRenderedPageBreak/>
        <w:t>Workplace Gender Equality Agency</w:t>
      </w:r>
    </w:p>
    <w:p w:rsidR="003F7E20" w:rsidRDefault="003F7E20">
      <w:pPr>
        <w:pStyle w:val="TOC3"/>
        <w:rPr>
          <w:rFonts w:ascii="Times New Roman" w:hAnsi="Times New Roman"/>
          <w:b w:val="0"/>
          <w:noProof/>
          <w:sz w:val="24"/>
          <w:szCs w:val="24"/>
        </w:rPr>
      </w:pPr>
      <w:r>
        <w:rPr>
          <w:noProof/>
        </w:rPr>
        <w:t xml:space="preserve">Section 1: </w:t>
      </w:r>
      <w:r w:rsidR="00EF1185">
        <w:rPr>
          <w:noProof/>
        </w:rPr>
        <w:t>Entity overview and resources</w:t>
      </w:r>
      <w:r w:rsidR="00EF1185">
        <w:rPr>
          <w:noProof/>
        </w:rPr>
        <w:tab/>
        <w:t>237</w:t>
      </w:r>
    </w:p>
    <w:p w:rsidR="003F7E20" w:rsidRDefault="003F7E20">
      <w:pPr>
        <w:pStyle w:val="TOC4"/>
        <w:tabs>
          <w:tab w:val="left" w:pos="800"/>
        </w:tabs>
        <w:rPr>
          <w:rFonts w:ascii="Times New Roman" w:hAnsi="Times New Roman"/>
          <w:noProof/>
          <w:sz w:val="24"/>
          <w:szCs w:val="24"/>
        </w:rPr>
      </w:pPr>
      <w:r>
        <w:rPr>
          <w:noProof/>
        </w:rPr>
        <w:t>1.1</w:t>
      </w:r>
      <w:r>
        <w:rPr>
          <w:rFonts w:ascii="Times New Roman" w:hAnsi="Times New Roman"/>
          <w:noProof/>
          <w:sz w:val="24"/>
          <w:szCs w:val="24"/>
        </w:rPr>
        <w:tab/>
      </w:r>
      <w:r w:rsidR="00EF1185">
        <w:rPr>
          <w:noProof/>
        </w:rPr>
        <w:t>Strategic direction statement</w:t>
      </w:r>
      <w:r w:rsidR="00EF1185">
        <w:rPr>
          <w:noProof/>
        </w:rPr>
        <w:tab/>
        <w:t>237</w:t>
      </w:r>
    </w:p>
    <w:p w:rsidR="003F7E20" w:rsidRDefault="003F7E20">
      <w:pPr>
        <w:pStyle w:val="TOC4"/>
        <w:tabs>
          <w:tab w:val="left" w:pos="800"/>
        </w:tabs>
        <w:rPr>
          <w:rFonts w:ascii="Times New Roman" w:hAnsi="Times New Roman"/>
          <w:noProof/>
          <w:sz w:val="24"/>
          <w:szCs w:val="24"/>
        </w:rPr>
      </w:pPr>
      <w:r>
        <w:rPr>
          <w:noProof/>
        </w:rPr>
        <w:t>1.2</w:t>
      </w:r>
      <w:r>
        <w:rPr>
          <w:rFonts w:ascii="Times New Roman" w:hAnsi="Times New Roman"/>
          <w:noProof/>
          <w:sz w:val="24"/>
          <w:szCs w:val="24"/>
        </w:rPr>
        <w:tab/>
      </w:r>
      <w:r w:rsidR="00EF1185">
        <w:rPr>
          <w:noProof/>
        </w:rPr>
        <w:t>Entity resource statement</w:t>
      </w:r>
      <w:r w:rsidR="00EF1185">
        <w:rPr>
          <w:noProof/>
        </w:rPr>
        <w:tab/>
        <w:t>238</w:t>
      </w:r>
    </w:p>
    <w:p w:rsidR="003F7E20" w:rsidRDefault="003F7E20">
      <w:pPr>
        <w:pStyle w:val="TOC4"/>
        <w:tabs>
          <w:tab w:val="left" w:pos="800"/>
        </w:tabs>
        <w:rPr>
          <w:noProof/>
        </w:rPr>
      </w:pPr>
      <w:r>
        <w:rPr>
          <w:noProof/>
        </w:rPr>
        <w:t>1.3</w:t>
      </w:r>
      <w:r>
        <w:rPr>
          <w:rFonts w:ascii="Times New Roman" w:hAnsi="Times New Roman"/>
          <w:noProof/>
          <w:sz w:val="24"/>
          <w:szCs w:val="24"/>
        </w:rPr>
        <w:tab/>
      </w:r>
      <w:r w:rsidR="00EF1185">
        <w:rPr>
          <w:noProof/>
        </w:rPr>
        <w:t>Budget measures</w:t>
      </w:r>
      <w:r w:rsidR="00EF1185">
        <w:rPr>
          <w:noProof/>
        </w:rPr>
        <w:tab/>
        <w:t>240</w:t>
      </w:r>
    </w:p>
    <w:p w:rsidR="003F7E20" w:rsidRDefault="003F7E20">
      <w:pPr>
        <w:pStyle w:val="TOC3"/>
        <w:rPr>
          <w:rFonts w:ascii="Times New Roman" w:hAnsi="Times New Roman"/>
          <w:b w:val="0"/>
          <w:noProof/>
          <w:sz w:val="24"/>
          <w:szCs w:val="24"/>
        </w:rPr>
      </w:pPr>
      <w:r>
        <w:rPr>
          <w:noProof/>
        </w:rPr>
        <w:t>Section 2: Outcomes</w:t>
      </w:r>
      <w:r w:rsidR="00EF1185">
        <w:rPr>
          <w:noProof/>
        </w:rPr>
        <w:t xml:space="preserve"> and planned performance</w:t>
      </w:r>
      <w:r w:rsidR="00EF1185">
        <w:rPr>
          <w:noProof/>
        </w:rPr>
        <w:tab/>
        <w:t>241</w:t>
      </w:r>
    </w:p>
    <w:p w:rsidR="003F7E20" w:rsidRDefault="003F7E20">
      <w:pPr>
        <w:pStyle w:val="TOC4"/>
        <w:tabs>
          <w:tab w:val="left" w:pos="800"/>
        </w:tabs>
        <w:rPr>
          <w:rFonts w:ascii="Times New Roman" w:hAnsi="Times New Roman"/>
          <w:noProof/>
          <w:sz w:val="24"/>
          <w:szCs w:val="24"/>
        </w:rPr>
      </w:pPr>
      <w:r>
        <w:rPr>
          <w:noProof/>
        </w:rPr>
        <w:t>2.1</w:t>
      </w:r>
      <w:r>
        <w:rPr>
          <w:rFonts w:ascii="Times New Roman" w:hAnsi="Times New Roman"/>
          <w:noProof/>
          <w:sz w:val="24"/>
          <w:szCs w:val="24"/>
        </w:rPr>
        <w:tab/>
      </w:r>
      <w:r>
        <w:rPr>
          <w:noProof/>
        </w:rPr>
        <w:t>Outcome</w:t>
      </w:r>
      <w:r w:rsidR="00EF1185">
        <w:rPr>
          <w:noProof/>
        </w:rPr>
        <w:t>s and performance information</w:t>
      </w:r>
      <w:r w:rsidR="00EF1185">
        <w:rPr>
          <w:noProof/>
        </w:rPr>
        <w:tab/>
        <w:t>241</w:t>
      </w:r>
    </w:p>
    <w:p w:rsidR="003F7E20" w:rsidRDefault="003F7E20">
      <w:pPr>
        <w:pStyle w:val="TOC3"/>
        <w:rPr>
          <w:rFonts w:ascii="Times New Roman" w:hAnsi="Times New Roman"/>
          <w:b w:val="0"/>
          <w:noProof/>
          <w:sz w:val="24"/>
          <w:szCs w:val="24"/>
        </w:rPr>
      </w:pPr>
      <w:r>
        <w:rPr>
          <w:noProof/>
        </w:rPr>
        <w:t xml:space="preserve">Section 3: Explanatory tables and </w:t>
      </w:r>
      <w:r w:rsidR="00EF1185">
        <w:rPr>
          <w:noProof/>
        </w:rPr>
        <w:t>budgeted financial statements</w:t>
      </w:r>
      <w:r w:rsidR="00EF1185">
        <w:rPr>
          <w:noProof/>
        </w:rPr>
        <w:tab/>
        <w:t>248</w:t>
      </w:r>
    </w:p>
    <w:p w:rsidR="003F7E20" w:rsidRDefault="003F7E20">
      <w:pPr>
        <w:pStyle w:val="TOC4"/>
        <w:tabs>
          <w:tab w:val="left" w:pos="800"/>
        </w:tabs>
        <w:rPr>
          <w:noProof/>
        </w:rPr>
      </w:pPr>
      <w:r>
        <w:rPr>
          <w:noProof/>
        </w:rPr>
        <w:t>3.1</w:t>
      </w:r>
      <w:r>
        <w:rPr>
          <w:rFonts w:ascii="Times New Roman" w:hAnsi="Times New Roman"/>
          <w:noProof/>
          <w:sz w:val="24"/>
          <w:szCs w:val="24"/>
        </w:rPr>
        <w:tab/>
      </w:r>
      <w:r w:rsidR="00EF1185">
        <w:rPr>
          <w:noProof/>
        </w:rPr>
        <w:t>Explanatory tables</w:t>
      </w:r>
      <w:r w:rsidR="00EF1185">
        <w:rPr>
          <w:noProof/>
        </w:rPr>
        <w:tab/>
        <w:t>248</w:t>
      </w:r>
    </w:p>
    <w:p w:rsidR="003F7E20" w:rsidRDefault="003F7E20" w:rsidP="00557A85">
      <w:pPr>
        <w:pStyle w:val="TOC4"/>
        <w:tabs>
          <w:tab w:val="left" w:pos="800"/>
        </w:tabs>
        <w:rPr>
          <w:noProof/>
        </w:rPr>
      </w:pPr>
      <w:r>
        <w:rPr>
          <w:noProof/>
        </w:rPr>
        <w:t>3.2</w:t>
      </w:r>
      <w:r>
        <w:rPr>
          <w:rFonts w:ascii="Times New Roman" w:hAnsi="Times New Roman"/>
          <w:noProof/>
          <w:sz w:val="24"/>
          <w:szCs w:val="24"/>
        </w:rPr>
        <w:tab/>
      </w:r>
      <w:r w:rsidR="00EF1185">
        <w:rPr>
          <w:noProof/>
        </w:rPr>
        <w:t>Budgeted financial statements</w:t>
      </w:r>
      <w:r w:rsidR="00EF1185">
        <w:rPr>
          <w:noProof/>
        </w:rPr>
        <w:tab/>
        <w:t>249</w:t>
      </w:r>
    </w:p>
    <w:p w:rsidR="00EC7F52" w:rsidRDefault="00EC7F52" w:rsidP="00EC7F52">
      <w:pPr>
        <w:pStyle w:val="Heading1"/>
        <w:jc w:val="left"/>
      </w:pPr>
    </w:p>
    <w:p w:rsidR="00EC7F52" w:rsidRPr="00EC7F52" w:rsidRDefault="00EC7F52" w:rsidP="00EC7F52">
      <w:pPr>
        <w:sectPr w:rsidR="00EC7F52" w:rsidRPr="00EC7F52" w:rsidSect="002F43A8">
          <w:headerReference w:type="first" r:id="rId16"/>
          <w:footerReference w:type="first" r:id="rId17"/>
          <w:type w:val="oddPage"/>
          <w:pgSz w:w="9979" w:h="14175" w:code="259"/>
          <w:pgMar w:top="1418" w:right="1418" w:bottom="1418" w:left="1418" w:header="851" w:footer="1134" w:gutter="0"/>
          <w:pgNumType w:start="235"/>
          <w:cols w:space="708"/>
          <w:titlePg/>
          <w:docGrid w:linePitch="360"/>
        </w:sectPr>
      </w:pPr>
    </w:p>
    <w:p w:rsidR="003F7E20" w:rsidRPr="003B51BB" w:rsidRDefault="00735844" w:rsidP="003B51BB">
      <w:pPr>
        <w:pStyle w:val="Heading1"/>
      </w:pPr>
      <w:r w:rsidRPr="003B51BB">
        <w:lastRenderedPageBreak/>
        <w:t>W</w:t>
      </w:r>
      <w:r w:rsidR="003F7E20" w:rsidRPr="003B51BB">
        <w:t xml:space="preserve">orkplace </w:t>
      </w:r>
      <w:r w:rsidRPr="003B51BB">
        <w:t>G</w:t>
      </w:r>
      <w:r w:rsidR="003F7E20" w:rsidRPr="003B51BB">
        <w:t xml:space="preserve">ender </w:t>
      </w:r>
      <w:r w:rsidRPr="003B51BB">
        <w:t>E</w:t>
      </w:r>
      <w:r w:rsidR="003F7E20" w:rsidRPr="003B51BB">
        <w:t xml:space="preserve">quality </w:t>
      </w:r>
      <w:r w:rsidRPr="003B51BB">
        <w:t>A</w:t>
      </w:r>
      <w:r w:rsidR="003F7E20" w:rsidRPr="003B51BB">
        <w:t>gency</w:t>
      </w:r>
    </w:p>
    <w:p w:rsidR="003F7E20" w:rsidRDefault="00A20D02" w:rsidP="00257FF4">
      <w:pPr>
        <w:pStyle w:val="Heading2"/>
      </w:pPr>
      <w:r>
        <w:t>Section 1: Entity</w:t>
      </w:r>
      <w:r w:rsidR="003F7E20">
        <w:t xml:space="preserve"> overview and resources</w:t>
      </w:r>
    </w:p>
    <w:p w:rsidR="003F7E20" w:rsidRDefault="003F7E20" w:rsidP="00257FF4">
      <w:pPr>
        <w:pStyle w:val="Heading3"/>
      </w:pPr>
      <w:r>
        <w:t>1.1</w:t>
      </w:r>
      <w:r>
        <w:tab/>
        <w:t>Strategic direction statement</w:t>
      </w:r>
    </w:p>
    <w:p w:rsidR="003F7E20" w:rsidRPr="00264552" w:rsidRDefault="003F7E20" w:rsidP="00F87B5B">
      <w:pPr>
        <w:rPr>
          <w:i/>
        </w:rPr>
      </w:pPr>
      <w:r w:rsidRPr="00264552">
        <w:t>The Workplace Gender Equality Agency</w:t>
      </w:r>
      <w:r>
        <w:t xml:space="preserve"> (</w:t>
      </w:r>
      <w:r w:rsidR="00732561">
        <w:t>WGEA</w:t>
      </w:r>
      <w:r>
        <w:t>)</w:t>
      </w:r>
      <w:r w:rsidRPr="00264552">
        <w:t xml:space="preserve">, established under </w:t>
      </w:r>
      <w:r w:rsidRPr="00264552">
        <w:rPr>
          <w:i/>
        </w:rPr>
        <w:t xml:space="preserve">the Workplace Gender Equality Act 2012 </w:t>
      </w:r>
      <w:r w:rsidRPr="003F7E20">
        <w:t>(</w:t>
      </w:r>
      <w:r w:rsidR="009C7B91">
        <w:t xml:space="preserve">the </w:t>
      </w:r>
      <w:r w:rsidRPr="003F7E20">
        <w:t>Act)</w:t>
      </w:r>
      <w:r w:rsidRPr="00264552">
        <w:t xml:space="preserve">, is charged with promoting and improving gender equality in Australian workplaces. </w:t>
      </w:r>
      <w:proofErr w:type="spellStart"/>
      <w:r w:rsidR="00732561">
        <w:t>WGEA’s</w:t>
      </w:r>
      <w:proofErr w:type="spellEnd"/>
      <w:r w:rsidRPr="00264552">
        <w:t xml:space="preserve"> vision is for women and men to be equally represented, valued and rewarded.</w:t>
      </w:r>
    </w:p>
    <w:p w:rsidR="003F7E20" w:rsidRPr="00264552" w:rsidRDefault="003F7E20" w:rsidP="00F87B5B">
      <w:pPr>
        <w:rPr>
          <w:i/>
        </w:rPr>
      </w:pPr>
      <w:r w:rsidRPr="00F6696F">
        <w:t xml:space="preserve">Non-public sector employers with 100 or more employees (relevant employers) are required to report to </w:t>
      </w:r>
      <w:r w:rsidR="00732561">
        <w:t>WGEA</w:t>
      </w:r>
      <w:r w:rsidRPr="00F6696F">
        <w:t xml:space="preserve"> annually against standardised categories described as gender equality indicators (</w:t>
      </w:r>
      <w:proofErr w:type="spellStart"/>
      <w:r w:rsidRPr="00F6696F">
        <w:t>GEIs</w:t>
      </w:r>
      <w:proofErr w:type="spellEnd"/>
      <w:r w:rsidRPr="00F6696F">
        <w:t>).</w:t>
      </w:r>
    </w:p>
    <w:p w:rsidR="003F7E20" w:rsidRPr="00264552" w:rsidRDefault="003F7E20" w:rsidP="00F87B5B">
      <w:pPr>
        <w:rPr>
          <w:i/>
          <w:strike/>
        </w:rPr>
      </w:pPr>
      <w:r w:rsidRPr="00264552">
        <w:t xml:space="preserve">This reporting data </w:t>
      </w:r>
      <w:r>
        <w:t>underpins</w:t>
      </w:r>
      <w:r w:rsidRPr="00264552">
        <w:t xml:space="preserve"> initiatives to promot</w:t>
      </w:r>
      <w:r>
        <w:t>e</w:t>
      </w:r>
      <w:r w:rsidRPr="00264552">
        <w:t xml:space="preserve"> and improv</w:t>
      </w:r>
      <w:r>
        <w:t>e</w:t>
      </w:r>
      <w:r w:rsidRPr="00264552">
        <w:t xml:space="preserve"> workplace gender equality</w:t>
      </w:r>
      <w:r>
        <w:t xml:space="preserve"> through</w:t>
      </w:r>
      <w:r w:rsidRPr="00264552">
        <w:t>:</w:t>
      </w:r>
    </w:p>
    <w:p w:rsidR="003F7E20" w:rsidRPr="00F6696F" w:rsidRDefault="003F7E20" w:rsidP="003F7E20">
      <w:pPr>
        <w:pStyle w:val="Bullets"/>
        <w:rPr>
          <w:i/>
        </w:rPr>
      </w:pPr>
      <w:r w:rsidRPr="00F6696F">
        <w:t>the provision to each relevant employer of a confidential, customised benchmark report which will enable the employer to identify areas for improvement, compare their gender performance to their peers and track progress over time</w:t>
      </w:r>
    </w:p>
    <w:p w:rsidR="003F7E20" w:rsidRPr="00F6696F" w:rsidRDefault="003F7E20" w:rsidP="003F7E20">
      <w:pPr>
        <w:pStyle w:val="Bullets"/>
        <w:rPr>
          <w:i/>
        </w:rPr>
      </w:pPr>
      <w:r w:rsidRPr="00F6696F">
        <w:t>the publication of aggregated benchmark data on an interactive data centre on the Agency’s website</w:t>
      </w:r>
    </w:p>
    <w:p w:rsidR="003F7E20" w:rsidRPr="00F6696F" w:rsidRDefault="003F7E20" w:rsidP="003F7E20">
      <w:pPr>
        <w:pStyle w:val="Bullets"/>
      </w:pPr>
      <w:proofErr w:type="gramStart"/>
      <w:r w:rsidRPr="00F6696F">
        <w:t>the</w:t>
      </w:r>
      <w:proofErr w:type="gramEnd"/>
      <w:r w:rsidRPr="00F6696F">
        <w:t xml:space="preserve"> publication of a detailed report of the reporting data collected by the Agency from relevant employers including explanatory and interpretative material.</w:t>
      </w:r>
    </w:p>
    <w:p w:rsidR="003F7E20" w:rsidRPr="00264552" w:rsidRDefault="00732561" w:rsidP="00F87B5B">
      <w:pPr>
        <w:rPr>
          <w:i/>
        </w:rPr>
      </w:pPr>
      <w:r>
        <w:t>WGEA</w:t>
      </w:r>
      <w:r w:rsidR="003F7E20" w:rsidRPr="00264552">
        <w:t xml:space="preserve"> offers a citation which recognises leading workplace gender equality practice, the WGEA Employer of Choice for Gender Equality citation. </w:t>
      </w:r>
      <w:r w:rsidR="003F7E20" w:rsidRPr="004255BC">
        <w:t>This citation has been designed to align with the Act and reflect current thinking on what is leading practice in gender equality.</w:t>
      </w:r>
      <w:r w:rsidR="003F7E20" w:rsidRPr="00F6696F">
        <w:t xml:space="preserve"> The citation delivers significant advantage</w:t>
      </w:r>
      <w:r w:rsidR="003F7E20" w:rsidRPr="00264552">
        <w:t xml:space="preserve"> to successful applicants in enabling them to differentiate their employer brand and attract and retain top talent. The first successful applicants under the WGEA Employer of Choice for Gender Equality </w:t>
      </w:r>
      <w:r w:rsidR="003F7E20">
        <w:t>were named in 2014</w:t>
      </w:r>
      <w:r w:rsidR="003F7E20" w:rsidRPr="00264552">
        <w:t>.</w:t>
      </w:r>
    </w:p>
    <w:p w:rsidR="003F7E20" w:rsidRPr="00264552" w:rsidRDefault="00732561" w:rsidP="00F87B5B">
      <w:pPr>
        <w:rPr>
          <w:i/>
        </w:rPr>
      </w:pPr>
      <w:r>
        <w:t>WGEA</w:t>
      </w:r>
      <w:r w:rsidR="003F7E20" w:rsidRPr="00264552">
        <w:t xml:space="preserve"> will continue to deliver a comprehensive education program</w:t>
      </w:r>
      <w:r w:rsidR="009669E1">
        <w:t>me</w:t>
      </w:r>
      <w:r w:rsidR="003F7E20" w:rsidRPr="00264552">
        <w:t>, develop tools and resources, and drive change through innovative public awareness campaigns in key areas such as pay equity and flexible working.</w:t>
      </w:r>
    </w:p>
    <w:p w:rsidR="003F7E20" w:rsidRDefault="003F7E20" w:rsidP="00257FF4">
      <w:pPr>
        <w:pStyle w:val="Heading3"/>
      </w:pPr>
      <w:r>
        <w:br w:type="page"/>
      </w:r>
      <w:r>
        <w:lastRenderedPageBreak/>
        <w:t>1.2</w:t>
      </w:r>
      <w:r>
        <w:tab/>
      </w:r>
      <w:r w:rsidR="00A20D02">
        <w:t>Entity</w:t>
      </w:r>
      <w:r>
        <w:t xml:space="preserve"> resource statement</w:t>
      </w:r>
    </w:p>
    <w:p w:rsidR="003F7E20" w:rsidRDefault="003F7E20" w:rsidP="00257FF4">
      <w:r>
        <w:t>Table 1.1 shows the total resources from all sources. The table summarises how resources will be applied by outcome and by administered and departmental classification.</w:t>
      </w:r>
      <w:r w:rsidR="005A426B">
        <w:t xml:space="preserve"> </w:t>
      </w:r>
    </w:p>
    <w:p w:rsidR="003F7E20" w:rsidRDefault="003F7E20" w:rsidP="00BB3AB5">
      <w:pPr>
        <w:pStyle w:val="TableHeading"/>
      </w:pPr>
      <w:r w:rsidRPr="005C4BEE">
        <w:t xml:space="preserve">Table 1.1: </w:t>
      </w:r>
      <w:r>
        <w:t xml:space="preserve">WGEA </w:t>
      </w:r>
      <w:r w:rsidRPr="005C4BEE">
        <w:t>resource statement — Budget</w:t>
      </w:r>
      <w:r>
        <w:t xml:space="preserve"> e</w:t>
      </w:r>
      <w:r w:rsidRPr="005C4BEE">
        <w:t xml:space="preserve">stimates for </w:t>
      </w:r>
      <w:r>
        <w:t>2015–16</w:t>
      </w:r>
      <w:r w:rsidRPr="005C4BEE">
        <w:t xml:space="preserve"> as at Budget May </w:t>
      </w:r>
      <w:r>
        <w:t>2015</w:t>
      </w:r>
    </w:p>
    <w:p w:rsidR="00EC7F52" w:rsidRDefault="001669D2" w:rsidP="0051030F">
      <w:pPr>
        <w:pStyle w:val="TableGraphic"/>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350pt;height:181.55pt">
            <v:imagedata r:id="rId18" o:title=""/>
          </v:shape>
        </w:pict>
      </w:r>
    </w:p>
    <w:p w:rsidR="00734C7A" w:rsidRDefault="00734C7A" w:rsidP="0051030F">
      <w:pPr>
        <w:pStyle w:val="TableGraphic"/>
      </w:pPr>
      <w:r>
        <w:br w:type="page"/>
      </w:r>
    </w:p>
    <w:p w:rsidR="003F7E20" w:rsidRDefault="003F7E20" w:rsidP="0051030F">
      <w:pPr>
        <w:pStyle w:val="TableGraphic"/>
      </w:pPr>
    </w:p>
    <w:p w:rsidR="009C7B91" w:rsidRDefault="009C7B91" w:rsidP="009C7B91"/>
    <w:p w:rsidR="009C7B91" w:rsidRDefault="009C7B91" w:rsidP="009C7B91">
      <w:pPr>
        <w:pStyle w:val="TableHeading"/>
      </w:pPr>
      <w:r w:rsidRPr="005C4BEE">
        <w:t xml:space="preserve">Table 1.1: </w:t>
      </w:r>
      <w:r>
        <w:t xml:space="preserve">WGEA </w:t>
      </w:r>
      <w:r w:rsidRPr="005C4BEE">
        <w:t>resource statement — Budget</w:t>
      </w:r>
      <w:r>
        <w:t xml:space="preserve"> e</w:t>
      </w:r>
      <w:r w:rsidRPr="005C4BEE">
        <w:t xml:space="preserve">stimates for </w:t>
      </w:r>
      <w:r>
        <w:t>2015–16</w:t>
      </w:r>
      <w:r w:rsidRPr="005C4BEE">
        <w:t xml:space="preserve"> as at Budget May </w:t>
      </w:r>
      <w:r>
        <w:t>2015 (continued)</w:t>
      </w:r>
    </w:p>
    <w:p w:rsidR="00A24BB8" w:rsidRPr="00A24BB8" w:rsidRDefault="001669D2" w:rsidP="00474747">
      <w:pPr>
        <w:pStyle w:val="TableGraphic"/>
      </w:pPr>
      <w:r>
        <w:pict>
          <v:shape id="_x0000_i1143" type="#_x0000_t75" style="width:357.5pt;height:166.55pt">
            <v:imagedata r:id="rId19" o:title=""/>
          </v:shape>
        </w:pict>
      </w:r>
    </w:p>
    <w:p w:rsidR="00474747" w:rsidRPr="00474747" w:rsidRDefault="00474747" w:rsidP="00474747">
      <w:pPr>
        <w:pStyle w:val="FootnoteText"/>
      </w:pPr>
    </w:p>
    <w:p w:rsidR="0051030F" w:rsidRDefault="005257C4" w:rsidP="0051030F">
      <w:pPr>
        <w:pStyle w:val="FootnoteText"/>
      </w:pPr>
      <w:r w:rsidRPr="005257C4">
        <w:rPr>
          <w:vertAlign w:val="superscript"/>
        </w:rPr>
        <w:t>1</w:t>
      </w:r>
      <w:r w:rsidR="0051030F">
        <w:t xml:space="preserve"> Appropriation Bill (</w:t>
      </w:r>
      <w:proofErr w:type="spellStart"/>
      <w:r w:rsidR="0051030F">
        <w:t>No.1</w:t>
      </w:r>
      <w:proofErr w:type="spellEnd"/>
      <w:r w:rsidR="0051030F">
        <w:t>) 2015</w:t>
      </w:r>
      <w:r w:rsidR="00734C7A">
        <w:t>–</w:t>
      </w:r>
      <w:r w:rsidR="0051030F">
        <w:t>16.</w:t>
      </w:r>
    </w:p>
    <w:p w:rsidR="0051030F" w:rsidRDefault="005257C4" w:rsidP="0051030F">
      <w:pPr>
        <w:pStyle w:val="FootnoteText"/>
      </w:pPr>
      <w:r w:rsidRPr="005257C4">
        <w:rPr>
          <w:vertAlign w:val="superscript"/>
        </w:rPr>
        <w:t>2</w:t>
      </w:r>
      <w:r w:rsidR="0051030F">
        <w:t xml:space="preserve"> Estimated adjusted balance carried forward from previous year.</w:t>
      </w:r>
    </w:p>
    <w:p w:rsidR="00C03A93" w:rsidRPr="00C03A93" w:rsidRDefault="00C03A93" w:rsidP="00C03A93">
      <w:pPr>
        <w:pStyle w:val="FootnoteText"/>
      </w:pPr>
      <w:r w:rsidRPr="00C03A93">
        <w:rPr>
          <w:vertAlign w:val="superscript"/>
        </w:rPr>
        <w:t>3</w:t>
      </w:r>
      <w:r>
        <w:t xml:space="preserve"> Includes an amount of $0.197 </w:t>
      </w:r>
      <w:r w:rsidRPr="00C03A93">
        <w:t>m</w:t>
      </w:r>
      <w:r>
        <w:t>illion</w:t>
      </w:r>
      <w:r w:rsidRPr="00C03A93">
        <w:t xml:space="preserve"> in 2015–16 for the Departmental Capital Budget (refer to Table 3.2.5 for further details). For accounting purposes this amount has been designated as 'contributions by owners'.</w:t>
      </w:r>
    </w:p>
    <w:p w:rsidR="00C03A93" w:rsidRPr="00C03A93" w:rsidRDefault="00C03A93" w:rsidP="00C03A93">
      <w:pPr>
        <w:pStyle w:val="FootnoteText"/>
      </w:pPr>
      <w:proofErr w:type="gramStart"/>
      <w:r w:rsidRPr="00C03A93">
        <w:rPr>
          <w:vertAlign w:val="superscript"/>
        </w:rPr>
        <w:t>4</w:t>
      </w:r>
      <w:r>
        <w:t xml:space="preserve"> </w:t>
      </w:r>
      <w:r w:rsidRPr="00C03A93">
        <w:t xml:space="preserve">Estimated Retained revenue receipts under section 74 of the </w:t>
      </w:r>
      <w:proofErr w:type="spellStart"/>
      <w:r w:rsidRPr="00C03A93">
        <w:t>PGPA</w:t>
      </w:r>
      <w:proofErr w:type="spellEnd"/>
      <w:r w:rsidRPr="00C03A93">
        <w:t xml:space="preserve"> Act.</w:t>
      </w:r>
      <w:proofErr w:type="gramEnd"/>
    </w:p>
    <w:p w:rsidR="003F7E20" w:rsidRDefault="0051030F" w:rsidP="00DB2D39">
      <w:pPr>
        <w:pStyle w:val="FootnoteText"/>
      </w:pPr>
      <w:r>
        <w:t>Reader note: All figures are GST exclusive.</w:t>
      </w:r>
      <w:r w:rsidR="003F7E20">
        <w:br w:type="page"/>
      </w:r>
    </w:p>
    <w:p w:rsidR="003F7E20" w:rsidRDefault="003F7E20" w:rsidP="00C7638D">
      <w:pPr>
        <w:pStyle w:val="Heading3"/>
      </w:pPr>
      <w:r>
        <w:lastRenderedPageBreak/>
        <w:t>1.3</w:t>
      </w:r>
      <w:r>
        <w:tab/>
        <w:t>Budget measures</w:t>
      </w:r>
    </w:p>
    <w:p w:rsidR="003F7E20" w:rsidRDefault="003F7E20" w:rsidP="0008449F">
      <w:r w:rsidRPr="00DC32EC">
        <w:t xml:space="preserve">Budget measures </w:t>
      </w:r>
      <w:r>
        <w:t xml:space="preserve">in Part 1 </w:t>
      </w:r>
      <w:r w:rsidRPr="00DC32EC">
        <w:t>relating to</w:t>
      </w:r>
      <w:r>
        <w:t xml:space="preserve"> the Workplace Gender Equality Agency</w:t>
      </w:r>
      <w:r w:rsidRPr="00DC32EC">
        <w:t xml:space="preserve"> </w:t>
      </w:r>
      <w:proofErr w:type="gramStart"/>
      <w:r w:rsidRPr="00DC32EC">
        <w:t>a</w:t>
      </w:r>
      <w:r>
        <w:t>re</w:t>
      </w:r>
      <w:proofErr w:type="gramEnd"/>
      <w:r>
        <w:t xml:space="preserve"> detailed in Budget Paper No. </w:t>
      </w:r>
      <w:r w:rsidRPr="00DC32EC">
        <w:t>2</w:t>
      </w:r>
      <w:r>
        <w:t xml:space="preserve"> and are summarised below. </w:t>
      </w:r>
    </w:p>
    <w:p w:rsidR="003F7E20" w:rsidRPr="00BD210E" w:rsidRDefault="003F7E20" w:rsidP="002B779E">
      <w:pPr>
        <w:pStyle w:val="TableHeading"/>
        <w:rPr>
          <w:sz w:val="32"/>
        </w:rPr>
      </w:pPr>
      <w:r w:rsidRPr="00BD210E">
        <w:t xml:space="preserve">Table 1.2: </w:t>
      </w:r>
      <w:r>
        <w:t>Agency 2015–16</w:t>
      </w:r>
      <w:r w:rsidRPr="00BD210E">
        <w:t xml:space="preserve"> Budget measures</w:t>
      </w:r>
    </w:p>
    <w:p w:rsidR="003F7E20" w:rsidRPr="005C4BEE" w:rsidRDefault="003F7E20" w:rsidP="003F7E20">
      <w:pPr>
        <w:pStyle w:val="TableHeading"/>
        <w:rPr>
          <w:sz w:val="16"/>
        </w:rPr>
      </w:pPr>
      <w:r w:rsidRPr="005C4BEE">
        <w:t xml:space="preserve">Part 2: </w:t>
      </w:r>
      <w:proofErr w:type="spellStart"/>
      <w:r w:rsidRPr="005C4BEE">
        <w:t>MYEFO</w:t>
      </w:r>
      <w:proofErr w:type="spellEnd"/>
      <w:r w:rsidRPr="005C4BEE">
        <w:t xml:space="preserve"> measures not previously reported in a portfolio statement</w:t>
      </w:r>
    </w:p>
    <w:p w:rsidR="003F7E20" w:rsidRDefault="001669D2" w:rsidP="0078228A">
      <w:pPr>
        <w:pStyle w:val="TableGraphic"/>
      </w:pPr>
      <w:r>
        <w:pict>
          <v:shape id="_x0000_i1144" type="#_x0000_t75" style="width:361.25pt;height:120.2pt">
            <v:imagedata r:id="rId20" o:title=""/>
          </v:shape>
        </w:pict>
      </w:r>
    </w:p>
    <w:p w:rsidR="0078228A" w:rsidRPr="0078228A" w:rsidRDefault="0078228A" w:rsidP="0078228A">
      <w:pPr>
        <w:pStyle w:val="FootnoteText"/>
      </w:pPr>
    </w:p>
    <w:p w:rsidR="003F7E20" w:rsidRPr="00325C5E" w:rsidRDefault="003F7E20" w:rsidP="003F7E20">
      <w:pPr>
        <w:pStyle w:val="FootnoteText"/>
        <w:rPr>
          <w:rFonts w:cs="Arial"/>
          <w:b/>
        </w:rPr>
      </w:pPr>
      <w:proofErr w:type="gramStart"/>
      <w:r w:rsidRPr="006C5EE1">
        <w:t xml:space="preserve">Prepared on a Government </w:t>
      </w:r>
      <w:r>
        <w:t>Finance</w:t>
      </w:r>
      <w:r w:rsidRPr="006C5EE1">
        <w:t xml:space="preserve"> Statistics (fiscal) basis</w:t>
      </w:r>
      <w:r>
        <w:t>.</w:t>
      </w:r>
      <w:proofErr w:type="gramEnd"/>
    </w:p>
    <w:p w:rsidR="003F7E20" w:rsidRDefault="003F7E20" w:rsidP="00123218">
      <w:pPr>
        <w:pStyle w:val="Heading2"/>
      </w:pPr>
      <w:r>
        <w:br w:type="page"/>
      </w:r>
      <w:r>
        <w:lastRenderedPageBreak/>
        <w:t>Section 2: Outcomes and planned performance</w:t>
      </w:r>
    </w:p>
    <w:p w:rsidR="003F7E20" w:rsidRDefault="003F7E20" w:rsidP="00BB3AB5">
      <w:pPr>
        <w:pStyle w:val="Heading3"/>
      </w:pPr>
      <w:r>
        <w:t>2.1</w:t>
      </w:r>
      <w:r>
        <w:tab/>
        <w:t>Outcomes and performance information</w:t>
      </w:r>
    </w:p>
    <w:p w:rsidR="003F7E20" w:rsidRDefault="003F7E20" w:rsidP="00BE7D58">
      <w:r>
        <w:t xml:space="preserve">Government outcomes are the intended results, impacts or consequences of actions by the </w:t>
      </w:r>
      <w:r w:rsidR="00825E25">
        <w:t>g</w:t>
      </w:r>
      <w:r>
        <w:t xml:space="preserve">overnment on the Australian community. </w:t>
      </w:r>
      <w:r w:rsidRPr="00E95DB8">
        <w:t xml:space="preserve">Commonwealth </w:t>
      </w:r>
      <w:r>
        <w:t>programmes</w:t>
      </w:r>
      <w:r w:rsidRPr="00E95DB8">
        <w:t xml:space="preserve"> are the primary vehicle by which </w:t>
      </w:r>
      <w:r>
        <w:t>g</w:t>
      </w:r>
      <w:r w:rsidRPr="00E95DB8">
        <w:t xml:space="preserve">overnment </w:t>
      </w:r>
      <w:r>
        <w:t xml:space="preserve">entities </w:t>
      </w:r>
      <w:r w:rsidRPr="00E95DB8">
        <w:t xml:space="preserve">achieve the intended results of their outcome statements. </w:t>
      </w:r>
      <w:r>
        <w:t xml:space="preserve">Entities </w:t>
      </w:r>
      <w:r w:rsidRPr="00E95DB8">
        <w:t xml:space="preserve">are required to identify the </w:t>
      </w:r>
      <w:r>
        <w:t>programmes which contribute to government outcomes over the Budget and forward years.</w:t>
      </w:r>
    </w:p>
    <w:p w:rsidR="003F7E20" w:rsidRDefault="003F7E20" w:rsidP="00BE7D58">
      <w:r>
        <w:t>Each outcome is described below together with its related programmes, specifying the performance indicators and targets used to assess and monitor the performance of the Workplace Gender Equality Agency</w:t>
      </w:r>
      <w:r>
        <w:rPr>
          <w:color w:val="FF0000"/>
        </w:rPr>
        <w:t xml:space="preserve"> </w:t>
      </w:r>
      <w:r>
        <w:t>in achieving government outcomes.</w:t>
      </w:r>
    </w:p>
    <w:p w:rsidR="00A24BB8" w:rsidRDefault="00A24BB8" w:rsidP="00A24BB8">
      <w:pPr>
        <w:pStyle w:val="ProgramHeading"/>
      </w:pPr>
      <w:r w:rsidRPr="003F7E20">
        <w:t>Outcome 1: Promote and improve gender equality in Australian workplaces including through the provision of advice and assistance to employers and the assessment and measurement of workplace gender data.</w:t>
      </w:r>
    </w:p>
    <w:p w:rsidR="003F7E20" w:rsidRDefault="003F7E20" w:rsidP="00FD5958">
      <w:pPr>
        <w:pStyle w:val="Heading5"/>
      </w:pPr>
      <w:r>
        <w:t>Outcome expense statement</w:t>
      </w:r>
    </w:p>
    <w:p w:rsidR="003F7E20" w:rsidRDefault="003F7E20" w:rsidP="00BE7D58">
      <w:r>
        <w:t>Table 2.1 provides an over</w:t>
      </w:r>
      <w:r w:rsidR="009C7B91">
        <w:t>view of the total expenses for O</w:t>
      </w:r>
      <w:r>
        <w:t>utcome 1 by programme.</w:t>
      </w:r>
      <w:r w:rsidR="003F0F41">
        <w:t xml:space="preserve"> </w:t>
      </w:r>
    </w:p>
    <w:p w:rsidR="00FE4BF0" w:rsidRDefault="00FE4BF0" w:rsidP="00BE7D58">
      <w:pPr>
        <w:pStyle w:val="TableHeading"/>
      </w:pPr>
      <w:r>
        <w:br w:type="page"/>
      </w:r>
    </w:p>
    <w:p w:rsidR="003F7E20" w:rsidRPr="005C4BEE" w:rsidRDefault="003F7E20" w:rsidP="00BE7D58">
      <w:pPr>
        <w:pStyle w:val="TableHeading"/>
      </w:pPr>
      <w:r w:rsidRPr="005C4BEE">
        <w:lastRenderedPageBreak/>
        <w:t>Table 2.1: Budgeted expenses for Outcome 1</w:t>
      </w:r>
    </w:p>
    <w:p w:rsidR="00A24BB8" w:rsidRPr="00A24BB8" w:rsidRDefault="001669D2" w:rsidP="00FE4BF0">
      <w:pPr>
        <w:pStyle w:val="FootnoteText"/>
      </w:pPr>
      <w:r>
        <w:pict>
          <v:shape id="_x0000_i1145" type="#_x0000_t75" style="width:357.5pt;height:179.05pt;mso-position-vertical:absolute">
            <v:imagedata r:id="rId21" o:title=""/>
          </v:shape>
        </w:pict>
      </w:r>
    </w:p>
    <w:p w:rsidR="00DB2D39" w:rsidRDefault="005257C4" w:rsidP="00DB2D39">
      <w:pPr>
        <w:pStyle w:val="FootnoteText"/>
      </w:pPr>
      <w:r w:rsidRPr="005257C4">
        <w:rPr>
          <w:vertAlign w:val="superscript"/>
        </w:rPr>
        <w:t>1</w:t>
      </w:r>
      <w:r w:rsidR="00DB2D39">
        <w:t xml:space="preserve"> Departmental appropriation combines 'Ordinary annual services (Appropriation Bill No. 1)' and 'Revenue from independent sources (s 74)'.</w:t>
      </w:r>
    </w:p>
    <w:p w:rsidR="00DB2D39" w:rsidRDefault="005257C4" w:rsidP="00DB2D39">
      <w:pPr>
        <w:pStyle w:val="FootnoteText"/>
      </w:pPr>
      <w:r w:rsidRPr="005257C4">
        <w:rPr>
          <w:vertAlign w:val="superscript"/>
        </w:rPr>
        <w:t>2</w:t>
      </w:r>
      <w:r w:rsidR="00DB2D39">
        <w:t xml:space="preserve"> Expenses not requiring appropriation in the Budget year are made up of depreciation expenses, amortisation expenses, and audit fees.</w:t>
      </w:r>
    </w:p>
    <w:p w:rsidR="003F7E20" w:rsidRDefault="00DB2D39" w:rsidP="00FE4BF0">
      <w:pPr>
        <w:pStyle w:val="Footnote"/>
      </w:pPr>
      <w:r>
        <w:t>Note: Departmental appropriation splits and totals are indicative estimates and may change in the course of the budget year as government priorities change.</w:t>
      </w:r>
      <w:r w:rsidR="003F7E20">
        <w:br w:type="page"/>
      </w:r>
    </w:p>
    <w:p w:rsidR="003F7E20" w:rsidRDefault="003F7E20" w:rsidP="00D816B5">
      <w:pPr>
        <w:pStyle w:val="Heading4"/>
        <w:rPr>
          <w:rFonts w:ascii="Book Antiqua" w:hAnsi="Book Antiqua"/>
          <w:i/>
          <w:color w:val="FF0000"/>
        </w:rPr>
      </w:pPr>
      <w:r>
        <w:lastRenderedPageBreak/>
        <w:t xml:space="preserve">Contributions to Outcome 1 </w:t>
      </w:r>
    </w:p>
    <w:p w:rsidR="00FE4BF0" w:rsidRDefault="00FE4BF0" w:rsidP="00FE4BF0">
      <w:pPr>
        <w:pStyle w:val="ProgramHeading"/>
      </w:pPr>
      <w:r>
        <w:t>Programme 1.1: Workplace Gender Equality</w:t>
      </w:r>
    </w:p>
    <w:p w:rsidR="003F7E20" w:rsidRDefault="003F7E20" w:rsidP="003F7E20">
      <w:pPr>
        <w:pStyle w:val="TableColumnHeadingLeft"/>
      </w:pPr>
      <w:r>
        <w:t>Programme objective</w:t>
      </w:r>
    </w:p>
    <w:p w:rsidR="003F7E20" w:rsidRPr="00D8110E" w:rsidRDefault="003F7E20" w:rsidP="003F7E20">
      <w:pPr>
        <w:rPr>
          <w:i/>
        </w:rPr>
      </w:pPr>
      <w:r w:rsidRPr="00D8110E">
        <w:t>The objective of this program</w:t>
      </w:r>
      <w:r w:rsidR="009669E1">
        <w:t>me</w:t>
      </w:r>
      <w:r w:rsidRPr="00D8110E">
        <w:t xml:space="preserve"> is to improve gender equality in Australian workplaces. Gender equality refers to Australian women and men being offered the same opportunities in the workplace, including equal remuneration and the ability to balance paid work with caring and family responsibilities.</w:t>
      </w:r>
    </w:p>
    <w:p w:rsidR="003F7E20" w:rsidRPr="00D8110E" w:rsidRDefault="003F7E20" w:rsidP="003F7E20">
      <w:pPr>
        <w:rPr>
          <w:i/>
        </w:rPr>
      </w:pPr>
      <w:r w:rsidRPr="00D8110E">
        <w:t>The program</w:t>
      </w:r>
      <w:r w:rsidR="00CA35EE">
        <w:t>me</w:t>
      </w:r>
      <w:r w:rsidRPr="00D8110E">
        <w:t xml:space="preserve"> will focus on promoting and improving gender equality and outcomes for both women and men in the workplace through activities which aim to:</w:t>
      </w:r>
    </w:p>
    <w:p w:rsidR="003F7E20" w:rsidRPr="00D8110E" w:rsidRDefault="003F7E20" w:rsidP="003F7E20">
      <w:pPr>
        <w:pStyle w:val="Bullets"/>
      </w:pPr>
      <w:r w:rsidRPr="00D8110E">
        <w:t>promote amongst employers the elimination of discrimination on the basis of gender in relation to employment matters</w:t>
      </w:r>
      <w:r w:rsidRPr="00D8110E" w:rsidDel="00FA25C3">
        <w:t xml:space="preserve"> </w:t>
      </w:r>
      <w:r w:rsidRPr="00D8110E">
        <w:t>foster</w:t>
      </w:r>
      <w:r w:rsidR="00E56782">
        <w:t>,</w:t>
      </w:r>
      <w:r w:rsidRPr="00D8110E">
        <w:t xml:space="preserve"> workplace consultation between employers and employees on issues concerning gender equality in employment and in the workplace</w:t>
      </w:r>
    </w:p>
    <w:p w:rsidR="009D373E" w:rsidRDefault="003F7E20" w:rsidP="009D373E">
      <w:pPr>
        <w:pStyle w:val="Bullets"/>
      </w:pPr>
      <w:r w:rsidRPr="00D8110E">
        <w:t>improve the productivity and competiveness of Australian business through the advancement of gender equality in employment and in the workplace</w:t>
      </w:r>
      <w:r w:rsidR="009D373E" w:rsidRPr="009D373E">
        <w:t xml:space="preserve"> </w:t>
      </w:r>
    </w:p>
    <w:p w:rsidR="003F7E20" w:rsidRPr="00E56782" w:rsidRDefault="009D373E" w:rsidP="00E56782">
      <w:pPr>
        <w:pStyle w:val="Bullets"/>
      </w:pPr>
      <w:proofErr w:type="gramStart"/>
      <w:r w:rsidRPr="00E56782">
        <w:t>remove</w:t>
      </w:r>
      <w:proofErr w:type="gramEnd"/>
      <w:r w:rsidRPr="00E56782">
        <w:t xml:space="preserve"> barriers to the full and equal participation of women in the workforce.</w:t>
      </w:r>
    </w:p>
    <w:p w:rsidR="003F7E20" w:rsidRPr="004255BC" w:rsidRDefault="003F7E20" w:rsidP="003F7E20">
      <w:pPr>
        <w:rPr>
          <w:i/>
        </w:rPr>
      </w:pPr>
      <w:r w:rsidRPr="004255BC">
        <w:t>Key activities include:</w:t>
      </w:r>
    </w:p>
    <w:p w:rsidR="003F7E20" w:rsidRPr="00D8110E" w:rsidRDefault="003F7E20" w:rsidP="003F7E20">
      <w:pPr>
        <w:pStyle w:val="Bullets"/>
        <w:rPr>
          <w:i/>
        </w:rPr>
      </w:pPr>
      <w:r w:rsidRPr="00D8110E">
        <w:t>advising and assisting employers to promote and improve gender equality in the workplace including providing advice and assistance on the collection and analysis of workplace data to underpin measures to improve gender equality outcomes</w:t>
      </w:r>
    </w:p>
    <w:p w:rsidR="003F7E20" w:rsidRPr="00D8110E" w:rsidRDefault="003F7E20" w:rsidP="003F7E20">
      <w:pPr>
        <w:pStyle w:val="Bullets"/>
        <w:rPr>
          <w:i/>
        </w:rPr>
      </w:pPr>
      <w:r w:rsidRPr="00D8110E">
        <w:t>undertaking research, educational and other program</w:t>
      </w:r>
      <w:r w:rsidR="009669E1">
        <w:t>me</w:t>
      </w:r>
      <w:r w:rsidRPr="00D8110E">
        <w:t>s designed to promote and improve gender equality in the workplace</w:t>
      </w:r>
    </w:p>
    <w:p w:rsidR="003F7E20" w:rsidRPr="00D8110E" w:rsidRDefault="003F7E20" w:rsidP="003F7E20">
      <w:pPr>
        <w:pStyle w:val="Bullets"/>
        <w:rPr>
          <w:i/>
        </w:rPr>
      </w:pPr>
      <w:r w:rsidRPr="00D8110E">
        <w:t>promoting and contributing to understanding and acceptance, and public discussion, of gender equality in the workplace</w:t>
      </w:r>
      <w:r w:rsidR="005257C4">
        <w:t xml:space="preserve"> </w:t>
      </w:r>
    </w:p>
    <w:p w:rsidR="003F7E20" w:rsidRPr="00D8110E" w:rsidRDefault="003F7E20" w:rsidP="003F7E20">
      <w:pPr>
        <w:pStyle w:val="Bullets"/>
      </w:pPr>
      <w:proofErr w:type="gramStart"/>
      <w:r w:rsidRPr="00D8110E">
        <w:t>reviewing</w:t>
      </w:r>
      <w:proofErr w:type="gramEnd"/>
      <w:r w:rsidRPr="00D8110E">
        <w:t xml:space="preserve"> compliance with the Act by relevant employers.</w:t>
      </w:r>
    </w:p>
    <w:p w:rsidR="003F7E20" w:rsidRDefault="00CA35EE" w:rsidP="00CA35EE">
      <w:pPr>
        <w:pStyle w:val="TableHeading"/>
      </w:pPr>
      <w:r>
        <w:t xml:space="preserve">Table </w:t>
      </w:r>
      <w:r w:rsidR="00FE4BF0">
        <w:t>2.1.1</w:t>
      </w:r>
      <w:r>
        <w:t xml:space="preserve"> Programme expenses</w:t>
      </w:r>
    </w:p>
    <w:p w:rsidR="003F7E20" w:rsidRPr="003C664E" w:rsidRDefault="001669D2" w:rsidP="003C664E">
      <w:pPr>
        <w:pStyle w:val="TableGraphic"/>
      </w:pPr>
      <w:r>
        <w:pict>
          <v:shape id="_x0000_i1146" type="#_x0000_t75" style="width:358.75pt;height:83.9pt">
            <v:imagedata r:id="rId22" o:title=""/>
          </v:shape>
        </w:pict>
      </w:r>
    </w:p>
    <w:p w:rsidR="00FE4BF0" w:rsidRPr="00FE4BF0" w:rsidRDefault="00FE4BF0" w:rsidP="00FE4BF0">
      <w:pPr>
        <w:pStyle w:val="FootnoteText"/>
      </w:pPr>
    </w:p>
    <w:p w:rsidR="003F7E20" w:rsidRDefault="003C664E" w:rsidP="00DB2D39">
      <w:pPr>
        <w:pStyle w:val="FootnoteText"/>
      </w:pPr>
      <w:r w:rsidRPr="003C664E">
        <w:rPr>
          <w:vertAlign w:val="superscript"/>
        </w:rPr>
        <w:t>1</w:t>
      </w:r>
      <w:r w:rsidR="00DB2D39" w:rsidRPr="00DB2D39">
        <w:t xml:space="preserve"> Expenses not requiring appropriation in the Budget year are made up of depreciation expenses, amortisation expenses, and audit fees.</w:t>
      </w:r>
      <w:r w:rsidR="003F7E20">
        <w:br w:type="page"/>
      </w:r>
    </w:p>
    <w:p w:rsidR="00CA35EE" w:rsidRPr="00CA35EE" w:rsidRDefault="00CA35EE" w:rsidP="00CA35EE">
      <w:pPr>
        <w:pStyle w:val="Heading5"/>
      </w:pPr>
      <w:r w:rsidRPr="00CA35EE">
        <w:lastRenderedPageBreak/>
        <w:t>Programme 1.1 Deliverables</w:t>
      </w:r>
    </w:p>
    <w:p w:rsidR="00CA35EE" w:rsidRPr="004E00AD" w:rsidRDefault="00CA35EE" w:rsidP="00CA35EE">
      <w:r>
        <w:t xml:space="preserve"> </w:t>
      </w:r>
      <w:r w:rsidRPr="004E00AD">
        <w:t>The Agency will support improved workplace gender equality by:</w:t>
      </w:r>
    </w:p>
    <w:p w:rsidR="00CA35EE" w:rsidRPr="00785742" w:rsidRDefault="00CA35EE" w:rsidP="00CA35EE">
      <w:pPr>
        <w:pStyle w:val="Bullets"/>
      </w:pPr>
      <w:r w:rsidRPr="00785742">
        <w:t>assisting relevant employers to report to the Agency, through the provision of:</w:t>
      </w:r>
    </w:p>
    <w:p w:rsidR="00CA35EE" w:rsidRPr="00785742" w:rsidRDefault="00CA35EE" w:rsidP="00CA35EE">
      <w:pPr>
        <w:pStyle w:val="Dash"/>
      </w:pPr>
      <w:r w:rsidRPr="00785742">
        <w:t>a secure online web portal</w:t>
      </w:r>
    </w:p>
    <w:p w:rsidR="00CA35EE" w:rsidRPr="00785742" w:rsidRDefault="00CA35EE" w:rsidP="00CA35EE">
      <w:pPr>
        <w:pStyle w:val="Dash"/>
      </w:pPr>
      <w:r w:rsidRPr="00785742">
        <w:t>education and guidance materials on reporting</w:t>
      </w:r>
    </w:p>
    <w:p w:rsidR="00CA35EE" w:rsidRPr="00785742" w:rsidRDefault="00CA35EE" w:rsidP="00CA35EE">
      <w:pPr>
        <w:pStyle w:val="Dash"/>
      </w:pPr>
      <w:proofErr w:type="gramStart"/>
      <w:r w:rsidRPr="00785742">
        <w:t>telephone</w:t>
      </w:r>
      <w:proofErr w:type="gramEnd"/>
      <w:r w:rsidRPr="00785742">
        <w:t xml:space="preserve"> assistance.</w:t>
      </w:r>
    </w:p>
    <w:p w:rsidR="00CA35EE" w:rsidRPr="00785742" w:rsidRDefault="00CA35EE" w:rsidP="00CA35EE">
      <w:pPr>
        <w:pStyle w:val="Bullets"/>
      </w:pPr>
      <w:r w:rsidRPr="00785742">
        <w:t>educating employers on improving gender equality outcomes, through the provision of:</w:t>
      </w:r>
    </w:p>
    <w:p w:rsidR="00CA35EE" w:rsidRPr="00785742" w:rsidRDefault="00CA35EE" w:rsidP="00CA35EE">
      <w:pPr>
        <w:pStyle w:val="Dash"/>
      </w:pPr>
      <w:r w:rsidRPr="00785742">
        <w:t>education and materials on interpreting workplace data and on strategies for removing barriers to workplace gender equality</w:t>
      </w:r>
    </w:p>
    <w:p w:rsidR="00CA35EE" w:rsidRPr="00785742" w:rsidRDefault="00CA35EE" w:rsidP="00CA35EE">
      <w:pPr>
        <w:pStyle w:val="Dash"/>
      </w:pPr>
      <w:proofErr w:type="gramStart"/>
      <w:r w:rsidRPr="00785742">
        <w:t>a</w:t>
      </w:r>
      <w:proofErr w:type="gramEnd"/>
      <w:r w:rsidRPr="00785742">
        <w:t xml:space="preserve"> set of benchmarks that will enable relevant employers to consider and improve their workplace outcomes and practices over time and in relation to their peers.</w:t>
      </w:r>
    </w:p>
    <w:p w:rsidR="00CA35EE" w:rsidRPr="00785742" w:rsidRDefault="00CA35EE" w:rsidP="00CA35EE">
      <w:pPr>
        <w:pStyle w:val="Bullets"/>
      </w:pPr>
      <w:r w:rsidRPr="00785742">
        <w:t>promoting and contributing to understanding and acceptance, and public discussion, of gender equality in the Australian workplace, through</w:t>
      </w:r>
      <w:r w:rsidR="009C7B91">
        <w:t>:</w:t>
      </w:r>
    </w:p>
    <w:p w:rsidR="00CA35EE" w:rsidRPr="00785742" w:rsidRDefault="00CA35EE" w:rsidP="00CA35EE">
      <w:pPr>
        <w:pStyle w:val="Dash"/>
      </w:pPr>
      <w:r w:rsidRPr="00785742">
        <w:t>the recognition of good gender equality performance</w:t>
      </w:r>
    </w:p>
    <w:p w:rsidR="00CA35EE" w:rsidRPr="00785742" w:rsidRDefault="00CA35EE" w:rsidP="00CA35EE">
      <w:pPr>
        <w:pStyle w:val="Dash"/>
      </w:pPr>
      <w:r w:rsidRPr="00785742">
        <w:t>contributions to public discussion of gender equality in the workplace including through speeches and events</w:t>
      </w:r>
    </w:p>
    <w:p w:rsidR="00CA35EE" w:rsidRPr="00785742" w:rsidRDefault="00CA35EE" w:rsidP="00CA35EE">
      <w:pPr>
        <w:pStyle w:val="Dash"/>
      </w:pPr>
      <w:proofErr w:type="gramStart"/>
      <w:r w:rsidRPr="00785742">
        <w:t>an</w:t>
      </w:r>
      <w:proofErr w:type="gramEnd"/>
      <w:r w:rsidRPr="00785742">
        <w:t xml:space="preserve"> improved digital presence.</w:t>
      </w:r>
    </w:p>
    <w:p w:rsidR="00CA35EE" w:rsidRPr="00785742" w:rsidRDefault="00CA35EE" w:rsidP="00CA35EE">
      <w:pPr>
        <w:pStyle w:val="Bullets"/>
      </w:pPr>
      <w:r w:rsidRPr="00785742">
        <w:t>using gender equality data to improve workplace gender equality, through</w:t>
      </w:r>
      <w:r w:rsidR="009C7B91">
        <w:t>:</w:t>
      </w:r>
    </w:p>
    <w:p w:rsidR="00CA35EE" w:rsidRPr="00785742" w:rsidRDefault="00CA35EE" w:rsidP="00CA35EE">
      <w:pPr>
        <w:pStyle w:val="Dash"/>
      </w:pPr>
      <w:r w:rsidRPr="00785742">
        <w:t>making publicly available aggregated benchmark data</w:t>
      </w:r>
    </w:p>
    <w:p w:rsidR="00CA35EE" w:rsidRPr="00785742" w:rsidRDefault="00CA35EE" w:rsidP="00CA35EE">
      <w:pPr>
        <w:pStyle w:val="Dash"/>
      </w:pPr>
      <w:r w:rsidRPr="00785742">
        <w:t>the establishment of a database of reported data to inform the Agency’s activities and advice to the Minister as required</w:t>
      </w:r>
    </w:p>
    <w:p w:rsidR="00CA35EE" w:rsidRPr="00785742" w:rsidRDefault="00CA35EE" w:rsidP="00CA35EE">
      <w:pPr>
        <w:pStyle w:val="Dash"/>
      </w:pPr>
      <w:proofErr w:type="gramStart"/>
      <w:r w:rsidRPr="00785742">
        <w:t>the</w:t>
      </w:r>
      <w:proofErr w:type="gramEnd"/>
      <w:r w:rsidRPr="00785742">
        <w:t xml:space="preserve"> preparation of biennial reports to the Minister on overall progress achieved in relation to the </w:t>
      </w:r>
      <w:proofErr w:type="spellStart"/>
      <w:r w:rsidRPr="00785742">
        <w:t>GEIs</w:t>
      </w:r>
      <w:proofErr w:type="spellEnd"/>
      <w:r w:rsidRPr="00785742">
        <w:t>, beginning with t</w:t>
      </w:r>
      <w:r>
        <w:t>he two-year period ending on 31 </w:t>
      </w:r>
      <w:r w:rsidRPr="00785742">
        <w:t>May</w:t>
      </w:r>
      <w:r>
        <w:t> </w:t>
      </w:r>
      <w:r w:rsidRPr="00785742">
        <w:t>2016.</w:t>
      </w:r>
    </w:p>
    <w:p w:rsidR="0096278C" w:rsidRDefault="0096278C" w:rsidP="00CA35EE">
      <w:pPr>
        <w:pStyle w:val="Bullets"/>
      </w:pPr>
      <w:r>
        <w:br w:type="page"/>
      </w:r>
    </w:p>
    <w:p w:rsidR="00CA35EE" w:rsidRPr="00785742" w:rsidRDefault="00CA35EE" w:rsidP="00CA35EE">
      <w:pPr>
        <w:pStyle w:val="Bullets"/>
      </w:pPr>
      <w:r w:rsidRPr="00785742">
        <w:lastRenderedPageBreak/>
        <w:t>fostering compliance with the reporting and transparency provisions of the Act, through</w:t>
      </w:r>
      <w:r w:rsidR="009C7B91">
        <w:t>:</w:t>
      </w:r>
    </w:p>
    <w:p w:rsidR="00CA35EE" w:rsidRPr="00785742" w:rsidRDefault="00CA35EE" w:rsidP="00CA35EE">
      <w:pPr>
        <w:pStyle w:val="Dash"/>
      </w:pPr>
      <w:r w:rsidRPr="00785742">
        <w:t>contacting relevant employers who are not meeting their obligations and assisting them to become compliant</w:t>
      </w:r>
    </w:p>
    <w:p w:rsidR="00CA35EE" w:rsidRPr="00785742" w:rsidRDefault="00CA35EE" w:rsidP="00CA35EE">
      <w:pPr>
        <w:pStyle w:val="Dash"/>
      </w:pPr>
      <w:r w:rsidRPr="00785742">
        <w:t>undertaking reviews of relevant employers’ compliance with the Act</w:t>
      </w:r>
    </w:p>
    <w:p w:rsidR="00CA35EE" w:rsidRPr="00785742" w:rsidRDefault="00CA35EE" w:rsidP="00CA35EE">
      <w:pPr>
        <w:pStyle w:val="Dash"/>
      </w:pPr>
      <w:proofErr w:type="gramStart"/>
      <w:r w:rsidRPr="00785742">
        <w:t>naming</w:t>
      </w:r>
      <w:proofErr w:type="gramEnd"/>
      <w:r w:rsidRPr="00785742">
        <w:t xml:space="preserve"> non-compliant employers in a report to the Minister or by electronic or other means.</w:t>
      </w:r>
    </w:p>
    <w:p w:rsidR="009D373E" w:rsidRDefault="009D373E" w:rsidP="00A176BD">
      <w:pPr>
        <w:pStyle w:val="Heading5"/>
      </w:pPr>
      <w:r>
        <w:br w:type="page"/>
      </w:r>
    </w:p>
    <w:p w:rsidR="00A176BD" w:rsidRDefault="00A176BD" w:rsidP="00A176BD">
      <w:pPr>
        <w:pStyle w:val="Heading5"/>
      </w:pPr>
      <w:r>
        <w:lastRenderedPageBreak/>
        <w:t>Programme 1.1 Deliverables</w:t>
      </w:r>
    </w:p>
    <w:p w:rsidR="00A176BD" w:rsidRPr="00FE4BF0" w:rsidRDefault="00A176BD" w:rsidP="00FE4BF0">
      <w:pPr>
        <w:pStyle w:val="TableHeading"/>
      </w:pPr>
      <w:r w:rsidRPr="00FE4BF0">
        <w:t xml:space="preserve">Table </w:t>
      </w:r>
      <w:proofErr w:type="spellStart"/>
      <w:r w:rsidR="00FE4BF0" w:rsidRPr="00FE4BF0">
        <w:t>2.1.1.A</w:t>
      </w:r>
      <w:proofErr w:type="spellEnd"/>
      <w:r w:rsidRPr="00FE4BF0">
        <w:t xml:space="preserve"> Education </w:t>
      </w:r>
    </w:p>
    <w:tbl>
      <w:tblPr>
        <w:tblStyle w:val="TableGrid"/>
        <w:tblW w:w="0" w:type="auto"/>
        <w:tblLook w:val="04A0" w:firstRow="1" w:lastRow="0" w:firstColumn="1" w:lastColumn="0" w:noHBand="0" w:noVBand="1"/>
        <w:tblCaption w:val="Table 2.1.1.A Education "/>
        <w:tblDescription w:val="WGEA programme deliverables"/>
      </w:tblPr>
      <w:tblGrid>
        <w:gridCol w:w="2518"/>
        <w:gridCol w:w="953"/>
        <w:gridCol w:w="925"/>
        <w:gridCol w:w="996"/>
        <w:gridCol w:w="1022"/>
        <w:gridCol w:w="945"/>
      </w:tblGrid>
      <w:tr w:rsidR="00E14B6C" w:rsidTr="00470EE4">
        <w:trPr>
          <w:tblHeader/>
        </w:trPr>
        <w:tc>
          <w:tcPr>
            <w:tcW w:w="2518" w:type="dxa"/>
          </w:tcPr>
          <w:p w:rsidR="00A176BD" w:rsidRDefault="00504C3F" w:rsidP="00504C3F">
            <w:pPr>
              <w:pStyle w:val="TableTextBold"/>
            </w:pPr>
            <w:r>
              <w:t xml:space="preserve">Deliverable </w:t>
            </w:r>
          </w:p>
        </w:tc>
        <w:tc>
          <w:tcPr>
            <w:tcW w:w="953" w:type="dxa"/>
          </w:tcPr>
          <w:p w:rsidR="00A176BD" w:rsidRDefault="00A176BD" w:rsidP="00504C3F">
            <w:pPr>
              <w:pStyle w:val="TableTextBoldRight"/>
            </w:pPr>
            <w:r w:rsidRPr="000A224A">
              <w:t>2014–15</w:t>
            </w:r>
          </w:p>
          <w:p w:rsidR="00E14B6C" w:rsidRPr="000A224A" w:rsidRDefault="00E14B6C" w:rsidP="00504C3F">
            <w:pPr>
              <w:pStyle w:val="TableTextBoldRight"/>
            </w:pPr>
            <w:r>
              <w:t>Revised Budget</w:t>
            </w:r>
          </w:p>
        </w:tc>
        <w:tc>
          <w:tcPr>
            <w:tcW w:w="925" w:type="dxa"/>
          </w:tcPr>
          <w:p w:rsidR="00A176BD" w:rsidRDefault="00A176BD" w:rsidP="00504C3F">
            <w:pPr>
              <w:pStyle w:val="TableTextBoldRight"/>
            </w:pPr>
            <w:r w:rsidRPr="000A224A">
              <w:t>2015–16</w:t>
            </w:r>
          </w:p>
          <w:p w:rsidR="00E14B6C" w:rsidRPr="000A224A" w:rsidRDefault="00E14B6C" w:rsidP="00504C3F">
            <w:pPr>
              <w:pStyle w:val="TableTextBoldRight"/>
            </w:pPr>
            <w:r>
              <w:t>Budget</w:t>
            </w:r>
          </w:p>
        </w:tc>
        <w:tc>
          <w:tcPr>
            <w:tcW w:w="996" w:type="dxa"/>
          </w:tcPr>
          <w:p w:rsidR="00A176BD" w:rsidRPr="000A224A" w:rsidRDefault="00A176BD" w:rsidP="00504C3F">
            <w:pPr>
              <w:pStyle w:val="TableTextBoldRight"/>
            </w:pPr>
            <w:r w:rsidRPr="000A224A">
              <w:t>2016–17</w:t>
            </w:r>
            <w:r w:rsidR="00E14B6C">
              <w:t xml:space="preserve"> Forward Estimate</w:t>
            </w:r>
          </w:p>
        </w:tc>
        <w:tc>
          <w:tcPr>
            <w:tcW w:w="1022" w:type="dxa"/>
          </w:tcPr>
          <w:p w:rsidR="00A176BD" w:rsidRPr="000A224A" w:rsidRDefault="00A176BD" w:rsidP="00504C3F">
            <w:pPr>
              <w:pStyle w:val="TableTextBoldRight"/>
            </w:pPr>
            <w:r w:rsidRPr="000A224A">
              <w:t>2017–</w:t>
            </w:r>
            <w:r w:rsidR="00504C3F">
              <w:t>1</w:t>
            </w:r>
            <w:r w:rsidRPr="000A224A">
              <w:t>8</w:t>
            </w:r>
            <w:r w:rsidR="00E14B6C">
              <w:t xml:space="preserve"> Forward Estimate</w:t>
            </w:r>
          </w:p>
        </w:tc>
        <w:tc>
          <w:tcPr>
            <w:tcW w:w="945" w:type="dxa"/>
          </w:tcPr>
          <w:p w:rsidR="00A176BD" w:rsidRPr="000A224A" w:rsidRDefault="00A176BD" w:rsidP="00504C3F">
            <w:pPr>
              <w:pStyle w:val="TableTextBoldRight"/>
            </w:pPr>
            <w:r w:rsidRPr="000A224A">
              <w:t>2018–19</w:t>
            </w:r>
            <w:r w:rsidR="00E14B6C">
              <w:t xml:space="preserve"> Forward Estimate</w:t>
            </w:r>
          </w:p>
        </w:tc>
      </w:tr>
      <w:tr w:rsidR="00E14B6C" w:rsidTr="00470EE4">
        <w:tc>
          <w:tcPr>
            <w:tcW w:w="2518" w:type="dxa"/>
          </w:tcPr>
          <w:p w:rsidR="00A176BD" w:rsidRDefault="00A176BD" w:rsidP="00504C3F">
            <w:pPr>
              <w:pStyle w:val="TableText"/>
            </w:pPr>
            <w:r>
              <w:t>Education participants</w:t>
            </w:r>
          </w:p>
        </w:tc>
        <w:tc>
          <w:tcPr>
            <w:tcW w:w="953" w:type="dxa"/>
          </w:tcPr>
          <w:p w:rsidR="00A176BD" w:rsidRDefault="00A176BD" w:rsidP="00504C3F">
            <w:pPr>
              <w:pStyle w:val="TableTextRight0"/>
            </w:pPr>
            <w:r>
              <w:t>1351</w:t>
            </w:r>
          </w:p>
        </w:tc>
        <w:tc>
          <w:tcPr>
            <w:tcW w:w="925" w:type="dxa"/>
          </w:tcPr>
          <w:p w:rsidR="00A176BD" w:rsidRDefault="00A176BD" w:rsidP="00504C3F">
            <w:pPr>
              <w:pStyle w:val="TableTextRight0"/>
            </w:pPr>
            <w:r>
              <w:t>1419</w:t>
            </w:r>
          </w:p>
        </w:tc>
        <w:tc>
          <w:tcPr>
            <w:tcW w:w="996" w:type="dxa"/>
          </w:tcPr>
          <w:p w:rsidR="00A176BD" w:rsidRDefault="00A176BD" w:rsidP="00504C3F">
            <w:pPr>
              <w:pStyle w:val="TableTextRight0"/>
            </w:pPr>
            <w:r>
              <w:t>1489</w:t>
            </w:r>
          </w:p>
        </w:tc>
        <w:tc>
          <w:tcPr>
            <w:tcW w:w="1022" w:type="dxa"/>
          </w:tcPr>
          <w:p w:rsidR="00A176BD" w:rsidRDefault="00A176BD" w:rsidP="00504C3F">
            <w:pPr>
              <w:pStyle w:val="TableTextRight0"/>
            </w:pPr>
            <w:r>
              <w:t>1564</w:t>
            </w:r>
          </w:p>
        </w:tc>
        <w:tc>
          <w:tcPr>
            <w:tcW w:w="945" w:type="dxa"/>
          </w:tcPr>
          <w:p w:rsidR="00A176BD" w:rsidRDefault="00A176BD" w:rsidP="00504C3F">
            <w:pPr>
              <w:pStyle w:val="TableTextRight0"/>
            </w:pPr>
            <w:r>
              <w:t>1642</w:t>
            </w:r>
          </w:p>
        </w:tc>
      </w:tr>
      <w:tr w:rsidR="00E14B6C" w:rsidTr="00470EE4">
        <w:tc>
          <w:tcPr>
            <w:tcW w:w="2518" w:type="dxa"/>
          </w:tcPr>
          <w:p w:rsidR="00A176BD" w:rsidRDefault="00A176BD" w:rsidP="00FD7A9E">
            <w:pPr>
              <w:pStyle w:val="TableText"/>
              <w:jc w:val="left"/>
            </w:pPr>
            <w:r>
              <w:t>Educational resources available on Agency website</w:t>
            </w:r>
          </w:p>
        </w:tc>
        <w:tc>
          <w:tcPr>
            <w:tcW w:w="953" w:type="dxa"/>
          </w:tcPr>
          <w:p w:rsidR="00A176BD" w:rsidRDefault="00A176BD" w:rsidP="00504C3F">
            <w:pPr>
              <w:pStyle w:val="TableTextRight0"/>
            </w:pPr>
            <w:r>
              <w:t>600</w:t>
            </w:r>
          </w:p>
        </w:tc>
        <w:tc>
          <w:tcPr>
            <w:tcW w:w="925" w:type="dxa"/>
          </w:tcPr>
          <w:p w:rsidR="00A176BD" w:rsidRDefault="00A176BD" w:rsidP="00504C3F">
            <w:pPr>
              <w:pStyle w:val="TableTextRight0"/>
            </w:pPr>
            <w:r>
              <w:t>66</w:t>
            </w:r>
          </w:p>
        </w:tc>
        <w:tc>
          <w:tcPr>
            <w:tcW w:w="996" w:type="dxa"/>
          </w:tcPr>
          <w:p w:rsidR="00A176BD" w:rsidRDefault="00A176BD" w:rsidP="00504C3F">
            <w:pPr>
              <w:pStyle w:val="TableTextRight0"/>
            </w:pPr>
            <w:r>
              <w:t>73</w:t>
            </w:r>
          </w:p>
        </w:tc>
        <w:tc>
          <w:tcPr>
            <w:tcW w:w="1022" w:type="dxa"/>
          </w:tcPr>
          <w:p w:rsidR="00A176BD" w:rsidRDefault="00A176BD" w:rsidP="00504C3F">
            <w:pPr>
              <w:pStyle w:val="TableTextRight0"/>
            </w:pPr>
            <w:r>
              <w:t>80</w:t>
            </w:r>
          </w:p>
        </w:tc>
        <w:tc>
          <w:tcPr>
            <w:tcW w:w="945" w:type="dxa"/>
          </w:tcPr>
          <w:p w:rsidR="00A176BD" w:rsidRDefault="00A176BD" w:rsidP="00504C3F">
            <w:pPr>
              <w:pStyle w:val="TableTextRight0"/>
            </w:pPr>
            <w:r>
              <w:t>88</w:t>
            </w:r>
          </w:p>
        </w:tc>
      </w:tr>
      <w:tr w:rsidR="00E14B6C" w:rsidTr="00470EE4">
        <w:tc>
          <w:tcPr>
            <w:tcW w:w="2518" w:type="dxa"/>
          </w:tcPr>
          <w:p w:rsidR="00A176BD" w:rsidRDefault="00A176BD" w:rsidP="00FD7A9E">
            <w:pPr>
              <w:pStyle w:val="TableText"/>
              <w:jc w:val="left"/>
            </w:pPr>
            <w:r>
              <w:t>Benchmarks developed</w:t>
            </w:r>
          </w:p>
        </w:tc>
        <w:tc>
          <w:tcPr>
            <w:tcW w:w="953" w:type="dxa"/>
          </w:tcPr>
          <w:p w:rsidR="00A176BD" w:rsidRDefault="00A176BD" w:rsidP="00504C3F">
            <w:pPr>
              <w:pStyle w:val="TableTextRight0"/>
            </w:pPr>
            <w:r>
              <w:t>43</w:t>
            </w:r>
          </w:p>
        </w:tc>
        <w:tc>
          <w:tcPr>
            <w:tcW w:w="925" w:type="dxa"/>
          </w:tcPr>
          <w:p w:rsidR="00A176BD" w:rsidRDefault="00A176BD" w:rsidP="00504C3F">
            <w:pPr>
              <w:pStyle w:val="TableTextRight0"/>
            </w:pPr>
            <w:r>
              <w:t>43</w:t>
            </w:r>
          </w:p>
        </w:tc>
        <w:tc>
          <w:tcPr>
            <w:tcW w:w="996" w:type="dxa"/>
          </w:tcPr>
          <w:p w:rsidR="00A176BD" w:rsidRDefault="00A176BD" w:rsidP="00504C3F">
            <w:pPr>
              <w:pStyle w:val="TableTextRight0"/>
            </w:pPr>
            <w:r>
              <w:t>43</w:t>
            </w:r>
          </w:p>
        </w:tc>
        <w:tc>
          <w:tcPr>
            <w:tcW w:w="1022" w:type="dxa"/>
          </w:tcPr>
          <w:p w:rsidR="00A176BD" w:rsidRDefault="00A176BD" w:rsidP="00504C3F">
            <w:pPr>
              <w:pStyle w:val="TableTextRight0"/>
            </w:pPr>
            <w:r>
              <w:t>43</w:t>
            </w:r>
          </w:p>
        </w:tc>
        <w:tc>
          <w:tcPr>
            <w:tcW w:w="945" w:type="dxa"/>
          </w:tcPr>
          <w:p w:rsidR="00A176BD" w:rsidRDefault="00A176BD" w:rsidP="00504C3F">
            <w:pPr>
              <w:pStyle w:val="TableTextRight0"/>
            </w:pPr>
            <w:r>
              <w:t>43</w:t>
            </w:r>
          </w:p>
        </w:tc>
      </w:tr>
    </w:tbl>
    <w:p w:rsidR="00A176BD" w:rsidRPr="00FE4BF0" w:rsidRDefault="00A176BD" w:rsidP="00FE4BF0">
      <w:pPr>
        <w:pStyle w:val="TableHeading"/>
      </w:pPr>
      <w:r w:rsidRPr="00FE4BF0">
        <w:t xml:space="preserve">Table </w:t>
      </w:r>
      <w:proofErr w:type="spellStart"/>
      <w:r w:rsidR="00FE4BF0" w:rsidRPr="00FE4BF0">
        <w:t>2.1.1.B</w:t>
      </w:r>
      <w:proofErr w:type="spellEnd"/>
      <w:r w:rsidRPr="00FE4BF0">
        <w:t xml:space="preserve"> Understanding and acceptance and public discussion </w:t>
      </w:r>
    </w:p>
    <w:tbl>
      <w:tblPr>
        <w:tblStyle w:val="TableGrid"/>
        <w:tblW w:w="0" w:type="auto"/>
        <w:tblLook w:val="04A0" w:firstRow="1" w:lastRow="0" w:firstColumn="1" w:lastColumn="0" w:noHBand="0" w:noVBand="1"/>
        <w:tblCaption w:val="Table 2.1.1.B Understanding and acceptance and public discussion "/>
        <w:tblDescription w:val="WGEA deliverables"/>
      </w:tblPr>
      <w:tblGrid>
        <w:gridCol w:w="2500"/>
        <w:gridCol w:w="1051"/>
        <w:gridCol w:w="934"/>
        <w:gridCol w:w="936"/>
        <w:gridCol w:w="1012"/>
        <w:gridCol w:w="926"/>
      </w:tblGrid>
      <w:tr w:rsidR="00E14B6C" w:rsidRPr="000A224A" w:rsidTr="00E14B6C">
        <w:trPr>
          <w:tblHeader/>
        </w:trPr>
        <w:tc>
          <w:tcPr>
            <w:tcW w:w="2520" w:type="dxa"/>
          </w:tcPr>
          <w:p w:rsidR="00E14B6C" w:rsidRDefault="00E14B6C" w:rsidP="00504C3F">
            <w:pPr>
              <w:pStyle w:val="TableTextBold"/>
            </w:pPr>
            <w:r>
              <w:t>Deliverable</w:t>
            </w:r>
          </w:p>
        </w:tc>
        <w:tc>
          <w:tcPr>
            <w:tcW w:w="1054" w:type="dxa"/>
          </w:tcPr>
          <w:p w:rsidR="00E14B6C" w:rsidRDefault="00E14B6C" w:rsidP="00CC5ED2">
            <w:pPr>
              <w:pStyle w:val="TableTextBoldRight"/>
            </w:pPr>
            <w:r w:rsidRPr="000A224A">
              <w:t>2014–15</w:t>
            </w:r>
          </w:p>
          <w:p w:rsidR="00E14B6C" w:rsidRPr="000A224A" w:rsidRDefault="00E14B6C" w:rsidP="00CC5ED2">
            <w:pPr>
              <w:pStyle w:val="TableTextBoldRight"/>
            </w:pPr>
            <w:r>
              <w:t>Revised Budget</w:t>
            </w:r>
          </w:p>
        </w:tc>
        <w:tc>
          <w:tcPr>
            <w:tcW w:w="936" w:type="dxa"/>
          </w:tcPr>
          <w:p w:rsidR="00E14B6C" w:rsidRDefault="00E14B6C" w:rsidP="00CC5ED2">
            <w:pPr>
              <w:pStyle w:val="TableTextBoldRight"/>
            </w:pPr>
            <w:r w:rsidRPr="000A224A">
              <w:t>2015–16</w:t>
            </w:r>
          </w:p>
          <w:p w:rsidR="00E14B6C" w:rsidRPr="000A224A" w:rsidRDefault="00E14B6C" w:rsidP="00CC5ED2">
            <w:pPr>
              <w:pStyle w:val="TableTextBoldRight"/>
            </w:pPr>
            <w:r>
              <w:t>Budget</w:t>
            </w:r>
          </w:p>
        </w:tc>
        <w:tc>
          <w:tcPr>
            <w:tcW w:w="936" w:type="dxa"/>
          </w:tcPr>
          <w:p w:rsidR="00E14B6C" w:rsidRPr="000A224A" w:rsidRDefault="00E14B6C" w:rsidP="00CC5ED2">
            <w:pPr>
              <w:pStyle w:val="TableTextBoldRight"/>
            </w:pPr>
            <w:r w:rsidRPr="000A224A">
              <w:t>2016–17</w:t>
            </w:r>
            <w:r>
              <w:t xml:space="preserve"> Forward Estimate</w:t>
            </w:r>
          </w:p>
        </w:tc>
        <w:tc>
          <w:tcPr>
            <w:tcW w:w="1013" w:type="dxa"/>
          </w:tcPr>
          <w:p w:rsidR="00E14B6C" w:rsidRPr="000A224A" w:rsidRDefault="00E14B6C" w:rsidP="00CC5ED2">
            <w:pPr>
              <w:pStyle w:val="TableTextBoldRight"/>
            </w:pPr>
            <w:r w:rsidRPr="000A224A">
              <w:t>2017–</w:t>
            </w:r>
            <w:r>
              <w:t>1</w:t>
            </w:r>
            <w:r w:rsidRPr="000A224A">
              <w:t>8</w:t>
            </w:r>
            <w:r>
              <w:t xml:space="preserve"> Forward Estimate</w:t>
            </w:r>
          </w:p>
        </w:tc>
        <w:tc>
          <w:tcPr>
            <w:tcW w:w="900" w:type="dxa"/>
          </w:tcPr>
          <w:p w:rsidR="00E14B6C" w:rsidRPr="000A224A" w:rsidRDefault="00E14B6C" w:rsidP="00CC5ED2">
            <w:pPr>
              <w:pStyle w:val="TableTextBoldRight"/>
            </w:pPr>
            <w:r w:rsidRPr="000A224A">
              <w:t>2018–19</w:t>
            </w:r>
            <w:r>
              <w:t xml:space="preserve"> Forward Estimate</w:t>
            </w:r>
          </w:p>
        </w:tc>
      </w:tr>
      <w:tr w:rsidR="00A176BD" w:rsidTr="00E14B6C">
        <w:tc>
          <w:tcPr>
            <w:tcW w:w="2520" w:type="dxa"/>
          </w:tcPr>
          <w:p w:rsidR="00A176BD" w:rsidRDefault="00A176BD" w:rsidP="00FD7A9E">
            <w:pPr>
              <w:pStyle w:val="TableText"/>
              <w:jc w:val="left"/>
            </w:pPr>
            <w:r>
              <w:t>Speeches and events delivered</w:t>
            </w:r>
          </w:p>
        </w:tc>
        <w:tc>
          <w:tcPr>
            <w:tcW w:w="1054" w:type="dxa"/>
          </w:tcPr>
          <w:p w:rsidR="00A176BD" w:rsidRPr="00504C3F" w:rsidRDefault="00A176BD" w:rsidP="00504C3F">
            <w:pPr>
              <w:pStyle w:val="TableTextRight0"/>
            </w:pPr>
            <w:r w:rsidRPr="00504C3F">
              <w:t>52</w:t>
            </w:r>
          </w:p>
        </w:tc>
        <w:tc>
          <w:tcPr>
            <w:tcW w:w="936" w:type="dxa"/>
          </w:tcPr>
          <w:p w:rsidR="00A176BD" w:rsidRPr="00504C3F" w:rsidRDefault="00A176BD" w:rsidP="00504C3F">
            <w:pPr>
              <w:pStyle w:val="TableTextRight0"/>
            </w:pPr>
            <w:r w:rsidRPr="00504C3F">
              <w:t>52</w:t>
            </w:r>
          </w:p>
        </w:tc>
        <w:tc>
          <w:tcPr>
            <w:tcW w:w="936" w:type="dxa"/>
          </w:tcPr>
          <w:p w:rsidR="00A176BD" w:rsidRPr="00504C3F" w:rsidRDefault="00A176BD" w:rsidP="00504C3F">
            <w:pPr>
              <w:pStyle w:val="TableTextRight0"/>
            </w:pPr>
            <w:r w:rsidRPr="00504C3F">
              <w:t>52</w:t>
            </w:r>
          </w:p>
        </w:tc>
        <w:tc>
          <w:tcPr>
            <w:tcW w:w="1013" w:type="dxa"/>
          </w:tcPr>
          <w:p w:rsidR="00A176BD" w:rsidRPr="00504C3F" w:rsidRDefault="00A176BD" w:rsidP="00504C3F">
            <w:pPr>
              <w:pStyle w:val="TableTextRight0"/>
            </w:pPr>
            <w:r w:rsidRPr="00504C3F">
              <w:t>52</w:t>
            </w:r>
          </w:p>
        </w:tc>
        <w:tc>
          <w:tcPr>
            <w:tcW w:w="900" w:type="dxa"/>
          </w:tcPr>
          <w:p w:rsidR="00A176BD" w:rsidRPr="00504C3F" w:rsidRDefault="00A176BD" w:rsidP="00504C3F">
            <w:pPr>
              <w:pStyle w:val="TableTextRight0"/>
            </w:pPr>
            <w:r w:rsidRPr="00504C3F">
              <w:t>52</w:t>
            </w:r>
          </w:p>
        </w:tc>
      </w:tr>
      <w:tr w:rsidR="00A176BD" w:rsidTr="00E14B6C">
        <w:tc>
          <w:tcPr>
            <w:tcW w:w="2520" w:type="dxa"/>
          </w:tcPr>
          <w:p w:rsidR="00A176BD" w:rsidRDefault="00A176BD" w:rsidP="00FD7A9E">
            <w:pPr>
              <w:pStyle w:val="TableText"/>
              <w:jc w:val="left"/>
            </w:pPr>
            <w:r>
              <w:t>Employer of choice organisations</w:t>
            </w:r>
          </w:p>
        </w:tc>
        <w:tc>
          <w:tcPr>
            <w:tcW w:w="1054" w:type="dxa"/>
          </w:tcPr>
          <w:p w:rsidR="00A176BD" w:rsidRPr="00504C3F" w:rsidRDefault="00A176BD" w:rsidP="00504C3F">
            <w:pPr>
              <w:pStyle w:val="TableTextRight0"/>
            </w:pPr>
            <w:r w:rsidRPr="00504C3F">
              <w:t>80</w:t>
            </w:r>
          </w:p>
        </w:tc>
        <w:tc>
          <w:tcPr>
            <w:tcW w:w="936" w:type="dxa"/>
          </w:tcPr>
          <w:p w:rsidR="00A176BD" w:rsidRPr="00504C3F" w:rsidRDefault="00A176BD" w:rsidP="00504C3F">
            <w:pPr>
              <w:pStyle w:val="TableTextRight0"/>
            </w:pPr>
            <w:r w:rsidRPr="00504C3F">
              <w:t>88</w:t>
            </w:r>
          </w:p>
        </w:tc>
        <w:tc>
          <w:tcPr>
            <w:tcW w:w="936" w:type="dxa"/>
          </w:tcPr>
          <w:p w:rsidR="00A176BD" w:rsidRPr="00504C3F" w:rsidRDefault="00A176BD" w:rsidP="00504C3F">
            <w:pPr>
              <w:pStyle w:val="TableTextRight0"/>
            </w:pPr>
            <w:r w:rsidRPr="00504C3F">
              <w:t>97</w:t>
            </w:r>
          </w:p>
        </w:tc>
        <w:tc>
          <w:tcPr>
            <w:tcW w:w="1013" w:type="dxa"/>
          </w:tcPr>
          <w:p w:rsidR="00A176BD" w:rsidRPr="00504C3F" w:rsidRDefault="00A176BD" w:rsidP="00504C3F">
            <w:pPr>
              <w:pStyle w:val="TableTextRight0"/>
            </w:pPr>
            <w:r w:rsidRPr="00504C3F">
              <w:t>106</w:t>
            </w:r>
          </w:p>
        </w:tc>
        <w:tc>
          <w:tcPr>
            <w:tcW w:w="900" w:type="dxa"/>
          </w:tcPr>
          <w:p w:rsidR="00A176BD" w:rsidRPr="00504C3F" w:rsidRDefault="00A176BD" w:rsidP="00504C3F">
            <w:pPr>
              <w:pStyle w:val="TableTextRight0"/>
            </w:pPr>
            <w:r w:rsidRPr="00504C3F">
              <w:t>117</w:t>
            </w:r>
          </w:p>
        </w:tc>
      </w:tr>
    </w:tbl>
    <w:p w:rsidR="00A176BD" w:rsidRPr="00FE4BF0" w:rsidRDefault="00A176BD" w:rsidP="00FE4BF0">
      <w:pPr>
        <w:pStyle w:val="TableHeading"/>
      </w:pPr>
      <w:r w:rsidRPr="00FE4BF0">
        <w:t xml:space="preserve">Table </w:t>
      </w:r>
      <w:proofErr w:type="spellStart"/>
      <w:r w:rsidR="00FE4BF0">
        <w:t>2.1.1.C</w:t>
      </w:r>
      <w:proofErr w:type="spellEnd"/>
      <w:r w:rsidR="00FE4BF0">
        <w:t xml:space="preserve"> </w:t>
      </w:r>
      <w:r w:rsidRPr="00FE4BF0">
        <w:t xml:space="preserve">Compliance </w:t>
      </w:r>
    </w:p>
    <w:tbl>
      <w:tblPr>
        <w:tblStyle w:val="TableGrid"/>
        <w:tblW w:w="0" w:type="auto"/>
        <w:tblLook w:val="04A0" w:firstRow="1" w:lastRow="0" w:firstColumn="1" w:lastColumn="0" w:noHBand="0" w:noVBand="1"/>
        <w:tblCaption w:val="Table 2.1.1.C Compliance "/>
        <w:tblDescription w:val="WGEA programme deliverables"/>
      </w:tblPr>
      <w:tblGrid>
        <w:gridCol w:w="2485"/>
        <w:gridCol w:w="1058"/>
        <w:gridCol w:w="941"/>
        <w:gridCol w:w="942"/>
        <w:gridCol w:w="1007"/>
        <w:gridCol w:w="926"/>
      </w:tblGrid>
      <w:tr w:rsidR="00E14B6C" w:rsidRPr="000A224A" w:rsidTr="00E14B6C">
        <w:trPr>
          <w:tblHeader/>
        </w:trPr>
        <w:tc>
          <w:tcPr>
            <w:tcW w:w="2491" w:type="dxa"/>
          </w:tcPr>
          <w:p w:rsidR="00E14B6C" w:rsidRDefault="00E14B6C" w:rsidP="00504C3F">
            <w:pPr>
              <w:pStyle w:val="TableTextBold"/>
            </w:pPr>
            <w:r>
              <w:t>Deliverable</w:t>
            </w:r>
          </w:p>
        </w:tc>
        <w:tc>
          <w:tcPr>
            <w:tcW w:w="1059" w:type="dxa"/>
          </w:tcPr>
          <w:p w:rsidR="00E14B6C" w:rsidRDefault="00E14B6C" w:rsidP="00CC5ED2">
            <w:pPr>
              <w:pStyle w:val="TableTextBoldRight"/>
            </w:pPr>
            <w:r w:rsidRPr="000A224A">
              <w:t>2014–15</w:t>
            </w:r>
          </w:p>
          <w:p w:rsidR="00E14B6C" w:rsidRPr="000A224A" w:rsidRDefault="00E14B6C" w:rsidP="00CC5ED2">
            <w:pPr>
              <w:pStyle w:val="TableTextBoldRight"/>
            </w:pPr>
            <w:r>
              <w:t>Revised Budget</w:t>
            </w:r>
          </w:p>
        </w:tc>
        <w:tc>
          <w:tcPr>
            <w:tcW w:w="942" w:type="dxa"/>
          </w:tcPr>
          <w:p w:rsidR="00E14B6C" w:rsidRDefault="00E14B6C" w:rsidP="00CC5ED2">
            <w:pPr>
              <w:pStyle w:val="TableTextBoldRight"/>
            </w:pPr>
            <w:r w:rsidRPr="000A224A">
              <w:t>2015–16</w:t>
            </w:r>
          </w:p>
          <w:p w:rsidR="00E14B6C" w:rsidRPr="000A224A" w:rsidRDefault="00E14B6C" w:rsidP="00CC5ED2">
            <w:pPr>
              <w:pStyle w:val="TableTextBoldRight"/>
            </w:pPr>
            <w:r>
              <w:t>Budget</w:t>
            </w:r>
          </w:p>
        </w:tc>
        <w:tc>
          <w:tcPr>
            <w:tcW w:w="942" w:type="dxa"/>
          </w:tcPr>
          <w:p w:rsidR="00E14B6C" w:rsidRPr="000A224A" w:rsidRDefault="00E14B6C" w:rsidP="00CC5ED2">
            <w:pPr>
              <w:pStyle w:val="TableTextBoldRight"/>
            </w:pPr>
            <w:r w:rsidRPr="000A224A">
              <w:t>2016–17</w:t>
            </w:r>
            <w:r>
              <w:t xml:space="preserve"> Forward Estimate</w:t>
            </w:r>
          </w:p>
        </w:tc>
        <w:tc>
          <w:tcPr>
            <w:tcW w:w="1007" w:type="dxa"/>
          </w:tcPr>
          <w:p w:rsidR="00E14B6C" w:rsidRPr="000A224A" w:rsidRDefault="00E14B6C" w:rsidP="00CC5ED2">
            <w:pPr>
              <w:pStyle w:val="TableTextBoldRight"/>
            </w:pPr>
            <w:r w:rsidRPr="000A224A">
              <w:t>2017–</w:t>
            </w:r>
            <w:r>
              <w:t>1</w:t>
            </w:r>
            <w:r w:rsidRPr="000A224A">
              <w:t>8</w:t>
            </w:r>
            <w:r>
              <w:t xml:space="preserve"> Forward Estimate</w:t>
            </w:r>
          </w:p>
        </w:tc>
        <w:tc>
          <w:tcPr>
            <w:tcW w:w="918" w:type="dxa"/>
          </w:tcPr>
          <w:p w:rsidR="00E14B6C" w:rsidRPr="000A224A" w:rsidRDefault="00E14B6C" w:rsidP="00CC5ED2">
            <w:pPr>
              <w:pStyle w:val="TableTextBoldRight"/>
            </w:pPr>
            <w:r w:rsidRPr="000A224A">
              <w:t>2018–19</w:t>
            </w:r>
            <w:r>
              <w:t xml:space="preserve"> Forward Estimate</w:t>
            </w:r>
          </w:p>
        </w:tc>
      </w:tr>
      <w:tr w:rsidR="00A176BD" w:rsidTr="00E14B6C">
        <w:tc>
          <w:tcPr>
            <w:tcW w:w="2491" w:type="dxa"/>
          </w:tcPr>
          <w:p w:rsidR="00A176BD" w:rsidRPr="00FD7A9E" w:rsidRDefault="00A176BD" w:rsidP="00FD7A9E">
            <w:pPr>
              <w:pStyle w:val="TableText"/>
              <w:jc w:val="left"/>
            </w:pPr>
            <w:r w:rsidRPr="00FD7A9E">
              <w:t>Employers registered with the Agency as relevan</w:t>
            </w:r>
            <w:r w:rsidR="009C7B91">
              <w:t>t employers</w:t>
            </w:r>
          </w:p>
        </w:tc>
        <w:tc>
          <w:tcPr>
            <w:tcW w:w="1059" w:type="dxa"/>
          </w:tcPr>
          <w:p w:rsidR="00A176BD" w:rsidRPr="00504C3F" w:rsidRDefault="00A176BD" w:rsidP="00504C3F">
            <w:pPr>
              <w:pStyle w:val="TableTextRight0"/>
            </w:pPr>
            <w:r w:rsidRPr="00504C3F">
              <w:t>11,700</w:t>
            </w:r>
          </w:p>
        </w:tc>
        <w:tc>
          <w:tcPr>
            <w:tcW w:w="942" w:type="dxa"/>
          </w:tcPr>
          <w:p w:rsidR="00A176BD" w:rsidRPr="00504C3F" w:rsidRDefault="00A176BD" w:rsidP="00504C3F">
            <w:pPr>
              <w:pStyle w:val="TableTextRight0"/>
            </w:pPr>
            <w:r w:rsidRPr="00504C3F">
              <w:t>11,759</w:t>
            </w:r>
          </w:p>
        </w:tc>
        <w:tc>
          <w:tcPr>
            <w:tcW w:w="942" w:type="dxa"/>
          </w:tcPr>
          <w:p w:rsidR="00A176BD" w:rsidRPr="00504C3F" w:rsidRDefault="00A176BD" w:rsidP="00504C3F">
            <w:pPr>
              <w:pStyle w:val="TableTextRight0"/>
            </w:pPr>
            <w:r w:rsidRPr="00504C3F">
              <w:t>11,817</w:t>
            </w:r>
          </w:p>
        </w:tc>
        <w:tc>
          <w:tcPr>
            <w:tcW w:w="1007" w:type="dxa"/>
          </w:tcPr>
          <w:p w:rsidR="00A176BD" w:rsidRPr="00504C3F" w:rsidRDefault="00A176BD" w:rsidP="00504C3F">
            <w:pPr>
              <w:pStyle w:val="TableTextRight0"/>
            </w:pPr>
            <w:r w:rsidRPr="00504C3F">
              <w:t>11,876</w:t>
            </w:r>
          </w:p>
        </w:tc>
        <w:tc>
          <w:tcPr>
            <w:tcW w:w="918" w:type="dxa"/>
          </w:tcPr>
          <w:p w:rsidR="00A176BD" w:rsidRPr="00504C3F" w:rsidRDefault="00A176BD" w:rsidP="00504C3F">
            <w:pPr>
              <w:pStyle w:val="TableTextRight0"/>
            </w:pPr>
            <w:r w:rsidRPr="00504C3F">
              <w:t>11,936</w:t>
            </w:r>
          </w:p>
        </w:tc>
      </w:tr>
      <w:tr w:rsidR="00A176BD" w:rsidTr="00E14B6C">
        <w:tc>
          <w:tcPr>
            <w:tcW w:w="2491" w:type="dxa"/>
          </w:tcPr>
          <w:p w:rsidR="00A176BD" w:rsidRPr="00FD7A9E" w:rsidRDefault="00504C3F" w:rsidP="00FD7A9E">
            <w:pPr>
              <w:pStyle w:val="TableText"/>
              <w:jc w:val="left"/>
            </w:pPr>
            <w:r w:rsidRPr="00FD7A9E">
              <w:t xml:space="preserve">Employer </w:t>
            </w:r>
            <w:r w:rsidR="00A176BD" w:rsidRPr="00FD7A9E">
              <w:t>reviews conducted</w:t>
            </w:r>
          </w:p>
        </w:tc>
        <w:tc>
          <w:tcPr>
            <w:tcW w:w="1059" w:type="dxa"/>
          </w:tcPr>
          <w:p w:rsidR="00A176BD" w:rsidRPr="00504C3F" w:rsidRDefault="00A176BD" w:rsidP="00504C3F">
            <w:pPr>
              <w:pStyle w:val="TableTextRight0"/>
            </w:pPr>
            <w:r w:rsidRPr="00504C3F">
              <w:t>-</w:t>
            </w:r>
          </w:p>
        </w:tc>
        <w:tc>
          <w:tcPr>
            <w:tcW w:w="942" w:type="dxa"/>
          </w:tcPr>
          <w:p w:rsidR="00A176BD" w:rsidRPr="00504C3F" w:rsidRDefault="00A176BD" w:rsidP="00504C3F">
            <w:pPr>
              <w:pStyle w:val="TableTextRight0"/>
            </w:pPr>
            <w:r w:rsidRPr="00504C3F">
              <w:t>10</w:t>
            </w:r>
          </w:p>
        </w:tc>
        <w:tc>
          <w:tcPr>
            <w:tcW w:w="942" w:type="dxa"/>
          </w:tcPr>
          <w:p w:rsidR="00A176BD" w:rsidRPr="00504C3F" w:rsidRDefault="00A176BD" w:rsidP="00504C3F">
            <w:pPr>
              <w:pStyle w:val="TableTextRight0"/>
            </w:pPr>
            <w:r w:rsidRPr="00504C3F">
              <w:t>11</w:t>
            </w:r>
          </w:p>
        </w:tc>
        <w:tc>
          <w:tcPr>
            <w:tcW w:w="1007" w:type="dxa"/>
          </w:tcPr>
          <w:p w:rsidR="00A176BD" w:rsidRPr="00504C3F" w:rsidRDefault="00A176BD" w:rsidP="00504C3F">
            <w:pPr>
              <w:pStyle w:val="TableTextRight0"/>
            </w:pPr>
            <w:r w:rsidRPr="00504C3F">
              <w:t>12</w:t>
            </w:r>
          </w:p>
        </w:tc>
        <w:tc>
          <w:tcPr>
            <w:tcW w:w="918" w:type="dxa"/>
          </w:tcPr>
          <w:p w:rsidR="00A176BD" w:rsidRPr="00504C3F" w:rsidRDefault="00A176BD" w:rsidP="00504C3F">
            <w:pPr>
              <w:pStyle w:val="TableTextRight0"/>
            </w:pPr>
            <w:r w:rsidRPr="00504C3F">
              <w:t>13</w:t>
            </w:r>
          </w:p>
        </w:tc>
      </w:tr>
    </w:tbl>
    <w:p w:rsidR="00A176BD" w:rsidRDefault="00FE4BF0" w:rsidP="00504C3F">
      <w:pPr>
        <w:pStyle w:val="TableHeading"/>
      </w:pPr>
      <w:r>
        <w:t xml:space="preserve">Table </w:t>
      </w:r>
      <w:proofErr w:type="spellStart"/>
      <w:r>
        <w:t>2.1.1.D</w:t>
      </w:r>
      <w:proofErr w:type="spellEnd"/>
      <w:r w:rsidR="00A176BD">
        <w:t xml:space="preserve"> Reporting by Agency</w:t>
      </w:r>
    </w:p>
    <w:tbl>
      <w:tblPr>
        <w:tblStyle w:val="TableGrid"/>
        <w:tblW w:w="0" w:type="auto"/>
        <w:tblLook w:val="04A0" w:firstRow="1" w:lastRow="0" w:firstColumn="1" w:lastColumn="0" w:noHBand="0" w:noVBand="1"/>
        <w:tblCaption w:val="Table 2.1.1.D Reporting by Agency"/>
        <w:tblDescription w:val="WGEA programme deliverables"/>
      </w:tblPr>
      <w:tblGrid>
        <w:gridCol w:w="2495"/>
        <w:gridCol w:w="1054"/>
        <w:gridCol w:w="936"/>
        <w:gridCol w:w="938"/>
        <w:gridCol w:w="1010"/>
        <w:gridCol w:w="926"/>
      </w:tblGrid>
      <w:tr w:rsidR="00E14B6C" w:rsidRPr="000A224A" w:rsidTr="00E14B6C">
        <w:trPr>
          <w:tblHeader/>
        </w:trPr>
        <w:tc>
          <w:tcPr>
            <w:tcW w:w="2510" w:type="dxa"/>
          </w:tcPr>
          <w:p w:rsidR="00E14B6C" w:rsidRDefault="00E14B6C" w:rsidP="00504C3F">
            <w:pPr>
              <w:pStyle w:val="TableTextBold"/>
            </w:pPr>
            <w:r>
              <w:t>Deliverable</w:t>
            </w:r>
          </w:p>
        </w:tc>
        <w:tc>
          <w:tcPr>
            <w:tcW w:w="1056" w:type="dxa"/>
          </w:tcPr>
          <w:p w:rsidR="00E14B6C" w:rsidRDefault="00E14B6C" w:rsidP="00CC5ED2">
            <w:pPr>
              <w:pStyle w:val="TableTextBoldRight"/>
            </w:pPr>
            <w:r w:rsidRPr="000A224A">
              <w:t>2014–15</w:t>
            </w:r>
          </w:p>
          <w:p w:rsidR="00E14B6C" w:rsidRPr="000A224A" w:rsidRDefault="00E14B6C" w:rsidP="00CC5ED2">
            <w:pPr>
              <w:pStyle w:val="TableTextBoldRight"/>
            </w:pPr>
            <w:r>
              <w:t>Revised Budget</w:t>
            </w:r>
          </w:p>
        </w:tc>
        <w:tc>
          <w:tcPr>
            <w:tcW w:w="938" w:type="dxa"/>
          </w:tcPr>
          <w:p w:rsidR="00E14B6C" w:rsidRDefault="00E14B6C" w:rsidP="00CC5ED2">
            <w:pPr>
              <w:pStyle w:val="TableTextBoldRight"/>
            </w:pPr>
            <w:r w:rsidRPr="000A224A">
              <w:t>2015–16</w:t>
            </w:r>
          </w:p>
          <w:p w:rsidR="00E14B6C" w:rsidRPr="000A224A" w:rsidRDefault="00E14B6C" w:rsidP="00CC5ED2">
            <w:pPr>
              <w:pStyle w:val="TableTextBoldRight"/>
            </w:pPr>
            <w:r>
              <w:t>Budget</w:t>
            </w:r>
          </w:p>
        </w:tc>
        <w:tc>
          <w:tcPr>
            <w:tcW w:w="938" w:type="dxa"/>
          </w:tcPr>
          <w:p w:rsidR="00E14B6C" w:rsidRPr="000A224A" w:rsidRDefault="00E14B6C" w:rsidP="00CC5ED2">
            <w:pPr>
              <w:pStyle w:val="TableTextBoldRight"/>
            </w:pPr>
            <w:r w:rsidRPr="000A224A">
              <w:t>2016–17</w:t>
            </w:r>
            <w:r>
              <w:t xml:space="preserve"> Forward Estimate</w:t>
            </w:r>
          </w:p>
        </w:tc>
        <w:tc>
          <w:tcPr>
            <w:tcW w:w="1011" w:type="dxa"/>
          </w:tcPr>
          <w:p w:rsidR="00E14B6C" w:rsidRPr="000A224A" w:rsidRDefault="00E14B6C" w:rsidP="00CC5ED2">
            <w:pPr>
              <w:pStyle w:val="TableTextBoldRight"/>
            </w:pPr>
            <w:r w:rsidRPr="000A224A">
              <w:t>2017–</w:t>
            </w:r>
            <w:r>
              <w:t>1</w:t>
            </w:r>
            <w:r w:rsidRPr="000A224A">
              <w:t>8</w:t>
            </w:r>
            <w:r>
              <w:t xml:space="preserve"> Forward Estimate</w:t>
            </w:r>
          </w:p>
        </w:tc>
        <w:tc>
          <w:tcPr>
            <w:tcW w:w="906" w:type="dxa"/>
          </w:tcPr>
          <w:p w:rsidR="00E14B6C" w:rsidRPr="000A224A" w:rsidRDefault="00E14B6C" w:rsidP="00CC5ED2">
            <w:pPr>
              <w:pStyle w:val="TableTextBoldRight"/>
            </w:pPr>
            <w:r w:rsidRPr="000A224A">
              <w:t>2018–19</w:t>
            </w:r>
            <w:r>
              <w:t xml:space="preserve"> Forward Estimate</w:t>
            </w:r>
          </w:p>
        </w:tc>
      </w:tr>
      <w:tr w:rsidR="00A176BD" w:rsidTr="00E14B6C">
        <w:tc>
          <w:tcPr>
            <w:tcW w:w="2510" w:type="dxa"/>
          </w:tcPr>
          <w:p w:rsidR="00A176BD" w:rsidRDefault="00A176BD" w:rsidP="00504C3F">
            <w:pPr>
              <w:pStyle w:val="TableText"/>
              <w:jc w:val="left"/>
            </w:pPr>
            <w:r>
              <w:t>Biennial report to the Minister</w:t>
            </w:r>
          </w:p>
        </w:tc>
        <w:tc>
          <w:tcPr>
            <w:tcW w:w="1056" w:type="dxa"/>
          </w:tcPr>
          <w:p w:rsidR="00A176BD" w:rsidRDefault="00FD7A9E" w:rsidP="00504C3F">
            <w:pPr>
              <w:pStyle w:val="TableTextRight0"/>
            </w:pPr>
            <w:r>
              <w:t>-</w:t>
            </w:r>
          </w:p>
        </w:tc>
        <w:tc>
          <w:tcPr>
            <w:tcW w:w="938" w:type="dxa"/>
          </w:tcPr>
          <w:p w:rsidR="00A176BD" w:rsidRDefault="00FD7A9E" w:rsidP="00504C3F">
            <w:pPr>
              <w:pStyle w:val="TableTextRight0"/>
            </w:pPr>
            <w:r>
              <w:t>-</w:t>
            </w:r>
          </w:p>
        </w:tc>
        <w:tc>
          <w:tcPr>
            <w:tcW w:w="938" w:type="dxa"/>
          </w:tcPr>
          <w:p w:rsidR="00A176BD" w:rsidRDefault="00A176BD" w:rsidP="00504C3F">
            <w:pPr>
              <w:pStyle w:val="TableTextRight0"/>
            </w:pPr>
            <w:r>
              <w:t>1</w:t>
            </w:r>
          </w:p>
        </w:tc>
        <w:tc>
          <w:tcPr>
            <w:tcW w:w="1011" w:type="dxa"/>
          </w:tcPr>
          <w:p w:rsidR="00A176BD" w:rsidRDefault="00FD7A9E" w:rsidP="00504C3F">
            <w:pPr>
              <w:pStyle w:val="TableTextRight0"/>
            </w:pPr>
            <w:r>
              <w:t>-</w:t>
            </w:r>
          </w:p>
        </w:tc>
        <w:tc>
          <w:tcPr>
            <w:tcW w:w="906" w:type="dxa"/>
          </w:tcPr>
          <w:p w:rsidR="00A176BD" w:rsidRDefault="00A176BD" w:rsidP="00504C3F">
            <w:pPr>
              <w:pStyle w:val="TableTextRight0"/>
            </w:pPr>
            <w:r>
              <w:t>1</w:t>
            </w:r>
          </w:p>
        </w:tc>
      </w:tr>
    </w:tbl>
    <w:p w:rsidR="00EC7F52" w:rsidRDefault="00EC7F52" w:rsidP="00504C3F">
      <w:pPr>
        <w:pStyle w:val="Heading5"/>
      </w:pPr>
      <w:r>
        <w:br w:type="page"/>
      </w:r>
    </w:p>
    <w:p w:rsidR="00732561" w:rsidRDefault="00B21E61" w:rsidP="00504C3F">
      <w:pPr>
        <w:pStyle w:val="Heading5"/>
      </w:pPr>
      <w:r>
        <w:lastRenderedPageBreak/>
        <w:t>Programme 1.1 K</w:t>
      </w:r>
      <w:r w:rsidR="00732561">
        <w:t xml:space="preserve">ey performance indicators  </w:t>
      </w:r>
    </w:p>
    <w:p w:rsidR="00732561" w:rsidRPr="00785742" w:rsidRDefault="00732561" w:rsidP="00732561">
      <w:pPr>
        <w:pStyle w:val="Bullets"/>
      </w:pPr>
      <w:r w:rsidRPr="00785742">
        <w:t>percentage of women in leadership including governing board members, key management personnel (</w:t>
      </w:r>
      <w:proofErr w:type="spellStart"/>
      <w:r w:rsidRPr="00785742">
        <w:t>KMP</w:t>
      </w:r>
      <w:proofErr w:type="spellEnd"/>
      <w:r w:rsidRPr="00785742">
        <w:t>) and other managers</w:t>
      </w:r>
    </w:p>
    <w:p w:rsidR="00732561" w:rsidRPr="00785742" w:rsidRDefault="00732561" w:rsidP="00732561">
      <w:pPr>
        <w:pStyle w:val="Bullets"/>
      </w:pPr>
      <w:r w:rsidRPr="00785742">
        <w:t>percentage of employers conducting gender remuneration gap analyses</w:t>
      </w:r>
    </w:p>
    <w:p w:rsidR="00732561" w:rsidRPr="00785742" w:rsidRDefault="00732561" w:rsidP="00732561">
      <w:pPr>
        <w:pStyle w:val="Bullets"/>
      </w:pPr>
      <w:r w:rsidRPr="00785742">
        <w:t xml:space="preserve">percentage of employers with a strategy or policy to support employees with family and caring responsibilities </w:t>
      </w:r>
    </w:p>
    <w:p w:rsidR="00732561" w:rsidRDefault="00732561" w:rsidP="00732561">
      <w:pPr>
        <w:pStyle w:val="Bullets"/>
      </w:pPr>
      <w:proofErr w:type="gramStart"/>
      <w:r w:rsidRPr="00785742">
        <w:t>number</w:t>
      </w:r>
      <w:proofErr w:type="gramEnd"/>
      <w:r w:rsidRPr="00785742">
        <w:t xml:space="preserve"> of visits to the Agency website.</w:t>
      </w:r>
    </w:p>
    <w:p w:rsidR="00732561" w:rsidRDefault="00732561" w:rsidP="00732561">
      <w:pPr>
        <w:pStyle w:val="TableHeading"/>
      </w:pPr>
      <w:r>
        <w:t xml:space="preserve">Table </w:t>
      </w:r>
      <w:proofErr w:type="spellStart"/>
      <w:r w:rsidR="00FE4BF0">
        <w:t>2.1.1.E</w:t>
      </w:r>
      <w:proofErr w:type="spellEnd"/>
      <w:r w:rsidR="00B21E61">
        <w:t xml:space="preserve"> Programme 1.1 K</w:t>
      </w:r>
      <w:r>
        <w:t>ey performance indicators</w:t>
      </w:r>
    </w:p>
    <w:tbl>
      <w:tblPr>
        <w:tblStyle w:val="TableGrid"/>
        <w:tblW w:w="0" w:type="auto"/>
        <w:tblLook w:val="04A0" w:firstRow="1" w:lastRow="0" w:firstColumn="1" w:lastColumn="0" w:noHBand="0" w:noVBand="1"/>
        <w:tblCaption w:val="Table 2.1.1.E Programme 1.1 Key performance indicators"/>
        <w:tblDescription w:val="WGEA Programme 1.1 Key performance indicators"/>
      </w:tblPr>
      <w:tblGrid>
        <w:gridCol w:w="2488"/>
        <w:gridCol w:w="1057"/>
        <w:gridCol w:w="975"/>
        <w:gridCol w:w="975"/>
        <w:gridCol w:w="926"/>
        <w:gridCol w:w="938"/>
      </w:tblGrid>
      <w:tr w:rsidR="00E14B6C" w:rsidTr="00E14B6C">
        <w:trPr>
          <w:tblHeader/>
        </w:trPr>
        <w:tc>
          <w:tcPr>
            <w:tcW w:w="2499" w:type="dxa"/>
            <w:tcBorders>
              <w:bottom w:val="single" w:sz="4" w:space="0" w:color="auto"/>
            </w:tcBorders>
          </w:tcPr>
          <w:p w:rsidR="00E14B6C" w:rsidRDefault="00E14B6C" w:rsidP="00E14B6C">
            <w:pPr>
              <w:pStyle w:val="TableTextBold"/>
              <w:jc w:val="left"/>
            </w:pPr>
            <w:r>
              <w:t>Key performance indicators</w:t>
            </w:r>
          </w:p>
        </w:tc>
        <w:tc>
          <w:tcPr>
            <w:tcW w:w="1059" w:type="dxa"/>
            <w:tcBorders>
              <w:bottom w:val="single" w:sz="4" w:space="0" w:color="auto"/>
            </w:tcBorders>
          </w:tcPr>
          <w:p w:rsidR="00E14B6C" w:rsidRDefault="00E14B6C" w:rsidP="00CC5ED2">
            <w:pPr>
              <w:pStyle w:val="TableTextBoldRight"/>
            </w:pPr>
            <w:r w:rsidRPr="000A224A">
              <w:t>2014–15</w:t>
            </w:r>
          </w:p>
          <w:p w:rsidR="00E14B6C" w:rsidRPr="000A224A" w:rsidRDefault="00E14B6C" w:rsidP="00CC5ED2">
            <w:pPr>
              <w:pStyle w:val="TableTextBoldRight"/>
            </w:pPr>
            <w:r>
              <w:t>Revised Budget</w:t>
            </w:r>
          </w:p>
        </w:tc>
        <w:tc>
          <w:tcPr>
            <w:tcW w:w="977" w:type="dxa"/>
            <w:tcBorders>
              <w:bottom w:val="single" w:sz="4" w:space="0" w:color="auto"/>
            </w:tcBorders>
          </w:tcPr>
          <w:p w:rsidR="00E14B6C" w:rsidRDefault="00E14B6C" w:rsidP="00CC5ED2">
            <w:pPr>
              <w:pStyle w:val="TableTextBoldRight"/>
            </w:pPr>
            <w:r w:rsidRPr="000A224A">
              <w:t>2015–16</w:t>
            </w:r>
          </w:p>
          <w:p w:rsidR="00E14B6C" w:rsidRPr="000A224A" w:rsidRDefault="00E14B6C" w:rsidP="00CC5ED2">
            <w:pPr>
              <w:pStyle w:val="TableTextBoldRight"/>
            </w:pPr>
            <w:r>
              <w:t>Budget</w:t>
            </w:r>
          </w:p>
        </w:tc>
        <w:tc>
          <w:tcPr>
            <w:tcW w:w="976" w:type="dxa"/>
            <w:tcBorders>
              <w:bottom w:val="single" w:sz="4" w:space="0" w:color="auto"/>
            </w:tcBorders>
          </w:tcPr>
          <w:p w:rsidR="00E14B6C" w:rsidRPr="000A224A" w:rsidRDefault="00E14B6C" w:rsidP="00CC5ED2">
            <w:pPr>
              <w:pStyle w:val="TableTextBoldRight"/>
            </w:pPr>
            <w:r w:rsidRPr="000A224A">
              <w:t>2016–17</w:t>
            </w:r>
            <w:r>
              <w:t xml:space="preserve"> Forward Estimate</w:t>
            </w:r>
          </w:p>
        </w:tc>
        <w:tc>
          <w:tcPr>
            <w:tcW w:w="910" w:type="dxa"/>
            <w:tcBorders>
              <w:bottom w:val="single" w:sz="4" w:space="0" w:color="auto"/>
            </w:tcBorders>
          </w:tcPr>
          <w:p w:rsidR="00E14B6C" w:rsidRPr="000A224A" w:rsidRDefault="00E14B6C" w:rsidP="00CC5ED2">
            <w:pPr>
              <w:pStyle w:val="TableTextBoldRight"/>
            </w:pPr>
            <w:r w:rsidRPr="000A224A">
              <w:t>2017–</w:t>
            </w:r>
            <w:r>
              <w:t>1</w:t>
            </w:r>
            <w:r w:rsidRPr="000A224A">
              <w:t>8</w:t>
            </w:r>
            <w:r>
              <w:t xml:space="preserve"> Forward Estimate</w:t>
            </w:r>
          </w:p>
        </w:tc>
        <w:tc>
          <w:tcPr>
            <w:tcW w:w="938" w:type="dxa"/>
            <w:tcBorders>
              <w:bottom w:val="single" w:sz="4" w:space="0" w:color="auto"/>
            </w:tcBorders>
          </w:tcPr>
          <w:p w:rsidR="00E14B6C" w:rsidRPr="000A224A" w:rsidRDefault="00E14B6C" w:rsidP="00CC5ED2">
            <w:pPr>
              <w:pStyle w:val="TableTextBoldRight"/>
            </w:pPr>
            <w:r w:rsidRPr="000A224A">
              <w:t>2018–19</w:t>
            </w:r>
            <w:r>
              <w:t xml:space="preserve"> Forward Estimate</w:t>
            </w:r>
          </w:p>
        </w:tc>
      </w:tr>
      <w:tr w:rsidR="00A176BD" w:rsidTr="00E14B6C">
        <w:tc>
          <w:tcPr>
            <w:tcW w:w="2499" w:type="dxa"/>
            <w:tcBorders>
              <w:top w:val="single" w:sz="4" w:space="0" w:color="auto"/>
              <w:left w:val="single" w:sz="4" w:space="0" w:color="auto"/>
              <w:bottom w:val="single" w:sz="4" w:space="0" w:color="auto"/>
              <w:right w:val="nil"/>
            </w:tcBorders>
          </w:tcPr>
          <w:p w:rsidR="00A176BD" w:rsidRDefault="00A176BD" w:rsidP="00FD7A9E">
            <w:pPr>
              <w:pStyle w:val="TableText"/>
              <w:jc w:val="left"/>
            </w:pPr>
            <w:r>
              <w:t>Percentage of women in leadership roles in relevant employers</w:t>
            </w:r>
            <w:r>
              <w:tab/>
            </w:r>
          </w:p>
        </w:tc>
        <w:tc>
          <w:tcPr>
            <w:tcW w:w="1059" w:type="dxa"/>
            <w:tcBorders>
              <w:top w:val="single" w:sz="4" w:space="0" w:color="auto"/>
              <w:left w:val="nil"/>
              <w:bottom w:val="single" w:sz="4" w:space="0" w:color="auto"/>
              <w:right w:val="nil"/>
            </w:tcBorders>
          </w:tcPr>
          <w:p w:rsidR="00A176BD" w:rsidRDefault="00A176BD" w:rsidP="00A176BD"/>
        </w:tc>
        <w:tc>
          <w:tcPr>
            <w:tcW w:w="977" w:type="dxa"/>
            <w:tcBorders>
              <w:top w:val="single" w:sz="4" w:space="0" w:color="auto"/>
              <w:left w:val="nil"/>
              <w:bottom w:val="single" w:sz="4" w:space="0" w:color="auto"/>
              <w:right w:val="nil"/>
            </w:tcBorders>
          </w:tcPr>
          <w:p w:rsidR="00A176BD" w:rsidRDefault="00A176BD" w:rsidP="00A176BD"/>
        </w:tc>
        <w:tc>
          <w:tcPr>
            <w:tcW w:w="976" w:type="dxa"/>
            <w:tcBorders>
              <w:top w:val="single" w:sz="4" w:space="0" w:color="auto"/>
              <w:left w:val="nil"/>
              <w:bottom w:val="single" w:sz="4" w:space="0" w:color="auto"/>
              <w:right w:val="nil"/>
            </w:tcBorders>
          </w:tcPr>
          <w:p w:rsidR="00A176BD" w:rsidRDefault="00A176BD" w:rsidP="00A176BD"/>
        </w:tc>
        <w:tc>
          <w:tcPr>
            <w:tcW w:w="910" w:type="dxa"/>
            <w:tcBorders>
              <w:top w:val="single" w:sz="4" w:space="0" w:color="auto"/>
              <w:left w:val="nil"/>
              <w:bottom w:val="single" w:sz="4" w:space="0" w:color="auto"/>
              <w:right w:val="nil"/>
            </w:tcBorders>
          </w:tcPr>
          <w:p w:rsidR="00A176BD" w:rsidRDefault="00A176BD" w:rsidP="00A176BD"/>
        </w:tc>
        <w:tc>
          <w:tcPr>
            <w:tcW w:w="938" w:type="dxa"/>
            <w:tcBorders>
              <w:top w:val="single" w:sz="4" w:space="0" w:color="auto"/>
              <w:left w:val="nil"/>
              <w:bottom w:val="single" w:sz="4" w:space="0" w:color="auto"/>
              <w:right w:val="single" w:sz="4" w:space="0" w:color="auto"/>
            </w:tcBorders>
          </w:tcPr>
          <w:p w:rsidR="00A176BD" w:rsidRDefault="00A176BD" w:rsidP="00A176BD"/>
        </w:tc>
      </w:tr>
      <w:tr w:rsidR="00A176BD" w:rsidTr="00E14B6C">
        <w:tc>
          <w:tcPr>
            <w:tcW w:w="2499" w:type="dxa"/>
            <w:tcBorders>
              <w:top w:val="single" w:sz="4" w:space="0" w:color="auto"/>
            </w:tcBorders>
          </w:tcPr>
          <w:p w:rsidR="00A176BD" w:rsidRDefault="00A176BD" w:rsidP="00504C3F">
            <w:pPr>
              <w:pStyle w:val="TableText"/>
            </w:pPr>
            <w:r>
              <w:t>- Governing board members</w:t>
            </w:r>
          </w:p>
        </w:tc>
        <w:tc>
          <w:tcPr>
            <w:tcW w:w="1059" w:type="dxa"/>
            <w:tcBorders>
              <w:top w:val="single" w:sz="4" w:space="0" w:color="auto"/>
            </w:tcBorders>
          </w:tcPr>
          <w:p w:rsidR="00A176BD" w:rsidRDefault="00A176BD" w:rsidP="00504C3F">
            <w:pPr>
              <w:pStyle w:val="TableTextRight0"/>
            </w:pPr>
            <w:r>
              <w:t>23.7%</w:t>
            </w:r>
          </w:p>
        </w:tc>
        <w:tc>
          <w:tcPr>
            <w:tcW w:w="977" w:type="dxa"/>
            <w:tcBorders>
              <w:top w:val="single" w:sz="4" w:space="0" w:color="auto"/>
            </w:tcBorders>
          </w:tcPr>
          <w:p w:rsidR="00A176BD" w:rsidRDefault="00A176BD" w:rsidP="00504C3F">
            <w:pPr>
              <w:pStyle w:val="TableTextRight0"/>
            </w:pPr>
            <w:r>
              <w:t>24.5%</w:t>
            </w:r>
          </w:p>
        </w:tc>
        <w:tc>
          <w:tcPr>
            <w:tcW w:w="976" w:type="dxa"/>
            <w:tcBorders>
              <w:top w:val="single" w:sz="4" w:space="0" w:color="auto"/>
            </w:tcBorders>
          </w:tcPr>
          <w:p w:rsidR="00A176BD" w:rsidRDefault="00A176BD" w:rsidP="00504C3F">
            <w:pPr>
              <w:pStyle w:val="TableTextRight0"/>
            </w:pPr>
            <w:r>
              <w:t>25.3%</w:t>
            </w:r>
          </w:p>
        </w:tc>
        <w:tc>
          <w:tcPr>
            <w:tcW w:w="910" w:type="dxa"/>
            <w:tcBorders>
              <w:top w:val="single" w:sz="4" w:space="0" w:color="auto"/>
            </w:tcBorders>
          </w:tcPr>
          <w:p w:rsidR="00A176BD" w:rsidRDefault="00A176BD" w:rsidP="00504C3F">
            <w:pPr>
              <w:pStyle w:val="TableTextRight0"/>
            </w:pPr>
            <w:r>
              <w:t>26.1%</w:t>
            </w:r>
          </w:p>
        </w:tc>
        <w:tc>
          <w:tcPr>
            <w:tcW w:w="938" w:type="dxa"/>
            <w:tcBorders>
              <w:top w:val="single" w:sz="4" w:space="0" w:color="auto"/>
            </w:tcBorders>
          </w:tcPr>
          <w:p w:rsidR="00A176BD" w:rsidRDefault="00A176BD" w:rsidP="00504C3F">
            <w:pPr>
              <w:pStyle w:val="TableTextRight0"/>
            </w:pPr>
            <w:r>
              <w:t>26.9%</w:t>
            </w:r>
          </w:p>
        </w:tc>
      </w:tr>
      <w:tr w:rsidR="00A176BD" w:rsidTr="00E14B6C">
        <w:tc>
          <w:tcPr>
            <w:tcW w:w="2499" w:type="dxa"/>
          </w:tcPr>
          <w:p w:rsidR="00A176BD" w:rsidRDefault="00A176BD" w:rsidP="00504C3F">
            <w:pPr>
              <w:pStyle w:val="TableText"/>
            </w:pPr>
            <w:r>
              <w:t xml:space="preserve">- </w:t>
            </w:r>
            <w:proofErr w:type="spellStart"/>
            <w:r>
              <w:t>KMP</w:t>
            </w:r>
            <w:proofErr w:type="spellEnd"/>
          </w:p>
        </w:tc>
        <w:tc>
          <w:tcPr>
            <w:tcW w:w="1059" w:type="dxa"/>
          </w:tcPr>
          <w:p w:rsidR="00A176BD" w:rsidRDefault="00A176BD" w:rsidP="00504C3F">
            <w:pPr>
              <w:pStyle w:val="TableTextRight0"/>
            </w:pPr>
            <w:r>
              <w:t>26.1%</w:t>
            </w:r>
          </w:p>
        </w:tc>
        <w:tc>
          <w:tcPr>
            <w:tcW w:w="977" w:type="dxa"/>
          </w:tcPr>
          <w:p w:rsidR="00A176BD" w:rsidRDefault="00A176BD" w:rsidP="00504C3F">
            <w:pPr>
              <w:pStyle w:val="TableTextRight0"/>
            </w:pPr>
            <w:r>
              <w:t>26.5%</w:t>
            </w:r>
          </w:p>
        </w:tc>
        <w:tc>
          <w:tcPr>
            <w:tcW w:w="976" w:type="dxa"/>
          </w:tcPr>
          <w:p w:rsidR="00A176BD" w:rsidRDefault="00A176BD" w:rsidP="00504C3F">
            <w:pPr>
              <w:pStyle w:val="TableTextRight0"/>
            </w:pPr>
            <w:r>
              <w:t>26.9%</w:t>
            </w:r>
          </w:p>
        </w:tc>
        <w:tc>
          <w:tcPr>
            <w:tcW w:w="910" w:type="dxa"/>
          </w:tcPr>
          <w:p w:rsidR="00A176BD" w:rsidRDefault="00A176BD" w:rsidP="00504C3F">
            <w:pPr>
              <w:pStyle w:val="TableTextRight0"/>
            </w:pPr>
            <w:r>
              <w:t>27.3%</w:t>
            </w:r>
          </w:p>
        </w:tc>
        <w:tc>
          <w:tcPr>
            <w:tcW w:w="938" w:type="dxa"/>
          </w:tcPr>
          <w:p w:rsidR="00A176BD" w:rsidRDefault="00A176BD" w:rsidP="00504C3F">
            <w:pPr>
              <w:pStyle w:val="TableTextRight0"/>
            </w:pPr>
            <w:r>
              <w:t>27.7%</w:t>
            </w:r>
          </w:p>
        </w:tc>
      </w:tr>
      <w:tr w:rsidR="00A176BD" w:rsidTr="00E14B6C">
        <w:tc>
          <w:tcPr>
            <w:tcW w:w="2499" w:type="dxa"/>
          </w:tcPr>
          <w:p w:rsidR="00A176BD" w:rsidRDefault="00A176BD" w:rsidP="00504C3F">
            <w:pPr>
              <w:pStyle w:val="TableText"/>
            </w:pPr>
            <w:r>
              <w:t>- Other managers</w:t>
            </w:r>
          </w:p>
        </w:tc>
        <w:tc>
          <w:tcPr>
            <w:tcW w:w="1059" w:type="dxa"/>
          </w:tcPr>
          <w:p w:rsidR="00A176BD" w:rsidRDefault="00A176BD" w:rsidP="00504C3F">
            <w:pPr>
              <w:pStyle w:val="TableTextRight0"/>
            </w:pPr>
            <w:r>
              <w:t>36.8%</w:t>
            </w:r>
          </w:p>
        </w:tc>
        <w:tc>
          <w:tcPr>
            <w:tcW w:w="977" w:type="dxa"/>
          </w:tcPr>
          <w:p w:rsidR="00A176BD" w:rsidRDefault="00A176BD" w:rsidP="00504C3F">
            <w:pPr>
              <w:pStyle w:val="TableTextRight0"/>
            </w:pPr>
            <w:r>
              <w:t>38%</w:t>
            </w:r>
          </w:p>
        </w:tc>
        <w:tc>
          <w:tcPr>
            <w:tcW w:w="976" w:type="dxa"/>
          </w:tcPr>
          <w:p w:rsidR="00A176BD" w:rsidRDefault="00A176BD" w:rsidP="00504C3F">
            <w:pPr>
              <w:pStyle w:val="TableTextRight0"/>
            </w:pPr>
            <w:r>
              <w:t>39%</w:t>
            </w:r>
          </w:p>
        </w:tc>
        <w:tc>
          <w:tcPr>
            <w:tcW w:w="910" w:type="dxa"/>
          </w:tcPr>
          <w:p w:rsidR="00A176BD" w:rsidRDefault="00A176BD" w:rsidP="00504C3F">
            <w:pPr>
              <w:pStyle w:val="TableTextRight0"/>
            </w:pPr>
            <w:r>
              <w:t>40%</w:t>
            </w:r>
          </w:p>
        </w:tc>
        <w:tc>
          <w:tcPr>
            <w:tcW w:w="938" w:type="dxa"/>
          </w:tcPr>
          <w:p w:rsidR="00A176BD" w:rsidRDefault="00A176BD" w:rsidP="00504C3F">
            <w:pPr>
              <w:pStyle w:val="TableTextRight0"/>
            </w:pPr>
            <w:r>
              <w:t>41%</w:t>
            </w:r>
          </w:p>
        </w:tc>
      </w:tr>
      <w:tr w:rsidR="00A176BD" w:rsidTr="00E14B6C">
        <w:tc>
          <w:tcPr>
            <w:tcW w:w="2499" w:type="dxa"/>
          </w:tcPr>
          <w:p w:rsidR="00A176BD" w:rsidRDefault="00A176BD" w:rsidP="00FD7A9E">
            <w:pPr>
              <w:pStyle w:val="TableText"/>
              <w:jc w:val="left"/>
            </w:pPr>
            <w:r>
              <w:t>Percentage of relevant employers that have conducted gender remuneration gap analyses</w:t>
            </w:r>
          </w:p>
        </w:tc>
        <w:tc>
          <w:tcPr>
            <w:tcW w:w="1059" w:type="dxa"/>
          </w:tcPr>
          <w:p w:rsidR="00A176BD" w:rsidRDefault="00A176BD" w:rsidP="00504C3F">
            <w:pPr>
              <w:pStyle w:val="TableTextRight0"/>
            </w:pPr>
            <w:r>
              <w:t>24%</w:t>
            </w:r>
          </w:p>
        </w:tc>
        <w:tc>
          <w:tcPr>
            <w:tcW w:w="977" w:type="dxa"/>
          </w:tcPr>
          <w:p w:rsidR="00A176BD" w:rsidRDefault="00A176BD" w:rsidP="00504C3F">
            <w:pPr>
              <w:pStyle w:val="TableTextRight0"/>
            </w:pPr>
            <w:r>
              <w:t>25%</w:t>
            </w:r>
          </w:p>
        </w:tc>
        <w:tc>
          <w:tcPr>
            <w:tcW w:w="976" w:type="dxa"/>
          </w:tcPr>
          <w:p w:rsidR="00A176BD" w:rsidRDefault="00A176BD" w:rsidP="00504C3F">
            <w:pPr>
              <w:pStyle w:val="TableTextRight0"/>
            </w:pPr>
            <w:r>
              <w:t>25.5%</w:t>
            </w:r>
          </w:p>
        </w:tc>
        <w:tc>
          <w:tcPr>
            <w:tcW w:w="910" w:type="dxa"/>
          </w:tcPr>
          <w:p w:rsidR="00A176BD" w:rsidRDefault="00A176BD" w:rsidP="00504C3F">
            <w:pPr>
              <w:pStyle w:val="TableTextRight0"/>
            </w:pPr>
            <w:r>
              <w:t>26%</w:t>
            </w:r>
          </w:p>
        </w:tc>
        <w:tc>
          <w:tcPr>
            <w:tcW w:w="938" w:type="dxa"/>
          </w:tcPr>
          <w:p w:rsidR="00A176BD" w:rsidRDefault="00A176BD" w:rsidP="00504C3F">
            <w:pPr>
              <w:pStyle w:val="TableTextRight0"/>
            </w:pPr>
            <w:r>
              <w:t>27%</w:t>
            </w:r>
          </w:p>
        </w:tc>
      </w:tr>
      <w:tr w:rsidR="00A176BD" w:rsidTr="00E14B6C">
        <w:tc>
          <w:tcPr>
            <w:tcW w:w="2499" w:type="dxa"/>
          </w:tcPr>
          <w:p w:rsidR="00A176BD" w:rsidRDefault="00A176BD" w:rsidP="00FD7A9E">
            <w:pPr>
              <w:pStyle w:val="TableText"/>
              <w:jc w:val="left"/>
            </w:pPr>
            <w:r>
              <w:t>Percentage of relevant employers with a strategy or policy to support employees with family or caring responsibilities</w:t>
            </w:r>
          </w:p>
        </w:tc>
        <w:tc>
          <w:tcPr>
            <w:tcW w:w="1059" w:type="dxa"/>
          </w:tcPr>
          <w:p w:rsidR="00A176BD" w:rsidRDefault="00A176BD" w:rsidP="00504C3F">
            <w:pPr>
              <w:pStyle w:val="TableTextRight0"/>
            </w:pPr>
            <w:r>
              <w:t>55.1%</w:t>
            </w:r>
          </w:p>
        </w:tc>
        <w:tc>
          <w:tcPr>
            <w:tcW w:w="977" w:type="dxa"/>
          </w:tcPr>
          <w:p w:rsidR="00A176BD" w:rsidRDefault="00A176BD" w:rsidP="00504C3F">
            <w:pPr>
              <w:pStyle w:val="TableTextRight0"/>
            </w:pPr>
            <w:r>
              <w:t>56%</w:t>
            </w:r>
          </w:p>
        </w:tc>
        <w:tc>
          <w:tcPr>
            <w:tcW w:w="976" w:type="dxa"/>
          </w:tcPr>
          <w:p w:rsidR="00A176BD" w:rsidRDefault="00A176BD" w:rsidP="00504C3F">
            <w:pPr>
              <w:pStyle w:val="TableTextRight0"/>
            </w:pPr>
            <w:r>
              <w:t>57%</w:t>
            </w:r>
          </w:p>
        </w:tc>
        <w:tc>
          <w:tcPr>
            <w:tcW w:w="910" w:type="dxa"/>
          </w:tcPr>
          <w:p w:rsidR="00A176BD" w:rsidRDefault="00A176BD" w:rsidP="00504C3F">
            <w:pPr>
              <w:pStyle w:val="TableTextRight0"/>
            </w:pPr>
            <w:r>
              <w:t>58%</w:t>
            </w:r>
          </w:p>
        </w:tc>
        <w:tc>
          <w:tcPr>
            <w:tcW w:w="938" w:type="dxa"/>
          </w:tcPr>
          <w:p w:rsidR="00A176BD" w:rsidRDefault="00A176BD" w:rsidP="00504C3F">
            <w:pPr>
              <w:pStyle w:val="TableTextRight0"/>
            </w:pPr>
            <w:r>
              <w:t>59%</w:t>
            </w:r>
          </w:p>
        </w:tc>
      </w:tr>
      <w:tr w:rsidR="00A176BD" w:rsidTr="00E14B6C">
        <w:tc>
          <w:tcPr>
            <w:tcW w:w="2499" w:type="dxa"/>
          </w:tcPr>
          <w:p w:rsidR="00A176BD" w:rsidRDefault="00A176BD" w:rsidP="00FD7A9E">
            <w:pPr>
              <w:pStyle w:val="TableText"/>
              <w:jc w:val="left"/>
            </w:pPr>
            <w:r>
              <w:t>Number of visits to Agency website</w:t>
            </w:r>
          </w:p>
        </w:tc>
        <w:tc>
          <w:tcPr>
            <w:tcW w:w="1059" w:type="dxa"/>
          </w:tcPr>
          <w:p w:rsidR="00A176BD" w:rsidRDefault="00A176BD" w:rsidP="00504C3F">
            <w:pPr>
              <w:pStyle w:val="TableTextRight0"/>
            </w:pPr>
            <w:r>
              <w:t>200,000</w:t>
            </w:r>
          </w:p>
        </w:tc>
        <w:tc>
          <w:tcPr>
            <w:tcW w:w="977" w:type="dxa"/>
          </w:tcPr>
          <w:p w:rsidR="00A176BD" w:rsidRDefault="00A176BD" w:rsidP="00504C3F">
            <w:pPr>
              <w:pStyle w:val="TableTextRight0"/>
            </w:pPr>
            <w:r>
              <w:t>210,000</w:t>
            </w:r>
          </w:p>
        </w:tc>
        <w:tc>
          <w:tcPr>
            <w:tcW w:w="976" w:type="dxa"/>
          </w:tcPr>
          <w:p w:rsidR="00A176BD" w:rsidRDefault="00A176BD" w:rsidP="00504C3F">
            <w:pPr>
              <w:pStyle w:val="TableTextRight0"/>
            </w:pPr>
            <w:r>
              <w:t>220,500</w:t>
            </w:r>
          </w:p>
        </w:tc>
        <w:tc>
          <w:tcPr>
            <w:tcW w:w="910" w:type="dxa"/>
          </w:tcPr>
          <w:p w:rsidR="00A176BD" w:rsidRDefault="00A176BD" w:rsidP="00504C3F">
            <w:pPr>
              <w:pStyle w:val="TableTextRight0"/>
            </w:pPr>
            <w:r>
              <w:t>231,525</w:t>
            </w:r>
          </w:p>
        </w:tc>
        <w:tc>
          <w:tcPr>
            <w:tcW w:w="938" w:type="dxa"/>
          </w:tcPr>
          <w:p w:rsidR="00A176BD" w:rsidRDefault="00A176BD" w:rsidP="00504C3F">
            <w:pPr>
              <w:pStyle w:val="TableTextRight0"/>
            </w:pPr>
            <w:r>
              <w:t>243,101</w:t>
            </w:r>
          </w:p>
        </w:tc>
      </w:tr>
    </w:tbl>
    <w:p w:rsidR="003F7E20" w:rsidRDefault="003F7E20">
      <w:pPr>
        <w:pStyle w:val="Heading2"/>
        <w:spacing w:before="0" w:after="120"/>
      </w:pPr>
      <w:r>
        <w:br w:type="page"/>
      </w:r>
      <w:r>
        <w:lastRenderedPageBreak/>
        <w:t>Section 3: Explanatory tables and budgeted financial statements</w:t>
      </w:r>
    </w:p>
    <w:p w:rsidR="00A81D60" w:rsidRDefault="00A81D60" w:rsidP="00A81D60">
      <w:r>
        <w:t>Section 3 presents explanatory tables and budgeted financial statements which provide a comprehensive snapshot of entity finances for the 2015–16</w:t>
      </w:r>
      <w:r>
        <w:rPr>
          <w:color w:val="00B050"/>
        </w:rPr>
        <w:t xml:space="preserve"> </w:t>
      </w:r>
      <w:r>
        <w:t xml:space="preserve">budget </w:t>
      </w:r>
      <w:proofErr w:type="gramStart"/>
      <w:r>
        <w:t>year</w:t>
      </w:r>
      <w:proofErr w:type="gramEnd"/>
      <w:r>
        <w:t>.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3F7E20" w:rsidRDefault="003F7E20" w:rsidP="0027614D">
      <w:pPr>
        <w:pStyle w:val="Heading3"/>
      </w:pPr>
      <w:r>
        <w:t>3.1</w:t>
      </w:r>
      <w:r>
        <w:tab/>
        <w:t>Explanatory tables</w:t>
      </w:r>
    </w:p>
    <w:p w:rsidR="003F7E20" w:rsidRDefault="003F7E20" w:rsidP="007E67BD">
      <w:pPr>
        <w:pStyle w:val="Heading4"/>
      </w:pPr>
      <w:r>
        <w:t>3.1.1</w:t>
      </w:r>
      <w:r>
        <w:tab/>
        <w:t>Movement of administered funds between years</w:t>
      </w:r>
    </w:p>
    <w:p w:rsidR="003F7E20" w:rsidRDefault="003F7E20" w:rsidP="008B11D0">
      <w:r>
        <w:t xml:space="preserve">WGEA does not have any administered funds.  For this reason Table 3.1.1 is not presented. </w:t>
      </w:r>
    </w:p>
    <w:p w:rsidR="003F7E20" w:rsidRDefault="003F7E20">
      <w:pPr>
        <w:pStyle w:val="Heading4"/>
        <w:spacing w:before="0"/>
      </w:pPr>
      <w:r>
        <w:t>3.1.2</w:t>
      </w:r>
      <w:r>
        <w:tab/>
        <w:t>Special accounts</w:t>
      </w:r>
    </w:p>
    <w:p w:rsidR="003F7E20" w:rsidRDefault="003F7E20" w:rsidP="00F87B5B">
      <w:r>
        <w:t xml:space="preserve">WGEA does not have any special accounts.  For this reason Table 3.1.2 is not </w:t>
      </w:r>
      <w:r w:rsidR="00E56782">
        <w:t>presented.</w:t>
      </w:r>
    </w:p>
    <w:p w:rsidR="003F7E20" w:rsidRDefault="003F7E20" w:rsidP="00B04964">
      <w:pPr>
        <w:pStyle w:val="Heading4"/>
      </w:pPr>
      <w:r>
        <w:t>3.1.3</w:t>
      </w:r>
      <w:r>
        <w:tab/>
        <w:t xml:space="preserve">Australian Government Indigenous </w:t>
      </w:r>
      <w:r w:rsidR="00A81D60">
        <w:t>e</w:t>
      </w:r>
      <w:r>
        <w:t>xpenditure</w:t>
      </w:r>
    </w:p>
    <w:p w:rsidR="003F7E20" w:rsidRPr="0006544F" w:rsidRDefault="00EE79BD" w:rsidP="00F87B5B">
      <w:r>
        <w:t xml:space="preserve">WGEA does not have any </w:t>
      </w:r>
      <w:r w:rsidR="003F7E20">
        <w:t xml:space="preserve">Australian Government Indigenous </w:t>
      </w:r>
      <w:r w:rsidR="00A81D60">
        <w:t>e</w:t>
      </w:r>
      <w:r w:rsidR="003F7E20">
        <w:t>xpenditure.</w:t>
      </w:r>
      <w:r w:rsidR="003F7E20" w:rsidRPr="0006544F">
        <w:t xml:space="preserve"> For this reason Table 3.1.3 is not presented.</w:t>
      </w:r>
    </w:p>
    <w:p w:rsidR="0096278C" w:rsidRDefault="0096278C" w:rsidP="00EA5A9E">
      <w:pPr>
        <w:pStyle w:val="Heading3"/>
      </w:pPr>
      <w:r>
        <w:br w:type="page"/>
      </w:r>
    </w:p>
    <w:p w:rsidR="003F7E20" w:rsidRDefault="003F7E20" w:rsidP="00EA5A9E">
      <w:pPr>
        <w:pStyle w:val="Heading3"/>
      </w:pPr>
      <w:r>
        <w:lastRenderedPageBreak/>
        <w:t>3.2</w:t>
      </w:r>
      <w:r>
        <w:tab/>
        <w:t>Budgeted financial statements</w:t>
      </w:r>
    </w:p>
    <w:p w:rsidR="003F7E20" w:rsidRDefault="003F7E20" w:rsidP="00E4582E">
      <w:pPr>
        <w:pStyle w:val="Heading4"/>
      </w:pPr>
      <w:r>
        <w:t>3.2.1</w:t>
      </w:r>
      <w:r>
        <w:tab/>
        <w:t>Differences in entity resourcing and financial statements</w:t>
      </w:r>
    </w:p>
    <w:p w:rsidR="003F7E20" w:rsidRPr="00F17538" w:rsidRDefault="003F7E20" w:rsidP="00F87B5B">
      <w:r w:rsidRPr="00F17538">
        <w:t>Table 3.2.1 recognises the full year revenue for 201</w:t>
      </w:r>
      <w:r>
        <w:t>5</w:t>
      </w:r>
      <w:r w:rsidRPr="00F17538">
        <w:t>–1</w:t>
      </w:r>
      <w:r>
        <w:t xml:space="preserve">6 </w:t>
      </w:r>
      <w:r w:rsidRPr="00F17538">
        <w:t>on the basis of accrual accounting principles.</w:t>
      </w:r>
    </w:p>
    <w:p w:rsidR="003F7E20" w:rsidRDefault="003F7E20" w:rsidP="00E4582E">
      <w:pPr>
        <w:pStyle w:val="Heading4"/>
      </w:pPr>
      <w:r>
        <w:t>3.2.2</w:t>
      </w:r>
      <w:r>
        <w:tab/>
        <w:t>Analysis of budgeted financial statements</w:t>
      </w:r>
    </w:p>
    <w:p w:rsidR="003F7E20" w:rsidRPr="00F17538" w:rsidRDefault="003F7E20" w:rsidP="009C23DA">
      <w:pPr>
        <w:pStyle w:val="ExampleText0"/>
        <w:rPr>
          <w:i w:val="0"/>
          <w:color w:val="auto"/>
        </w:rPr>
      </w:pPr>
      <w:r w:rsidRPr="00F17538">
        <w:rPr>
          <w:i w:val="0"/>
          <w:color w:val="auto"/>
        </w:rPr>
        <w:t>The Workplace Gender Equality Agency is budgeting for an operating result equal to the unappropriated depreciation and amortisation expense in 2015</w:t>
      </w:r>
      <w:r w:rsidR="00732561">
        <w:rPr>
          <w:i w:val="0"/>
          <w:color w:val="auto"/>
        </w:rPr>
        <w:t>–</w:t>
      </w:r>
      <w:r w:rsidRPr="00F17538">
        <w:rPr>
          <w:i w:val="0"/>
          <w:color w:val="auto"/>
        </w:rPr>
        <w:t>16 and the three forward years.</w:t>
      </w:r>
    </w:p>
    <w:p w:rsidR="003F7E20" w:rsidRPr="00F17538" w:rsidRDefault="003F7E20" w:rsidP="009C23DA">
      <w:pPr>
        <w:pStyle w:val="ExampleText0"/>
        <w:rPr>
          <w:i w:val="0"/>
          <w:color w:val="auto"/>
        </w:rPr>
      </w:pPr>
      <w:r w:rsidRPr="00F17538">
        <w:rPr>
          <w:i w:val="0"/>
          <w:color w:val="auto"/>
        </w:rPr>
        <w:t>Total revenues are estimated to be $</w:t>
      </w:r>
      <w:r w:rsidR="002454A5">
        <w:rPr>
          <w:i w:val="0"/>
          <w:color w:val="auto"/>
        </w:rPr>
        <w:t>5</w:t>
      </w:r>
      <w:r>
        <w:rPr>
          <w:i w:val="0"/>
          <w:color w:val="auto"/>
        </w:rPr>
        <w:t xml:space="preserve"> </w:t>
      </w:r>
      <w:r w:rsidRPr="00F17538">
        <w:rPr>
          <w:i w:val="0"/>
          <w:color w:val="auto"/>
        </w:rPr>
        <w:t>million in 2015</w:t>
      </w:r>
      <w:r w:rsidR="00732561">
        <w:rPr>
          <w:i w:val="0"/>
          <w:color w:val="auto"/>
        </w:rPr>
        <w:t>–</w:t>
      </w:r>
      <w:r w:rsidRPr="00F17538">
        <w:rPr>
          <w:i w:val="0"/>
          <w:color w:val="auto"/>
        </w:rPr>
        <w:t>16, and total expenses to be $</w:t>
      </w:r>
      <w:r w:rsidR="002454A5">
        <w:rPr>
          <w:i w:val="0"/>
          <w:color w:val="auto"/>
        </w:rPr>
        <w:t>5.7</w:t>
      </w:r>
      <w:r w:rsidRPr="00F17538">
        <w:rPr>
          <w:i w:val="0"/>
          <w:color w:val="auto"/>
        </w:rPr>
        <w:t xml:space="preserve"> million.</w:t>
      </w:r>
    </w:p>
    <w:p w:rsidR="003F7E20" w:rsidRPr="00F17538" w:rsidRDefault="003F7E20" w:rsidP="009C23DA">
      <w:pPr>
        <w:pStyle w:val="ExampleText0"/>
        <w:rPr>
          <w:i w:val="0"/>
          <w:color w:val="auto"/>
        </w:rPr>
      </w:pPr>
      <w:r w:rsidRPr="00F17538">
        <w:rPr>
          <w:i w:val="0"/>
          <w:color w:val="auto"/>
        </w:rPr>
        <w:t>Total assets for 2015</w:t>
      </w:r>
      <w:r w:rsidR="00732561">
        <w:rPr>
          <w:i w:val="0"/>
          <w:color w:val="auto"/>
        </w:rPr>
        <w:t>–</w:t>
      </w:r>
      <w:r w:rsidRPr="00F17538">
        <w:rPr>
          <w:i w:val="0"/>
          <w:color w:val="auto"/>
        </w:rPr>
        <w:t>16 are estimated to be $</w:t>
      </w:r>
      <w:r w:rsidR="002454A5">
        <w:rPr>
          <w:i w:val="0"/>
          <w:color w:val="auto"/>
        </w:rPr>
        <w:t>3</w:t>
      </w:r>
      <w:r w:rsidRPr="00F17538">
        <w:rPr>
          <w:i w:val="0"/>
          <w:color w:val="auto"/>
        </w:rPr>
        <w:t xml:space="preserve"> million.  The majority of the assets represent receivables (appropriations receivable) and intangibles.</w:t>
      </w:r>
    </w:p>
    <w:p w:rsidR="003F7E20" w:rsidRPr="00F17538" w:rsidRDefault="003F7E20" w:rsidP="009C23DA">
      <w:pPr>
        <w:pStyle w:val="ExampleText0"/>
        <w:rPr>
          <w:i w:val="0"/>
          <w:color w:val="auto"/>
        </w:rPr>
      </w:pPr>
      <w:r w:rsidRPr="00F17538">
        <w:rPr>
          <w:i w:val="0"/>
          <w:color w:val="auto"/>
        </w:rPr>
        <w:t>Total liabilities for 2015</w:t>
      </w:r>
      <w:r w:rsidR="00732561">
        <w:rPr>
          <w:i w:val="0"/>
          <w:color w:val="auto"/>
        </w:rPr>
        <w:t>–</w:t>
      </w:r>
      <w:r w:rsidR="00732561" w:rsidRPr="00F17538">
        <w:rPr>
          <w:i w:val="0"/>
          <w:color w:val="auto"/>
        </w:rPr>
        <w:t>1</w:t>
      </w:r>
      <w:r w:rsidR="00732561">
        <w:rPr>
          <w:i w:val="0"/>
          <w:color w:val="auto"/>
        </w:rPr>
        <w:t>6</w:t>
      </w:r>
      <w:r w:rsidR="00732561" w:rsidRPr="00F17538">
        <w:rPr>
          <w:i w:val="0"/>
          <w:color w:val="auto"/>
        </w:rPr>
        <w:t xml:space="preserve"> </w:t>
      </w:r>
      <w:r w:rsidRPr="00F17538">
        <w:rPr>
          <w:i w:val="0"/>
          <w:color w:val="auto"/>
        </w:rPr>
        <w:t>are estimated to be $</w:t>
      </w:r>
      <w:r>
        <w:rPr>
          <w:i w:val="0"/>
          <w:color w:val="auto"/>
        </w:rPr>
        <w:t>1</w:t>
      </w:r>
      <w:r w:rsidRPr="00F17538">
        <w:rPr>
          <w:i w:val="0"/>
          <w:color w:val="auto"/>
        </w:rPr>
        <w:t xml:space="preserve"> million.  The largest liabilities are accrued employee entitlements.</w:t>
      </w:r>
      <w:r w:rsidR="003F0F41">
        <w:rPr>
          <w:i w:val="0"/>
          <w:color w:val="auto"/>
        </w:rPr>
        <w:t xml:space="preserve"> </w:t>
      </w:r>
    </w:p>
    <w:p w:rsidR="003F7E20" w:rsidRDefault="003F7E20" w:rsidP="00E4582E">
      <w:pPr>
        <w:pStyle w:val="Heading4"/>
      </w:pPr>
      <w:r>
        <w:br w:type="page"/>
      </w:r>
      <w:r>
        <w:lastRenderedPageBreak/>
        <w:t>3.2.3</w:t>
      </w:r>
      <w:r>
        <w:tab/>
        <w:t>Budgeted financial statements tables</w:t>
      </w:r>
    </w:p>
    <w:p w:rsidR="003F7E20" w:rsidRDefault="003F7E20" w:rsidP="00E4582E">
      <w:pPr>
        <w:pStyle w:val="TableHeading"/>
        <w:rPr>
          <w:snapToGrid w:val="0"/>
        </w:rPr>
      </w:pPr>
      <w:r w:rsidRPr="00E855E0">
        <w:t>Table 3.2.1</w:t>
      </w:r>
      <w:r>
        <w:t>:</w:t>
      </w:r>
      <w:r w:rsidRPr="00E855E0">
        <w:t xml:space="preserve"> Comprehensive income statement (showing net cost of services)</w:t>
      </w:r>
      <w:r>
        <w:t xml:space="preserve"> </w:t>
      </w:r>
      <w:r>
        <w:rPr>
          <w:snapToGrid w:val="0"/>
        </w:rPr>
        <w:t>for the period ended 30 June</w:t>
      </w:r>
    </w:p>
    <w:p w:rsidR="003F7E20" w:rsidRPr="00DB2D39" w:rsidRDefault="001669D2" w:rsidP="00DB2D39">
      <w:pPr>
        <w:pStyle w:val="TableGraphic"/>
      </w:pPr>
      <w:r>
        <w:pict>
          <v:shape id="_x0000_i1147" type="#_x0000_t75" style="width:358.75pt;height:300.5pt">
            <v:imagedata r:id="rId23" o:title=""/>
          </v:shape>
        </w:pict>
      </w:r>
    </w:p>
    <w:p w:rsidR="00DB2D39" w:rsidRDefault="00DB2D39" w:rsidP="00E4582E">
      <w:pPr>
        <w:pStyle w:val="Source"/>
      </w:pPr>
      <w:r>
        <w:br w:type="page"/>
      </w:r>
    </w:p>
    <w:p w:rsidR="00DB2D39" w:rsidRDefault="00DB2D39" w:rsidP="00DB2D39">
      <w:pPr>
        <w:pStyle w:val="TableHeading"/>
        <w:rPr>
          <w:snapToGrid w:val="0"/>
        </w:rPr>
      </w:pPr>
      <w:r w:rsidRPr="00E855E0">
        <w:lastRenderedPageBreak/>
        <w:t>Table 3.2.1</w:t>
      </w:r>
      <w:r>
        <w:t>:</w:t>
      </w:r>
      <w:r w:rsidRPr="00E855E0">
        <w:t xml:space="preserve"> Comprehensive income statement (showing net cost of services)</w:t>
      </w:r>
      <w:r>
        <w:t xml:space="preserve"> </w:t>
      </w:r>
      <w:r>
        <w:rPr>
          <w:snapToGrid w:val="0"/>
        </w:rPr>
        <w:t>for the period ended 30 June (continued)</w:t>
      </w:r>
    </w:p>
    <w:p w:rsidR="00FE4BF0" w:rsidRPr="00FE4BF0" w:rsidRDefault="00FE4BF0" w:rsidP="00FE4BF0">
      <w:pPr>
        <w:pStyle w:val="TableHeading"/>
      </w:pPr>
      <w:r w:rsidRPr="00FE4BF0">
        <w:t>Note: Impact of net cash appropriation arrangements</w:t>
      </w:r>
    </w:p>
    <w:p w:rsidR="00FE4BF0" w:rsidRPr="00474747" w:rsidRDefault="001669D2" w:rsidP="00474747">
      <w:pPr>
        <w:pStyle w:val="TableGraphic"/>
      </w:pPr>
      <w:r>
        <w:pict>
          <v:shape id="_x0000_i1148" type="#_x0000_t75" style="width:358.75pt;height:128.35pt">
            <v:imagedata r:id="rId24" o:title=""/>
          </v:shape>
        </w:pict>
      </w:r>
    </w:p>
    <w:p w:rsidR="00732561" w:rsidRPr="00474747" w:rsidRDefault="00732561" w:rsidP="00474747">
      <w:pPr>
        <w:pStyle w:val="FootnoteText"/>
      </w:pPr>
    </w:p>
    <w:p w:rsidR="009B5B95" w:rsidRDefault="009B5B95" w:rsidP="00732561">
      <w:pPr>
        <w:pStyle w:val="FootnoteText"/>
      </w:pPr>
      <w:r w:rsidRPr="00FE4BF0">
        <w:rPr>
          <w:vertAlign w:val="superscript"/>
        </w:rPr>
        <w:t>1</w:t>
      </w:r>
      <w:r w:rsidRPr="009B5B95">
        <w:t xml:space="preserve"> From 2010</w:t>
      </w:r>
      <w:r>
        <w:t>–11, the g</w:t>
      </w:r>
      <w:r w:rsidRPr="009B5B95">
        <w:t xml:space="preserve">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w:t>
      </w:r>
      <w:proofErr w:type="spellStart"/>
      <w:r w:rsidRPr="009B5B95">
        <w:t>DCB</w:t>
      </w:r>
      <w:proofErr w:type="spellEnd"/>
      <w:r w:rsidRPr="009B5B95">
        <w:t xml:space="preserve">) provided through Bill 1 equity appropriations. For information regarding </w:t>
      </w:r>
      <w:proofErr w:type="spellStart"/>
      <w:r w:rsidRPr="009B5B95">
        <w:t>DCBs</w:t>
      </w:r>
      <w:proofErr w:type="spellEnd"/>
      <w:r w:rsidRPr="009B5B95">
        <w:t>, please refer to Table 3.2.5 Departmental Capital Budget Statement.</w:t>
      </w:r>
    </w:p>
    <w:p w:rsidR="003F7E20" w:rsidRDefault="003F7E20" w:rsidP="00732561">
      <w:pPr>
        <w:pStyle w:val="FootnoteText"/>
      </w:pPr>
      <w:proofErr w:type="gramStart"/>
      <w:r w:rsidRPr="00E4582E">
        <w:t>Prepared on Australian Accounting Standards basis</w:t>
      </w:r>
      <w:r>
        <w:t>.</w:t>
      </w:r>
      <w:proofErr w:type="gramEnd"/>
    </w:p>
    <w:p w:rsidR="003F7E20" w:rsidRDefault="003F7E20" w:rsidP="00EA5A9E">
      <w:pPr>
        <w:pStyle w:val="TableHeading"/>
      </w:pPr>
      <w:r>
        <w:br w:type="page"/>
      </w:r>
      <w:r w:rsidRPr="00E4582E">
        <w:lastRenderedPageBreak/>
        <w:t>Table 3.2.2: Budg</w:t>
      </w:r>
      <w:r>
        <w:t xml:space="preserve">eted departmental balance sheet </w:t>
      </w:r>
      <w:r w:rsidRPr="00E4582E">
        <w:t>(as at 30 June)</w:t>
      </w:r>
    </w:p>
    <w:p w:rsidR="003F7E20" w:rsidRPr="00F626C2" w:rsidRDefault="001669D2" w:rsidP="00F626C2">
      <w:pPr>
        <w:pStyle w:val="TableGraphic"/>
      </w:pPr>
      <w:r>
        <w:rPr>
          <w:noProof/>
        </w:rPr>
        <w:pict>
          <v:shape id="_x0000_i1149" type="#_x0000_t75" style="width:358.1pt;height:351.85pt">
            <v:imagedata r:id="rId25" o:title=""/>
          </v:shape>
        </w:pict>
      </w:r>
    </w:p>
    <w:p w:rsidR="00DB2D39" w:rsidRDefault="00DB2D39" w:rsidP="00732561">
      <w:pPr>
        <w:pStyle w:val="TableHeading"/>
      </w:pPr>
      <w:r>
        <w:br w:type="page"/>
      </w:r>
    </w:p>
    <w:p w:rsidR="003F7E20" w:rsidRPr="00732561" w:rsidRDefault="003F7E20" w:rsidP="00732561">
      <w:pPr>
        <w:pStyle w:val="TableHeading"/>
      </w:pPr>
      <w:r w:rsidRPr="00732561">
        <w:lastRenderedPageBreak/>
        <w:t>Table 3.2.2: Budgeted departmental balance sheet (as at 30 June) (continued)</w:t>
      </w:r>
    </w:p>
    <w:p w:rsidR="003F7E20" w:rsidRPr="00F626C2" w:rsidRDefault="001669D2" w:rsidP="00F626C2">
      <w:pPr>
        <w:pStyle w:val="TableGraphic"/>
      </w:pPr>
      <w:r>
        <w:pict>
          <v:shape id="_x0000_i1150" type="#_x0000_t75" style="width:358.75pt;height:126.45pt">
            <v:imagedata r:id="rId26" o:title=""/>
          </v:shape>
        </w:pict>
      </w:r>
    </w:p>
    <w:p w:rsidR="00FE4BF0" w:rsidRDefault="00FE4BF0" w:rsidP="00A10AD7">
      <w:pPr>
        <w:pStyle w:val="FootnoteText"/>
      </w:pPr>
    </w:p>
    <w:p w:rsidR="003F7E20" w:rsidRDefault="003F7E20" w:rsidP="00A10AD7">
      <w:pPr>
        <w:pStyle w:val="FootnoteText"/>
      </w:pPr>
      <w:r w:rsidRPr="00E4582E">
        <w:t>*</w:t>
      </w:r>
      <w:r>
        <w:t>’</w:t>
      </w:r>
      <w:r w:rsidRPr="00F626C2">
        <w:t>E</w:t>
      </w:r>
      <w:r>
        <w:t>quity’</w:t>
      </w:r>
      <w:r w:rsidRPr="00E4582E">
        <w:t xml:space="preserve"> is the residual interest in assets after deduction of liabilities.</w:t>
      </w:r>
    </w:p>
    <w:p w:rsidR="003F7E20" w:rsidRDefault="003F7E20" w:rsidP="00A10AD7">
      <w:pPr>
        <w:pStyle w:val="FootnoteText"/>
      </w:pPr>
      <w:proofErr w:type="gramStart"/>
      <w:r>
        <w:t>Prepared on Australian Accounting Standards basis.</w:t>
      </w:r>
      <w:proofErr w:type="gramEnd"/>
    </w:p>
    <w:p w:rsidR="003F7E20" w:rsidRPr="00732561" w:rsidRDefault="003F7E20" w:rsidP="00732561">
      <w:pPr>
        <w:pStyle w:val="TableHeading"/>
      </w:pPr>
      <w:r>
        <w:br w:type="page"/>
      </w:r>
      <w:r w:rsidRPr="00732561">
        <w:lastRenderedPageBreak/>
        <w:t>Table 3.2.3: Departmental statement of changes in equity — summary of movement (Budget year 2015</w:t>
      </w:r>
      <w:r w:rsidR="009C4583">
        <w:t>–</w:t>
      </w:r>
      <w:r w:rsidRPr="00732561">
        <w:t>16)</w:t>
      </w:r>
    </w:p>
    <w:p w:rsidR="00FE4BF0" w:rsidRDefault="001669D2" w:rsidP="002454A5">
      <w:pPr>
        <w:pStyle w:val="FootnoteText"/>
      </w:pPr>
      <w:r>
        <w:rPr>
          <w:noProof/>
        </w:rPr>
        <w:pict>
          <v:shape id="_x0000_i1151" type="#_x0000_t75" style="width:366.9pt;height:272.35pt">
            <v:imagedata r:id="rId27" o:title=""/>
          </v:shape>
        </w:pict>
      </w:r>
    </w:p>
    <w:p w:rsidR="003F7E20" w:rsidRPr="00A10AD7" w:rsidRDefault="003F7E20" w:rsidP="00A10AD7">
      <w:pPr>
        <w:pStyle w:val="FootnoteText"/>
      </w:pPr>
      <w:proofErr w:type="gramStart"/>
      <w:r w:rsidRPr="00A10AD7">
        <w:t>Prepared on Australian Accounting Standards basis.</w:t>
      </w:r>
      <w:proofErr w:type="gramEnd"/>
    </w:p>
    <w:p w:rsidR="003F7E20" w:rsidRPr="00732561" w:rsidRDefault="003F7E20" w:rsidP="00732561">
      <w:pPr>
        <w:pStyle w:val="TableHeading"/>
      </w:pPr>
      <w:r>
        <w:br w:type="page"/>
      </w:r>
      <w:r w:rsidRPr="00732561">
        <w:lastRenderedPageBreak/>
        <w:t>Table 3.2.4: Budgeted departmental statement of cash flows (for the period ended 30 June)</w:t>
      </w:r>
    </w:p>
    <w:p w:rsidR="003F7E20" w:rsidRPr="00F10305" w:rsidRDefault="001669D2" w:rsidP="00F10305">
      <w:pPr>
        <w:pStyle w:val="TableGraphic"/>
      </w:pPr>
      <w:r>
        <w:pict>
          <v:shape id="_x0000_i1152" type="#_x0000_t75" style="width:360.65pt;height:269.2pt">
            <v:imagedata r:id="rId28" o:title=""/>
          </v:shape>
        </w:pict>
      </w:r>
    </w:p>
    <w:p w:rsidR="00DB2D39" w:rsidRDefault="00DB2D39" w:rsidP="00732561">
      <w:pPr>
        <w:pStyle w:val="TableHeading"/>
      </w:pPr>
      <w:r>
        <w:br w:type="page"/>
      </w:r>
    </w:p>
    <w:p w:rsidR="003F7E20" w:rsidRDefault="003F7E20" w:rsidP="00732561">
      <w:pPr>
        <w:pStyle w:val="TableHeading"/>
      </w:pPr>
      <w:r w:rsidRPr="00BD210E">
        <w:lastRenderedPageBreak/>
        <w:t>Table 3.2.4: Budgeted departmental statement of cash flows</w:t>
      </w:r>
      <w:r>
        <w:t xml:space="preserve"> </w:t>
      </w:r>
      <w:r w:rsidRPr="00BD210E">
        <w:t>(for the period ended 30 June) (continued)</w:t>
      </w:r>
    </w:p>
    <w:p w:rsidR="003F7E20" w:rsidRPr="00F10305" w:rsidRDefault="001669D2" w:rsidP="00F10305">
      <w:pPr>
        <w:pStyle w:val="TableGraphic"/>
      </w:pPr>
      <w:r>
        <w:rPr>
          <w:noProof/>
        </w:rPr>
        <w:pict>
          <v:shape id="_x0000_i1153" type="#_x0000_t75" style="width:358.75pt;height:196.6pt">
            <v:imagedata r:id="rId29" o:title=""/>
          </v:shape>
        </w:pict>
      </w:r>
    </w:p>
    <w:p w:rsidR="00FE4BF0" w:rsidRDefault="00FE4BF0" w:rsidP="00732561">
      <w:pPr>
        <w:pStyle w:val="FootnoteText"/>
      </w:pPr>
    </w:p>
    <w:p w:rsidR="003F7E20" w:rsidRDefault="003F7E20" w:rsidP="00732561">
      <w:pPr>
        <w:pStyle w:val="FootnoteText"/>
      </w:pPr>
      <w:proofErr w:type="gramStart"/>
      <w:r>
        <w:t>Prepared on Australian Accounting Standards basis.</w:t>
      </w:r>
      <w:proofErr w:type="gramEnd"/>
    </w:p>
    <w:p w:rsidR="003F7E20" w:rsidRPr="0041404E" w:rsidRDefault="003F7E20" w:rsidP="0041404E">
      <w:pPr>
        <w:pStyle w:val="TableHeading"/>
      </w:pPr>
      <w:r>
        <w:br w:type="page"/>
      </w:r>
      <w:r w:rsidRPr="00D30CBA">
        <w:lastRenderedPageBreak/>
        <w:t>Table 3.2.</w:t>
      </w:r>
      <w:r>
        <w:t>5</w:t>
      </w:r>
      <w:r w:rsidRPr="00D30CBA">
        <w:t xml:space="preserve">: </w:t>
      </w:r>
      <w:r>
        <w:t>Departmental capital budget statement (for the period ended 30 June)</w:t>
      </w:r>
    </w:p>
    <w:p w:rsidR="003F7E20" w:rsidRPr="00F10305" w:rsidRDefault="001669D2" w:rsidP="00F10305">
      <w:pPr>
        <w:pStyle w:val="TableGraphic"/>
      </w:pPr>
      <w:r>
        <w:rPr>
          <w:noProof/>
        </w:rPr>
        <w:pict>
          <v:shape id="_x0000_i1154" type="#_x0000_t75" style="width:356.85pt;height:224.15pt">
            <v:imagedata r:id="rId30" o:title=""/>
          </v:shape>
        </w:pict>
      </w:r>
    </w:p>
    <w:p w:rsidR="00FE4BF0" w:rsidRPr="00FE4BF0" w:rsidRDefault="00FE4BF0" w:rsidP="00FE4BF0">
      <w:pPr>
        <w:pStyle w:val="FootnoteText"/>
      </w:pPr>
    </w:p>
    <w:p w:rsidR="00DB2D39" w:rsidRDefault="00A10AD7" w:rsidP="00DB2D39">
      <w:pPr>
        <w:pStyle w:val="FootnoteText"/>
      </w:pPr>
      <w:r w:rsidRPr="00A10AD7">
        <w:rPr>
          <w:vertAlign w:val="superscript"/>
        </w:rPr>
        <w:t>1</w:t>
      </w:r>
      <w:r w:rsidR="00DB2D39">
        <w:t xml:space="preserve"> Does not include annual finance lease costs. Include purchases from current and previous years' Departmental Capital Budgets (</w:t>
      </w:r>
      <w:proofErr w:type="spellStart"/>
      <w:r w:rsidR="00DB2D39">
        <w:t>DCBs</w:t>
      </w:r>
      <w:proofErr w:type="spellEnd"/>
      <w:r w:rsidR="00DB2D39">
        <w:t>).</w:t>
      </w:r>
    </w:p>
    <w:p w:rsidR="00063E48" w:rsidRDefault="00A10AD7" w:rsidP="00063E48">
      <w:pPr>
        <w:pStyle w:val="FootnoteText"/>
      </w:pPr>
      <w:r w:rsidRPr="00A10AD7">
        <w:rPr>
          <w:vertAlign w:val="superscript"/>
        </w:rPr>
        <w:t>2</w:t>
      </w:r>
      <w:r w:rsidR="00DB2D39">
        <w:t xml:space="preserve"> Includes the following sources of funding:</w:t>
      </w:r>
    </w:p>
    <w:p w:rsidR="00DB2D39" w:rsidRDefault="00063E48" w:rsidP="00063E48">
      <w:pPr>
        <w:pStyle w:val="FootnoteText"/>
      </w:pPr>
      <w:r>
        <w:tab/>
      </w:r>
      <w:r w:rsidR="00DB2D39">
        <w:t xml:space="preserve">- </w:t>
      </w:r>
      <w:proofErr w:type="gramStart"/>
      <w:r w:rsidR="00DB2D39">
        <w:t>current</w:t>
      </w:r>
      <w:proofErr w:type="gramEnd"/>
      <w:r w:rsidR="00DB2D39">
        <w:t xml:space="preserve"> Bill 1 and prior year Act 1/3/5 appropriations (</w:t>
      </w:r>
      <w:r w:rsidR="00FE4BF0">
        <w:t xml:space="preserve">excluding amounts from the </w:t>
      </w:r>
      <w:proofErr w:type="spellStart"/>
      <w:r w:rsidR="00FE4BF0">
        <w:t>DCB</w:t>
      </w:r>
      <w:proofErr w:type="spellEnd"/>
      <w:r w:rsidR="00FE4BF0">
        <w:t>)</w:t>
      </w:r>
    </w:p>
    <w:p w:rsidR="00DB2D39" w:rsidRDefault="00063E48" w:rsidP="00DB2D39">
      <w:pPr>
        <w:pStyle w:val="FootnoteText"/>
      </w:pPr>
      <w:r>
        <w:tab/>
      </w:r>
      <w:r w:rsidR="00FE4BF0">
        <w:t xml:space="preserve">- </w:t>
      </w:r>
      <w:proofErr w:type="gramStart"/>
      <w:r w:rsidR="00FE4BF0">
        <w:t>donations</w:t>
      </w:r>
      <w:proofErr w:type="gramEnd"/>
      <w:r w:rsidR="00FE4BF0">
        <w:t xml:space="preserve"> and contributions</w:t>
      </w:r>
    </w:p>
    <w:p w:rsidR="00DB2D39" w:rsidRDefault="00063E48" w:rsidP="00DB2D39">
      <w:pPr>
        <w:pStyle w:val="FootnoteText"/>
      </w:pPr>
      <w:r>
        <w:tab/>
      </w:r>
      <w:r w:rsidR="00DB2D39">
        <w:t xml:space="preserve">- </w:t>
      </w:r>
      <w:proofErr w:type="gramStart"/>
      <w:r w:rsidR="00DB2D39">
        <w:t>gifts</w:t>
      </w:r>
      <w:proofErr w:type="gramEnd"/>
    </w:p>
    <w:p w:rsidR="00DB2D39" w:rsidRDefault="00063E48" w:rsidP="00DB2D39">
      <w:pPr>
        <w:pStyle w:val="FootnoteText"/>
      </w:pPr>
      <w:r>
        <w:tab/>
      </w:r>
      <w:r w:rsidR="00FE4BF0">
        <w:t xml:space="preserve">- </w:t>
      </w:r>
      <w:proofErr w:type="gramStart"/>
      <w:r w:rsidR="00FE4BF0">
        <w:t>internally</w:t>
      </w:r>
      <w:proofErr w:type="gramEnd"/>
      <w:r w:rsidR="00FE4BF0">
        <w:t xml:space="preserve"> developed assets</w:t>
      </w:r>
    </w:p>
    <w:p w:rsidR="00DB2D39" w:rsidRDefault="00063E48" w:rsidP="00DB2D39">
      <w:pPr>
        <w:pStyle w:val="FootnoteText"/>
      </w:pPr>
      <w:r>
        <w:tab/>
      </w:r>
      <w:r w:rsidR="00DB2D39">
        <w:t xml:space="preserve">- </w:t>
      </w:r>
      <w:proofErr w:type="gramStart"/>
      <w:r w:rsidR="00DB2D39">
        <w:t>s</w:t>
      </w:r>
      <w:proofErr w:type="gramEnd"/>
      <w:r w:rsidR="00DB2D39">
        <w:t xml:space="preserve"> 74 Retained</w:t>
      </w:r>
      <w:r w:rsidR="00FE4BF0">
        <w:t xml:space="preserve"> revenue receipts</w:t>
      </w:r>
    </w:p>
    <w:p w:rsidR="00732561" w:rsidRDefault="00063E48" w:rsidP="00DB2D39">
      <w:pPr>
        <w:pStyle w:val="FootnoteText"/>
      </w:pPr>
      <w:r>
        <w:tab/>
      </w:r>
      <w:r w:rsidR="00DB2D39">
        <w:t xml:space="preserve">- </w:t>
      </w:r>
      <w:proofErr w:type="gramStart"/>
      <w:r w:rsidR="00DB2D39">
        <w:t>proceeds</w:t>
      </w:r>
      <w:proofErr w:type="gramEnd"/>
      <w:r w:rsidR="00DB2D39">
        <w:t xml:space="preserve"> from the sale of assets.</w:t>
      </w:r>
    </w:p>
    <w:p w:rsidR="003F7E20" w:rsidRPr="00732561" w:rsidRDefault="003F7E20" w:rsidP="00732561">
      <w:pPr>
        <w:pStyle w:val="FootnoteText"/>
      </w:pPr>
      <w:proofErr w:type="gramStart"/>
      <w:r w:rsidRPr="00732561">
        <w:t>Prepared on Australian Accounting Standards basis.</w:t>
      </w:r>
      <w:proofErr w:type="gramEnd"/>
    </w:p>
    <w:p w:rsidR="00EC7F52" w:rsidRDefault="00EC7F52" w:rsidP="0061675B">
      <w:pPr>
        <w:pStyle w:val="ExampleText0"/>
      </w:pPr>
      <w:r>
        <w:br w:type="page"/>
      </w:r>
    </w:p>
    <w:p w:rsidR="003F7E20" w:rsidRDefault="003F7E20" w:rsidP="00EA186C">
      <w:pPr>
        <w:pStyle w:val="TableHeading"/>
        <w:spacing w:after="0"/>
      </w:pPr>
      <w:r w:rsidRPr="00D30CBA">
        <w:lastRenderedPageBreak/>
        <w:t>Table 3.2.</w:t>
      </w:r>
      <w:r>
        <w:t>6</w:t>
      </w:r>
      <w:r w:rsidRPr="00D30CBA">
        <w:t xml:space="preserve">: </w:t>
      </w:r>
      <w:r>
        <w:t>Statement of asset movements (Budget year 2015</w:t>
      </w:r>
      <w:r w:rsidR="00DB2D39">
        <w:t>–</w:t>
      </w:r>
      <w:r>
        <w:t>16)</w:t>
      </w:r>
    </w:p>
    <w:p w:rsidR="00DB2D39" w:rsidRPr="00DB2D39" w:rsidRDefault="001669D2" w:rsidP="00DB2D39">
      <w:pPr>
        <w:pStyle w:val="TableGraphic"/>
      </w:pPr>
      <w:r>
        <w:pict>
          <v:shape id="_x0000_i1155" type="#_x0000_t75" style="width:342.45pt;height:230.4pt">
            <v:imagedata r:id="rId31" o:title=""/>
          </v:shape>
        </w:pict>
      </w:r>
    </w:p>
    <w:p w:rsidR="00274689" w:rsidRDefault="00274689" w:rsidP="00DB2D39">
      <w:pPr>
        <w:pStyle w:val="FootnoteText"/>
        <w:rPr>
          <w:vertAlign w:val="superscript"/>
        </w:rPr>
      </w:pPr>
    </w:p>
    <w:p w:rsidR="003F7E20" w:rsidRPr="00F10305" w:rsidRDefault="00A10AD7" w:rsidP="00DB2D39">
      <w:pPr>
        <w:pStyle w:val="FootnoteText"/>
      </w:pPr>
      <w:r w:rsidRPr="00A10AD7">
        <w:rPr>
          <w:vertAlign w:val="superscript"/>
        </w:rPr>
        <w:t>1</w:t>
      </w:r>
      <w:r w:rsidR="00DB2D39">
        <w:t xml:space="preserve"> "Appropriation ordinary annual services" refers to funding provided through Appropriation Bill (</w:t>
      </w:r>
      <w:proofErr w:type="spellStart"/>
      <w:r w:rsidR="00DB2D39">
        <w:t>No.1</w:t>
      </w:r>
      <w:proofErr w:type="spellEnd"/>
      <w:r w:rsidR="00DB2D39">
        <w:t>) 2015</w:t>
      </w:r>
      <w:r w:rsidR="00EE79BD">
        <w:t>–</w:t>
      </w:r>
      <w:r w:rsidR="00DB2D39">
        <w:t xml:space="preserve">16 for depreciation / </w:t>
      </w:r>
      <w:proofErr w:type="gramStart"/>
      <w:r w:rsidR="00DB2D39">
        <w:t>amortisation  expenses</w:t>
      </w:r>
      <w:proofErr w:type="gramEnd"/>
      <w:r w:rsidR="00DB2D39">
        <w:t xml:space="preserve">, </w:t>
      </w:r>
      <w:proofErr w:type="spellStart"/>
      <w:r w:rsidR="00DB2D39">
        <w:t>DCBs</w:t>
      </w:r>
      <w:proofErr w:type="spellEnd"/>
      <w:r w:rsidR="00DB2D39">
        <w:t xml:space="preserve"> or other operational expenses.</w:t>
      </w:r>
    </w:p>
    <w:p w:rsidR="003F7E20" w:rsidRPr="00732561" w:rsidRDefault="003F7E20" w:rsidP="00DB2D39">
      <w:pPr>
        <w:pStyle w:val="FootnoteText"/>
      </w:pPr>
      <w:r>
        <w:t xml:space="preserve"> </w:t>
      </w:r>
      <w:proofErr w:type="gramStart"/>
      <w:r w:rsidRPr="00732561">
        <w:t>Prepared on Australian Accounting Standards basis.</w:t>
      </w:r>
      <w:proofErr w:type="gramEnd"/>
    </w:p>
    <w:p w:rsidR="003F7E20" w:rsidRDefault="003F7E20" w:rsidP="00DB2D39">
      <w:pPr>
        <w:pStyle w:val="FootnoteText"/>
      </w:pPr>
      <w:r>
        <w:br w:type="page"/>
      </w:r>
    </w:p>
    <w:p w:rsidR="003F7E20" w:rsidRPr="009906BF" w:rsidRDefault="003F7E20" w:rsidP="00176AAA">
      <w:pPr>
        <w:pStyle w:val="TableHeading"/>
      </w:pPr>
      <w:r w:rsidRPr="009906BF">
        <w:lastRenderedPageBreak/>
        <w:t>Table 3.2.7: Schedule of budgeted income and expenses administered on behalf of Government (for the period ended 30 June)</w:t>
      </w:r>
    </w:p>
    <w:p w:rsidR="003F7E20" w:rsidRDefault="003F7E20" w:rsidP="00176AAA">
      <w:r>
        <w:t>WGEA has no income and expenses administered on behalf of government.  For this reason Table 3.2.7 is not presented.</w:t>
      </w:r>
    </w:p>
    <w:p w:rsidR="003F7E20" w:rsidRPr="00176AAA" w:rsidRDefault="003F7E20" w:rsidP="00176AAA">
      <w:pPr>
        <w:pStyle w:val="TableHeading"/>
      </w:pPr>
      <w:r w:rsidRPr="00176AAA">
        <w:t>Table 3.2.8: Schedule of budgeted assets and liabilities administered on behalf of Government (as at 30 June)</w:t>
      </w:r>
    </w:p>
    <w:p w:rsidR="003F7E20" w:rsidRDefault="003F7E20" w:rsidP="00176AAA">
      <w:r>
        <w:t>WGEA has no administered assets and liabilities.  For this reason Table 3.2.8 is not presented.</w:t>
      </w:r>
    </w:p>
    <w:p w:rsidR="003F7E20" w:rsidRPr="00176AAA" w:rsidRDefault="009C4583" w:rsidP="00176AAA">
      <w:pPr>
        <w:pStyle w:val="TableHeading"/>
      </w:pPr>
      <w:r>
        <w:t>Table 3.2.9: Schedule of b</w:t>
      </w:r>
      <w:r w:rsidR="003F7E20" w:rsidRPr="00176AAA">
        <w:t xml:space="preserve">udgeted </w:t>
      </w:r>
      <w:r>
        <w:t>a</w:t>
      </w:r>
      <w:r w:rsidR="003F7E20" w:rsidRPr="00176AAA">
        <w:t xml:space="preserve">dministered </w:t>
      </w:r>
      <w:r>
        <w:t>c</w:t>
      </w:r>
      <w:r w:rsidR="003F7E20" w:rsidRPr="00176AAA">
        <w:t xml:space="preserve">ash </w:t>
      </w:r>
      <w:r>
        <w:t>f</w:t>
      </w:r>
      <w:r w:rsidR="003F7E20" w:rsidRPr="00176AAA">
        <w:t>lows (for the period ended 30 June)</w:t>
      </w:r>
    </w:p>
    <w:p w:rsidR="003F7E20" w:rsidRDefault="003F7E20" w:rsidP="00176AAA">
      <w:r>
        <w:t>WGEA has no administered cash flows.  For this reason Table</w:t>
      </w:r>
      <w:r w:rsidR="00EE0455">
        <w:t xml:space="preserve"> 3.2.9</w:t>
      </w:r>
      <w:r>
        <w:t xml:space="preserve"> is not presented.</w:t>
      </w:r>
    </w:p>
    <w:p w:rsidR="003F7E20" w:rsidRDefault="003F7E20" w:rsidP="00176AAA">
      <w:pPr>
        <w:pStyle w:val="TableHeading"/>
      </w:pPr>
      <w:r w:rsidRPr="009906BF">
        <w:t xml:space="preserve">Table 3.2.10 </w:t>
      </w:r>
      <w:r w:rsidR="009C4583">
        <w:t>Administered c</w:t>
      </w:r>
      <w:r w:rsidRPr="009906BF">
        <w:t>ap</w:t>
      </w:r>
      <w:r>
        <w:t>it</w:t>
      </w:r>
      <w:r w:rsidRPr="009906BF">
        <w:t>al budget</w:t>
      </w:r>
      <w:r w:rsidR="009C4583">
        <w:t xml:space="preserve"> statement (for the period ended 30 June)</w:t>
      </w:r>
    </w:p>
    <w:p w:rsidR="003F7E20" w:rsidRDefault="003F7E20" w:rsidP="00176AAA">
      <w:r>
        <w:t>WGEA has no administered capital purchases.  For this reason Table 3.2.10 is not presented.</w:t>
      </w:r>
    </w:p>
    <w:p w:rsidR="003F7E20" w:rsidRPr="009906BF" w:rsidRDefault="003F7E20" w:rsidP="00176AAA">
      <w:pPr>
        <w:pStyle w:val="TableHeading"/>
      </w:pPr>
      <w:r w:rsidRPr="009906BF">
        <w:t xml:space="preserve">Table 3.2.11 </w:t>
      </w:r>
      <w:r w:rsidR="009C4583">
        <w:t>Statement of administered asset movements (Budget year 2015–16)</w:t>
      </w:r>
    </w:p>
    <w:p w:rsidR="003F7E20" w:rsidRDefault="003F7E20" w:rsidP="00176AAA">
      <w:r>
        <w:t>WGEA has no administered non-financial assets.  For this reason Table 3.2.11 is not presented.</w:t>
      </w:r>
    </w:p>
    <w:p w:rsidR="003F7E20" w:rsidRDefault="003F7E20" w:rsidP="00C41D55">
      <w:pPr>
        <w:pStyle w:val="Heading4"/>
      </w:pPr>
      <w:r>
        <w:t>3.2.4</w:t>
      </w:r>
      <w:r>
        <w:tab/>
        <w:t>Notes to the financial statements</w:t>
      </w:r>
    </w:p>
    <w:p w:rsidR="003F7E20" w:rsidRPr="00E36851" w:rsidRDefault="003F7E20" w:rsidP="00176AAA">
      <w:pPr>
        <w:rPr>
          <w:i/>
        </w:rPr>
      </w:pPr>
      <w:r w:rsidRPr="00E36851">
        <w:t>The Agency budget statements have been prepared on an accrual accounting basis, having regard to the Statement of Accounting Concepts, and in accordance with:</w:t>
      </w:r>
    </w:p>
    <w:p w:rsidR="003F7E20" w:rsidRPr="00E36851" w:rsidRDefault="003F7E20" w:rsidP="00176AAA">
      <w:pPr>
        <w:pStyle w:val="Bullets"/>
        <w:rPr>
          <w:i/>
        </w:rPr>
      </w:pPr>
      <w:r w:rsidRPr="00E36851">
        <w:t>The Finance Minister’s Orders</w:t>
      </w:r>
    </w:p>
    <w:p w:rsidR="003F7E20" w:rsidRPr="00E36851" w:rsidRDefault="003F7E20" w:rsidP="00176AAA">
      <w:pPr>
        <w:pStyle w:val="Bullets"/>
        <w:rPr>
          <w:i/>
        </w:rPr>
      </w:pPr>
      <w:r w:rsidRPr="00E36851">
        <w:t>Australian Accounting Standards and Interpretations issued by the Australian Accounting Standards Board.</w:t>
      </w:r>
    </w:p>
    <w:p w:rsidR="0061082C" w:rsidRPr="00805EDE" w:rsidRDefault="003F7E20" w:rsidP="002F43A8">
      <w:r w:rsidRPr="00E36851">
        <w:t>All assets are initially recorded at cost.  Property, plant and equipment and other infrastructure assets are periodically revalued at their fair value.</w:t>
      </w:r>
      <w:r w:rsidR="00274689">
        <w:t xml:space="preserve"> </w:t>
      </w:r>
      <w:bookmarkStart w:id="1" w:name="_GoBack"/>
      <w:bookmarkEnd w:id="0"/>
      <w:bookmarkEnd w:id="1"/>
    </w:p>
    <w:sectPr w:rsidR="0061082C" w:rsidRPr="00805EDE" w:rsidSect="00F64B73">
      <w:headerReference w:type="even" r:id="rId32"/>
      <w:headerReference w:type="default" r:id="rId33"/>
      <w:headerReference w:type="first" r:id="rId34"/>
      <w:type w:val="oddPage"/>
      <w:pgSz w:w="9979" w:h="14175" w:code="25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E4" w:rsidRDefault="00470EE4" w:rsidP="00C07DEC">
      <w:r>
        <w:separator/>
      </w:r>
    </w:p>
    <w:p w:rsidR="00470EE4" w:rsidRDefault="00470EE4"/>
  </w:endnote>
  <w:endnote w:type="continuationSeparator" w:id="0">
    <w:p w:rsidR="00470EE4" w:rsidRDefault="00470EE4" w:rsidP="00C07DEC">
      <w:r>
        <w:continuationSeparator/>
      </w:r>
    </w:p>
    <w:p w:rsidR="00470EE4" w:rsidRDefault="0047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ight">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9999999">
    <w:altName w:val="Times New Roman"/>
    <w:panose1 w:val="00000000000000000000"/>
    <w:charset w:val="00"/>
    <w:family w:val="roman"/>
    <w:notTrueType/>
    <w:pitch w:val="default"/>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389004"/>
      <w:docPartObj>
        <w:docPartGallery w:val="Page Numbers (Bottom of Page)"/>
        <w:docPartUnique/>
      </w:docPartObj>
    </w:sdtPr>
    <w:sdtEndPr>
      <w:rPr>
        <w:noProof/>
      </w:rPr>
    </w:sdtEndPr>
    <w:sdtContent>
      <w:p w:rsidR="002F43A8" w:rsidRDefault="002F43A8">
        <w:pPr>
          <w:pStyle w:val="Footer"/>
        </w:pPr>
        <w:r>
          <w:fldChar w:fldCharType="begin"/>
        </w:r>
        <w:r>
          <w:instrText xml:space="preserve"> PAGE   \* MERGEFORMAT </w:instrText>
        </w:r>
        <w:r>
          <w:fldChar w:fldCharType="separate"/>
        </w:r>
        <w:r>
          <w:rPr>
            <w:noProof/>
          </w:rPr>
          <w:t>238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442457"/>
      <w:docPartObj>
        <w:docPartGallery w:val="Page Numbers (Bottom of Page)"/>
        <w:docPartUnique/>
      </w:docPartObj>
    </w:sdtPr>
    <w:sdtEndPr>
      <w:rPr>
        <w:noProof/>
      </w:rPr>
    </w:sdtEndPr>
    <w:sdtContent>
      <w:p w:rsidR="002F43A8" w:rsidRDefault="002F43A8">
        <w:pPr>
          <w:pStyle w:val="Footer"/>
        </w:pPr>
        <w:r>
          <w:fldChar w:fldCharType="begin"/>
        </w:r>
        <w:r>
          <w:instrText xml:space="preserve"> PAGE   \* MERGEFORMAT </w:instrText>
        </w:r>
        <w:r>
          <w:fldChar w:fldCharType="separate"/>
        </w:r>
        <w:r>
          <w:rPr>
            <w:noProof/>
          </w:rPr>
          <w:t>239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1808A4" w:rsidRDefault="00470EE4" w:rsidP="001808A4">
    <w:pPr>
      <w:pStyle w:val="Footer"/>
    </w:pPr>
    <w:r>
      <w:rPr>
        <w:rStyle w:val="PageNumber"/>
      </w:rPr>
      <w:fldChar w:fldCharType="begin"/>
    </w:r>
    <w:r>
      <w:rPr>
        <w:rStyle w:val="PageNumber"/>
      </w:rPr>
      <w:instrText xml:space="preserve"> PAGE </w:instrText>
    </w:r>
    <w:r>
      <w:rPr>
        <w:rStyle w:val="PageNumber"/>
      </w:rPr>
      <w:fldChar w:fldCharType="separate"/>
    </w:r>
    <w:r w:rsidR="002F43A8">
      <w:rPr>
        <w:rStyle w:val="PageNumber"/>
        <w:noProof/>
      </w:rPr>
      <w:t>235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E4" w:rsidRDefault="00470EE4" w:rsidP="00C07DEC">
      <w:r>
        <w:separator/>
      </w:r>
    </w:p>
    <w:p w:rsidR="00470EE4" w:rsidRDefault="00470EE4"/>
  </w:footnote>
  <w:footnote w:type="continuationSeparator" w:id="0">
    <w:p w:rsidR="00470EE4" w:rsidRDefault="00470EE4" w:rsidP="00C07DEC">
      <w:r>
        <w:continuationSeparator/>
      </w:r>
    </w:p>
    <w:p w:rsidR="00470EE4" w:rsidRDefault="00470E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7F6391" w:rsidRDefault="00470EE4" w:rsidP="00877F83">
    <w:pPr>
      <w:pStyle w:val="HeaderOd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A8" w:rsidRPr="00F10D71" w:rsidRDefault="002F43A8" w:rsidP="002F43A8">
    <w:pPr>
      <w:pStyle w:val="HeaderEven"/>
    </w:pPr>
    <w:r>
      <w:t>WGEA Budget Statements 2015–16</w:t>
    </w:r>
  </w:p>
  <w:p w:rsidR="00470EE4" w:rsidRPr="002F43A8" w:rsidRDefault="00470EE4" w:rsidP="002F43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A8" w:rsidRPr="00F10D71" w:rsidRDefault="002F43A8" w:rsidP="002F43A8">
    <w:pPr>
      <w:pStyle w:val="HeaderOdd"/>
    </w:pPr>
    <w:r>
      <w:t>WGEA Budget Statements 2015–16</w:t>
    </w:r>
  </w:p>
  <w:p w:rsidR="00470EE4" w:rsidRPr="002F43A8" w:rsidRDefault="00470EE4" w:rsidP="002F43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EE4" w:rsidRPr="00F10D71" w:rsidRDefault="002F43A8" w:rsidP="00F10D71">
    <w:pPr>
      <w:pStyle w:val="HeaderOdd"/>
    </w:pPr>
    <w:r>
      <w:t>WGEA Budget Statements 2015–16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768F83C"/>
    <w:lvl w:ilvl="0">
      <w:start w:val="1"/>
      <w:numFmt w:val="decimal"/>
      <w:pStyle w:val="ListNumber"/>
      <w:lvlText w:val="%1."/>
      <w:lvlJc w:val="left"/>
      <w:pPr>
        <w:tabs>
          <w:tab w:val="num" w:pos="360"/>
        </w:tabs>
        <w:ind w:left="360" w:hanging="360"/>
      </w:pPr>
    </w:lvl>
  </w:abstractNum>
  <w:abstractNum w:abstractNumId="1">
    <w:nsid w:val="00F73062"/>
    <w:multiLevelType w:val="hybridMultilevel"/>
    <w:tmpl w:val="62024918"/>
    <w:lvl w:ilvl="0" w:tplc="F058F4A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775260"/>
    <w:multiLevelType w:val="multilevel"/>
    <w:tmpl w:val="7B0E2326"/>
    <w:lvl w:ilvl="0">
      <w:start w:val="1"/>
      <w:numFmt w:val="bullet"/>
      <w:lvlText w:val=""/>
      <w:lvlJc w:val="left"/>
      <w:pPr>
        <w:ind w:left="360" w:hanging="360"/>
      </w:pPr>
      <w:rPr>
        <w:rFonts w:ascii="Wingdings" w:hAnsi="Wingdings" w:hint="default"/>
        <w:color w:val="165788"/>
        <w:sz w:val="20"/>
        <w:vertAlign w:val="baseline"/>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3">
    <w:nsid w:val="02D607FA"/>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7">
    <w:nsid w:val="16641DF2"/>
    <w:multiLevelType w:val="hybridMultilevel"/>
    <w:tmpl w:val="F42AA848"/>
    <w:lvl w:ilvl="0" w:tplc="7F847DE4">
      <w:start w:val="1"/>
      <w:numFmt w:val="decimal"/>
      <w:pStyle w:val="numberedpara"/>
      <w:lvlText w:val="%1."/>
      <w:lvlJc w:val="right"/>
      <w:pPr>
        <w:tabs>
          <w:tab w:val="num" w:pos="1134"/>
        </w:tabs>
        <w:ind w:left="567" w:hanging="567"/>
      </w:pPr>
      <w:rPr>
        <w:rFonts w:ascii="Calibri" w:hAnsi="Calibri" w:hint="default"/>
        <w:b w:val="0"/>
        <w:i w:val="0"/>
        <w:color w:val="auto"/>
        <w:sz w:val="22"/>
      </w:rPr>
    </w:lvl>
    <w:lvl w:ilvl="1" w:tplc="0C090005">
      <w:start w:val="1"/>
      <w:numFmt w:val="bullet"/>
      <w:lvlText w:val=""/>
      <w:lvlJc w:val="left"/>
      <w:pPr>
        <w:tabs>
          <w:tab w:val="num" w:pos="1440"/>
        </w:tabs>
        <w:ind w:left="1440" w:hanging="360"/>
      </w:pPr>
      <w:rPr>
        <w:rFonts w:ascii="Wingdings" w:hAnsi="Wingdings" w:hint="default"/>
        <w:b w:val="0"/>
        <w:i w:val="0"/>
        <w:color w:val="auto"/>
        <w:sz w:val="22"/>
      </w:r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1B8C0A8D"/>
    <w:multiLevelType w:val="hybridMultilevel"/>
    <w:tmpl w:val="6080A7FC"/>
    <w:lvl w:ilvl="0" w:tplc="F0BAC8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244AB9"/>
    <w:multiLevelType w:val="hybridMultilevel"/>
    <w:tmpl w:val="B9FEE43E"/>
    <w:lvl w:ilvl="0" w:tplc="ADA05F0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56203"/>
    <w:multiLevelType w:val="multilevel"/>
    <w:tmpl w:val="533E0A06"/>
    <w:lvl w:ilvl="0">
      <w:start w:val="1"/>
      <w:numFmt w:val="bullet"/>
      <w:lvlText w:val="–"/>
      <w:lvlJc w:val="left"/>
      <w:pPr>
        <w:tabs>
          <w:tab w:val="num" w:pos="720"/>
        </w:tabs>
        <w:ind w:left="720" w:hanging="360"/>
      </w:pPr>
      <w:rPr>
        <w:rFonts w:ascii="Frutiger-Light" w:eastAsia="Times New Roman" w:hAnsi="Frutiger-Light" w:cs="Frutiger-Light" w:hint="default"/>
      </w:rPr>
    </w:lvl>
    <w:lvl w:ilvl="1">
      <w:start w:val="1"/>
      <w:numFmt w:val="bullet"/>
      <w:lvlText w:val=""/>
      <w:lvlJc w:val="left"/>
      <w:pPr>
        <w:tabs>
          <w:tab w:val="num" w:pos="640"/>
        </w:tabs>
        <w:ind w:left="640" w:hanging="284"/>
      </w:pPr>
      <w:rPr>
        <w:rFonts w:ascii="Wingdings 2" w:hAnsi="Wingdings 2" w:hint="default"/>
        <w:color w:val="808080"/>
      </w:rPr>
    </w:lvl>
    <w:lvl w:ilvl="2">
      <w:start w:val="1"/>
      <w:numFmt w:val="bullet"/>
      <w:lvlText w:val=":"/>
      <w:lvlJc w:val="left"/>
      <w:pPr>
        <w:tabs>
          <w:tab w:val="num" w:pos="923"/>
        </w:tabs>
        <w:ind w:left="923" w:hanging="283"/>
      </w:pPr>
      <w:rPr>
        <w:rFonts w:ascii="Arial" w:hAnsi="Arial" w:hint="default"/>
      </w:rPr>
    </w:lvl>
    <w:lvl w:ilvl="3">
      <w:start w:val="1"/>
      <w:numFmt w:val="decimal"/>
      <w:lvlText w:val="(%4)"/>
      <w:lvlJc w:val="left"/>
      <w:pPr>
        <w:tabs>
          <w:tab w:val="num" w:pos="1513"/>
        </w:tabs>
        <w:ind w:left="1513" w:hanging="360"/>
      </w:pPr>
      <w:rPr>
        <w:rFonts w:hint="default"/>
      </w:rPr>
    </w:lvl>
    <w:lvl w:ilvl="4">
      <w:start w:val="1"/>
      <w:numFmt w:val="lowerLetter"/>
      <w:lvlText w:val="(%5)"/>
      <w:lvlJc w:val="left"/>
      <w:pPr>
        <w:tabs>
          <w:tab w:val="num" w:pos="1873"/>
        </w:tabs>
        <w:ind w:left="1873" w:hanging="360"/>
      </w:pPr>
      <w:rPr>
        <w:rFonts w:hint="default"/>
      </w:rPr>
    </w:lvl>
    <w:lvl w:ilvl="5">
      <w:start w:val="1"/>
      <w:numFmt w:val="lowerRoman"/>
      <w:lvlText w:val="(%6)"/>
      <w:lvlJc w:val="left"/>
      <w:pPr>
        <w:tabs>
          <w:tab w:val="num" w:pos="2233"/>
        </w:tabs>
        <w:ind w:left="2233" w:hanging="360"/>
      </w:pPr>
      <w:rPr>
        <w:rFonts w:hint="default"/>
      </w:rPr>
    </w:lvl>
    <w:lvl w:ilvl="6">
      <w:start w:val="1"/>
      <w:numFmt w:val="decimal"/>
      <w:lvlText w:val="%7."/>
      <w:lvlJc w:val="left"/>
      <w:pPr>
        <w:tabs>
          <w:tab w:val="num" w:pos="2593"/>
        </w:tabs>
        <w:ind w:left="2593" w:hanging="360"/>
      </w:pPr>
      <w:rPr>
        <w:rFonts w:hint="default"/>
      </w:rPr>
    </w:lvl>
    <w:lvl w:ilvl="7">
      <w:start w:val="1"/>
      <w:numFmt w:val="lowerLetter"/>
      <w:lvlText w:val="%8."/>
      <w:lvlJc w:val="left"/>
      <w:pPr>
        <w:tabs>
          <w:tab w:val="num" w:pos="2953"/>
        </w:tabs>
        <w:ind w:left="2953" w:hanging="360"/>
      </w:pPr>
      <w:rPr>
        <w:rFonts w:hint="default"/>
      </w:rPr>
    </w:lvl>
    <w:lvl w:ilvl="8">
      <w:start w:val="1"/>
      <w:numFmt w:val="lowerRoman"/>
      <w:lvlText w:val="%9."/>
      <w:lvlJc w:val="left"/>
      <w:pPr>
        <w:tabs>
          <w:tab w:val="num" w:pos="3313"/>
        </w:tabs>
        <w:ind w:left="3313" w:hanging="360"/>
      </w:pPr>
      <w:rPr>
        <w:rFonts w:hint="default"/>
      </w:rPr>
    </w:lvl>
  </w:abstractNum>
  <w:abstractNum w:abstractNumId="11">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16C2C4D"/>
    <w:multiLevelType w:val="multilevel"/>
    <w:tmpl w:val="53041CA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6">
    <w:nsid w:val="434154AB"/>
    <w:multiLevelType w:val="hybridMultilevel"/>
    <w:tmpl w:val="DCF64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8">
    <w:nsid w:val="564608A1"/>
    <w:multiLevelType w:val="hybridMultilevel"/>
    <w:tmpl w:val="61883960"/>
    <w:lvl w:ilvl="0" w:tplc="377E58B0">
      <w:start w:val="1"/>
      <w:numFmt w:val="bullet"/>
      <w:pStyle w:val="Tabletext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nsid w:val="5C395225"/>
    <w:multiLevelType w:val="multilevel"/>
    <w:tmpl w:val="19B6AE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0777C05"/>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1AC4D20"/>
    <w:multiLevelType w:val="hybridMultilevel"/>
    <w:tmpl w:val="753A8D6A"/>
    <w:lvl w:ilvl="0" w:tplc="0C090001">
      <w:start w:val="1"/>
      <w:numFmt w:val="bullet"/>
      <w:lvlText w:val=""/>
      <w:lvlJc w:val="left"/>
      <w:pPr>
        <w:ind w:left="2160" w:hanging="360"/>
      </w:pPr>
      <w:rPr>
        <w:rFonts w:ascii="Symbol" w:hAnsi="Symbol" w:hint="default"/>
      </w:rPr>
    </w:lvl>
    <w:lvl w:ilvl="1" w:tplc="0C090001">
      <w:start w:val="1"/>
      <w:numFmt w:val="bullet"/>
      <w:lvlText w:val=""/>
      <w:lvlJc w:val="left"/>
      <w:pPr>
        <w:ind w:left="2880" w:hanging="360"/>
      </w:pPr>
      <w:rPr>
        <w:rFonts w:ascii="Symbol" w:hAnsi="Symbol"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nsid w:val="6B3F2938"/>
    <w:multiLevelType w:val="hybridMultilevel"/>
    <w:tmpl w:val="59AA5A10"/>
    <w:lvl w:ilvl="0" w:tplc="45567906">
      <w:numFmt w:val="bullet"/>
      <w:lvlText w:val="-"/>
      <w:lvlJc w:val="left"/>
      <w:pPr>
        <w:ind w:left="720" w:hanging="360"/>
      </w:pPr>
      <w:rPr>
        <w:rFonts w:ascii="Book Antiqua" w:eastAsia="Times New Roman" w:hAnsi="Book Antiqua"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D080F86"/>
    <w:multiLevelType w:val="hybridMultilevel"/>
    <w:tmpl w:val="BDECA758"/>
    <w:lvl w:ilvl="0" w:tplc="75A01A1A">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7">
    <w:nsid w:val="7609771A"/>
    <w:multiLevelType w:val="hybridMultilevel"/>
    <w:tmpl w:val="9C503E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23"/>
  </w:num>
  <w:num w:numId="4">
    <w:abstractNumId w:val="15"/>
    <w:lvlOverride w:ilvl="0">
      <w:startOverride w:val="1"/>
    </w:lvlOverride>
  </w:num>
  <w:num w:numId="5">
    <w:abstractNumId w:val="26"/>
  </w:num>
  <w:num w:numId="6">
    <w:abstractNumId w:val="11"/>
  </w:num>
  <w:num w:numId="7">
    <w:abstractNumId w:val="19"/>
  </w:num>
  <w:num w:numId="8">
    <w:abstractNumId w:val="14"/>
  </w:num>
  <w:num w:numId="9">
    <w:abstractNumId w:val="3"/>
  </w:num>
  <w:num w:numId="10">
    <w:abstractNumId w:val="21"/>
  </w:num>
  <w:num w:numId="11">
    <w:abstractNumId w:val="0"/>
  </w:num>
  <w:num w:numId="12">
    <w:abstractNumId w:val="15"/>
    <w:lvlOverride w:ilvl="0">
      <w:startOverride w:val="1"/>
    </w:lvlOverride>
  </w:num>
  <w:num w:numId="13">
    <w:abstractNumId w:val="13"/>
  </w:num>
  <w:num w:numId="14">
    <w:abstractNumId w:val="7"/>
  </w:num>
  <w:num w:numId="15">
    <w:abstractNumId w:val="16"/>
  </w:num>
  <w:num w:numId="16">
    <w:abstractNumId w:val="20"/>
  </w:num>
  <w:num w:numId="1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8"/>
  </w:num>
  <w:num w:numId="23">
    <w:abstractNumId w:val="12"/>
  </w:num>
  <w:num w:numId="24">
    <w:abstractNumId w:val="22"/>
  </w:num>
  <w:num w:numId="25">
    <w:abstractNumId w:val="10"/>
  </w:num>
  <w:num w:numId="26">
    <w:abstractNumId w:val="2"/>
  </w:num>
  <w:num w:numId="27">
    <w:abstractNumId w:val="8"/>
  </w:num>
  <w:num w:numId="28">
    <w:abstractNumId w:val="25"/>
  </w:num>
  <w:num w:numId="29">
    <w:abstractNumId w:val="24"/>
  </w:num>
  <w:num w:numId="30">
    <w:abstractNumId w:val="13"/>
  </w:num>
  <w:num w:numId="3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0"/>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57F"/>
    <w:rsid w:val="000000C3"/>
    <w:rsid w:val="0000390C"/>
    <w:rsid w:val="00003AC4"/>
    <w:rsid w:val="00006AE4"/>
    <w:rsid w:val="0000711B"/>
    <w:rsid w:val="00012BB0"/>
    <w:rsid w:val="00013D25"/>
    <w:rsid w:val="0001438C"/>
    <w:rsid w:val="0001500C"/>
    <w:rsid w:val="00016D95"/>
    <w:rsid w:val="00017619"/>
    <w:rsid w:val="00020567"/>
    <w:rsid w:val="000216BF"/>
    <w:rsid w:val="00021DA6"/>
    <w:rsid w:val="000220B0"/>
    <w:rsid w:val="000300D7"/>
    <w:rsid w:val="00030FDA"/>
    <w:rsid w:val="00034610"/>
    <w:rsid w:val="00036095"/>
    <w:rsid w:val="000364F3"/>
    <w:rsid w:val="000369AC"/>
    <w:rsid w:val="0003724F"/>
    <w:rsid w:val="000402FE"/>
    <w:rsid w:val="000413D4"/>
    <w:rsid w:val="00042D00"/>
    <w:rsid w:val="00042FDD"/>
    <w:rsid w:val="00045667"/>
    <w:rsid w:val="00054A04"/>
    <w:rsid w:val="00054CC3"/>
    <w:rsid w:val="0005600E"/>
    <w:rsid w:val="00056260"/>
    <w:rsid w:val="0005722F"/>
    <w:rsid w:val="00060890"/>
    <w:rsid w:val="00063C44"/>
    <w:rsid w:val="00063CE1"/>
    <w:rsid w:val="00063E48"/>
    <w:rsid w:val="00065053"/>
    <w:rsid w:val="000655E4"/>
    <w:rsid w:val="000656AD"/>
    <w:rsid w:val="00065C71"/>
    <w:rsid w:val="00066BBA"/>
    <w:rsid w:val="00067B6F"/>
    <w:rsid w:val="00067E1D"/>
    <w:rsid w:val="0007064C"/>
    <w:rsid w:val="00070C05"/>
    <w:rsid w:val="000712EE"/>
    <w:rsid w:val="000725C0"/>
    <w:rsid w:val="00074CE6"/>
    <w:rsid w:val="00076C71"/>
    <w:rsid w:val="00077277"/>
    <w:rsid w:val="0007743A"/>
    <w:rsid w:val="00080069"/>
    <w:rsid w:val="00080F4F"/>
    <w:rsid w:val="00082159"/>
    <w:rsid w:val="0008304E"/>
    <w:rsid w:val="0008449F"/>
    <w:rsid w:val="000924A7"/>
    <w:rsid w:val="00094B28"/>
    <w:rsid w:val="00096DEE"/>
    <w:rsid w:val="00097063"/>
    <w:rsid w:val="000A1A89"/>
    <w:rsid w:val="000A1C91"/>
    <w:rsid w:val="000A24C4"/>
    <w:rsid w:val="000A3288"/>
    <w:rsid w:val="000A345B"/>
    <w:rsid w:val="000A372A"/>
    <w:rsid w:val="000A395D"/>
    <w:rsid w:val="000A56A5"/>
    <w:rsid w:val="000A5C86"/>
    <w:rsid w:val="000A6897"/>
    <w:rsid w:val="000A6DBE"/>
    <w:rsid w:val="000B09C1"/>
    <w:rsid w:val="000B0FE3"/>
    <w:rsid w:val="000B1FC4"/>
    <w:rsid w:val="000B2404"/>
    <w:rsid w:val="000B36D8"/>
    <w:rsid w:val="000B3B7D"/>
    <w:rsid w:val="000C19EF"/>
    <w:rsid w:val="000C2A22"/>
    <w:rsid w:val="000C2D7D"/>
    <w:rsid w:val="000C3B86"/>
    <w:rsid w:val="000C6A39"/>
    <w:rsid w:val="000C6FB8"/>
    <w:rsid w:val="000D13E5"/>
    <w:rsid w:val="000D43DE"/>
    <w:rsid w:val="000D58A1"/>
    <w:rsid w:val="000E0A85"/>
    <w:rsid w:val="000E39B7"/>
    <w:rsid w:val="000E68E3"/>
    <w:rsid w:val="000E6DDB"/>
    <w:rsid w:val="000E74A6"/>
    <w:rsid w:val="000F03B1"/>
    <w:rsid w:val="000F08AE"/>
    <w:rsid w:val="000F2D33"/>
    <w:rsid w:val="000F43F4"/>
    <w:rsid w:val="000F440E"/>
    <w:rsid w:val="000F6647"/>
    <w:rsid w:val="000F73B7"/>
    <w:rsid w:val="000F7E7B"/>
    <w:rsid w:val="001002F8"/>
    <w:rsid w:val="00101440"/>
    <w:rsid w:val="00102654"/>
    <w:rsid w:val="001028CC"/>
    <w:rsid w:val="001045F9"/>
    <w:rsid w:val="0010472B"/>
    <w:rsid w:val="0010657F"/>
    <w:rsid w:val="001114A3"/>
    <w:rsid w:val="00112D0F"/>
    <w:rsid w:val="001133E0"/>
    <w:rsid w:val="00115DE5"/>
    <w:rsid w:val="001163D6"/>
    <w:rsid w:val="0011726A"/>
    <w:rsid w:val="0012022D"/>
    <w:rsid w:val="00120B5E"/>
    <w:rsid w:val="00121EB0"/>
    <w:rsid w:val="0012228D"/>
    <w:rsid w:val="00123218"/>
    <w:rsid w:val="00123925"/>
    <w:rsid w:val="00124758"/>
    <w:rsid w:val="00126641"/>
    <w:rsid w:val="001272CD"/>
    <w:rsid w:val="001305B1"/>
    <w:rsid w:val="00131EA7"/>
    <w:rsid w:val="001322AD"/>
    <w:rsid w:val="00133B4E"/>
    <w:rsid w:val="00133D3A"/>
    <w:rsid w:val="001352EE"/>
    <w:rsid w:val="00135505"/>
    <w:rsid w:val="00135CC8"/>
    <w:rsid w:val="00136827"/>
    <w:rsid w:val="001370C2"/>
    <w:rsid w:val="001375D4"/>
    <w:rsid w:val="00143E88"/>
    <w:rsid w:val="001455D8"/>
    <w:rsid w:val="0014790A"/>
    <w:rsid w:val="00151183"/>
    <w:rsid w:val="00151ABB"/>
    <w:rsid w:val="00152B79"/>
    <w:rsid w:val="0015428F"/>
    <w:rsid w:val="00154447"/>
    <w:rsid w:val="001549BE"/>
    <w:rsid w:val="00154CDE"/>
    <w:rsid w:val="00154F5B"/>
    <w:rsid w:val="001612BE"/>
    <w:rsid w:val="00161DAC"/>
    <w:rsid w:val="00162B55"/>
    <w:rsid w:val="00162D8B"/>
    <w:rsid w:val="001638E9"/>
    <w:rsid w:val="00164B49"/>
    <w:rsid w:val="00165824"/>
    <w:rsid w:val="001669D2"/>
    <w:rsid w:val="00166F90"/>
    <w:rsid w:val="00171A85"/>
    <w:rsid w:val="00174565"/>
    <w:rsid w:val="00175BB3"/>
    <w:rsid w:val="00176AAA"/>
    <w:rsid w:val="00176E2D"/>
    <w:rsid w:val="00177A9A"/>
    <w:rsid w:val="001808A4"/>
    <w:rsid w:val="001815A5"/>
    <w:rsid w:val="0018383E"/>
    <w:rsid w:val="00186850"/>
    <w:rsid w:val="001904A5"/>
    <w:rsid w:val="001923C8"/>
    <w:rsid w:val="001939FF"/>
    <w:rsid w:val="00193C99"/>
    <w:rsid w:val="00194DE8"/>
    <w:rsid w:val="00197990"/>
    <w:rsid w:val="001A0106"/>
    <w:rsid w:val="001A02CB"/>
    <w:rsid w:val="001A11DB"/>
    <w:rsid w:val="001A33F4"/>
    <w:rsid w:val="001A5E2D"/>
    <w:rsid w:val="001A6256"/>
    <w:rsid w:val="001A6F29"/>
    <w:rsid w:val="001A72AC"/>
    <w:rsid w:val="001A789B"/>
    <w:rsid w:val="001B029D"/>
    <w:rsid w:val="001B03CC"/>
    <w:rsid w:val="001B0C75"/>
    <w:rsid w:val="001B44C2"/>
    <w:rsid w:val="001B4EC1"/>
    <w:rsid w:val="001B659F"/>
    <w:rsid w:val="001B6BD9"/>
    <w:rsid w:val="001B7399"/>
    <w:rsid w:val="001B7655"/>
    <w:rsid w:val="001B7BAD"/>
    <w:rsid w:val="001B7F09"/>
    <w:rsid w:val="001C1166"/>
    <w:rsid w:val="001C1F6A"/>
    <w:rsid w:val="001C261E"/>
    <w:rsid w:val="001C3AC7"/>
    <w:rsid w:val="001C7B78"/>
    <w:rsid w:val="001D0BA6"/>
    <w:rsid w:val="001D1942"/>
    <w:rsid w:val="001D1DDB"/>
    <w:rsid w:val="001D4CAA"/>
    <w:rsid w:val="001D53EA"/>
    <w:rsid w:val="001D6851"/>
    <w:rsid w:val="001D6F7C"/>
    <w:rsid w:val="001E105C"/>
    <w:rsid w:val="001E12A5"/>
    <w:rsid w:val="001E1EDB"/>
    <w:rsid w:val="001E3A18"/>
    <w:rsid w:val="001E6DBA"/>
    <w:rsid w:val="001E717D"/>
    <w:rsid w:val="001E71F5"/>
    <w:rsid w:val="001E7D86"/>
    <w:rsid w:val="001F377B"/>
    <w:rsid w:val="001F3CF9"/>
    <w:rsid w:val="001F4807"/>
    <w:rsid w:val="001F55E5"/>
    <w:rsid w:val="001F5CB9"/>
    <w:rsid w:val="001F76C4"/>
    <w:rsid w:val="00200DC3"/>
    <w:rsid w:val="0020214A"/>
    <w:rsid w:val="00204A87"/>
    <w:rsid w:val="002050B0"/>
    <w:rsid w:val="00205D80"/>
    <w:rsid w:val="0021093F"/>
    <w:rsid w:val="002133CA"/>
    <w:rsid w:val="0021361F"/>
    <w:rsid w:val="00215783"/>
    <w:rsid w:val="0021644B"/>
    <w:rsid w:val="00216DC9"/>
    <w:rsid w:val="00217CA0"/>
    <w:rsid w:val="002202EB"/>
    <w:rsid w:val="00220FCF"/>
    <w:rsid w:val="00221705"/>
    <w:rsid w:val="00221D97"/>
    <w:rsid w:val="00223C87"/>
    <w:rsid w:val="00224BA9"/>
    <w:rsid w:val="0022552E"/>
    <w:rsid w:val="00227458"/>
    <w:rsid w:val="00232729"/>
    <w:rsid w:val="002329C3"/>
    <w:rsid w:val="002332AE"/>
    <w:rsid w:val="002333C2"/>
    <w:rsid w:val="00234040"/>
    <w:rsid w:val="002357B2"/>
    <w:rsid w:val="00235D67"/>
    <w:rsid w:val="00244D22"/>
    <w:rsid w:val="002454A5"/>
    <w:rsid w:val="00246329"/>
    <w:rsid w:val="00246C09"/>
    <w:rsid w:val="00247262"/>
    <w:rsid w:val="002528B9"/>
    <w:rsid w:val="002539DC"/>
    <w:rsid w:val="0025616B"/>
    <w:rsid w:val="00257133"/>
    <w:rsid w:val="00257FF4"/>
    <w:rsid w:val="002608CE"/>
    <w:rsid w:val="0026279C"/>
    <w:rsid w:val="00262CD3"/>
    <w:rsid w:val="00265289"/>
    <w:rsid w:val="00266613"/>
    <w:rsid w:val="00266CBF"/>
    <w:rsid w:val="00266D1A"/>
    <w:rsid w:val="00266EDF"/>
    <w:rsid w:val="00266FE9"/>
    <w:rsid w:val="00272396"/>
    <w:rsid w:val="00274689"/>
    <w:rsid w:val="0027481A"/>
    <w:rsid w:val="0027614D"/>
    <w:rsid w:val="002762BF"/>
    <w:rsid w:val="0027651A"/>
    <w:rsid w:val="0027654F"/>
    <w:rsid w:val="0028081A"/>
    <w:rsid w:val="00281CF6"/>
    <w:rsid w:val="0028309A"/>
    <w:rsid w:val="0028359B"/>
    <w:rsid w:val="00285757"/>
    <w:rsid w:val="002857FE"/>
    <w:rsid w:val="00292D6A"/>
    <w:rsid w:val="0029312A"/>
    <w:rsid w:val="0029325C"/>
    <w:rsid w:val="00293B2D"/>
    <w:rsid w:val="002960B7"/>
    <w:rsid w:val="00296662"/>
    <w:rsid w:val="00297824"/>
    <w:rsid w:val="002A0877"/>
    <w:rsid w:val="002A153F"/>
    <w:rsid w:val="002A34B0"/>
    <w:rsid w:val="002A3770"/>
    <w:rsid w:val="002A40DC"/>
    <w:rsid w:val="002A4D8B"/>
    <w:rsid w:val="002A5329"/>
    <w:rsid w:val="002A5C2D"/>
    <w:rsid w:val="002A61E5"/>
    <w:rsid w:val="002A6AE8"/>
    <w:rsid w:val="002A7FC8"/>
    <w:rsid w:val="002B0A81"/>
    <w:rsid w:val="002B0C48"/>
    <w:rsid w:val="002B15C8"/>
    <w:rsid w:val="002B1CE7"/>
    <w:rsid w:val="002B2AF9"/>
    <w:rsid w:val="002B2F0F"/>
    <w:rsid w:val="002B595D"/>
    <w:rsid w:val="002B5F6A"/>
    <w:rsid w:val="002B779E"/>
    <w:rsid w:val="002B7D6F"/>
    <w:rsid w:val="002B7D78"/>
    <w:rsid w:val="002C0552"/>
    <w:rsid w:val="002C25D0"/>
    <w:rsid w:val="002C280B"/>
    <w:rsid w:val="002C2DB0"/>
    <w:rsid w:val="002C44C3"/>
    <w:rsid w:val="002C75B0"/>
    <w:rsid w:val="002C7703"/>
    <w:rsid w:val="002C7A63"/>
    <w:rsid w:val="002D0153"/>
    <w:rsid w:val="002D1631"/>
    <w:rsid w:val="002D403A"/>
    <w:rsid w:val="002D4262"/>
    <w:rsid w:val="002D71FB"/>
    <w:rsid w:val="002E1064"/>
    <w:rsid w:val="002E1531"/>
    <w:rsid w:val="002E2D3E"/>
    <w:rsid w:val="002E323F"/>
    <w:rsid w:val="002E7CFB"/>
    <w:rsid w:val="002F1B12"/>
    <w:rsid w:val="002F43A8"/>
    <w:rsid w:val="002F591B"/>
    <w:rsid w:val="002F7B47"/>
    <w:rsid w:val="00300013"/>
    <w:rsid w:val="003006F8"/>
    <w:rsid w:val="00300BF2"/>
    <w:rsid w:val="003016F7"/>
    <w:rsid w:val="003027C1"/>
    <w:rsid w:val="0030537F"/>
    <w:rsid w:val="00305718"/>
    <w:rsid w:val="00305EC5"/>
    <w:rsid w:val="00306107"/>
    <w:rsid w:val="0030779E"/>
    <w:rsid w:val="003077B8"/>
    <w:rsid w:val="003077EB"/>
    <w:rsid w:val="003111F8"/>
    <w:rsid w:val="0031204A"/>
    <w:rsid w:val="0031272B"/>
    <w:rsid w:val="003127D3"/>
    <w:rsid w:val="003146BF"/>
    <w:rsid w:val="00315435"/>
    <w:rsid w:val="00316341"/>
    <w:rsid w:val="00317E2D"/>
    <w:rsid w:val="00317F8C"/>
    <w:rsid w:val="0032038C"/>
    <w:rsid w:val="00325C5E"/>
    <w:rsid w:val="0032738E"/>
    <w:rsid w:val="00330433"/>
    <w:rsid w:val="00331C5F"/>
    <w:rsid w:val="00333074"/>
    <w:rsid w:val="00333223"/>
    <w:rsid w:val="00333EC6"/>
    <w:rsid w:val="003364C1"/>
    <w:rsid w:val="00337F82"/>
    <w:rsid w:val="00337FAC"/>
    <w:rsid w:val="00340640"/>
    <w:rsid w:val="00340BE5"/>
    <w:rsid w:val="003427DA"/>
    <w:rsid w:val="003435D6"/>
    <w:rsid w:val="003458E0"/>
    <w:rsid w:val="00345CCD"/>
    <w:rsid w:val="00347351"/>
    <w:rsid w:val="003511CE"/>
    <w:rsid w:val="00351909"/>
    <w:rsid w:val="00352BE0"/>
    <w:rsid w:val="0035333E"/>
    <w:rsid w:val="003538F0"/>
    <w:rsid w:val="003555D5"/>
    <w:rsid w:val="00357DAE"/>
    <w:rsid w:val="00361259"/>
    <w:rsid w:val="00361429"/>
    <w:rsid w:val="00362AA7"/>
    <w:rsid w:val="003705BF"/>
    <w:rsid w:val="00370935"/>
    <w:rsid w:val="00375E52"/>
    <w:rsid w:val="00377721"/>
    <w:rsid w:val="00377F81"/>
    <w:rsid w:val="00382234"/>
    <w:rsid w:val="0038672F"/>
    <w:rsid w:val="00386882"/>
    <w:rsid w:val="00386BC9"/>
    <w:rsid w:val="00386F24"/>
    <w:rsid w:val="0039053D"/>
    <w:rsid w:val="003914D7"/>
    <w:rsid w:val="0039449C"/>
    <w:rsid w:val="00397C94"/>
    <w:rsid w:val="003A0290"/>
    <w:rsid w:val="003A25BB"/>
    <w:rsid w:val="003B0963"/>
    <w:rsid w:val="003B0D03"/>
    <w:rsid w:val="003B1F0A"/>
    <w:rsid w:val="003B2C1F"/>
    <w:rsid w:val="003B48BF"/>
    <w:rsid w:val="003B51BB"/>
    <w:rsid w:val="003B5533"/>
    <w:rsid w:val="003B5A85"/>
    <w:rsid w:val="003B71EE"/>
    <w:rsid w:val="003B7621"/>
    <w:rsid w:val="003C13A6"/>
    <w:rsid w:val="003C1EB4"/>
    <w:rsid w:val="003C664E"/>
    <w:rsid w:val="003C7CD7"/>
    <w:rsid w:val="003D00D4"/>
    <w:rsid w:val="003D1E47"/>
    <w:rsid w:val="003D3C14"/>
    <w:rsid w:val="003D4557"/>
    <w:rsid w:val="003D52D2"/>
    <w:rsid w:val="003D543D"/>
    <w:rsid w:val="003D59FD"/>
    <w:rsid w:val="003E10B8"/>
    <w:rsid w:val="003E122D"/>
    <w:rsid w:val="003E13F5"/>
    <w:rsid w:val="003E4E15"/>
    <w:rsid w:val="003E5AE8"/>
    <w:rsid w:val="003F07EE"/>
    <w:rsid w:val="003F0F41"/>
    <w:rsid w:val="003F29F2"/>
    <w:rsid w:val="003F47DF"/>
    <w:rsid w:val="003F604C"/>
    <w:rsid w:val="003F7E20"/>
    <w:rsid w:val="00405E90"/>
    <w:rsid w:val="004065CE"/>
    <w:rsid w:val="0040728F"/>
    <w:rsid w:val="004105DD"/>
    <w:rsid w:val="00410DCE"/>
    <w:rsid w:val="004119C3"/>
    <w:rsid w:val="0041404E"/>
    <w:rsid w:val="0041429D"/>
    <w:rsid w:val="00414E1F"/>
    <w:rsid w:val="004168D4"/>
    <w:rsid w:val="0041765C"/>
    <w:rsid w:val="00420837"/>
    <w:rsid w:val="00421EEC"/>
    <w:rsid w:val="0042255C"/>
    <w:rsid w:val="00422933"/>
    <w:rsid w:val="00422F4B"/>
    <w:rsid w:val="004248B4"/>
    <w:rsid w:val="00424C66"/>
    <w:rsid w:val="0042526D"/>
    <w:rsid w:val="004254A2"/>
    <w:rsid w:val="00426D71"/>
    <w:rsid w:val="00427538"/>
    <w:rsid w:val="00430256"/>
    <w:rsid w:val="00431395"/>
    <w:rsid w:val="00431BF1"/>
    <w:rsid w:val="004342F8"/>
    <w:rsid w:val="00434A2F"/>
    <w:rsid w:val="004373DF"/>
    <w:rsid w:val="0044083A"/>
    <w:rsid w:val="004408FA"/>
    <w:rsid w:val="004418CD"/>
    <w:rsid w:val="0044552A"/>
    <w:rsid w:val="00451501"/>
    <w:rsid w:val="004528D0"/>
    <w:rsid w:val="00452907"/>
    <w:rsid w:val="00454564"/>
    <w:rsid w:val="004562E5"/>
    <w:rsid w:val="00457BC3"/>
    <w:rsid w:val="0046034D"/>
    <w:rsid w:val="004611B1"/>
    <w:rsid w:val="00462272"/>
    <w:rsid w:val="0046390C"/>
    <w:rsid w:val="00465D4E"/>
    <w:rsid w:val="004669BA"/>
    <w:rsid w:val="00467BDD"/>
    <w:rsid w:val="004701B4"/>
    <w:rsid w:val="00470EE4"/>
    <w:rsid w:val="004717F6"/>
    <w:rsid w:val="00474747"/>
    <w:rsid w:val="0047481E"/>
    <w:rsid w:val="00474918"/>
    <w:rsid w:val="00475EAF"/>
    <w:rsid w:val="004811D5"/>
    <w:rsid w:val="004815F8"/>
    <w:rsid w:val="00481E32"/>
    <w:rsid w:val="004831ED"/>
    <w:rsid w:val="004836A7"/>
    <w:rsid w:val="004847B4"/>
    <w:rsid w:val="00484921"/>
    <w:rsid w:val="00486614"/>
    <w:rsid w:val="00487E11"/>
    <w:rsid w:val="00487FB8"/>
    <w:rsid w:val="00490D96"/>
    <w:rsid w:val="004919D4"/>
    <w:rsid w:val="00491FB2"/>
    <w:rsid w:val="0049212C"/>
    <w:rsid w:val="00495C39"/>
    <w:rsid w:val="004A1224"/>
    <w:rsid w:val="004A175C"/>
    <w:rsid w:val="004A1AE3"/>
    <w:rsid w:val="004A247B"/>
    <w:rsid w:val="004A28C5"/>
    <w:rsid w:val="004A660C"/>
    <w:rsid w:val="004A6B44"/>
    <w:rsid w:val="004B0B19"/>
    <w:rsid w:val="004B0DB2"/>
    <w:rsid w:val="004B353D"/>
    <w:rsid w:val="004B37A7"/>
    <w:rsid w:val="004B4426"/>
    <w:rsid w:val="004B5F2A"/>
    <w:rsid w:val="004B74B2"/>
    <w:rsid w:val="004C1399"/>
    <w:rsid w:val="004C1C09"/>
    <w:rsid w:val="004C289A"/>
    <w:rsid w:val="004C2A0C"/>
    <w:rsid w:val="004C2A17"/>
    <w:rsid w:val="004C4CAE"/>
    <w:rsid w:val="004C5507"/>
    <w:rsid w:val="004D1E1A"/>
    <w:rsid w:val="004D23A9"/>
    <w:rsid w:val="004D29F5"/>
    <w:rsid w:val="004D2F90"/>
    <w:rsid w:val="004D7804"/>
    <w:rsid w:val="004D79C9"/>
    <w:rsid w:val="004E2825"/>
    <w:rsid w:val="004E3079"/>
    <w:rsid w:val="004E62E4"/>
    <w:rsid w:val="004F0E90"/>
    <w:rsid w:val="004F0F5B"/>
    <w:rsid w:val="004F22B8"/>
    <w:rsid w:val="004F2437"/>
    <w:rsid w:val="004F45F0"/>
    <w:rsid w:val="004F4624"/>
    <w:rsid w:val="004F5573"/>
    <w:rsid w:val="004F634F"/>
    <w:rsid w:val="0050141B"/>
    <w:rsid w:val="00502638"/>
    <w:rsid w:val="005029BC"/>
    <w:rsid w:val="005048E3"/>
    <w:rsid w:val="00504C3F"/>
    <w:rsid w:val="00505A77"/>
    <w:rsid w:val="00505CB3"/>
    <w:rsid w:val="005067C7"/>
    <w:rsid w:val="00506EB0"/>
    <w:rsid w:val="0050798C"/>
    <w:rsid w:val="0051030F"/>
    <w:rsid w:val="005136CD"/>
    <w:rsid w:val="00514B1A"/>
    <w:rsid w:val="00514B24"/>
    <w:rsid w:val="00517384"/>
    <w:rsid w:val="00521860"/>
    <w:rsid w:val="005222CC"/>
    <w:rsid w:val="00522622"/>
    <w:rsid w:val="005257C4"/>
    <w:rsid w:val="00525AB1"/>
    <w:rsid w:val="005267FB"/>
    <w:rsid w:val="00527492"/>
    <w:rsid w:val="005277F5"/>
    <w:rsid w:val="005307E9"/>
    <w:rsid w:val="005310C1"/>
    <w:rsid w:val="00531224"/>
    <w:rsid w:val="00532994"/>
    <w:rsid w:val="005329BE"/>
    <w:rsid w:val="00532D12"/>
    <w:rsid w:val="00533206"/>
    <w:rsid w:val="00533442"/>
    <w:rsid w:val="00533515"/>
    <w:rsid w:val="00534AC0"/>
    <w:rsid w:val="00535557"/>
    <w:rsid w:val="0053606A"/>
    <w:rsid w:val="005369C0"/>
    <w:rsid w:val="00540D82"/>
    <w:rsid w:val="00541254"/>
    <w:rsid w:val="00542BA5"/>
    <w:rsid w:val="00545573"/>
    <w:rsid w:val="00547EB8"/>
    <w:rsid w:val="00552FC2"/>
    <w:rsid w:val="00553DA2"/>
    <w:rsid w:val="00555623"/>
    <w:rsid w:val="005562DC"/>
    <w:rsid w:val="00556725"/>
    <w:rsid w:val="00557A85"/>
    <w:rsid w:val="00560562"/>
    <w:rsid w:val="005606B5"/>
    <w:rsid w:val="00562BAD"/>
    <w:rsid w:val="00566181"/>
    <w:rsid w:val="005708BD"/>
    <w:rsid w:val="00574906"/>
    <w:rsid w:val="00574E9E"/>
    <w:rsid w:val="005752BC"/>
    <w:rsid w:val="0057622F"/>
    <w:rsid w:val="00577977"/>
    <w:rsid w:val="00581D30"/>
    <w:rsid w:val="00584245"/>
    <w:rsid w:val="00584D80"/>
    <w:rsid w:val="005863FB"/>
    <w:rsid w:val="00586535"/>
    <w:rsid w:val="00586BB5"/>
    <w:rsid w:val="00586DFB"/>
    <w:rsid w:val="005904C2"/>
    <w:rsid w:val="005905BC"/>
    <w:rsid w:val="00590B75"/>
    <w:rsid w:val="00590DAA"/>
    <w:rsid w:val="00591D74"/>
    <w:rsid w:val="005922E6"/>
    <w:rsid w:val="00592349"/>
    <w:rsid w:val="00596F3F"/>
    <w:rsid w:val="00597EEF"/>
    <w:rsid w:val="005A1C4E"/>
    <w:rsid w:val="005A3678"/>
    <w:rsid w:val="005A390C"/>
    <w:rsid w:val="005A426B"/>
    <w:rsid w:val="005A4A1A"/>
    <w:rsid w:val="005A5084"/>
    <w:rsid w:val="005A61D3"/>
    <w:rsid w:val="005A7E70"/>
    <w:rsid w:val="005B40E8"/>
    <w:rsid w:val="005B6DAA"/>
    <w:rsid w:val="005B7314"/>
    <w:rsid w:val="005B7D8B"/>
    <w:rsid w:val="005C03F6"/>
    <w:rsid w:val="005C0475"/>
    <w:rsid w:val="005C1569"/>
    <w:rsid w:val="005C225D"/>
    <w:rsid w:val="005C4604"/>
    <w:rsid w:val="005C4BEE"/>
    <w:rsid w:val="005C6E74"/>
    <w:rsid w:val="005C781C"/>
    <w:rsid w:val="005D3254"/>
    <w:rsid w:val="005D330E"/>
    <w:rsid w:val="005D3528"/>
    <w:rsid w:val="005D49A6"/>
    <w:rsid w:val="005D7A35"/>
    <w:rsid w:val="005E034F"/>
    <w:rsid w:val="005E09A7"/>
    <w:rsid w:val="005E198B"/>
    <w:rsid w:val="005E19D9"/>
    <w:rsid w:val="005E1D35"/>
    <w:rsid w:val="005E2A31"/>
    <w:rsid w:val="005E35E8"/>
    <w:rsid w:val="005E36B9"/>
    <w:rsid w:val="005E442F"/>
    <w:rsid w:val="005E5519"/>
    <w:rsid w:val="005E61D8"/>
    <w:rsid w:val="005E7E2C"/>
    <w:rsid w:val="005F29CD"/>
    <w:rsid w:val="005F3175"/>
    <w:rsid w:val="005F3436"/>
    <w:rsid w:val="005F3BBD"/>
    <w:rsid w:val="005F4739"/>
    <w:rsid w:val="005F642B"/>
    <w:rsid w:val="005F67FC"/>
    <w:rsid w:val="006018F6"/>
    <w:rsid w:val="006026E1"/>
    <w:rsid w:val="00603A90"/>
    <w:rsid w:val="00605163"/>
    <w:rsid w:val="006065BF"/>
    <w:rsid w:val="00606F86"/>
    <w:rsid w:val="006070EA"/>
    <w:rsid w:val="00607ABE"/>
    <w:rsid w:val="00607F53"/>
    <w:rsid w:val="006103D0"/>
    <w:rsid w:val="0061082C"/>
    <w:rsid w:val="00611EAE"/>
    <w:rsid w:val="0061364A"/>
    <w:rsid w:val="00613BEA"/>
    <w:rsid w:val="0061402C"/>
    <w:rsid w:val="00615113"/>
    <w:rsid w:val="0061595F"/>
    <w:rsid w:val="00616179"/>
    <w:rsid w:val="0061675B"/>
    <w:rsid w:val="0062052B"/>
    <w:rsid w:val="00621A86"/>
    <w:rsid w:val="00623401"/>
    <w:rsid w:val="00625C40"/>
    <w:rsid w:val="006274B3"/>
    <w:rsid w:val="00627E7C"/>
    <w:rsid w:val="00631369"/>
    <w:rsid w:val="00632481"/>
    <w:rsid w:val="0063262D"/>
    <w:rsid w:val="00634AD9"/>
    <w:rsid w:val="00637BBD"/>
    <w:rsid w:val="00640D17"/>
    <w:rsid w:val="00642768"/>
    <w:rsid w:val="00646ACE"/>
    <w:rsid w:val="006474C0"/>
    <w:rsid w:val="00647927"/>
    <w:rsid w:val="00652B9B"/>
    <w:rsid w:val="00653743"/>
    <w:rsid w:val="00653DD9"/>
    <w:rsid w:val="00654E6A"/>
    <w:rsid w:val="00657486"/>
    <w:rsid w:val="006575F3"/>
    <w:rsid w:val="006576C3"/>
    <w:rsid w:val="00660871"/>
    <w:rsid w:val="00662809"/>
    <w:rsid w:val="00664E08"/>
    <w:rsid w:val="0066774D"/>
    <w:rsid w:val="00667F42"/>
    <w:rsid w:val="00671284"/>
    <w:rsid w:val="006727FC"/>
    <w:rsid w:val="00673906"/>
    <w:rsid w:val="006765BC"/>
    <w:rsid w:val="00676E5B"/>
    <w:rsid w:val="00677D6B"/>
    <w:rsid w:val="00680795"/>
    <w:rsid w:val="00680D8F"/>
    <w:rsid w:val="00682713"/>
    <w:rsid w:val="00683579"/>
    <w:rsid w:val="006854CE"/>
    <w:rsid w:val="006863EC"/>
    <w:rsid w:val="0068790B"/>
    <w:rsid w:val="006941DD"/>
    <w:rsid w:val="0069466B"/>
    <w:rsid w:val="006952FA"/>
    <w:rsid w:val="006956FF"/>
    <w:rsid w:val="006A009F"/>
    <w:rsid w:val="006A2332"/>
    <w:rsid w:val="006A257C"/>
    <w:rsid w:val="006A2615"/>
    <w:rsid w:val="006A499D"/>
    <w:rsid w:val="006A5866"/>
    <w:rsid w:val="006A7B57"/>
    <w:rsid w:val="006B0F54"/>
    <w:rsid w:val="006B415B"/>
    <w:rsid w:val="006B4C95"/>
    <w:rsid w:val="006B4CBA"/>
    <w:rsid w:val="006B5F82"/>
    <w:rsid w:val="006C2E46"/>
    <w:rsid w:val="006C3185"/>
    <w:rsid w:val="006C3544"/>
    <w:rsid w:val="006C4E45"/>
    <w:rsid w:val="006C5EE1"/>
    <w:rsid w:val="006C61B1"/>
    <w:rsid w:val="006D0669"/>
    <w:rsid w:val="006D3771"/>
    <w:rsid w:val="006D440A"/>
    <w:rsid w:val="006D592F"/>
    <w:rsid w:val="006D62BE"/>
    <w:rsid w:val="006D7B71"/>
    <w:rsid w:val="006D7EDC"/>
    <w:rsid w:val="006E0006"/>
    <w:rsid w:val="006E0DF6"/>
    <w:rsid w:val="006E1BDE"/>
    <w:rsid w:val="006E336C"/>
    <w:rsid w:val="006E3B9E"/>
    <w:rsid w:val="006E4A27"/>
    <w:rsid w:val="006E5828"/>
    <w:rsid w:val="006E6BB9"/>
    <w:rsid w:val="006E784F"/>
    <w:rsid w:val="006F0B4F"/>
    <w:rsid w:val="006F26BA"/>
    <w:rsid w:val="006F2DF3"/>
    <w:rsid w:val="006F2DF9"/>
    <w:rsid w:val="006F3653"/>
    <w:rsid w:val="006F3C6F"/>
    <w:rsid w:val="006F3DB7"/>
    <w:rsid w:val="006F41C6"/>
    <w:rsid w:val="006F5DD9"/>
    <w:rsid w:val="006F6FA2"/>
    <w:rsid w:val="007001D0"/>
    <w:rsid w:val="00700CE3"/>
    <w:rsid w:val="00701498"/>
    <w:rsid w:val="00701E70"/>
    <w:rsid w:val="007036AE"/>
    <w:rsid w:val="00704F47"/>
    <w:rsid w:val="007072C2"/>
    <w:rsid w:val="0070746B"/>
    <w:rsid w:val="007075CA"/>
    <w:rsid w:val="0071151E"/>
    <w:rsid w:val="00711571"/>
    <w:rsid w:val="0071482B"/>
    <w:rsid w:val="00714C8F"/>
    <w:rsid w:val="00715214"/>
    <w:rsid w:val="00715A32"/>
    <w:rsid w:val="00716F57"/>
    <w:rsid w:val="00721409"/>
    <w:rsid w:val="007221A2"/>
    <w:rsid w:val="00722364"/>
    <w:rsid w:val="00722935"/>
    <w:rsid w:val="00727815"/>
    <w:rsid w:val="00730E31"/>
    <w:rsid w:val="00732561"/>
    <w:rsid w:val="00734C7A"/>
    <w:rsid w:val="00734E06"/>
    <w:rsid w:val="00735844"/>
    <w:rsid w:val="00736E9D"/>
    <w:rsid w:val="007373FA"/>
    <w:rsid w:val="0074063F"/>
    <w:rsid w:val="00740EF1"/>
    <w:rsid w:val="00744DBD"/>
    <w:rsid w:val="00745398"/>
    <w:rsid w:val="00750451"/>
    <w:rsid w:val="00753890"/>
    <w:rsid w:val="007561F0"/>
    <w:rsid w:val="00756632"/>
    <w:rsid w:val="0075754A"/>
    <w:rsid w:val="00760554"/>
    <w:rsid w:val="0076083D"/>
    <w:rsid w:val="00761DC2"/>
    <w:rsid w:val="0076273D"/>
    <w:rsid w:val="00762B1E"/>
    <w:rsid w:val="007652E7"/>
    <w:rsid w:val="00766434"/>
    <w:rsid w:val="00770E10"/>
    <w:rsid w:val="00771E5C"/>
    <w:rsid w:val="00772107"/>
    <w:rsid w:val="00774A83"/>
    <w:rsid w:val="00775146"/>
    <w:rsid w:val="0077566D"/>
    <w:rsid w:val="00776097"/>
    <w:rsid w:val="007766A5"/>
    <w:rsid w:val="00776E39"/>
    <w:rsid w:val="00780082"/>
    <w:rsid w:val="0078016D"/>
    <w:rsid w:val="00782098"/>
    <w:rsid w:val="0078228A"/>
    <w:rsid w:val="00786724"/>
    <w:rsid w:val="007900CB"/>
    <w:rsid w:val="00790E9B"/>
    <w:rsid w:val="007917E7"/>
    <w:rsid w:val="007927C6"/>
    <w:rsid w:val="0079348E"/>
    <w:rsid w:val="0079405B"/>
    <w:rsid w:val="0079506B"/>
    <w:rsid w:val="007A05F4"/>
    <w:rsid w:val="007A0BB9"/>
    <w:rsid w:val="007A1D73"/>
    <w:rsid w:val="007A4023"/>
    <w:rsid w:val="007A5258"/>
    <w:rsid w:val="007A5A94"/>
    <w:rsid w:val="007A68C1"/>
    <w:rsid w:val="007A6C47"/>
    <w:rsid w:val="007B2D54"/>
    <w:rsid w:val="007B31F7"/>
    <w:rsid w:val="007B347F"/>
    <w:rsid w:val="007B5A98"/>
    <w:rsid w:val="007B5E30"/>
    <w:rsid w:val="007C2270"/>
    <w:rsid w:val="007C27D4"/>
    <w:rsid w:val="007C4CCE"/>
    <w:rsid w:val="007C570A"/>
    <w:rsid w:val="007C7D49"/>
    <w:rsid w:val="007D1D99"/>
    <w:rsid w:val="007D4D2A"/>
    <w:rsid w:val="007D763D"/>
    <w:rsid w:val="007E00B1"/>
    <w:rsid w:val="007E0749"/>
    <w:rsid w:val="007E2717"/>
    <w:rsid w:val="007E2F87"/>
    <w:rsid w:val="007E334F"/>
    <w:rsid w:val="007E3D27"/>
    <w:rsid w:val="007E5D39"/>
    <w:rsid w:val="007E66C8"/>
    <w:rsid w:val="007E67BD"/>
    <w:rsid w:val="007E6BBD"/>
    <w:rsid w:val="007F06E1"/>
    <w:rsid w:val="007F3983"/>
    <w:rsid w:val="007F3CCF"/>
    <w:rsid w:val="007F517F"/>
    <w:rsid w:val="007F6391"/>
    <w:rsid w:val="007F6FB8"/>
    <w:rsid w:val="007F7481"/>
    <w:rsid w:val="007F76FF"/>
    <w:rsid w:val="007F7970"/>
    <w:rsid w:val="007F7EB7"/>
    <w:rsid w:val="00801491"/>
    <w:rsid w:val="008015A7"/>
    <w:rsid w:val="00803099"/>
    <w:rsid w:val="00804AAA"/>
    <w:rsid w:val="0081066B"/>
    <w:rsid w:val="00810809"/>
    <w:rsid w:val="00810E5B"/>
    <w:rsid w:val="00812350"/>
    <w:rsid w:val="00812741"/>
    <w:rsid w:val="008128E3"/>
    <w:rsid w:val="00815871"/>
    <w:rsid w:val="00820CF4"/>
    <w:rsid w:val="00821789"/>
    <w:rsid w:val="0082180B"/>
    <w:rsid w:val="00825D4F"/>
    <w:rsid w:val="00825E25"/>
    <w:rsid w:val="00826EF2"/>
    <w:rsid w:val="00830017"/>
    <w:rsid w:val="00830DC9"/>
    <w:rsid w:val="00833A6A"/>
    <w:rsid w:val="00833E2F"/>
    <w:rsid w:val="008368F3"/>
    <w:rsid w:val="0083698F"/>
    <w:rsid w:val="00837959"/>
    <w:rsid w:val="008400A8"/>
    <w:rsid w:val="0084156A"/>
    <w:rsid w:val="008427B1"/>
    <w:rsid w:val="008449FF"/>
    <w:rsid w:val="00844BE8"/>
    <w:rsid w:val="0084534D"/>
    <w:rsid w:val="0084601D"/>
    <w:rsid w:val="00846C73"/>
    <w:rsid w:val="0085161D"/>
    <w:rsid w:val="00855597"/>
    <w:rsid w:val="00855780"/>
    <w:rsid w:val="00856178"/>
    <w:rsid w:val="00856C69"/>
    <w:rsid w:val="008570AB"/>
    <w:rsid w:val="00857477"/>
    <w:rsid w:val="00862545"/>
    <w:rsid w:val="00863118"/>
    <w:rsid w:val="00863170"/>
    <w:rsid w:val="008636B4"/>
    <w:rsid w:val="00865A76"/>
    <w:rsid w:val="0086730B"/>
    <w:rsid w:val="008679E6"/>
    <w:rsid w:val="00867A0F"/>
    <w:rsid w:val="00871811"/>
    <w:rsid w:val="0087253E"/>
    <w:rsid w:val="00872E1F"/>
    <w:rsid w:val="00873942"/>
    <w:rsid w:val="00877F83"/>
    <w:rsid w:val="00880558"/>
    <w:rsid w:val="00881CB8"/>
    <w:rsid w:val="00885DA2"/>
    <w:rsid w:val="00886342"/>
    <w:rsid w:val="008875DE"/>
    <w:rsid w:val="0089092F"/>
    <w:rsid w:val="00896961"/>
    <w:rsid w:val="00896FF4"/>
    <w:rsid w:val="008A0E85"/>
    <w:rsid w:val="008A1DDE"/>
    <w:rsid w:val="008A371D"/>
    <w:rsid w:val="008A41CA"/>
    <w:rsid w:val="008A519D"/>
    <w:rsid w:val="008A5443"/>
    <w:rsid w:val="008A55A8"/>
    <w:rsid w:val="008A5F01"/>
    <w:rsid w:val="008A6B66"/>
    <w:rsid w:val="008B0969"/>
    <w:rsid w:val="008B11D0"/>
    <w:rsid w:val="008B4464"/>
    <w:rsid w:val="008B49F6"/>
    <w:rsid w:val="008B4BF2"/>
    <w:rsid w:val="008B50B8"/>
    <w:rsid w:val="008B56E5"/>
    <w:rsid w:val="008B5AFD"/>
    <w:rsid w:val="008B605C"/>
    <w:rsid w:val="008B6650"/>
    <w:rsid w:val="008B7A4E"/>
    <w:rsid w:val="008C1506"/>
    <w:rsid w:val="008C15EB"/>
    <w:rsid w:val="008C27C5"/>
    <w:rsid w:val="008C2D30"/>
    <w:rsid w:val="008C68EF"/>
    <w:rsid w:val="008C6C92"/>
    <w:rsid w:val="008C77F7"/>
    <w:rsid w:val="008D0AE4"/>
    <w:rsid w:val="008D1847"/>
    <w:rsid w:val="008D1B0D"/>
    <w:rsid w:val="008D2F52"/>
    <w:rsid w:val="008D6B57"/>
    <w:rsid w:val="008D74C3"/>
    <w:rsid w:val="008D7DFC"/>
    <w:rsid w:val="008E00FD"/>
    <w:rsid w:val="008E07C6"/>
    <w:rsid w:val="008E33EA"/>
    <w:rsid w:val="008E4180"/>
    <w:rsid w:val="008E5DFF"/>
    <w:rsid w:val="008E5F84"/>
    <w:rsid w:val="008E6A1B"/>
    <w:rsid w:val="008F0EA9"/>
    <w:rsid w:val="008F1B1E"/>
    <w:rsid w:val="008F2B7E"/>
    <w:rsid w:val="008F411D"/>
    <w:rsid w:val="008F4D31"/>
    <w:rsid w:val="008F53F5"/>
    <w:rsid w:val="008F5AFC"/>
    <w:rsid w:val="008F5FF0"/>
    <w:rsid w:val="008F61F2"/>
    <w:rsid w:val="008F63BC"/>
    <w:rsid w:val="008F7F78"/>
    <w:rsid w:val="00900316"/>
    <w:rsid w:val="0090122A"/>
    <w:rsid w:val="0090394F"/>
    <w:rsid w:val="00904EF2"/>
    <w:rsid w:val="009054D3"/>
    <w:rsid w:val="00907B9D"/>
    <w:rsid w:val="00910CFA"/>
    <w:rsid w:val="009125D2"/>
    <w:rsid w:val="00913F86"/>
    <w:rsid w:val="00915E3F"/>
    <w:rsid w:val="0091757C"/>
    <w:rsid w:val="0092099E"/>
    <w:rsid w:val="0092273F"/>
    <w:rsid w:val="009238F1"/>
    <w:rsid w:val="009249B4"/>
    <w:rsid w:val="009260C6"/>
    <w:rsid w:val="00926716"/>
    <w:rsid w:val="00926ED2"/>
    <w:rsid w:val="009270DB"/>
    <w:rsid w:val="0093491F"/>
    <w:rsid w:val="00935DF7"/>
    <w:rsid w:val="00935E14"/>
    <w:rsid w:val="009361DA"/>
    <w:rsid w:val="00942454"/>
    <w:rsid w:val="00946968"/>
    <w:rsid w:val="00950DB5"/>
    <w:rsid w:val="00951BD3"/>
    <w:rsid w:val="009559F2"/>
    <w:rsid w:val="00957310"/>
    <w:rsid w:val="0095750D"/>
    <w:rsid w:val="0096278C"/>
    <w:rsid w:val="00962B8F"/>
    <w:rsid w:val="00964464"/>
    <w:rsid w:val="00965665"/>
    <w:rsid w:val="0096632E"/>
    <w:rsid w:val="009669E1"/>
    <w:rsid w:val="00966D4F"/>
    <w:rsid w:val="00971F52"/>
    <w:rsid w:val="0097202E"/>
    <w:rsid w:val="00972E0B"/>
    <w:rsid w:val="009732CE"/>
    <w:rsid w:val="009748F0"/>
    <w:rsid w:val="00974A7C"/>
    <w:rsid w:val="0097587B"/>
    <w:rsid w:val="009766FE"/>
    <w:rsid w:val="00977715"/>
    <w:rsid w:val="009778EF"/>
    <w:rsid w:val="00980439"/>
    <w:rsid w:val="00982444"/>
    <w:rsid w:val="00982BA7"/>
    <w:rsid w:val="00982D92"/>
    <w:rsid w:val="00982F10"/>
    <w:rsid w:val="009834A0"/>
    <w:rsid w:val="009843A8"/>
    <w:rsid w:val="00984993"/>
    <w:rsid w:val="0098697A"/>
    <w:rsid w:val="009875EE"/>
    <w:rsid w:val="00987E22"/>
    <w:rsid w:val="00993EA1"/>
    <w:rsid w:val="0099496C"/>
    <w:rsid w:val="00996569"/>
    <w:rsid w:val="009A057B"/>
    <w:rsid w:val="009A06F0"/>
    <w:rsid w:val="009A14DE"/>
    <w:rsid w:val="009A7BC2"/>
    <w:rsid w:val="009B187D"/>
    <w:rsid w:val="009B1897"/>
    <w:rsid w:val="009B1BB7"/>
    <w:rsid w:val="009B3DA6"/>
    <w:rsid w:val="009B48D4"/>
    <w:rsid w:val="009B5B95"/>
    <w:rsid w:val="009B7FD2"/>
    <w:rsid w:val="009C0992"/>
    <w:rsid w:val="009C0C48"/>
    <w:rsid w:val="009C1830"/>
    <w:rsid w:val="009C23DA"/>
    <w:rsid w:val="009C24B3"/>
    <w:rsid w:val="009C2C09"/>
    <w:rsid w:val="009C2E5A"/>
    <w:rsid w:val="009C4583"/>
    <w:rsid w:val="009C6214"/>
    <w:rsid w:val="009C7B18"/>
    <w:rsid w:val="009C7B91"/>
    <w:rsid w:val="009C7C48"/>
    <w:rsid w:val="009C7D55"/>
    <w:rsid w:val="009C7F52"/>
    <w:rsid w:val="009D07F2"/>
    <w:rsid w:val="009D1884"/>
    <w:rsid w:val="009D24A3"/>
    <w:rsid w:val="009D3665"/>
    <w:rsid w:val="009D373E"/>
    <w:rsid w:val="009D3C84"/>
    <w:rsid w:val="009D4D3C"/>
    <w:rsid w:val="009D6969"/>
    <w:rsid w:val="009D7470"/>
    <w:rsid w:val="009D7A58"/>
    <w:rsid w:val="009E0BAE"/>
    <w:rsid w:val="009E0CED"/>
    <w:rsid w:val="009E17A2"/>
    <w:rsid w:val="009E26C0"/>
    <w:rsid w:val="009E2D23"/>
    <w:rsid w:val="009E4043"/>
    <w:rsid w:val="009E43C1"/>
    <w:rsid w:val="009F3BA0"/>
    <w:rsid w:val="009F3F5D"/>
    <w:rsid w:val="009F4B3E"/>
    <w:rsid w:val="009F4CB9"/>
    <w:rsid w:val="009F52B8"/>
    <w:rsid w:val="009F6F42"/>
    <w:rsid w:val="009F7924"/>
    <w:rsid w:val="00A004B5"/>
    <w:rsid w:val="00A01C02"/>
    <w:rsid w:val="00A05113"/>
    <w:rsid w:val="00A054DC"/>
    <w:rsid w:val="00A06502"/>
    <w:rsid w:val="00A069AE"/>
    <w:rsid w:val="00A10389"/>
    <w:rsid w:val="00A103BD"/>
    <w:rsid w:val="00A10AD7"/>
    <w:rsid w:val="00A1133E"/>
    <w:rsid w:val="00A11888"/>
    <w:rsid w:val="00A11E62"/>
    <w:rsid w:val="00A11E8F"/>
    <w:rsid w:val="00A12369"/>
    <w:rsid w:val="00A14357"/>
    <w:rsid w:val="00A1524F"/>
    <w:rsid w:val="00A1525F"/>
    <w:rsid w:val="00A15E63"/>
    <w:rsid w:val="00A167D9"/>
    <w:rsid w:val="00A17672"/>
    <w:rsid w:val="00A176BD"/>
    <w:rsid w:val="00A200E6"/>
    <w:rsid w:val="00A20C5D"/>
    <w:rsid w:val="00A20D02"/>
    <w:rsid w:val="00A239CC"/>
    <w:rsid w:val="00A23BC2"/>
    <w:rsid w:val="00A24BB8"/>
    <w:rsid w:val="00A279AC"/>
    <w:rsid w:val="00A30C5D"/>
    <w:rsid w:val="00A310F1"/>
    <w:rsid w:val="00A34480"/>
    <w:rsid w:val="00A35FAA"/>
    <w:rsid w:val="00A40163"/>
    <w:rsid w:val="00A409BC"/>
    <w:rsid w:val="00A413AD"/>
    <w:rsid w:val="00A41422"/>
    <w:rsid w:val="00A42F6D"/>
    <w:rsid w:val="00A443F8"/>
    <w:rsid w:val="00A44612"/>
    <w:rsid w:val="00A44720"/>
    <w:rsid w:val="00A44A92"/>
    <w:rsid w:val="00A51337"/>
    <w:rsid w:val="00A540A5"/>
    <w:rsid w:val="00A54248"/>
    <w:rsid w:val="00A55B6F"/>
    <w:rsid w:val="00A609D3"/>
    <w:rsid w:val="00A619B5"/>
    <w:rsid w:val="00A6388E"/>
    <w:rsid w:val="00A70398"/>
    <w:rsid w:val="00A709AD"/>
    <w:rsid w:val="00A733CB"/>
    <w:rsid w:val="00A751AD"/>
    <w:rsid w:val="00A775CF"/>
    <w:rsid w:val="00A77853"/>
    <w:rsid w:val="00A77FAF"/>
    <w:rsid w:val="00A80C87"/>
    <w:rsid w:val="00A81D60"/>
    <w:rsid w:val="00A83241"/>
    <w:rsid w:val="00A84503"/>
    <w:rsid w:val="00A8782F"/>
    <w:rsid w:val="00A90C74"/>
    <w:rsid w:val="00A9167D"/>
    <w:rsid w:val="00A919E7"/>
    <w:rsid w:val="00A9293A"/>
    <w:rsid w:val="00A92D25"/>
    <w:rsid w:val="00A943E1"/>
    <w:rsid w:val="00A94689"/>
    <w:rsid w:val="00A94DDB"/>
    <w:rsid w:val="00A96349"/>
    <w:rsid w:val="00A965CD"/>
    <w:rsid w:val="00AA27AA"/>
    <w:rsid w:val="00AA2DF3"/>
    <w:rsid w:val="00AA50BC"/>
    <w:rsid w:val="00AA70B4"/>
    <w:rsid w:val="00AB0B01"/>
    <w:rsid w:val="00AB24E7"/>
    <w:rsid w:val="00AB3237"/>
    <w:rsid w:val="00AB3A2D"/>
    <w:rsid w:val="00AB75AE"/>
    <w:rsid w:val="00AB76EC"/>
    <w:rsid w:val="00AB7933"/>
    <w:rsid w:val="00AB7A09"/>
    <w:rsid w:val="00AB7C05"/>
    <w:rsid w:val="00AC13C9"/>
    <w:rsid w:val="00AC3D18"/>
    <w:rsid w:val="00AD10CF"/>
    <w:rsid w:val="00AD2FC0"/>
    <w:rsid w:val="00AD35EA"/>
    <w:rsid w:val="00AD3BC7"/>
    <w:rsid w:val="00AD4967"/>
    <w:rsid w:val="00AD562E"/>
    <w:rsid w:val="00AD5B1B"/>
    <w:rsid w:val="00AD6DB9"/>
    <w:rsid w:val="00AE2459"/>
    <w:rsid w:val="00AE29C2"/>
    <w:rsid w:val="00AE3D23"/>
    <w:rsid w:val="00AE4EC8"/>
    <w:rsid w:val="00AE5D9F"/>
    <w:rsid w:val="00AE5F15"/>
    <w:rsid w:val="00AE61C0"/>
    <w:rsid w:val="00AE76C9"/>
    <w:rsid w:val="00AF0C7E"/>
    <w:rsid w:val="00AF0EB2"/>
    <w:rsid w:val="00AF1167"/>
    <w:rsid w:val="00AF2221"/>
    <w:rsid w:val="00AF2791"/>
    <w:rsid w:val="00AF32F0"/>
    <w:rsid w:val="00AF3811"/>
    <w:rsid w:val="00AF418D"/>
    <w:rsid w:val="00AF47A1"/>
    <w:rsid w:val="00AF560E"/>
    <w:rsid w:val="00AF6220"/>
    <w:rsid w:val="00AF70EE"/>
    <w:rsid w:val="00AF7618"/>
    <w:rsid w:val="00B00B01"/>
    <w:rsid w:val="00B02162"/>
    <w:rsid w:val="00B04550"/>
    <w:rsid w:val="00B04964"/>
    <w:rsid w:val="00B061AE"/>
    <w:rsid w:val="00B06ACC"/>
    <w:rsid w:val="00B10605"/>
    <w:rsid w:val="00B10F95"/>
    <w:rsid w:val="00B12331"/>
    <w:rsid w:val="00B15B71"/>
    <w:rsid w:val="00B21941"/>
    <w:rsid w:val="00B21E61"/>
    <w:rsid w:val="00B21EB4"/>
    <w:rsid w:val="00B22F29"/>
    <w:rsid w:val="00B233F5"/>
    <w:rsid w:val="00B23F55"/>
    <w:rsid w:val="00B24916"/>
    <w:rsid w:val="00B2691D"/>
    <w:rsid w:val="00B26C44"/>
    <w:rsid w:val="00B273B4"/>
    <w:rsid w:val="00B27820"/>
    <w:rsid w:val="00B30944"/>
    <w:rsid w:val="00B33F4D"/>
    <w:rsid w:val="00B364D0"/>
    <w:rsid w:val="00B36B81"/>
    <w:rsid w:val="00B37148"/>
    <w:rsid w:val="00B42B56"/>
    <w:rsid w:val="00B460B5"/>
    <w:rsid w:val="00B47F4C"/>
    <w:rsid w:val="00B51526"/>
    <w:rsid w:val="00B56B78"/>
    <w:rsid w:val="00B60F6F"/>
    <w:rsid w:val="00B60FAC"/>
    <w:rsid w:val="00B61348"/>
    <w:rsid w:val="00B617F3"/>
    <w:rsid w:val="00B61A52"/>
    <w:rsid w:val="00B6230B"/>
    <w:rsid w:val="00B64DE4"/>
    <w:rsid w:val="00B65221"/>
    <w:rsid w:val="00B676B8"/>
    <w:rsid w:val="00B70C9E"/>
    <w:rsid w:val="00B71222"/>
    <w:rsid w:val="00B7358B"/>
    <w:rsid w:val="00B7388C"/>
    <w:rsid w:val="00B73E0D"/>
    <w:rsid w:val="00B830A1"/>
    <w:rsid w:val="00B83705"/>
    <w:rsid w:val="00B83CA0"/>
    <w:rsid w:val="00B84243"/>
    <w:rsid w:val="00B85C34"/>
    <w:rsid w:val="00B86625"/>
    <w:rsid w:val="00B876C0"/>
    <w:rsid w:val="00B9211B"/>
    <w:rsid w:val="00B93884"/>
    <w:rsid w:val="00B94638"/>
    <w:rsid w:val="00B94A65"/>
    <w:rsid w:val="00B94ADF"/>
    <w:rsid w:val="00B94BF8"/>
    <w:rsid w:val="00B94FB4"/>
    <w:rsid w:val="00B95D2D"/>
    <w:rsid w:val="00B9676C"/>
    <w:rsid w:val="00BA0966"/>
    <w:rsid w:val="00BA0CC9"/>
    <w:rsid w:val="00BA0F2F"/>
    <w:rsid w:val="00BA1DE1"/>
    <w:rsid w:val="00BA1ED1"/>
    <w:rsid w:val="00BA2F8D"/>
    <w:rsid w:val="00BA379F"/>
    <w:rsid w:val="00BA6777"/>
    <w:rsid w:val="00BB2A98"/>
    <w:rsid w:val="00BB2B07"/>
    <w:rsid w:val="00BB3AB5"/>
    <w:rsid w:val="00BB3DA8"/>
    <w:rsid w:val="00BB498B"/>
    <w:rsid w:val="00BB6D23"/>
    <w:rsid w:val="00BB721D"/>
    <w:rsid w:val="00BB7455"/>
    <w:rsid w:val="00BC2C65"/>
    <w:rsid w:val="00BC3CAB"/>
    <w:rsid w:val="00BC42CE"/>
    <w:rsid w:val="00BC6702"/>
    <w:rsid w:val="00BC78AD"/>
    <w:rsid w:val="00BD210E"/>
    <w:rsid w:val="00BE27C7"/>
    <w:rsid w:val="00BE70B3"/>
    <w:rsid w:val="00BE7D58"/>
    <w:rsid w:val="00BF0270"/>
    <w:rsid w:val="00BF0E14"/>
    <w:rsid w:val="00BF164E"/>
    <w:rsid w:val="00BF23C3"/>
    <w:rsid w:val="00BF5548"/>
    <w:rsid w:val="00BF6D42"/>
    <w:rsid w:val="00BF74F7"/>
    <w:rsid w:val="00BF7ED9"/>
    <w:rsid w:val="00C008F0"/>
    <w:rsid w:val="00C00AA5"/>
    <w:rsid w:val="00C03A93"/>
    <w:rsid w:val="00C07DEC"/>
    <w:rsid w:val="00C1005F"/>
    <w:rsid w:val="00C107D2"/>
    <w:rsid w:val="00C10E26"/>
    <w:rsid w:val="00C11F05"/>
    <w:rsid w:val="00C11F2F"/>
    <w:rsid w:val="00C12D0A"/>
    <w:rsid w:val="00C15DEF"/>
    <w:rsid w:val="00C171AB"/>
    <w:rsid w:val="00C20E76"/>
    <w:rsid w:val="00C23647"/>
    <w:rsid w:val="00C2476F"/>
    <w:rsid w:val="00C258F6"/>
    <w:rsid w:val="00C2641F"/>
    <w:rsid w:val="00C3009E"/>
    <w:rsid w:val="00C31E81"/>
    <w:rsid w:val="00C3239B"/>
    <w:rsid w:val="00C326DA"/>
    <w:rsid w:val="00C3324A"/>
    <w:rsid w:val="00C337D5"/>
    <w:rsid w:val="00C342CD"/>
    <w:rsid w:val="00C34390"/>
    <w:rsid w:val="00C34C59"/>
    <w:rsid w:val="00C359BA"/>
    <w:rsid w:val="00C36775"/>
    <w:rsid w:val="00C41D55"/>
    <w:rsid w:val="00C428E6"/>
    <w:rsid w:val="00C42D37"/>
    <w:rsid w:val="00C431A3"/>
    <w:rsid w:val="00C44BE3"/>
    <w:rsid w:val="00C44C1D"/>
    <w:rsid w:val="00C45579"/>
    <w:rsid w:val="00C52077"/>
    <w:rsid w:val="00C53EF2"/>
    <w:rsid w:val="00C55846"/>
    <w:rsid w:val="00C6305B"/>
    <w:rsid w:val="00C63C1F"/>
    <w:rsid w:val="00C63ED7"/>
    <w:rsid w:val="00C64E0C"/>
    <w:rsid w:val="00C66B65"/>
    <w:rsid w:val="00C74126"/>
    <w:rsid w:val="00C7418D"/>
    <w:rsid w:val="00C74C39"/>
    <w:rsid w:val="00C74DA9"/>
    <w:rsid w:val="00C753CE"/>
    <w:rsid w:val="00C7638D"/>
    <w:rsid w:val="00C763EA"/>
    <w:rsid w:val="00C778F7"/>
    <w:rsid w:val="00C8049D"/>
    <w:rsid w:val="00C85E77"/>
    <w:rsid w:val="00C866BE"/>
    <w:rsid w:val="00C8748F"/>
    <w:rsid w:val="00C87FB8"/>
    <w:rsid w:val="00C906D1"/>
    <w:rsid w:val="00C91CF4"/>
    <w:rsid w:val="00C92123"/>
    <w:rsid w:val="00C93B2B"/>
    <w:rsid w:val="00C95374"/>
    <w:rsid w:val="00C95596"/>
    <w:rsid w:val="00C95850"/>
    <w:rsid w:val="00C95B85"/>
    <w:rsid w:val="00C97F24"/>
    <w:rsid w:val="00CA0B5E"/>
    <w:rsid w:val="00CA0F4F"/>
    <w:rsid w:val="00CA2F21"/>
    <w:rsid w:val="00CA3214"/>
    <w:rsid w:val="00CA35EE"/>
    <w:rsid w:val="00CA450E"/>
    <w:rsid w:val="00CA4819"/>
    <w:rsid w:val="00CA49A3"/>
    <w:rsid w:val="00CA600B"/>
    <w:rsid w:val="00CA662C"/>
    <w:rsid w:val="00CA709C"/>
    <w:rsid w:val="00CA7BA1"/>
    <w:rsid w:val="00CB16FA"/>
    <w:rsid w:val="00CB1F59"/>
    <w:rsid w:val="00CB4589"/>
    <w:rsid w:val="00CB54F0"/>
    <w:rsid w:val="00CB62C0"/>
    <w:rsid w:val="00CB795F"/>
    <w:rsid w:val="00CB797D"/>
    <w:rsid w:val="00CC0486"/>
    <w:rsid w:val="00CC0B67"/>
    <w:rsid w:val="00CC1B1A"/>
    <w:rsid w:val="00CC4867"/>
    <w:rsid w:val="00CC5AB0"/>
    <w:rsid w:val="00CC5ED2"/>
    <w:rsid w:val="00CC7ED8"/>
    <w:rsid w:val="00CC7F08"/>
    <w:rsid w:val="00CD1BF3"/>
    <w:rsid w:val="00CD29A5"/>
    <w:rsid w:val="00CD3382"/>
    <w:rsid w:val="00CD4601"/>
    <w:rsid w:val="00CD6ED1"/>
    <w:rsid w:val="00CE0085"/>
    <w:rsid w:val="00CE0472"/>
    <w:rsid w:val="00CE2B6C"/>
    <w:rsid w:val="00CE2C1A"/>
    <w:rsid w:val="00CE3F53"/>
    <w:rsid w:val="00CE4134"/>
    <w:rsid w:val="00CE558E"/>
    <w:rsid w:val="00CE7933"/>
    <w:rsid w:val="00CF2C6F"/>
    <w:rsid w:val="00CF3254"/>
    <w:rsid w:val="00CF4131"/>
    <w:rsid w:val="00CF5085"/>
    <w:rsid w:val="00D00382"/>
    <w:rsid w:val="00D0086A"/>
    <w:rsid w:val="00D02EF1"/>
    <w:rsid w:val="00D05127"/>
    <w:rsid w:val="00D055DE"/>
    <w:rsid w:val="00D05719"/>
    <w:rsid w:val="00D07A8D"/>
    <w:rsid w:val="00D1024D"/>
    <w:rsid w:val="00D120BF"/>
    <w:rsid w:val="00D143EC"/>
    <w:rsid w:val="00D1741D"/>
    <w:rsid w:val="00D174C3"/>
    <w:rsid w:val="00D17D15"/>
    <w:rsid w:val="00D17E55"/>
    <w:rsid w:val="00D2179B"/>
    <w:rsid w:val="00D22699"/>
    <w:rsid w:val="00D2316C"/>
    <w:rsid w:val="00D24FF4"/>
    <w:rsid w:val="00D30A84"/>
    <w:rsid w:val="00D30CBA"/>
    <w:rsid w:val="00D323B5"/>
    <w:rsid w:val="00D327B7"/>
    <w:rsid w:val="00D36333"/>
    <w:rsid w:val="00D37B68"/>
    <w:rsid w:val="00D37C36"/>
    <w:rsid w:val="00D428B3"/>
    <w:rsid w:val="00D43447"/>
    <w:rsid w:val="00D44D21"/>
    <w:rsid w:val="00D459CF"/>
    <w:rsid w:val="00D46A7B"/>
    <w:rsid w:val="00D50C9B"/>
    <w:rsid w:val="00D5165C"/>
    <w:rsid w:val="00D518B3"/>
    <w:rsid w:val="00D549BF"/>
    <w:rsid w:val="00D551E1"/>
    <w:rsid w:val="00D55763"/>
    <w:rsid w:val="00D5708A"/>
    <w:rsid w:val="00D576B5"/>
    <w:rsid w:val="00D57849"/>
    <w:rsid w:val="00D60439"/>
    <w:rsid w:val="00D6199A"/>
    <w:rsid w:val="00D655F5"/>
    <w:rsid w:val="00D6661E"/>
    <w:rsid w:val="00D70BF5"/>
    <w:rsid w:val="00D70EB2"/>
    <w:rsid w:val="00D715EF"/>
    <w:rsid w:val="00D75924"/>
    <w:rsid w:val="00D75DD0"/>
    <w:rsid w:val="00D7602E"/>
    <w:rsid w:val="00D76996"/>
    <w:rsid w:val="00D7743F"/>
    <w:rsid w:val="00D77A83"/>
    <w:rsid w:val="00D81071"/>
    <w:rsid w:val="00D816B5"/>
    <w:rsid w:val="00D82879"/>
    <w:rsid w:val="00D83B82"/>
    <w:rsid w:val="00D84105"/>
    <w:rsid w:val="00D85D3F"/>
    <w:rsid w:val="00D87479"/>
    <w:rsid w:val="00D9150D"/>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B10A8"/>
    <w:rsid w:val="00DB2D39"/>
    <w:rsid w:val="00DB4C98"/>
    <w:rsid w:val="00DB584E"/>
    <w:rsid w:val="00DB69D9"/>
    <w:rsid w:val="00DB6D87"/>
    <w:rsid w:val="00DC32EC"/>
    <w:rsid w:val="00DC4099"/>
    <w:rsid w:val="00DC4790"/>
    <w:rsid w:val="00DC6737"/>
    <w:rsid w:val="00DD051E"/>
    <w:rsid w:val="00DD0BA0"/>
    <w:rsid w:val="00DD5E1B"/>
    <w:rsid w:val="00DD7B40"/>
    <w:rsid w:val="00DD7CC1"/>
    <w:rsid w:val="00DE117E"/>
    <w:rsid w:val="00DE1987"/>
    <w:rsid w:val="00DE2A71"/>
    <w:rsid w:val="00DE36CF"/>
    <w:rsid w:val="00DE42BA"/>
    <w:rsid w:val="00DE4CD1"/>
    <w:rsid w:val="00DE50C2"/>
    <w:rsid w:val="00DE566F"/>
    <w:rsid w:val="00DE5DF9"/>
    <w:rsid w:val="00DE5E0C"/>
    <w:rsid w:val="00DF0728"/>
    <w:rsid w:val="00DF1ADC"/>
    <w:rsid w:val="00DF2249"/>
    <w:rsid w:val="00DF30D5"/>
    <w:rsid w:val="00DF363A"/>
    <w:rsid w:val="00DF4173"/>
    <w:rsid w:val="00DF4C9E"/>
    <w:rsid w:val="00DF61C8"/>
    <w:rsid w:val="00DF6323"/>
    <w:rsid w:val="00DF6B26"/>
    <w:rsid w:val="00DF70FB"/>
    <w:rsid w:val="00DF744E"/>
    <w:rsid w:val="00E00258"/>
    <w:rsid w:val="00E01B7C"/>
    <w:rsid w:val="00E054BA"/>
    <w:rsid w:val="00E05967"/>
    <w:rsid w:val="00E06F9F"/>
    <w:rsid w:val="00E10D3F"/>
    <w:rsid w:val="00E121DD"/>
    <w:rsid w:val="00E14195"/>
    <w:rsid w:val="00E14B6C"/>
    <w:rsid w:val="00E15A7E"/>
    <w:rsid w:val="00E1675C"/>
    <w:rsid w:val="00E16977"/>
    <w:rsid w:val="00E16BE1"/>
    <w:rsid w:val="00E17DAB"/>
    <w:rsid w:val="00E20628"/>
    <w:rsid w:val="00E2103B"/>
    <w:rsid w:val="00E2256F"/>
    <w:rsid w:val="00E22A07"/>
    <w:rsid w:val="00E23015"/>
    <w:rsid w:val="00E26003"/>
    <w:rsid w:val="00E273FF"/>
    <w:rsid w:val="00E27685"/>
    <w:rsid w:val="00E27B91"/>
    <w:rsid w:val="00E30FE2"/>
    <w:rsid w:val="00E37BA9"/>
    <w:rsid w:val="00E42411"/>
    <w:rsid w:val="00E42C8A"/>
    <w:rsid w:val="00E4345C"/>
    <w:rsid w:val="00E43965"/>
    <w:rsid w:val="00E43E3B"/>
    <w:rsid w:val="00E4452C"/>
    <w:rsid w:val="00E4582E"/>
    <w:rsid w:val="00E45DA0"/>
    <w:rsid w:val="00E46611"/>
    <w:rsid w:val="00E46AB8"/>
    <w:rsid w:val="00E473B3"/>
    <w:rsid w:val="00E51F1C"/>
    <w:rsid w:val="00E536F4"/>
    <w:rsid w:val="00E54185"/>
    <w:rsid w:val="00E551F8"/>
    <w:rsid w:val="00E55963"/>
    <w:rsid w:val="00E55ABA"/>
    <w:rsid w:val="00E5604F"/>
    <w:rsid w:val="00E56782"/>
    <w:rsid w:val="00E6158E"/>
    <w:rsid w:val="00E62B36"/>
    <w:rsid w:val="00E62DF5"/>
    <w:rsid w:val="00E647C8"/>
    <w:rsid w:val="00E64C02"/>
    <w:rsid w:val="00E67C82"/>
    <w:rsid w:val="00E702CE"/>
    <w:rsid w:val="00E70F0A"/>
    <w:rsid w:val="00E731D7"/>
    <w:rsid w:val="00E73765"/>
    <w:rsid w:val="00E73D4B"/>
    <w:rsid w:val="00E74ACE"/>
    <w:rsid w:val="00E77ADE"/>
    <w:rsid w:val="00E77C06"/>
    <w:rsid w:val="00E82607"/>
    <w:rsid w:val="00E831F7"/>
    <w:rsid w:val="00E835D7"/>
    <w:rsid w:val="00E84AB4"/>
    <w:rsid w:val="00E855E0"/>
    <w:rsid w:val="00E860B7"/>
    <w:rsid w:val="00E8780D"/>
    <w:rsid w:val="00E9027A"/>
    <w:rsid w:val="00E90AEC"/>
    <w:rsid w:val="00E95527"/>
    <w:rsid w:val="00E95DB8"/>
    <w:rsid w:val="00E95E3B"/>
    <w:rsid w:val="00E97527"/>
    <w:rsid w:val="00EA186C"/>
    <w:rsid w:val="00EA5A9E"/>
    <w:rsid w:val="00EA6556"/>
    <w:rsid w:val="00EA6842"/>
    <w:rsid w:val="00EB04C4"/>
    <w:rsid w:val="00EB1B80"/>
    <w:rsid w:val="00EB4175"/>
    <w:rsid w:val="00EB4C26"/>
    <w:rsid w:val="00EB5127"/>
    <w:rsid w:val="00EB53F2"/>
    <w:rsid w:val="00EB7803"/>
    <w:rsid w:val="00EC0295"/>
    <w:rsid w:val="00EC0454"/>
    <w:rsid w:val="00EC19FA"/>
    <w:rsid w:val="00EC5F86"/>
    <w:rsid w:val="00EC7F52"/>
    <w:rsid w:val="00ED0940"/>
    <w:rsid w:val="00ED25CE"/>
    <w:rsid w:val="00ED3A55"/>
    <w:rsid w:val="00ED402C"/>
    <w:rsid w:val="00ED6081"/>
    <w:rsid w:val="00EE0455"/>
    <w:rsid w:val="00EE0ACF"/>
    <w:rsid w:val="00EE2749"/>
    <w:rsid w:val="00EE37DE"/>
    <w:rsid w:val="00EE67C5"/>
    <w:rsid w:val="00EE79BD"/>
    <w:rsid w:val="00EE7C90"/>
    <w:rsid w:val="00EF1185"/>
    <w:rsid w:val="00EF18EF"/>
    <w:rsid w:val="00EF4031"/>
    <w:rsid w:val="00F01FF7"/>
    <w:rsid w:val="00F05908"/>
    <w:rsid w:val="00F10305"/>
    <w:rsid w:val="00F1076B"/>
    <w:rsid w:val="00F10D71"/>
    <w:rsid w:val="00F11B9B"/>
    <w:rsid w:val="00F11D20"/>
    <w:rsid w:val="00F120D0"/>
    <w:rsid w:val="00F13E0D"/>
    <w:rsid w:val="00F20B6E"/>
    <w:rsid w:val="00F20FF5"/>
    <w:rsid w:val="00F23729"/>
    <w:rsid w:val="00F248EC"/>
    <w:rsid w:val="00F24BCF"/>
    <w:rsid w:val="00F24C64"/>
    <w:rsid w:val="00F25C8D"/>
    <w:rsid w:val="00F25E56"/>
    <w:rsid w:val="00F2639B"/>
    <w:rsid w:val="00F276EE"/>
    <w:rsid w:val="00F3255F"/>
    <w:rsid w:val="00F32576"/>
    <w:rsid w:val="00F32C53"/>
    <w:rsid w:val="00F3510E"/>
    <w:rsid w:val="00F35B8D"/>
    <w:rsid w:val="00F373DC"/>
    <w:rsid w:val="00F37EF3"/>
    <w:rsid w:val="00F403D6"/>
    <w:rsid w:val="00F40782"/>
    <w:rsid w:val="00F41A99"/>
    <w:rsid w:val="00F422EF"/>
    <w:rsid w:val="00F42894"/>
    <w:rsid w:val="00F45CF2"/>
    <w:rsid w:val="00F47B25"/>
    <w:rsid w:val="00F51346"/>
    <w:rsid w:val="00F5235B"/>
    <w:rsid w:val="00F53C43"/>
    <w:rsid w:val="00F54947"/>
    <w:rsid w:val="00F54F7B"/>
    <w:rsid w:val="00F560DC"/>
    <w:rsid w:val="00F56916"/>
    <w:rsid w:val="00F56AD0"/>
    <w:rsid w:val="00F56CB1"/>
    <w:rsid w:val="00F626C2"/>
    <w:rsid w:val="00F63B53"/>
    <w:rsid w:val="00F63F85"/>
    <w:rsid w:val="00F64B73"/>
    <w:rsid w:val="00F65819"/>
    <w:rsid w:val="00F67A6B"/>
    <w:rsid w:val="00F72D23"/>
    <w:rsid w:val="00F7379B"/>
    <w:rsid w:val="00F74CB0"/>
    <w:rsid w:val="00F75495"/>
    <w:rsid w:val="00F765EB"/>
    <w:rsid w:val="00F81CE4"/>
    <w:rsid w:val="00F8404E"/>
    <w:rsid w:val="00F8673B"/>
    <w:rsid w:val="00F87B5B"/>
    <w:rsid w:val="00F908F8"/>
    <w:rsid w:val="00F92442"/>
    <w:rsid w:val="00F926C8"/>
    <w:rsid w:val="00F9308B"/>
    <w:rsid w:val="00F97D2D"/>
    <w:rsid w:val="00FA023B"/>
    <w:rsid w:val="00FA05A4"/>
    <w:rsid w:val="00FA30C2"/>
    <w:rsid w:val="00FA63B6"/>
    <w:rsid w:val="00FA64DF"/>
    <w:rsid w:val="00FA7135"/>
    <w:rsid w:val="00FA71DC"/>
    <w:rsid w:val="00FA784C"/>
    <w:rsid w:val="00FB045A"/>
    <w:rsid w:val="00FB06E1"/>
    <w:rsid w:val="00FB0CA2"/>
    <w:rsid w:val="00FB308D"/>
    <w:rsid w:val="00FB5FF4"/>
    <w:rsid w:val="00FB6216"/>
    <w:rsid w:val="00FB6912"/>
    <w:rsid w:val="00FC00DD"/>
    <w:rsid w:val="00FC0675"/>
    <w:rsid w:val="00FC1239"/>
    <w:rsid w:val="00FC1247"/>
    <w:rsid w:val="00FC157A"/>
    <w:rsid w:val="00FC1C66"/>
    <w:rsid w:val="00FC1F17"/>
    <w:rsid w:val="00FC3CD4"/>
    <w:rsid w:val="00FC46B2"/>
    <w:rsid w:val="00FC4944"/>
    <w:rsid w:val="00FC5E29"/>
    <w:rsid w:val="00FD1B30"/>
    <w:rsid w:val="00FD3D3E"/>
    <w:rsid w:val="00FD4377"/>
    <w:rsid w:val="00FD5051"/>
    <w:rsid w:val="00FD5958"/>
    <w:rsid w:val="00FD5A0F"/>
    <w:rsid w:val="00FD5B76"/>
    <w:rsid w:val="00FD756D"/>
    <w:rsid w:val="00FD7972"/>
    <w:rsid w:val="00FD7A9E"/>
    <w:rsid w:val="00FE059A"/>
    <w:rsid w:val="00FE0781"/>
    <w:rsid w:val="00FE158E"/>
    <w:rsid w:val="00FE29AF"/>
    <w:rsid w:val="00FE4BF0"/>
    <w:rsid w:val="00FE54AE"/>
    <w:rsid w:val="00FF2339"/>
    <w:rsid w:val="00FF2430"/>
    <w:rsid w:val="00FF26B9"/>
    <w:rsid w:val="00FF33AA"/>
    <w:rsid w:val="00FF371D"/>
    <w:rsid w:val="00FF637D"/>
    <w:rsid w:val="00FF64CF"/>
    <w:rsid w:val="00FF6999"/>
    <w:rsid w:val="00FF6B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2162"/>
    <w:pPr>
      <w:spacing w:before="80" w:after="80"/>
    </w:pPr>
    <w:rPr>
      <w:rFonts w:ascii="Book Antiqua" w:hAnsi="Book Antiqua"/>
    </w:rPr>
  </w:style>
  <w:style w:type="paragraph" w:styleId="Heading1">
    <w:name w:val="heading 1"/>
    <w:basedOn w:val="HeadingBase"/>
    <w:next w:val="Normal"/>
    <w:link w:val="Heading1Char"/>
    <w:qFormat/>
    <w:rsid w:val="007F3CCF"/>
    <w:pPr>
      <w:spacing w:after="240"/>
      <w:jc w:val="center"/>
      <w:outlineLvl w:val="0"/>
    </w:pPr>
    <w:rPr>
      <w:rFonts w:ascii="Arial Bold" w:hAnsi="Arial Bold"/>
      <w:b/>
      <w:smallCaps/>
      <w:kern w:val="28"/>
      <w:sz w:val="34"/>
    </w:rPr>
  </w:style>
  <w:style w:type="paragraph" w:styleId="Heading2">
    <w:name w:val="heading 2"/>
    <w:basedOn w:val="HeadingBase"/>
    <w:next w:val="Normal"/>
    <w:link w:val="Heading2Char"/>
    <w:qFormat/>
    <w:rsid w:val="00FC157A"/>
    <w:pPr>
      <w:spacing w:before="360" w:after="36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2256F"/>
    <w:pPr>
      <w:spacing w:before="240" w:after="60" w:line="360" w:lineRule="auto"/>
      <w:outlineLvl w:val="4"/>
    </w:pPr>
    <w:rPr>
      <w:b/>
      <w:bCs/>
      <w:iCs/>
      <w:sz w:val="21"/>
      <w:szCs w:val="26"/>
    </w:rPr>
  </w:style>
  <w:style w:type="paragraph" w:styleId="Heading6">
    <w:name w:val="heading 6"/>
    <w:basedOn w:val="HeadingBase"/>
    <w:next w:val="Normal"/>
    <w:qFormat/>
    <w:rsid w:val="001D4CAA"/>
    <w:pPr>
      <w:spacing w:after="120"/>
      <w:outlineLvl w:val="5"/>
    </w:pPr>
    <w:rPr>
      <w:b/>
      <w:bCs/>
      <w:sz w:val="20"/>
      <w:szCs w:val="22"/>
    </w:rPr>
  </w:style>
  <w:style w:type="paragraph" w:styleId="Heading7">
    <w:name w:val="heading 7"/>
    <w:basedOn w:val="HeadingBase"/>
    <w:next w:val="Normal"/>
    <w:qFormat/>
    <w:rsid w:val="00EC5F86"/>
    <w:pPr>
      <w:spacing w:after="100"/>
      <w:outlineLvl w:val="6"/>
    </w:pPr>
    <w:rPr>
      <w:sz w:val="18"/>
      <w:szCs w:val="24"/>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FC157A"/>
    <w:pPr>
      <w:spacing w:before="120" w:after="20"/>
    </w:pPr>
    <w:rPr>
      <w:b/>
      <w:sz w:val="20"/>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link w:val="DashChar"/>
    <w:rsid w:val="008636B4"/>
    <w:pPr>
      <w:numPr>
        <w:ilvl w:val="1"/>
        <w:numId w:val="2"/>
      </w:numPr>
      <w:ind w:left="568"/>
    </w:pPr>
  </w:style>
  <w:style w:type="paragraph" w:customStyle="1" w:styleId="DoubleDot">
    <w:name w:val="Double Dot"/>
    <w:basedOn w:val="Normal"/>
    <w:uiPriority w:val="99"/>
    <w:qFormat/>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style>
  <w:style w:type="paragraph" w:customStyle="1" w:styleId="TableGraphic">
    <w:name w:val="Table Graphic"/>
    <w:basedOn w:val="Normal"/>
    <w:next w:val="Normal"/>
    <w:rsid w:val="00EC5F86"/>
    <w:pPr>
      <w:spacing w:after="0"/>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pPr>
    <w:rPr>
      <w:rFonts w:ascii="Arial" w:hAnsi="Arial"/>
      <w:sz w:val="16"/>
    </w:rPr>
  </w:style>
  <w:style w:type="paragraph" w:customStyle="1" w:styleId="TableTextBase">
    <w:name w:val="Table Text Base"/>
    <w:basedOn w:val="Normal"/>
    <w:link w:val="TableTextBaseChar"/>
    <w:rsid w:val="00FE158E"/>
    <w:pPr>
      <w:spacing w:before="60" w:after="60"/>
    </w:pPr>
    <w:rPr>
      <w:sz w:val="18"/>
    </w:rPr>
  </w:style>
  <w:style w:type="paragraph" w:customStyle="1" w:styleId="TableColumnHeadingBase">
    <w:name w:val="Table Column Heading Base"/>
    <w:basedOn w:val="Normal"/>
    <w:rsid w:val="00EC5F86"/>
    <w:pPr>
      <w:spacing w:before="60" w:after="60"/>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76273D"/>
    <w:pPr>
      <w:spacing w:before="120" w:after="120"/>
    </w:pPr>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Normal"/>
    <w:qFormat/>
    <w:rsid w:val="004B0B19"/>
    <w:pPr>
      <w:spacing w:after="0"/>
      <w:jc w:val="center"/>
      <w:outlineLvl w:val="0"/>
    </w:pPr>
    <w:rPr>
      <w:rFonts w:ascii="Arial" w:hAnsi="Arial" w:cs="Arial"/>
      <w:b/>
      <w:bCs/>
      <w:caps/>
      <w:kern w:val="28"/>
      <w:sz w:val="52"/>
      <w:szCs w:val="32"/>
    </w:rPr>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B21E61"/>
    <w:pPr>
      <w:tabs>
        <w:tab w:val="center" w:pos="4153"/>
        <w:tab w:val="right" w:pos="8306"/>
      </w:tabs>
    </w:pPr>
    <w:rPr>
      <w:rFonts w:ascii="Book Antiqua" w:hAnsi="Book Antiqua"/>
      <w:sz w:val="18"/>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aliases w:val="Footnote text"/>
    <w:uiPriority w:val="99"/>
    <w:rsid w:val="00EC5F86"/>
    <w:rPr>
      <w:vertAlign w:val="superscript"/>
    </w:rPr>
  </w:style>
  <w:style w:type="paragraph" w:styleId="FootnoteText">
    <w:name w:val="footnote text"/>
    <w:basedOn w:val="Normal"/>
    <w:link w:val="FootnoteTextChar"/>
    <w:rsid w:val="00070C05"/>
    <w:pPr>
      <w:tabs>
        <w:tab w:val="left" w:pos="284"/>
      </w:tabs>
      <w:ind w:left="113" w:hanging="113"/>
    </w:pPr>
    <w:rPr>
      <w:sz w:val="16"/>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rPr>
      <w:rFonts w:ascii="Arial" w:hAnsi="Arial" w:cs="Arial"/>
      <w:b/>
      <w:bCs/>
      <w:sz w:val="24"/>
      <w:szCs w:val="24"/>
    </w:rPr>
  </w:style>
  <w:style w:type="paragraph" w:styleId="TOC1">
    <w:name w:val="toc 1"/>
    <w:basedOn w:val="HeaderBase"/>
    <w:next w:val="Normal"/>
    <w:rsid w:val="00EC5F86"/>
    <w:pPr>
      <w:tabs>
        <w:tab w:val="right" w:leader="dot" w:pos="7700"/>
      </w:tabs>
      <w:spacing w:before="240"/>
      <w:ind w:right="851"/>
    </w:pPr>
    <w:rPr>
      <w:rFonts w:ascii="Arial" w:hAnsi="Arial"/>
      <w:b/>
      <w:i w:val="0"/>
    </w:rPr>
  </w:style>
  <w:style w:type="paragraph" w:styleId="TOC2">
    <w:name w:val="toc 2"/>
    <w:basedOn w:val="HeadingBase"/>
    <w:next w:val="Normal"/>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after="20"/>
      <w:jc w:val="center"/>
    </w:pPr>
    <w:rPr>
      <w:rFonts w:ascii="Arial" w:hAnsi="Arial"/>
      <w:b/>
    </w:rPr>
  </w:style>
  <w:style w:type="table" w:styleId="TableGrid">
    <w:name w:val="Table Grid"/>
    <w:basedOn w:val="TableNormal"/>
    <w:uiPriority w:val="59"/>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val="0"/>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7F3CCF"/>
    <w:pPr>
      <w:spacing w:after="0"/>
      <w:jc w:val="center"/>
    </w:pPr>
    <w:rPr>
      <w:rFonts w:ascii="Arial Bold" w:hAnsi="Arial Bold"/>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pPr>
    <w:rPr>
      <w:b/>
      <w:sz w:val="22"/>
    </w:rPr>
  </w:style>
  <w:style w:type="paragraph" w:customStyle="1" w:styleId="TableColumnOutgroupSubheading">
    <w:name w:val="Table Column Outgroup Subheading"/>
    <w:basedOn w:val="Normal"/>
    <w:rsid w:val="00EC5F86"/>
    <w:pPr>
      <w:spacing w:before="60"/>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FC157A"/>
    <w:rPr>
      <w:rFonts w:ascii="Arial" w:hAnsi="Arial"/>
      <w:b/>
    </w:rPr>
  </w:style>
  <w:style w:type="character" w:customStyle="1" w:styleId="TableTextBaseChar">
    <w:name w:val="Table Text Base Char"/>
    <w:link w:val="TableTextBase"/>
    <w:rsid w:val="00FE158E"/>
    <w:rPr>
      <w:rFonts w:ascii="Book Antiqua" w:hAnsi="Book Antiqua"/>
      <w:sz w:val="18"/>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0A345B"/>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line="280" w:lineRule="exact"/>
    </w:pPr>
    <w:rPr>
      <w:rFonts w:ascii="Arial" w:hAnsi="Arial" w:cs="Arial"/>
      <w:b/>
    </w:rPr>
  </w:style>
  <w:style w:type="paragraph" w:customStyle="1" w:styleId="ProgramHeading">
    <w:name w:val="Program Heading"/>
    <w:basedOn w:val="HeadingBase"/>
    <w:rsid w:val="00E82607"/>
    <w:pPr>
      <w:pBdr>
        <w:top w:val="single" w:sz="2" w:space="3" w:color="auto"/>
        <w:left w:val="single" w:sz="2" w:space="4" w:color="auto"/>
        <w:bottom w:val="single" w:sz="2" w:space="3" w:color="auto"/>
        <w:right w:val="single" w:sz="2" w:space="4"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B21E61"/>
    <w:rPr>
      <w:rFonts w:ascii="Book Antiqua" w:hAnsi="Book Antiqua"/>
      <w:sz w:val="18"/>
    </w:rPr>
  </w:style>
  <w:style w:type="character" w:styleId="Strong">
    <w:name w:val="Strong"/>
    <w:qFormat/>
    <w:rsid w:val="00B2691D"/>
    <w:rPr>
      <w:b/>
      <w:bCs/>
    </w:rPr>
  </w:style>
  <w:style w:type="paragraph" w:customStyle="1" w:styleId="Tabletextjustified0">
    <w:name w:val="Table text justified"/>
    <w:basedOn w:val="Normal"/>
    <w:semiHidden/>
    <w:rsid w:val="008A41CA"/>
    <w:pPr>
      <w:spacing w:before="100" w:after="100" w:line="250" w:lineRule="exact"/>
    </w:pPr>
    <w:rPr>
      <w:rFonts w:ascii="Arial" w:hAnsi="Arial" w:cs="Arial"/>
      <w:sz w:val="18"/>
    </w:rPr>
  </w:style>
  <w:style w:type="paragraph" w:customStyle="1" w:styleId="Bullets">
    <w:name w:val="Bullets"/>
    <w:basedOn w:val="Normal"/>
    <w:link w:val="BulletsChar"/>
    <w:qFormat/>
    <w:rsid w:val="002357B2"/>
    <w:pPr>
      <w:numPr>
        <w:numId w:val="13"/>
      </w:numPr>
      <w:spacing w:before="60" w:after="60"/>
    </w:pPr>
    <w:rPr>
      <w:rFonts w:cs="Arial"/>
      <w:color w:val="000000"/>
      <w:szCs w:val="16"/>
      <w:lang w:eastAsia="en-US"/>
    </w:rPr>
  </w:style>
  <w:style w:type="character" w:customStyle="1" w:styleId="BulletsChar">
    <w:name w:val="Bullets Char"/>
    <w:link w:val="Bullets"/>
    <w:locked/>
    <w:rsid w:val="002357B2"/>
    <w:rPr>
      <w:rFonts w:ascii="Book Antiqua" w:hAnsi="Book Antiqua" w:cs="Arial"/>
      <w:color w:val="000000"/>
      <w:szCs w:val="16"/>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locked/>
    <w:rsid w:val="0001500C"/>
    <w:rPr>
      <w:rFonts w:ascii="Calibri" w:eastAsia="Calibri" w:hAnsi="Calibri"/>
      <w:sz w:val="22"/>
      <w:szCs w:val="22"/>
      <w:lang w:val="en-US" w:eastAsia="en-US"/>
    </w:rPr>
  </w:style>
  <w:style w:type="paragraph" w:customStyle="1" w:styleId="TableName">
    <w:name w:val="TableName"/>
    <w:basedOn w:val="Normal"/>
    <w:link w:val="TableNameChar"/>
    <w:rsid w:val="00C64E0C"/>
    <w:pPr>
      <w:keepNext/>
      <w:spacing w:after="0"/>
    </w:pPr>
    <w:rPr>
      <w:b/>
      <w:lang w:eastAsia="en-US"/>
    </w:rPr>
  </w:style>
  <w:style w:type="character" w:customStyle="1" w:styleId="DashChar">
    <w:name w:val="Dash Char"/>
    <w:link w:val="Dash"/>
    <w:rsid w:val="008636B4"/>
    <w:rPr>
      <w:rFonts w:ascii="Book Antiqua" w:hAnsi="Book Antiqua"/>
    </w:rPr>
  </w:style>
  <w:style w:type="character" w:customStyle="1" w:styleId="Heading4Char">
    <w:name w:val="Heading 4 Char"/>
    <w:basedOn w:val="DefaultParagraphFont"/>
    <w:link w:val="Heading4"/>
    <w:rsid w:val="0001500C"/>
    <w:rPr>
      <w:rFonts w:ascii="Arial" w:hAnsi="Arial"/>
      <w:b/>
      <w:sz w:val="22"/>
    </w:rPr>
  </w:style>
  <w:style w:type="character" w:customStyle="1" w:styleId="FootnoteTextChar">
    <w:name w:val="Footnote Text Char"/>
    <w:basedOn w:val="DefaultParagraphFont"/>
    <w:link w:val="FootnoteText"/>
    <w:rsid w:val="00070C05"/>
    <w:rPr>
      <w:rFonts w:ascii="Book Antiqua" w:hAnsi="Book Antiqua"/>
      <w:sz w:val="16"/>
    </w:rPr>
  </w:style>
  <w:style w:type="paragraph" w:customStyle="1" w:styleId="TableText">
    <w:name w:val="TableText"/>
    <w:next w:val="Normal"/>
    <w:link w:val="TableTextChar"/>
    <w:rsid w:val="00227458"/>
    <w:pPr>
      <w:widowControl w:val="0"/>
      <w:tabs>
        <w:tab w:val="left" w:pos="113"/>
      </w:tabs>
      <w:spacing w:before="10" w:after="10"/>
    </w:pPr>
    <w:rPr>
      <w:rFonts w:ascii="Book Antiqua" w:hAnsi="Book Antiqua" w:cs="Arial"/>
      <w:color w:val="000000"/>
      <w:sz w:val="18"/>
      <w:szCs w:val="16"/>
      <w:lang w:eastAsia="en-US"/>
    </w:rPr>
  </w:style>
  <w:style w:type="character" w:customStyle="1" w:styleId="TableTextChar">
    <w:name w:val="TableText Char"/>
    <w:basedOn w:val="DefaultParagraphFont"/>
    <w:link w:val="TableText"/>
    <w:rsid w:val="00227458"/>
    <w:rPr>
      <w:rFonts w:ascii="Book Antiqua" w:hAnsi="Book Antiqua" w:cs="Arial"/>
      <w:color w:val="000000"/>
      <w:sz w:val="18"/>
      <w:szCs w:val="16"/>
      <w:lang w:eastAsia="en-US"/>
    </w:rPr>
  </w:style>
  <w:style w:type="paragraph" w:customStyle="1" w:styleId="TableTextBold">
    <w:name w:val="TableTextBold"/>
    <w:basedOn w:val="TableText"/>
    <w:link w:val="TableTextBoldChar"/>
    <w:rsid w:val="0001500C"/>
    <w:rPr>
      <w:b/>
      <w:bCs/>
    </w:rPr>
  </w:style>
  <w:style w:type="character" w:customStyle="1" w:styleId="TableTextBoldChar">
    <w:name w:val="TableTextBold Char"/>
    <w:basedOn w:val="TableTextChar"/>
    <w:link w:val="TableTextBold"/>
    <w:rsid w:val="0001500C"/>
    <w:rPr>
      <w:rFonts w:ascii="Book Antiqua" w:hAnsi="Book Antiqua" w:cs="Arial"/>
      <w:b/>
      <w:bCs/>
      <w:color w:val="000000"/>
      <w:sz w:val="18"/>
      <w:szCs w:val="16"/>
      <w:lang w:eastAsia="en-US"/>
    </w:rPr>
  </w:style>
  <w:style w:type="paragraph" w:customStyle="1" w:styleId="TableTextRight0">
    <w:name w:val="TableTextRight"/>
    <w:basedOn w:val="TableText"/>
    <w:link w:val="TableTextRightChar"/>
    <w:rsid w:val="005904C2"/>
    <w:pPr>
      <w:jc w:val="right"/>
    </w:pPr>
  </w:style>
  <w:style w:type="paragraph" w:customStyle="1" w:styleId="numberedpara">
    <w:name w:val="numbered para"/>
    <w:basedOn w:val="Normal"/>
    <w:rsid w:val="0001500C"/>
    <w:pPr>
      <w:keepLines/>
      <w:numPr>
        <w:numId w:val="14"/>
      </w:numPr>
      <w:spacing w:after="0"/>
    </w:pPr>
    <w:rPr>
      <w:rFonts w:ascii="Calibri" w:hAnsi="Calibri"/>
      <w:sz w:val="22"/>
      <w:szCs w:val="16"/>
      <w:lang w:eastAsia="en-US"/>
    </w:rPr>
  </w:style>
  <w:style w:type="paragraph" w:customStyle="1" w:styleId="TableTextBoldRight">
    <w:name w:val="TableTextBoldRight"/>
    <w:basedOn w:val="TableTextBold"/>
    <w:link w:val="TableTextBoldRightChar"/>
    <w:rsid w:val="0001500C"/>
    <w:pPr>
      <w:spacing w:before="20" w:after="20"/>
      <w:jc w:val="right"/>
    </w:pPr>
  </w:style>
  <w:style w:type="character" w:customStyle="1" w:styleId="TableNameChar">
    <w:name w:val="TableName Char"/>
    <w:basedOn w:val="DefaultParagraphFont"/>
    <w:link w:val="TableName"/>
    <w:locked/>
    <w:rsid w:val="00C64E0C"/>
    <w:rPr>
      <w:rFonts w:ascii="Book Antiqua" w:hAnsi="Book Antiqua"/>
      <w:b/>
      <w:lang w:eastAsia="en-US"/>
    </w:rPr>
  </w:style>
  <w:style w:type="character" w:customStyle="1" w:styleId="TableTextBoldRightChar">
    <w:name w:val="TableTextBoldRight Char"/>
    <w:basedOn w:val="TableTextBoldChar"/>
    <w:link w:val="TableTextBoldRight"/>
    <w:locked/>
    <w:rsid w:val="0001500C"/>
    <w:rPr>
      <w:rFonts w:ascii="Book Antiqua" w:hAnsi="Book Antiqua" w:cs="Arial"/>
      <w:b/>
      <w:bCs/>
      <w:color w:val="000000"/>
      <w:sz w:val="18"/>
      <w:szCs w:val="16"/>
      <w:lang w:eastAsia="en-US"/>
    </w:rPr>
  </w:style>
  <w:style w:type="character" w:customStyle="1" w:styleId="TableTextRightChar">
    <w:name w:val="TableTextRight Char"/>
    <w:basedOn w:val="TableTextChar"/>
    <w:link w:val="TableTextRight0"/>
    <w:rsid w:val="005904C2"/>
    <w:rPr>
      <w:rFonts w:ascii="Book Antiqua" w:hAnsi="Book Antiqua" w:cs="Arial"/>
      <w:color w:val="000000"/>
      <w:sz w:val="18"/>
      <w:szCs w:val="16"/>
      <w:lang w:eastAsia="en-US"/>
    </w:rPr>
  </w:style>
  <w:style w:type="paragraph" w:customStyle="1" w:styleId="Footnote">
    <w:name w:val="Footnote"/>
    <w:rsid w:val="0028309A"/>
    <w:pPr>
      <w:tabs>
        <w:tab w:val="left" w:pos="284"/>
      </w:tabs>
    </w:pPr>
    <w:rPr>
      <w:rFonts w:ascii="Book Antiqua" w:hAnsi="Book Antiqua"/>
      <w:color w:val="000000"/>
      <w:sz w:val="16"/>
      <w:lang w:eastAsia="en-US"/>
    </w:rPr>
  </w:style>
  <w:style w:type="paragraph" w:customStyle="1" w:styleId="StyleTableTextItalicBoldNotItalic">
    <w:name w:val="Style TableText Italic + Bold Not Italic"/>
    <w:basedOn w:val="Normal"/>
    <w:rsid w:val="0001500C"/>
    <w:pPr>
      <w:tabs>
        <w:tab w:val="left" w:pos="113"/>
      </w:tabs>
      <w:spacing w:after="20"/>
    </w:pPr>
    <w:rPr>
      <w:rFonts w:cs="Arial"/>
      <w:b/>
      <w:bCs/>
      <w:color w:val="000000"/>
      <w:sz w:val="18"/>
      <w:szCs w:val="16"/>
      <w:lang w:eastAsia="en-US"/>
    </w:rPr>
  </w:style>
  <w:style w:type="paragraph" w:customStyle="1" w:styleId="ProgramHeading0">
    <w:name w:val="ProgramHeading"/>
    <w:rsid w:val="009B3DA6"/>
    <w:pPr>
      <w:spacing w:before="60" w:after="60"/>
    </w:pPr>
    <w:rPr>
      <w:rFonts w:ascii="Book Antiqua" w:hAnsi="Book Antiqua"/>
      <w:b/>
      <w:sz w:val="22"/>
      <w:lang w:eastAsia="en-US"/>
    </w:rPr>
  </w:style>
  <w:style w:type="paragraph" w:customStyle="1" w:styleId="TableChartFootnote">
    <w:name w:val="TableChart Footnote"/>
    <w:basedOn w:val="Normal"/>
    <w:next w:val="Normal"/>
    <w:rsid w:val="002B2AF9"/>
    <w:pPr>
      <w:tabs>
        <w:tab w:val="left" w:pos="567"/>
      </w:tabs>
      <w:spacing w:after="0"/>
      <w:ind w:left="567" w:hanging="567"/>
    </w:pPr>
    <w:rPr>
      <w:rFonts w:cs="Arial"/>
      <w:color w:val="000000"/>
      <w:sz w:val="16"/>
      <w:szCs w:val="24"/>
      <w:lang w:eastAsia="en-US"/>
    </w:rPr>
  </w:style>
  <w:style w:type="character" w:customStyle="1" w:styleId="Heading2Char">
    <w:name w:val="Heading 2 Char"/>
    <w:basedOn w:val="DefaultParagraphFont"/>
    <w:link w:val="Heading2"/>
    <w:rsid w:val="00FC157A"/>
    <w:rPr>
      <w:rFonts w:ascii="Arial" w:hAnsi="Arial"/>
      <w:sz w:val="30"/>
    </w:rPr>
  </w:style>
  <w:style w:type="character" w:customStyle="1" w:styleId="Heading1Char">
    <w:name w:val="Heading 1 Char"/>
    <w:basedOn w:val="DefaultParagraphFont"/>
    <w:link w:val="Heading1"/>
    <w:rsid w:val="007F3CCF"/>
    <w:rPr>
      <w:rFonts w:ascii="Arial Bold" w:hAnsi="Arial Bold"/>
      <w:b/>
      <w:smallCaps/>
      <w:kern w:val="28"/>
      <w:sz w:val="34"/>
    </w:rPr>
  </w:style>
  <w:style w:type="character" w:customStyle="1" w:styleId="Heading5Char">
    <w:name w:val="Heading 5 Char"/>
    <w:basedOn w:val="DefaultParagraphFont"/>
    <w:link w:val="Heading5"/>
    <w:rsid w:val="00E2256F"/>
    <w:rPr>
      <w:rFonts w:ascii="Arial" w:hAnsi="Arial"/>
      <w:b/>
      <w:bCs/>
      <w:iCs/>
      <w:sz w:val="21"/>
      <w:szCs w:val="26"/>
    </w:rPr>
  </w:style>
  <w:style w:type="paragraph" w:customStyle="1" w:styleId="ChartandTableFootnotenumbered">
    <w:name w:val="Chart and Table Footnote numbered"/>
    <w:basedOn w:val="Normal"/>
    <w:next w:val="Normal"/>
    <w:rsid w:val="002E2D3E"/>
    <w:pPr>
      <w:keepNext/>
      <w:spacing w:after="0"/>
      <w:ind w:left="502" w:hanging="360"/>
    </w:pPr>
    <w:rPr>
      <w:rFonts w:ascii="Arial" w:hAnsi="Arial"/>
      <w:sz w:val="16"/>
    </w:rPr>
  </w:style>
  <w:style w:type="paragraph" w:styleId="ListNumber">
    <w:name w:val="List Number"/>
    <w:basedOn w:val="Normal"/>
    <w:rsid w:val="00804AAA"/>
    <w:pPr>
      <w:numPr>
        <w:numId w:val="11"/>
      </w:numPr>
      <w:contextualSpacing/>
    </w:pPr>
  </w:style>
  <w:style w:type="character" w:styleId="Emphasis">
    <w:name w:val="Emphasis"/>
    <w:uiPriority w:val="20"/>
    <w:qFormat/>
    <w:rsid w:val="00560562"/>
    <w:rPr>
      <w:rFonts w:cs="Times New Roman"/>
      <w:i/>
      <w:iCs/>
    </w:rPr>
  </w:style>
  <w:style w:type="paragraph" w:styleId="Revision">
    <w:name w:val="Revision"/>
    <w:hidden/>
    <w:uiPriority w:val="99"/>
    <w:semiHidden/>
    <w:rsid w:val="00D518B3"/>
    <w:rPr>
      <w:rFonts w:ascii="Book Antiqua" w:hAnsi="Book Antiqua"/>
    </w:rPr>
  </w:style>
  <w:style w:type="paragraph" w:customStyle="1" w:styleId="Tabletextbullets">
    <w:name w:val="Tabletext bullets"/>
    <w:basedOn w:val="TableText"/>
    <w:qFormat/>
    <w:rsid w:val="00B23F55"/>
    <w:pPr>
      <w:numPr>
        <w:numId w:val="22"/>
      </w:numPr>
      <w:spacing w:line="260" w:lineRule="exact"/>
      <w:ind w:left="470" w:hanging="357"/>
    </w:pPr>
    <w:rPr>
      <w:rFonts w:eastAsia="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817">
      <w:bodyDiv w:val="1"/>
      <w:marLeft w:val="0"/>
      <w:marRight w:val="0"/>
      <w:marTop w:val="0"/>
      <w:marBottom w:val="0"/>
      <w:divBdr>
        <w:top w:val="none" w:sz="0" w:space="0" w:color="auto"/>
        <w:left w:val="none" w:sz="0" w:space="0" w:color="auto"/>
        <w:bottom w:val="none" w:sz="0" w:space="0" w:color="auto"/>
        <w:right w:val="none" w:sz="0" w:space="0" w:color="auto"/>
      </w:divBdr>
    </w:div>
    <w:div w:id="7559161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3299543">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37907606">
      <w:bodyDiv w:val="1"/>
      <w:marLeft w:val="0"/>
      <w:marRight w:val="0"/>
      <w:marTop w:val="0"/>
      <w:marBottom w:val="0"/>
      <w:divBdr>
        <w:top w:val="none" w:sz="0" w:space="0" w:color="auto"/>
        <w:left w:val="none" w:sz="0" w:space="0" w:color="auto"/>
        <w:bottom w:val="none" w:sz="0" w:space="0" w:color="auto"/>
        <w:right w:val="none" w:sz="0" w:space="0" w:color="auto"/>
      </w:divBdr>
    </w:div>
    <w:div w:id="244190858">
      <w:bodyDiv w:val="1"/>
      <w:marLeft w:val="0"/>
      <w:marRight w:val="0"/>
      <w:marTop w:val="0"/>
      <w:marBottom w:val="0"/>
      <w:divBdr>
        <w:top w:val="none" w:sz="0" w:space="0" w:color="auto"/>
        <w:left w:val="none" w:sz="0" w:space="0" w:color="auto"/>
        <w:bottom w:val="none" w:sz="0" w:space="0" w:color="auto"/>
        <w:right w:val="none" w:sz="0" w:space="0" w:color="auto"/>
      </w:divBdr>
    </w:div>
    <w:div w:id="26472917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27901457">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4230627">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68862616">
      <w:bodyDiv w:val="1"/>
      <w:marLeft w:val="0"/>
      <w:marRight w:val="0"/>
      <w:marTop w:val="0"/>
      <w:marBottom w:val="0"/>
      <w:divBdr>
        <w:top w:val="none" w:sz="0" w:space="0" w:color="auto"/>
        <w:left w:val="none" w:sz="0" w:space="0" w:color="auto"/>
        <w:bottom w:val="none" w:sz="0" w:space="0" w:color="auto"/>
        <w:right w:val="none" w:sz="0" w:space="0" w:color="auto"/>
      </w:divBdr>
    </w:div>
    <w:div w:id="484442528">
      <w:bodyDiv w:val="1"/>
      <w:marLeft w:val="0"/>
      <w:marRight w:val="0"/>
      <w:marTop w:val="0"/>
      <w:marBottom w:val="0"/>
      <w:divBdr>
        <w:top w:val="none" w:sz="0" w:space="0" w:color="auto"/>
        <w:left w:val="none" w:sz="0" w:space="0" w:color="auto"/>
        <w:bottom w:val="none" w:sz="0" w:space="0" w:color="auto"/>
        <w:right w:val="none" w:sz="0" w:space="0" w:color="auto"/>
      </w:divBdr>
    </w:div>
    <w:div w:id="488328089">
      <w:bodyDiv w:val="1"/>
      <w:marLeft w:val="0"/>
      <w:marRight w:val="0"/>
      <w:marTop w:val="0"/>
      <w:marBottom w:val="0"/>
      <w:divBdr>
        <w:top w:val="none" w:sz="0" w:space="0" w:color="auto"/>
        <w:left w:val="none" w:sz="0" w:space="0" w:color="auto"/>
        <w:bottom w:val="none" w:sz="0" w:space="0" w:color="auto"/>
        <w:right w:val="none" w:sz="0" w:space="0" w:color="auto"/>
      </w:divBdr>
    </w:div>
    <w:div w:id="490289626">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6699198">
      <w:bodyDiv w:val="1"/>
      <w:marLeft w:val="0"/>
      <w:marRight w:val="0"/>
      <w:marTop w:val="0"/>
      <w:marBottom w:val="0"/>
      <w:divBdr>
        <w:top w:val="none" w:sz="0" w:space="0" w:color="auto"/>
        <w:left w:val="none" w:sz="0" w:space="0" w:color="auto"/>
        <w:bottom w:val="none" w:sz="0" w:space="0" w:color="auto"/>
        <w:right w:val="none" w:sz="0" w:space="0" w:color="auto"/>
      </w:divBdr>
    </w:div>
    <w:div w:id="518473141">
      <w:bodyDiv w:val="1"/>
      <w:marLeft w:val="0"/>
      <w:marRight w:val="0"/>
      <w:marTop w:val="0"/>
      <w:marBottom w:val="0"/>
      <w:divBdr>
        <w:top w:val="none" w:sz="0" w:space="0" w:color="auto"/>
        <w:left w:val="none" w:sz="0" w:space="0" w:color="auto"/>
        <w:bottom w:val="none" w:sz="0" w:space="0" w:color="auto"/>
        <w:right w:val="none" w:sz="0" w:space="0" w:color="auto"/>
      </w:divBdr>
    </w:div>
    <w:div w:id="560290841">
      <w:bodyDiv w:val="1"/>
      <w:marLeft w:val="0"/>
      <w:marRight w:val="0"/>
      <w:marTop w:val="0"/>
      <w:marBottom w:val="0"/>
      <w:divBdr>
        <w:top w:val="none" w:sz="0" w:space="0" w:color="auto"/>
        <w:left w:val="none" w:sz="0" w:space="0" w:color="auto"/>
        <w:bottom w:val="none" w:sz="0" w:space="0" w:color="auto"/>
        <w:right w:val="none" w:sz="0" w:space="0" w:color="auto"/>
      </w:divBdr>
    </w:div>
    <w:div w:id="5621825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62661858">
      <w:bodyDiv w:val="1"/>
      <w:marLeft w:val="0"/>
      <w:marRight w:val="0"/>
      <w:marTop w:val="0"/>
      <w:marBottom w:val="0"/>
      <w:divBdr>
        <w:top w:val="none" w:sz="0" w:space="0" w:color="auto"/>
        <w:left w:val="none" w:sz="0" w:space="0" w:color="auto"/>
        <w:bottom w:val="none" w:sz="0" w:space="0" w:color="auto"/>
        <w:right w:val="none" w:sz="0" w:space="0" w:color="auto"/>
      </w:divBdr>
    </w:div>
    <w:div w:id="672952980">
      <w:bodyDiv w:val="1"/>
      <w:marLeft w:val="0"/>
      <w:marRight w:val="0"/>
      <w:marTop w:val="0"/>
      <w:marBottom w:val="0"/>
      <w:divBdr>
        <w:top w:val="none" w:sz="0" w:space="0" w:color="auto"/>
        <w:left w:val="none" w:sz="0" w:space="0" w:color="auto"/>
        <w:bottom w:val="none" w:sz="0" w:space="0" w:color="auto"/>
        <w:right w:val="none" w:sz="0" w:space="0" w:color="auto"/>
      </w:divBdr>
    </w:div>
    <w:div w:id="770008206">
      <w:bodyDiv w:val="1"/>
      <w:marLeft w:val="0"/>
      <w:marRight w:val="0"/>
      <w:marTop w:val="0"/>
      <w:marBottom w:val="0"/>
      <w:divBdr>
        <w:top w:val="none" w:sz="0" w:space="0" w:color="auto"/>
        <w:left w:val="none" w:sz="0" w:space="0" w:color="auto"/>
        <w:bottom w:val="none" w:sz="0" w:space="0" w:color="auto"/>
        <w:right w:val="none" w:sz="0" w:space="0" w:color="auto"/>
      </w:divBdr>
    </w:div>
    <w:div w:id="777062192">
      <w:bodyDiv w:val="1"/>
      <w:marLeft w:val="0"/>
      <w:marRight w:val="0"/>
      <w:marTop w:val="0"/>
      <w:marBottom w:val="0"/>
      <w:divBdr>
        <w:top w:val="none" w:sz="0" w:space="0" w:color="auto"/>
        <w:left w:val="none" w:sz="0" w:space="0" w:color="auto"/>
        <w:bottom w:val="none" w:sz="0" w:space="0" w:color="auto"/>
        <w:right w:val="none" w:sz="0" w:space="0" w:color="auto"/>
      </w:divBdr>
    </w:div>
    <w:div w:id="806969405">
      <w:bodyDiv w:val="1"/>
      <w:marLeft w:val="0"/>
      <w:marRight w:val="0"/>
      <w:marTop w:val="0"/>
      <w:marBottom w:val="0"/>
      <w:divBdr>
        <w:top w:val="none" w:sz="0" w:space="0" w:color="auto"/>
        <w:left w:val="none" w:sz="0" w:space="0" w:color="auto"/>
        <w:bottom w:val="none" w:sz="0" w:space="0" w:color="auto"/>
        <w:right w:val="none" w:sz="0" w:space="0" w:color="auto"/>
      </w:divBdr>
    </w:div>
    <w:div w:id="83480173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4105140">
      <w:bodyDiv w:val="1"/>
      <w:marLeft w:val="0"/>
      <w:marRight w:val="0"/>
      <w:marTop w:val="0"/>
      <w:marBottom w:val="0"/>
      <w:divBdr>
        <w:top w:val="none" w:sz="0" w:space="0" w:color="auto"/>
        <w:left w:val="none" w:sz="0" w:space="0" w:color="auto"/>
        <w:bottom w:val="none" w:sz="0" w:space="0" w:color="auto"/>
        <w:right w:val="none" w:sz="0" w:space="0" w:color="auto"/>
      </w:divBdr>
    </w:div>
    <w:div w:id="89104312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36595212">
      <w:bodyDiv w:val="1"/>
      <w:marLeft w:val="0"/>
      <w:marRight w:val="0"/>
      <w:marTop w:val="0"/>
      <w:marBottom w:val="0"/>
      <w:divBdr>
        <w:top w:val="none" w:sz="0" w:space="0" w:color="auto"/>
        <w:left w:val="none" w:sz="0" w:space="0" w:color="auto"/>
        <w:bottom w:val="none" w:sz="0" w:space="0" w:color="auto"/>
        <w:right w:val="none" w:sz="0" w:space="0" w:color="auto"/>
      </w:divBdr>
    </w:div>
    <w:div w:id="9512081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6059982">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0491000">
      <w:bodyDiv w:val="1"/>
      <w:marLeft w:val="0"/>
      <w:marRight w:val="0"/>
      <w:marTop w:val="0"/>
      <w:marBottom w:val="0"/>
      <w:divBdr>
        <w:top w:val="none" w:sz="0" w:space="0" w:color="auto"/>
        <w:left w:val="none" w:sz="0" w:space="0" w:color="auto"/>
        <w:bottom w:val="none" w:sz="0" w:space="0" w:color="auto"/>
        <w:right w:val="none" w:sz="0" w:space="0" w:color="auto"/>
      </w:divBdr>
    </w:div>
    <w:div w:id="1033264412">
      <w:bodyDiv w:val="1"/>
      <w:marLeft w:val="0"/>
      <w:marRight w:val="0"/>
      <w:marTop w:val="0"/>
      <w:marBottom w:val="0"/>
      <w:divBdr>
        <w:top w:val="none" w:sz="0" w:space="0" w:color="auto"/>
        <w:left w:val="none" w:sz="0" w:space="0" w:color="auto"/>
        <w:bottom w:val="none" w:sz="0" w:space="0" w:color="auto"/>
        <w:right w:val="none" w:sz="0" w:space="0" w:color="auto"/>
      </w:divBdr>
    </w:div>
    <w:div w:id="1034385787">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77291722">
      <w:bodyDiv w:val="1"/>
      <w:marLeft w:val="0"/>
      <w:marRight w:val="0"/>
      <w:marTop w:val="0"/>
      <w:marBottom w:val="0"/>
      <w:divBdr>
        <w:top w:val="none" w:sz="0" w:space="0" w:color="auto"/>
        <w:left w:val="none" w:sz="0" w:space="0" w:color="auto"/>
        <w:bottom w:val="none" w:sz="0" w:space="0" w:color="auto"/>
        <w:right w:val="none" w:sz="0" w:space="0" w:color="auto"/>
      </w:divBdr>
    </w:div>
    <w:div w:id="1084454225">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1492192">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68907234">
      <w:bodyDiv w:val="1"/>
      <w:marLeft w:val="0"/>
      <w:marRight w:val="0"/>
      <w:marTop w:val="0"/>
      <w:marBottom w:val="0"/>
      <w:divBdr>
        <w:top w:val="none" w:sz="0" w:space="0" w:color="auto"/>
        <w:left w:val="none" w:sz="0" w:space="0" w:color="auto"/>
        <w:bottom w:val="none" w:sz="0" w:space="0" w:color="auto"/>
        <w:right w:val="none" w:sz="0" w:space="0" w:color="auto"/>
      </w:divBdr>
    </w:div>
    <w:div w:id="11698297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12464609">
      <w:bodyDiv w:val="1"/>
      <w:marLeft w:val="0"/>
      <w:marRight w:val="0"/>
      <w:marTop w:val="0"/>
      <w:marBottom w:val="0"/>
      <w:divBdr>
        <w:top w:val="none" w:sz="0" w:space="0" w:color="auto"/>
        <w:left w:val="none" w:sz="0" w:space="0" w:color="auto"/>
        <w:bottom w:val="none" w:sz="0" w:space="0" w:color="auto"/>
        <w:right w:val="none" w:sz="0" w:space="0" w:color="auto"/>
      </w:divBdr>
    </w:div>
    <w:div w:id="1439712824">
      <w:bodyDiv w:val="1"/>
      <w:marLeft w:val="0"/>
      <w:marRight w:val="0"/>
      <w:marTop w:val="0"/>
      <w:marBottom w:val="0"/>
      <w:divBdr>
        <w:top w:val="none" w:sz="0" w:space="0" w:color="auto"/>
        <w:left w:val="none" w:sz="0" w:space="0" w:color="auto"/>
        <w:bottom w:val="none" w:sz="0" w:space="0" w:color="auto"/>
        <w:right w:val="none" w:sz="0" w:space="0" w:color="auto"/>
      </w:divBdr>
    </w:div>
    <w:div w:id="1440880016">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780601">
      <w:bodyDiv w:val="1"/>
      <w:marLeft w:val="0"/>
      <w:marRight w:val="0"/>
      <w:marTop w:val="0"/>
      <w:marBottom w:val="0"/>
      <w:divBdr>
        <w:top w:val="none" w:sz="0" w:space="0" w:color="auto"/>
        <w:left w:val="none" w:sz="0" w:space="0" w:color="auto"/>
        <w:bottom w:val="none" w:sz="0" w:space="0" w:color="auto"/>
        <w:right w:val="none" w:sz="0" w:space="0" w:color="auto"/>
      </w:divBdr>
    </w:div>
    <w:div w:id="1486315374">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40126747">
      <w:bodyDiv w:val="1"/>
      <w:marLeft w:val="0"/>
      <w:marRight w:val="0"/>
      <w:marTop w:val="0"/>
      <w:marBottom w:val="0"/>
      <w:divBdr>
        <w:top w:val="none" w:sz="0" w:space="0" w:color="auto"/>
        <w:left w:val="none" w:sz="0" w:space="0" w:color="auto"/>
        <w:bottom w:val="none" w:sz="0" w:space="0" w:color="auto"/>
        <w:right w:val="none" w:sz="0" w:space="0" w:color="auto"/>
      </w:divBdr>
    </w:div>
    <w:div w:id="155905213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91448729">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15423711">
      <w:bodyDiv w:val="1"/>
      <w:marLeft w:val="0"/>
      <w:marRight w:val="0"/>
      <w:marTop w:val="0"/>
      <w:marBottom w:val="0"/>
      <w:divBdr>
        <w:top w:val="none" w:sz="0" w:space="0" w:color="auto"/>
        <w:left w:val="none" w:sz="0" w:space="0" w:color="auto"/>
        <w:bottom w:val="none" w:sz="0" w:space="0" w:color="auto"/>
        <w:right w:val="none" w:sz="0" w:space="0" w:color="auto"/>
      </w:divBdr>
    </w:div>
    <w:div w:id="1717271516">
      <w:bodyDiv w:val="1"/>
      <w:marLeft w:val="0"/>
      <w:marRight w:val="0"/>
      <w:marTop w:val="0"/>
      <w:marBottom w:val="0"/>
      <w:divBdr>
        <w:top w:val="none" w:sz="0" w:space="0" w:color="auto"/>
        <w:left w:val="none" w:sz="0" w:space="0" w:color="auto"/>
        <w:bottom w:val="none" w:sz="0" w:space="0" w:color="auto"/>
        <w:right w:val="none" w:sz="0" w:space="0" w:color="auto"/>
      </w:divBdr>
    </w:div>
    <w:div w:id="1723366501">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9057596">
      <w:bodyDiv w:val="1"/>
      <w:marLeft w:val="0"/>
      <w:marRight w:val="0"/>
      <w:marTop w:val="0"/>
      <w:marBottom w:val="0"/>
      <w:divBdr>
        <w:top w:val="none" w:sz="0" w:space="0" w:color="auto"/>
        <w:left w:val="none" w:sz="0" w:space="0" w:color="auto"/>
        <w:bottom w:val="none" w:sz="0" w:space="0" w:color="auto"/>
        <w:right w:val="none" w:sz="0" w:space="0" w:color="auto"/>
      </w:divBdr>
    </w:div>
    <w:div w:id="181942312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29397929">
      <w:bodyDiv w:val="1"/>
      <w:marLeft w:val="0"/>
      <w:marRight w:val="0"/>
      <w:marTop w:val="0"/>
      <w:marBottom w:val="0"/>
      <w:divBdr>
        <w:top w:val="none" w:sz="0" w:space="0" w:color="auto"/>
        <w:left w:val="none" w:sz="0" w:space="0" w:color="auto"/>
        <w:bottom w:val="none" w:sz="0" w:space="0" w:color="auto"/>
        <w:right w:val="none" w:sz="0" w:space="0" w:color="auto"/>
      </w:divBdr>
    </w:div>
    <w:div w:id="183109685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50089625">
      <w:bodyDiv w:val="1"/>
      <w:marLeft w:val="0"/>
      <w:marRight w:val="0"/>
      <w:marTop w:val="0"/>
      <w:marBottom w:val="0"/>
      <w:divBdr>
        <w:top w:val="none" w:sz="0" w:space="0" w:color="auto"/>
        <w:left w:val="none" w:sz="0" w:space="0" w:color="auto"/>
        <w:bottom w:val="none" w:sz="0" w:space="0" w:color="auto"/>
        <w:right w:val="none" w:sz="0" w:space="0" w:color="auto"/>
      </w:divBdr>
    </w:div>
    <w:div w:id="1950431733">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7103367">
      <w:bodyDiv w:val="1"/>
      <w:marLeft w:val="0"/>
      <w:marRight w:val="0"/>
      <w:marTop w:val="0"/>
      <w:marBottom w:val="0"/>
      <w:divBdr>
        <w:top w:val="none" w:sz="0" w:space="0" w:color="auto"/>
        <w:left w:val="none" w:sz="0" w:space="0" w:color="auto"/>
        <w:bottom w:val="none" w:sz="0" w:space="0" w:color="auto"/>
        <w:right w:val="none" w:sz="0" w:space="0" w:color="auto"/>
      </w:divBdr>
    </w:div>
    <w:div w:id="1980574342">
      <w:bodyDiv w:val="1"/>
      <w:marLeft w:val="0"/>
      <w:marRight w:val="0"/>
      <w:marTop w:val="0"/>
      <w:marBottom w:val="0"/>
      <w:divBdr>
        <w:top w:val="none" w:sz="0" w:space="0" w:color="auto"/>
        <w:left w:val="none" w:sz="0" w:space="0" w:color="auto"/>
        <w:bottom w:val="none" w:sz="0" w:space="0" w:color="auto"/>
        <w:right w:val="none" w:sz="0" w:space="0" w:color="auto"/>
      </w:divBdr>
    </w:div>
    <w:div w:id="1999843145">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14.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5354E2C1A1800A409D686EE5B476D455" ma:contentTypeVersion="11" ma:contentTypeDescription="" ma:contentTypeScope="" ma:versionID="6a8e13556158ed0b49c7399d91712fdb">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825bfe1b75efa0a7f08aa0a0f7cea6a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2014CSSG-727-287</_dlc_DocId>
    <_dlc_DocIdUrl xmlns="eb47d8b7-fefc-4923-b53c-9685ba6b7210">
      <Url>http://tweb/sites/cssg/mcd/pubs/pt/_layouts/15/DocIdRedir.aspx?ID=2014CSSG-727-287</Url>
      <Description>2014CSSG-727-287</Description>
    </_dlc_DocIdUrl>
  </documentManagement>
</p:propertie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605AAC981168BE40A9BD548B81A50DF6|1757814118" UniqueId="dfcffb86-ae69-48ff-b02e-2c46fcd97350">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E1FFA-4035-472C-9EAE-D6E0B316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4B04FC-F1E0-47BD-B08E-FBED5ED909D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eb47d8b7-fefc-4923-b53c-9685ba6b7210"/>
    <ds:schemaRef ds:uri="http://schemas.microsoft.com/office/infopath/2007/PartnerControl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3783EF23-FDE9-4BC4-9D0E-C386C25B28C2}">
  <ds:schemaRefs>
    <ds:schemaRef ds:uri="office.server.policy"/>
  </ds:schemaRefs>
</ds:datastoreItem>
</file>

<file path=customXml/itemProps4.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5.xml><?xml version="1.0" encoding="utf-8"?>
<ds:datastoreItem xmlns:ds="http://schemas.openxmlformats.org/officeDocument/2006/customXml" ds:itemID="{855133F8-EFF4-4823-BD43-293BB1C3CD60}">
  <ds:schemaRefs>
    <ds:schemaRef ds:uri="http://schemas.microsoft.com/sharepoint/events"/>
  </ds:schemaRefs>
</ds:datastoreItem>
</file>

<file path=customXml/itemProps6.xml><?xml version="1.0" encoding="utf-8"?>
<ds:datastoreItem xmlns:ds="http://schemas.openxmlformats.org/officeDocument/2006/customXml" ds:itemID="{928CEE2D-AFF9-4749-A908-BEA643B8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7</TotalTime>
  <Pages>27</Pages>
  <Words>2387</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16323</CharactersWithSpaces>
  <SharedDoc>false</SharedDoc>
  <HLinks>
    <vt:vector size="24" baseType="variant">
      <vt:variant>
        <vt:i4>7471148</vt:i4>
      </vt:variant>
      <vt:variant>
        <vt:i4>25</vt:i4>
      </vt:variant>
      <vt:variant>
        <vt:i4>0</vt:i4>
      </vt:variant>
      <vt:variant>
        <vt:i4>5</vt:i4>
      </vt:variant>
      <vt:variant>
        <vt:lpwstr>http://www.itsanhonour.gov.au/</vt:lpwstr>
      </vt:variant>
      <vt:variant>
        <vt:lpwstr/>
      </vt:variant>
      <vt:variant>
        <vt:i4>5111827</vt:i4>
      </vt:variant>
      <vt:variant>
        <vt:i4>10</vt:i4>
      </vt:variant>
      <vt:variant>
        <vt:i4>0</vt:i4>
      </vt:variant>
      <vt:variant>
        <vt:i4>5</vt:i4>
      </vt:variant>
      <vt:variant>
        <vt:lpwstr>http://creativecommons.org/licenses/by/3.0/au/deed.en</vt:lpwstr>
      </vt:variant>
      <vt:variant>
        <vt:lpwstr/>
      </vt:variant>
      <vt:variant>
        <vt:i4>2687028</vt:i4>
      </vt:variant>
      <vt:variant>
        <vt:i4>5</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keywords>[SEC=UNCLASSIFIED:For-Official-Use-Only]</cp:keywords>
  <cp:lastModifiedBy>Danielle Wills</cp:lastModifiedBy>
  <cp:revision>3</cp:revision>
  <cp:lastPrinted>2015-05-10T10:06:00Z</cp:lastPrinted>
  <dcterms:created xsi:type="dcterms:W3CDTF">2015-05-12T00:51:00Z</dcterms:created>
  <dcterms:modified xsi:type="dcterms:W3CDTF">2015-05-12T00:57:00Z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0x010100605AAC981168BE40A9BD548B81A50DF6005354E2C1A1800A409D686EE5B476D455</vt:lpwstr>
  </property>
  <property fmtid="{D5CDD505-2E9C-101B-9397-08002B2CF9AE}" pid="5" name="TSYRecordClass">
    <vt:lpwstr>75;#AE-20337-Destroy 7 years after action completed|668ae28e-5138-4c7c-82db-1c8c6afc81a6</vt:lpwstr>
  </property>
  <property fmtid="{D5CDD505-2E9C-101B-9397-08002B2CF9AE}" pid="6" name="_dlc_DocIdItemGuid">
    <vt:lpwstr>f2062dbe-9663-4abe-8923-d8e886ea0b01</vt:lpwstr>
  </property>
  <property fmtid="{D5CDD505-2E9C-101B-9397-08002B2CF9AE}" pid="7" name="PM_SecurityClassification">
    <vt:lpwstr>UNCLASSIFIED</vt:lpwstr>
  </property>
  <property fmtid="{D5CDD505-2E9C-101B-9397-08002B2CF9AE}" pid="8" name="PM_Qualifier">
    <vt:lpwstr>For-Official-Use-Only</vt:lpwstr>
  </property>
  <property fmtid="{D5CDD505-2E9C-101B-9397-08002B2CF9AE}" pid="9" name="PM_DisplayValueSecClassificationWithQualifier">
    <vt:lpwstr>UNCLASSIFIED For Official Use Only</vt:lpwstr>
  </property>
  <property fmtid="{D5CDD505-2E9C-101B-9397-08002B2CF9AE}" pid="10" name="PM_InsertionValue">
    <vt:lpwstr>UNCLASSIFIED\r\nFor Official Use Only</vt:lpwstr>
  </property>
  <property fmtid="{D5CDD505-2E9C-101B-9397-08002B2CF9AE}" pid="11" name="PM_Originator_Hash_SHA1">
    <vt:lpwstr>87980400D64ED6E33B0A0B3DFC2C760DBF70338E</vt:lpwstr>
  </property>
  <property fmtid="{D5CDD505-2E9C-101B-9397-08002B2CF9AE}" pid="12" name="PM_Hash_Version">
    <vt:lpwstr>2014.1</vt:lpwstr>
  </property>
  <property fmtid="{D5CDD505-2E9C-101B-9397-08002B2CF9AE}" pid="13" name="PM_Hash_Salt">
    <vt:lpwstr>F3BE3457296DFAD237F045E81A5F23E4</vt:lpwstr>
  </property>
  <property fmtid="{D5CDD505-2E9C-101B-9397-08002B2CF9AE}" pid="14" name="PM_Hash_SHA1">
    <vt:lpwstr>0BE7312E49DA4DD3C38D9ED326BD98FF68B50930</vt:lpwstr>
  </property>
</Properties>
</file>