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1A19" w:rsidRPr="006930B2" w:rsidRDefault="00D30608" w:rsidP="006D44FD">
      <w:pPr>
        <w:pStyle w:val="Title"/>
        <w:spacing w:before="2880"/>
        <w:rPr>
          <w:b w:val="0"/>
        </w:rPr>
      </w:pPr>
      <w:r w:rsidRPr="006930B2">
        <w:t>Employment Plan 2016</w:t>
      </w:r>
    </w:p>
    <w:p w:rsidR="00B654BA" w:rsidRDefault="005F2E7F" w:rsidP="006D44FD">
      <w:pPr>
        <w:pStyle w:val="Title"/>
      </w:pPr>
      <w:r w:rsidRPr="006930B2">
        <w:tab/>
      </w:r>
      <w:r w:rsidR="00D30608" w:rsidRPr="006930B2">
        <w:t>Australia</w:t>
      </w:r>
    </w:p>
    <w:p w:rsidR="00390730" w:rsidRDefault="00390730" w:rsidP="00390730"/>
    <w:p w:rsidR="00390730" w:rsidRPr="00390730" w:rsidRDefault="00390730" w:rsidP="00390730">
      <w:pPr>
        <w:sectPr w:rsidR="00390730" w:rsidRPr="00390730" w:rsidSect="00DE4E33">
          <w:headerReference w:type="even" r:id="rId9"/>
          <w:headerReference w:type="default" r:id="rId10"/>
          <w:footerReference w:type="even" r:id="rId11"/>
          <w:footerReference w:type="default" r:id="rId12"/>
          <w:headerReference w:type="first" r:id="rId13"/>
          <w:footerReference w:type="first" r:id="rId14"/>
          <w:pgSz w:w="11850" w:h="16783"/>
          <w:pgMar w:top="2835" w:right="1134" w:bottom="1134" w:left="1134" w:header="851" w:footer="992" w:gutter="0"/>
          <w:pgNumType w:start="1"/>
          <w:cols w:space="720"/>
          <w:docGrid w:linePitch="326"/>
        </w:sectPr>
      </w:pPr>
    </w:p>
    <w:p w:rsidR="00390730" w:rsidRDefault="00390730" w:rsidP="00390730">
      <w:pPr>
        <w:pStyle w:val="TOCHeading"/>
      </w:pPr>
      <w:r>
        <w:lastRenderedPageBreak/>
        <w:t>Contents</w:t>
      </w:r>
    </w:p>
    <w:p w:rsidR="00390730" w:rsidRDefault="00390730">
      <w:pPr>
        <w:pStyle w:val="TOC1"/>
        <w:rPr>
          <w:rFonts w:asciiTheme="minorHAnsi" w:eastAsiaTheme="minorEastAsia" w:hAnsiTheme="minorHAnsi" w:cstheme="minorBidi"/>
          <w:b w:val="0"/>
          <w:bCs w:val="0"/>
          <w:caps w:val="0"/>
          <w:kern w:val="0"/>
          <w:sz w:val="22"/>
          <w:szCs w:val="22"/>
          <w:lang w:val="en-AU" w:eastAsia="en-AU"/>
        </w:rPr>
      </w:pPr>
      <w:r>
        <w:rPr>
          <w:sz w:val="20"/>
          <w:szCs w:val="20"/>
        </w:rPr>
        <w:fldChar w:fldCharType="begin"/>
      </w:r>
      <w:r>
        <w:rPr>
          <w:sz w:val="20"/>
          <w:szCs w:val="20"/>
        </w:rPr>
        <w:instrText xml:space="preserve"> TOC \o "1-3" \h \z \u </w:instrText>
      </w:r>
      <w:r>
        <w:rPr>
          <w:sz w:val="20"/>
          <w:szCs w:val="20"/>
        </w:rPr>
        <w:fldChar w:fldCharType="separate"/>
      </w:r>
      <w:hyperlink w:anchor="_Toc487182897" w:history="1">
        <w:r w:rsidRPr="00315E86">
          <w:rPr>
            <w:rStyle w:val="Hyperlink"/>
          </w:rPr>
          <w:t>1.</w:t>
        </w:r>
        <w:r>
          <w:rPr>
            <w:rFonts w:asciiTheme="minorHAnsi" w:eastAsiaTheme="minorEastAsia" w:hAnsiTheme="minorHAnsi" w:cstheme="minorBidi"/>
            <w:b w:val="0"/>
            <w:bCs w:val="0"/>
            <w:caps w:val="0"/>
            <w:kern w:val="0"/>
            <w:sz w:val="22"/>
            <w:szCs w:val="22"/>
            <w:lang w:val="en-AU" w:eastAsia="en-AU"/>
          </w:rPr>
          <w:tab/>
        </w:r>
        <w:r w:rsidRPr="00315E86">
          <w:rPr>
            <w:rStyle w:val="Hyperlink"/>
          </w:rPr>
          <w:t>Employment and labour market outlook</w:t>
        </w:r>
        <w:r>
          <w:rPr>
            <w:webHidden/>
          </w:rPr>
          <w:tab/>
        </w:r>
        <w:r>
          <w:rPr>
            <w:webHidden/>
          </w:rPr>
          <w:fldChar w:fldCharType="begin"/>
        </w:r>
        <w:r>
          <w:rPr>
            <w:webHidden/>
          </w:rPr>
          <w:instrText xml:space="preserve"> PAGEREF _Toc487182897 \h </w:instrText>
        </w:r>
        <w:r>
          <w:rPr>
            <w:webHidden/>
          </w:rPr>
        </w:r>
        <w:r>
          <w:rPr>
            <w:webHidden/>
          </w:rPr>
          <w:fldChar w:fldCharType="separate"/>
        </w:r>
        <w:r>
          <w:rPr>
            <w:webHidden/>
          </w:rPr>
          <w:t>4</w:t>
        </w:r>
        <w:r>
          <w:rPr>
            <w:webHidden/>
          </w:rPr>
          <w:fldChar w:fldCharType="end"/>
        </w:r>
      </w:hyperlink>
    </w:p>
    <w:p w:rsidR="00390730" w:rsidRDefault="00202E71">
      <w:pPr>
        <w:pStyle w:val="TOC1"/>
        <w:rPr>
          <w:rFonts w:asciiTheme="minorHAnsi" w:eastAsiaTheme="minorEastAsia" w:hAnsiTheme="minorHAnsi" w:cstheme="minorBidi"/>
          <w:b w:val="0"/>
          <w:bCs w:val="0"/>
          <w:caps w:val="0"/>
          <w:kern w:val="0"/>
          <w:sz w:val="22"/>
          <w:szCs w:val="22"/>
          <w:lang w:val="en-AU" w:eastAsia="en-AU"/>
        </w:rPr>
      </w:pPr>
      <w:hyperlink w:anchor="_Toc487182900" w:history="1">
        <w:r w:rsidR="00390730" w:rsidRPr="00315E86">
          <w:rPr>
            <w:rStyle w:val="Hyperlink"/>
          </w:rPr>
          <w:t>2.</w:t>
        </w:r>
        <w:r w:rsidR="00390730">
          <w:rPr>
            <w:rFonts w:asciiTheme="minorHAnsi" w:eastAsiaTheme="minorEastAsia" w:hAnsiTheme="minorHAnsi" w:cstheme="minorBidi"/>
            <w:b w:val="0"/>
            <w:bCs w:val="0"/>
            <w:caps w:val="0"/>
            <w:kern w:val="0"/>
            <w:sz w:val="22"/>
            <w:szCs w:val="22"/>
            <w:lang w:val="en-AU" w:eastAsia="en-AU"/>
          </w:rPr>
          <w:tab/>
        </w:r>
        <w:r w:rsidR="00390730" w:rsidRPr="00315E86">
          <w:rPr>
            <w:rStyle w:val="Hyperlink"/>
          </w:rPr>
          <w:t>Employment challenges for Australia</w:t>
        </w:r>
        <w:r w:rsidR="00390730">
          <w:rPr>
            <w:webHidden/>
          </w:rPr>
          <w:tab/>
        </w:r>
        <w:r w:rsidR="00390730">
          <w:rPr>
            <w:webHidden/>
          </w:rPr>
          <w:fldChar w:fldCharType="begin"/>
        </w:r>
        <w:r w:rsidR="00390730">
          <w:rPr>
            <w:webHidden/>
          </w:rPr>
          <w:instrText xml:space="preserve"> PAGEREF _Toc487182900 \h </w:instrText>
        </w:r>
        <w:r w:rsidR="00390730">
          <w:rPr>
            <w:webHidden/>
          </w:rPr>
        </w:r>
        <w:r w:rsidR="00390730">
          <w:rPr>
            <w:webHidden/>
          </w:rPr>
          <w:fldChar w:fldCharType="separate"/>
        </w:r>
        <w:r w:rsidR="00390730">
          <w:rPr>
            <w:webHidden/>
          </w:rPr>
          <w:t>5</w:t>
        </w:r>
        <w:r w:rsidR="00390730">
          <w:rPr>
            <w:webHidden/>
          </w:rPr>
          <w:fldChar w:fldCharType="end"/>
        </w:r>
      </w:hyperlink>
    </w:p>
    <w:p w:rsidR="00390730" w:rsidRDefault="00202E71">
      <w:pPr>
        <w:pStyle w:val="TOC1"/>
        <w:rPr>
          <w:rFonts w:asciiTheme="minorHAnsi" w:eastAsiaTheme="minorEastAsia" w:hAnsiTheme="minorHAnsi" w:cstheme="minorBidi"/>
          <w:b w:val="0"/>
          <w:bCs w:val="0"/>
          <w:caps w:val="0"/>
          <w:kern w:val="0"/>
          <w:sz w:val="22"/>
          <w:szCs w:val="22"/>
          <w:lang w:val="en-AU" w:eastAsia="en-AU"/>
        </w:rPr>
      </w:pPr>
      <w:hyperlink w:anchor="_Toc487182906" w:history="1">
        <w:r w:rsidR="00390730" w:rsidRPr="00315E86">
          <w:rPr>
            <w:rStyle w:val="Hyperlink"/>
          </w:rPr>
          <w:t>3.</w:t>
        </w:r>
        <w:r w:rsidR="00390730">
          <w:rPr>
            <w:rFonts w:asciiTheme="minorHAnsi" w:eastAsiaTheme="minorEastAsia" w:hAnsiTheme="minorHAnsi" w:cstheme="minorBidi"/>
            <w:b w:val="0"/>
            <w:bCs w:val="0"/>
            <w:caps w:val="0"/>
            <w:kern w:val="0"/>
            <w:sz w:val="22"/>
            <w:szCs w:val="22"/>
            <w:lang w:val="en-AU" w:eastAsia="en-AU"/>
          </w:rPr>
          <w:tab/>
        </w:r>
        <w:r w:rsidR="00390730" w:rsidRPr="00315E86">
          <w:rPr>
            <w:rStyle w:val="Hyperlink"/>
          </w:rPr>
          <w:t>Current policy settings and new commitments</w:t>
        </w:r>
        <w:r w:rsidR="00390730">
          <w:rPr>
            <w:webHidden/>
          </w:rPr>
          <w:tab/>
        </w:r>
        <w:r w:rsidR="00390730">
          <w:rPr>
            <w:webHidden/>
          </w:rPr>
          <w:fldChar w:fldCharType="begin"/>
        </w:r>
        <w:r w:rsidR="00390730">
          <w:rPr>
            <w:webHidden/>
          </w:rPr>
          <w:instrText xml:space="preserve"> PAGEREF _Toc487182906 \h </w:instrText>
        </w:r>
        <w:r w:rsidR="00390730">
          <w:rPr>
            <w:webHidden/>
          </w:rPr>
        </w:r>
        <w:r w:rsidR="00390730">
          <w:rPr>
            <w:webHidden/>
          </w:rPr>
          <w:fldChar w:fldCharType="separate"/>
        </w:r>
        <w:r w:rsidR="00390730">
          <w:rPr>
            <w:webHidden/>
          </w:rPr>
          <w:t>6</w:t>
        </w:r>
        <w:r w:rsidR="00390730">
          <w:rPr>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07" w:history="1">
        <w:r w:rsidR="00390730" w:rsidRPr="00315E86">
          <w:rPr>
            <w:rStyle w:val="Hyperlink"/>
            <w:noProof/>
          </w:rPr>
          <w:t>Broad economic settings</w:t>
        </w:r>
        <w:r w:rsidR="00390730">
          <w:rPr>
            <w:noProof/>
            <w:webHidden/>
          </w:rPr>
          <w:tab/>
        </w:r>
        <w:r w:rsidR="00390730">
          <w:rPr>
            <w:noProof/>
            <w:webHidden/>
          </w:rPr>
          <w:fldChar w:fldCharType="begin"/>
        </w:r>
        <w:r w:rsidR="00390730">
          <w:rPr>
            <w:noProof/>
            <w:webHidden/>
          </w:rPr>
          <w:instrText xml:space="preserve"> PAGEREF _Toc487182907 \h </w:instrText>
        </w:r>
        <w:r w:rsidR="00390730">
          <w:rPr>
            <w:noProof/>
            <w:webHidden/>
          </w:rPr>
        </w:r>
        <w:r w:rsidR="00390730">
          <w:rPr>
            <w:noProof/>
            <w:webHidden/>
          </w:rPr>
          <w:fldChar w:fldCharType="separate"/>
        </w:r>
        <w:r w:rsidR="00390730">
          <w:rPr>
            <w:noProof/>
            <w:webHidden/>
          </w:rPr>
          <w:t>6</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08" w:history="1">
        <w:r w:rsidR="00390730" w:rsidRPr="00315E86">
          <w:rPr>
            <w:rStyle w:val="Hyperlink"/>
            <w:noProof/>
          </w:rPr>
          <w:t>Regulation, finance, incentives, investment, innovation and entrepreneurship</w:t>
        </w:r>
        <w:r w:rsidR="00390730">
          <w:rPr>
            <w:noProof/>
            <w:webHidden/>
          </w:rPr>
          <w:tab/>
        </w:r>
        <w:r w:rsidR="00390730">
          <w:rPr>
            <w:noProof/>
            <w:webHidden/>
          </w:rPr>
          <w:fldChar w:fldCharType="begin"/>
        </w:r>
        <w:r w:rsidR="00390730">
          <w:rPr>
            <w:noProof/>
            <w:webHidden/>
          </w:rPr>
          <w:instrText xml:space="preserve"> PAGEREF _Toc487182908 \h </w:instrText>
        </w:r>
        <w:r w:rsidR="00390730">
          <w:rPr>
            <w:noProof/>
            <w:webHidden/>
          </w:rPr>
        </w:r>
        <w:r w:rsidR="00390730">
          <w:rPr>
            <w:noProof/>
            <w:webHidden/>
          </w:rPr>
          <w:fldChar w:fldCharType="separate"/>
        </w:r>
        <w:r w:rsidR="00390730">
          <w:rPr>
            <w:noProof/>
            <w:webHidden/>
          </w:rPr>
          <w:t>6</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09" w:history="1">
        <w:r w:rsidR="00390730" w:rsidRPr="00315E86">
          <w:rPr>
            <w:rStyle w:val="Hyperlink"/>
            <w:noProof/>
          </w:rPr>
          <w:t>Labour markets and social protection</w:t>
        </w:r>
        <w:r w:rsidR="00390730">
          <w:rPr>
            <w:noProof/>
            <w:webHidden/>
          </w:rPr>
          <w:tab/>
        </w:r>
        <w:r w:rsidR="00390730">
          <w:rPr>
            <w:noProof/>
            <w:webHidden/>
          </w:rPr>
          <w:fldChar w:fldCharType="begin"/>
        </w:r>
        <w:r w:rsidR="00390730">
          <w:rPr>
            <w:noProof/>
            <w:webHidden/>
          </w:rPr>
          <w:instrText xml:space="preserve"> PAGEREF _Toc487182909 \h </w:instrText>
        </w:r>
        <w:r w:rsidR="00390730">
          <w:rPr>
            <w:noProof/>
            <w:webHidden/>
          </w:rPr>
        </w:r>
        <w:r w:rsidR="00390730">
          <w:rPr>
            <w:noProof/>
            <w:webHidden/>
          </w:rPr>
          <w:fldChar w:fldCharType="separate"/>
        </w:r>
        <w:r w:rsidR="00390730">
          <w:rPr>
            <w:noProof/>
            <w:webHidden/>
          </w:rPr>
          <w:t>7</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13" w:history="1">
        <w:r w:rsidR="00390730" w:rsidRPr="00315E86">
          <w:rPr>
            <w:rStyle w:val="Hyperlink"/>
            <w:noProof/>
          </w:rPr>
          <w:t>Active labour market programs</w:t>
        </w:r>
        <w:r w:rsidR="00390730">
          <w:rPr>
            <w:noProof/>
            <w:webHidden/>
          </w:rPr>
          <w:tab/>
        </w:r>
        <w:r w:rsidR="00390730">
          <w:rPr>
            <w:noProof/>
            <w:webHidden/>
          </w:rPr>
          <w:fldChar w:fldCharType="begin"/>
        </w:r>
        <w:r w:rsidR="00390730">
          <w:rPr>
            <w:noProof/>
            <w:webHidden/>
          </w:rPr>
          <w:instrText xml:space="preserve"> PAGEREF _Toc487182913 \h </w:instrText>
        </w:r>
        <w:r w:rsidR="00390730">
          <w:rPr>
            <w:noProof/>
            <w:webHidden/>
          </w:rPr>
        </w:r>
        <w:r w:rsidR="00390730">
          <w:rPr>
            <w:noProof/>
            <w:webHidden/>
          </w:rPr>
          <w:fldChar w:fldCharType="separate"/>
        </w:r>
        <w:r w:rsidR="00390730">
          <w:rPr>
            <w:noProof/>
            <w:webHidden/>
          </w:rPr>
          <w:t>8</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14" w:history="1">
        <w:r w:rsidR="00390730" w:rsidRPr="00315E86">
          <w:rPr>
            <w:rStyle w:val="Hyperlink"/>
            <w:noProof/>
          </w:rPr>
          <w:t>Policy measures targeting labour market disadvantage</w:t>
        </w:r>
        <w:r w:rsidR="00390730">
          <w:rPr>
            <w:noProof/>
            <w:webHidden/>
          </w:rPr>
          <w:tab/>
        </w:r>
        <w:r w:rsidR="00390730">
          <w:rPr>
            <w:noProof/>
            <w:webHidden/>
          </w:rPr>
          <w:fldChar w:fldCharType="begin"/>
        </w:r>
        <w:r w:rsidR="00390730">
          <w:rPr>
            <w:noProof/>
            <w:webHidden/>
          </w:rPr>
          <w:instrText xml:space="preserve"> PAGEREF _Toc487182914 \h </w:instrText>
        </w:r>
        <w:r w:rsidR="00390730">
          <w:rPr>
            <w:noProof/>
            <w:webHidden/>
          </w:rPr>
        </w:r>
        <w:r w:rsidR="00390730">
          <w:rPr>
            <w:noProof/>
            <w:webHidden/>
          </w:rPr>
          <w:fldChar w:fldCharType="separate"/>
        </w:r>
        <w:r w:rsidR="00390730">
          <w:rPr>
            <w:noProof/>
            <w:webHidden/>
          </w:rPr>
          <w:t>8</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21" w:history="1">
        <w:r w:rsidR="00390730" w:rsidRPr="00315E86">
          <w:rPr>
            <w:rStyle w:val="Hyperlink"/>
            <w:noProof/>
          </w:rPr>
          <w:t>Skills development</w:t>
        </w:r>
        <w:r w:rsidR="00390730">
          <w:rPr>
            <w:noProof/>
            <w:webHidden/>
          </w:rPr>
          <w:tab/>
        </w:r>
        <w:r w:rsidR="00390730">
          <w:rPr>
            <w:noProof/>
            <w:webHidden/>
          </w:rPr>
          <w:fldChar w:fldCharType="begin"/>
        </w:r>
        <w:r w:rsidR="00390730">
          <w:rPr>
            <w:noProof/>
            <w:webHidden/>
          </w:rPr>
          <w:instrText xml:space="preserve"> PAGEREF _Toc487182921 \h </w:instrText>
        </w:r>
        <w:r w:rsidR="00390730">
          <w:rPr>
            <w:noProof/>
            <w:webHidden/>
          </w:rPr>
        </w:r>
        <w:r w:rsidR="00390730">
          <w:rPr>
            <w:noProof/>
            <w:webHidden/>
          </w:rPr>
          <w:fldChar w:fldCharType="separate"/>
        </w:r>
        <w:r w:rsidR="00390730">
          <w:rPr>
            <w:noProof/>
            <w:webHidden/>
          </w:rPr>
          <w:t>12</w:t>
        </w:r>
        <w:r w:rsidR="00390730">
          <w:rPr>
            <w:noProof/>
            <w:webHidden/>
          </w:rPr>
          <w:fldChar w:fldCharType="end"/>
        </w:r>
      </w:hyperlink>
    </w:p>
    <w:p w:rsidR="00390730" w:rsidRDefault="00202E71">
      <w:pPr>
        <w:pStyle w:val="TOC1"/>
        <w:rPr>
          <w:rFonts w:asciiTheme="minorHAnsi" w:eastAsiaTheme="minorEastAsia" w:hAnsiTheme="minorHAnsi" w:cstheme="minorBidi"/>
          <w:b w:val="0"/>
          <w:bCs w:val="0"/>
          <w:caps w:val="0"/>
          <w:kern w:val="0"/>
          <w:sz w:val="22"/>
          <w:szCs w:val="22"/>
          <w:lang w:val="en-AU" w:eastAsia="en-AU"/>
        </w:rPr>
      </w:pPr>
      <w:hyperlink w:anchor="_Toc487182924" w:history="1">
        <w:r w:rsidR="00390730" w:rsidRPr="00315E86">
          <w:rPr>
            <w:rStyle w:val="Hyperlink"/>
          </w:rPr>
          <w:t>4.</w:t>
        </w:r>
        <w:r w:rsidR="00390730">
          <w:rPr>
            <w:rFonts w:asciiTheme="minorHAnsi" w:eastAsiaTheme="minorEastAsia" w:hAnsiTheme="minorHAnsi" w:cstheme="minorBidi"/>
            <w:b w:val="0"/>
            <w:bCs w:val="0"/>
            <w:caps w:val="0"/>
            <w:kern w:val="0"/>
            <w:sz w:val="22"/>
            <w:szCs w:val="22"/>
            <w:lang w:val="en-AU" w:eastAsia="en-AU"/>
          </w:rPr>
          <w:tab/>
        </w:r>
        <w:r w:rsidR="00390730" w:rsidRPr="00315E86">
          <w:rPr>
            <w:rStyle w:val="Hyperlink"/>
          </w:rPr>
          <w:t>Monitoring and reporting</w:t>
        </w:r>
        <w:r w:rsidR="00390730">
          <w:rPr>
            <w:webHidden/>
          </w:rPr>
          <w:tab/>
        </w:r>
        <w:r w:rsidR="00390730">
          <w:rPr>
            <w:webHidden/>
          </w:rPr>
          <w:fldChar w:fldCharType="begin"/>
        </w:r>
        <w:r w:rsidR="00390730">
          <w:rPr>
            <w:webHidden/>
          </w:rPr>
          <w:instrText xml:space="preserve"> PAGEREF _Toc487182924 \h </w:instrText>
        </w:r>
        <w:r w:rsidR="00390730">
          <w:rPr>
            <w:webHidden/>
          </w:rPr>
        </w:r>
        <w:r w:rsidR="00390730">
          <w:rPr>
            <w:webHidden/>
          </w:rPr>
          <w:fldChar w:fldCharType="separate"/>
        </w:r>
        <w:r w:rsidR="00390730">
          <w:rPr>
            <w:webHidden/>
          </w:rPr>
          <w:t>13</w:t>
        </w:r>
        <w:r w:rsidR="00390730">
          <w:rPr>
            <w:webHidden/>
          </w:rPr>
          <w:fldChar w:fldCharType="end"/>
        </w:r>
      </w:hyperlink>
    </w:p>
    <w:p w:rsidR="00390730" w:rsidRDefault="00202E71">
      <w:pPr>
        <w:pStyle w:val="TOC1"/>
        <w:rPr>
          <w:rFonts w:asciiTheme="minorHAnsi" w:eastAsiaTheme="minorEastAsia" w:hAnsiTheme="minorHAnsi" w:cstheme="minorBidi"/>
          <w:b w:val="0"/>
          <w:bCs w:val="0"/>
          <w:caps w:val="0"/>
          <w:kern w:val="0"/>
          <w:sz w:val="22"/>
          <w:szCs w:val="22"/>
          <w:lang w:val="en-AU" w:eastAsia="en-AU"/>
        </w:rPr>
      </w:pPr>
      <w:hyperlink w:anchor="_Toc487182929" w:history="1">
        <w:r w:rsidR="00390730" w:rsidRPr="00315E86">
          <w:rPr>
            <w:rStyle w:val="Hyperlink"/>
          </w:rPr>
          <w:t>5.</w:t>
        </w:r>
        <w:r w:rsidR="00390730">
          <w:rPr>
            <w:rFonts w:asciiTheme="minorHAnsi" w:eastAsiaTheme="minorEastAsia" w:hAnsiTheme="minorHAnsi" w:cstheme="minorBidi"/>
            <w:b w:val="0"/>
            <w:bCs w:val="0"/>
            <w:caps w:val="0"/>
            <w:kern w:val="0"/>
            <w:sz w:val="22"/>
            <w:szCs w:val="22"/>
            <w:lang w:val="en-AU" w:eastAsia="en-AU"/>
          </w:rPr>
          <w:tab/>
        </w:r>
        <w:r w:rsidR="00390730" w:rsidRPr="00315E86">
          <w:rPr>
            <w:rStyle w:val="Hyperlink"/>
          </w:rPr>
          <w:t>Key policy commitments in the Employment Plan</w:t>
        </w:r>
        <w:r w:rsidR="00390730">
          <w:rPr>
            <w:webHidden/>
          </w:rPr>
          <w:tab/>
        </w:r>
        <w:r w:rsidR="00390730">
          <w:rPr>
            <w:webHidden/>
          </w:rPr>
          <w:fldChar w:fldCharType="begin"/>
        </w:r>
        <w:r w:rsidR="00390730">
          <w:rPr>
            <w:webHidden/>
          </w:rPr>
          <w:instrText xml:space="preserve"> PAGEREF _Toc487182929 \h </w:instrText>
        </w:r>
        <w:r w:rsidR="00390730">
          <w:rPr>
            <w:webHidden/>
          </w:rPr>
        </w:r>
        <w:r w:rsidR="00390730">
          <w:rPr>
            <w:webHidden/>
          </w:rPr>
          <w:fldChar w:fldCharType="separate"/>
        </w:r>
        <w:r w:rsidR="00390730">
          <w:rPr>
            <w:webHidden/>
          </w:rPr>
          <w:t>14</w:t>
        </w:r>
        <w:r w:rsidR="00390730">
          <w:rPr>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30" w:history="1">
        <w:r w:rsidR="00390730" w:rsidRPr="00315E86">
          <w:rPr>
            <w:rStyle w:val="Hyperlink"/>
            <w:noProof/>
          </w:rPr>
          <w:t>Implementation of existing policy commitments</w:t>
        </w:r>
        <w:r w:rsidR="00390730">
          <w:rPr>
            <w:noProof/>
            <w:webHidden/>
          </w:rPr>
          <w:tab/>
        </w:r>
        <w:r w:rsidR="00390730">
          <w:rPr>
            <w:noProof/>
            <w:webHidden/>
          </w:rPr>
          <w:fldChar w:fldCharType="begin"/>
        </w:r>
        <w:r w:rsidR="00390730">
          <w:rPr>
            <w:noProof/>
            <w:webHidden/>
          </w:rPr>
          <w:instrText xml:space="preserve"> PAGEREF _Toc487182930 \h </w:instrText>
        </w:r>
        <w:r w:rsidR="00390730">
          <w:rPr>
            <w:noProof/>
            <w:webHidden/>
          </w:rPr>
        </w:r>
        <w:r w:rsidR="00390730">
          <w:rPr>
            <w:noProof/>
            <w:webHidden/>
          </w:rPr>
          <w:fldChar w:fldCharType="separate"/>
        </w:r>
        <w:r w:rsidR="00390730">
          <w:rPr>
            <w:noProof/>
            <w:webHidden/>
          </w:rPr>
          <w:t>14</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31" w:history="1">
        <w:r w:rsidR="00390730" w:rsidRPr="00315E86">
          <w:rPr>
            <w:rStyle w:val="Hyperlink"/>
            <w:noProof/>
          </w:rPr>
          <w:t>New policy commitments</w:t>
        </w:r>
        <w:r w:rsidR="00390730">
          <w:rPr>
            <w:noProof/>
            <w:webHidden/>
          </w:rPr>
          <w:tab/>
        </w:r>
        <w:r w:rsidR="00390730">
          <w:rPr>
            <w:noProof/>
            <w:webHidden/>
          </w:rPr>
          <w:fldChar w:fldCharType="begin"/>
        </w:r>
        <w:r w:rsidR="00390730">
          <w:rPr>
            <w:noProof/>
            <w:webHidden/>
          </w:rPr>
          <w:instrText xml:space="preserve"> PAGEREF _Toc487182931 \h </w:instrText>
        </w:r>
        <w:r w:rsidR="00390730">
          <w:rPr>
            <w:noProof/>
            <w:webHidden/>
          </w:rPr>
        </w:r>
        <w:r w:rsidR="00390730">
          <w:rPr>
            <w:noProof/>
            <w:webHidden/>
          </w:rPr>
          <w:fldChar w:fldCharType="separate"/>
        </w:r>
        <w:r w:rsidR="00390730">
          <w:rPr>
            <w:noProof/>
            <w:webHidden/>
          </w:rPr>
          <w:t>21</w:t>
        </w:r>
        <w:r w:rsidR="00390730">
          <w:rPr>
            <w:noProof/>
            <w:webHidden/>
          </w:rPr>
          <w:fldChar w:fldCharType="end"/>
        </w:r>
      </w:hyperlink>
    </w:p>
    <w:p w:rsidR="00390730" w:rsidRDefault="00202E71">
      <w:pPr>
        <w:pStyle w:val="TOC2"/>
        <w:tabs>
          <w:tab w:val="right" w:pos="9572"/>
        </w:tabs>
        <w:rPr>
          <w:rFonts w:asciiTheme="minorHAnsi" w:eastAsiaTheme="minorEastAsia" w:hAnsiTheme="minorHAnsi" w:cstheme="minorBidi"/>
          <w:b w:val="0"/>
          <w:bCs w:val="0"/>
          <w:noProof/>
          <w:kern w:val="0"/>
          <w:sz w:val="22"/>
          <w:szCs w:val="22"/>
          <w:lang w:val="en-AU" w:eastAsia="en-AU"/>
        </w:rPr>
      </w:pPr>
      <w:hyperlink w:anchor="_Toc487182932" w:history="1">
        <w:r w:rsidR="00390730" w:rsidRPr="00315E86">
          <w:rPr>
            <w:rStyle w:val="Hyperlink"/>
            <w:noProof/>
          </w:rPr>
          <w:t>Multi-year collective commitments</w:t>
        </w:r>
        <w:r w:rsidR="00390730">
          <w:rPr>
            <w:noProof/>
            <w:webHidden/>
          </w:rPr>
          <w:tab/>
        </w:r>
        <w:r w:rsidR="00390730">
          <w:rPr>
            <w:noProof/>
            <w:webHidden/>
          </w:rPr>
          <w:fldChar w:fldCharType="begin"/>
        </w:r>
        <w:r w:rsidR="00390730">
          <w:rPr>
            <w:noProof/>
            <w:webHidden/>
          </w:rPr>
          <w:instrText xml:space="preserve"> PAGEREF _Toc487182932 \h </w:instrText>
        </w:r>
        <w:r w:rsidR="00390730">
          <w:rPr>
            <w:noProof/>
            <w:webHidden/>
          </w:rPr>
        </w:r>
        <w:r w:rsidR="00390730">
          <w:rPr>
            <w:noProof/>
            <w:webHidden/>
          </w:rPr>
          <w:fldChar w:fldCharType="separate"/>
        </w:r>
        <w:r w:rsidR="00390730">
          <w:rPr>
            <w:noProof/>
            <w:webHidden/>
          </w:rPr>
          <w:t>23</w:t>
        </w:r>
        <w:r w:rsidR="00390730">
          <w:rPr>
            <w:noProof/>
            <w:webHidden/>
          </w:rPr>
          <w:fldChar w:fldCharType="end"/>
        </w:r>
      </w:hyperlink>
    </w:p>
    <w:p w:rsidR="00390730" w:rsidRDefault="00390730" w:rsidP="002A1B70">
      <w:pPr>
        <w:tabs>
          <w:tab w:val="left" w:pos="1725"/>
        </w:tabs>
        <w:rPr>
          <w:sz w:val="20"/>
          <w:szCs w:val="20"/>
        </w:rPr>
      </w:pPr>
      <w:r>
        <w:rPr>
          <w:sz w:val="20"/>
          <w:szCs w:val="20"/>
        </w:rPr>
        <w:fldChar w:fldCharType="end"/>
      </w:r>
    </w:p>
    <w:p w:rsidR="00021D7F" w:rsidRPr="007F2C71" w:rsidRDefault="00021D7F" w:rsidP="002A1B70">
      <w:pPr>
        <w:tabs>
          <w:tab w:val="left" w:pos="1725"/>
        </w:tabs>
        <w:rPr>
          <w:rFonts w:cs="Calibri"/>
        </w:rPr>
      </w:pPr>
      <w:proofErr w:type="gramStart"/>
      <w:r w:rsidRPr="007F2C71">
        <w:rPr>
          <w:sz w:val="20"/>
          <w:szCs w:val="20"/>
        </w:rPr>
        <w:t>Prepared by the Australian Government Department of Employment with Australian Public Service colleagues</w:t>
      </w:r>
      <w:r w:rsidR="00CE7FB1">
        <w:rPr>
          <w:sz w:val="20"/>
          <w:szCs w:val="20"/>
        </w:rPr>
        <w:t>.</w:t>
      </w:r>
      <w:proofErr w:type="gramEnd"/>
      <w:r w:rsidRPr="007F2C71">
        <w:rPr>
          <w:sz w:val="20"/>
          <w:szCs w:val="20"/>
        </w:rPr>
        <w:t xml:space="preserve"> For any enquiries, please contact: </w:t>
      </w:r>
      <w:hyperlink r:id="rId15" w:history="1">
        <w:r w:rsidRPr="007F2C71">
          <w:rPr>
            <w:rStyle w:val="Hyperlink"/>
            <w:sz w:val="20"/>
            <w:szCs w:val="20"/>
          </w:rPr>
          <w:t>G20EmploymentAust@employment.gov.au</w:t>
        </w:r>
      </w:hyperlink>
      <w:r w:rsidRPr="007F2C71">
        <w:rPr>
          <w:sz w:val="20"/>
          <w:szCs w:val="20"/>
        </w:rPr>
        <w:t xml:space="preserve"> </w:t>
      </w:r>
    </w:p>
    <w:p w:rsidR="00021D7F" w:rsidRDefault="00696641" w:rsidP="00DA3AF5">
      <w:pPr>
        <w:spacing w:after="240"/>
        <w:rPr>
          <w:rFonts w:cs="Calibri"/>
        </w:rPr>
      </w:pPr>
      <w:r>
        <w:rPr>
          <w:rFonts w:cs="Calibri"/>
        </w:rPr>
        <w:br w:type="page"/>
      </w:r>
      <w:r w:rsidR="00165503">
        <w:rPr>
          <w:rFonts w:cs="Calibri"/>
        </w:rPr>
        <w:lastRenderedPageBreak/>
        <w:t>Australia’s Employment Plan</w:t>
      </w:r>
      <w:r w:rsidR="00BE49E5">
        <w:rPr>
          <w:rFonts w:cs="Calibri"/>
        </w:rPr>
        <w:t xml:space="preserve"> sets out measures which</w:t>
      </w:r>
      <w:r w:rsidR="00165503">
        <w:rPr>
          <w:rFonts w:cs="Calibri"/>
        </w:rPr>
        <w:t xml:space="preserve"> </w:t>
      </w:r>
      <w:r w:rsidR="009821F0" w:rsidRPr="004C4413">
        <w:rPr>
          <w:rFonts w:cs="Calibri"/>
        </w:rPr>
        <w:t xml:space="preserve">will </w:t>
      </w:r>
      <w:r w:rsidR="00165503">
        <w:rPr>
          <w:rFonts w:cs="Calibri"/>
        </w:rPr>
        <w:t>create more jobs, lift participation in the workforce, promote safe and productive workplaces</w:t>
      </w:r>
      <w:r w:rsidR="002E400F">
        <w:rPr>
          <w:rFonts w:cs="Calibri"/>
        </w:rPr>
        <w:t xml:space="preserve"> and</w:t>
      </w:r>
      <w:r w:rsidR="00165503">
        <w:rPr>
          <w:rFonts w:cs="Calibri"/>
        </w:rPr>
        <w:t xml:space="preserve"> address our G20 commitments. </w:t>
      </w:r>
    </w:p>
    <w:p w:rsidR="009821F0" w:rsidRPr="005801C7" w:rsidRDefault="005444E1" w:rsidP="00340043">
      <w:pPr>
        <w:pStyle w:val="Heading1"/>
      </w:pPr>
      <w:bookmarkStart w:id="0" w:name="_Toc452105461"/>
      <w:bookmarkStart w:id="1" w:name="_Toc452625204"/>
      <w:bookmarkStart w:id="2" w:name="_Toc458449903"/>
      <w:bookmarkStart w:id="3" w:name="_Toc486599743"/>
      <w:bookmarkStart w:id="4" w:name="_Toc487182897"/>
      <w:r w:rsidRPr="005801C7">
        <w:t>Employment and labour market outlook</w:t>
      </w:r>
      <w:bookmarkEnd w:id="0"/>
      <w:bookmarkEnd w:id="1"/>
      <w:bookmarkEnd w:id="2"/>
      <w:bookmarkEnd w:id="3"/>
      <w:bookmarkEnd w:id="4"/>
    </w:p>
    <w:p w:rsidR="002D1156" w:rsidRPr="00FF6AA5" w:rsidRDefault="008147FB" w:rsidP="006E0420">
      <w:pPr>
        <w:autoSpaceDE w:val="0"/>
        <w:autoSpaceDN w:val="0"/>
        <w:adjustRightInd w:val="0"/>
        <w:spacing w:after="240"/>
        <w:rPr>
          <w:rFonts w:cs="Arial"/>
        </w:rPr>
      </w:pPr>
      <w:r w:rsidRPr="009821F0">
        <w:rPr>
          <w:rFonts w:cs="Arial"/>
        </w:rPr>
        <w:t>The Australian economy is entering its 26</w:t>
      </w:r>
      <w:r w:rsidRPr="009821F0">
        <w:rPr>
          <w:vertAlign w:val="superscript"/>
        </w:rPr>
        <w:t>th</w:t>
      </w:r>
      <w:r w:rsidRPr="009821F0">
        <w:rPr>
          <w:rFonts w:cs="Arial"/>
        </w:rPr>
        <w:t xml:space="preserve"> year of </w:t>
      </w:r>
      <w:r w:rsidR="00FF6AA5">
        <w:rPr>
          <w:rFonts w:cs="Arial"/>
        </w:rPr>
        <w:t xml:space="preserve">continued </w:t>
      </w:r>
      <w:r w:rsidRPr="009821F0">
        <w:rPr>
          <w:rFonts w:cs="Arial"/>
        </w:rPr>
        <w:t>expansion</w:t>
      </w:r>
      <w:r w:rsidR="00F72660">
        <w:rPr>
          <w:rFonts w:cs="Arial"/>
        </w:rPr>
        <w:t xml:space="preserve">, </w:t>
      </w:r>
      <w:r w:rsidR="00F72660" w:rsidRPr="00F72660">
        <w:rPr>
          <w:rFonts w:cs="Arial"/>
        </w:rPr>
        <w:t>with the Government forecasting the economy to</w:t>
      </w:r>
      <w:r w:rsidRPr="009821F0">
        <w:rPr>
          <w:rFonts w:cs="Arial"/>
        </w:rPr>
        <w:t xml:space="preserve"> grow </w:t>
      </w:r>
      <w:r w:rsidR="00FF6AA5">
        <w:rPr>
          <w:rFonts w:cs="Arial"/>
        </w:rPr>
        <w:t xml:space="preserve">by </w:t>
      </w:r>
      <w:r w:rsidR="00087051">
        <w:rPr>
          <w:rFonts w:cs="Arial"/>
        </w:rPr>
        <w:t>2</w:t>
      </w:r>
      <w:r w:rsidR="00FF6AA5">
        <w:rPr>
          <w:rFonts w:cs="Arial"/>
        </w:rPr>
        <w:t xml:space="preserve">.5 </w:t>
      </w:r>
      <w:r w:rsidRPr="009821F0">
        <w:rPr>
          <w:rFonts w:cs="Arial"/>
        </w:rPr>
        <w:t>per</w:t>
      </w:r>
      <w:r w:rsidR="00F80197">
        <w:rPr>
          <w:rFonts w:cs="Arial"/>
        </w:rPr>
        <w:t> </w:t>
      </w:r>
      <w:r w:rsidRPr="009821F0">
        <w:rPr>
          <w:rFonts w:cs="Arial"/>
        </w:rPr>
        <w:t>cent in 2016-17 before strengthen</w:t>
      </w:r>
      <w:r w:rsidR="00F80197">
        <w:rPr>
          <w:rFonts w:cs="Arial"/>
        </w:rPr>
        <w:t>ing</w:t>
      </w:r>
      <w:r w:rsidRPr="009821F0">
        <w:rPr>
          <w:rFonts w:cs="Arial"/>
        </w:rPr>
        <w:t xml:space="preserve"> to 3 per cent in 2017-18.</w:t>
      </w:r>
      <w:r w:rsidR="00FF6AA5">
        <w:rPr>
          <w:rFonts w:cs="Arial"/>
        </w:rPr>
        <w:t xml:space="preserve"> E</w:t>
      </w:r>
      <w:r w:rsidR="002D1156" w:rsidRPr="002D1156">
        <w:rPr>
          <w:rFonts w:cs="Arial"/>
          <w:bCs/>
        </w:rPr>
        <w:t xml:space="preserve">mployment has increased by </w:t>
      </w:r>
      <w:r w:rsidR="00825256" w:rsidRPr="00825256">
        <w:rPr>
          <w:rFonts w:cs="Arial"/>
          <w:bCs/>
        </w:rPr>
        <w:t xml:space="preserve">1.5 per cent over the year to August 2016, just below the decade average of 1.6 per cent. The unemployment rate has fallen over the year, from 6.1 per cent in August 2015 to </w:t>
      </w:r>
      <w:r w:rsidR="002640E0">
        <w:rPr>
          <w:rFonts w:cs="Arial"/>
          <w:bCs/>
        </w:rPr>
        <w:br/>
      </w:r>
      <w:r w:rsidR="00825256" w:rsidRPr="00825256">
        <w:rPr>
          <w:rFonts w:cs="Arial"/>
          <w:bCs/>
        </w:rPr>
        <w:t>5.6 per cent in August 2016,</w:t>
      </w:r>
      <w:r w:rsidR="00BB0BDD">
        <w:rPr>
          <w:rFonts w:cs="Arial"/>
          <w:bCs/>
        </w:rPr>
        <w:t xml:space="preserve"> and is forecast </w:t>
      </w:r>
      <w:r w:rsidR="006E0420" w:rsidRPr="006E0420">
        <w:rPr>
          <w:rFonts w:cs="Arial"/>
          <w:bCs/>
        </w:rPr>
        <w:t xml:space="preserve">to </w:t>
      </w:r>
      <w:r w:rsidR="006E0420">
        <w:rPr>
          <w:rFonts w:cs="Arial"/>
          <w:bCs/>
        </w:rPr>
        <w:t xml:space="preserve">decrease </w:t>
      </w:r>
      <w:r w:rsidR="006E0420" w:rsidRPr="006E0420">
        <w:rPr>
          <w:rFonts w:cs="Arial"/>
          <w:bCs/>
        </w:rPr>
        <w:t xml:space="preserve">to </w:t>
      </w:r>
      <w:r w:rsidR="002640E0">
        <w:rPr>
          <w:rFonts w:cs="Arial"/>
          <w:bCs/>
        </w:rPr>
        <w:t>be 5½ per cent in</w:t>
      </w:r>
      <w:r w:rsidR="006E0420" w:rsidRPr="006E0420">
        <w:rPr>
          <w:rFonts w:cs="Arial"/>
          <w:bCs/>
        </w:rPr>
        <w:t xml:space="preserve"> the June quarter</w:t>
      </w:r>
      <w:r w:rsidR="006E0420">
        <w:rPr>
          <w:rFonts w:cs="Arial"/>
          <w:bCs/>
        </w:rPr>
        <w:t xml:space="preserve"> </w:t>
      </w:r>
      <w:r w:rsidR="006E0420" w:rsidRPr="006E0420">
        <w:rPr>
          <w:rFonts w:cs="Arial"/>
          <w:bCs/>
        </w:rPr>
        <w:t>of 2017</w:t>
      </w:r>
      <w:r w:rsidR="00BB0BDD">
        <w:rPr>
          <w:rFonts w:cs="Arial"/>
          <w:bCs/>
        </w:rPr>
        <w:t>.</w:t>
      </w:r>
    </w:p>
    <w:p w:rsidR="00C94567" w:rsidRDefault="00C94567" w:rsidP="00340043">
      <w:pPr>
        <w:pStyle w:val="TableheadingH2"/>
      </w:pPr>
      <w:bookmarkStart w:id="5" w:name="_Toc487182898"/>
      <w:r w:rsidRPr="002B2463">
        <w:t>Table 1: Economic and labour market conditions, 2008 (LHS) and 2015 (RHS)</w:t>
      </w:r>
      <w:bookmarkEnd w:id="5"/>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558"/>
        <w:gridCol w:w="1701"/>
        <w:gridCol w:w="1701"/>
      </w:tblGrid>
      <w:tr w:rsidR="00FB2127" w:rsidRPr="00FB2127" w:rsidTr="00FB2127">
        <w:trPr>
          <w:tblHeader/>
        </w:trPr>
        <w:tc>
          <w:tcPr>
            <w:tcW w:w="1775" w:type="pct"/>
            <w:tcBorders>
              <w:bottom w:val="single" w:sz="4" w:space="0" w:color="auto"/>
            </w:tcBorders>
            <w:shd w:val="clear" w:color="auto" w:fill="F2F2F2" w:themeFill="background1" w:themeFillShade="F2"/>
            <w:vAlign w:val="center"/>
          </w:tcPr>
          <w:p w:rsidR="00FB2127" w:rsidRPr="00FB2127" w:rsidRDefault="00FB2127" w:rsidP="00FB2127">
            <w:pPr>
              <w:rPr>
                <w:sz w:val="20"/>
              </w:rPr>
            </w:pPr>
            <w:r w:rsidRPr="00FB2127">
              <w:rPr>
                <w:sz w:val="20"/>
              </w:rPr>
              <w:t xml:space="preserve">Economic and </w:t>
            </w:r>
            <w:proofErr w:type="spellStart"/>
            <w:r w:rsidRPr="00FB2127">
              <w:rPr>
                <w:sz w:val="20"/>
              </w:rPr>
              <w:t>labour</w:t>
            </w:r>
            <w:proofErr w:type="spellEnd"/>
            <w:r w:rsidRPr="00FB2127">
              <w:rPr>
                <w:sz w:val="20"/>
              </w:rPr>
              <w:t xml:space="preserve"> market conditions</w:t>
            </w:r>
          </w:p>
        </w:tc>
        <w:tc>
          <w:tcPr>
            <w:tcW w:w="717" w:type="pct"/>
            <w:tcBorders>
              <w:bottom w:val="single" w:sz="4" w:space="0" w:color="auto"/>
            </w:tcBorders>
            <w:shd w:val="clear" w:color="auto" w:fill="F2F2F2" w:themeFill="background1" w:themeFillShade="F2"/>
            <w:vAlign w:val="center"/>
          </w:tcPr>
          <w:p w:rsidR="00FB2127" w:rsidRPr="00FB2127" w:rsidRDefault="00FB2127" w:rsidP="00FB2127">
            <w:pPr>
              <w:jc w:val="center"/>
              <w:rPr>
                <w:sz w:val="20"/>
              </w:rPr>
            </w:pPr>
            <w:r w:rsidRPr="00FB2127">
              <w:rPr>
                <w:sz w:val="20"/>
              </w:rPr>
              <w:t>Australia (2008)</w:t>
            </w:r>
          </w:p>
        </w:tc>
        <w:tc>
          <w:tcPr>
            <w:tcW w:w="788" w:type="pct"/>
            <w:tcBorders>
              <w:bottom w:val="single" w:sz="4" w:space="0" w:color="auto"/>
            </w:tcBorders>
            <w:shd w:val="clear" w:color="auto" w:fill="F2F2F2" w:themeFill="background1" w:themeFillShade="F2"/>
            <w:vAlign w:val="center"/>
          </w:tcPr>
          <w:p w:rsidR="00FB2127" w:rsidRPr="00FB2127" w:rsidRDefault="00FB2127" w:rsidP="00FB2127">
            <w:pPr>
              <w:jc w:val="center"/>
              <w:rPr>
                <w:sz w:val="20"/>
              </w:rPr>
            </w:pPr>
            <w:r w:rsidRPr="00FB2127">
              <w:rPr>
                <w:sz w:val="20"/>
              </w:rPr>
              <w:t>Australia (2016)</w:t>
            </w:r>
          </w:p>
        </w:tc>
        <w:tc>
          <w:tcPr>
            <w:tcW w:w="860" w:type="pct"/>
            <w:tcBorders>
              <w:bottom w:val="single" w:sz="4" w:space="0" w:color="auto"/>
            </w:tcBorders>
            <w:shd w:val="clear" w:color="auto" w:fill="F2F2F2" w:themeFill="background1" w:themeFillShade="F2"/>
            <w:vAlign w:val="center"/>
          </w:tcPr>
          <w:p w:rsidR="00FB2127" w:rsidRPr="00FB2127" w:rsidRDefault="00FB2127" w:rsidP="00FB2127">
            <w:pPr>
              <w:jc w:val="center"/>
              <w:rPr>
                <w:sz w:val="20"/>
              </w:rPr>
            </w:pPr>
            <w:proofErr w:type="spellStart"/>
            <w:r>
              <w:rPr>
                <w:sz w:val="20"/>
              </w:rPr>
              <w:t>G20</w:t>
            </w:r>
            <w:proofErr w:type="spellEnd"/>
            <w:r>
              <w:rPr>
                <w:sz w:val="20"/>
              </w:rPr>
              <w:t xml:space="preserve"> </w:t>
            </w:r>
            <w:r w:rsidRPr="00FB2127">
              <w:rPr>
                <w:sz w:val="20"/>
              </w:rPr>
              <w:t>median (2008)</w:t>
            </w:r>
          </w:p>
        </w:tc>
        <w:tc>
          <w:tcPr>
            <w:tcW w:w="860" w:type="pct"/>
            <w:tcBorders>
              <w:bottom w:val="single" w:sz="4" w:space="0" w:color="auto"/>
            </w:tcBorders>
            <w:shd w:val="clear" w:color="auto" w:fill="F2F2F2" w:themeFill="background1" w:themeFillShade="F2"/>
            <w:vAlign w:val="center"/>
          </w:tcPr>
          <w:p w:rsidR="00FB2127" w:rsidRPr="00FB2127" w:rsidRDefault="00FB2127" w:rsidP="00FB2127">
            <w:pPr>
              <w:jc w:val="center"/>
              <w:rPr>
                <w:sz w:val="20"/>
              </w:rPr>
            </w:pPr>
            <w:proofErr w:type="spellStart"/>
            <w:r w:rsidRPr="00FB2127">
              <w:rPr>
                <w:sz w:val="20"/>
              </w:rPr>
              <w:t>G20</w:t>
            </w:r>
            <w:proofErr w:type="spellEnd"/>
            <w:r w:rsidRPr="00FB2127">
              <w:rPr>
                <w:sz w:val="20"/>
              </w:rPr>
              <w:t xml:space="preserve"> median (2016)</w:t>
            </w:r>
          </w:p>
        </w:tc>
      </w:tr>
      <w:tr w:rsidR="00FB2127" w:rsidRPr="00FB2127" w:rsidTr="00FB2127">
        <w:tc>
          <w:tcPr>
            <w:tcW w:w="1775" w:type="pct"/>
            <w:tcBorders>
              <w:bottom w:val="single" w:sz="4" w:space="0" w:color="auto"/>
            </w:tcBorders>
            <w:shd w:val="clear" w:color="auto" w:fill="auto"/>
            <w:vAlign w:val="center"/>
          </w:tcPr>
          <w:p w:rsidR="00FB2127" w:rsidRPr="00FB2127" w:rsidRDefault="00FB2127" w:rsidP="00FB2127">
            <w:pPr>
              <w:rPr>
                <w:sz w:val="20"/>
              </w:rPr>
            </w:pPr>
            <w:r w:rsidRPr="00FB2127">
              <w:rPr>
                <w:sz w:val="20"/>
              </w:rPr>
              <w:t>GDP per capita (USD terms)</w:t>
            </w:r>
          </w:p>
        </w:tc>
        <w:tc>
          <w:tcPr>
            <w:tcW w:w="717" w:type="pct"/>
            <w:tcBorders>
              <w:bottom w:val="single" w:sz="4" w:space="0" w:color="auto"/>
            </w:tcBorders>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$41,</w:t>
            </w:r>
            <w:r>
              <w:rPr>
                <w:sz w:val="20"/>
                <w:szCs w:val="20"/>
              </w:rPr>
              <w:t>712</w:t>
            </w:r>
          </w:p>
        </w:tc>
        <w:tc>
          <w:tcPr>
            <w:tcW w:w="788" w:type="pct"/>
            <w:tcBorders>
              <w:bottom w:val="single" w:sz="4" w:space="0" w:color="auto"/>
            </w:tcBorders>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$41,</w:t>
            </w:r>
            <w:r>
              <w:rPr>
                <w:sz w:val="20"/>
                <w:szCs w:val="20"/>
              </w:rPr>
              <w:t>712</w:t>
            </w:r>
          </w:p>
        </w:tc>
        <w:tc>
          <w:tcPr>
            <w:tcW w:w="860" w:type="pct"/>
            <w:tcBorders>
              <w:bottom w:val="single" w:sz="4" w:space="0" w:color="auto"/>
            </w:tcBorders>
            <w:vAlign w:val="center"/>
          </w:tcPr>
          <w:p w:rsidR="00FB2127" w:rsidRPr="001E1207" w:rsidRDefault="00FB2127" w:rsidP="0020240F">
            <w:pPr>
              <w:spacing w:line="264" w:lineRule="auto"/>
              <w:jc w:val="center"/>
              <w:rPr>
                <w:sz w:val="20"/>
                <w:szCs w:val="20"/>
              </w:rPr>
            </w:pPr>
            <w:r w:rsidRPr="001E1207">
              <w:rPr>
                <w:sz w:val="20"/>
                <w:szCs w:val="20"/>
              </w:rPr>
              <w:t>$3</w:t>
            </w:r>
            <w:r>
              <w:rPr>
                <w:sz w:val="20"/>
                <w:szCs w:val="20"/>
              </w:rPr>
              <w:t>4,068</w:t>
            </w:r>
          </w:p>
        </w:tc>
        <w:tc>
          <w:tcPr>
            <w:tcW w:w="860" w:type="pct"/>
            <w:tcBorders>
              <w:bottom w:val="single" w:sz="4" w:space="0" w:color="auto"/>
            </w:tcBorders>
            <w:vAlign w:val="center"/>
          </w:tcPr>
          <w:p w:rsidR="00FB2127" w:rsidRPr="001E1207" w:rsidRDefault="00FB2127" w:rsidP="0020240F">
            <w:pPr>
              <w:spacing w:line="264" w:lineRule="auto"/>
              <w:jc w:val="center"/>
              <w:rPr>
                <w:sz w:val="20"/>
                <w:szCs w:val="20"/>
              </w:rPr>
            </w:pPr>
            <w:r w:rsidRPr="001E1207">
              <w:rPr>
                <w:sz w:val="20"/>
                <w:szCs w:val="20"/>
              </w:rPr>
              <w:t>$3</w:t>
            </w:r>
            <w:r>
              <w:rPr>
                <w:sz w:val="20"/>
                <w:szCs w:val="20"/>
              </w:rPr>
              <w:t>4,068</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Employment growth (%)</w:t>
            </w:r>
          </w:p>
        </w:tc>
        <w:tc>
          <w:tcPr>
            <w:tcW w:w="717" w:type="pct"/>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2.8</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1.9</w:t>
            </w:r>
          </w:p>
        </w:tc>
        <w:tc>
          <w:tcPr>
            <w:tcW w:w="860" w:type="pct"/>
            <w:vAlign w:val="center"/>
          </w:tcPr>
          <w:p w:rsidR="00FB2127" w:rsidRPr="001E1207" w:rsidRDefault="00FB2127" w:rsidP="0020240F">
            <w:pPr>
              <w:spacing w:line="264" w:lineRule="auto"/>
              <w:jc w:val="center"/>
              <w:rPr>
                <w:sz w:val="20"/>
                <w:szCs w:val="20"/>
              </w:rPr>
            </w:pPr>
            <w:r w:rsidRPr="001E1207">
              <w:rPr>
                <w:sz w:val="20"/>
                <w:szCs w:val="20"/>
              </w:rPr>
              <w:t>1.1</w:t>
            </w:r>
          </w:p>
        </w:tc>
        <w:tc>
          <w:tcPr>
            <w:tcW w:w="860" w:type="pct"/>
            <w:vAlign w:val="center"/>
          </w:tcPr>
          <w:p w:rsidR="00FB2127" w:rsidRPr="001E1207" w:rsidRDefault="00FB2127" w:rsidP="0020240F">
            <w:pPr>
              <w:spacing w:line="264" w:lineRule="auto"/>
              <w:jc w:val="center"/>
              <w:rPr>
                <w:sz w:val="20"/>
                <w:szCs w:val="20"/>
              </w:rPr>
            </w:pPr>
            <w:r>
              <w:rPr>
                <w:sz w:val="20"/>
                <w:szCs w:val="20"/>
              </w:rPr>
              <w:t>2.2</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Unemployment rate</w:t>
            </w:r>
          </w:p>
        </w:tc>
        <w:tc>
          <w:tcPr>
            <w:tcW w:w="717" w:type="pct"/>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4.2</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6.1</w:t>
            </w:r>
          </w:p>
        </w:tc>
        <w:tc>
          <w:tcPr>
            <w:tcW w:w="860" w:type="pct"/>
            <w:vAlign w:val="center"/>
          </w:tcPr>
          <w:p w:rsidR="00FB2127" w:rsidRPr="001E1207" w:rsidRDefault="00FB2127" w:rsidP="0020240F">
            <w:pPr>
              <w:spacing w:line="264" w:lineRule="auto"/>
              <w:jc w:val="center"/>
              <w:rPr>
                <w:sz w:val="20"/>
                <w:szCs w:val="20"/>
              </w:rPr>
            </w:pPr>
            <w:r>
              <w:rPr>
                <w:sz w:val="20"/>
                <w:szCs w:val="20"/>
              </w:rPr>
              <w:t>6.1</w:t>
            </w:r>
          </w:p>
        </w:tc>
        <w:tc>
          <w:tcPr>
            <w:tcW w:w="860" w:type="pct"/>
            <w:vAlign w:val="center"/>
          </w:tcPr>
          <w:p w:rsidR="00FB2127" w:rsidRPr="001E1207" w:rsidRDefault="00FB2127" w:rsidP="0020240F">
            <w:pPr>
              <w:spacing w:line="264" w:lineRule="auto"/>
              <w:jc w:val="center"/>
              <w:rPr>
                <w:sz w:val="20"/>
                <w:szCs w:val="20"/>
              </w:rPr>
            </w:pPr>
            <w:r>
              <w:rPr>
                <w:sz w:val="20"/>
                <w:szCs w:val="20"/>
              </w:rPr>
              <w:t>6.1</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Youth unemployment rate</w:t>
            </w:r>
          </w:p>
        </w:tc>
        <w:tc>
          <w:tcPr>
            <w:tcW w:w="717" w:type="pct"/>
            <w:shd w:val="clear" w:color="auto" w:fill="auto"/>
            <w:vAlign w:val="center"/>
          </w:tcPr>
          <w:p w:rsidR="00FB2127" w:rsidRPr="001E1207" w:rsidRDefault="00FB2127" w:rsidP="0020240F">
            <w:pPr>
              <w:spacing w:line="264" w:lineRule="auto"/>
              <w:jc w:val="center"/>
              <w:rPr>
                <w:sz w:val="20"/>
                <w:szCs w:val="20"/>
              </w:rPr>
            </w:pPr>
            <w:r>
              <w:rPr>
                <w:sz w:val="20"/>
                <w:szCs w:val="20"/>
              </w:rPr>
              <w:t>8.8</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13.1</w:t>
            </w:r>
          </w:p>
        </w:tc>
        <w:tc>
          <w:tcPr>
            <w:tcW w:w="860" w:type="pct"/>
            <w:vAlign w:val="center"/>
          </w:tcPr>
          <w:p w:rsidR="00FB2127" w:rsidRPr="001E1207" w:rsidRDefault="00FB2127" w:rsidP="0020240F">
            <w:pPr>
              <w:spacing w:line="264" w:lineRule="auto"/>
              <w:jc w:val="center"/>
              <w:rPr>
                <w:sz w:val="20"/>
                <w:szCs w:val="20"/>
              </w:rPr>
            </w:pPr>
            <w:r>
              <w:rPr>
                <w:sz w:val="20"/>
                <w:szCs w:val="20"/>
              </w:rPr>
              <w:t>13.9</w:t>
            </w:r>
          </w:p>
        </w:tc>
        <w:tc>
          <w:tcPr>
            <w:tcW w:w="860" w:type="pct"/>
            <w:vAlign w:val="center"/>
          </w:tcPr>
          <w:p w:rsidR="00FB2127" w:rsidRPr="001E1207" w:rsidRDefault="00FB2127" w:rsidP="0020240F">
            <w:pPr>
              <w:spacing w:line="264" w:lineRule="auto"/>
              <w:jc w:val="center"/>
              <w:rPr>
                <w:sz w:val="20"/>
                <w:szCs w:val="20"/>
              </w:rPr>
            </w:pPr>
            <w:r>
              <w:rPr>
                <w:sz w:val="20"/>
                <w:szCs w:val="20"/>
              </w:rPr>
              <w:t>13.9</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Participation rate (15+) (%)</w:t>
            </w:r>
          </w:p>
        </w:tc>
        <w:tc>
          <w:tcPr>
            <w:tcW w:w="717" w:type="pct"/>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65.5</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64.9</w:t>
            </w:r>
          </w:p>
        </w:tc>
        <w:tc>
          <w:tcPr>
            <w:tcW w:w="860" w:type="pct"/>
            <w:vAlign w:val="center"/>
          </w:tcPr>
          <w:p w:rsidR="00FB2127" w:rsidRPr="001E1207" w:rsidRDefault="00FB2127" w:rsidP="0020240F">
            <w:pPr>
              <w:spacing w:line="264" w:lineRule="auto"/>
              <w:jc w:val="center"/>
              <w:rPr>
                <w:sz w:val="20"/>
                <w:szCs w:val="20"/>
              </w:rPr>
            </w:pPr>
            <w:r>
              <w:rPr>
                <w:sz w:val="20"/>
                <w:szCs w:val="20"/>
              </w:rPr>
              <w:t>60.3</w:t>
            </w:r>
          </w:p>
        </w:tc>
        <w:tc>
          <w:tcPr>
            <w:tcW w:w="860" w:type="pct"/>
            <w:vAlign w:val="center"/>
          </w:tcPr>
          <w:p w:rsidR="00FB2127" w:rsidRPr="001E1207" w:rsidRDefault="00FB2127" w:rsidP="0020240F">
            <w:pPr>
              <w:spacing w:line="264" w:lineRule="auto"/>
              <w:jc w:val="center"/>
              <w:rPr>
                <w:sz w:val="20"/>
                <w:szCs w:val="20"/>
              </w:rPr>
            </w:pPr>
            <w:r>
              <w:rPr>
                <w:sz w:val="20"/>
                <w:szCs w:val="20"/>
              </w:rPr>
              <w:t>61.3</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Female participation rate (15+) (%)</w:t>
            </w:r>
          </w:p>
        </w:tc>
        <w:tc>
          <w:tcPr>
            <w:tcW w:w="717" w:type="pct"/>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58.5</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59.0</w:t>
            </w:r>
          </w:p>
        </w:tc>
        <w:tc>
          <w:tcPr>
            <w:tcW w:w="860" w:type="pct"/>
            <w:vAlign w:val="center"/>
          </w:tcPr>
          <w:p w:rsidR="00FB2127" w:rsidRPr="001E1207" w:rsidRDefault="00FB2127" w:rsidP="0020240F">
            <w:pPr>
              <w:spacing w:line="264" w:lineRule="auto"/>
              <w:jc w:val="center"/>
              <w:rPr>
                <w:sz w:val="20"/>
                <w:szCs w:val="20"/>
              </w:rPr>
            </w:pPr>
            <w:r w:rsidRPr="001E1207">
              <w:rPr>
                <w:sz w:val="20"/>
                <w:szCs w:val="20"/>
              </w:rPr>
              <w:t>50.4</w:t>
            </w:r>
          </w:p>
        </w:tc>
        <w:tc>
          <w:tcPr>
            <w:tcW w:w="860" w:type="pct"/>
            <w:vAlign w:val="center"/>
          </w:tcPr>
          <w:p w:rsidR="00FB2127" w:rsidRPr="001E1207" w:rsidRDefault="00FB2127" w:rsidP="0020240F">
            <w:pPr>
              <w:spacing w:line="264" w:lineRule="auto"/>
              <w:jc w:val="center"/>
              <w:rPr>
                <w:sz w:val="20"/>
                <w:szCs w:val="20"/>
              </w:rPr>
            </w:pPr>
            <w:r>
              <w:rPr>
                <w:sz w:val="20"/>
                <w:szCs w:val="20"/>
              </w:rPr>
              <w:t>52.4</w:t>
            </w:r>
          </w:p>
        </w:tc>
      </w:tr>
      <w:tr w:rsidR="00FB2127" w:rsidRPr="00FB2127" w:rsidTr="00FB2127">
        <w:tc>
          <w:tcPr>
            <w:tcW w:w="1775" w:type="pct"/>
            <w:shd w:val="clear" w:color="auto" w:fill="auto"/>
            <w:vAlign w:val="center"/>
          </w:tcPr>
          <w:p w:rsidR="00FB2127" w:rsidRPr="00FB2127" w:rsidRDefault="00FB2127" w:rsidP="00FB2127">
            <w:pPr>
              <w:rPr>
                <w:sz w:val="20"/>
              </w:rPr>
            </w:pPr>
            <w:r w:rsidRPr="00FB2127">
              <w:rPr>
                <w:sz w:val="20"/>
              </w:rPr>
              <w:t>Working age (15 to 64) participation rate (%)</w:t>
            </w:r>
          </w:p>
        </w:tc>
        <w:tc>
          <w:tcPr>
            <w:tcW w:w="717" w:type="pct"/>
            <w:shd w:val="clear" w:color="auto" w:fill="auto"/>
            <w:vAlign w:val="center"/>
          </w:tcPr>
          <w:p w:rsidR="00FB2127" w:rsidRPr="001E1207" w:rsidRDefault="00FB2127" w:rsidP="0020240F">
            <w:pPr>
              <w:spacing w:line="264" w:lineRule="auto"/>
              <w:jc w:val="center"/>
              <w:rPr>
                <w:sz w:val="20"/>
                <w:szCs w:val="20"/>
              </w:rPr>
            </w:pPr>
            <w:r w:rsidRPr="001E1207">
              <w:rPr>
                <w:sz w:val="20"/>
                <w:szCs w:val="20"/>
              </w:rPr>
              <w:t>76.5</w:t>
            </w:r>
          </w:p>
        </w:tc>
        <w:tc>
          <w:tcPr>
            <w:tcW w:w="788" w:type="pct"/>
            <w:shd w:val="clear" w:color="auto" w:fill="auto"/>
            <w:vAlign w:val="center"/>
          </w:tcPr>
          <w:p w:rsidR="00FB2127" w:rsidRPr="001E1207" w:rsidRDefault="00FB2127" w:rsidP="0020240F">
            <w:pPr>
              <w:spacing w:line="264" w:lineRule="auto"/>
              <w:jc w:val="center"/>
              <w:rPr>
                <w:sz w:val="20"/>
                <w:szCs w:val="20"/>
              </w:rPr>
            </w:pPr>
            <w:r>
              <w:rPr>
                <w:sz w:val="20"/>
                <w:szCs w:val="20"/>
              </w:rPr>
              <w:t>77.0</w:t>
            </w:r>
          </w:p>
        </w:tc>
        <w:tc>
          <w:tcPr>
            <w:tcW w:w="860" w:type="pct"/>
            <w:vAlign w:val="center"/>
          </w:tcPr>
          <w:p w:rsidR="00FB2127" w:rsidRPr="001E1207" w:rsidRDefault="00FB2127" w:rsidP="0020240F">
            <w:pPr>
              <w:spacing w:line="264" w:lineRule="auto"/>
              <w:jc w:val="center"/>
              <w:rPr>
                <w:sz w:val="20"/>
                <w:szCs w:val="20"/>
              </w:rPr>
            </w:pPr>
            <w:r>
              <w:rPr>
                <w:sz w:val="20"/>
                <w:szCs w:val="20"/>
              </w:rPr>
              <w:t>71.4</w:t>
            </w:r>
          </w:p>
        </w:tc>
        <w:tc>
          <w:tcPr>
            <w:tcW w:w="860" w:type="pct"/>
            <w:vAlign w:val="center"/>
          </w:tcPr>
          <w:p w:rsidR="00FB2127" w:rsidRPr="001E1207" w:rsidRDefault="00FB2127" w:rsidP="0020240F">
            <w:pPr>
              <w:spacing w:line="264" w:lineRule="auto"/>
              <w:jc w:val="center"/>
              <w:rPr>
                <w:sz w:val="20"/>
                <w:szCs w:val="20"/>
              </w:rPr>
            </w:pPr>
            <w:r>
              <w:rPr>
                <w:sz w:val="20"/>
                <w:szCs w:val="20"/>
              </w:rPr>
              <w:t>73.4</w:t>
            </w:r>
          </w:p>
        </w:tc>
      </w:tr>
    </w:tbl>
    <w:p w:rsidR="00E15A3C" w:rsidRPr="00B30796" w:rsidRDefault="00B30796" w:rsidP="00FB2127">
      <w:pPr>
        <w:rPr>
          <w:rFonts w:cs="Calibri"/>
          <w:sz w:val="18"/>
          <w:szCs w:val="18"/>
        </w:rPr>
      </w:pPr>
      <w:r w:rsidRPr="00B30796">
        <w:rPr>
          <w:rFonts w:cs="Calibri"/>
          <w:sz w:val="18"/>
          <w:szCs w:val="18"/>
        </w:rPr>
        <w:t xml:space="preserve">Notes for Table 1 </w:t>
      </w:r>
      <w:proofErr w:type="gramStart"/>
      <w:r w:rsidRPr="00B30796">
        <w:rPr>
          <w:rFonts w:cs="Calibri"/>
          <w:sz w:val="18"/>
          <w:szCs w:val="18"/>
        </w:rPr>
        <w:t>can be found</w:t>
      </w:r>
      <w:proofErr w:type="gramEnd"/>
      <w:r w:rsidRPr="00B30796">
        <w:rPr>
          <w:rFonts w:cs="Calibri"/>
          <w:sz w:val="18"/>
          <w:szCs w:val="18"/>
        </w:rPr>
        <w:t xml:space="preserve"> in the Appendix.</w:t>
      </w:r>
    </w:p>
    <w:p w:rsidR="00B30796" w:rsidRDefault="00B30796" w:rsidP="00BD5EF8">
      <w:pPr>
        <w:jc w:val="center"/>
        <w:rPr>
          <w:rFonts w:cs="Calibri"/>
          <w:b/>
        </w:rPr>
      </w:pPr>
    </w:p>
    <w:p w:rsidR="00C94567" w:rsidRPr="00C94567" w:rsidRDefault="00C94567" w:rsidP="00340043">
      <w:pPr>
        <w:pStyle w:val="TableheadingH2"/>
      </w:pPr>
      <w:bookmarkStart w:id="6" w:name="_Toc487182899"/>
      <w:r w:rsidRPr="00C94567">
        <w:t>Ta</w:t>
      </w:r>
      <w:r>
        <w:t>ble 2</w:t>
      </w:r>
      <w:r w:rsidRPr="00C94567">
        <w:t xml:space="preserve">: </w:t>
      </w:r>
      <w:r>
        <w:t>Labour market forecasts for 2016-17</w:t>
      </w:r>
      <w:bookmarkEnd w:id="6"/>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021D7F" w:rsidRPr="001E1207" w:rsidTr="001E1207">
        <w:tc>
          <w:tcPr>
            <w:tcW w:w="3296" w:type="dxa"/>
            <w:shd w:val="clear" w:color="auto" w:fill="F2F2F2"/>
            <w:vAlign w:val="center"/>
          </w:tcPr>
          <w:p w:rsidR="00021D7F" w:rsidRPr="001E1207" w:rsidRDefault="00021D7F" w:rsidP="001E1207">
            <w:pPr>
              <w:spacing w:line="264" w:lineRule="auto"/>
              <w:jc w:val="center"/>
              <w:rPr>
                <w:sz w:val="20"/>
                <w:szCs w:val="20"/>
              </w:rPr>
            </w:pPr>
            <w:r w:rsidRPr="001E1207">
              <w:rPr>
                <w:sz w:val="20"/>
                <w:szCs w:val="20"/>
              </w:rPr>
              <w:t>Employment growth</w:t>
            </w:r>
          </w:p>
        </w:tc>
        <w:tc>
          <w:tcPr>
            <w:tcW w:w="3296" w:type="dxa"/>
            <w:tcBorders>
              <w:bottom w:val="single" w:sz="4" w:space="0" w:color="auto"/>
            </w:tcBorders>
            <w:shd w:val="clear" w:color="auto" w:fill="F2F2F2"/>
            <w:vAlign w:val="center"/>
          </w:tcPr>
          <w:p w:rsidR="00021D7F" w:rsidRPr="001E1207" w:rsidRDefault="00021D7F" w:rsidP="001E1207">
            <w:pPr>
              <w:spacing w:line="264" w:lineRule="auto"/>
              <w:jc w:val="center"/>
              <w:rPr>
                <w:sz w:val="20"/>
                <w:szCs w:val="20"/>
              </w:rPr>
            </w:pPr>
            <w:r w:rsidRPr="001E1207">
              <w:rPr>
                <w:sz w:val="20"/>
                <w:szCs w:val="20"/>
              </w:rPr>
              <w:t>Unemployment rate</w:t>
            </w:r>
          </w:p>
        </w:tc>
        <w:tc>
          <w:tcPr>
            <w:tcW w:w="3297" w:type="dxa"/>
            <w:tcBorders>
              <w:bottom w:val="single" w:sz="4" w:space="0" w:color="auto"/>
            </w:tcBorders>
            <w:shd w:val="clear" w:color="auto" w:fill="F2F2F2"/>
            <w:vAlign w:val="center"/>
          </w:tcPr>
          <w:p w:rsidR="00021D7F" w:rsidRPr="001E1207" w:rsidRDefault="00021D7F" w:rsidP="001E1207">
            <w:pPr>
              <w:spacing w:line="264" w:lineRule="auto"/>
              <w:jc w:val="center"/>
              <w:rPr>
                <w:sz w:val="20"/>
                <w:szCs w:val="20"/>
              </w:rPr>
            </w:pPr>
            <w:r w:rsidRPr="001E1207">
              <w:rPr>
                <w:sz w:val="20"/>
                <w:szCs w:val="20"/>
              </w:rPr>
              <w:t>Participation rate</w:t>
            </w:r>
          </w:p>
        </w:tc>
      </w:tr>
      <w:tr w:rsidR="00021D7F" w:rsidRPr="001E1207" w:rsidTr="001E1207">
        <w:tc>
          <w:tcPr>
            <w:tcW w:w="3296" w:type="dxa"/>
            <w:shd w:val="clear" w:color="auto" w:fill="auto"/>
            <w:vAlign w:val="center"/>
          </w:tcPr>
          <w:p w:rsidR="00021D7F" w:rsidRPr="001E1207" w:rsidRDefault="007A06D6" w:rsidP="005C05E7">
            <w:pPr>
              <w:spacing w:line="264" w:lineRule="auto"/>
              <w:jc w:val="center"/>
              <w:rPr>
                <w:sz w:val="20"/>
                <w:szCs w:val="20"/>
              </w:rPr>
            </w:pPr>
            <w:r>
              <w:rPr>
                <w:sz w:val="20"/>
                <w:szCs w:val="20"/>
              </w:rPr>
              <w:t>1</w:t>
            </w:r>
            <w:r w:rsidR="005F3F52">
              <w:rPr>
                <w:sz w:val="20"/>
                <w:szCs w:val="20"/>
              </w:rPr>
              <w:t xml:space="preserve">¾ </w:t>
            </w:r>
            <w:r w:rsidR="00021D7F" w:rsidRPr="001E1207">
              <w:rPr>
                <w:sz w:val="20"/>
                <w:szCs w:val="20"/>
              </w:rPr>
              <w:t xml:space="preserve">per cent </w:t>
            </w:r>
          </w:p>
        </w:tc>
        <w:tc>
          <w:tcPr>
            <w:tcW w:w="3296" w:type="dxa"/>
            <w:tcBorders>
              <w:bottom w:val="single" w:sz="4" w:space="0" w:color="auto"/>
            </w:tcBorders>
            <w:shd w:val="clear" w:color="auto" w:fill="auto"/>
            <w:vAlign w:val="center"/>
          </w:tcPr>
          <w:p w:rsidR="00021D7F" w:rsidRPr="001E1207" w:rsidRDefault="007A06D6" w:rsidP="005C05E7">
            <w:pPr>
              <w:spacing w:line="264" w:lineRule="auto"/>
              <w:jc w:val="center"/>
              <w:rPr>
                <w:sz w:val="20"/>
                <w:szCs w:val="20"/>
              </w:rPr>
            </w:pPr>
            <w:r>
              <w:rPr>
                <w:sz w:val="20"/>
                <w:szCs w:val="20"/>
              </w:rPr>
              <w:t>5</w:t>
            </w:r>
            <w:r w:rsidR="005F3F52">
              <w:rPr>
                <w:sz w:val="20"/>
                <w:szCs w:val="20"/>
              </w:rPr>
              <w:t xml:space="preserve">½ </w:t>
            </w:r>
            <w:r w:rsidR="00021D7F" w:rsidRPr="001E1207">
              <w:rPr>
                <w:sz w:val="20"/>
                <w:szCs w:val="20"/>
              </w:rPr>
              <w:t>per cent</w:t>
            </w:r>
          </w:p>
        </w:tc>
        <w:tc>
          <w:tcPr>
            <w:tcW w:w="3297" w:type="dxa"/>
            <w:tcBorders>
              <w:bottom w:val="single" w:sz="4" w:space="0" w:color="auto"/>
            </w:tcBorders>
            <w:shd w:val="clear" w:color="auto" w:fill="auto"/>
            <w:vAlign w:val="center"/>
          </w:tcPr>
          <w:p w:rsidR="00021D7F" w:rsidRPr="001E1207" w:rsidRDefault="007A06D6" w:rsidP="00152B76">
            <w:pPr>
              <w:spacing w:line="264" w:lineRule="auto"/>
              <w:jc w:val="center"/>
              <w:rPr>
                <w:sz w:val="20"/>
                <w:szCs w:val="20"/>
              </w:rPr>
            </w:pPr>
            <w:r>
              <w:rPr>
                <w:sz w:val="20"/>
                <w:szCs w:val="20"/>
              </w:rPr>
              <w:t>65</w:t>
            </w:r>
            <w:r w:rsidR="00021D7F" w:rsidRPr="001E1207">
              <w:rPr>
                <w:sz w:val="20"/>
                <w:szCs w:val="20"/>
              </w:rPr>
              <w:t xml:space="preserve"> per cent</w:t>
            </w:r>
          </w:p>
        </w:tc>
      </w:tr>
    </w:tbl>
    <w:p w:rsidR="00021D7F" w:rsidRDefault="00021D7F" w:rsidP="002A1B70">
      <w:pPr>
        <w:spacing w:after="240"/>
        <w:rPr>
          <w:i/>
          <w:sz w:val="18"/>
          <w:szCs w:val="18"/>
        </w:rPr>
      </w:pPr>
      <w:r w:rsidRPr="002A1B70">
        <w:rPr>
          <w:sz w:val="18"/>
          <w:szCs w:val="18"/>
        </w:rPr>
        <w:t xml:space="preserve">Source: Australian Government, </w:t>
      </w:r>
      <w:r w:rsidRPr="002A1B70">
        <w:rPr>
          <w:i/>
          <w:sz w:val="18"/>
          <w:szCs w:val="18"/>
        </w:rPr>
        <w:t>Budget Strategy and Outlook: Budget Paper N</w:t>
      </w:r>
      <w:r w:rsidR="00152B76">
        <w:rPr>
          <w:i/>
          <w:sz w:val="18"/>
          <w:szCs w:val="18"/>
        </w:rPr>
        <w:t>o. 1, 2016</w:t>
      </w:r>
      <w:r w:rsidRPr="002A1B70">
        <w:rPr>
          <w:i/>
          <w:sz w:val="18"/>
          <w:szCs w:val="18"/>
        </w:rPr>
        <w:t>-1</w:t>
      </w:r>
      <w:r w:rsidR="00152B76">
        <w:rPr>
          <w:i/>
          <w:sz w:val="18"/>
          <w:szCs w:val="18"/>
        </w:rPr>
        <w:t>7</w:t>
      </w:r>
    </w:p>
    <w:p w:rsidR="00E2237C" w:rsidRPr="00F84DBB" w:rsidRDefault="00802C6E" w:rsidP="00340043">
      <w:pPr>
        <w:pStyle w:val="Heading1"/>
      </w:pPr>
      <w:r>
        <w:br w:type="page"/>
      </w:r>
      <w:bookmarkStart w:id="7" w:name="_Toc452105462"/>
      <w:bookmarkStart w:id="8" w:name="_Toc452625205"/>
      <w:bookmarkStart w:id="9" w:name="_Toc458449904"/>
      <w:bookmarkStart w:id="10" w:name="_Toc486599744"/>
      <w:bookmarkStart w:id="11" w:name="_Toc487182900"/>
      <w:r w:rsidR="00E2237C" w:rsidRPr="00F84DBB">
        <w:lastRenderedPageBreak/>
        <w:t>Employment challenges for Australia</w:t>
      </w:r>
      <w:bookmarkEnd w:id="7"/>
      <w:bookmarkEnd w:id="8"/>
      <w:bookmarkEnd w:id="9"/>
      <w:bookmarkEnd w:id="10"/>
      <w:bookmarkEnd w:id="11"/>
    </w:p>
    <w:p w:rsidR="00B53379" w:rsidRPr="00A938A0" w:rsidRDefault="00B53379" w:rsidP="00340043">
      <w:pPr>
        <w:pStyle w:val="Heading2"/>
      </w:pPr>
      <w:bookmarkStart w:id="12" w:name="_Toc458449905"/>
      <w:bookmarkStart w:id="13" w:name="_Toc487182901"/>
      <w:r w:rsidRPr="00A938A0">
        <w:t>Challenge: Boosting labour force participation</w:t>
      </w:r>
      <w:bookmarkEnd w:id="12"/>
      <w:bookmarkEnd w:id="13"/>
    </w:p>
    <w:p w:rsidR="009623F2" w:rsidRDefault="003B255E" w:rsidP="009623F2">
      <w:pPr>
        <w:spacing w:after="240"/>
      </w:pPr>
      <w:r w:rsidRPr="004C4413">
        <w:t>Population ageing poses a challenge to many advanced countries, including Australia. The labour force participation rate for people aged 15 years and over is projected to fall to less than 63 per cent by 2054–55, compared with around 65 per cent today. This is expected to generate fiscal pressures through a smaller labour force and income tax base</w:t>
      </w:r>
      <w:r w:rsidR="000030FB">
        <w:t>,</w:t>
      </w:r>
      <w:r w:rsidRPr="004C4413">
        <w:t xml:space="preserve"> as well as increased demand for age-related payments and services. Improving workforce participation rates for groups with potential for higher participation is not only a pathway to boost Australia’s productive capacity, but can improve equity and opportunity for all Australians. For example, Australia has a gender gap in</w:t>
      </w:r>
      <w:r>
        <w:t xml:space="preserve"> labour force</w:t>
      </w:r>
      <w:r w:rsidR="002E400F">
        <w:t xml:space="preserve"> participation, and </w:t>
      </w:r>
      <w:r w:rsidRPr="004C4413">
        <w:t xml:space="preserve">Indigenous Australians and people with disability also have much lower participation rates than the general population. </w:t>
      </w:r>
      <w:bookmarkStart w:id="14" w:name="_Toc452625207"/>
    </w:p>
    <w:p w:rsidR="00E2237C" w:rsidRPr="009623F2" w:rsidRDefault="00E2237C" w:rsidP="00340043">
      <w:pPr>
        <w:pStyle w:val="Heading2"/>
      </w:pPr>
      <w:bookmarkStart w:id="15" w:name="_Toc487182902"/>
      <w:r w:rsidRPr="00A938A0">
        <w:t>Challenge: Addressing long-term unemployment</w:t>
      </w:r>
      <w:bookmarkEnd w:id="14"/>
      <w:bookmarkEnd w:id="15"/>
    </w:p>
    <w:p w:rsidR="00E2237C" w:rsidRDefault="00D57A7F" w:rsidP="00340043">
      <w:pPr>
        <w:spacing w:after="360"/>
      </w:pPr>
      <w:r w:rsidRPr="00D57A7F">
        <w:t xml:space="preserve">Australia achieved a substantial decline in long-term unemployment by the time of the global financial crisis, reaching a low of 65,000 in July 2008. Since then, the number of long-term unemployed has more than doubled, to stand at </w:t>
      </w:r>
      <w:r w:rsidR="001A0477" w:rsidRPr="001A0477">
        <w:t>162,300 in August 2016</w:t>
      </w:r>
      <w:r w:rsidR="002E400F">
        <w:t>,</w:t>
      </w:r>
      <w:r w:rsidR="001A0477" w:rsidRPr="001A0477">
        <w:t xml:space="preserve"> although this is down from 173,500 recorded a year ago</w:t>
      </w:r>
      <w:r w:rsidRPr="001A0477">
        <w:t>.</w:t>
      </w:r>
      <w:r w:rsidR="000957D2" w:rsidRPr="00D57A7F">
        <w:t xml:space="preserve"> </w:t>
      </w:r>
      <w:r w:rsidR="00E2237C" w:rsidRPr="00E2237C">
        <w:t>Addressing this problem is important; both to ensure thousands of Australians do not face long-term exclusion from work, and to improve the long term economic outlook by avoiding the erosion of skills and job readiness caused by prolonged absence from the workforce.</w:t>
      </w:r>
    </w:p>
    <w:p w:rsidR="00E2237C" w:rsidRDefault="00E2237C" w:rsidP="00340043">
      <w:pPr>
        <w:pStyle w:val="Heading2"/>
      </w:pPr>
      <w:bookmarkStart w:id="16" w:name="_Toc487182903"/>
      <w:bookmarkStart w:id="17" w:name="_Toc452625208"/>
      <w:r w:rsidRPr="00A938A0">
        <w:t>Challenge: Youth unemployment</w:t>
      </w:r>
      <w:bookmarkEnd w:id="16"/>
      <w:r w:rsidR="008733AE" w:rsidRPr="00A938A0">
        <w:t xml:space="preserve"> </w:t>
      </w:r>
      <w:bookmarkEnd w:id="17"/>
    </w:p>
    <w:p w:rsidR="00023AF9" w:rsidRDefault="00E2237C" w:rsidP="00DA3AF5">
      <w:pPr>
        <w:spacing w:after="240"/>
      </w:pPr>
      <w:r w:rsidRPr="00E2237C">
        <w:t xml:space="preserve">Young people are particularly vulnerable to unemployment during periods of economic and labour market softness, as they tend to have less education, </w:t>
      </w:r>
      <w:r w:rsidR="0026453E">
        <w:t>skills and experience than</w:t>
      </w:r>
      <w:r w:rsidRPr="00E2237C">
        <w:t xml:space="preserve"> older </w:t>
      </w:r>
      <w:r w:rsidR="0026453E">
        <w:t xml:space="preserve">members of the population; and often less able to gain a foothold in the labour market. </w:t>
      </w:r>
      <w:r w:rsidRPr="00E2237C">
        <w:t xml:space="preserve">The youth unemployment rate </w:t>
      </w:r>
      <w:r w:rsidR="00117B7E" w:rsidRPr="00117B7E">
        <w:t>in</w:t>
      </w:r>
      <w:r w:rsidR="00F72660">
        <w:t xml:space="preserve"> </w:t>
      </w:r>
      <w:r w:rsidR="0045149B" w:rsidRPr="0045149B">
        <w:t>August 2016 was 12.8 per cent</w:t>
      </w:r>
      <w:r w:rsidRPr="00E2237C">
        <w:t>,</w:t>
      </w:r>
      <w:r w:rsidR="0026453E">
        <w:t xml:space="preserve"> more than double the national rate. Improving youth participation in employment, education or training is a priority.</w:t>
      </w:r>
      <w:r w:rsidRPr="00E2237C">
        <w:t xml:space="preserve"> </w:t>
      </w:r>
    </w:p>
    <w:p w:rsidR="00E2237C" w:rsidRDefault="00E2237C" w:rsidP="00340043">
      <w:pPr>
        <w:pStyle w:val="Heading2"/>
      </w:pPr>
      <w:bookmarkStart w:id="18" w:name="_Toc452625209"/>
      <w:bookmarkStart w:id="19" w:name="_Toc487182904"/>
      <w:r w:rsidRPr="00A938A0">
        <w:t>Challenge: Boosting Indigenous employment</w:t>
      </w:r>
      <w:bookmarkEnd w:id="18"/>
      <w:bookmarkEnd w:id="19"/>
    </w:p>
    <w:p w:rsidR="005F7FCC" w:rsidRPr="008733AE" w:rsidRDefault="00E2237C" w:rsidP="00DA3AF5">
      <w:pPr>
        <w:keepNext/>
        <w:spacing w:after="240"/>
      </w:pPr>
      <w:r w:rsidRPr="00E2237C">
        <w:t>Indigenous Australians experience low labour force participation and employment rates, and high unemployment rates, relative to the rest of the Australian population.</w:t>
      </w:r>
      <w:r w:rsidR="007C3B27">
        <w:t xml:space="preserve"> </w:t>
      </w:r>
      <w:r w:rsidR="0026453E">
        <w:t xml:space="preserve">In 2014-15, 39 </w:t>
      </w:r>
      <w:r w:rsidR="00B256D5" w:rsidRPr="00794E99">
        <w:t>per cent of the Indigenous working age population was not in th</w:t>
      </w:r>
      <w:r w:rsidR="0026453E">
        <w:t>e labour force, compared with 23</w:t>
      </w:r>
      <w:r w:rsidR="00B256D5" w:rsidRPr="00794E99">
        <w:t xml:space="preserve"> per cent of the non-Indigenous working age population. Furthermore, even among those who are participating, the unemployment rate for Indigenous people was significantly higher than for n</w:t>
      </w:r>
      <w:r w:rsidR="0026453E">
        <w:t>on-indigenous Australians, at 21</w:t>
      </w:r>
      <w:r w:rsidR="00B256D5" w:rsidRPr="00794E99">
        <w:t xml:space="preserve"> per cent. Improving education and labour market outcomes for Indigenous Australians is a priority for the Australian Government.</w:t>
      </w:r>
      <w:r w:rsidR="00B256D5" w:rsidRPr="00870AE8">
        <w:t xml:space="preserve"> </w:t>
      </w:r>
    </w:p>
    <w:p w:rsidR="004D4976" w:rsidRPr="00340043" w:rsidRDefault="004D4976" w:rsidP="00340043">
      <w:bookmarkStart w:id="20" w:name="_Toc452625210"/>
      <w:r>
        <w:br w:type="page"/>
      </w:r>
    </w:p>
    <w:p w:rsidR="00A938A0" w:rsidRPr="00340043" w:rsidRDefault="00E2237C" w:rsidP="00340043">
      <w:pPr>
        <w:pStyle w:val="Heading2"/>
        <w:spacing w:after="120"/>
      </w:pPr>
      <w:bookmarkStart w:id="21" w:name="_Toc487182905"/>
      <w:r w:rsidRPr="00340043">
        <w:lastRenderedPageBreak/>
        <w:t>Challenge: Supporting job creation</w:t>
      </w:r>
      <w:bookmarkEnd w:id="20"/>
      <w:bookmarkEnd w:id="21"/>
    </w:p>
    <w:p w:rsidR="00E2237C" w:rsidRPr="00E2237C" w:rsidRDefault="00E2237C" w:rsidP="00340043">
      <w:r w:rsidRPr="00E2237C">
        <w:t>Job c</w:t>
      </w:r>
      <w:r w:rsidR="00682903">
        <w:t xml:space="preserve">reation was slow following the </w:t>
      </w:r>
      <w:r w:rsidR="0086204D">
        <w:t>G</w:t>
      </w:r>
      <w:r w:rsidR="00682903">
        <w:t xml:space="preserve">lobal </w:t>
      </w:r>
      <w:r w:rsidR="0086204D">
        <w:t>F</w:t>
      </w:r>
      <w:r w:rsidR="00682903">
        <w:t xml:space="preserve">inancial </w:t>
      </w:r>
      <w:r w:rsidR="0086204D">
        <w:t>C</w:t>
      </w:r>
      <w:r w:rsidRPr="00E2237C">
        <w:t xml:space="preserve">risis, with Australia’s unemployment rate </w:t>
      </w:r>
      <w:r w:rsidR="00936CE2" w:rsidRPr="00A452A5">
        <w:t>reaching almost</w:t>
      </w:r>
      <w:r w:rsidR="00936CE2" w:rsidRPr="00E2237C">
        <w:t xml:space="preserve"> </w:t>
      </w:r>
      <w:r w:rsidRPr="00E2237C">
        <w:t>6 per cent. This partly reflects the challenge of managing structural change between industries with varying labour requ</w:t>
      </w:r>
      <w:r w:rsidR="00E41942">
        <w:t>irements. Job creation remains stable</w:t>
      </w:r>
      <w:r w:rsidR="00474087">
        <w:t>,</w:t>
      </w:r>
      <w:r w:rsidR="00E41942">
        <w:t xml:space="preserve"> with</w:t>
      </w:r>
      <w:r w:rsidR="00474087">
        <w:t xml:space="preserve"> a</w:t>
      </w:r>
      <w:r w:rsidRPr="00E2237C">
        <w:t xml:space="preserve"> decad</w:t>
      </w:r>
      <w:r w:rsidR="00E41942">
        <w:t>e a</w:t>
      </w:r>
      <w:r w:rsidR="00474087">
        <w:t>verage rate of 1.7 per cent</w:t>
      </w:r>
      <w:r w:rsidR="00D26232">
        <w:t xml:space="preserve">. However, </w:t>
      </w:r>
      <w:r w:rsidR="00474087">
        <w:t xml:space="preserve">there is further </w:t>
      </w:r>
      <w:r w:rsidR="00D26232">
        <w:t xml:space="preserve">to </w:t>
      </w:r>
      <w:r w:rsidR="00474087">
        <w:t>go</w:t>
      </w:r>
      <w:r w:rsidR="00D26232">
        <w:t xml:space="preserve">. </w:t>
      </w:r>
      <w:r w:rsidRPr="00E2237C">
        <w:t>Strengthening job creation will require a strong commitment to boosting economic growth</w:t>
      </w:r>
      <w:r w:rsidR="00682903">
        <w:t xml:space="preserve"> and </w:t>
      </w:r>
      <w:r w:rsidR="007A6B95">
        <w:t xml:space="preserve">opening up </w:t>
      </w:r>
      <w:r w:rsidR="00340043">
        <w:t>new employment opportunities.</w:t>
      </w:r>
    </w:p>
    <w:p w:rsidR="00E2237C" w:rsidRDefault="007A6B95" w:rsidP="00DA3AF5">
      <w:pPr>
        <w:spacing w:after="240"/>
      </w:pPr>
      <w:r>
        <w:t>A</w:t>
      </w:r>
      <w:r w:rsidR="00E2237C" w:rsidRPr="00E2237C">
        <w:t>s many Australians as possible should enjoy the dignity and self-respect that comes with work and self-sufficiency, and restoring the rate</w:t>
      </w:r>
      <w:r w:rsidR="00474087">
        <w:t xml:space="preserve"> of jobs growth to a level that</w:t>
      </w:r>
      <w:r w:rsidR="00E2237C" w:rsidRPr="00E2237C">
        <w:t xml:space="preserve"> brings down unemployment is essential to achieving that end.</w:t>
      </w:r>
    </w:p>
    <w:p w:rsidR="00E2237C" w:rsidRPr="00156EBD" w:rsidRDefault="00E2237C" w:rsidP="00340043">
      <w:pPr>
        <w:pStyle w:val="Heading1"/>
      </w:pPr>
      <w:bookmarkStart w:id="22" w:name="_Toc452105463"/>
      <w:bookmarkStart w:id="23" w:name="_Toc452625211"/>
      <w:bookmarkStart w:id="24" w:name="_Toc458449906"/>
      <w:bookmarkStart w:id="25" w:name="_Toc486599745"/>
      <w:bookmarkStart w:id="26" w:name="_Toc487182906"/>
      <w:r w:rsidRPr="00156EBD">
        <w:t>Current policy settings and new commitments</w:t>
      </w:r>
      <w:bookmarkEnd w:id="22"/>
      <w:bookmarkEnd w:id="23"/>
      <w:bookmarkEnd w:id="24"/>
      <w:bookmarkEnd w:id="25"/>
      <w:bookmarkEnd w:id="26"/>
    </w:p>
    <w:p w:rsidR="00E2237C" w:rsidRDefault="00E2237C" w:rsidP="00340043">
      <w:pPr>
        <w:pStyle w:val="Heading2"/>
        <w:spacing w:after="120"/>
      </w:pPr>
      <w:bookmarkStart w:id="27" w:name="_Toc452625212"/>
      <w:bookmarkStart w:id="28" w:name="_Toc458449907"/>
      <w:bookmarkStart w:id="29" w:name="_Toc486599746"/>
      <w:bookmarkStart w:id="30" w:name="_Toc487182907"/>
      <w:r w:rsidRPr="00F803EC">
        <w:t>Broad economic settings</w:t>
      </w:r>
      <w:bookmarkEnd w:id="27"/>
      <w:bookmarkEnd w:id="28"/>
      <w:bookmarkEnd w:id="29"/>
      <w:bookmarkEnd w:id="30"/>
    </w:p>
    <w:p w:rsidR="00E875BF" w:rsidRPr="00E2237C" w:rsidRDefault="00E875BF" w:rsidP="00340043">
      <w:pPr>
        <w:spacing w:before="120"/>
        <w:rPr>
          <w:rFonts w:cs="Calibri"/>
        </w:rPr>
      </w:pPr>
      <w:r w:rsidRPr="00E2237C">
        <w:rPr>
          <w:rFonts w:cs="Calibri"/>
        </w:rPr>
        <w:t xml:space="preserve">More than two decades of sustained economic growth and low and stable inflation have reduced economic uncertainty and facilitated private investment in Australia. </w:t>
      </w:r>
      <w:r>
        <w:rPr>
          <w:rFonts w:cs="Calibri"/>
        </w:rPr>
        <w:t xml:space="preserve">Australia’s </w:t>
      </w:r>
      <w:r w:rsidRPr="00E2237C">
        <w:rPr>
          <w:rFonts w:cs="Calibri"/>
        </w:rPr>
        <w:t>policy framework has played an important role in fostering this macroeconomic stability. The main pillars of this framework are a flexible exchange rate, an open capital account, an inflation-targeting independent centra</w:t>
      </w:r>
      <w:r>
        <w:rPr>
          <w:rFonts w:cs="Calibri"/>
        </w:rPr>
        <w:t>l bank and fiscal policy</w:t>
      </w:r>
      <w:r w:rsidRPr="00E2237C">
        <w:rPr>
          <w:rFonts w:cs="Calibri"/>
        </w:rPr>
        <w:t xml:space="preserve"> focused on transparency and medium-term sustainability.</w:t>
      </w:r>
    </w:p>
    <w:p w:rsidR="0087107D" w:rsidRDefault="00E2237C" w:rsidP="0087107D">
      <w:pPr>
        <w:spacing w:before="240" w:after="240"/>
        <w:rPr>
          <w:rFonts w:cs="Calibri"/>
        </w:rPr>
      </w:pPr>
      <w:r w:rsidRPr="00E2237C">
        <w:rPr>
          <w:rFonts w:cs="Calibri"/>
        </w:rPr>
        <w:t xml:space="preserve">Australia’s </w:t>
      </w:r>
      <w:r w:rsidR="000C3285">
        <w:rPr>
          <w:rFonts w:cs="Calibri"/>
        </w:rPr>
        <w:t xml:space="preserve">G20 </w:t>
      </w:r>
      <w:r w:rsidRPr="00E2237C">
        <w:rPr>
          <w:rFonts w:cs="Calibri"/>
        </w:rPr>
        <w:t>Growth Strategy provides a more detailed overview of Australia’s</w:t>
      </w:r>
      <w:bookmarkStart w:id="31" w:name="_Toc452625214"/>
      <w:bookmarkStart w:id="32" w:name="_Toc458449909"/>
      <w:r w:rsidR="00BE3A9E">
        <w:rPr>
          <w:rFonts w:cs="Calibri"/>
        </w:rPr>
        <w:t xml:space="preserve"> macroeconomic policy framework and recent commitments.</w:t>
      </w:r>
    </w:p>
    <w:p w:rsidR="00E2237C" w:rsidRDefault="00E2237C" w:rsidP="00340043">
      <w:pPr>
        <w:pStyle w:val="Heading2"/>
        <w:spacing w:after="120"/>
      </w:pPr>
      <w:bookmarkStart w:id="33" w:name="_Toc486599747"/>
      <w:bookmarkStart w:id="34" w:name="_Toc487182908"/>
      <w:bookmarkEnd w:id="31"/>
      <w:bookmarkEnd w:id="32"/>
      <w:r w:rsidRPr="00935B74">
        <w:t>Regulation, finance, incentives, investment, innovation and entrepreneurship</w:t>
      </w:r>
      <w:bookmarkEnd w:id="33"/>
      <w:bookmarkEnd w:id="34"/>
    </w:p>
    <w:p w:rsidR="004D6AD6" w:rsidRDefault="00DA3467" w:rsidP="009623F2">
      <w:pPr>
        <w:spacing w:after="240"/>
        <w:rPr>
          <w:rFonts w:cs="Calibri"/>
        </w:rPr>
      </w:pPr>
      <w:r w:rsidRPr="00E2237C">
        <w:rPr>
          <w:rFonts w:cs="Calibri"/>
        </w:rPr>
        <w:t>The Australian Government believes that private enterprise and private investment</w:t>
      </w:r>
      <w:r w:rsidR="0036146A">
        <w:rPr>
          <w:rFonts w:cs="Calibri"/>
        </w:rPr>
        <w:t xml:space="preserve"> are</w:t>
      </w:r>
      <w:r w:rsidRPr="00E2237C">
        <w:rPr>
          <w:rFonts w:cs="Calibri"/>
        </w:rPr>
        <w:t xml:space="preserve"> key drivers of economic growth and national prosperity. </w:t>
      </w:r>
      <w:r w:rsidR="00E461EF">
        <w:rPr>
          <w:rFonts w:cs="Calibri"/>
        </w:rPr>
        <w:t xml:space="preserve">Consistent with the </w:t>
      </w:r>
      <w:r w:rsidR="00E461EF" w:rsidRPr="00B27102">
        <w:rPr>
          <w:rFonts w:cs="Calibri"/>
          <w:i/>
        </w:rPr>
        <w:t>G20 Entrepreneurship Action Plan</w:t>
      </w:r>
      <w:r w:rsidR="00E461EF">
        <w:rPr>
          <w:rFonts w:cs="Calibri"/>
        </w:rPr>
        <w:t xml:space="preserve">, the Australian Government is implementing a range of new measures to encourage entrepreneurship and innovation. </w:t>
      </w:r>
      <w:r w:rsidR="008031F5">
        <w:rPr>
          <w:rFonts w:cs="Calibri"/>
        </w:rPr>
        <w:t>The Government’s regulatory reforms also aim to boost competitiveness, productivity and job creation by reducing the regulatory burden on businesses, community</w:t>
      </w:r>
      <w:r w:rsidR="00340043">
        <w:rPr>
          <w:rFonts w:cs="Calibri"/>
        </w:rPr>
        <w:t xml:space="preserve"> organisations and individuals.</w:t>
      </w:r>
    </w:p>
    <w:p w:rsidR="00340043" w:rsidRPr="00CA07CC" w:rsidRDefault="00340043" w:rsidP="00CA07CC">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The Australian Government makes the following policy commitments to increase competitiveness, strengthen incentives and support investment, innovation and entrepreneurship:</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 xml:space="preserve">A $9.2 billion ten </w:t>
      </w:r>
      <w:proofErr w:type="gramStart"/>
      <w:r w:rsidRPr="00CA07CC">
        <w:rPr>
          <w:sz w:val="21"/>
          <w:szCs w:val="21"/>
        </w:rPr>
        <w:t>year enterprise tax plan</w:t>
      </w:r>
      <w:proofErr w:type="gramEnd"/>
      <w:r w:rsidRPr="00CA07CC">
        <w:rPr>
          <w:sz w:val="21"/>
          <w:szCs w:val="21"/>
        </w:rPr>
        <w:t xml:space="preserve"> will be delivered to boost new investment, create and support jobs and increase real wages, starting with tax cuts for small and medium sized enterprises.</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 xml:space="preserve">Over $50 billion </w:t>
      </w:r>
      <w:proofErr w:type="gramStart"/>
      <w:r w:rsidRPr="00CA07CC">
        <w:rPr>
          <w:sz w:val="21"/>
          <w:szCs w:val="21"/>
        </w:rPr>
        <w:t>will be invested</w:t>
      </w:r>
      <w:proofErr w:type="gramEnd"/>
      <w:r w:rsidRPr="00CA07CC">
        <w:rPr>
          <w:sz w:val="21"/>
          <w:szCs w:val="21"/>
        </w:rPr>
        <w:t xml:space="preserve"> in land transport infrastructure between 2013-14 and 2019–20 to drive greater productivity on transport networks by targeting congestion on key passenger and freight routes and better connecting Australian products to domestic and international markets. </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$1.1 billion will be invested over four years to implement measures announced as part of the National Innovation and Science Agenda (NISA</w:t>
      </w:r>
      <w:proofErr w:type="gramStart"/>
      <w:r w:rsidRPr="00CA07CC">
        <w:rPr>
          <w:sz w:val="21"/>
          <w:szCs w:val="21"/>
        </w:rPr>
        <w:t>) which</w:t>
      </w:r>
      <w:proofErr w:type="gramEnd"/>
      <w:r w:rsidRPr="00CA07CC">
        <w:rPr>
          <w:sz w:val="21"/>
          <w:szCs w:val="21"/>
        </w:rPr>
        <w:t xml:space="preserve"> will provide the right incentives and regulatory frameworks to enable industry, entrepreneurs and researchers to succeed and grow. </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lastRenderedPageBreak/>
        <w:t>New export trade agreements and competition reforms will ensure Australia is able to adapt to a changing world and take advantage of the opportunities it provides.</w:t>
      </w:r>
    </w:p>
    <w:p w:rsidR="00E2237C" w:rsidRDefault="00E2237C" w:rsidP="00DB26D7">
      <w:pPr>
        <w:pStyle w:val="Heading2"/>
      </w:pPr>
      <w:bookmarkStart w:id="35" w:name="_Toc452625217"/>
      <w:bookmarkStart w:id="36" w:name="_Toc458449912"/>
      <w:bookmarkStart w:id="37" w:name="_Toc486599748"/>
      <w:bookmarkStart w:id="38" w:name="_Toc487182909"/>
      <w:r w:rsidRPr="00623D56">
        <w:t>Labour markets and social protection</w:t>
      </w:r>
      <w:bookmarkEnd w:id="35"/>
      <w:bookmarkEnd w:id="36"/>
      <w:bookmarkEnd w:id="37"/>
      <w:bookmarkEnd w:id="38"/>
    </w:p>
    <w:p w:rsidR="00434C6C" w:rsidRPr="00251C97" w:rsidRDefault="00047C62" w:rsidP="00251C97">
      <w:pPr>
        <w:spacing w:after="240"/>
        <w:rPr>
          <w:rFonts w:cs="Calibri"/>
          <w:b/>
          <w:sz w:val="24"/>
          <w:szCs w:val="24"/>
        </w:rPr>
      </w:pPr>
      <w:r>
        <w:rPr>
          <w:rFonts w:cs="Calibri"/>
        </w:rPr>
        <w:t xml:space="preserve">The Australian Government is continually assessing labour market policy and social protection measures based on </w:t>
      </w:r>
      <w:r w:rsidR="001D46D1">
        <w:rPr>
          <w:rFonts w:cs="Calibri"/>
        </w:rPr>
        <w:t xml:space="preserve">the </w:t>
      </w:r>
      <w:r>
        <w:rPr>
          <w:rFonts w:cs="Calibri"/>
        </w:rPr>
        <w:t>current economic climate</w:t>
      </w:r>
      <w:r w:rsidR="006A5361" w:rsidRPr="00E2237C">
        <w:rPr>
          <w:rFonts w:cs="Calibri"/>
        </w:rPr>
        <w:t xml:space="preserve">. </w:t>
      </w:r>
      <w:r>
        <w:rPr>
          <w:rFonts w:cs="Calibri"/>
        </w:rPr>
        <w:t xml:space="preserve">Currently, Australia’s </w:t>
      </w:r>
      <w:r w:rsidRPr="00E2237C">
        <w:rPr>
          <w:rFonts w:cs="Calibri"/>
        </w:rPr>
        <w:t xml:space="preserve">social security system </w:t>
      </w:r>
      <w:r>
        <w:rPr>
          <w:rFonts w:cs="Calibri"/>
        </w:rPr>
        <w:t>is being strengthened through</w:t>
      </w:r>
      <w:r w:rsidR="006A5361" w:rsidRPr="00E2237C">
        <w:rPr>
          <w:rFonts w:cs="Calibri"/>
        </w:rPr>
        <w:t xml:space="preserve"> </w:t>
      </w:r>
      <w:r w:rsidR="00F7106A">
        <w:rPr>
          <w:rFonts w:cs="Calibri"/>
        </w:rPr>
        <w:t xml:space="preserve">revised </w:t>
      </w:r>
      <w:r w:rsidR="006A5361" w:rsidRPr="00E2237C">
        <w:rPr>
          <w:rFonts w:cs="Calibri"/>
        </w:rPr>
        <w:t xml:space="preserve">activation mechanisms and incentives to work, </w:t>
      </w:r>
      <w:r>
        <w:rPr>
          <w:rFonts w:cs="Calibri"/>
        </w:rPr>
        <w:t>to ensure</w:t>
      </w:r>
      <w:r w:rsidR="006A5361" w:rsidRPr="00E2237C">
        <w:rPr>
          <w:rFonts w:cs="Calibri"/>
        </w:rPr>
        <w:t xml:space="preserve"> everyone who can participate in work is required and encouraged to seek employment.</w:t>
      </w:r>
      <w:bookmarkStart w:id="39" w:name="_Toc452625218"/>
      <w:bookmarkStart w:id="40" w:name="_Toc458449913"/>
    </w:p>
    <w:p w:rsidR="00E2237C" w:rsidRDefault="00E2237C" w:rsidP="00DB26D7">
      <w:pPr>
        <w:pStyle w:val="Heading3"/>
      </w:pPr>
      <w:bookmarkStart w:id="41" w:name="_Toc487182910"/>
      <w:r w:rsidRPr="001D2A3A">
        <w:t>Labour market regulation</w:t>
      </w:r>
      <w:bookmarkEnd w:id="39"/>
      <w:bookmarkEnd w:id="40"/>
      <w:bookmarkEnd w:id="41"/>
    </w:p>
    <w:p w:rsidR="00F23188" w:rsidRDefault="00F23188" w:rsidP="00F23188">
      <w:pPr>
        <w:spacing w:before="240" w:after="240"/>
        <w:rPr>
          <w:rFonts w:cs="Calibri"/>
        </w:rPr>
      </w:pPr>
      <w:r>
        <w:rPr>
          <w:rFonts w:cs="Calibri"/>
        </w:rPr>
        <w:t>Australia has</w:t>
      </w:r>
      <w:r w:rsidRPr="00802C6E">
        <w:rPr>
          <w:rFonts w:cs="Calibri"/>
        </w:rPr>
        <w:t xml:space="preserve"> a safety net of</w:t>
      </w:r>
      <w:r>
        <w:rPr>
          <w:rFonts w:cs="Calibri"/>
        </w:rPr>
        <w:t xml:space="preserve"> ten National Employment Standards set out in the </w:t>
      </w:r>
      <w:r>
        <w:rPr>
          <w:rFonts w:cs="Calibri"/>
          <w:i/>
        </w:rPr>
        <w:t>Fair Work Act 2009</w:t>
      </w:r>
      <w:r>
        <w:rPr>
          <w:rFonts w:cs="Calibri"/>
        </w:rPr>
        <w:t xml:space="preserve"> and</w:t>
      </w:r>
      <w:r w:rsidRPr="00802C6E">
        <w:rPr>
          <w:rFonts w:cs="Calibri"/>
        </w:rPr>
        <w:t xml:space="preserve"> awards providing for basic pay and conditions in all industries. The system is overseen by an independent body – the Fair Work Commission – which sets the minimum wages and working conditions in awards, and can act as an arbiter in industrial disputes.</w:t>
      </w:r>
      <w:r>
        <w:rPr>
          <w:rFonts w:cs="Calibri"/>
        </w:rPr>
        <w:t xml:space="preserve"> The approach</w:t>
      </w:r>
      <w:r w:rsidRPr="00802C6E">
        <w:rPr>
          <w:rFonts w:cs="Calibri"/>
        </w:rPr>
        <w:t xml:space="preserve"> of </w:t>
      </w:r>
      <w:r>
        <w:rPr>
          <w:rFonts w:cs="Calibri"/>
        </w:rPr>
        <w:t>decentralised</w:t>
      </w:r>
      <w:r w:rsidRPr="00802C6E">
        <w:rPr>
          <w:rFonts w:cs="Calibri"/>
        </w:rPr>
        <w:t xml:space="preserve"> bargaining between employers and employees underpinned by a safety net and an independent umpire has the benefit of allowing individual businesses to establish agreements that suit their specific circumstances, while providing employees with security in the </w:t>
      </w:r>
      <w:proofErr w:type="spellStart"/>
      <w:r w:rsidRPr="00802C6E">
        <w:rPr>
          <w:rFonts w:cs="Calibri"/>
        </w:rPr>
        <w:t>labour</w:t>
      </w:r>
      <w:proofErr w:type="spellEnd"/>
      <w:r w:rsidRPr="00802C6E">
        <w:rPr>
          <w:rFonts w:cs="Calibri"/>
        </w:rPr>
        <w:t xml:space="preserve"> market.</w:t>
      </w:r>
    </w:p>
    <w:p w:rsidR="00340043" w:rsidRPr="00CA07CC" w:rsidRDefault="00340043" w:rsidP="00CA07CC">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The Australian Government makes the following commitments to improve the operation of Australia’s workplace laws:</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Implement a range of election commitments, including through the Fair Work Amendment Act 2015.</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Re-establish the Australian Building and Construction Commission to ensure compliance with the rule of law and improve productivity</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Establish a Registered Organisations Commission to improve the governance of unions and employer organisations, in the interests of both workers and businesses.</w:t>
      </w:r>
    </w:p>
    <w:p w:rsidR="00340043" w:rsidRPr="00CA07CC" w:rsidRDefault="00340043"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Provide additional funding for the Fair Work Ombudsman and amend the Fair Work Act 2009 to strengthen protections for vulnerable workers, especially among migrant workers.</w:t>
      </w:r>
    </w:p>
    <w:p w:rsidR="00E2237C" w:rsidRDefault="00E2237C" w:rsidP="001117C1">
      <w:pPr>
        <w:pStyle w:val="Heading3"/>
      </w:pPr>
      <w:bookmarkStart w:id="42" w:name="_Toc452625219"/>
      <w:bookmarkStart w:id="43" w:name="_Toc458449914"/>
      <w:bookmarkStart w:id="44" w:name="_Toc487182911"/>
      <w:r w:rsidRPr="001117C1">
        <w:t>Workplace safety</w:t>
      </w:r>
      <w:bookmarkEnd w:id="42"/>
      <w:bookmarkEnd w:id="43"/>
      <w:bookmarkEnd w:id="44"/>
      <w:r w:rsidRPr="001117C1">
        <w:t xml:space="preserve"> </w:t>
      </w:r>
    </w:p>
    <w:p w:rsidR="009623F2" w:rsidRDefault="008A52B1" w:rsidP="009623F2">
      <w:pPr>
        <w:spacing w:after="240"/>
        <w:rPr>
          <w:rFonts w:cs="Calibri"/>
          <w:lang w:val="en"/>
        </w:rPr>
      </w:pPr>
      <w:r>
        <w:rPr>
          <w:rFonts w:asciiTheme="minorHAnsi" w:hAnsiTheme="minorHAnsi" w:cstheme="minorHAnsi"/>
        </w:rPr>
        <w:t xml:space="preserve">Australia has a range of work health and safety (WHS) bodies focused on providing advice and guidance to workers and employers to improve </w:t>
      </w:r>
      <w:r w:rsidR="0086204D">
        <w:rPr>
          <w:rFonts w:asciiTheme="minorHAnsi" w:hAnsiTheme="minorHAnsi" w:cstheme="minorHAnsi"/>
        </w:rPr>
        <w:t xml:space="preserve">WHS </w:t>
      </w:r>
      <w:r>
        <w:rPr>
          <w:rFonts w:asciiTheme="minorHAnsi" w:hAnsiTheme="minorHAnsi" w:cstheme="minorHAnsi"/>
        </w:rPr>
        <w:t>outcomes. WHS laws operate within a national framework, and generally apply to workers in all industries and to all areas of employment.</w:t>
      </w:r>
      <w:r w:rsidR="009623F2">
        <w:rPr>
          <w:rFonts w:asciiTheme="minorHAnsi" w:hAnsiTheme="minorHAnsi" w:cstheme="minorHAnsi"/>
        </w:rPr>
        <w:t xml:space="preserve"> Actions to </w:t>
      </w:r>
      <w:r w:rsidR="009623F2" w:rsidRPr="00C30C01">
        <w:rPr>
          <w:rFonts w:cs="Calibri"/>
        </w:rPr>
        <w:t>improve WHS in Australia</w:t>
      </w:r>
      <w:r w:rsidR="009623F2">
        <w:rPr>
          <w:rFonts w:cs="Calibri"/>
        </w:rPr>
        <w:t xml:space="preserve"> are guided by t</w:t>
      </w:r>
      <w:r w:rsidR="00C30C01" w:rsidRPr="00C30C01">
        <w:rPr>
          <w:rFonts w:cs="Calibri"/>
        </w:rPr>
        <w:t xml:space="preserve">he </w:t>
      </w:r>
      <w:r w:rsidR="00C30C01" w:rsidRPr="00EF2552">
        <w:rPr>
          <w:rFonts w:cs="Calibri"/>
          <w:i/>
        </w:rPr>
        <w:t>Au</w:t>
      </w:r>
      <w:r w:rsidR="00BE3A9E">
        <w:rPr>
          <w:rFonts w:cs="Calibri"/>
          <w:i/>
        </w:rPr>
        <w:t>stralian Work Health and Safety</w:t>
      </w:r>
      <w:r w:rsidR="00462174">
        <w:rPr>
          <w:rFonts w:cs="Calibri"/>
          <w:i/>
        </w:rPr>
        <w:t xml:space="preserve"> </w:t>
      </w:r>
      <w:r w:rsidR="00C30C01" w:rsidRPr="00EF2552">
        <w:rPr>
          <w:rFonts w:cs="Calibri"/>
          <w:i/>
        </w:rPr>
        <w:t>Strategy 2012-2022</w:t>
      </w:r>
      <w:r w:rsidR="009623F2">
        <w:rPr>
          <w:rFonts w:cs="Calibri"/>
        </w:rPr>
        <w:t>.</w:t>
      </w:r>
      <w:bookmarkStart w:id="45" w:name="_Toc452625220"/>
      <w:bookmarkStart w:id="46" w:name="_Toc458449915"/>
      <w:r w:rsidR="009623F2">
        <w:rPr>
          <w:rFonts w:cs="Calibri"/>
        </w:rPr>
        <w:t xml:space="preserve"> Australian measures which promote safer and healthier workplaces</w:t>
      </w:r>
      <w:r w:rsidR="00101C53">
        <w:rPr>
          <w:rFonts w:cs="Calibri"/>
        </w:rPr>
        <w:t xml:space="preserve"> in line with the </w:t>
      </w:r>
      <w:r w:rsidR="00101C53" w:rsidRPr="005F7E37">
        <w:rPr>
          <w:rFonts w:asciiTheme="minorHAnsi" w:hAnsiTheme="minorHAnsi" w:cstheme="minorHAnsi"/>
          <w:i/>
          <w:color w:val="000000"/>
          <w:lang w:val="en-AU"/>
        </w:rPr>
        <w:t>G20 Statement on Safer and Healthier Workplaces</w:t>
      </w:r>
      <w:r w:rsidR="00101C53" w:rsidRPr="005F7E37">
        <w:rPr>
          <w:rFonts w:asciiTheme="minorHAnsi" w:hAnsiTheme="minorHAnsi" w:cstheme="minorHAnsi"/>
          <w:color w:val="000000"/>
          <w:lang w:val="en-AU"/>
        </w:rPr>
        <w:t xml:space="preserve"> </w:t>
      </w:r>
      <w:r w:rsidR="00101C53">
        <w:rPr>
          <w:rFonts w:asciiTheme="minorHAnsi" w:hAnsiTheme="minorHAnsi" w:cstheme="minorHAnsi"/>
          <w:color w:val="000000"/>
          <w:lang w:val="en-AU"/>
        </w:rPr>
        <w:t xml:space="preserve">which was </w:t>
      </w:r>
      <w:r w:rsidR="00101C53" w:rsidRPr="005F7E37">
        <w:rPr>
          <w:rFonts w:asciiTheme="minorHAnsi" w:hAnsiTheme="minorHAnsi" w:cstheme="minorHAnsi"/>
          <w:color w:val="000000"/>
          <w:lang w:val="en-AU"/>
        </w:rPr>
        <w:t>adopted by G20 Labour and Employment Ministers in 2014</w:t>
      </w:r>
      <w:r w:rsidR="009623F2">
        <w:rPr>
          <w:rFonts w:cs="Calibri"/>
        </w:rPr>
        <w:t xml:space="preserve"> are described </w:t>
      </w:r>
      <w:r w:rsidR="00101C53">
        <w:rPr>
          <w:rFonts w:cs="Calibri"/>
        </w:rPr>
        <w:t xml:space="preserve">further </w:t>
      </w:r>
      <w:r w:rsidR="009623F2">
        <w:rPr>
          <w:rFonts w:cs="Calibri"/>
        </w:rPr>
        <w:t>in section 5 of this document.</w:t>
      </w:r>
    </w:p>
    <w:p w:rsidR="00E2237C" w:rsidRDefault="00E2237C" w:rsidP="00DB26D7">
      <w:pPr>
        <w:pStyle w:val="Heading3"/>
      </w:pPr>
      <w:bookmarkStart w:id="47" w:name="_Toc487182912"/>
      <w:r w:rsidRPr="001D2A3A">
        <w:t>Social protection</w:t>
      </w:r>
      <w:bookmarkEnd w:id="45"/>
      <w:bookmarkEnd w:id="46"/>
      <w:bookmarkEnd w:id="47"/>
    </w:p>
    <w:p w:rsidR="006D0319" w:rsidRDefault="006D0319" w:rsidP="0087107D">
      <w:pPr>
        <w:spacing w:after="240"/>
        <w:rPr>
          <w:rFonts w:cs="Calibri"/>
          <w:lang w:val="en"/>
        </w:rPr>
      </w:pPr>
      <w:r>
        <w:rPr>
          <w:rFonts w:cs="Calibri"/>
        </w:rPr>
        <w:t xml:space="preserve">Australia’s social security system and labour market </w:t>
      </w:r>
      <w:r w:rsidR="009738BC">
        <w:rPr>
          <w:rFonts w:cs="Calibri"/>
        </w:rPr>
        <w:t>programs</w:t>
      </w:r>
      <w:r>
        <w:rPr>
          <w:rFonts w:cs="Calibri"/>
        </w:rPr>
        <w:t xml:space="preserve"> </w:t>
      </w:r>
      <w:proofErr w:type="gramStart"/>
      <w:r>
        <w:rPr>
          <w:rFonts w:cs="Calibri"/>
        </w:rPr>
        <w:t>are closely aligned</w:t>
      </w:r>
      <w:proofErr w:type="gramEnd"/>
      <w:r>
        <w:rPr>
          <w:rFonts w:cs="Calibri"/>
        </w:rPr>
        <w:t xml:space="preserve">, and have a strong focus </w:t>
      </w:r>
      <w:r>
        <w:rPr>
          <w:rFonts w:cs="Calibri"/>
        </w:rPr>
        <w:lastRenderedPageBreak/>
        <w:t>on assisting people with the capacity to work to enter employment. Tight means-testing of benefits combined with extensive activation measures ensures that there are strong incentives to encourage those who are able to work or study, whilst providing support to those who are unable to work.</w:t>
      </w:r>
      <w:r w:rsidR="00D32DEE">
        <w:rPr>
          <w:rFonts w:cs="Calibri"/>
        </w:rPr>
        <w:t xml:space="preserve"> </w:t>
      </w:r>
      <w:r w:rsidR="00D32DEE">
        <w:t>The coverage and targeting of these measures is consistent with the policy recommendations adopted by G20 Labour and Employment Ministers in 2016.</w:t>
      </w:r>
    </w:p>
    <w:p w:rsidR="00E2237C" w:rsidRDefault="00E2237C" w:rsidP="00DB26D7">
      <w:pPr>
        <w:pStyle w:val="Heading2"/>
        <w:spacing w:before="0"/>
      </w:pPr>
      <w:bookmarkStart w:id="48" w:name="_Toc452625221"/>
      <w:bookmarkStart w:id="49" w:name="_Toc458449916"/>
      <w:bookmarkStart w:id="50" w:name="_Toc486599749"/>
      <w:bookmarkStart w:id="51" w:name="_Toc487182913"/>
      <w:r w:rsidRPr="00DB26D7">
        <w:t xml:space="preserve">Active labour market </w:t>
      </w:r>
      <w:r w:rsidR="009738BC">
        <w:t>programs</w:t>
      </w:r>
      <w:bookmarkEnd w:id="48"/>
      <w:bookmarkEnd w:id="49"/>
      <w:bookmarkEnd w:id="50"/>
      <w:bookmarkEnd w:id="51"/>
    </w:p>
    <w:p w:rsidR="003D199E" w:rsidRDefault="003D199E" w:rsidP="002A0D2E">
      <w:pPr>
        <w:spacing w:after="240"/>
        <w:rPr>
          <w:rFonts w:cs="Calibri"/>
        </w:rPr>
      </w:pPr>
      <w:r w:rsidRPr="00DF774F">
        <w:rPr>
          <w:rFonts w:cs="Calibri"/>
        </w:rPr>
        <w:t>The Australian Government provides employment services to disadvantaged</w:t>
      </w:r>
      <w:r w:rsidR="002A6097">
        <w:rPr>
          <w:rFonts w:cs="Calibri"/>
        </w:rPr>
        <w:t xml:space="preserve"> job seekers</w:t>
      </w:r>
      <w:r w:rsidRPr="00DF774F">
        <w:rPr>
          <w:rFonts w:cs="Calibri"/>
        </w:rPr>
        <w:t xml:space="preserve"> through a network of private and community sector entities. </w:t>
      </w:r>
      <w:r w:rsidRPr="00E2237C">
        <w:rPr>
          <w:rFonts w:cs="Calibri"/>
        </w:rPr>
        <w:t xml:space="preserve">There are three main employment </w:t>
      </w:r>
      <w:r w:rsidR="009738BC">
        <w:rPr>
          <w:rFonts w:cs="Calibri"/>
        </w:rPr>
        <w:t>programs</w:t>
      </w:r>
      <w:r w:rsidRPr="00E2237C">
        <w:rPr>
          <w:rFonts w:cs="Calibri"/>
        </w:rPr>
        <w:t xml:space="preserve">: </w:t>
      </w:r>
      <w:r w:rsidRPr="005457A4">
        <w:rPr>
          <w:rFonts w:cs="Calibri"/>
        </w:rPr>
        <w:t>jobactive</w:t>
      </w:r>
      <w:r w:rsidRPr="00E2237C">
        <w:rPr>
          <w:rFonts w:cs="Calibri"/>
        </w:rPr>
        <w:t xml:space="preserve"> for mainstream job seekers, </w:t>
      </w:r>
      <w:r w:rsidR="008F6187">
        <w:rPr>
          <w:rFonts w:cs="Calibri"/>
        </w:rPr>
        <w:t>Disability Employment Services</w:t>
      </w:r>
      <w:r w:rsidRPr="00E2237C">
        <w:rPr>
          <w:rFonts w:cs="Calibri"/>
        </w:rPr>
        <w:t xml:space="preserve"> for people with disability</w:t>
      </w:r>
      <w:r>
        <w:rPr>
          <w:rFonts w:cs="Calibri"/>
        </w:rPr>
        <w:t>, injury</w:t>
      </w:r>
      <w:r w:rsidRPr="00E2237C">
        <w:rPr>
          <w:rFonts w:cs="Calibri"/>
        </w:rPr>
        <w:t xml:space="preserve"> or health condition, and the Community Development Programme</w:t>
      </w:r>
      <w:r w:rsidR="008F6187">
        <w:rPr>
          <w:rFonts w:cs="Calibri"/>
        </w:rPr>
        <w:t xml:space="preserve"> </w:t>
      </w:r>
      <w:r w:rsidRPr="00E2237C">
        <w:rPr>
          <w:rFonts w:cs="Calibri"/>
        </w:rPr>
        <w:t>for job seekers in remote areas.</w:t>
      </w:r>
    </w:p>
    <w:p w:rsidR="00CA07CC" w:rsidRPr="00CA07CC" w:rsidRDefault="00CA07CC" w:rsidP="00CA07CC">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 xml:space="preserve">The Australian Government has recently made the following commitments to improve active </w:t>
      </w:r>
      <w:proofErr w:type="spellStart"/>
      <w:r w:rsidRPr="00CA07CC">
        <w:rPr>
          <w:sz w:val="21"/>
          <w:szCs w:val="21"/>
        </w:rPr>
        <w:t>labour</w:t>
      </w:r>
      <w:proofErr w:type="spellEnd"/>
      <w:r w:rsidRPr="00CA07CC">
        <w:rPr>
          <w:sz w:val="21"/>
          <w:szCs w:val="21"/>
        </w:rPr>
        <w:t xml:space="preserve"> market programs:</w:t>
      </w:r>
    </w:p>
    <w:p w:rsidR="00CA07CC" w:rsidRPr="00CA07CC" w:rsidRDefault="00CA07CC"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 xml:space="preserve">An expansion of the New Enterprise Incentive Scheme (NEIS), which assists job seekers to establish a small business, from 6,300 to 8,600 places annually.  </w:t>
      </w:r>
    </w:p>
    <w:p w:rsidR="00CA07CC" w:rsidRPr="00CA07CC" w:rsidRDefault="00CA07CC"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$10.9 million will help to build social cohesion by supporting newly arrived humanitarian entrants and migrants to connect with their communities and improve employment pathways.</w:t>
      </w:r>
    </w:p>
    <w:p w:rsidR="00CA07CC" w:rsidRPr="00CA07CC" w:rsidRDefault="00CA07CC" w:rsidP="00CA07CC">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CA07CC">
        <w:rPr>
          <w:sz w:val="21"/>
          <w:szCs w:val="21"/>
        </w:rPr>
        <w:t xml:space="preserve">From 1 January 2017, existing wage subsidies </w:t>
      </w:r>
      <w:proofErr w:type="gramStart"/>
      <w:r w:rsidRPr="00CA07CC">
        <w:rPr>
          <w:sz w:val="21"/>
          <w:szCs w:val="21"/>
        </w:rPr>
        <w:t>will be further simplified</w:t>
      </w:r>
      <w:proofErr w:type="gramEnd"/>
      <w:r w:rsidRPr="00CA07CC">
        <w:rPr>
          <w:sz w:val="21"/>
          <w:szCs w:val="21"/>
        </w:rPr>
        <w:t xml:space="preserve"> to enhance flexibility for employers.</w:t>
      </w:r>
    </w:p>
    <w:p w:rsidR="00E2237C" w:rsidRDefault="00E2237C" w:rsidP="00DB26D7">
      <w:pPr>
        <w:pStyle w:val="Heading2"/>
      </w:pPr>
      <w:bookmarkStart w:id="52" w:name="_Toc452625222"/>
      <w:bookmarkStart w:id="53" w:name="_Toc458449917"/>
      <w:bookmarkStart w:id="54" w:name="_Toc486599750"/>
      <w:bookmarkStart w:id="55" w:name="_Toc487182914"/>
      <w:r w:rsidRPr="002A0D2E">
        <w:t xml:space="preserve">Policy measures targeting </w:t>
      </w:r>
      <w:proofErr w:type="spellStart"/>
      <w:r w:rsidRPr="002A0D2E">
        <w:t>labour</w:t>
      </w:r>
      <w:proofErr w:type="spellEnd"/>
      <w:r w:rsidRPr="002A0D2E">
        <w:t xml:space="preserve"> market disadvantage</w:t>
      </w:r>
      <w:bookmarkEnd w:id="52"/>
      <w:bookmarkEnd w:id="53"/>
      <w:bookmarkEnd w:id="54"/>
      <w:bookmarkEnd w:id="55"/>
    </w:p>
    <w:p w:rsidR="0002464A" w:rsidRDefault="003B255E" w:rsidP="0002464A">
      <w:pPr>
        <w:pStyle w:val="Heading3"/>
      </w:pPr>
      <w:bookmarkStart w:id="56" w:name="_Toc452625223"/>
      <w:bookmarkStart w:id="57" w:name="_Toc458449918"/>
      <w:bookmarkStart w:id="58" w:name="_Toc487182915"/>
      <w:r w:rsidRPr="008D542D">
        <w:t>Women</w:t>
      </w:r>
      <w:bookmarkEnd w:id="56"/>
      <w:bookmarkEnd w:id="57"/>
      <w:bookmarkEnd w:id="58"/>
    </w:p>
    <w:p w:rsidR="00B23921" w:rsidRDefault="005A62F8" w:rsidP="005A62F8">
      <w:pPr>
        <w:spacing w:before="240" w:after="240"/>
        <w:rPr>
          <w:rFonts w:cs="Calibri"/>
        </w:rPr>
      </w:pPr>
      <w:r w:rsidRPr="005A62F8">
        <w:rPr>
          <w:rFonts w:cs="Calibri"/>
        </w:rPr>
        <w:t xml:space="preserve">The Australian Government’s approach to increasing female participation includes a flexible, affordable and accessible child care system; improving workplace diversity and flexibility; workplace support; and protection through our labour laws. </w:t>
      </w:r>
      <w:r>
        <w:rPr>
          <w:rFonts w:cs="Calibri"/>
        </w:rPr>
        <w:t xml:space="preserve">These strategies will contribute to ensuring that Australia achieves the G20 goal of reducing </w:t>
      </w:r>
      <w:r w:rsidRPr="00D32DEE">
        <w:rPr>
          <w:rFonts w:cs="Calibri"/>
        </w:rPr>
        <w:t xml:space="preserve">the gap in participation rates between men and women </w:t>
      </w:r>
      <w:r>
        <w:rPr>
          <w:rFonts w:cs="Calibri"/>
        </w:rPr>
        <w:t xml:space="preserve">by 25 per cent by 2025 which was adopted at the Brisbane Summit in 2014. </w:t>
      </w:r>
      <w:r w:rsidR="00B23921">
        <w:rPr>
          <w:rFonts w:cs="Calibri"/>
        </w:rPr>
        <w:t xml:space="preserve">The </w:t>
      </w:r>
      <w:r>
        <w:rPr>
          <w:rFonts w:cs="Calibri"/>
        </w:rPr>
        <w:t>measures</w:t>
      </w:r>
      <w:r w:rsidR="00B23921">
        <w:rPr>
          <w:rFonts w:cs="Calibri"/>
        </w:rPr>
        <w:t xml:space="preserve"> Australia is </w:t>
      </w:r>
      <w:r>
        <w:rPr>
          <w:rFonts w:cs="Calibri"/>
        </w:rPr>
        <w:t>implementing</w:t>
      </w:r>
      <w:r w:rsidR="00B23921">
        <w:rPr>
          <w:rFonts w:cs="Calibri"/>
        </w:rPr>
        <w:t xml:space="preserve"> to achieve the G20 </w:t>
      </w:r>
      <w:proofErr w:type="gramStart"/>
      <w:r w:rsidR="00B23921">
        <w:rPr>
          <w:rFonts w:cs="Calibri"/>
        </w:rPr>
        <w:t>goal are</w:t>
      </w:r>
      <w:proofErr w:type="gramEnd"/>
      <w:r w:rsidR="00B23921">
        <w:rPr>
          <w:rFonts w:cs="Calibri"/>
        </w:rPr>
        <w:t xml:space="preserve"> described in section 5 of this document.</w:t>
      </w:r>
    </w:p>
    <w:p w:rsidR="000F2E91" w:rsidRPr="000F2E91" w:rsidRDefault="000F2E91" w:rsidP="000F2E91">
      <w:pPr>
        <w:pBdr>
          <w:top w:val="single" w:sz="4" w:space="10" w:color="auto"/>
          <w:left w:val="single" w:sz="4" w:space="10" w:color="auto"/>
          <w:bottom w:val="single" w:sz="4" w:space="10" w:color="auto"/>
          <w:right w:val="single" w:sz="4" w:space="10" w:color="auto"/>
        </w:pBdr>
        <w:shd w:val="clear" w:color="auto" w:fill="F2F2F2" w:themeFill="background1" w:themeFillShade="F2"/>
        <w:spacing w:before="120"/>
        <w:rPr>
          <w:rFonts w:cs="Calibri"/>
          <w:sz w:val="21"/>
          <w:szCs w:val="21"/>
        </w:rPr>
      </w:pPr>
      <w:r w:rsidRPr="000F2E91">
        <w:rPr>
          <w:rFonts w:cs="Calibri"/>
          <w:sz w:val="21"/>
          <w:szCs w:val="21"/>
        </w:rPr>
        <w:t>The Australian Government makes the following policy commitments to improve women’s economic participation:</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Increased support for parents who want to work, or who want to work more, through the Jobs for Families Child Care Package.</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 xml:space="preserve">An investment of $40 billion will be delivered over the next four years to deliver a simpler, more affordable, more flexible and more accessible </w:t>
      </w:r>
      <w:proofErr w:type="gramStart"/>
      <w:r w:rsidRPr="000F2E91">
        <w:rPr>
          <w:sz w:val="21"/>
          <w:szCs w:val="21"/>
        </w:rPr>
        <w:t>child care</w:t>
      </w:r>
      <w:proofErr w:type="gramEnd"/>
      <w:r w:rsidRPr="000F2E91">
        <w:rPr>
          <w:sz w:val="21"/>
          <w:szCs w:val="21"/>
        </w:rPr>
        <w:t xml:space="preserve"> system.</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 xml:space="preserve">Through the NISA, $13 million </w:t>
      </w:r>
      <w:proofErr w:type="gramStart"/>
      <w:r w:rsidRPr="000F2E91">
        <w:rPr>
          <w:sz w:val="21"/>
          <w:szCs w:val="21"/>
        </w:rPr>
        <w:t>has been allocated</w:t>
      </w:r>
      <w:proofErr w:type="gramEnd"/>
      <w:r w:rsidRPr="000F2E91">
        <w:rPr>
          <w:sz w:val="21"/>
          <w:szCs w:val="21"/>
        </w:rPr>
        <w:t xml:space="preserve"> to support increased female participation in STEM and entrepreneurial studies and careers.</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lastRenderedPageBreak/>
        <w:t xml:space="preserve">$28.2 million </w:t>
      </w:r>
      <w:proofErr w:type="gramStart"/>
      <w:r w:rsidRPr="000F2E91">
        <w:rPr>
          <w:sz w:val="21"/>
          <w:szCs w:val="21"/>
        </w:rPr>
        <w:t>will be provided</w:t>
      </w:r>
      <w:proofErr w:type="gramEnd"/>
      <w:r w:rsidRPr="000F2E91">
        <w:rPr>
          <w:sz w:val="21"/>
          <w:szCs w:val="21"/>
        </w:rPr>
        <w:t xml:space="preserve"> for 1,400 new research internships through the Australian Mathematical Science Institute’s PhD internships program, with a particular focus on female researchers.</w:t>
      </w:r>
    </w:p>
    <w:p w:rsidR="004F7890" w:rsidRDefault="00E2237C" w:rsidP="00DB26D7">
      <w:pPr>
        <w:pStyle w:val="Heading3"/>
      </w:pPr>
      <w:bookmarkStart w:id="59" w:name="_Toc452625224"/>
      <w:bookmarkStart w:id="60" w:name="_Toc458449919"/>
      <w:bookmarkStart w:id="61" w:name="_Toc487182916"/>
      <w:r w:rsidRPr="00AE0016">
        <w:t>Youth</w:t>
      </w:r>
      <w:bookmarkEnd w:id="59"/>
      <w:bookmarkEnd w:id="60"/>
      <w:bookmarkEnd w:id="61"/>
    </w:p>
    <w:p w:rsidR="00F23188" w:rsidRDefault="00B23921" w:rsidP="00B23921">
      <w:pPr>
        <w:spacing w:before="240" w:after="240"/>
        <w:rPr>
          <w:rFonts w:cs="Calibri"/>
        </w:rPr>
      </w:pPr>
      <w:r w:rsidRPr="00963BE4">
        <w:t>Of all age groups, young people are the most vulnerable to wider economic and labour market conditions. Accordingly, the most important strategy in addressing youth unemployment is to raise the overall rate of job creation</w:t>
      </w:r>
      <w:r>
        <w:t xml:space="preserve">. </w:t>
      </w:r>
      <w:r w:rsidRPr="00963BE4">
        <w:t xml:space="preserve">Reforms to improve the outcomes of Australia’s education system and encourage participation in education, discussed later in this plan, will </w:t>
      </w:r>
      <w:r>
        <w:t xml:space="preserve">also </w:t>
      </w:r>
      <w:r w:rsidRPr="00963BE4">
        <w:t>contribute to ensuring that young people gain skills which are relevant to employment opportunities.</w:t>
      </w:r>
      <w:r w:rsidR="00F23188">
        <w:t xml:space="preserve"> </w:t>
      </w:r>
      <w:r>
        <w:rPr>
          <w:rFonts w:cs="Calibri"/>
        </w:rPr>
        <w:t xml:space="preserve">These </w:t>
      </w:r>
      <w:r w:rsidR="00316B3C">
        <w:rPr>
          <w:rFonts w:cs="Calibri"/>
        </w:rPr>
        <w:t>strategies</w:t>
      </w:r>
      <w:r>
        <w:rPr>
          <w:rFonts w:cs="Calibri"/>
        </w:rPr>
        <w:t xml:space="preserve"> will contribute to meeting the goal of </w:t>
      </w:r>
      <w:r w:rsidRPr="00D32DEE">
        <w:rPr>
          <w:rFonts w:cs="Calibri"/>
        </w:rPr>
        <w:t>reducing the share of young people who are most at risk of being permanently left behind in the labour market by 15</w:t>
      </w:r>
      <w:r>
        <w:rPr>
          <w:rFonts w:cs="Calibri"/>
        </w:rPr>
        <w:t xml:space="preserve"> per cent</w:t>
      </w:r>
      <w:r w:rsidRPr="00D32DEE">
        <w:rPr>
          <w:rFonts w:cs="Calibri"/>
        </w:rPr>
        <w:t xml:space="preserve"> by 2025</w:t>
      </w:r>
      <w:r>
        <w:rPr>
          <w:rFonts w:cs="Calibri"/>
        </w:rPr>
        <w:t xml:space="preserve">, adopted by G20 Leaders at the 2015 </w:t>
      </w:r>
      <w:r w:rsidRPr="00BE6A23">
        <w:rPr>
          <w:rFonts w:cs="Calibri"/>
        </w:rPr>
        <w:t>Antalya</w:t>
      </w:r>
      <w:r>
        <w:rPr>
          <w:rFonts w:cs="Calibri"/>
        </w:rPr>
        <w:t xml:space="preserve"> Summit. </w:t>
      </w:r>
    </w:p>
    <w:p w:rsidR="00B23921" w:rsidRDefault="00B23921" w:rsidP="00B23921">
      <w:pPr>
        <w:spacing w:before="240" w:after="240"/>
        <w:rPr>
          <w:rFonts w:cs="Calibri"/>
        </w:rPr>
      </w:pPr>
      <w:r>
        <w:rPr>
          <w:rFonts w:cs="Calibri"/>
        </w:rPr>
        <w:t>Australian policies relevant to achieving this</w:t>
      </w:r>
      <w:r w:rsidR="00F23188">
        <w:rPr>
          <w:rFonts w:cs="Calibri"/>
        </w:rPr>
        <w:t xml:space="preserve"> G20</w:t>
      </w:r>
      <w:r>
        <w:rPr>
          <w:rFonts w:cs="Calibri"/>
        </w:rPr>
        <w:t xml:space="preserve"> goal </w:t>
      </w:r>
      <w:proofErr w:type="gramStart"/>
      <w:r>
        <w:rPr>
          <w:rFonts w:cs="Calibri"/>
        </w:rPr>
        <w:t>are described</w:t>
      </w:r>
      <w:proofErr w:type="gramEnd"/>
      <w:r w:rsidR="000F2E91">
        <w:rPr>
          <w:rFonts w:cs="Calibri"/>
        </w:rPr>
        <w:t xml:space="preserve"> in section 5 of this document.</w:t>
      </w:r>
    </w:p>
    <w:p w:rsidR="000F2E91" w:rsidRPr="000F2E91" w:rsidRDefault="000F2E91" w:rsidP="000F2E91">
      <w:pPr>
        <w:pBdr>
          <w:top w:val="single" w:sz="4" w:space="10" w:color="auto"/>
          <w:left w:val="single" w:sz="4" w:space="10" w:color="auto"/>
          <w:bottom w:val="single" w:sz="4" w:space="10" w:color="auto"/>
          <w:right w:val="single" w:sz="4" w:space="10" w:color="auto"/>
        </w:pBdr>
        <w:shd w:val="clear" w:color="auto" w:fill="F2F2F2" w:themeFill="background1" w:themeFillShade="F2"/>
        <w:spacing w:before="120"/>
        <w:rPr>
          <w:rFonts w:cs="Calibri"/>
          <w:sz w:val="21"/>
          <w:szCs w:val="21"/>
        </w:rPr>
      </w:pPr>
      <w:r w:rsidRPr="000F2E91">
        <w:rPr>
          <w:rFonts w:cs="Calibri"/>
          <w:sz w:val="21"/>
          <w:szCs w:val="21"/>
        </w:rPr>
        <w:t>The Australian Government makes the following policy commitments to address youth unemployment.</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 xml:space="preserve">An additional $840 million </w:t>
      </w:r>
      <w:proofErr w:type="gramStart"/>
      <w:r w:rsidRPr="000F2E91">
        <w:rPr>
          <w:sz w:val="21"/>
          <w:szCs w:val="21"/>
        </w:rPr>
        <w:t>will be invested</w:t>
      </w:r>
      <w:proofErr w:type="gramEnd"/>
      <w:r w:rsidRPr="000F2E91">
        <w:rPr>
          <w:sz w:val="21"/>
          <w:szCs w:val="21"/>
        </w:rPr>
        <w:t xml:space="preserve"> over four years through the Youth Employment Package, which includes the new Youth Jobs </w:t>
      </w:r>
      <w:proofErr w:type="spellStart"/>
      <w:r w:rsidRPr="000F2E91">
        <w:rPr>
          <w:sz w:val="21"/>
          <w:szCs w:val="21"/>
        </w:rPr>
        <w:t>PaTH</w:t>
      </w:r>
      <w:proofErr w:type="spellEnd"/>
      <w:r w:rsidRPr="000F2E91">
        <w:rPr>
          <w:sz w:val="21"/>
          <w:szCs w:val="21"/>
        </w:rPr>
        <w:t xml:space="preserve"> program.</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proofErr w:type="gramStart"/>
      <w:r w:rsidRPr="000F2E91">
        <w:rPr>
          <w:sz w:val="21"/>
          <w:szCs w:val="21"/>
        </w:rPr>
        <w:t>Measures to encourage entrepreneurship among young people, including as part of the expansion of the NEIS program.</w:t>
      </w:r>
      <w:proofErr w:type="gramEnd"/>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Employers who take on a young person who has been in jobactive for 6 months will be eligible for the Youth Bonus wage subsidy.</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Measures from the Youth Employment Strategy of the 2015-16 Budget, to prevent vulnerable young people from entering long-term unemployment, will continue to roll out.</w:t>
      </w:r>
    </w:p>
    <w:p w:rsidR="00213472" w:rsidRDefault="00E2237C" w:rsidP="00DB26D7">
      <w:pPr>
        <w:pStyle w:val="Heading3"/>
      </w:pPr>
      <w:bookmarkStart w:id="62" w:name="_Toc452625225"/>
      <w:bookmarkStart w:id="63" w:name="_Toc458449920"/>
      <w:bookmarkStart w:id="64" w:name="_Toc487182917"/>
      <w:r w:rsidRPr="008D542D">
        <w:t>Indigenous people</w:t>
      </w:r>
      <w:bookmarkEnd w:id="62"/>
      <w:bookmarkEnd w:id="63"/>
      <w:bookmarkEnd w:id="64"/>
    </w:p>
    <w:p w:rsidR="00316B3C" w:rsidRDefault="00E4379F" w:rsidP="00E4379F">
      <w:pPr>
        <w:spacing w:before="120" w:after="240"/>
        <w:rPr>
          <w:rFonts w:asciiTheme="minorHAnsi" w:hAnsiTheme="minorHAnsi" w:cstheme="minorHAnsi"/>
        </w:rPr>
      </w:pPr>
      <w:r w:rsidRPr="00A77989">
        <w:rPr>
          <w:rFonts w:asciiTheme="minorHAnsi" w:hAnsiTheme="minorHAnsi" w:cstheme="minorHAnsi"/>
          <w:color w:val="000000"/>
          <w:lang w:val="en-AU"/>
        </w:rPr>
        <w:t xml:space="preserve">Relative to the rest of the Australian population, Indigenous Australians experience low labour force participation and high unemployment rates. </w:t>
      </w:r>
      <w:r w:rsidRPr="00A77989">
        <w:rPr>
          <w:rFonts w:asciiTheme="minorHAnsi" w:hAnsiTheme="minorHAnsi" w:cstheme="minorHAnsi"/>
          <w:color w:val="000000"/>
        </w:rPr>
        <w:t>The Australian Government is i</w:t>
      </w:r>
      <w:r w:rsidRPr="00A77989">
        <w:rPr>
          <w:rFonts w:asciiTheme="minorHAnsi" w:hAnsiTheme="minorHAnsi" w:cstheme="minorHAnsi"/>
        </w:rPr>
        <w:t xml:space="preserve">mplementing measures to help accelerate progress towards achieving parity in employment outcomes between Indigenous and </w:t>
      </w:r>
      <w:r>
        <w:rPr>
          <w:rFonts w:asciiTheme="minorHAnsi" w:hAnsiTheme="minorHAnsi" w:cstheme="minorHAnsi"/>
        </w:rPr>
        <w:br/>
      </w:r>
      <w:r w:rsidRPr="00A77989">
        <w:rPr>
          <w:rFonts w:asciiTheme="minorHAnsi" w:hAnsiTheme="minorHAnsi" w:cstheme="minorHAnsi"/>
        </w:rPr>
        <w:t>non-Indigenous Australians</w:t>
      </w:r>
      <w:r w:rsidR="000F2E91">
        <w:rPr>
          <w:rFonts w:asciiTheme="minorHAnsi" w:hAnsiTheme="minorHAnsi" w:cstheme="minorHAnsi"/>
        </w:rPr>
        <w:t>.</w:t>
      </w:r>
    </w:p>
    <w:p w:rsidR="000F2E91" w:rsidRPr="000F2E91" w:rsidRDefault="000F2E91" w:rsidP="000F2E91">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Recent Australian Government measures to improve Indigenous employment outcomes include:</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 xml:space="preserve">Working with large employers through the Employment Parity </w:t>
      </w:r>
      <w:proofErr w:type="gramStart"/>
      <w:r w:rsidRPr="000F2E91">
        <w:rPr>
          <w:sz w:val="21"/>
          <w:szCs w:val="21"/>
        </w:rPr>
        <w:t>Initiative</w:t>
      </w:r>
      <w:proofErr w:type="gramEnd"/>
      <w:r w:rsidRPr="000F2E91">
        <w:rPr>
          <w:sz w:val="21"/>
          <w:szCs w:val="21"/>
        </w:rPr>
        <w:t xml:space="preserve"> aiming to increase the number of Indigenous Australians employed in the private sector, with a target of 3 per cent of their employees being Indigenous by 2020.</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proofErr w:type="gramStart"/>
      <w:r w:rsidRPr="000F2E91">
        <w:rPr>
          <w:sz w:val="21"/>
          <w:szCs w:val="21"/>
        </w:rPr>
        <w:t>Increasing representation of Indigenous Australians across the Australian Government public sector to 3 per cent by 2018.</w:t>
      </w:r>
      <w:proofErr w:type="gramEnd"/>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Implementing an Indigenous Procurement Policy applying to the Australian Government’s domestic procurement to drive demand for Indigenous businesses and increase Indigenous employment.</w:t>
      </w:r>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proofErr w:type="gramStart"/>
      <w:r w:rsidRPr="000F2E91">
        <w:rPr>
          <w:sz w:val="21"/>
          <w:szCs w:val="21"/>
        </w:rPr>
        <w:lastRenderedPageBreak/>
        <w:t>Establishing an Indigenous Entrepreneurs package comprising targeted support for Indigenous entrepreneurs and small Indigenous businesses.</w:t>
      </w:r>
      <w:proofErr w:type="gramEnd"/>
    </w:p>
    <w:p w:rsidR="000F2E91" w:rsidRPr="000F2E91" w:rsidRDefault="000F2E91" w:rsidP="000F2E91">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0F2E91">
        <w:rPr>
          <w:sz w:val="21"/>
          <w:szCs w:val="21"/>
        </w:rPr>
        <w:t>Environmental management plans that support land and sea management and creating employment for Indigenous Australians in Ranger-related activities.</w:t>
      </w:r>
    </w:p>
    <w:p w:rsidR="00FC4BB9" w:rsidRDefault="00FC4BB9" w:rsidP="00DB26D7">
      <w:pPr>
        <w:pStyle w:val="Heading3"/>
      </w:pPr>
      <w:bookmarkStart w:id="65" w:name="_Toc487182918"/>
      <w:bookmarkStart w:id="66" w:name="_Toc452625226"/>
      <w:bookmarkStart w:id="67" w:name="_Toc458449921"/>
      <w:r>
        <w:t>People with Disability</w:t>
      </w:r>
      <w:bookmarkEnd w:id="65"/>
    </w:p>
    <w:p w:rsidR="00316B3C" w:rsidRPr="00230497" w:rsidRDefault="00316B3C" w:rsidP="00316B3C">
      <w:pPr>
        <w:rPr>
          <w:rFonts w:cs="Calibri"/>
        </w:rPr>
      </w:pPr>
      <w:r>
        <w:t xml:space="preserve">All Australian Governments are committed to the full </w:t>
      </w:r>
      <w:proofErr w:type="gramStart"/>
      <w:r>
        <w:t>roll-out</w:t>
      </w:r>
      <w:proofErr w:type="gramEnd"/>
      <w:r>
        <w:t xml:space="preserve"> of the National Disability Insurance Scheme (NDIS), which is aimed at improving the wellbeing and economic and social participation of people with disability and their carers. This </w:t>
      </w:r>
      <w:r w:rsidRPr="00230497">
        <w:t xml:space="preserve">reform will contribute to improving employment opportunities for people with permanent and significant disability, </w:t>
      </w:r>
      <w:r>
        <w:t xml:space="preserve">as well as </w:t>
      </w:r>
      <w:r w:rsidRPr="00230497">
        <w:t>their families and carers.</w:t>
      </w:r>
      <w:r>
        <w:t xml:space="preserve"> </w:t>
      </w:r>
      <w:r w:rsidRPr="00230497">
        <w:rPr>
          <w:rFonts w:cs="Calibri"/>
        </w:rPr>
        <w:t xml:space="preserve">Initial estimates by the </w:t>
      </w:r>
      <w:r>
        <w:rPr>
          <w:rFonts w:cs="Calibri"/>
        </w:rPr>
        <w:t xml:space="preserve">independent </w:t>
      </w:r>
      <w:r w:rsidRPr="00230497">
        <w:rPr>
          <w:rFonts w:cs="Calibri"/>
        </w:rPr>
        <w:t xml:space="preserve">Productivity Commission </w:t>
      </w:r>
      <w:r>
        <w:rPr>
          <w:rFonts w:cs="Calibri"/>
        </w:rPr>
        <w:t>indicate</w:t>
      </w:r>
      <w:r w:rsidRPr="00230497">
        <w:rPr>
          <w:rFonts w:cs="Calibri"/>
        </w:rPr>
        <w:t xml:space="preserve"> that access to the NDIS </w:t>
      </w:r>
      <w:r>
        <w:rPr>
          <w:rFonts w:cs="Calibri"/>
        </w:rPr>
        <w:t xml:space="preserve">will </w:t>
      </w:r>
      <w:r w:rsidRPr="00230497">
        <w:rPr>
          <w:rFonts w:cs="Calibri"/>
        </w:rPr>
        <w:t>improve the employment prospects for about 30 per cent of NDIS participants who are currently not working, and could assist a significant number of carers to increase their participation in the workforce. </w:t>
      </w:r>
      <w:r w:rsidRPr="00205C87">
        <w:rPr>
          <w:rFonts w:cs="Calibri"/>
        </w:rPr>
        <w:t>In addition, the Scheme will help eligible people with disability who are employed to work additional hours.</w:t>
      </w:r>
    </w:p>
    <w:p w:rsidR="00E2237C" w:rsidRDefault="00E2237C" w:rsidP="00E14609">
      <w:pPr>
        <w:pStyle w:val="Heading3"/>
      </w:pPr>
      <w:bookmarkStart w:id="68" w:name="_Toc487182919"/>
      <w:r w:rsidRPr="008D542D">
        <w:t>Regional areas</w:t>
      </w:r>
      <w:bookmarkEnd w:id="66"/>
      <w:bookmarkEnd w:id="67"/>
      <w:bookmarkEnd w:id="68"/>
    </w:p>
    <w:p w:rsidR="004D6AD6" w:rsidRDefault="007E7A4A" w:rsidP="004D6AD6">
      <w:pPr>
        <w:spacing w:after="240"/>
        <w:rPr>
          <w:rFonts w:cs="Calibri"/>
        </w:rPr>
      </w:pPr>
      <w:r>
        <w:rPr>
          <w:rFonts w:cs="Calibri"/>
        </w:rPr>
        <w:t xml:space="preserve">Unemployment rates </w:t>
      </w:r>
      <w:r w:rsidR="00230387">
        <w:rPr>
          <w:rFonts w:cs="Calibri"/>
        </w:rPr>
        <w:t>across</w:t>
      </w:r>
      <w:r>
        <w:rPr>
          <w:rFonts w:cs="Calibri"/>
        </w:rPr>
        <w:t xml:space="preserve"> Australia vary widely</w:t>
      </w:r>
      <w:r w:rsidR="00230387">
        <w:rPr>
          <w:rFonts w:cs="Calibri"/>
        </w:rPr>
        <w:t>,</w:t>
      </w:r>
      <w:r>
        <w:rPr>
          <w:rFonts w:cs="Calibri"/>
        </w:rPr>
        <w:t xml:space="preserve"> and tend to increase outside of capital cities. </w:t>
      </w:r>
      <w:r w:rsidR="00A84202">
        <w:rPr>
          <w:rFonts w:cs="Calibri"/>
        </w:rPr>
        <w:t xml:space="preserve">Engagement </w:t>
      </w:r>
      <w:r w:rsidR="00AF4E77">
        <w:rPr>
          <w:rFonts w:cs="Calibri"/>
        </w:rPr>
        <w:t>in</w:t>
      </w:r>
      <w:r w:rsidR="00A84202">
        <w:rPr>
          <w:rFonts w:cs="Calibri"/>
        </w:rPr>
        <w:t xml:space="preserve"> work or study by </w:t>
      </w:r>
      <w:r w:rsidR="00AF4E77">
        <w:rPr>
          <w:rFonts w:cs="Calibri"/>
        </w:rPr>
        <w:t xml:space="preserve">disadvantaged </w:t>
      </w:r>
      <w:r w:rsidR="00A84202">
        <w:rPr>
          <w:rFonts w:cs="Calibri"/>
        </w:rPr>
        <w:t>cohorts, particul</w:t>
      </w:r>
      <w:r w:rsidR="00AF4E77">
        <w:rPr>
          <w:rFonts w:cs="Calibri"/>
        </w:rPr>
        <w:t>arly young people, women and Indigenous Australians,</w:t>
      </w:r>
      <w:r w:rsidR="00A84202">
        <w:rPr>
          <w:rFonts w:cs="Calibri"/>
        </w:rPr>
        <w:t xml:space="preserve"> </w:t>
      </w:r>
      <w:r w:rsidR="00230387">
        <w:rPr>
          <w:rFonts w:cs="Calibri"/>
        </w:rPr>
        <w:t xml:space="preserve">also </w:t>
      </w:r>
      <w:r>
        <w:rPr>
          <w:rFonts w:cs="Calibri"/>
        </w:rPr>
        <w:t>tend</w:t>
      </w:r>
      <w:r w:rsidR="00AF4E77">
        <w:rPr>
          <w:rFonts w:cs="Calibri"/>
        </w:rPr>
        <w:t>s</w:t>
      </w:r>
      <w:r w:rsidR="00E2237C" w:rsidRPr="00802C6E">
        <w:rPr>
          <w:rFonts w:cs="Calibri"/>
        </w:rPr>
        <w:t xml:space="preserve"> to decline </w:t>
      </w:r>
      <w:r>
        <w:rPr>
          <w:rFonts w:cs="Calibri"/>
        </w:rPr>
        <w:t>in regional or remote areas</w:t>
      </w:r>
      <w:r w:rsidR="004F2790">
        <w:rPr>
          <w:rFonts w:cs="Calibri"/>
        </w:rPr>
        <w:t>.</w:t>
      </w:r>
    </w:p>
    <w:p w:rsidR="004F2790" w:rsidRPr="004F2790" w:rsidRDefault="004F2790" w:rsidP="00A263D8">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4F2790">
        <w:rPr>
          <w:sz w:val="21"/>
          <w:szCs w:val="21"/>
        </w:rPr>
        <w:t>The Australian Government is seeking to improve employment opportunities in disadvantaged regions of Australia t</w:t>
      </w:r>
      <w:r w:rsidR="00A263D8">
        <w:rPr>
          <w:sz w:val="21"/>
          <w:szCs w:val="21"/>
        </w:rPr>
        <w:t xml:space="preserve">hrough </w:t>
      </w:r>
      <w:proofErr w:type="gramStart"/>
      <w:r w:rsidR="00A263D8">
        <w:rPr>
          <w:sz w:val="21"/>
          <w:szCs w:val="21"/>
        </w:rPr>
        <w:t>measures which</w:t>
      </w:r>
      <w:proofErr w:type="gramEnd"/>
      <w:r w:rsidR="00A263D8">
        <w:rPr>
          <w:sz w:val="21"/>
          <w:szCs w:val="21"/>
        </w:rPr>
        <w:t xml:space="preserve"> include:</w:t>
      </w:r>
    </w:p>
    <w:p w:rsidR="004F2790" w:rsidRPr="004F2790" w:rsidRDefault="004F2790" w:rsidP="004F2790">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proofErr w:type="gramStart"/>
      <w:r w:rsidRPr="004F2790">
        <w:rPr>
          <w:sz w:val="21"/>
          <w:szCs w:val="21"/>
        </w:rPr>
        <w:t>The establishment of a $200 million Regional Jobs and Investment Package to deliver regional jobs and growth.</w:t>
      </w:r>
      <w:proofErr w:type="gramEnd"/>
      <w:r w:rsidRPr="004F2790">
        <w:rPr>
          <w:sz w:val="21"/>
          <w:szCs w:val="21"/>
        </w:rPr>
        <w:t xml:space="preserve"> Each jobs package will provide businesses innovation grants on a competitive basis to help businesses invest in new technology, diversify operations, create opportunities and invest in new </w:t>
      </w:r>
      <w:proofErr w:type="gramStart"/>
      <w:r w:rsidRPr="004F2790">
        <w:rPr>
          <w:sz w:val="21"/>
          <w:szCs w:val="21"/>
        </w:rPr>
        <w:t>infrastructure which</w:t>
      </w:r>
      <w:proofErr w:type="gramEnd"/>
      <w:r w:rsidRPr="004F2790">
        <w:rPr>
          <w:sz w:val="21"/>
          <w:szCs w:val="21"/>
        </w:rPr>
        <w:t xml:space="preserve"> will help businesses deliver sustainable jobs.</w:t>
      </w:r>
    </w:p>
    <w:p w:rsidR="004F2790" w:rsidRPr="004F2790" w:rsidRDefault="004F2790" w:rsidP="004F2790">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4F2790">
        <w:rPr>
          <w:sz w:val="21"/>
          <w:szCs w:val="21"/>
        </w:rPr>
        <w:t xml:space="preserve">The implementation of a range of measures to support the economic development of northern Australia over the next 20 years, including the $5 billion Northern Australia Infrastructure Facility and measures to support skills development and expand the labour force in this region; and </w:t>
      </w:r>
    </w:p>
    <w:p w:rsidR="004F2790" w:rsidRPr="004F2790" w:rsidRDefault="004F2790" w:rsidP="004F2790">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4F2790">
        <w:rPr>
          <w:sz w:val="21"/>
          <w:szCs w:val="21"/>
        </w:rPr>
        <w:t>Strengthening the mutual obligations framework in remote Australian areas and improving incentives to work.</w:t>
      </w:r>
    </w:p>
    <w:p w:rsidR="00E2237C" w:rsidRDefault="006C17BF" w:rsidP="00DB26D7">
      <w:pPr>
        <w:pStyle w:val="Heading3"/>
      </w:pPr>
      <w:bookmarkStart w:id="69" w:name="_Toc487182920"/>
      <w:r w:rsidRPr="006C17BF">
        <w:t xml:space="preserve">Workers in industries facing </w:t>
      </w:r>
      <w:r>
        <w:t xml:space="preserve">major </w:t>
      </w:r>
      <w:r w:rsidRPr="006C17BF">
        <w:t>structural change</w:t>
      </w:r>
      <w:bookmarkEnd w:id="69"/>
    </w:p>
    <w:p w:rsidR="00202E71" w:rsidRDefault="00101C53" w:rsidP="008D542D">
      <w:pPr>
        <w:keepNext/>
        <w:spacing w:after="240"/>
      </w:pPr>
      <w:r w:rsidRPr="00920AFE">
        <w:t>Australia’s economy</w:t>
      </w:r>
      <w:r>
        <w:t xml:space="preserve"> </w:t>
      </w:r>
      <w:r w:rsidRPr="00920AFE">
        <w:t>has undergone significant structural change over recent decades. Structural change impacts jobs, industry capability, and supply chains. It creates challenges as some industries contract</w:t>
      </w:r>
      <w:r>
        <w:t>,</w:t>
      </w:r>
      <w:r w:rsidRPr="00920AFE">
        <w:t xml:space="preserve"> but also creates opportunities as others expand. The successful reallocation of resources in the economy allows businesses to access the workers and investment they need. Although a positive force for the economy as a whole, structural adjustment can be costly for individuals and communities that rely on the industries in decline</w:t>
      </w:r>
      <w:r>
        <w:t>.</w:t>
      </w:r>
      <w:r w:rsidR="00202E71">
        <w:br w:type="page"/>
      </w:r>
    </w:p>
    <w:p w:rsidR="003018CD" w:rsidRDefault="003018CD" w:rsidP="008D542D">
      <w:pPr>
        <w:keepNext/>
        <w:spacing w:after="240"/>
      </w:pPr>
    </w:p>
    <w:p w:rsidR="00A263D8" w:rsidRPr="00A263D8" w:rsidRDefault="00A263D8" w:rsidP="00A263D8">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Australian Government support for workers in industries facing structural decline includes:</w:t>
      </w:r>
    </w:p>
    <w:p w:rsidR="00A263D8" w:rsidRPr="00A263D8" w:rsidRDefault="00A263D8" w:rsidP="00A263D8">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 xml:space="preserve">The $155 million Growth Funds </w:t>
      </w:r>
      <w:proofErr w:type="gramStart"/>
      <w:r w:rsidRPr="00A263D8">
        <w:rPr>
          <w:sz w:val="21"/>
          <w:szCs w:val="21"/>
        </w:rPr>
        <w:t>initiative which includes measures</w:t>
      </w:r>
      <w:proofErr w:type="gramEnd"/>
      <w:r w:rsidRPr="00A263D8">
        <w:rPr>
          <w:sz w:val="21"/>
          <w:szCs w:val="21"/>
        </w:rPr>
        <w:t xml:space="preserve"> to assist retrenched automotive workers to reskill and transition to new jobs. </w:t>
      </w:r>
    </w:p>
    <w:p w:rsidR="00A263D8" w:rsidRPr="00A263D8" w:rsidRDefault="00A263D8" w:rsidP="00A263D8">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Targeted employment support to retrenched workers through structural adjustment packages for the automotive, steel, manufacturing and other industries.</w:t>
      </w:r>
    </w:p>
    <w:p w:rsidR="00A263D8" w:rsidRPr="00A263D8" w:rsidRDefault="00A263D8" w:rsidP="00A263D8">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The Government also runs an employer engagement strategy to target industries and regions with strong employment prospects and enduring career opportunities for job seekers</w:t>
      </w:r>
    </w:p>
    <w:p w:rsidR="00E4379F" w:rsidRPr="00A263D8" w:rsidRDefault="00E4379F" w:rsidP="00A263D8">
      <w:bookmarkStart w:id="70" w:name="_Toc452625228"/>
      <w:bookmarkStart w:id="71" w:name="_Toc458449923"/>
      <w:r>
        <w:br w:type="page"/>
      </w:r>
    </w:p>
    <w:p w:rsidR="00E2237C" w:rsidRDefault="00E2237C" w:rsidP="0020240F">
      <w:pPr>
        <w:pStyle w:val="Heading2"/>
        <w:spacing w:before="0" w:after="120"/>
      </w:pPr>
      <w:bookmarkStart w:id="72" w:name="_Toc486599751"/>
      <w:bookmarkStart w:id="73" w:name="_Toc487182921"/>
      <w:r w:rsidRPr="008D542D">
        <w:lastRenderedPageBreak/>
        <w:t>Skills development</w:t>
      </w:r>
      <w:bookmarkEnd w:id="70"/>
      <w:bookmarkEnd w:id="71"/>
      <w:bookmarkEnd w:id="72"/>
      <w:bookmarkEnd w:id="73"/>
    </w:p>
    <w:p w:rsidR="00A263D8" w:rsidRPr="00A263D8" w:rsidRDefault="00A263D8" w:rsidP="00A263D8">
      <w:pPr>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The Australian Government makes the following policy commitments to improve skills development:</w:t>
      </w:r>
    </w:p>
    <w:p w:rsidR="00A263D8" w:rsidRPr="00A263D8" w:rsidRDefault="00A263D8" w:rsidP="00A263D8">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Continue to improve the outcomes of all levels of education, including through reforms to ensure that education and training is more relevant to employment opportunities</w:t>
      </w:r>
    </w:p>
    <w:p w:rsidR="00DB26D7" w:rsidRPr="00A263D8" w:rsidRDefault="00A263D8" w:rsidP="00A263D8">
      <w:pPr>
        <w:pStyle w:val="ListParagraph"/>
        <w:pBdr>
          <w:top w:val="single" w:sz="4" w:space="10" w:color="auto"/>
          <w:left w:val="single" w:sz="4" w:space="10" w:color="auto"/>
          <w:bottom w:val="single" w:sz="4" w:space="10" w:color="auto"/>
          <w:right w:val="single" w:sz="4" w:space="10" w:color="auto"/>
        </w:pBdr>
        <w:shd w:val="clear" w:color="auto" w:fill="F2F2F2" w:themeFill="background1" w:themeFillShade="F2"/>
        <w:rPr>
          <w:sz w:val="21"/>
          <w:szCs w:val="21"/>
        </w:rPr>
      </w:pPr>
      <w:r w:rsidRPr="00A263D8">
        <w:rPr>
          <w:sz w:val="21"/>
          <w:szCs w:val="21"/>
        </w:rPr>
        <w:t>Invest $112 million under the NISA to inspire Australians of all ages to engage with STEM in society and participate in further study.</w:t>
      </w:r>
    </w:p>
    <w:p w:rsidR="00E2237C" w:rsidRDefault="00E2237C" w:rsidP="00DB26D7">
      <w:pPr>
        <w:pStyle w:val="Heading3"/>
      </w:pPr>
      <w:bookmarkStart w:id="74" w:name="_Toc452625229"/>
      <w:bookmarkStart w:id="75" w:name="_Toc458449924"/>
      <w:bookmarkStart w:id="76" w:name="_Toc487182922"/>
      <w:r w:rsidRPr="001D2A3A">
        <w:t>School education</w:t>
      </w:r>
      <w:bookmarkEnd w:id="74"/>
      <w:bookmarkEnd w:id="75"/>
      <w:bookmarkEnd w:id="76"/>
    </w:p>
    <w:p w:rsidR="00CD5B55" w:rsidRPr="00CD5B55" w:rsidRDefault="00CD5B55" w:rsidP="00CD5B55">
      <w:pPr>
        <w:rPr>
          <w:lang w:val="en-AU"/>
        </w:rPr>
      </w:pPr>
      <w:r w:rsidRPr="00CD5B55">
        <w:t xml:space="preserve">In May 2016, the Government announced its </w:t>
      </w:r>
      <w:r w:rsidRPr="00CD5B55">
        <w:rPr>
          <w:i/>
          <w:iCs/>
        </w:rPr>
        <w:t>Quality Schools, Quality Outcomes</w:t>
      </w:r>
      <w:r w:rsidRPr="00CD5B55">
        <w:t xml:space="preserve"> plan </w:t>
      </w:r>
      <w:proofErr w:type="gramStart"/>
      <w:r w:rsidR="00C3552B">
        <w:t>which</w:t>
      </w:r>
      <w:proofErr w:type="gramEnd"/>
      <w:r w:rsidR="00C3552B">
        <w:t xml:space="preserve"> includes a </w:t>
      </w:r>
      <w:r w:rsidRPr="00CD5B55">
        <w:t>focus on:</w:t>
      </w:r>
    </w:p>
    <w:p w:rsidR="00CD5B55" w:rsidRPr="00CD5B55" w:rsidRDefault="00BC7B12" w:rsidP="0020240F">
      <w:pPr>
        <w:pStyle w:val="ListParagraph"/>
        <w:numPr>
          <w:ilvl w:val="0"/>
          <w:numId w:val="17"/>
        </w:numPr>
        <w:spacing w:after="0"/>
      </w:pPr>
      <w:r>
        <w:t>E</w:t>
      </w:r>
      <w:r w:rsidR="00CD5B55" w:rsidRPr="00CD5B55">
        <w:t xml:space="preserve">nsuring future funding </w:t>
      </w:r>
      <w:r w:rsidR="00BF426F">
        <w:t xml:space="preserve">investments are targeted to measures </w:t>
      </w:r>
      <w:r w:rsidR="00CD5B55" w:rsidRPr="00CD5B55">
        <w:t>that evidence shows make the most difference for students;</w:t>
      </w:r>
    </w:p>
    <w:p w:rsidR="00CD5B55" w:rsidRPr="00CD5B55" w:rsidRDefault="001D5801" w:rsidP="0020240F">
      <w:pPr>
        <w:pStyle w:val="ListParagraph"/>
        <w:numPr>
          <w:ilvl w:val="0"/>
          <w:numId w:val="18"/>
        </w:numPr>
        <w:spacing w:after="0"/>
      </w:pPr>
      <w:r>
        <w:t>E</w:t>
      </w:r>
      <w:r w:rsidR="00CD5B55" w:rsidRPr="00CD5B55">
        <w:t>nsuring that students are able to access the support they need to succeed;</w:t>
      </w:r>
    </w:p>
    <w:p w:rsidR="00CD5B55" w:rsidRPr="00CD5B55" w:rsidRDefault="001D5801" w:rsidP="0020240F">
      <w:pPr>
        <w:pStyle w:val="ListParagraph"/>
        <w:numPr>
          <w:ilvl w:val="0"/>
          <w:numId w:val="18"/>
        </w:numPr>
        <w:spacing w:after="0"/>
      </w:pPr>
      <w:r>
        <w:t>E</w:t>
      </w:r>
      <w:r w:rsidR="00CD5B55" w:rsidRPr="00CD5B55">
        <w:t>nsuring that young people are leaving school with the skills they need to succeed in the workplace,</w:t>
      </w:r>
      <w:r w:rsidR="00CD5B55" w:rsidRPr="00CD5B55">
        <w:rPr>
          <w:b/>
          <w:bCs/>
        </w:rPr>
        <w:t xml:space="preserve"> </w:t>
      </w:r>
      <w:r w:rsidR="00CD5B55" w:rsidRPr="00CD5B55">
        <w:t xml:space="preserve">further education and as active and involved citizens; and </w:t>
      </w:r>
    </w:p>
    <w:p w:rsidR="00CD5B55" w:rsidRDefault="00BC7B12" w:rsidP="0020240F">
      <w:pPr>
        <w:pStyle w:val="ListParagraph"/>
        <w:numPr>
          <w:ilvl w:val="0"/>
          <w:numId w:val="18"/>
        </w:numPr>
        <w:spacing w:after="0"/>
      </w:pPr>
      <w:r>
        <w:t>I</w:t>
      </w:r>
      <w:r w:rsidRPr="00CD5B55">
        <w:t xml:space="preserve">ncreasing </w:t>
      </w:r>
      <w:r w:rsidR="00CD5B55" w:rsidRPr="00CD5B55">
        <w:t xml:space="preserve">accountability </w:t>
      </w:r>
      <w:r w:rsidR="00FE5106">
        <w:t xml:space="preserve">by </w:t>
      </w:r>
      <w:r w:rsidR="00CD5B55" w:rsidRPr="00CD5B55">
        <w:t xml:space="preserve">ensuring that </w:t>
      </w:r>
      <w:r w:rsidR="00BF426F">
        <w:t>stakeholders</w:t>
      </w:r>
      <w:r w:rsidR="00CD5B55" w:rsidRPr="00CD5B55">
        <w:t xml:space="preserve"> are able to access information about how students and schools are performing, what funding is being spent on and information about what works to improve outcomes.</w:t>
      </w:r>
    </w:p>
    <w:p w:rsidR="00E2237C" w:rsidRPr="001D2A3A" w:rsidRDefault="00E2237C" w:rsidP="00DB26D7">
      <w:pPr>
        <w:pStyle w:val="Heading3"/>
      </w:pPr>
      <w:bookmarkStart w:id="77" w:name="_Toc452625230"/>
      <w:bookmarkStart w:id="78" w:name="_Toc458449925"/>
      <w:bookmarkStart w:id="79" w:name="_Toc487182923"/>
      <w:r w:rsidRPr="001D2A3A">
        <w:t>Apprenticeships, vocational training and higher education</w:t>
      </w:r>
      <w:bookmarkEnd w:id="77"/>
      <w:bookmarkEnd w:id="78"/>
      <w:bookmarkEnd w:id="79"/>
    </w:p>
    <w:p w:rsidR="00E2237C" w:rsidRPr="0002464A" w:rsidRDefault="008877D2" w:rsidP="008877D2">
      <w:pPr>
        <w:pStyle w:val="Heading4"/>
      </w:pPr>
      <w:bookmarkStart w:id="80" w:name="_Toc452625231"/>
      <w:bookmarkStart w:id="81" w:name="_Toc458449926"/>
      <w:r>
        <w:t>A</w:t>
      </w:r>
      <w:r w:rsidR="004D4976">
        <w:t>pprenticeships and v</w:t>
      </w:r>
      <w:r w:rsidR="004D4976" w:rsidRPr="0002464A">
        <w:t>ocational education and training</w:t>
      </w:r>
      <w:bookmarkEnd w:id="80"/>
      <w:bookmarkEnd w:id="81"/>
    </w:p>
    <w:p w:rsidR="00FE5106" w:rsidRDefault="00E2237C" w:rsidP="00FE5106">
      <w:pPr>
        <w:spacing w:after="240"/>
        <w:rPr>
          <w:rFonts w:cs="Calibri"/>
          <w:b/>
        </w:rPr>
      </w:pPr>
      <w:r w:rsidRPr="00E2237C">
        <w:rPr>
          <w:rFonts w:cs="Calibri"/>
        </w:rPr>
        <w:t xml:space="preserve">As well as providing funding to state and territory governments to support apprenticeship training, the Australian Government also funds a range of incentives and personal benefits for employers and apprentices. </w:t>
      </w:r>
      <w:r w:rsidR="00DF5E24">
        <w:rPr>
          <w:rFonts w:cs="Calibri"/>
        </w:rPr>
        <w:t>In line with G20 agreements to improve the availability of quality apprenticeships, t</w:t>
      </w:r>
      <w:r w:rsidR="00FE5106">
        <w:rPr>
          <w:rFonts w:cs="Calibri"/>
        </w:rPr>
        <w:t xml:space="preserve">he Australian Government </w:t>
      </w:r>
      <w:r w:rsidR="006B353D">
        <w:rPr>
          <w:rFonts w:cs="Calibri"/>
        </w:rPr>
        <w:t>is continuing</w:t>
      </w:r>
      <w:r w:rsidR="00FE5106">
        <w:rPr>
          <w:rFonts w:cs="Calibri"/>
        </w:rPr>
        <w:t xml:space="preserve"> to work with stakeholders to ensure the apprenticeships system delivers the skilled labour required in businesses and across the economy.</w:t>
      </w:r>
    </w:p>
    <w:p w:rsidR="00694F11" w:rsidRDefault="00E4379F" w:rsidP="00694F11">
      <w:pPr>
        <w:spacing w:after="240"/>
        <w:rPr>
          <w:rFonts w:cs="Calibri"/>
        </w:rPr>
      </w:pPr>
      <w:r w:rsidRPr="00A77989">
        <w:rPr>
          <w:rFonts w:asciiTheme="minorHAnsi" w:hAnsiTheme="minorHAnsi" w:cstheme="minorHAnsi"/>
          <w:color w:val="000000"/>
          <w:lang w:val="en-AU"/>
        </w:rPr>
        <w:t xml:space="preserve">Australia’s vocational education and training (VET) system operates nationally </w:t>
      </w:r>
      <w:proofErr w:type="gramStart"/>
      <w:r w:rsidRPr="00A77989">
        <w:rPr>
          <w:rFonts w:asciiTheme="minorHAnsi" w:hAnsiTheme="minorHAnsi" w:cstheme="minorHAnsi"/>
          <w:color w:val="000000"/>
          <w:lang w:val="en-AU"/>
        </w:rPr>
        <w:t xml:space="preserve">by agreement between the </w:t>
      </w:r>
      <w:r>
        <w:rPr>
          <w:rFonts w:asciiTheme="minorHAnsi" w:hAnsiTheme="minorHAnsi" w:cstheme="minorHAnsi"/>
          <w:color w:val="000000"/>
          <w:lang w:val="en-AU"/>
        </w:rPr>
        <w:t>federal</w:t>
      </w:r>
      <w:r w:rsidRPr="00A77989">
        <w:rPr>
          <w:rFonts w:asciiTheme="minorHAnsi" w:hAnsiTheme="minorHAnsi" w:cstheme="minorHAnsi"/>
          <w:color w:val="000000"/>
          <w:lang w:val="en-AU"/>
        </w:rPr>
        <w:t>, state and territory governments with input from industry</w:t>
      </w:r>
      <w:proofErr w:type="gramEnd"/>
      <w:r w:rsidRPr="00A77989">
        <w:rPr>
          <w:rFonts w:asciiTheme="minorHAnsi" w:hAnsiTheme="minorHAnsi" w:cstheme="minorHAnsi"/>
          <w:color w:val="000000"/>
          <w:lang w:val="en-AU"/>
        </w:rPr>
        <w:t>.</w:t>
      </w:r>
      <w:r>
        <w:rPr>
          <w:rFonts w:asciiTheme="minorHAnsi" w:hAnsiTheme="minorHAnsi" w:cstheme="minorHAnsi"/>
          <w:color w:val="000000"/>
          <w:lang w:val="en-AU"/>
        </w:rPr>
        <w:t xml:space="preserve"> </w:t>
      </w:r>
      <w:r w:rsidR="00694F11">
        <w:rPr>
          <w:rFonts w:cs="Calibri"/>
        </w:rPr>
        <w:t xml:space="preserve">To support access and participation in </w:t>
      </w:r>
      <w:r w:rsidR="00EC41B4">
        <w:rPr>
          <w:rFonts w:cs="Calibri"/>
        </w:rPr>
        <w:t>VET</w:t>
      </w:r>
      <w:r w:rsidR="00DA4BF0">
        <w:rPr>
          <w:rFonts w:cs="Calibri"/>
        </w:rPr>
        <w:t>,</w:t>
      </w:r>
      <w:r w:rsidR="00694F11">
        <w:rPr>
          <w:rFonts w:cs="Calibri"/>
        </w:rPr>
        <w:t xml:space="preserve"> the Australian Government provides subsidised loans to students undertaking higher level </w:t>
      </w:r>
      <w:r w:rsidR="0086204D">
        <w:rPr>
          <w:rFonts w:cs="Calibri"/>
        </w:rPr>
        <w:t>VET</w:t>
      </w:r>
      <w:r w:rsidR="00694F11">
        <w:rPr>
          <w:rFonts w:cs="Calibri"/>
        </w:rPr>
        <w:t xml:space="preserve"> qualifications. Students are only required to repay the loan once their annual income exceeds a specified threshold. </w:t>
      </w:r>
      <w:r w:rsidR="004D4976" w:rsidRPr="00E2237C">
        <w:rPr>
          <w:rFonts w:cs="Calibri"/>
        </w:rPr>
        <w:t xml:space="preserve">The </w:t>
      </w:r>
      <w:r w:rsidR="004D4976">
        <w:rPr>
          <w:rFonts w:cs="Calibri"/>
        </w:rPr>
        <w:t xml:space="preserve">Australian </w:t>
      </w:r>
      <w:r w:rsidR="004D4976" w:rsidRPr="00E2237C">
        <w:rPr>
          <w:rFonts w:cs="Calibri"/>
        </w:rPr>
        <w:t xml:space="preserve">Government’s VET policy agenda </w:t>
      </w:r>
      <w:r w:rsidR="004D4976">
        <w:rPr>
          <w:rFonts w:cs="Calibri"/>
        </w:rPr>
        <w:t>also i</w:t>
      </w:r>
      <w:r w:rsidR="004D4976" w:rsidRPr="00E2237C">
        <w:rPr>
          <w:rFonts w:cs="Calibri"/>
        </w:rPr>
        <w:t>ncludes implementing new arrangements for developing and maintaining nationally-recognised and quality-assured competen</w:t>
      </w:r>
      <w:r w:rsidR="004D4976">
        <w:rPr>
          <w:rFonts w:cs="Calibri"/>
        </w:rPr>
        <w:t>cy standards and qualifications</w:t>
      </w:r>
      <w:r w:rsidR="004D4976" w:rsidRPr="00E2237C">
        <w:rPr>
          <w:rFonts w:cs="Calibri"/>
        </w:rPr>
        <w:t xml:space="preserve"> to ensure they are driven by the needs of modern Australian workplaces.</w:t>
      </w:r>
    </w:p>
    <w:p w:rsidR="00E2237C" w:rsidRPr="0002464A" w:rsidRDefault="00E2237C" w:rsidP="008877D2">
      <w:pPr>
        <w:pStyle w:val="Heading4"/>
      </w:pPr>
      <w:bookmarkStart w:id="82" w:name="_Toc452625233"/>
      <w:bookmarkStart w:id="83" w:name="_Toc458449930"/>
      <w:r w:rsidRPr="0002464A">
        <w:t>Higher education</w:t>
      </w:r>
      <w:bookmarkEnd w:id="82"/>
      <w:bookmarkEnd w:id="83"/>
    </w:p>
    <w:p w:rsidR="009A0015" w:rsidRDefault="009A0015" w:rsidP="009A0015">
      <w:pPr>
        <w:spacing w:after="240"/>
        <w:rPr>
          <w:rFonts w:cs="Calibri"/>
        </w:rPr>
      </w:pPr>
      <w:r w:rsidRPr="001940C9">
        <w:rPr>
          <w:rFonts w:cs="Calibri"/>
        </w:rPr>
        <w:t xml:space="preserve">As well as </w:t>
      </w:r>
      <w:proofErr w:type="spellStart"/>
      <w:r w:rsidR="00171737">
        <w:rPr>
          <w:rFonts w:cs="Calibri"/>
        </w:rPr>
        <w:t>subsidising</w:t>
      </w:r>
      <w:proofErr w:type="spellEnd"/>
      <w:r w:rsidR="00171737">
        <w:rPr>
          <w:rFonts w:cs="Calibri"/>
        </w:rPr>
        <w:t xml:space="preserve"> the cost of higher education</w:t>
      </w:r>
      <w:r w:rsidR="0058552E">
        <w:rPr>
          <w:rFonts w:cs="Calibri"/>
        </w:rPr>
        <w:t xml:space="preserve"> to students</w:t>
      </w:r>
      <w:r w:rsidR="00171737">
        <w:rPr>
          <w:rFonts w:cs="Calibri"/>
        </w:rPr>
        <w:t xml:space="preserve">, the Australian Government provides </w:t>
      </w:r>
      <w:r w:rsidR="00EC41B4">
        <w:rPr>
          <w:rFonts w:cs="Calibri"/>
        </w:rPr>
        <w:t xml:space="preserve">the </w:t>
      </w:r>
      <w:r w:rsidRPr="001940C9">
        <w:rPr>
          <w:rFonts w:cs="Calibri"/>
        </w:rPr>
        <w:t>Higher Education Loan Program</w:t>
      </w:r>
      <w:r w:rsidR="00EC41B4">
        <w:rPr>
          <w:rFonts w:cs="Calibri"/>
        </w:rPr>
        <w:t xml:space="preserve"> </w:t>
      </w:r>
      <w:r w:rsidRPr="001940C9">
        <w:rPr>
          <w:rFonts w:cs="Calibri"/>
        </w:rPr>
        <w:t>to all</w:t>
      </w:r>
      <w:r w:rsidR="00A45EAE">
        <w:rPr>
          <w:rFonts w:cs="Calibri"/>
        </w:rPr>
        <w:t xml:space="preserve"> domestic</w:t>
      </w:r>
      <w:r w:rsidRPr="001940C9">
        <w:rPr>
          <w:rFonts w:cs="Calibri"/>
        </w:rPr>
        <w:t xml:space="preserve"> university students, and to students at the majority of non</w:t>
      </w:r>
      <w:r w:rsidRPr="001940C9">
        <w:rPr>
          <w:rFonts w:cs="Calibri"/>
        </w:rPr>
        <w:noBreakHyphen/>
        <w:t>university higher education providers</w:t>
      </w:r>
      <w:r w:rsidR="00171737">
        <w:rPr>
          <w:rFonts w:cs="Calibri"/>
        </w:rPr>
        <w:t>, to assist them to manage the costs of student contributions</w:t>
      </w:r>
      <w:r w:rsidR="004D4976">
        <w:rPr>
          <w:rFonts w:cs="Calibri"/>
        </w:rPr>
        <w:t xml:space="preserve">. </w:t>
      </w:r>
      <w:r w:rsidRPr="001940C9">
        <w:rPr>
          <w:rFonts w:cs="Calibri"/>
        </w:rPr>
        <w:t>In addition, a Government program targeting disadvantaged students – the Higher Education Participation and Partnerships Program – funds a variety of equity interventions.</w:t>
      </w:r>
    </w:p>
    <w:p w:rsidR="008B0A24" w:rsidRPr="005801C7" w:rsidRDefault="008B0A24" w:rsidP="0020240F">
      <w:pPr>
        <w:pStyle w:val="Heading1"/>
        <w:spacing w:after="120"/>
      </w:pPr>
      <w:r>
        <w:rPr>
          <w:sz w:val="22"/>
        </w:rPr>
        <w:br w:type="page"/>
      </w:r>
      <w:bookmarkStart w:id="84" w:name="_Toc452625234"/>
      <w:bookmarkStart w:id="85" w:name="_Toc458449931"/>
      <w:bookmarkStart w:id="86" w:name="_Toc486599752"/>
      <w:bookmarkStart w:id="87" w:name="_Toc487182924"/>
      <w:r w:rsidR="00365183" w:rsidRPr="005801C7">
        <w:lastRenderedPageBreak/>
        <w:t>Monitoring and reporting</w:t>
      </w:r>
      <w:bookmarkEnd w:id="84"/>
      <w:bookmarkEnd w:id="85"/>
      <w:bookmarkEnd w:id="86"/>
      <w:bookmarkEnd w:id="87"/>
    </w:p>
    <w:p w:rsidR="00021D7F" w:rsidRPr="0002464A" w:rsidRDefault="00D3251E" w:rsidP="008877D2">
      <w:pPr>
        <w:pStyle w:val="Heading2"/>
      </w:pPr>
      <w:bookmarkStart w:id="88" w:name="_Toc452625235"/>
      <w:bookmarkStart w:id="89" w:name="_Toc458449932"/>
      <w:bookmarkStart w:id="90" w:name="_Toc487182925"/>
      <w:r w:rsidRPr="0002464A">
        <w:t>Key economic and labour market indicators</w:t>
      </w:r>
      <w:bookmarkEnd w:id="88"/>
      <w:bookmarkEnd w:id="89"/>
      <w:bookmarkEnd w:id="90"/>
    </w:p>
    <w:p w:rsidR="00C94567" w:rsidRDefault="00C94567" w:rsidP="008877D2">
      <w:pPr>
        <w:pStyle w:val="TableheadingH2"/>
        <w:spacing w:after="0"/>
      </w:pPr>
      <w:bookmarkStart w:id="91" w:name="_Toc487182926"/>
      <w:r w:rsidRPr="00C94567">
        <w:t xml:space="preserve">Table </w:t>
      </w:r>
      <w:r>
        <w:t>3</w:t>
      </w:r>
      <w:r w:rsidRPr="00C94567">
        <w:t xml:space="preserve">: </w:t>
      </w:r>
      <w:r>
        <w:t>Key economic and labour market indicators</w:t>
      </w:r>
      <w:bookmarkEnd w:id="91"/>
    </w:p>
    <w:tbl>
      <w:tblPr>
        <w:tblW w:w="9747" w:type="dxa"/>
        <w:tblLayout w:type="fixed"/>
        <w:tblLook w:val="0000" w:firstRow="0" w:lastRow="0" w:firstColumn="0" w:lastColumn="0" w:noHBand="0" w:noVBand="0"/>
      </w:tblPr>
      <w:tblGrid>
        <w:gridCol w:w="7054"/>
        <w:gridCol w:w="1418"/>
        <w:gridCol w:w="1275"/>
      </w:tblGrid>
      <w:tr w:rsidR="00EB1D0C" w:rsidRPr="00021D7F" w:rsidTr="0020240F">
        <w:trPr>
          <w:tblHeader/>
        </w:trPr>
        <w:tc>
          <w:tcPr>
            <w:tcW w:w="7054" w:type="dxa"/>
            <w:tcBorders>
              <w:top w:val="single" w:sz="4" w:space="0" w:color="auto"/>
              <w:bottom w:val="single" w:sz="4" w:space="0" w:color="auto"/>
            </w:tcBorders>
            <w:shd w:val="clear" w:color="auto" w:fill="F2F2F2"/>
          </w:tcPr>
          <w:p w:rsidR="00EB1D0C" w:rsidRPr="00CA0AE3" w:rsidRDefault="00EB1D0C" w:rsidP="00230972">
            <w:pPr>
              <w:rPr>
                <w:rFonts w:cs="Calibri"/>
                <w:b/>
                <w:bCs/>
                <w:sz w:val="20"/>
                <w:szCs w:val="20"/>
              </w:rPr>
            </w:pPr>
            <w:r w:rsidRPr="00CA0AE3">
              <w:rPr>
                <w:rFonts w:cs="Calibri"/>
                <w:b/>
                <w:bCs/>
                <w:sz w:val="20"/>
                <w:szCs w:val="20"/>
              </w:rPr>
              <w:t>Key indicator</w:t>
            </w:r>
          </w:p>
        </w:tc>
        <w:tc>
          <w:tcPr>
            <w:tcW w:w="1418" w:type="dxa"/>
            <w:tcBorders>
              <w:top w:val="single" w:sz="4" w:space="0" w:color="auto"/>
              <w:bottom w:val="single" w:sz="4" w:space="0" w:color="auto"/>
            </w:tcBorders>
            <w:shd w:val="clear" w:color="auto" w:fill="F2F2F2"/>
          </w:tcPr>
          <w:p w:rsidR="00EB1D0C" w:rsidRPr="00CA0AE3" w:rsidRDefault="00EB1D0C" w:rsidP="00230972">
            <w:pPr>
              <w:jc w:val="center"/>
              <w:rPr>
                <w:rFonts w:cs="Calibri"/>
                <w:b/>
                <w:bCs/>
                <w:sz w:val="20"/>
                <w:szCs w:val="20"/>
              </w:rPr>
            </w:pPr>
            <w:r w:rsidRPr="00CA0AE3">
              <w:rPr>
                <w:rFonts w:cs="Calibri"/>
                <w:b/>
                <w:bCs/>
                <w:sz w:val="20"/>
                <w:szCs w:val="20"/>
              </w:rPr>
              <w:t>2008</w:t>
            </w:r>
          </w:p>
        </w:tc>
        <w:tc>
          <w:tcPr>
            <w:tcW w:w="1275" w:type="dxa"/>
            <w:tcBorders>
              <w:top w:val="single" w:sz="4" w:space="0" w:color="auto"/>
              <w:bottom w:val="single" w:sz="4" w:space="0" w:color="auto"/>
            </w:tcBorders>
            <w:shd w:val="clear" w:color="auto" w:fill="F2F2F2"/>
          </w:tcPr>
          <w:p w:rsidR="00EB1D0C" w:rsidRPr="00CA0AE3" w:rsidRDefault="00EB1D0C" w:rsidP="00230972">
            <w:pPr>
              <w:jc w:val="center"/>
              <w:rPr>
                <w:rFonts w:cs="Calibri"/>
                <w:b/>
                <w:bCs/>
                <w:sz w:val="20"/>
                <w:szCs w:val="20"/>
                <w:highlight w:val="yellow"/>
              </w:rPr>
            </w:pPr>
            <w:r w:rsidRPr="00CA0AE3">
              <w:rPr>
                <w:rFonts w:cs="Calibri"/>
                <w:b/>
                <w:bCs/>
                <w:sz w:val="20"/>
                <w:szCs w:val="20"/>
              </w:rPr>
              <w:t>2015</w:t>
            </w:r>
          </w:p>
        </w:tc>
      </w:tr>
      <w:tr w:rsidR="00EB1D0C" w:rsidRPr="00021D7F" w:rsidTr="0020240F">
        <w:tc>
          <w:tcPr>
            <w:tcW w:w="7054" w:type="dxa"/>
            <w:tcBorders>
              <w:top w:val="single" w:sz="4" w:space="0" w:color="auto"/>
            </w:tcBorders>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GDP growth (real)</w:t>
            </w:r>
          </w:p>
        </w:tc>
        <w:tc>
          <w:tcPr>
            <w:tcW w:w="1418" w:type="dxa"/>
            <w:tcBorders>
              <w:top w:val="single" w:sz="4" w:space="0" w:color="auto"/>
            </w:tcBorders>
            <w:shd w:val="clear" w:color="auto" w:fill="auto"/>
            <w:vAlign w:val="center"/>
          </w:tcPr>
          <w:p w:rsidR="00EB1D0C" w:rsidRPr="00CA0AE3" w:rsidRDefault="00D23C65" w:rsidP="0020240F">
            <w:pPr>
              <w:spacing w:before="20" w:after="40"/>
              <w:jc w:val="center"/>
              <w:rPr>
                <w:rFonts w:cs="Calibri"/>
                <w:sz w:val="20"/>
                <w:szCs w:val="20"/>
              </w:rPr>
            </w:pPr>
            <w:r>
              <w:rPr>
                <w:rFonts w:cs="Calibri"/>
                <w:sz w:val="20"/>
                <w:szCs w:val="20"/>
              </w:rPr>
              <w:t>2.5</w:t>
            </w:r>
          </w:p>
        </w:tc>
        <w:tc>
          <w:tcPr>
            <w:tcW w:w="1275" w:type="dxa"/>
            <w:tcBorders>
              <w:top w:val="single" w:sz="4" w:space="0" w:color="auto"/>
            </w:tcBorders>
            <w:shd w:val="clear" w:color="auto" w:fill="auto"/>
            <w:vAlign w:val="center"/>
          </w:tcPr>
          <w:p w:rsidR="00EB1D0C" w:rsidRPr="00EE6F45" w:rsidRDefault="00F97202" w:rsidP="0020240F">
            <w:pPr>
              <w:spacing w:before="20" w:after="40"/>
              <w:jc w:val="center"/>
              <w:rPr>
                <w:rFonts w:cs="Calibri"/>
                <w:sz w:val="20"/>
                <w:szCs w:val="20"/>
              </w:rPr>
            </w:pPr>
            <w:r w:rsidRPr="00EE6F45">
              <w:rPr>
                <w:rFonts w:cs="Calibri"/>
                <w:sz w:val="20"/>
                <w:szCs w:val="20"/>
              </w:rPr>
              <w:t>2.5</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GDP per capita (2010 $US constant price in PPPs)</w:t>
            </w:r>
          </w:p>
        </w:tc>
        <w:tc>
          <w:tcPr>
            <w:tcW w:w="1418" w:type="dxa"/>
            <w:shd w:val="clear" w:color="auto" w:fill="auto"/>
            <w:vAlign w:val="center"/>
          </w:tcPr>
          <w:p w:rsidR="00EB1D0C" w:rsidRPr="00CA0AE3" w:rsidRDefault="00D23C65" w:rsidP="0020240F">
            <w:pPr>
              <w:spacing w:before="20" w:after="40"/>
              <w:jc w:val="center"/>
              <w:rPr>
                <w:rFonts w:cs="Calibri"/>
                <w:sz w:val="20"/>
                <w:szCs w:val="20"/>
              </w:rPr>
            </w:pPr>
            <w:r>
              <w:rPr>
                <w:rFonts w:cs="Calibri"/>
                <w:sz w:val="20"/>
                <w:szCs w:val="20"/>
              </w:rPr>
              <w:t>$US 41,712</w:t>
            </w:r>
          </w:p>
        </w:tc>
        <w:tc>
          <w:tcPr>
            <w:tcW w:w="1275" w:type="dxa"/>
            <w:shd w:val="clear" w:color="auto" w:fill="auto"/>
            <w:vAlign w:val="center"/>
          </w:tcPr>
          <w:p w:rsidR="00EB1D0C" w:rsidRPr="00EE6F45" w:rsidRDefault="00F97202" w:rsidP="0020240F">
            <w:pPr>
              <w:spacing w:before="20" w:after="40"/>
              <w:jc w:val="center"/>
              <w:rPr>
                <w:rFonts w:cs="Calibri"/>
                <w:sz w:val="20"/>
                <w:szCs w:val="20"/>
              </w:rPr>
            </w:pPr>
            <w:r w:rsidRPr="00EE6F45">
              <w:rPr>
                <w:rFonts w:cs="Calibri"/>
                <w:sz w:val="20"/>
                <w:szCs w:val="20"/>
              </w:rPr>
              <w:t>$US 44,451</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Employment growth</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2.8</w:t>
            </w:r>
          </w:p>
        </w:tc>
        <w:tc>
          <w:tcPr>
            <w:tcW w:w="1275" w:type="dxa"/>
            <w:shd w:val="clear" w:color="auto" w:fill="auto"/>
            <w:vAlign w:val="center"/>
          </w:tcPr>
          <w:p w:rsidR="00EB1D0C" w:rsidRPr="00EE6F45" w:rsidRDefault="00D23C65" w:rsidP="0020240F">
            <w:pPr>
              <w:spacing w:before="20" w:after="40"/>
              <w:jc w:val="center"/>
              <w:rPr>
                <w:rFonts w:cs="Calibri"/>
                <w:sz w:val="20"/>
                <w:szCs w:val="20"/>
                <w:lang w:val="en-GB"/>
              </w:rPr>
            </w:pPr>
            <w:r>
              <w:rPr>
                <w:rFonts w:cs="Calibri"/>
                <w:sz w:val="20"/>
                <w:szCs w:val="20"/>
                <w:lang w:val="en-GB"/>
              </w:rPr>
              <w:t>1.9</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 xml:space="preserve">Employment-population ratio (for 15-64) </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62.</w:t>
            </w:r>
            <w:r w:rsidR="00C82C70">
              <w:rPr>
                <w:rFonts w:cs="Calibri"/>
                <w:sz w:val="20"/>
                <w:szCs w:val="20"/>
                <w:lang w:val="en-GB"/>
              </w:rPr>
              <w:t>4</w:t>
            </w:r>
          </w:p>
        </w:tc>
        <w:tc>
          <w:tcPr>
            <w:tcW w:w="1275" w:type="dxa"/>
            <w:shd w:val="clear" w:color="auto" w:fill="auto"/>
            <w:vAlign w:val="center"/>
          </w:tcPr>
          <w:p w:rsidR="00EB1D0C" w:rsidRPr="00EE6F45" w:rsidRDefault="00D23C65" w:rsidP="0020240F">
            <w:pPr>
              <w:spacing w:before="20" w:after="40"/>
              <w:jc w:val="center"/>
              <w:rPr>
                <w:rFonts w:cs="Calibri"/>
                <w:sz w:val="20"/>
                <w:szCs w:val="20"/>
                <w:lang w:val="en-GB"/>
              </w:rPr>
            </w:pPr>
            <w:r>
              <w:rPr>
                <w:rFonts w:cs="Calibri"/>
                <w:sz w:val="20"/>
                <w:szCs w:val="20"/>
                <w:lang w:val="en-GB"/>
              </w:rPr>
              <w:t>61.</w:t>
            </w:r>
            <w:r w:rsidR="00C82C70">
              <w:rPr>
                <w:rFonts w:cs="Calibri"/>
                <w:sz w:val="20"/>
                <w:szCs w:val="20"/>
                <w:lang w:val="en-GB"/>
              </w:rPr>
              <w:t>3</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Unemployment rate</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4.2</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6.1</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Incidence of long-term unemployment</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14.9</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23.5</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Participation rate (for population aged 15-64)</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76.5</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77.0</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Participation rate (for population aged 55-64)</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58.9</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64.9</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Participation rate (for population aged 65+)</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9.4</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12.2</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Informal employment as a share of total employment</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w:t>
            </w:r>
          </w:p>
        </w:tc>
      </w:tr>
      <w:tr w:rsidR="00EB1D0C" w:rsidRPr="00021D7F" w:rsidTr="0020240F">
        <w:tc>
          <w:tcPr>
            <w:tcW w:w="7054" w:type="dxa"/>
            <w:shd w:val="clear" w:color="auto" w:fill="auto"/>
            <w:vAlign w:val="center"/>
          </w:tcPr>
          <w:p w:rsidR="00EB1D0C" w:rsidRPr="00CA0AE3" w:rsidRDefault="00EB1D0C" w:rsidP="0020240F">
            <w:pPr>
              <w:spacing w:before="20" w:after="40"/>
              <w:rPr>
                <w:rFonts w:cs="Calibri"/>
                <w:bCs/>
                <w:sz w:val="20"/>
                <w:szCs w:val="20"/>
              </w:rPr>
            </w:pPr>
            <w:r w:rsidRPr="00CA0AE3">
              <w:rPr>
                <w:rFonts w:cs="Calibri"/>
                <w:bCs/>
                <w:sz w:val="20"/>
                <w:szCs w:val="20"/>
              </w:rPr>
              <w:t>Temporary employment as a share of total employment</w:t>
            </w:r>
          </w:p>
        </w:tc>
        <w:tc>
          <w:tcPr>
            <w:tcW w:w="1418" w:type="dxa"/>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w:t>
            </w:r>
          </w:p>
        </w:tc>
        <w:tc>
          <w:tcPr>
            <w:tcW w:w="1275" w:type="dxa"/>
            <w:shd w:val="clear" w:color="auto" w:fill="auto"/>
            <w:vAlign w:val="center"/>
          </w:tcPr>
          <w:p w:rsidR="00EB1D0C" w:rsidRPr="00EE6F45" w:rsidRDefault="00F97202" w:rsidP="0020240F">
            <w:pPr>
              <w:spacing w:before="20" w:after="40"/>
              <w:jc w:val="center"/>
              <w:rPr>
                <w:rFonts w:cs="Calibri"/>
                <w:sz w:val="20"/>
                <w:szCs w:val="20"/>
                <w:lang w:val="en-GB"/>
              </w:rPr>
            </w:pPr>
            <w:r w:rsidRPr="00EE6F45">
              <w:rPr>
                <w:rFonts w:cs="Calibri"/>
                <w:sz w:val="20"/>
                <w:szCs w:val="20"/>
                <w:lang w:val="en-GB"/>
              </w:rPr>
              <w:t>-</w:t>
            </w:r>
          </w:p>
        </w:tc>
      </w:tr>
      <w:tr w:rsidR="0020240F" w:rsidRPr="00021D7F" w:rsidTr="0020240F">
        <w:tc>
          <w:tcPr>
            <w:tcW w:w="7054" w:type="dxa"/>
            <w:shd w:val="clear" w:color="auto" w:fill="auto"/>
            <w:vAlign w:val="center"/>
          </w:tcPr>
          <w:p w:rsidR="0020240F" w:rsidRPr="0020240F" w:rsidRDefault="0020240F" w:rsidP="0020240F">
            <w:pPr>
              <w:spacing w:before="20" w:after="40"/>
              <w:rPr>
                <w:rFonts w:cs="Calibri"/>
                <w:bCs/>
                <w:sz w:val="20"/>
                <w:szCs w:val="20"/>
              </w:rPr>
            </w:pPr>
            <w:proofErr w:type="spellStart"/>
            <w:r w:rsidRPr="008877D2">
              <w:rPr>
                <w:rFonts w:cs="Calibri"/>
                <w:bCs/>
                <w:sz w:val="20"/>
                <w:szCs w:val="20"/>
              </w:rPr>
              <w:t>Sectoral</w:t>
            </w:r>
            <w:proofErr w:type="spellEnd"/>
            <w:r w:rsidRPr="008877D2">
              <w:rPr>
                <w:rFonts w:cs="Calibri"/>
                <w:bCs/>
                <w:sz w:val="20"/>
                <w:szCs w:val="20"/>
              </w:rPr>
              <w:t xml:space="preserve"> composition of employment (as a % of total employment)</w:t>
            </w:r>
            <w:r>
              <w:rPr>
                <w:rFonts w:cs="Calibri"/>
                <w:bCs/>
                <w:sz w:val="20"/>
                <w:szCs w:val="20"/>
              </w:rPr>
              <w:t xml:space="preserve"> -</w:t>
            </w:r>
            <w:r w:rsidRPr="0020240F">
              <w:rPr>
                <w:rFonts w:cs="Calibri"/>
                <w:b/>
                <w:bCs/>
                <w:sz w:val="20"/>
                <w:szCs w:val="20"/>
              </w:rPr>
              <w:t xml:space="preserve"> Agriculture</w:t>
            </w:r>
          </w:p>
        </w:tc>
        <w:tc>
          <w:tcPr>
            <w:tcW w:w="1418" w:type="dxa"/>
            <w:shd w:val="clear" w:color="auto" w:fill="auto"/>
            <w:vAlign w:val="center"/>
          </w:tcPr>
          <w:p w:rsidR="0020240F" w:rsidRDefault="0020240F" w:rsidP="0020240F">
            <w:pPr>
              <w:spacing w:before="20" w:after="40"/>
              <w:jc w:val="center"/>
              <w:rPr>
                <w:rFonts w:cs="Calibri"/>
                <w:sz w:val="20"/>
                <w:szCs w:val="20"/>
                <w:lang w:val="en-GB"/>
              </w:rPr>
            </w:pPr>
            <w:r>
              <w:rPr>
                <w:rFonts w:cs="Calibri"/>
                <w:sz w:val="20"/>
                <w:szCs w:val="20"/>
                <w:lang w:val="en-GB"/>
              </w:rPr>
              <w:t>3.2</w:t>
            </w:r>
          </w:p>
        </w:tc>
        <w:tc>
          <w:tcPr>
            <w:tcW w:w="1275" w:type="dxa"/>
            <w:shd w:val="clear" w:color="auto" w:fill="auto"/>
            <w:vAlign w:val="center"/>
          </w:tcPr>
          <w:p w:rsidR="0020240F" w:rsidRPr="00EE6F45" w:rsidRDefault="0020240F" w:rsidP="0020240F">
            <w:pPr>
              <w:spacing w:before="20" w:after="40"/>
              <w:jc w:val="center"/>
              <w:rPr>
                <w:rFonts w:cs="Calibri"/>
                <w:sz w:val="20"/>
                <w:szCs w:val="20"/>
                <w:lang w:val="en-GB"/>
              </w:rPr>
            </w:pPr>
            <w:r w:rsidRPr="00EE6F45">
              <w:rPr>
                <w:rFonts w:cs="Calibri"/>
                <w:sz w:val="20"/>
                <w:szCs w:val="20"/>
                <w:lang w:val="en-GB"/>
              </w:rPr>
              <w:t>3.0</w:t>
            </w:r>
          </w:p>
        </w:tc>
      </w:tr>
      <w:tr w:rsidR="0020240F" w:rsidRPr="00021D7F" w:rsidTr="0020240F">
        <w:tc>
          <w:tcPr>
            <w:tcW w:w="7054" w:type="dxa"/>
            <w:shd w:val="clear" w:color="auto" w:fill="auto"/>
            <w:vAlign w:val="center"/>
          </w:tcPr>
          <w:p w:rsidR="0020240F" w:rsidRPr="008877D2" w:rsidRDefault="0020240F" w:rsidP="0020240F">
            <w:pPr>
              <w:spacing w:before="20" w:after="40"/>
              <w:rPr>
                <w:rFonts w:cs="Calibri"/>
                <w:bCs/>
                <w:sz w:val="20"/>
                <w:szCs w:val="20"/>
              </w:rPr>
            </w:pPr>
            <w:proofErr w:type="spellStart"/>
            <w:r w:rsidRPr="008877D2">
              <w:rPr>
                <w:rFonts w:cs="Calibri"/>
                <w:bCs/>
                <w:sz w:val="20"/>
                <w:szCs w:val="20"/>
              </w:rPr>
              <w:t>Sectoral</w:t>
            </w:r>
            <w:proofErr w:type="spellEnd"/>
            <w:r w:rsidRPr="008877D2">
              <w:rPr>
                <w:rFonts w:cs="Calibri"/>
                <w:bCs/>
                <w:sz w:val="20"/>
                <w:szCs w:val="20"/>
              </w:rPr>
              <w:t xml:space="preserve"> composition of employment (as a % of total employment)</w:t>
            </w:r>
            <w:r>
              <w:rPr>
                <w:rFonts w:cs="Calibri"/>
                <w:bCs/>
                <w:sz w:val="20"/>
                <w:szCs w:val="20"/>
              </w:rPr>
              <w:t xml:space="preserve"> - </w:t>
            </w:r>
            <w:r w:rsidRPr="0020240F">
              <w:rPr>
                <w:rFonts w:cs="Calibri"/>
                <w:b/>
                <w:bCs/>
                <w:sz w:val="20"/>
                <w:szCs w:val="20"/>
              </w:rPr>
              <w:t>Construction</w:t>
            </w:r>
          </w:p>
        </w:tc>
        <w:tc>
          <w:tcPr>
            <w:tcW w:w="1418" w:type="dxa"/>
            <w:shd w:val="clear" w:color="auto" w:fill="auto"/>
            <w:vAlign w:val="center"/>
          </w:tcPr>
          <w:p w:rsidR="0020240F" w:rsidRDefault="0020240F" w:rsidP="0020240F">
            <w:pPr>
              <w:spacing w:before="20" w:after="40"/>
              <w:jc w:val="center"/>
              <w:rPr>
                <w:rFonts w:cs="Calibri"/>
                <w:sz w:val="20"/>
                <w:szCs w:val="20"/>
                <w:lang w:val="en-GB"/>
              </w:rPr>
            </w:pPr>
            <w:r w:rsidRPr="00CA0AE3">
              <w:rPr>
                <w:rFonts w:cs="Calibri"/>
                <w:sz w:val="20"/>
                <w:szCs w:val="20"/>
                <w:lang w:val="en-GB"/>
              </w:rPr>
              <w:t>9.2</w:t>
            </w:r>
          </w:p>
        </w:tc>
        <w:tc>
          <w:tcPr>
            <w:tcW w:w="1275" w:type="dxa"/>
            <w:shd w:val="clear" w:color="auto" w:fill="auto"/>
            <w:vAlign w:val="center"/>
          </w:tcPr>
          <w:p w:rsidR="0020240F" w:rsidRPr="00EE6F45" w:rsidRDefault="0020240F" w:rsidP="0020240F">
            <w:pPr>
              <w:spacing w:before="20" w:after="40"/>
              <w:jc w:val="center"/>
              <w:rPr>
                <w:rFonts w:cs="Calibri"/>
                <w:sz w:val="20"/>
                <w:szCs w:val="20"/>
                <w:lang w:val="en-GB"/>
              </w:rPr>
            </w:pPr>
            <w:r w:rsidRPr="00EE6F45">
              <w:rPr>
                <w:rFonts w:cs="Calibri"/>
                <w:sz w:val="20"/>
                <w:szCs w:val="20"/>
                <w:lang w:val="en-GB"/>
              </w:rPr>
              <w:t>9.0</w:t>
            </w:r>
          </w:p>
        </w:tc>
      </w:tr>
      <w:tr w:rsidR="0020240F" w:rsidRPr="00021D7F" w:rsidTr="0020240F">
        <w:tc>
          <w:tcPr>
            <w:tcW w:w="7054" w:type="dxa"/>
            <w:shd w:val="clear" w:color="auto" w:fill="auto"/>
            <w:vAlign w:val="center"/>
          </w:tcPr>
          <w:p w:rsidR="0020240F" w:rsidRPr="008877D2" w:rsidRDefault="0020240F" w:rsidP="0020240F">
            <w:pPr>
              <w:spacing w:before="20" w:after="40"/>
              <w:rPr>
                <w:rFonts w:cs="Calibri"/>
                <w:bCs/>
                <w:sz w:val="20"/>
                <w:szCs w:val="20"/>
              </w:rPr>
            </w:pPr>
            <w:proofErr w:type="spellStart"/>
            <w:r w:rsidRPr="008877D2">
              <w:rPr>
                <w:rFonts w:cs="Calibri"/>
                <w:bCs/>
                <w:sz w:val="20"/>
                <w:szCs w:val="20"/>
              </w:rPr>
              <w:t>Sectoral</w:t>
            </w:r>
            <w:proofErr w:type="spellEnd"/>
            <w:r w:rsidRPr="008877D2">
              <w:rPr>
                <w:rFonts w:cs="Calibri"/>
                <w:bCs/>
                <w:sz w:val="20"/>
                <w:szCs w:val="20"/>
              </w:rPr>
              <w:t xml:space="preserve"> composition of employment (as a % of total employment)</w:t>
            </w:r>
            <w:r>
              <w:rPr>
                <w:rFonts w:cs="Calibri"/>
                <w:bCs/>
                <w:sz w:val="20"/>
                <w:szCs w:val="20"/>
              </w:rPr>
              <w:t xml:space="preserve"> - </w:t>
            </w:r>
            <w:r w:rsidRPr="0020240F">
              <w:rPr>
                <w:rFonts w:cs="Calibri"/>
                <w:b/>
                <w:bCs/>
                <w:sz w:val="20"/>
                <w:szCs w:val="20"/>
              </w:rPr>
              <w:t>Manufacturing</w:t>
            </w:r>
          </w:p>
        </w:tc>
        <w:tc>
          <w:tcPr>
            <w:tcW w:w="1418" w:type="dxa"/>
            <w:shd w:val="clear" w:color="auto" w:fill="auto"/>
            <w:vAlign w:val="center"/>
          </w:tcPr>
          <w:p w:rsidR="0020240F" w:rsidRDefault="0020240F" w:rsidP="0020240F">
            <w:pPr>
              <w:spacing w:before="20" w:after="40"/>
              <w:jc w:val="center"/>
              <w:rPr>
                <w:rFonts w:cs="Calibri"/>
                <w:sz w:val="20"/>
                <w:szCs w:val="20"/>
                <w:lang w:val="en-GB"/>
              </w:rPr>
            </w:pPr>
            <w:r w:rsidRPr="00CA0AE3">
              <w:rPr>
                <w:rFonts w:cs="Calibri"/>
                <w:sz w:val="20"/>
                <w:szCs w:val="20"/>
                <w:lang w:val="en-GB"/>
              </w:rPr>
              <w:t>12.4</w:t>
            </w:r>
          </w:p>
        </w:tc>
        <w:tc>
          <w:tcPr>
            <w:tcW w:w="1275" w:type="dxa"/>
            <w:shd w:val="clear" w:color="auto" w:fill="auto"/>
            <w:vAlign w:val="center"/>
          </w:tcPr>
          <w:p w:rsidR="0020240F" w:rsidRPr="00EE6F45" w:rsidRDefault="0020240F" w:rsidP="0020240F">
            <w:pPr>
              <w:spacing w:before="20" w:after="40"/>
              <w:jc w:val="center"/>
              <w:rPr>
                <w:rFonts w:cs="Calibri"/>
                <w:sz w:val="20"/>
                <w:szCs w:val="20"/>
                <w:lang w:val="en-GB"/>
              </w:rPr>
            </w:pPr>
            <w:r w:rsidRPr="00EE6F45">
              <w:rPr>
                <w:rFonts w:cs="Calibri"/>
                <w:sz w:val="20"/>
                <w:szCs w:val="20"/>
                <w:lang w:val="en-GB"/>
              </w:rPr>
              <w:t>8.0</w:t>
            </w:r>
          </w:p>
        </w:tc>
      </w:tr>
      <w:tr w:rsidR="00EB1D0C" w:rsidRPr="00021D7F" w:rsidTr="0020240F">
        <w:tc>
          <w:tcPr>
            <w:tcW w:w="7054" w:type="dxa"/>
            <w:tcBorders>
              <w:bottom w:val="single" w:sz="4" w:space="0" w:color="auto"/>
            </w:tcBorders>
            <w:shd w:val="clear" w:color="auto" w:fill="auto"/>
            <w:vAlign w:val="center"/>
          </w:tcPr>
          <w:p w:rsidR="00EB1D0C" w:rsidRPr="00CA0AE3" w:rsidRDefault="00EB1D0C" w:rsidP="0020240F">
            <w:pPr>
              <w:spacing w:before="20" w:after="40"/>
              <w:rPr>
                <w:rFonts w:cs="Calibri"/>
                <w:bCs/>
                <w:sz w:val="20"/>
                <w:szCs w:val="20"/>
              </w:rPr>
            </w:pPr>
            <w:proofErr w:type="spellStart"/>
            <w:r w:rsidRPr="008877D2">
              <w:rPr>
                <w:rFonts w:cs="Calibri"/>
                <w:bCs/>
                <w:sz w:val="20"/>
                <w:szCs w:val="20"/>
              </w:rPr>
              <w:t>Sectoral</w:t>
            </w:r>
            <w:proofErr w:type="spellEnd"/>
            <w:r w:rsidRPr="008877D2">
              <w:rPr>
                <w:rFonts w:cs="Calibri"/>
                <w:bCs/>
                <w:sz w:val="20"/>
                <w:szCs w:val="20"/>
              </w:rPr>
              <w:t xml:space="preserve"> composition of employment (as a % of total employment)</w:t>
            </w:r>
            <w:r w:rsidR="0020240F">
              <w:rPr>
                <w:rFonts w:cs="Calibri"/>
                <w:bCs/>
                <w:sz w:val="20"/>
                <w:szCs w:val="20"/>
              </w:rPr>
              <w:t xml:space="preserve"> - </w:t>
            </w:r>
            <w:r w:rsidRPr="0020240F">
              <w:rPr>
                <w:rFonts w:cs="Calibri"/>
                <w:b/>
                <w:bCs/>
                <w:sz w:val="20"/>
                <w:szCs w:val="20"/>
              </w:rPr>
              <w:t>Services</w:t>
            </w:r>
          </w:p>
        </w:tc>
        <w:tc>
          <w:tcPr>
            <w:tcW w:w="1418" w:type="dxa"/>
            <w:tcBorders>
              <w:bottom w:val="single" w:sz="4" w:space="0" w:color="auto"/>
            </w:tcBorders>
            <w:shd w:val="clear" w:color="auto" w:fill="auto"/>
            <w:vAlign w:val="center"/>
          </w:tcPr>
          <w:p w:rsidR="00EB1D0C" w:rsidRPr="00CA0AE3" w:rsidRDefault="00EB1D0C" w:rsidP="0020240F">
            <w:pPr>
              <w:spacing w:before="20" w:after="40"/>
              <w:jc w:val="center"/>
              <w:rPr>
                <w:rFonts w:cs="Calibri"/>
                <w:sz w:val="20"/>
                <w:szCs w:val="20"/>
                <w:lang w:val="en-GB"/>
              </w:rPr>
            </w:pPr>
            <w:r w:rsidRPr="00CA0AE3">
              <w:rPr>
                <w:rFonts w:cs="Calibri"/>
                <w:sz w:val="20"/>
                <w:szCs w:val="20"/>
                <w:lang w:val="en-GB"/>
              </w:rPr>
              <w:t>75.1</w:t>
            </w:r>
          </w:p>
        </w:tc>
        <w:tc>
          <w:tcPr>
            <w:tcW w:w="1275" w:type="dxa"/>
            <w:tcBorders>
              <w:bottom w:val="single" w:sz="4" w:space="0" w:color="auto"/>
            </w:tcBorders>
            <w:shd w:val="clear" w:color="auto" w:fill="auto"/>
            <w:vAlign w:val="center"/>
          </w:tcPr>
          <w:p w:rsidR="00EE6F45" w:rsidRPr="00EE6F45" w:rsidRDefault="00EE6F45" w:rsidP="0020240F">
            <w:pPr>
              <w:spacing w:before="20" w:after="40"/>
              <w:jc w:val="center"/>
              <w:rPr>
                <w:rFonts w:cs="Calibri"/>
                <w:sz w:val="20"/>
                <w:szCs w:val="20"/>
                <w:lang w:val="en-GB"/>
              </w:rPr>
            </w:pPr>
            <w:r w:rsidRPr="00EE6F45">
              <w:rPr>
                <w:rFonts w:cs="Calibri"/>
                <w:sz w:val="20"/>
                <w:szCs w:val="20"/>
                <w:lang w:val="en-GB"/>
              </w:rPr>
              <w:t>78.0</w:t>
            </w:r>
          </w:p>
        </w:tc>
      </w:tr>
    </w:tbl>
    <w:p w:rsidR="00EB1D0C" w:rsidRDefault="00EB1D0C" w:rsidP="00EB1D0C">
      <w:pPr>
        <w:rPr>
          <w:rFonts w:cs="Calibri"/>
          <w:sz w:val="18"/>
          <w:szCs w:val="18"/>
          <w:lang w:val="en-AU"/>
        </w:rPr>
      </w:pPr>
      <w:r w:rsidRPr="00CA0AE3">
        <w:rPr>
          <w:rFonts w:cs="Calibri"/>
          <w:sz w:val="18"/>
          <w:szCs w:val="18"/>
          <w:lang w:val="en-AU"/>
        </w:rPr>
        <w:t xml:space="preserve">Source: </w:t>
      </w:r>
      <w:r w:rsidR="00D60FBD">
        <w:rPr>
          <w:rFonts w:cs="Calibri"/>
          <w:sz w:val="18"/>
          <w:szCs w:val="18"/>
          <w:lang w:val="en-AU"/>
        </w:rPr>
        <w:t>ILOSTAT; OECD.Stat</w:t>
      </w:r>
    </w:p>
    <w:p w:rsidR="00D3251E" w:rsidRPr="0002464A" w:rsidRDefault="00D3251E" w:rsidP="008877D2">
      <w:pPr>
        <w:pStyle w:val="Heading2"/>
      </w:pPr>
      <w:bookmarkStart w:id="92" w:name="_Toc452625236"/>
      <w:bookmarkStart w:id="93" w:name="_Toc458449933"/>
      <w:bookmarkStart w:id="94" w:name="_Toc487182927"/>
      <w:r w:rsidRPr="0002464A">
        <w:t>Key policy indicators</w:t>
      </w:r>
      <w:bookmarkEnd w:id="92"/>
      <w:bookmarkEnd w:id="93"/>
      <w:bookmarkEnd w:id="94"/>
    </w:p>
    <w:p w:rsidR="00677AD2" w:rsidRDefault="00677AD2" w:rsidP="008877D2">
      <w:pPr>
        <w:pStyle w:val="TableheadingH2"/>
        <w:spacing w:after="0"/>
      </w:pPr>
      <w:bookmarkStart w:id="95" w:name="_Toc487182928"/>
      <w:r w:rsidRPr="00C94567">
        <w:t xml:space="preserve">Table </w:t>
      </w:r>
      <w:r>
        <w:t>4</w:t>
      </w:r>
      <w:r w:rsidRPr="00C94567">
        <w:t xml:space="preserve">: </w:t>
      </w:r>
      <w:r>
        <w:t>Key policy indicators</w:t>
      </w:r>
      <w:bookmarkEnd w:id="95"/>
    </w:p>
    <w:tbl>
      <w:tblPr>
        <w:tblW w:w="9747" w:type="dxa"/>
        <w:tblLayout w:type="fixed"/>
        <w:tblLook w:val="0000" w:firstRow="0" w:lastRow="0" w:firstColumn="0" w:lastColumn="0" w:noHBand="0" w:noVBand="0"/>
      </w:tblPr>
      <w:tblGrid>
        <w:gridCol w:w="6062"/>
        <w:gridCol w:w="1984"/>
        <w:gridCol w:w="1701"/>
      </w:tblGrid>
      <w:tr w:rsidR="00677AD2" w:rsidRPr="00021D7F" w:rsidTr="0020240F">
        <w:trPr>
          <w:tblHeader/>
        </w:trPr>
        <w:tc>
          <w:tcPr>
            <w:tcW w:w="6062" w:type="dxa"/>
            <w:tcBorders>
              <w:top w:val="single" w:sz="4" w:space="0" w:color="auto"/>
              <w:bottom w:val="single" w:sz="4" w:space="0" w:color="auto"/>
            </w:tcBorders>
            <w:shd w:val="clear" w:color="auto" w:fill="F2F2F2"/>
          </w:tcPr>
          <w:p w:rsidR="00677AD2" w:rsidRPr="00CA0AE3" w:rsidRDefault="00677AD2" w:rsidP="00117780">
            <w:pPr>
              <w:rPr>
                <w:rFonts w:cs="Calibri"/>
                <w:b/>
                <w:bCs/>
                <w:sz w:val="20"/>
                <w:szCs w:val="20"/>
              </w:rPr>
            </w:pPr>
            <w:r w:rsidRPr="00CA0AE3">
              <w:rPr>
                <w:rFonts w:cs="Calibri"/>
                <w:b/>
                <w:bCs/>
                <w:sz w:val="20"/>
                <w:szCs w:val="20"/>
              </w:rPr>
              <w:t>Key indicator</w:t>
            </w:r>
          </w:p>
        </w:tc>
        <w:tc>
          <w:tcPr>
            <w:tcW w:w="1984" w:type="dxa"/>
            <w:tcBorders>
              <w:top w:val="single" w:sz="4" w:space="0" w:color="auto"/>
              <w:bottom w:val="single" w:sz="4" w:space="0" w:color="auto"/>
            </w:tcBorders>
            <w:shd w:val="clear" w:color="auto" w:fill="F2F2F2"/>
          </w:tcPr>
          <w:p w:rsidR="00677AD2" w:rsidRPr="00CA0AE3" w:rsidRDefault="00677AD2" w:rsidP="00117780">
            <w:pPr>
              <w:jc w:val="center"/>
              <w:rPr>
                <w:rFonts w:cs="Calibri"/>
                <w:b/>
                <w:bCs/>
                <w:sz w:val="20"/>
                <w:szCs w:val="20"/>
              </w:rPr>
            </w:pPr>
            <w:r w:rsidRPr="00CA0AE3">
              <w:rPr>
                <w:rFonts w:cs="Calibri"/>
                <w:b/>
                <w:bCs/>
                <w:sz w:val="20"/>
                <w:szCs w:val="20"/>
              </w:rPr>
              <w:t>2008</w:t>
            </w:r>
          </w:p>
        </w:tc>
        <w:tc>
          <w:tcPr>
            <w:tcW w:w="1701" w:type="dxa"/>
            <w:tcBorders>
              <w:top w:val="single" w:sz="4" w:space="0" w:color="auto"/>
              <w:bottom w:val="single" w:sz="4" w:space="0" w:color="auto"/>
            </w:tcBorders>
            <w:shd w:val="clear" w:color="auto" w:fill="F2F2F2"/>
          </w:tcPr>
          <w:p w:rsidR="00677AD2" w:rsidRPr="00CA0AE3" w:rsidRDefault="006B353D" w:rsidP="001862AE">
            <w:pPr>
              <w:jc w:val="center"/>
              <w:rPr>
                <w:rFonts w:cs="Calibri"/>
                <w:b/>
                <w:bCs/>
                <w:sz w:val="20"/>
                <w:szCs w:val="20"/>
                <w:highlight w:val="yellow"/>
              </w:rPr>
            </w:pPr>
            <w:r>
              <w:rPr>
                <w:rFonts w:cs="Calibri"/>
                <w:b/>
                <w:bCs/>
                <w:sz w:val="20"/>
                <w:szCs w:val="20"/>
              </w:rPr>
              <w:t>2014</w:t>
            </w:r>
          </w:p>
        </w:tc>
      </w:tr>
      <w:tr w:rsidR="00677AD2" w:rsidRPr="00007BFC" w:rsidTr="0020240F">
        <w:tc>
          <w:tcPr>
            <w:tcW w:w="6062" w:type="dxa"/>
            <w:tcBorders>
              <w:top w:val="single" w:sz="4" w:space="0" w:color="auto"/>
            </w:tcBorders>
            <w:shd w:val="clear" w:color="auto" w:fill="auto"/>
            <w:vAlign w:val="center"/>
          </w:tcPr>
          <w:p w:rsidR="00677AD2" w:rsidRPr="0020240F" w:rsidRDefault="00677AD2" w:rsidP="0020240F">
            <w:pPr>
              <w:spacing w:before="20" w:after="20"/>
              <w:rPr>
                <w:sz w:val="20"/>
              </w:rPr>
            </w:pPr>
            <w:r w:rsidRPr="0020240F">
              <w:rPr>
                <w:sz w:val="20"/>
              </w:rPr>
              <w:t>Gini coefficient (income Gini)</w:t>
            </w:r>
          </w:p>
        </w:tc>
        <w:tc>
          <w:tcPr>
            <w:tcW w:w="1984" w:type="dxa"/>
            <w:tcBorders>
              <w:top w:val="single" w:sz="4" w:space="0" w:color="auto"/>
            </w:tcBorders>
            <w:shd w:val="clear" w:color="auto" w:fill="auto"/>
            <w:vAlign w:val="center"/>
          </w:tcPr>
          <w:p w:rsidR="00677AD2" w:rsidRPr="0020240F" w:rsidRDefault="00677AD2" w:rsidP="0020240F">
            <w:pPr>
              <w:spacing w:before="20" w:after="20"/>
              <w:jc w:val="center"/>
              <w:rPr>
                <w:sz w:val="20"/>
              </w:rPr>
            </w:pPr>
            <w:r w:rsidRPr="0020240F">
              <w:rPr>
                <w:sz w:val="20"/>
              </w:rPr>
              <w:t>0.336</w:t>
            </w:r>
          </w:p>
        </w:tc>
        <w:tc>
          <w:tcPr>
            <w:tcW w:w="1701" w:type="dxa"/>
            <w:tcBorders>
              <w:top w:val="single" w:sz="4" w:space="0" w:color="auto"/>
            </w:tcBorders>
            <w:shd w:val="clear" w:color="auto" w:fill="auto"/>
            <w:vAlign w:val="center"/>
          </w:tcPr>
          <w:p w:rsidR="00677AD2" w:rsidRPr="0020240F" w:rsidRDefault="00D60FBD" w:rsidP="0020240F">
            <w:pPr>
              <w:spacing w:before="20" w:after="20"/>
              <w:jc w:val="center"/>
              <w:rPr>
                <w:sz w:val="20"/>
              </w:rPr>
            </w:pPr>
            <w:r w:rsidRPr="0020240F">
              <w:rPr>
                <w:sz w:val="20"/>
              </w:rPr>
              <w:t>0</w:t>
            </w:r>
            <w:r w:rsidR="001709A9" w:rsidRPr="0020240F">
              <w:rPr>
                <w:sz w:val="20"/>
              </w:rPr>
              <w:t>.33</w:t>
            </w:r>
            <w:r w:rsidR="00DD7E52" w:rsidRPr="0020240F">
              <w:rPr>
                <w:sz w:val="20"/>
              </w:rPr>
              <w:t>7</w:t>
            </w:r>
          </w:p>
        </w:tc>
      </w:tr>
      <w:tr w:rsidR="00677AD2" w:rsidRPr="00007BFC" w:rsidTr="0020240F">
        <w:tc>
          <w:tcPr>
            <w:tcW w:w="6062" w:type="dxa"/>
            <w:shd w:val="clear" w:color="auto" w:fill="auto"/>
            <w:vAlign w:val="center"/>
          </w:tcPr>
          <w:p w:rsidR="00677AD2" w:rsidRPr="0020240F" w:rsidRDefault="00677AD2" w:rsidP="0020240F">
            <w:pPr>
              <w:spacing w:before="20" w:after="20"/>
              <w:rPr>
                <w:sz w:val="20"/>
              </w:rPr>
            </w:pPr>
            <w:r w:rsidRPr="0020240F">
              <w:rPr>
                <w:sz w:val="20"/>
              </w:rPr>
              <w:t>Poverty (% below National poverty line)</w:t>
            </w:r>
          </w:p>
        </w:tc>
        <w:tc>
          <w:tcPr>
            <w:tcW w:w="1984" w:type="dxa"/>
            <w:shd w:val="clear" w:color="auto" w:fill="auto"/>
            <w:vAlign w:val="center"/>
          </w:tcPr>
          <w:p w:rsidR="00677AD2" w:rsidRPr="0020240F" w:rsidRDefault="00677AD2" w:rsidP="0020240F">
            <w:pPr>
              <w:spacing w:before="20" w:after="20"/>
              <w:jc w:val="center"/>
              <w:rPr>
                <w:sz w:val="20"/>
              </w:rPr>
            </w:pPr>
            <w:r w:rsidRPr="0020240F">
              <w:rPr>
                <w:sz w:val="20"/>
              </w:rPr>
              <w:t>13.2</w:t>
            </w:r>
          </w:p>
        </w:tc>
        <w:tc>
          <w:tcPr>
            <w:tcW w:w="1701" w:type="dxa"/>
            <w:shd w:val="clear" w:color="auto" w:fill="auto"/>
            <w:vAlign w:val="center"/>
          </w:tcPr>
          <w:p w:rsidR="00677AD2" w:rsidRPr="0020240F" w:rsidRDefault="005C6BE1" w:rsidP="0020240F">
            <w:pPr>
              <w:spacing w:before="20" w:after="20"/>
              <w:jc w:val="center"/>
              <w:rPr>
                <w:sz w:val="20"/>
              </w:rPr>
            </w:pPr>
            <w:r w:rsidRPr="0020240F">
              <w:rPr>
                <w:sz w:val="20"/>
              </w:rPr>
              <w:t>n/a</w:t>
            </w:r>
          </w:p>
        </w:tc>
      </w:tr>
      <w:tr w:rsidR="00677AD2" w:rsidRPr="00007BFC" w:rsidTr="0020240F">
        <w:tc>
          <w:tcPr>
            <w:tcW w:w="6062" w:type="dxa"/>
            <w:shd w:val="clear" w:color="auto" w:fill="auto"/>
            <w:vAlign w:val="center"/>
          </w:tcPr>
          <w:p w:rsidR="00677AD2" w:rsidRPr="0020240F" w:rsidRDefault="00677AD2" w:rsidP="0020240F">
            <w:pPr>
              <w:spacing w:before="20" w:after="20"/>
              <w:rPr>
                <w:sz w:val="20"/>
              </w:rPr>
            </w:pPr>
            <w:r w:rsidRPr="0020240F">
              <w:rPr>
                <w:sz w:val="20"/>
              </w:rPr>
              <w:t>Minimum relative to average wages of full-time workers</w:t>
            </w:r>
          </w:p>
        </w:tc>
        <w:tc>
          <w:tcPr>
            <w:tcW w:w="1984" w:type="dxa"/>
            <w:shd w:val="clear" w:color="auto" w:fill="auto"/>
            <w:vAlign w:val="center"/>
          </w:tcPr>
          <w:p w:rsidR="00677AD2" w:rsidRPr="0020240F" w:rsidRDefault="00677AD2" w:rsidP="0020240F">
            <w:pPr>
              <w:spacing w:before="20" w:after="20"/>
              <w:jc w:val="center"/>
              <w:rPr>
                <w:sz w:val="20"/>
              </w:rPr>
            </w:pPr>
            <w:r w:rsidRPr="0020240F">
              <w:rPr>
                <w:sz w:val="20"/>
              </w:rPr>
              <w:t>45.0</w:t>
            </w:r>
          </w:p>
        </w:tc>
        <w:tc>
          <w:tcPr>
            <w:tcW w:w="1701" w:type="dxa"/>
            <w:shd w:val="clear" w:color="auto" w:fill="auto"/>
            <w:vAlign w:val="center"/>
          </w:tcPr>
          <w:p w:rsidR="00677AD2" w:rsidRPr="0020240F" w:rsidRDefault="001709A9" w:rsidP="0020240F">
            <w:pPr>
              <w:spacing w:before="20" w:after="20"/>
              <w:jc w:val="center"/>
              <w:rPr>
                <w:sz w:val="20"/>
              </w:rPr>
            </w:pPr>
            <w:r w:rsidRPr="0020240F">
              <w:rPr>
                <w:sz w:val="20"/>
              </w:rPr>
              <w:t>43.0</w:t>
            </w:r>
          </w:p>
        </w:tc>
      </w:tr>
      <w:tr w:rsidR="00677AD2" w:rsidRPr="00007BFC" w:rsidTr="0020240F">
        <w:tc>
          <w:tcPr>
            <w:tcW w:w="6062" w:type="dxa"/>
            <w:shd w:val="clear" w:color="auto" w:fill="auto"/>
            <w:vAlign w:val="center"/>
          </w:tcPr>
          <w:p w:rsidR="00677AD2" w:rsidRPr="0020240F" w:rsidRDefault="00677AD2" w:rsidP="0020240F">
            <w:pPr>
              <w:spacing w:before="20" w:after="20"/>
              <w:rPr>
                <w:sz w:val="20"/>
              </w:rPr>
            </w:pPr>
            <w:r w:rsidRPr="0020240F">
              <w:rPr>
                <w:sz w:val="20"/>
              </w:rPr>
              <w:t>Collective ba</w:t>
            </w:r>
            <w:r w:rsidR="001709A9" w:rsidRPr="0020240F">
              <w:rPr>
                <w:sz w:val="20"/>
              </w:rPr>
              <w:t>rgaining coverage (% wo</w:t>
            </w:r>
            <w:r w:rsidR="00D60FBD" w:rsidRPr="0020240F">
              <w:rPr>
                <w:sz w:val="20"/>
              </w:rPr>
              <w:t>rkers)</w:t>
            </w:r>
          </w:p>
        </w:tc>
        <w:tc>
          <w:tcPr>
            <w:tcW w:w="1984" w:type="dxa"/>
            <w:shd w:val="clear" w:color="auto" w:fill="auto"/>
            <w:vAlign w:val="center"/>
          </w:tcPr>
          <w:p w:rsidR="00677AD2" w:rsidRPr="0020240F" w:rsidRDefault="00193D03" w:rsidP="0020240F">
            <w:pPr>
              <w:spacing w:before="20" w:after="20"/>
              <w:jc w:val="center"/>
              <w:rPr>
                <w:sz w:val="20"/>
              </w:rPr>
            </w:pPr>
            <w:r w:rsidRPr="0020240F">
              <w:rPr>
                <w:sz w:val="20"/>
              </w:rPr>
              <w:t>39.8</w:t>
            </w:r>
          </w:p>
        </w:tc>
        <w:tc>
          <w:tcPr>
            <w:tcW w:w="1701" w:type="dxa"/>
            <w:shd w:val="clear" w:color="auto" w:fill="auto"/>
            <w:vAlign w:val="center"/>
          </w:tcPr>
          <w:p w:rsidR="00677AD2" w:rsidRPr="0020240F" w:rsidRDefault="00193D03" w:rsidP="0020240F">
            <w:pPr>
              <w:spacing w:before="20" w:after="20"/>
              <w:jc w:val="center"/>
              <w:rPr>
                <w:sz w:val="20"/>
              </w:rPr>
            </w:pPr>
            <w:r w:rsidRPr="0020240F">
              <w:rPr>
                <w:sz w:val="20"/>
              </w:rPr>
              <w:t>41.1</w:t>
            </w:r>
          </w:p>
        </w:tc>
      </w:tr>
      <w:tr w:rsidR="00677AD2" w:rsidRPr="00007BFC" w:rsidTr="0020240F">
        <w:tc>
          <w:tcPr>
            <w:tcW w:w="6062" w:type="dxa"/>
            <w:shd w:val="clear" w:color="auto" w:fill="auto"/>
            <w:vAlign w:val="center"/>
          </w:tcPr>
          <w:p w:rsidR="00677AD2" w:rsidRPr="0020240F" w:rsidRDefault="00677AD2" w:rsidP="0020240F">
            <w:pPr>
              <w:spacing w:before="20" w:after="20"/>
              <w:rPr>
                <w:sz w:val="20"/>
              </w:rPr>
            </w:pPr>
            <w:r w:rsidRPr="0020240F">
              <w:rPr>
                <w:sz w:val="20"/>
              </w:rPr>
              <w:t>Labour income share (%)</w:t>
            </w:r>
            <w:r w:rsidR="0088511E" w:rsidRPr="0020240F">
              <w:rPr>
                <w:sz w:val="20"/>
              </w:rPr>
              <w:t xml:space="preserve"> </w:t>
            </w:r>
          </w:p>
        </w:tc>
        <w:tc>
          <w:tcPr>
            <w:tcW w:w="1984" w:type="dxa"/>
            <w:shd w:val="clear" w:color="auto" w:fill="auto"/>
            <w:vAlign w:val="center"/>
          </w:tcPr>
          <w:p w:rsidR="00677AD2" w:rsidRPr="0020240F" w:rsidRDefault="00677AD2" w:rsidP="0020240F">
            <w:pPr>
              <w:spacing w:before="20" w:after="20"/>
              <w:jc w:val="center"/>
              <w:rPr>
                <w:sz w:val="20"/>
              </w:rPr>
            </w:pPr>
            <w:proofErr w:type="spellStart"/>
            <w:r w:rsidRPr="0020240F">
              <w:rPr>
                <w:sz w:val="20"/>
              </w:rPr>
              <w:t>54.8</w:t>
            </w:r>
            <w:r w:rsidR="00101154" w:rsidRPr="0020240F">
              <w:rPr>
                <w:sz w:val="20"/>
              </w:rPr>
              <w:t>a</w:t>
            </w:r>
            <w:proofErr w:type="spellEnd"/>
          </w:p>
        </w:tc>
        <w:tc>
          <w:tcPr>
            <w:tcW w:w="1701" w:type="dxa"/>
            <w:shd w:val="clear" w:color="auto" w:fill="auto"/>
            <w:vAlign w:val="center"/>
          </w:tcPr>
          <w:p w:rsidR="00677AD2" w:rsidRPr="0020240F" w:rsidRDefault="0088511E" w:rsidP="0020240F">
            <w:pPr>
              <w:spacing w:before="20" w:after="20"/>
              <w:jc w:val="center"/>
              <w:rPr>
                <w:sz w:val="20"/>
              </w:rPr>
            </w:pPr>
            <w:proofErr w:type="spellStart"/>
            <w:r w:rsidRPr="0020240F">
              <w:rPr>
                <w:sz w:val="20"/>
              </w:rPr>
              <w:t>53.6</w:t>
            </w:r>
            <w:r w:rsidR="00101154" w:rsidRPr="0020240F">
              <w:rPr>
                <w:sz w:val="20"/>
              </w:rPr>
              <w:t>b</w:t>
            </w:r>
            <w:proofErr w:type="spellEnd"/>
          </w:p>
        </w:tc>
      </w:tr>
      <w:tr w:rsidR="00677AD2" w:rsidRPr="00007BFC" w:rsidTr="0020240F">
        <w:tc>
          <w:tcPr>
            <w:tcW w:w="6062" w:type="dxa"/>
            <w:shd w:val="clear" w:color="auto" w:fill="auto"/>
            <w:vAlign w:val="center"/>
          </w:tcPr>
          <w:p w:rsidR="00677AD2" w:rsidRPr="0020240F" w:rsidRDefault="00677AD2" w:rsidP="0020240F">
            <w:pPr>
              <w:spacing w:before="20" w:after="20"/>
              <w:rPr>
                <w:sz w:val="20"/>
              </w:rPr>
            </w:pPr>
            <w:r w:rsidRPr="0020240F">
              <w:rPr>
                <w:sz w:val="20"/>
              </w:rPr>
              <w:t xml:space="preserve">Non-agricultural </w:t>
            </w:r>
            <w:proofErr w:type="spellStart"/>
            <w:r w:rsidRPr="0020240F">
              <w:rPr>
                <w:sz w:val="20"/>
              </w:rPr>
              <w:t>labour</w:t>
            </w:r>
            <w:proofErr w:type="spellEnd"/>
            <w:r w:rsidRPr="0020240F">
              <w:rPr>
                <w:sz w:val="20"/>
              </w:rPr>
              <w:t xml:space="preserve"> income share (%)</w:t>
            </w:r>
          </w:p>
        </w:tc>
        <w:tc>
          <w:tcPr>
            <w:tcW w:w="1984" w:type="dxa"/>
            <w:shd w:val="clear" w:color="auto" w:fill="auto"/>
            <w:vAlign w:val="center"/>
          </w:tcPr>
          <w:p w:rsidR="00677AD2" w:rsidRPr="0020240F" w:rsidRDefault="00677AD2" w:rsidP="0020240F">
            <w:pPr>
              <w:spacing w:before="20" w:after="20"/>
              <w:jc w:val="center"/>
              <w:rPr>
                <w:sz w:val="20"/>
              </w:rPr>
            </w:pPr>
            <w:r w:rsidRPr="0020240F">
              <w:rPr>
                <w:sz w:val="20"/>
              </w:rPr>
              <w:t>55.4</w:t>
            </w:r>
          </w:p>
        </w:tc>
        <w:tc>
          <w:tcPr>
            <w:tcW w:w="1701" w:type="dxa"/>
            <w:shd w:val="clear" w:color="auto" w:fill="auto"/>
            <w:vAlign w:val="center"/>
          </w:tcPr>
          <w:p w:rsidR="00677AD2" w:rsidRPr="0020240F" w:rsidRDefault="001E2706" w:rsidP="0020240F">
            <w:pPr>
              <w:spacing w:before="20" w:after="20"/>
              <w:jc w:val="center"/>
              <w:rPr>
                <w:sz w:val="20"/>
              </w:rPr>
            </w:pPr>
            <w:proofErr w:type="spellStart"/>
            <w:r w:rsidRPr="0020240F">
              <w:rPr>
                <w:sz w:val="20"/>
              </w:rPr>
              <w:t>56.0</w:t>
            </w:r>
            <w:r w:rsidR="00101154" w:rsidRPr="0020240F">
              <w:rPr>
                <w:sz w:val="20"/>
              </w:rPr>
              <w:t>b</w:t>
            </w:r>
            <w:proofErr w:type="spellEnd"/>
          </w:p>
        </w:tc>
      </w:tr>
      <w:tr w:rsidR="00947FF8" w:rsidRPr="00947FF8" w:rsidTr="0020240F">
        <w:tc>
          <w:tcPr>
            <w:tcW w:w="6062" w:type="dxa"/>
            <w:tcBorders>
              <w:bottom w:val="single" w:sz="4" w:space="0" w:color="auto"/>
            </w:tcBorders>
            <w:shd w:val="clear" w:color="auto" w:fill="auto"/>
            <w:vAlign w:val="center"/>
          </w:tcPr>
          <w:p w:rsidR="00677AD2" w:rsidRPr="0020240F" w:rsidRDefault="00677AD2" w:rsidP="0020240F">
            <w:pPr>
              <w:spacing w:before="20" w:after="20"/>
              <w:rPr>
                <w:sz w:val="20"/>
              </w:rPr>
            </w:pPr>
            <w:r w:rsidRPr="0020240F">
              <w:rPr>
                <w:sz w:val="20"/>
              </w:rPr>
              <w:t>Proportion of 20 -24 Year olds with Year 12 equivalent or higher qualifications</w:t>
            </w:r>
          </w:p>
        </w:tc>
        <w:tc>
          <w:tcPr>
            <w:tcW w:w="1984" w:type="dxa"/>
            <w:tcBorders>
              <w:bottom w:val="single" w:sz="4" w:space="0" w:color="auto"/>
            </w:tcBorders>
            <w:shd w:val="clear" w:color="auto" w:fill="auto"/>
            <w:vAlign w:val="center"/>
          </w:tcPr>
          <w:p w:rsidR="00677AD2" w:rsidRPr="0020240F" w:rsidRDefault="00677AD2" w:rsidP="0020240F">
            <w:pPr>
              <w:spacing w:before="20" w:after="20"/>
              <w:jc w:val="center"/>
              <w:rPr>
                <w:sz w:val="20"/>
              </w:rPr>
            </w:pPr>
            <w:r w:rsidRPr="0020240F">
              <w:rPr>
                <w:sz w:val="20"/>
              </w:rPr>
              <w:t>83.</w:t>
            </w:r>
            <w:r w:rsidR="0088511E" w:rsidRPr="0020240F">
              <w:rPr>
                <w:sz w:val="20"/>
              </w:rPr>
              <w:t>3</w:t>
            </w:r>
          </w:p>
        </w:tc>
        <w:tc>
          <w:tcPr>
            <w:tcW w:w="1701" w:type="dxa"/>
            <w:tcBorders>
              <w:bottom w:val="single" w:sz="4" w:space="0" w:color="auto"/>
            </w:tcBorders>
            <w:shd w:val="clear" w:color="auto" w:fill="auto"/>
            <w:vAlign w:val="center"/>
          </w:tcPr>
          <w:p w:rsidR="00677AD2" w:rsidRPr="0020240F" w:rsidRDefault="00677AD2" w:rsidP="0020240F">
            <w:pPr>
              <w:spacing w:before="20" w:after="20"/>
              <w:jc w:val="center"/>
              <w:rPr>
                <w:sz w:val="20"/>
              </w:rPr>
            </w:pPr>
            <w:r w:rsidRPr="0020240F">
              <w:rPr>
                <w:sz w:val="20"/>
              </w:rPr>
              <w:t>8</w:t>
            </w:r>
            <w:r w:rsidR="0088511E" w:rsidRPr="0020240F">
              <w:rPr>
                <w:sz w:val="20"/>
              </w:rPr>
              <w:t>5</w:t>
            </w:r>
            <w:r w:rsidRPr="0020240F">
              <w:rPr>
                <w:sz w:val="20"/>
              </w:rPr>
              <w:t>.</w:t>
            </w:r>
            <w:r w:rsidR="0088511E" w:rsidRPr="0020240F">
              <w:rPr>
                <w:sz w:val="20"/>
              </w:rPr>
              <w:t>3</w:t>
            </w:r>
          </w:p>
        </w:tc>
      </w:tr>
    </w:tbl>
    <w:p w:rsidR="007F0911" w:rsidRDefault="00101154" w:rsidP="00677AD2">
      <w:pPr>
        <w:rPr>
          <w:rFonts w:cs="Calibri"/>
          <w:sz w:val="18"/>
          <w:szCs w:val="18"/>
          <w:lang w:val="en-AU"/>
        </w:rPr>
      </w:pPr>
      <w:r>
        <w:rPr>
          <w:rFonts w:cs="Calibri"/>
          <w:sz w:val="18"/>
          <w:szCs w:val="18"/>
          <w:lang w:val="en-AU"/>
        </w:rPr>
        <w:t>Note: a: 2007 data; b:</w:t>
      </w:r>
      <w:r w:rsidR="00DF5E24">
        <w:rPr>
          <w:rFonts w:cs="Calibri"/>
          <w:sz w:val="18"/>
          <w:szCs w:val="18"/>
          <w:lang w:val="en-AU"/>
        </w:rPr>
        <w:t xml:space="preserve"> 2013 data</w:t>
      </w:r>
    </w:p>
    <w:p w:rsidR="00677AD2" w:rsidRPr="001709A9" w:rsidRDefault="00677AD2" w:rsidP="00677AD2">
      <w:pPr>
        <w:rPr>
          <w:rFonts w:cs="Calibri"/>
          <w:sz w:val="18"/>
          <w:szCs w:val="18"/>
          <w:lang w:val="en-AU"/>
        </w:rPr>
      </w:pPr>
      <w:r w:rsidRPr="001709A9">
        <w:rPr>
          <w:rFonts w:cs="Calibri"/>
          <w:sz w:val="18"/>
          <w:szCs w:val="18"/>
          <w:lang w:val="en-AU"/>
        </w:rPr>
        <w:t>Source</w:t>
      </w:r>
      <w:r w:rsidR="0039351A">
        <w:rPr>
          <w:rFonts w:cs="Calibri"/>
          <w:sz w:val="18"/>
          <w:szCs w:val="18"/>
          <w:lang w:val="en-AU"/>
        </w:rPr>
        <w:t>s</w:t>
      </w:r>
      <w:r w:rsidRPr="001709A9">
        <w:rPr>
          <w:rFonts w:cs="Calibri"/>
          <w:sz w:val="18"/>
          <w:szCs w:val="18"/>
          <w:lang w:val="en-AU"/>
        </w:rPr>
        <w:t xml:space="preserve">: </w:t>
      </w:r>
      <w:r w:rsidR="0039351A">
        <w:rPr>
          <w:rFonts w:cs="Calibri"/>
          <w:sz w:val="18"/>
          <w:szCs w:val="18"/>
          <w:lang w:val="en-AU"/>
        </w:rPr>
        <w:t>ILOSTAT; OECD.Stat</w:t>
      </w:r>
      <w:r w:rsidR="006B353D">
        <w:rPr>
          <w:rFonts w:cs="Calibri"/>
          <w:sz w:val="18"/>
          <w:szCs w:val="18"/>
          <w:lang w:val="en-AU"/>
        </w:rPr>
        <w:t>; 2014 data are the most recent internationally comparative data for these indicators</w:t>
      </w:r>
    </w:p>
    <w:p w:rsidR="00677AD2" w:rsidRPr="0020240F" w:rsidRDefault="00677AD2" w:rsidP="0020240F"/>
    <w:p w:rsidR="00F77E6E" w:rsidRPr="001862AE" w:rsidRDefault="00F77E6E" w:rsidP="001862AE">
      <w:pPr>
        <w:keepNext/>
        <w:jc w:val="center"/>
        <w:rPr>
          <w:rFonts w:cs="Calibri"/>
        </w:rPr>
        <w:sectPr w:rsidR="00F77E6E" w:rsidRPr="001862AE" w:rsidSect="00B654BA">
          <w:footerReference w:type="default" r:id="rId16"/>
          <w:pgSz w:w="11850" w:h="16783"/>
          <w:pgMar w:top="2835" w:right="1134" w:bottom="1134" w:left="1134" w:header="851" w:footer="992" w:gutter="0"/>
          <w:pgNumType w:start="1"/>
          <w:cols w:space="720"/>
          <w:docGrid w:linePitch="326"/>
        </w:sectPr>
      </w:pPr>
    </w:p>
    <w:p w:rsidR="009D6347" w:rsidRPr="005801C7" w:rsidRDefault="00D32E33" w:rsidP="00340043">
      <w:pPr>
        <w:pStyle w:val="Heading1"/>
      </w:pPr>
      <w:bookmarkStart w:id="96" w:name="_Toc452625237"/>
      <w:bookmarkStart w:id="97" w:name="_Toc458449934"/>
      <w:bookmarkStart w:id="98" w:name="_Toc486599753"/>
      <w:bookmarkStart w:id="99" w:name="_Toc487182929"/>
      <w:r w:rsidRPr="005801C7">
        <w:lastRenderedPageBreak/>
        <w:t>Key policy commitments in the Employment Plan</w:t>
      </w:r>
      <w:bookmarkEnd w:id="96"/>
      <w:bookmarkEnd w:id="97"/>
      <w:bookmarkEnd w:id="98"/>
      <w:bookmarkEnd w:id="99"/>
      <w:r w:rsidRPr="005801C7">
        <w:t xml:space="preserve"> </w:t>
      </w:r>
    </w:p>
    <w:p w:rsidR="00F47EC4" w:rsidRPr="005234D1" w:rsidRDefault="00F47EC4" w:rsidP="00DB26D7">
      <w:pPr>
        <w:pStyle w:val="Heading2"/>
        <w:spacing w:before="0"/>
      </w:pPr>
      <w:bookmarkStart w:id="100" w:name="_Toc452625238"/>
      <w:bookmarkStart w:id="101" w:name="_Toc458449935"/>
      <w:bookmarkStart w:id="102" w:name="_Toc486599754"/>
      <w:bookmarkStart w:id="103" w:name="_Toc487182930"/>
      <w:r w:rsidRPr="005234D1">
        <w:t xml:space="preserve">Implementation of </w:t>
      </w:r>
      <w:r w:rsidR="005234D1">
        <w:t xml:space="preserve">existing </w:t>
      </w:r>
      <w:r w:rsidRPr="005234D1">
        <w:t>policy commitments</w:t>
      </w:r>
      <w:bookmarkEnd w:id="100"/>
      <w:bookmarkEnd w:id="101"/>
      <w:bookmarkEnd w:id="102"/>
      <w:bookmarkEnd w:id="103"/>
    </w:p>
    <w:p w:rsidR="0010535D" w:rsidRDefault="009D6347" w:rsidP="006C17BF">
      <w:pPr>
        <w:spacing w:after="240"/>
        <w:ind w:right="57"/>
        <w:rPr>
          <w:rFonts w:cs="Calibri"/>
          <w:lang w:val="en-GB"/>
        </w:rPr>
      </w:pPr>
      <w:r w:rsidRPr="00007005">
        <w:rPr>
          <w:rFonts w:cs="Calibri"/>
          <w:lang w:val="en-GB"/>
        </w:rPr>
        <w:t>The following table provides a summary of the implem</w:t>
      </w:r>
      <w:r w:rsidR="00D32CCD">
        <w:rPr>
          <w:rFonts w:cs="Calibri"/>
          <w:lang w:val="en-GB"/>
        </w:rPr>
        <w:t xml:space="preserve">entation of commitments </w:t>
      </w:r>
      <w:r w:rsidR="00171737">
        <w:rPr>
          <w:rFonts w:cs="Calibri"/>
          <w:lang w:val="en-GB"/>
        </w:rPr>
        <w:t>set out in Australia’s G20 Employment Plans</w:t>
      </w:r>
      <w:r w:rsidR="00A45886">
        <w:rPr>
          <w:rFonts w:cs="Calibri"/>
          <w:lang w:val="en-GB"/>
        </w:rPr>
        <w:t xml:space="preserve">. </w:t>
      </w:r>
      <w:r w:rsidR="006C17BF" w:rsidRPr="006C17BF">
        <w:rPr>
          <w:rFonts w:cs="Calibri"/>
          <w:lang w:val="en-GB"/>
        </w:rPr>
        <w:t>Australia</w:t>
      </w:r>
      <w:r w:rsidR="006C17BF">
        <w:rPr>
          <w:rFonts w:cs="Calibri"/>
          <w:lang w:val="en-GB"/>
        </w:rPr>
        <w:t xml:space="preserve">’s G20 Growth Strategy provides further detail on macroeconomic and related policy settings. </w:t>
      </w: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507"/>
      </w:tblGrid>
      <w:tr w:rsidR="00F47EC4" w:rsidRPr="0049518A" w:rsidTr="0020240F">
        <w:trPr>
          <w:cantSplit/>
          <w:tblHeader/>
        </w:trPr>
        <w:tc>
          <w:tcPr>
            <w:tcW w:w="7088" w:type="dxa"/>
            <w:tcBorders>
              <w:bottom w:val="single" w:sz="4" w:space="0" w:color="auto"/>
            </w:tcBorders>
            <w:shd w:val="clear" w:color="auto" w:fill="F2F2F2"/>
          </w:tcPr>
          <w:p w:rsidR="00F47EC4" w:rsidRPr="0049518A" w:rsidRDefault="00F47EC4" w:rsidP="007B1FFF">
            <w:pPr>
              <w:rPr>
                <w:rFonts w:cs="Calibri"/>
                <w:b/>
                <w:lang w:val="en-GB"/>
              </w:rPr>
            </w:pPr>
            <w:r w:rsidRPr="0049518A">
              <w:rPr>
                <w:rFonts w:cs="Calibri"/>
                <w:b/>
                <w:bCs/>
                <w:lang w:val="en-GB"/>
              </w:rPr>
              <w:t xml:space="preserve">Policy </w:t>
            </w:r>
            <w:r>
              <w:rPr>
                <w:rFonts w:cs="Calibri"/>
                <w:b/>
                <w:bCs/>
                <w:lang w:val="en-GB"/>
              </w:rPr>
              <w:t>c</w:t>
            </w:r>
            <w:r w:rsidRPr="0049518A">
              <w:rPr>
                <w:rFonts w:cs="Calibri"/>
                <w:b/>
                <w:bCs/>
                <w:lang w:val="en-GB"/>
              </w:rPr>
              <w:t>ommitment</w:t>
            </w:r>
            <w:r>
              <w:rPr>
                <w:rFonts w:cs="Calibri"/>
                <w:b/>
                <w:bCs/>
                <w:lang w:val="en-GB"/>
              </w:rPr>
              <w:t xml:space="preserve"> / description</w:t>
            </w:r>
          </w:p>
        </w:tc>
        <w:tc>
          <w:tcPr>
            <w:tcW w:w="7507" w:type="dxa"/>
            <w:tcBorders>
              <w:bottom w:val="single" w:sz="4" w:space="0" w:color="auto"/>
            </w:tcBorders>
            <w:shd w:val="clear" w:color="auto" w:fill="F2F2F2"/>
          </w:tcPr>
          <w:p w:rsidR="00F47EC4" w:rsidRPr="0049518A" w:rsidRDefault="00F47EC4" w:rsidP="007B1FFF">
            <w:pPr>
              <w:rPr>
                <w:rFonts w:cs="Calibri"/>
                <w:b/>
                <w:lang w:val="en-GB"/>
              </w:rPr>
            </w:pPr>
            <w:r>
              <w:rPr>
                <w:rFonts w:cs="Calibri"/>
                <w:b/>
                <w:bCs/>
                <w:lang w:val="en-GB"/>
              </w:rPr>
              <w:t>Status of implementation and results achieved</w:t>
            </w:r>
          </w:p>
        </w:tc>
      </w:tr>
      <w:tr w:rsidR="00F47EC4" w:rsidRPr="0049518A" w:rsidTr="0020240F">
        <w:trPr>
          <w:cantSplit/>
        </w:trPr>
        <w:tc>
          <w:tcPr>
            <w:tcW w:w="14595" w:type="dxa"/>
            <w:gridSpan w:val="2"/>
            <w:tcBorders>
              <w:bottom w:val="single" w:sz="4" w:space="0" w:color="auto"/>
            </w:tcBorders>
            <w:shd w:val="clear" w:color="auto" w:fill="F2F2F2"/>
          </w:tcPr>
          <w:p w:rsidR="00F47EC4" w:rsidRPr="009C72B9" w:rsidRDefault="00F47EC4" w:rsidP="007B1FFF">
            <w:pPr>
              <w:ind w:right="-108"/>
              <w:rPr>
                <w:rFonts w:cs="Calibri"/>
                <w:i/>
                <w:lang w:val="en-GB"/>
              </w:rPr>
            </w:pPr>
            <w:r w:rsidRPr="009C72B9">
              <w:rPr>
                <w:rFonts w:cs="Calibri"/>
                <w:i/>
                <w:lang w:val="en-GB"/>
              </w:rPr>
              <w:t>Regulation, finance, incentives, investment and entrepreneurialism</w:t>
            </w:r>
          </w:p>
        </w:tc>
      </w:tr>
      <w:tr w:rsidR="007533CF" w:rsidRPr="0049518A" w:rsidTr="0020240F">
        <w:trPr>
          <w:cantSplit/>
        </w:trPr>
        <w:tc>
          <w:tcPr>
            <w:tcW w:w="7088" w:type="dxa"/>
            <w:tcBorders>
              <w:bottom w:val="single" w:sz="4" w:space="0" w:color="auto"/>
            </w:tcBorders>
            <w:shd w:val="clear" w:color="auto" w:fill="auto"/>
          </w:tcPr>
          <w:p w:rsidR="000051A8" w:rsidRPr="004A2AFF" w:rsidRDefault="000051A8" w:rsidP="0023616D">
            <w:pPr>
              <w:rPr>
                <w:lang w:val="en-GB"/>
              </w:rPr>
            </w:pPr>
            <w:r w:rsidRPr="000051A8">
              <w:rPr>
                <w:lang w:val="en-GB"/>
              </w:rPr>
              <w:t>Tax changes for businesses</w:t>
            </w:r>
            <w:r w:rsidR="00D03A73">
              <w:rPr>
                <w:lang w:val="en-GB"/>
              </w:rPr>
              <w:t xml:space="preserve"> with turnover below $2 million.</w:t>
            </w:r>
          </w:p>
        </w:tc>
        <w:tc>
          <w:tcPr>
            <w:tcW w:w="7507" w:type="dxa"/>
            <w:tcBorders>
              <w:bottom w:val="single" w:sz="4" w:space="0" w:color="auto"/>
            </w:tcBorders>
            <w:shd w:val="clear" w:color="auto" w:fill="auto"/>
          </w:tcPr>
          <w:p w:rsidR="00D03A73" w:rsidRPr="0020240F" w:rsidRDefault="007533CF" w:rsidP="0020240F">
            <w:r w:rsidRPr="0020240F">
              <w:t>Tax cuts for small businesses were legislated in May 2015</w:t>
            </w:r>
            <w:r w:rsidR="0023616D" w:rsidRPr="0020240F">
              <w:t xml:space="preserve"> and implemented from 1 July 2015</w:t>
            </w:r>
            <w:r w:rsidRPr="0020240F">
              <w:t xml:space="preserve">. </w:t>
            </w:r>
            <w:r w:rsidR="00D03A73" w:rsidRPr="0020240F">
              <w:t>These reforms will benefit aro</w:t>
            </w:r>
            <w:r w:rsidR="00174D19">
              <w:t>und 3 million small businesses.</w:t>
            </w:r>
          </w:p>
          <w:p w:rsidR="000051A8" w:rsidRPr="00F21A7B" w:rsidRDefault="007533CF" w:rsidP="0020240F">
            <w:proofErr w:type="gramStart"/>
            <w:r w:rsidRPr="0020240F">
              <w:t>To further support</w:t>
            </w:r>
            <w:proofErr w:type="gramEnd"/>
            <w:r w:rsidRPr="0020240F">
              <w:t xml:space="preserve"> this initia</w:t>
            </w:r>
            <w:r w:rsidR="006B353D" w:rsidRPr="0020240F">
              <w:t>tive, the 2016-17 Budget committed</w:t>
            </w:r>
            <w:r w:rsidRPr="0020240F">
              <w:t xml:space="preserve"> additional support for </w:t>
            </w:r>
            <w:r w:rsidR="00F21A7B" w:rsidRPr="0020240F">
              <w:t>small business from 1 July 2016</w:t>
            </w:r>
            <w:r w:rsidR="0050437E" w:rsidRPr="0020240F">
              <w:t>.</w:t>
            </w:r>
          </w:p>
        </w:tc>
      </w:tr>
      <w:tr w:rsidR="007533CF" w:rsidRPr="0049518A" w:rsidTr="0020240F">
        <w:trPr>
          <w:cantSplit/>
        </w:trPr>
        <w:tc>
          <w:tcPr>
            <w:tcW w:w="7088" w:type="dxa"/>
            <w:tcBorders>
              <w:bottom w:val="single" w:sz="4" w:space="0" w:color="auto"/>
            </w:tcBorders>
            <w:shd w:val="clear" w:color="auto" w:fill="auto"/>
          </w:tcPr>
          <w:p w:rsidR="007533CF" w:rsidRPr="00174D19" w:rsidRDefault="007533CF" w:rsidP="00BC5B6D">
            <w:pPr>
              <w:rPr>
                <w:rFonts w:asciiTheme="minorHAnsi" w:hAnsiTheme="minorHAnsi" w:cstheme="minorHAnsi"/>
                <w:lang w:val="en-GB"/>
              </w:rPr>
            </w:pPr>
            <w:r w:rsidRPr="00174D19">
              <w:rPr>
                <w:rFonts w:asciiTheme="minorHAnsi" w:hAnsiTheme="minorHAnsi" w:cstheme="minorHAnsi"/>
                <w:lang w:val="en-GB"/>
              </w:rPr>
              <w:t xml:space="preserve">Invest over </w:t>
            </w:r>
            <w:r w:rsidR="00C01F09" w:rsidRPr="00174D19">
              <w:rPr>
                <w:rFonts w:asciiTheme="minorHAnsi" w:hAnsiTheme="minorHAnsi" w:cstheme="minorHAnsi"/>
                <w:lang w:val="en-GB"/>
              </w:rPr>
              <w:t>$</w:t>
            </w:r>
            <w:r w:rsidRPr="00174D19">
              <w:rPr>
                <w:rFonts w:asciiTheme="minorHAnsi" w:hAnsiTheme="minorHAnsi" w:cstheme="minorHAnsi"/>
                <w:lang w:val="en-GB"/>
              </w:rPr>
              <w:t>50 billion in land transport infrastructure</w:t>
            </w:r>
            <w:r w:rsidR="00BC5B6D" w:rsidRPr="00174D19">
              <w:rPr>
                <w:rFonts w:asciiTheme="minorHAnsi" w:hAnsiTheme="minorHAnsi" w:cstheme="minorHAnsi"/>
                <w:lang w:val="en-GB"/>
              </w:rPr>
              <w:t xml:space="preserve"> between 2013-14</w:t>
            </w:r>
            <w:r w:rsidR="005E125A" w:rsidRPr="00174D19">
              <w:rPr>
                <w:rFonts w:asciiTheme="minorHAnsi" w:hAnsiTheme="minorHAnsi" w:cstheme="minorHAnsi"/>
                <w:lang w:val="en-GB"/>
              </w:rPr>
              <w:t xml:space="preserve"> </w:t>
            </w:r>
            <w:r w:rsidR="00BC5B6D" w:rsidRPr="00174D19">
              <w:rPr>
                <w:rFonts w:asciiTheme="minorHAnsi" w:hAnsiTheme="minorHAnsi" w:cstheme="minorHAnsi"/>
                <w:lang w:val="en-GB"/>
              </w:rPr>
              <w:t>and</w:t>
            </w:r>
            <w:r w:rsidRPr="00174D19">
              <w:rPr>
                <w:rFonts w:asciiTheme="minorHAnsi" w:hAnsiTheme="minorHAnsi" w:cstheme="minorHAnsi"/>
                <w:lang w:val="en-GB"/>
              </w:rPr>
              <w:t xml:space="preserve"> 2019–20. In combination with contributions from state and territory governments and the private sector, this is a substantial investment in new and upgraded infrastructure.</w:t>
            </w:r>
          </w:p>
        </w:tc>
        <w:tc>
          <w:tcPr>
            <w:tcW w:w="7507" w:type="dxa"/>
            <w:tcBorders>
              <w:bottom w:val="single" w:sz="4" w:space="0" w:color="auto"/>
            </w:tcBorders>
            <w:shd w:val="clear" w:color="auto" w:fill="auto"/>
          </w:tcPr>
          <w:p w:rsidR="007533CF" w:rsidRPr="00174D19" w:rsidRDefault="00174D19" w:rsidP="00174D19">
            <w:r w:rsidRPr="00174D19">
              <w:t>In the 2016-17 Budget, the Australian Government reaffirmed its commitment to invest over $50 billion in land transport infrastructure. This commitment includes Asset Recycling Initiative agreements with New South Wales, the Australian Capital Territory and the Northern Territory.</w:t>
            </w:r>
          </w:p>
        </w:tc>
      </w:tr>
      <w:tr w:rsidR="007533CF" w:rsidRPr="0049518A" w:rsidTr="0020240F">
        <w:trPr>
          <w:cantSplit/>
          <w:trHeight w:val="2403"/>
        </w:trPr>
        <w:tc>
          <w:tcPr>
            <w:tcW w:w="7088" w:type="dxa"/>
            <w:tcBorders>
              <w:bottom w:val="single" w:sz="4" w:space="0" w:color="auto"/>
            </w:tcBorders>
            <w:shd w:val="clear" w:color="auto" w:fill="auto"/>
          </w:tcPr>
          <w:p w:rsidR="007533CF" w:rsidRPr="00174D19" w:rsidRDefault="007533CF" w:rsidP="0051765A">
            <w:pPr>
              <w:rPr>
                <w:rFonts w:asciiTheme="minorHAnsi" w:hAnsiTheme="minorHAnsi" w:cstheme="minorHAnsi"/>
                <w:lang w:val="en-GB"/>
              </w:rPr>
            </w:pPr>
            <w:r w:rsidRPr="00174D19">
              <w:rPr>
                <w:rFonts w:asciiTheme="minorHAnsi" w:hAnsiTheme="minorHAnsi" w:cstheme="minorHAnsi"/>
              </w:rPr>
              <w:lastRenderedPageBreak/>
              <w:t xml:space="preserve">Initiatives announced in the </w:t>
            </w:r>
            <w:r w:rsidRPr="00174D19">
              <w:rPr>
                <w:rFonts w:asciiTheme="minorHAnsi" w:hAnsiTheme="minorHAnsi" w:cstheme="minorHAnsi"/>
                <w:lang w:val="en-GB"/>
              </w:rPr>
              <w:t>National Innovation and Science Agenda (NISA)</w:t>
            </w:r>
            <w:r w:rsidRPr="00174D19">
              <w:rPr>
                <w:rFonts w:asciiTheme="minorHAnsi" w:hAnsiTheme="minorHAnsi" w:cstheme="minorHAnsi"/>
              </w:rPr>
              <w:t xml:space="preserve"> designed to create a culture of innovation and entrepreneurship include</w:t>
            </w:r>
          </w:p>
        </w:tc>
        <w:tc>
          <w:tcPr>
            <w:tcW w:w="7507" w:type="dxa"/>
            <w:tcBorders>
              <w:bottom w:val="single" w:sz="4" w:space="0" w:color="auto"/>
            </w:tcBorders>
            <w:shd w:val="clear" w:color="auto" w:fill="auto"/>
          </w:tcPr>
          <w:p w:rsidR="007533CF" w:rsidRPr="00174D19" w:rsidRDefault="007533CF" w:rsidP="007533CF">
            <w:pPr>
              <w:rPr>
                <w:rFonts w:asciiTheme="minorHAnsi" w:hAnsiTheme="minorHAnsi" w:cstheme="minorHAnsi"/>
              </w:rPr>
            </w:pPr>
            <w:r w:rsidRPr="00174D19">
              <w:rPr>
                <w:rFonts w:asciiTheme="minorHAnsi" w:hAnsiTheme="minorHAnsi" w:cstheme="minorHAnsi"/>
                <w:lang w:val="en-GB"/>
              </w:rPr>
              <w:t xml:space="preserve">Progress is being made on implementation of measures announced under </w:t>
            </w:r>
            <w:r w:rsidR="0051765A" w:rsidRPr="00174D19">
              <w:rPr>
                <w:rFonts w:asciiTheme="minorHAnsi" w:hAnsiTheme="minorHAnsi" w:cstheme="minorHAnsi"/>
                <w:lang w:val="en-GB"/>
              </w:rPr>
              <w:t xml:space="preserve">the </w:t>
            </w:r>
            <w:r w:rsidRPr="00174D19">
              <w:rPr>
                <w:rFonts w:asciiTheme="minorHAnsi" w:hAnsiTheme="minorHAnsi" w:cstheme="minorHAnsi"/>
                <w:lang w:val="en-GB"/>
              </w:rPr>
              <w:t>NISA</w:t>
            </w:r>
            <w:r w:rsidR="0051765A" w:rsidRPr="00174D19">
              <w:rPr>
                <w:rFonts w:asciiTheme="minorHAnsi" w:hAnsiTheme="minorHAnsi" w:cstheme="minorHAnsi"/>
                <w:lang w:val="en-GB"/>
              </w:rPr>
              <w:t>.</w:t>
            </w:r>
          </w:p>
          <w:p w:rsidR="0051765A" w:rsidRPr="00174D19" w:rsidRDefault="0051765A" w:rsidP="0051765A">
            <w:pPr>
              <w:rPr>
                <w:rFonts w:asciiTheme="minorHAnsi" w:hAnsiTheme="minorHAnsi" w:cstheme="minorHAnsi"/>
                <w:lang w:val="en-GB"/>
              </w:rPr>
            </w:pPr>
            <w:r w:rsidRPr="00174D19">
              <w:rPr>
                <w:rFonts w:asciiTheme="minorHAnsi" w:hAnsiTheme="minorHAnsi" w:cstheme="minorHAnsi"/>
                <w:lang w:val="en-GB"/>
              </w:rPr>
              <w:t xml:space="preserve">This builds on the </w:t>
            </w:r>
            <w:r w:rsidRPr="00174D19">
              <w:rPr>
                <w:rFonts w:asciiTheme="minorHAnsi" w:hAnsiTheme="minorHAnsi" w:cstheme="minorHAnsi"/>
              </w:rPr>
              <w:t xml:space="preserve">Australian Government’s flagship </w:t>
            </w:r>
            <w:r w:rsidR="009738BC" w:rsidRPr="00174D19">
              <w:rPr>
                <w:rFonts w:asciiTheme="minorHAnsi" w:hAnsiTheme="minorHAnsi" w:cstheme="minorHAnsi"/>
              </w:rPr>
              <w:t>programs</w:t>
            </w:r>
            <w:r w:rsidRPr="00174D19">
              <w:rPr>
                <w:rFonts w:asciiTheme="minorHAnsi" w:hAnsiTheme="minorHAnsi" w:cstheme="minorHAnsi"/>
              </w:rPr>
              <w:t>, which include:</w:t>
            </w:r>
          </w:p>
          <w:p w:rsidR="0051765A" w:rsidRPr="00174D19" w:rsidRDefault="0051765A" w:rsidP="00CA07CC">
            <w:pPr>
              <w:numPr>
                <w:ilvl w:val="0"/>
                <w:numId w:val="20"/>
              </w:numPr>
              <w:rPr>
                <w:rFonts w:asciiTheme="minorHAnsi" w:hAnsiTheme="minorHAnsi" w:cstheme="minorHAnsi"/>
              </w:rPr>
            </w:pPr>
            <w:r w:rsidRPr="00174D19">
              <w:rPr>
                <w:rFonts w:asciiTheme="minorHAnsi" w:hAnsiTheme="minorHAnsi" w:cstheme="minorHAnsi"/>
              </w:rPr>
              <w:t xml:space="preserve">The R&amp;D Tax Incentive </w:t>
            </w:r>
          </w:p>
          <w:p w:rsidR="0051765A" w:rsidRPr="00174D19" w:rsidRDefault="0051765A" w:rsidP="00CA07CC">
            <w:pPr>
              <w:numPr>
                <w:ilvl w:val="0"/>
                <w:numId w:val="20"/>
              </w:numPr>
              <w:rPr>
                <w:rFonts w:asciiTheme="minorHAnsi" w:hAnsiTheme="minorHAnsi" w:cstheme="minorHAnsi"/>
              </w:rPr>
            </w:pPr>
            <w:r w:rsidRPr="00174D19">
              <w:rPr>
                <w:rFonts w:asciiTheme="minorHAnsi" w:hAnsiTheme="minorHAnsi" w:cstheme="minorHAnsi"/>
              </w:rPr>
              <w:t>The Entrepreneurs’ Programme</w:t>
            </w:r>
          </w:p>
          <w:p w:rsidR="0051765A" w:rsidRPr="00174D19" w:rsidRDefault="0051765A" w:rsidP="00CA07CC">
            <w:pPr>
              <w:numPr>
                <w:ilvl w:val="0"/>
                <w:numId w:val="20"/>
              </w:numPr>
              <w:rPr>
                <w:rFonts w:asciiTheme="minorHAnsi" w:hAnsiTheme="minorHAnsi" w:cstheme="minorHAnsi"/>
              </w:rPr>
            </w:pPr>
            <w:r w:rsidRPr="00174D19">
              <w:rPr>
                <w:rFonts w:asciiTheme="minorHAnsi" w:hAnsiTheme="minorHAnsi" w:cstheme="minorHAnsi"/>
              </w:rPr>
              <w:t>The Cooperative R</w:t>
            </w:r>
            <w:r w:rsidR="00DC1D9C" w:rsidRPr="00174D19">
              <w:rPr>
                <w:rFonts w:asciiTheme="minorHAnsi" w:hAnsiTheme="minorHAnsi" w:cstheme="minorHAnsi"/>
              </w:rPr>
              <w:t>esearch Centres Programme.</w:t>
            </w:r>
            <w:r w:rsidRPr="00174D19">
              <w:rPr>
                <w:rFonts w:asciiTheme="minorHAnsi" w:hAnsiTheme="minorHAnsi" w:cstheme="minorHAnsi"/>
              </w:rPr>
              <w:t xml:space="preserve"> </w:t>
            </w:r>
          </w:p>
          <w:p w:rsidR="007533CF" w:rsidRPr="00174D19" w:rsidRDefault="0051765A" w:rsidP="00CA07CC">
            <w:pPr>
              <w:numPr>
                <w:ilvl w:val="0"/>
                <w:numId w:val="20"/>
              </w:numPr>
              <w:rPr>
                <w:rFonts w:asciiTheme="minorHAnsi" w:hAnsiTheme="minorHAnsi" w:cstheme="minorHAnsi"/>
                <w:lang w:val="en-GB"/>
              </w:rPr>
            </w:pPr>
            <w:r w:rsidRPr="00174D19">
              <w:rPr>
                <w:rFonts w:asciiTheme="minorHAnsi" w:hAnsiTheme="minorHAnsi" w:cstheme="minorHAnsi"/>
              </w:rPr>
              <w:t xml:space="preserve">The Industry Growth Centres Initiative. </w:t>
            </w:r>
          </w:p>
        </w:tc>
      </w:tr>
      <w:tr w:rsidR="00242909" w:rsidRPr="0049518A" w:rsidTr="0020240F">
        <w:trPr>
          <w:cantSplit/>
        </w:trPr>
        <w:tc>
          <w:tcPr>
            <w:tcW w:w="7088" w:type="dxa"/>
            <w:tcBorders>
              <w:bottom w:val="single" w:sz="4" w:space="0" w:color="auto"/>
            </w:tcBorders>
            <w:shd w:val="clear" w:color="auto" w:fill="auto"/>
          </w:tcPr>
          <w:p w:rsidR="00242909" w:rsidRPr="004A2AFF" w:rsidRDefault="0061254D" w:rsidP="00174D19">
            <w:pPr>
              <w:spacing w:after="480"/>
              <w:rPr>
                <w:rFonts w:cs="Calibri"/>
              </w:rPr>
            </w:pPr>
            <w:r>
              <w:rPr>
                <w:lang w:val="en-GB"/>
              </w:rPr>
              <w:t xml:space="preserve">Reduce </w:t>
            </w:r>
            <w:r w:rsidR="00F05325" w:rsidRPr="0049518A">
              <w:rPr>
                <w:lang w:val="en-GB"/>
              </w:rPr>
              <w:t>the cost to business of ‘red and green tape’ by $1 billion by September 2014.</w:t>
            </w:r>
          </w:p>
        </w:tc>
        <w:tc>
          <w:tcPr>
            <w:tcW w:w="7507" w:type="dxa"/>
            <w:tcBorders>
              <w:bottom w:val="single" w:sz="4" w:space="0" w:color="auto"/>
            </w:tcBorders>
            <w:shd w:val="clear" w:color="auto" w:fill="auto"/>
          </w:tcPr>
          <w:p w:rsidR="006B353D" w:rsidRPr="00D3520D" w:rsidRDefault="00165B28" w:rsidP="00174D19">
            <w:pPr>
              <w:rPr>
                <w:rFonts w:cs="Calibri"/>
              </w:rPr>
            </w:pPr>
            <w:r>
              <w:t>As of 31 December 2015, the Government had taken decisions to reduce regulatory burden by $4.8 billion.</w:t>
            </w:r>
          </w:p>
        </w:tc>
      </w:tr>
      <w:tr w:rsidR="00F47EC4" w:rsidRPr="0049518A" w:rsidTr="0020240F">
        <w:trPr>
          <w:cantSplit/>
        </w:trPr>
        <w:tc>
          <w:tcPr>
            <w:tcW w:w="14595" w:type="dxa"/>
            <w:gridSpan w:val="2"/>
            <w:tcBorders>
              <w:bottom w:val="single" w:sz="4" w:space="0" w:color="auto"/>
            </w:tcBorders>
            <w:shd w:val="clear" w:color="auto" w:fill="F2F2F2" w:themeFill="background1" w:themeFillShade="F2"/>
          </w:tcPr>
          <w:p w:rsidR="00F47EC4" w:rsidRPr="009C72B9" w:rsidRDefault="00F47EC4" w:rsidP="007B1FFF">
            <w:pPr>
              <w:rPr>
                <w:rFonts w:cs="Calibri"/>
                <w:i/>
                <w:lang w:val="en-GB"/>
              </w:rPr>
            </w:pPr>
            <w:r w:rsidRPr="009C72B9">
              <w:rPr>
                <w:i/>
                <w:lang w:val="en-GB"/>
              </w:rPr>
              <w:t>Labour market regulation</w:t>
            </w:r>
          </w:p>
        </w:tc>
      </w:tr>
      <w:tr w:rsidR="0063509A" w:rsidRPr="0049518A" w:rsidTr="0020240F">
        <w:trPr>
          <w:cantSplit/>
        </w:trPr>
        <w:tc>
          <w:tcPr>
            <w:tcW w:w="7088" w:type="dxa"/>
            <w:tcBorders>
              <w:bottom w:val="single" w:sz="4" w:space="0" w:color="auto"/>
            </w:tcBorders>
            <w:shd w:val="clear" w:color="auto" w:fill="auto"/>
          </w:tcPr>
          <w:p w:rsidR="0063509A" w:rsidRPr="004A2AFF" w:rsidRDefault="0063509A" w:rsidP="00CA07CC">
            <w:pPr>
              <w:numPr>
                <w:ilvl w:val="0"/>
                <w:numId w:val="8"/>
              </w:numPr>
              <w:ind w:left="318" w:hanging="284"/>
              <w:rPr>
                <w:lang w:val="en-GB"/>
              </w:rPr>
            </w:pPr>
            <w:r w:rsidRPr="004A2AFF">
              <w:rPr>
                <w:lang w:val="en-GB"/>
              </w:rPr>
              <w:t>Changes to improve greenfields agreement bargaining and the rules around industrial action, and to implement other reforms committed to prior to the 2013 federal election.</w:t>
            </w:r>
          </w:p>
          <w:p w:rsidR="0063509A" w:rsidRPr="004A2AFF" w:rsidRDefault="00365DEB" w:rsidP="00CA07CC">
            <w:pPr>
              <w:numPr>
                <w:ilvl w:val="0"/>
                <w:numId w:val="8"/>
              </w:numPr>
              <w:ind w:left="318" w:hanging="284"/>
              <w:rPr>
                <w:lang w:val="en-GB"/>
              </w:rPr>
            </w:pPr>
            <w:r>
              <w:rPr>
                <w:lang w:val="en-GB"/>
              </w:rPr>
              <w:t>Reforms to r</w:t>
            </w:r>
            <w:r w:rsidR="0063509A" w:rsidRPr="004A2AFF">
              <w:rPr>
                <w:lang w:val="en-GB"/>
              </w:rPr>
              <w:t>emove the ability for unions to take industrial action as a ‘first resort’ option.</w:t>
            </w:r>
          </w:p>
        </w:tc>
        <w:tc>
          <w:tcPr>
            <w:tcW w:w="7507" w:type="dxa"/>
            <w:tcBorders>
              <w:bottom w:val="single" w:sz="4" w:space="0" w:color="auto"/>
            </w:tcBorders>
            <w:shd w:val="clear" w:color="auto" w:fill="auto"/>
          </w:tcPr>
          <w:p w:rsidR="0063509A" w:rsidRPr="000D502F" w:rsidRDefault="0063509A" w:rsidP="00880AC7">
            <w:pPr>
              <w:rPr>
                <w:rFonts w:cs="Calibri"/>
                <w:lang w:val="en-GB"/>
              </w:rPr>
            </w:pPr>
            <w:r w:rsidRPr="000D502F">
              <w:rPr>
                <w:rFonts w:cs="Calibri"/>
                <w:lang w:val="en-GB"/>
              </w:rPr>
              <w:t>Legislation to ensure timely bargaining for greenfields agreement negotiations and to remove the ability for unions to take industrial action before bargaining was passed by the Parliament and received Royal Assent on 26 November 2015.</w:t>
            </w:r>
          </w:p>
        </w:tc>
      </w:tr>
      <w:tr w:rsidR="0063509A" w:rsidRPr="0049518A" w:rsidTr="0020240F">
        <w:trPr>
          <w:cantSplit/>
        </w:trPr>
        <w:tc>
          <w:tcPr>
            <w:tcW w:w="7088" w:type="dxa"/>
            <w:tcBorders>
              <w:bottom w:val="single" w:sz="4" w:space="0" w:color="auto"/>
            </w:tcBorders>
            <w:shd w:val="clear" w:color="auto" w:fill="auto"/>
          </w:tcPr>
          <w:p w:rsidR="0063509A" w:rsidRPr="0063509A" w:rsidRDefault="0063509A" w:rsidP="00174D19">
            <w:pPr>
              <w:spacing w:after="600"/>
              <w:rPr>
                <w:lang w:val="en-GB"/>
              </w:rPr>
            </w:pPr>
            <w:r w:rsidRPr="004A2AFF">
              <w:rPr>
                <w:lang w:val="en-GB"/>
              </w:rPr>
              <w:t>Establish a Registered Organisations Commission to improve the governance of unions and employer organisations, in the interests of both workers and businesses.</w:t>
            </w:r>
          </w:p>
        </w:tc>
        <w:tc>
          <w:tcPr>
            <w:tcW w:w="7507" w:type="dxa"/>
            <w:tcBorders>
              <w:bottom w:val="single" w:sz="4" w:space="0" w:color="auto"/>
            </w:tcBorders>
            <w:shd w:val="clear" w:color="auto" w:fill="auto"/>
          </w:tcPr>
          <w:p w:rsidR="0063509A" w:rsidRPr="000D502F" w:rsidRDefault="0063509A" w:rsidP="0023616D">
            <w:pPr>
              <w:rPr>
                <w:rFonts w:cs="Calibri"/>
                <w:lang w:val="en-GB"/>
              </w:rPr>
            </w:pPr>
            <w:r w:rsidRPr="000D502F">
              <w:rPr>
                <w:rFonts w:cs="Calibri"/>
                <w:lang w:val="en-GB"/>
              </w:rPr>
              <w:t>Legislation to introduce a Registered Organisations Commission was reintroduced to the Parliament on 18 April 2016.</w:t>
            </w:r>
          </w:p>
        </w:tc>
      </w:tr>
      <w:tr w:rsidR="00A71D4C" w:rsidRPr="0049518A" w:rsidTr="0020240F">
        <w:trPr>
          <w:cantSplit/>
        </w:trPr>
        <w:tc>
          <w:tcPr>
            <w:tcW w:w="14595" w:type="dxa"/>
            <w:gridSpan w:val="2"/>
            <w:tcBorders>
              <w:bottom w:val="single" w:sz="4" w:space="0" w:color="auto"/>
            </w:tcBorders>
            <w:shd w:val="clear" w:color="auto" w:fill="F2F2F2" w:themeFill="background1" w:themeFillShade="F2"/>
          </w:tcPr>
          <w:p w:rsidR="00A71D4C" w:rsidRPr="00210DF2" w:rsidRDefault="00A71D4C" w:rsidP="006D10AB">
            <w:pPr>
              <w:rPr>
                <w:rFonts w:cs="Calibri"/>
                <w:lang w:val="en-GB"/>
              </w:rPr>
            </w:pPr>
            <w:r w:rsidRPr="00210DF2">
              <w:rPr>
                <w:i/>
                <w:lang w:val="en-GB"/>
              </w:rPr>
              <w:lastRenderedPageBreak/>
              <w:t>Social protection</w:t>
            </w:r>
          </w:p>
        </w:tc>
      </w:tr>
      <w:tr w:rsidR="000276A6" w:rsidRPr="0049518A" w:rsidTr="0020240F">
        <w:trPr>
          <w:cantSplit/>
        </w:trPr>
        <w:tc>
          <w:tcPr>
            <w:tcW w:w="7088" w:type="dxa"/>
            <w:tcBorders>
              <w:bottom w:val="single" w:sz="4" w:space="0" w:color="auto"/>
            </w:tcBorders>
            <w:shd w:val="clear" w:color="auto" w:fill="auto"/>
          </w:tcPr>
          <w:p w:rsidR="000276A6" w:rsidRPr="00DE066E" w:rsidRDefault="000276A6" w:rsidP="006D10AB">
            <w:pPr>
              <w:rPr>
                <w:rFonts w:cs="Calibri"/>
                <w:lang w:val="en-GB"/>
              </w:rPr>
            </w:pPr>
            <w:r>
              <w:rPr>
                <w:rFonts w:cs="Calibri"/>
              </w:rPr>
              <w:t>In 2015-16, the Government committed $33.7 million to implement the Australian Priority Investment Approach to Welfare, which funds actuarial valuations to assist the Government to identify risk factors driving long-term welfare dependency and people who would benefit from policy interventions that increase their likelihood of stable employment.</w:t>
            </w:r>
          </w:p>
        </w:tc>
        <w:tc>
          <w:tcPr>
            <w:tcW w:w="7507" w:type="dxa"/>
            <w:tcBorders>
              <w:bottom w:val="single" w:sz="4" w:space="0" w:color="auto"/>
            </w:tcBorders>
            <w:shd w:val="clear" w:color="auto" w:fill="auto"/>
          </w:tcPr>
          <w:p w:rsidR="000276A6" w:rsidRPr="00DE066E" w:rsidRDefault="000276A6" w:rsidP="0023616D">
            <w:pPr>
              <w:rPr>
                <w:rFonts w:cs="Calibri"/>
                <w:lang w:val="en-GB"/>
              </w:rPr>
            </w:pPr>
            <w:r>
              <w:rPr>
                <w:rFonts w:cs="Calibri"/>
              </w:rPr>
              <w:t>This measure is underway. The 2016</w:t>
            </w:r>
            <w:r>
              <w:rPr>
                <w:rFonts w:cs="Calibri"/>
              </w:rPr>
              <w:noBreakHyphen/>
              <w:t xml:space="preserve">17 Budget committed a further </w:t>
            </w:r>
            <w:r w:rsidR="00C14BA7">
              <w:rPr>
                <w:rFonts w:cs="Calibri"/>
              </w:rPr>
              <w:br/>
            </w:r>
            <w:r>
              <w:rPr>
                <w:rFonts w:cs="Calibri"/>
              </w:rPr>
              <w:t>$96 million over four years for a new Try, Test and Learn Fund, which will apply and test the effectiveness of innovative policy interventions to assist people who have the capacity to work and are at risk of long-term welfare dependency</w:t>
            </w:r>
            <w:r w:rsidR="0023616D">
              <w:rPr>
                <w:rFonts w:cs="Calibri"/>
              </w:rPr>
              <w:t>.</w:t>
            </w:r>
          </w:p>
        </w:tc>
      </w:tr>
      <w:tr w:rsidR="000276A6" w:rsidRPr="0049518A" w:rsidTr="0020240F">
        <w:trPr>
          <w:cantSplit/>
        </w:trPr>
        <w:tc>
          <w:tcPr>
            <w:tcW w:w="14595" w:type="dxa"/>
            <w:gridSpan w:val="2"/>
            <w:tcBorders>
              <w:bottom w:val="single" w:sz="4" w:space="0" w:color="auto"/>
            </w:tcBorders>
            <w:shd w:val="clear" w:color="auto" w:fill="F2F2F2" w:themeFill="background1" w:themeFillShade="F2"/>
          </w:tcPr>
          <w:p w:rsidR="000276A6" w:rsidRPr="00210DF2" w:rsidRDefault="000276A6" w:rsidP="007B1FFF">
            <w:pPr>
              <w:rPr>
                <w:rFonts w:cs="Calibri"/>
                <w:i/>
                <w:lang w:val="en-GB"/>
              </w:rPr>
            </w:pPr>
            <w:r w:rsidRPr="00210DF2">
              <w:rPr>
                <w:rFonts w:cs="Calibri"/>
                <w:i/>
                <w:lang w:val="en-GB"/>
              </w:rPr>
              <w:t>Active labour market programs</w:t>
            </w:r>
          </w:p>
        </w:tc>
      </w:tr>
      <w:tr w:rsidR="000276A6" w:rsidRPr="0049518A" w:rsidTr="0020240F">
        <w:trPr>
          <w:cantSplit/>
        </w:trPr>
        <w:tc>
          <w:tcPr>
            <w:tcW w:w="7088" w:type="dxa"/>
            <w:shd w:val="clear" w:color="auto" w:fill="auto"/>
          </w:tcPr>
          <w:p w:rsidR="000276A6" w:rsidRPr="0049518A" w:rsidRDefault="000276A6" w:rsidP="0049518A">
            <w:pPr>
              <w:rPr>
                <w:rFonts w:cs="Calibri"/>
                <w:lang w:val="en-GB"/>
              </w:rPr>
            </w:pPr>
            <w:r>
              <w:rPr>
                <w:rFonts w:cs="Calibri"/>
                <w:lang w:val="en-GB"/>
              </w:rPr>
              <w:t>Stronger mutual o</w:t>
            </w:r>
            <w:r w:rsidRPr="0049518A">
              <w:rPr>
                <w:rFonts w:cs="Calibri"/>
                <w:lang w:val="en-GB"/>
              </w:rPr>
              <w:t>bligations will require job seekers aged up to 30 to complete 650 hours over 26 weeks (25 hours per week) and job seekers aged 30 and up to 60 to complete 390 hours over 26 weeks (15 hours per week) of an eligible activity. Job seekers under 50 years of age will undertake Work for the Dole as the principal activity.</w:t>
            </w:r>
          </w:p>
        </w:tc>
        <w:tc>
          <w:tcPr>
            <w:tcW w:w="7507" w:type="dxa"/>
            <w:shd w:val="clear" w:color="auto" w:fill="auto"/>
          </w:tcPr>
          <w:p w:rsidR="000276A6" w:rsidRPr="0049518A" w:rsidRDefault="000276A6" w:rsidP="0049518A">
            <w:pPr>
              <w:rPr>
                <w:rFonts w:cs="Calibri"/>
                <w:lang w:val="en-GB"/>
              </w:rPr>
            </w:pPr>
            <w:r w:rsidRPr="0049518A">
              <w:rPr>
                <w:rFonts w:cs="Calibri"/>
                <w:lang w:val="en-GB"/>
              </w:rPr>
              <w:t>Implemented on 1 July 2015</w:t>
            </w:r>
            <w:r w:rsidR="0086204D">
              <w:rPr>
                <w:rFonts w:cs="Calibri"/>
                <w:lang w:val="en-GB"/>
              </w:rPr>
              <w:t>.</w:t>
            </w:r>
          </w:p>
        </w:tc>
      </w:tr>
      <w:tr w:rsidR="000276A6" w:rsidRPr="0049518A" w:rsidTr="00290750">
        <w:tc>
          <w:tcPr>
            <w:tcW w:w="7088" w:type="dxa"/>
            <w:tcBorders>
              <w:bottom w:val="single" w:sz="4" w:space="0" w:color="auto"/>
            </w:tcBorders>
            <w:shd w:val="clear" w:color="auto" w:fill="auto"/>
          </w:tcPr>
          <w:p w:rsidR="000276A6" w:rsidRPr="0049518A" w:rsidRDefault="000276A6" w:rsidP="0049518A">
            <w:pPr>
              <w:rPr>
                <w:rFonts w:cs="Calibri"/>
                <w:lang w:val="en-GB"/>
              </w:rPr>
            </w:pPr>
            <w:proofErr w:type="gramStart"/>
            <w:r w:rsidRPr="001264AF">
              <w:rPr>
                <w:rFonts w:cs="Calibri"/>
                <w:lang w:val="en-GB"/>
              </w:rPr>
              <w:t>Enhancing wage subsidies to benefit both job seekers and businesses</w:t>
            </w:r>
            <w:r w:rsidR="0086204D">
              <w:rPr>
                <w:rFonts w:cs="Calibri"/>
                <w:lang w:val="en-GB"/>
              </w:rPr>
              <w:t>.</w:t>
            </w:r>
            <w:proofErr w:type="gramEnd"/>
          </w:p>
        </w:tc>
        <w:tc>
          <w:tcPr>
            <w:tcW w:w="7507" w:type="dxa"/>
            <w:tcBorders>
              <w:bottom w:val="single" w:sz="4" w:space="0" w:color="auto"/>
            </w:tcBorders>
            <w:shd w:val="clear" w:color="auto" w:fill="auto"/>
          </w:tcPr>
          <w:p w:rsidR="000276A6" w:rsidRPr="0049518A" w:rsidRDefault="000276A6" w:rsidP="00A71D4C">
            <w:pPr>
              <w:rPr>
                <w:rFonts w:cs="Calibri"/>
                <w:lang w:val="en-GB"/>
              </w:rPr>
            </w:pPr>
            <w:r w:rsidRPr="001264AF">
              <w:rPr>
                <w:rFonts w:cs="Calibri"/>
                <w:lang w:val="en-GB"/>
              </w:rPr>
              <w:t>As part of these reforms, existing wage subsidies (including those for youth, parents, Indigenous, mature age, and the long term unemployed) will be streamlined, making them easier for employers to access.</w:t>
            </w:r>
            <w:r>
              <w:rPr>
                <w:rFonts w:cs="Calibri"/>
                <w:lang w:val="en-GB"/>
              </w:rPr>
              <w:t xml:space="preserve"> This will commence from 1 January 2017.</w:t>
            </w:r>
          </w:p>
        </w:tc>
      </w:tr>
      <w:tr w:rsidR="000276A6" w:rsidRPr="0049518A" w:rsidTr="00290750">
        <w:tc>
          <w:tcPr>
            <w:tcW w:w="14595" w:type="dxa"/>
            <w:gridSpan w:val="2"/>
            <w:tcBorders>
              <w:bottom w:val="single" w:sz="4" w:space="0" w:color="auto"/>
            </w:tcBorders>
            <w:shd w:val="clear" w:color="auto" w:fill="F2F2F2" w:themeFill="background1" w:themeFillShade="F2"/>
          </w:tcPr>
          <w:p w:rsidR="000276A6" w:rsidRPr="00210DF2" w:rsidRDefault="000276A6" w:rsidP="0049518A">
            <w:pPr>
              <w:rPr>
                <w:rFonts w:cs="Calibri"/>
                <w:i/>
                <w:lang w:val="en-GB"/>
              </w:rPr>
            </w:pPr>
            <w:r w:rsidRPr="00210DF2">
              <w:rPr>
                <w:rFonts w:cs="Calibri"/>
                <w:i/>
                <w:lang w:val="en-GB"/>
              </w:rPr>
              <w:t>Women</w:t>
            </w:r>
          </w:p>
        </w:tc>
      </w:tr>
      <w:tr w:rsidR="000276A6" w:rsidRPr="0049518A" w:rsidTr="00290750">
        <w:trPr>
          <w:trHeight w:val="1919"/>
        </w:trPr>
        <w:tc>
          <w:tcPr>
            <w:tcW w:w="7088" w:type="dxa"/>
            <w:shd w:val="clear" w:color="auto" w:fill="auto"/>
          </w:tcPr>
          <w:p w:rsidR="000276A6" w:rsidRPr="000D502F" w:rsidRDefault="000276A6" w:rsidP="00ED71F0">
            <w:pPr>
              <w:rPr>
                <w:rFonts w:eastAsia="Times New Roman" w:cs="Calibri"/>
                <w:lang w:val="en-GB"/>
              </w:rPr>
            </w:pPr>
            <w:r w:rsidRPr="000D502F">
              <w:rPr>
                <w:rFonts w:eastAsia="Times New Roman" w:cs="Calibri"/>
                <w:bCs/>
                <w:lang w:val="en-GB"/>
              </w:rPr>
              <w:t>The</w:t>
            </w:r>
            <w:r w:rsidRPr="000D502F">
              <w:rPr>
                <w:rFonts w:eastAsia="Times New Roman" w:cs="Calibri"/>
                <w:b/>
                <w:bCs/>
                <w:lang w:val="en-GB"/>
              </w:rPr>
              <w:t xml:space="preserve"> </w:t>
            </w:r>
            <w:r w:rsidRPr="000D502F">
              <w:rPr>
                <w:rFonts w:eastAsia="Times New Roman" w:cs="Calibri"/>
                <w:bCs/>
                <w:i/>
              </w:rPr>
              <w:t>Jobs for Families</w:t>
            </w:r>
            <w:r w:rsidRPr="000D502F">
              <w:rPr>
                <w:rFonts w:eastAsia="Times New Roman" w:cs="Calibri"/>
                <w:bCs/>
              </w:rPr>
              <w:t xml:space="preserve"> Child Care Package </w:t>
            </w:r>
            <w:r>
              <w:rPr>
                <w:rFonts w:eastAsia="Times New Roman" w:cs="Calibri"/>
                <w:bCs/>
              </w:rPr>
              <w:t>announced in 2015 included</w:t>
            </w:r>
            <w:r w:rsidRPr="000D502F">
              <w:rPr>
                <w:rFonts w:eastAsia="Times New Roman" w:cs="Calibri"/>
                <w:lang w:val="en-GB"/>
              </w:rPr>
              <w:t>:</w:t>
            </w:r>
          </w:p>
          <w:p w:rsidR="000276A6" w:rsidRDefault="000276A6" w:rsidP="003018CD">
            <w:pPr>
              <w:pStyle w:val="MediumGrid1-Accent21"/>
              <w:numPr>
                <w:ilvl w:val="0"/>
                <w:numId w:val="6"/>
              </w:numPr>
              <w:suppressAutoHyphens w:val="0"/>
              <w:autoSpaceDE/>
              <w:autoSpaceDN/>
              <w:adjustRightInd/>
              <w:spacing w:after="0"/>
              <w:textAlignment w:val="auto"/>
              <w:rPr>
                <w:color w:val="auto"/>
                <w:sz w:val="22"/>
                <w:szCs w:val="22"/>
              </w:rPr>
            </w:pPr>
            <w:r w:rsidRPr="000D502F">
              <w:rPr>
                <w:color w:val="auto"/>
                <w:sz w:val="22"/>
                <w:szCs w:val="22"/>
              </w:rPr>
              <w:t xml:space="preserve">A Child Care Safety Net to provide targeted assistance to child care services in disadvantaged communities and also disadvantaged or vulnerable families and children. </w:t>
            </w:r>
          </w:p>
          <w:p w:rsidR="000276A6" w:rsidRDefault="000276A6" w:rsidP="003018CD">
            <w:pPr>
              <w:pStyle w:val="MediumGrid1-Accent21"/>
              <w:numPr>
                <w:ilvl w:val="0"/>
                <w:numId w:val="6"/>
              </w:numPr>
              <w:suppressAutoHyphens w:val="0"/>
              <w:autoSpaceDE/>
              <w:autoSpaceDN/>
              <w:adjustRightInd/>
              <w:spacing w:after="0"/>
              <w:textAlignment w:val="auto"/>
              <w:rPr>
                <w:color w:val="auto"/>
                <w:sz w:val="22"/>
                <w:szCs w:val="22"/>
                <w:lang w:val="en-GB"/>
              </w:rPr>
            </w:pPr>
            <w:r w:rsidRPr="00DB5E9B">
              <w:rPr>
                <w:color w:val="auto"/>
                <w:sz w:val="22"/>
                <w:szCs w:val="22"/>
              </w:rPr>
              <w:t>A new means-tested Child Care Subsidy, starting from 2 July 2018.</w:t>
            </w:r>
          </w:p>
          <w:p w:rsidR="000276A6" w:rsidRPr="00870EF1" w:rsidRDefault="000276A6" w:rsidP="00174D19">
            <w:pPr>
              <w:pStyle w:val="MediumGrid1-Accent21"/>
              <w:numPr>
                <w:ilvl w:val="0"/>
                <w:numId w:val="6"/>
              </w:numPr>
              <w:suppressAutoHyphens w:val="0"/>
              <w:autoSpaceDE/>
              <w:autoSpaceDN/>
              <w:adjustRightInd/>
              <w:spacing w:after="0"/>
              <w:textAlignment w:val="auto"/>
              <w:rPr>
                <w:color w:val="auto"/>
                <w:sz w:val="22"/>
                <w:szCs w:val="22"/>
              </w:rPr>
            </w:pPr>
            <w:r w:rsidRPr="000D502F">
              <w:rPr>
                <w:color w:val="auto"/>
                <w:sz w:val="22"/>
                <w:szCs w:val="22"/>
                <w:lang w:val="en-GB"/>
              </w:rPr>
              <w:t xml:space="preserve">A Nanny Pilot Programme to support eligible families who struggle to access child care services. An evaluation of the program will inform </w:t>
            </w:r>
            <w:r w:rsidRPr="000D502F">
              <w:rPr>
                <w:color w:val="auto"/>
                <w:sz w:val="22"/>
                <w:szCs w:val="22"/>
                <w:lang w:val="en-GB"/>
              </w:rPr>
              <w:lastRenderedPageBreak/>
              <w:t xml:space="preserve">future policy on how care in the family home </w:t>
            </w:r>
            <w:proofErr w:type="gramStart"/>
            <w:r w:rsidRPr="000D502F">
              <w:rPr>
                <w:color w:val="auto"/>
                <w:sz w:val="22"/>
                <w:szCs w:val="22"/>
                <w:lang w:val="en-GB"/>
              </w:rPr>
              <w:t>can be supported</w:t>
            </w:r>
            <w:proofErr w:type="gramEnd"/>
            <w:r w:rsidRPr="000D502F">
              <w:rPr>
                <w:color w:val="auto"/>
                <w:sz w:val="22"/>
                <w:szCs w:val="22"/>
                <w:lang w:val="en-GB"/>
              </w:rPr>
              <w:t xml:space="preserve"> beyond the pilot period.</w:t>
            </w:r>
          </w:p>
        </w:tc>
        <w:tc>
          <w:tcPr>
            <w:tcW w:w="7507" w:type="dxa"/>
            <w:shd w:val="clear" w:color="auto" w:fill="auto"/>
          </w:tcPr>
          <w:p w:rsidR="000276A6" w:rsidRDefault="000276A6" w:rsidP="00950C42">
            <w:r>
              <w:lastRenderedPageBreak/>
              <w:t>C</w:t>
            </w:r>
            <w:r w:rsidRPr="000D502F">
              <w:t xml:space="preserve">omponents of the Child Care Safety Net that </w:t>
            </w:r>
            <w:r>
              <w:t>could</w:t>
            </w:r>
            <w:r w:rsidRPr="000D502F">
              <w:t xml:space="preserve"> proceed without legislation, namely the Inclusion Support Programme and</w:t>
            </w:r>
            <w:r>
              <w:t xml:space="preserve"> the Connected Beginnings Programme have commenced.</w:t>
            </w:r>
          </w:p>
          <w:p w:rsidR="000276A6" w:rsidRDefault="000276A6" w:rsidP="00950C42">
            <w:r w:rsidRPr="000D502F">
              <w:t>Other components of the Package, including the Child Care Subsidy and the Additional Child Care Subsidy, will commence in July 2018, pending the passage of legislation.</w:t>
            </w:r>
          </w:p>
          <w:p w:rsidR="000276A6" w:rsidRPr="000D502F" w:rsidRDefault="000276A6" w:rsidP="00950C42">
            <w:pPr>
              <w:rPr>
                <w:rFonts w:cs="Calibri"/>
                <w:lang w:val="en-GB"/>
              </w:rPr>
            </w:pPr>
            <w:r w:rsidRPr="000D502F">
              <w:lastRenderedPageBreak/>
              <w:t xml:space="preserve">The Nanny Pilot Programme commenced in January 2016 and will continue until 30 June 2018. </w:t>
            </w:r>
            <w:r>
              <w:t>I</w:t>
            </w:r>
            <w:r w:rsidRPr="000D502F">
              <w:t>t was announced in the 2016-17 Budget that the maximum per child subsidy for families would increase from $5.95 per hour to $8.50 per hour effective 1 June 2016.</w:t>
            </w:r>
          </w:p>
        </w:tc>
      </w:tr>
      <w:tr w:rsidR="00C738F5" w:rsidRPr="0049518A" w:rsidTr="00C738F5">
        <w:trPr>
          <w:trHeight w:val="227"/>
        </w:trPr>
        <w:tc>
          <w:tcPr>
            <w:tcW w:w="14595" w:type="dxa"/>
            <w:gridSpan w:val="2"/>
            <w:shd w:val="clear" w:color="auto" w:fill="F2F2F2" w:themeFill="background1" w:themeFillShade="F2"/>
          </w:tcPr>
          <w:p w:rsidR="00C738F5" w:rsidRDefault="00C738F5">
            <w:r>
              <w:rPr>
                <w:rFonts w:cs="Calibri"/>
                <w:i/>
                <w:lang w:val="en-GB"/>
              </w:rPr>
              <w:lastRenderedPageBreak/>
              <w:t>Migrant Workers</w:t>
            </w:r>
          </w:p>
        </w:tc>
      </w:tr>
      <w:tr w:rsidR="00C738F5" w:rsidRPr="0049518A" w:rsidTr="0057399D">
        <w:trPr>
          <w:trHeight w:val="1010"/>
        </w:trPr>
        <w:tc>
          <w:tcPr>
            <w:tcW w:w="7088" w:type="dxa"/>
            <w:shd w:val="clear" w:color="auto" w:fill="auto"/>
          </w:tcPr>
          <w:p w:rsidR="00287E31" w:rsidRPr="00287E31" w:rsidRDefault="00287E31" w:rsidP="00ED71F0">
            <w:pPr>
              <w:rPr>
                <w:lang w:val="en"/>
              </w:rPr>
            </w:pPr>
            <w:r w:rsidRPr="00287E31">
              <w:rPr>
                <w:lang w:val="en"/>
              </w:rPr>
              <w:t>The Australian Government will further improve the protections for vulnerable overseas workers in Australia. Specific measures include:</w:t>
            </w:r>
          </w:p>
          <w:p w:rsidR="00287E31" w:rsidRPr="00287E31" w:rsidRDefault="00287E31" w:rsidP="00174D19">
            <w:pPr>
              <w:pStyle w:val="ListParagraph"/>
              <w:numPr>
                <w:ilvl w:val="0"/>
                <w:numId w:val="29"/>
              </w:numPr>
              <w:spacing w:before="20" w:after="20"/>
            </w:pPr>
            <w:r w:rsidRPr="00287E31">
              <w:t>The establishment of a Migrant Workers</w:t>
            </w:r>
            <w:r w:rsidR="00C713A5">
              <w:t>’</w:t>
            </w:r>
            <w:r w:rsidRPr="00287E31">
              <w:t xml:space="preserve"> Taskforce to provide expert advice on measures that will deliver better protections for overseas workers</w:t>
            </w:r>
          </w:p>
          <w:p w:rsidR="00287E31" w:rsidRPr="00287E31" w:rsidRDefault="00287E31" w:rsidP="00174D19">
            <w:pPr>
              <w:pStyle w:val="ListParagraph"/>
              <w:numPr>
                <w:ilvl w:val="0"/>
                <w:numId w:val="29"/>
              </w:numPr>
              <w:spacing w:before="20" w:after="20"/>
            </w:pPr>
            <w:r w:rsidRPr="00287E31">
              <w:t>Increasing penalties that apply to employers who underpay workers and who fail to keep proper employment records</w:t>
            </w:r>
          </w:p>
          <w:p w:rsidR="00287E31" w:rsidRPr="00287E31" w:rsidRDefault="00287E31" w:rsidP="00174D19">
            <w:pPr>
              <w:pStyle w:val="ListParagraph"/>
              <w:numPr>
                <w:ilvl w:val="0"/>
                <w:numId w:val="29"/>
              </w:numPr>
              <w:spacing w:before="20" w:after="20"/>
            </w:pPr>
            <w:r w:rsidRPr="00287E31">
              <w:t>Introducing new provisions that capture franchisors who fail to deal with exploitation by their franchisees</w:t>
            </w:r>
          </w:p>
          <w:p w:rsidR="00287E31" w:rsidRPr="00287E31" w:rsidRDefault="00287E31" w:rsidP="00174D19">
            <w:pPr>
              <w:pStyle w:val="ListParagraph"/>
              <w:numPr>
                <w:ilvl w:val="0"/>
                <w:numId w:val="29"/>
              </w:numPr>
              <w:spacing w:before="20" w:after="20"/>
            </w:pPr>
            <w:r w:rsidRPr="00287E31">
              <w:t>Delivering a $20 million funding increase for the capabilities and workforce of the Fair Work Ombudsman</w:t>
            </w:r>
          </w:p>
          <w:p w:rsidR="00C738F5" w:rsidRPr="00287E31" w:rsidRDefault="00287E31" w:rsidP="00174D19">
            <w:pPr>
              <w:pStyle w:val="ListParagraph"/>
              <w:numPr>
                <w:ilvl w:val="0"/>
                <w:numId w:val="29"/>
              </w:numPr>
              <w:spacing w:before="20" w:after="20"/>
            </w:pPr>
            <w:proofErr w:type="gramStart"/>
            <w:r w:rsidRPr="00287E31">
              <w:t>Strengthening the powers of the Fair Work Ombudsman so that it can more effectively deal with employers who intentionally exploit workers.</w:t>
            </w:r>
            <w:proofErr w:type="gramEnd"/>
          </w:p>
        </w:tc>
        <w:tc>
          <w:tcPr>
            <w:tcW w:w="7507" w:type="dxa"/>
            <w:shd w:val="clear" w:color="auto" w:fill="auto"/>
          </w:tcPr>
          <w:p w:rsidR="0057399D" w:rsidRDefault="00287E31" w:rsidP="0052658D">
            <w:pPr>
              <w:rPr>
                <w:lang w:val="en"/>
              </w:rPr>
            </w:pPr>
            <w:r>
              <w:rPr>
                <w:lang w:val="en"/>
              </w:rPr>
              <w:t xml:space="preserve">The </w:t>
            </w:r>
            <w:r w:rsidRPr="00287E31">
              <w:rPr>
                <w:lang w:val="en"/>
              </w:rPr>
              <w:t>Migrant Workers</w:t>
            </w:r>
            <w:r w:rsidR="00C713A5">
              <w:rPr>
                <w:lang w:val="en"/>
              </w:rPr>
              <w:t>’</w:t>
            </w:r>
            <w:r w:rsidRPr="00287E31">
              <w:rPr>
                <w:lang w:val="en"/>
              </w:rPr>
              <w:t xml:space="preserve"> Taskforce</w:t>
            </w:r>
            <w:r>
              <w:rPr>
                <w:lang w:val="en"/>
              </w:rPr>
              <w:t xml:space="preserve"> </w:t>
            </w:r>
            <w:proofErr w:type="gramStart"/>
            <w:r>
              <w:rPr>
                <w:lang w:val="en"/>
              </w:rPr>
              <w:t>was established</w:t>
            </w:r>
            <w:proofErr w:type="gramEnd"/>
            <w:r>
              <w:rPr>
                <w:lang w:val="en"/>
              </w:rPr>
              <w:t xml:space="preserve"> in October 2016.</w:t>
            </w:r>
          </w:p>
          <w:p w:rsidR="00C738F5" w:rsidRDefault="00C738F5" w:rsidP="0052658D"/>
        </w:tc>
      </w:tr>
      <w:tr w:rsidR="000276A6" w:rsidRPr="0049518A" w:rsidTr="00290750">
        <w:tc>
          <w:tcPr>
            <w:tcW w:w="14595" w:type="dxa"/>
            <w:gridSpan w:val="2"/>
            <w:tcBorders>
              <w:bottom w:val="single" w:sz="4" w:space="0" w:color="auto"/>
            </w:tcBorders>
            <w:shd w:val="clear" w:color="auto" w:fill="F2F2F2"/>
          </w:tcPr>
          <w:p w:rsidR="000276A6" w:rsidRPr="00210DF2" w:rsidRDefault="000276A6" w:rsidP="0049518A">
            <w:pPr>
              <w:rPr>
                <w:rFonts w:cs="Calibri"/>
                <w:i/>
                <w:lang w:val="en-GB"/>
              </w:rPr>
            </w:pPr>
            <w:r w:rsidRPr="00210DF2">
              <w:rPr>
                <w:rFonts w:cs="Calibri"/>
                <w:i/>
                <w:lang w:val="en-GB"/>
              </w:rPr>
              <w:t>Youth</w:t>
            </w:r>
          </w:p>
        </w:tc>
      </w:tr>
      <w:tr w:rsidR="000276A6" w:rsidRPr="0049518A" w:rsidTr="00290750">
        <w:tc>
          <w:tcPr>
            <w:tcW w:w="7088" w:type="dxa"/>
            <w:shd w:val="clear" w:color="auto" w:fill="auto"/>
          </w:tcPr>
          <w:p w:rsidR="000276A6" w:rsidRPr="0049518A" w:rsidRDefault="000276A6" w:rsidP="00DD7B07">
            <w:pPr>
              <w:rPr>
                <w:rFonts w:cs="Calibri"/>
                <w:lang w:val="en-GB"/>
              </w:rPr>
            </w:pPr>
            <w:r>
              <w:rPr>
                <w:rFonts w:cs="Calibri"/>
                <w:lang w:val="en-GB"/>
              </w:rPr>
              <w:t>Introduction of</w:t>
            </w:r>
            <w:r w:rsidRPr="0049518A">
              <w:rPr>
                <w:rFonts w:cs="Calibri"/>
                <w:lang w:val="en-GB"/>
              </w:rPr>
              <w:t xml:space="preserve"> an expanded Work for the Dole programme for </w:t>
            </w:r>
            <w:r>
              <w:rPr>
                <w:rFonts w:cs="Calibri"/>
                <w:lang w:val="en-GB"/>
              </w:rPr>
              <w:t>people of all ages</w:t>
            </w:r>
            <w:r w:rsidRPr="0049518A">
              <w:rPr>
                <w:rFonts w:cs="Calibri"/>
                <w:lang w:val="en-GB"/>
              </w:rPr>
              <w:t>.</w:t>
            </w:r>
          </w:p>
        </w:tc>
        <w:tc>
          <w:tcPr>
            <w:tcW w:w="7507" w:type="dxa"/>
            <w:shd w:val="clear" w:color="auto" w:fill="auto"/>
          </w:tcPr>
          <w:p w:rsidR="000276A6" w:rsidRPr="0049518A" w:rsidRDefault="000276A6" w:rsidP="0049518A">
            <w:pPr>
              <w:rPr>
                <w:rFonts w:cs="Calibri"/>
                <w:lang w:val="en-GB"/>
              </w:rPr>
            </w:pPr>
            <w:r>
              <w:rPr>
                <w:rFonts w:cs="Calibri"/>
                <w:lang w:val="en-GB"/>
              </w:rPr>
              <w:t>This initiative was i</w:t>
            </w:r>
            <w:r w:rsidRPr="0049518A">
              <w:rPr>
                <w:rFonts w:cs="Calibri"/>
                <w:lang w:val="en-GB"/>
              </w:rPr>
              <w:t>mplemented on 1 July 2015</w:t>
            </w:r>
            <w:r>
              <w:rPr>
                <w:rFonts w:cs="Calibri"/>
                <w:lang w:val="en-GB"/>
              </w:rPr>
              <w:t xml:space="preserve">. </w:t>
            </w:r>
            <w:r w:rsidRPr="001264AF">
              <w:rPr>
                <w:rFonts w:cs="Calibri"/>
                <w:lang w:val="en-GB"/>
              </w:rPr>
              <w:t>From 1 October 2016, Stream A job</w:t>
            </w:r>
            <w:r>
              <w:rPr>
                <w:rFonts w:cs="Calibri"/>
                <w:lang w:val="en-GB"/>
              </w:rPr>
              <w:t xml:space="preserve"> </w:t>
            </w:r>
            <w:r w:rsidRPr="001264AF">
              <w:rPr>
                <w:rFonts w:cs="Calibri"/>
                <w:lang w:val="en-GB"/>
              </w:rPr>
              <w:t xml:space="preserve">seekers will enter the Work for the Dole phase after 12 months in </w:t>
            </w:r>
            <w:r w:rsidRPr="00A71D4C">
              <w:rPr>
                <w:rFonts w:cs="Calibri"/>
                <w:lang w:val="en-GB"/>
              </w:rPr>
              <w:t>jobactive</w:t>
            </w:r>
            <w:r w:rsidRPr="001264AF">
              <w:rPr>
                <w:rFonts w:cs="Calibri"/>
                <w:lang w:val="en-GB"/>
              </w:rPr>
              <w:t>, meaning all job</w:t>
            </w:r>
            <w:r>
              <w:rPr>
                <w:rFonts w:cs="Calibri"/>
                <w:lang w:val="en-GB"/>
              </w:rPr>
              <w:t xml:space="preserve"> </w:t>
            </w:r>
            <w:r w:rsidRPr="001264AF">
              <w:rPr>
                <w:rFonts w:cs="Calibri"/>
                <w:lang w:val="en-GB"/>
              </w:rPr>
              <w:t>seekers now enter Work for the Dole at the same time.</w:t>
            </w:r>
          </w:p>
        </w:tc>
      </w:tr>
      <w:tr w:rsidR="000276A6" w:rsidRPr="0049518A" w:rsidTr="00290750">
        <w:tc>
          <w:tcPr>
            <w:tcW w:w="7088" w:type="dxa"/>
            <w:shd w:val="clear" w:color="auto" w:fill="auto"/>
          </w:tcPr>
          <w:p w:rsidR="000276A6" w:rsidRPr="00AE7160" w:rsidRDefault="000276A6" w:rsidP="00870EF1">
            <w:pPr>
              <w:rPr>
                <w:rFonts w:cs="Calibri"/>
                <w:lang w:val="en-GB"/>
              </w:rPr>
            </w:pPr>
            <w:r w:rsidRPr="00AE7160">
              <w:rPr>
                <w:rFonts w:cs="Calibri"/>
                <w:lang w:val="en-GB"/>
              </w:rPr>
              <w:lastRenderedPageBreak/>
              <w:t xml:space="preserve">The Youth Employment Strategy </w:t>
            </w:r>
            <w:r>
              <w:rPr>
                <w:rFonts w:cs="Calibri"/>
                <w:lang w:val="en-GB"/>
              </w:rPr>
              <w:t xml:space="preserve">introduced in 2015 </w:t>
            </w:r>
            <w:r w:rsidRPr="00AE7160">
              <w:rPr>
                <w:rFonts w:cs="Calibri"/>
                <w:lang w:val="en-GB"/>
              </w:rPr>
              <w:t>seeks to improve youth employment outcomes, with a focus on preventing young people from becoming long-term unemployed.</w:t>
            </w:r>
            <w:r>
              <w:rPr>
                <w:rFonts w:cs="Calibri"/>
                <w:lang w:val="en-GB"/>
              </w:rPr>
              <w:t xml:space="preserve"> The Strategy </w:t>
            </w:r>
            <w:r w:rsidRPr="00AE7160">
              <w:rPr>
                <w:rFonts w:cs="Calibri"/>
                <w:lang w:val="en-GB"/>
              </w:rPr>
              <w:t>includes:</w:t>
            </w:r>
          </w:p>
          <w:p w:rsidR="000276A6" w:rsidRDefault="000276A6" w:rsidP="00174D19">
            <w:pPr>
              <w:numPr>
                <w:ilvl w:val="0"/>
                <w:numId w:val="5"/>
              </w:numPr>
              <w:spacing w:before="20" w:after="20"/>
              <w:rPr>
                <w:rFonts w:cs="Calibri"/>
                <w:lang w:val="en-GB"/>
              </w:rPr>
            </w:pPr>
            <w:r>
              <w:rPr>
                <w:rFonts w:cs="Calibri"/>
              </w:rPr>
              <w:t xml:space="preserve">The </w:t>
            </w:r>
            <w:r w:rsidRPr="00AE7160">
              <w:rPr>
                <w:rFonts w:cs="Calibri"/>
              </w:rPr>
              <w:t>Transition to Work service that will assist young people aged 15-21 who have disengaged from work and study and are at risk of long-term welfare dependence</w:t>
            </w:r>
            <w:r>
              <w:rPr>
                <w:rFonts w:cs="Calibri"/>
              </w:rPr>
              <w:t xml:space="preserve">; </w:t>
            </w:r>
          </w:p>
          <w:p w:rsidR="000276A6" w:rsidRPr="002E23D4" w:rsidRDefault="000276A6" w:rsidP="00174D19">
            <w:pPr>
              <w:numPr>
                <w:ilvl w:val="0"/>
                <w:numId w:val="5"/>
              </w:numPr>
              <w:spacing w:before="20" w:after="20"/>
              <w:rPr>
                <w:rFonts w:cs="Calibri"/>
                <w:lang w:val="en-GB"/>
              </w:rPr>
            </w:pPr>
            <w:r w:rsidRPr="002E23D4">
              <w:rPr>
                <w:rFonts w:cs="Calibri"/>
              </w:rPr>
              <w:t>The Empowering YOUth Initiatives providing assistance to young people aged 15-24 years who are identified to be long-term unemployed or at</w:t>
            </w:r>
            <w:r>
              <w:rPr>
                <w:rFonts w:cs="Calibri"/>
              </w:rPr>
              <w:t xml:space="preserve"> risk of long-term unemployment;</w:t>
            </w:r>
            <w:r w:rsidRPr="002E23D4">
              <w:rPr>
                <w:rFonts w:cs="Calibri"/>
              </w:rPr>
              <w:t xml:space="preserve"> </w:t>
            </w:r>
          </w:p>
          <w:p w:rsidR="000276A6" w:rsidRPr="00AE7160" w:rsidRDefault="000276A6" w:rsidP="00174D19">
            <w:pPr>
              <w:numPr>
                <w:ilvl w:val="0"/>
                <w:numId w:val="5"/>
              </w:numPr>
              <w:spacing w:before="20" w:after="20"/>
              <w:rPr>
                <w:rFonts w:cs="Calibri"/>
                <w:lang w:val="en-GB"/>
              </w:rPr>
            </w:pPr>
            <w:r w:rsidRPr="00AE7160">
              <w:rPr>
                <w:rFonts w:cs="Calibri"/>
              </w:rPr>
              <w:t>Intensive support trials for key groups of vulnerable job seekers including long-term unemployed and hu</w:t>
            </w:r>
            <w:r>
              <w:rPr>
                <w:rFonts w:cs="Calibri"/>
              </w:rPr>
              <w:t>manitarian entrants;</w:t>
            </w:r>
          </w:p>
          <w:p w:rsidR="000276A6" w:rsidRDefault="000276A6" w:rsidP="00174D19">
            <w:pPr>
              <w:numPr>
                <w:ilvl w:val="0"/>
                <w:numId w:val="5"/>
              </w:numPr>
              <w:spacing w:before="20" w:after="20"/>
              <w:rPr>
                <w:rFonts w:cs="Calibri"/>
                <w:lang w:val="en-GB"/>
              </w:rPr>
            </w:pPr>
            <w:r w:rsidRPr="0018412E">
              <w:rPr>
                <w:rFonts w:cs="Calibri"/>
                <w:lang w:val="en-GB"/>
              </w:rPr>
              <w:t xml:space="preserve">The introduction of a four week waiting period for job seekers </w:t>
            </w:r>
            <w:r w:rsidRPr="0018412E">
              <w:rPr>
                <w:rFonts w:cs="Calibri"/>
              </w:rPr>
              <w:t xml:space="preserve">applying for Youth Allowance (other) or Special Benefit, and placed in Stream A with a </w:t>
            </w:r>
            <w:r w:rsidRPr="00C262C7">
              <w:rPr>
                <w:rFonts w:cs="Calibri"/>
              </w:rPr>
              <w:t>jobactive</w:t>
            </w:r>
            <w:r w:rsidRPr="0018412E">
              <w:rPr>
                <w:rFonts w:cs="Calibri"/>
              </w:rPr>
              <w:t xml:space="preserve"> provider;</w:t>
            </w:r>
            <w:r>
              <w:rPr>
                <w:rFonts w:cs="Calibri"/>
                <w:lang w:val="en-GB"/>
              </w:rPr>
              <w:t xml:space="preserve"> and</w:t>
            </w:r>
          </w:p>
          <w:p w:rsidR="000276A6" w:rsidRPr="00E829B7" w:rsidRDefault="000276A6" w:rsidP="00174D19">
            <w:pPr>
              <w:numPr>
                <w:ilvl w:val="0"/>
                <w:numId w:val="5"/>
              </w:numPr>
              <w:spacing w:before="20" w:after="480"/>
              <w:rPr>
                <w:rFonts w:cs="Calibri"/>
                <w:lang w:val="en-GB"/>
              </w:rPr>
            </w:pPr>
            <w:r w:rsidRPr="00E829B7">
              <w:rPr>
                <w:rFonts w:cs="Calibri"/>
                <w:lang w:val="en-GB"/>
              </w:rPr>
              <w:t>Strengthened requirements for early school leavers to ensur</w:t>
            </w:r>
            <w:r w:rsidR="004D4976">
              <w:rPr>
                <w:rFonts w:cs="Calibri"/>
                <w:lang w:val="en-GB"/>
              </w:rPr>
              <w:t>e</w:t>
            </w:r>
            <w:r w:rsidRPr="00E829B7">
              <w:rPr>
                <w:rFonts w:cs="Calibri"/>
                <w:lang w:val="en-GB"/>
              </w:rPr>
              <w:t xml:space="preserve"> they are working or studying.</w:t>
            </w:r>
          </w:p>
        </w:tc>
        <w:tc>
          <w:tcPr>
            <w:tcW w:w="7507" w:type="dxa"/>
            <w:shd w:val="clear" w:color="auto" w:fill="auto"/>
          </w:tcPr>
          <w:p w:rsidR="000276A6" w:rsidRPr="00AE7160" w:rsidRDefault="000276A6" w:rsidP="00AE7160">
            <w:pPr>
              <w:rPr>
                <w:rFonts w:cs="Calibri"/>
                <w:lang w:val="en-GB"/>
              </w:rPr>
            </w:pPr>
            <w:r w:rsidRPr="00AE7160">
              <w:rPr>
                <w:rFonts w:cs="Calibri"/>
                <w:lang w:val="en-GB"/>
              </w:rPr>
              <w:t xml:space="preserve">The Youth Employment Strategy </w:t>
            </w:r>
            <w:r>
              <w:rPr>
                <w:rFonts w:cs="Calibri"/>
                <w:lang w:val="en-GB"/>
              </w:rPr>
              <w:t>has been expanded to become the Youth Employment Package. Progress to date is:</w:t>
            </w:r>
          </w:p>
          <w:p w:rsidR="000276A6" w:rsidRDefault="000276A6" w:rsidP="003018CD">
            <w:pPr>
              <w:numPr>
                <w:ilvl w:val="0"/>
                <w:numId w:val="5"/>
              </w:numPr>
              <w:rPr>
                <w:rFonts w:cs="Calibri"/>
                <w:lang w:val="en-GB"/>
              </w:rPr>
            </w:pPr>
            <w:r w:rsidRPr="00AE7160">
              <w:rPr>
                <w:rFonts w:cs="Calibri"/>
              </w:rPr>
              <w:t>Transition to Work</w:t>
            </w:r>
            <w:r>
              <w:rPr>
                <w:rFonts w:cs="Calibri"/>
              </w:rPr>
              <w:t xml:space="preserve"> – </w:t>
            </w:r>
            <w:r w:rsidRPr="00AE7160">
              <w:rPr>
                <w:rFonts w:cs="Calibri"/>
              </w:rPr>
              <w:t xml:space="preserve">commenced February 2016. </w:t>
            </w:r>
          </w:p>
          <w:p w:rsidR="000276A6" w:rsidRPr="002E23D4" w:rsidRDefault="000276A6" w:rsidP="003018CD">
            <w:pPr>
              <w:numPr>
                <w:ilvl w:val="0"/>
                <w:numId w:val="5"/>
              </w:numPr>
              <w:rPr>
                <w:rFonts w:cs="Calibri"/>
                <w:lang w:val="en-GB"/>
              </w:rPr>
            </w:pPr>
            <w:r w:rsidRPr="002E23D4">
              <w:rPr>
                <w:rFonts w:cs="Calibri"/>
              </w:rPr>
              <w:t>Empowering YOUth Initiatives</w:t>
            </w:r>
            <w:r>
              <w:rPr>
                <w:rFonts w:cs="Calibri"/>
              </w:rPr>
              <w:t xml:space="preserve"> – </w:t>
            </w:r>
            <w:r w:rsidRPr="002E23D4">
              <w:rPr>
                <w:rFonts w:cs="Calibri"/>
              </w:rPr>
              <w:t xml:space="preserve">commenced </w:t>
            </w:r>
            <w:r>
              <w:rPr>
                <w:rFonts w:cs="Calibri"/>
              </w:rPr>
              <w:t>late March 2016.</w:t>
            </w:r>
            <w:r w:rsidRPr="002E23D4">
              <w:rPr>
                <w:rFonts w:cs="Calibri"/>
              </w:rPr>
              <w:t xml:space="preserve"> </w:t>
            </w:r>
          </w:p>
          <w:p w:rsidR="000276A6" w:rsidRPr="00AE7160" w:rsidRDefault="000276A6" w:rsidP="003018CD">
            <w:pPr>
              <w:numPr>
                <w:ilvl w:val="0"/>
                <w:numId w:val="5"/>
              </w:numPr>
              <w:rPr>
                <w:rFonts w:cs="Calibri"/>
                <w:lang w:val="en-GB"/>
              </w:rPr>
            </w:pPr>
            <w:r w:rsidRPr="00AE7160">
              <w:rPr>
                <w:rFonts w:cs="Calibri"/>
              </w:rPr>
              <w:t>Intensive support trials – commenced.</w:t>
            </w:r>
          </w:p>
          <w:p w:rsidR="000276A6" w:rsidRPr="00A43526" w:rsidRDefault="000276A6" w:rsidP="003018CD">
            <w:pPr>
              <w:numPr>
                <w:ilvl w:val="0"/>
                <w:numId w:val="5"/>
              </w:numPr>
              <w:rPr>
                <w:rFonts w:cs="Calibri"/>
                <w:lang w:val="en-GB"/>
              </w:rPr>
            </w:pPr>
            <w:r w:rsidRPr="00A43526">
              <w:rPr>
                <w:rFonts w:cs="Calibri"/>
              </w:rPr>
              <w:t>From 1 July 2016, young people sub</w:t>
            </w:r>
            <w:r>
              <w:rPr>
                <w:rFonts w:cs="Calibri"/>
              </w:rPr>
              <w:t>ject to the waiting period will</w:t>
            </w:r>
            <w:r w:rsidRPr="00A43526">
              <w:rPr>
                <w:rFonts w:cs="Calibri"/>
              </w:rPr>
              <w:t xml:space="preserve"> be obliged to participate in a new </w:t>
            </w:r>
            <w:r>
              <w:rPr>
                <w:rFonts w:cs="Calibri"/>
              </w:rPr>
              <w:t xml:space="preserve">activation strategy requiring </w:t>
            </w:r>
            <w:r w:rsidRPr="00A43526">
              <w:rPr>
                <w:rFonts w:cs="Calibri"/>
              </w:rPr>
              <w:t>participants to undertake a number of additional job search activities in the four weeks before they received income support.</w:t>
            </w:r>
          </w:p>
          <w:p w:rsidR="000276A6" w:rsidRPr="002E23D4" w:rsidRDefault="000276A6" w:rsidP="00C262C7">
            <w:pPr>
              <w:rPr>
                <w:rFonts w:cs="Calibri"/>
                <w:lang w:val="en-GB"/>
              </w:rPr>
            </w:pPr>
          </w:p>
        </w:tc>
      </w:tr>
      <w:tr w:rsidR="000276A6" w:rsidRPr="0049518A" w:rsidTr="00290750">
        <w:tc>
          <w:tcPr>
            <w:tcW w:w="14595" w:type="dxa"/>
            <w:gridSpan w:val="2"/>
            <w:tcBorders>
              <w:bottom w:val="single" w:sz="4" w:space="0" w:color="auto"/>
            </w:tcBorders>
            <w:shd w:val="clear" w:color="auto" w:fill="F2F2F2"/>
          </w:tcPr>
          <w:p w:rsidR="000276A6" w:rsidRPr="00210DF2" w:rsidRDefault="000276A6" w:rsidP="0086204D">
            <w:pPr>
              <w:rPr>
                <w:rFonts w:cs="Calibri"/>
                <w:i/>
                <w:lang w:val="en-GB"/>
              </w:rPr>
            </w:pPr>
            <w:r w:rsidRPr="00210DF2">
              <w:rPr>
                <w:rFonts w:cs="Calibri"/>
                <w:i/>
                <w:lang w:val="en-GB"/>
              </w:rPr>
              <w:t xml:space="preserve">Indigenous </w:t>
            </w:r>
            <w:r w:rsidR="0086204D">
              <w:rPr>
                <w:rFonts w:cs="Calibri"/>
                <w:i/>
                <w:lang w:val="en-GB"/>
              </w:rPr>
              <w:t>Australians</w:t>
            </w:r>
          </w:p>
        </w:tc>
      </w:tr>
      <w:tr w:rsidR="000276A6" w:rsidRPr="0049518A" w:rsidTr="00290750">
        <w:tc>
          <w:tcPr>
            <w:tcW w:w="7088" w:type="dxa"/>
            <w:shd w:val="clear" w:color="auto" w:fill="auto"/>
          </w:tcPr>
          <w:p w:rsidR="000276A6" w:rsidRPr="0049518A" w:rsidRDefault="000276A6" w:rsidP="0049518A">
            <w:pPr>
              <w:rPr>
                <w:rFonts w:cs="Calibri"/>
                <w:lang w:val="en-GB"/>
              </w:rPr>
            </w:pPr>
            <w:r>
              <w:rPr>
                <w:rFonts w:cs="Calibri"/>
                <w:lang w:val="en-GB"/>
              </w:rPr>
              <w:t>Target from the 2014-15 budget</w:t>
            </w:r>
            <w:r w:rsidRPr="00F95202">
              <w:rPr>
                <w:rFonts w:cs="Calibri"/>
                <w:lang w:val="en-GB"/>
              </w:rPr>
              <w:t xml:space="preserve"> to consolidate more than 150 individual </w:t>
            </w:r>
            <w:r>
              <w:rPr>
                <w:rFonts w:cs="Calibri"/>
                <w:lang w:val="en-GB"/>
              </w:rPr>
              <w:t>programs</w:t>
            </w:r>
            <w:r w:rsidRPr="00F95202">
              <w:rPr>
                <w:rFonts w:cs="Calibri"/>
                <w:lang w:val="en-GB"/>
              </w:rPr>
              <w:t xml:space="preserve"> and services within five streamlined broad-based </w:t>
            </w:r>
            <w:r>
              <w:rPr>
                <w:rFonts w:cs="Calibri"/>
                <w:lang w:val="en-GB"/>
              </w:rPr>
              <w:t>programs</w:t>
            </w:r>
            <w:r w:rsidRPr="00F95202">
              <w:rPr>
                <w:rFonts w:cs="Calibri"/>
                <w:lang w:val="en-GB"/>
              </w:rPr>
              <w:t xml:space="preserve"> under an Indigenous Advancement Strategy</w:t>
            </w:r>
            <w:r>
              <w:rPr>
                <w:rFonts w:cs="Calibri"/>
                <w:lang w:val="en-GB"/>
              </w:rPr>
              <w:t>.</w:t>
            </w:r>
          </w:p>
        </w:tc>
        <w:tc>
          <w:tcPr>
            <w:tcW w:w="7507" w:type="dxa"/>
            <w:shd w:val="clear" w:color="auto" w:fill="auto"/>
          </w:tcPr>
          <w:p w:rsidR="000276A6" w:rsidRPr="00F95202" w:rsidRDefault="000276A6" w:rsidP="00F95202">
            <w:pPr>
              <w:rPr>
                <w:rFonts w:cs="Calibri"/>
                <w:lang w:val="en-GB"/>
              </w:rPr>
            </w:pPr>
            <w:r w:rsidRPr="00F95202">
              <w:rPr>
                <w:rFonts w:cs="Calibri"/>
                <w:lang w:val="en-GB"/>
              </w:rPr>
              <w:t>The Indigenous Advancement Strategy is generating significant opportunities for Indigenous employment un</w:t>
            </w:r>
            <w:r>
              <w:rPr>
                <w:rFonts w:cs="Calibri"/>
                <w:lang w:val="en-GB"/>
              </w:rPr>
              <w:t>der the Jobs, Land and Economy p</w:t>
            </w:r>
            <w:r w:rsidR="0023616D">
              <w:rPr>
                <w:rFonts w:cs="Calibri"/>
                <w:lang w:val="en-GB"/>
              </w:rPr>
              <w:t>rogram</w:t>
            </w:r>
            <w:r w:rsidRPr="00F95202">
              <w:rPr>
                <w:rFonts w:cs="Calibri"/>
                <w:lang w:val="en-GB"/>
              </w:rPr>
              <w:t>:</w:t>
            </w:r>
            <w:r w:rsidRPr="00F95202" w:rsidDel="00E36CF8">
              <w:rPr>
                <w:rFonts w:cs="Calibri"/>
                <w:lang w:val="en-GB"/>
              </w:rPr>
              <w:t xml:space="preserve"> </w:t>
            </w:r>
          </w:p>
          <w:p w:rsidR="000276A6" w:rsidRPr="00F95202" w:rsidRDefault="000276A6" w:rsidP="00174D19">
            <w:pPr>
              <w:numPr>
                <w:ilvl w:val="0"/>
                <w:numId w:val="7"/>
              </w:numPr>
              <w:spacing w:before="20" w:after="20"/>
              <w:rPr>
                <w:rFonts w:cs="Calibri"/>
                <w:lang w:val="en-GB"/>
              </w:rPr>
            </w:pPr>
            <w:r w:rsidRPr="00F95202">
              <w:rPr>
                <w:rFonts w:cs="Calibri"/>
                <w:lang w:val="en-GB"/>
              </w:rPr>
              <w:t>The Com</w:t>
            </w:r>
            <w:r>
              <w:rPr>
                <w:rFonts w:cs="Calibri"/>
                <w:lang w:val="en-GB"/>
              </w:rPr>
              <w:t xml:space="preserve">munity Development Programme </w:t>
            </w:r>
            <w:r w:rsidR="0023616D">
              <w:rPr>
                <w:rFonts w:cs="Calibri"/>
                <w:lang w:val="en-GB"/>
              </w:rPr>
              <w:t xml:space="preserve">is </w:t>
            </w:r>
            <w:r w:rsidRPr="00F95202">
              <w:rPr>
                <w:rFonts w:cs="Calibri"/>
                <w:lang w:val="en-GB"/>
              </w:rPr>
              <w:t xml:space="preserve">delivering improved participation and employment opportunities across remote areas. </w:t>
            </w:r>
            <w:r>
              <w:rPr>
                <w:rFonts w:cs="Calibri"/>
                <w:lang w:val="en-GB"/>
              </w:rPr>
              <w:t xml:space="preserve">As at </w:t>
            </w:r>
            <w:r w:rsidR="0023616D">
              <w:rPr>
                <w:rFonts w:cs="Calibri"/>
                <w:lang w:val="en-GB"/>
              </w:rPr>
              <w:br/>
            </w:r>
            <w:r>
              <w:rPr>
                <w:rFonts w:cs="Calibri"/>
                <w:lang w:val="en-GB"/>
              </w:rPr>
              <w:t>31 July 2016</w:t>
            </w:r>
            <w:r w:rsidRPr="00F95202">
              <w:rPr>
                <w:rFonts w:cs="Calibri"/>
                <w:lang w:val="en-GB"/>
              </w:rPr>
              <w:t xml:space="preserve">, </w:t>
            </w:r>
            <w:r>
              <w:rPr>
                <w:rFonts w:cs="Calibri"/>
                <w:lang w:val="en-GB"/>
              </w:rPr>
              <w:t>21,783</w:t>
            </w:r>
            <w:r w:rsidRPr="00F95202">
              <w:rPr>
                <w:rFonts w:cs="Calibri"/>
                <w:lang w:val="en-GB"/>
              </w:rPr>
              <w:t xml:space="preserve"> remote job seekers were placed in activities.</w:t>
            </w:r>
          </w:p>
          <w:p w:rsidR="000276A6" w:rsidRDefault="000276A6" w:rsidP="00174D19">
            <w:pPr>
              <w:numPr>
                <w:ilvl w:val="0"/>
                <w:numId w:val="7"/>
              </w:numPr>
              <w:spacing w:before="20" w:after="20"/>
              <w:rPr>
                <w:rFonts w:cs="Calibri"/>
                <w:lang w:val="en-GB"/>
              </w:rPr>
            </w:pPr>
            <w:r w:rsidRPr="00F95202">
              <w:rPr>
                <w:rFonts w:cs="Calibri"/>
                <w:lang w:val="en-GB"/>
              </w:rPr>
              <w:t xml:space="preserve">Vocational Employment and Training Centres have made strong progress to </w:t>
            </w:r>
            <w:r w:rsidRPr="00F95202">
              <w:rPr>
                <w:rFonts w:cs="Calibri"/>
                <w:lang w:val="en-GB"/>
              </w:rPr>
              <w:lastRenderedPageBreak/>
              <w:t xml:space="preserve">achieve the target of 5,000 Indigenous job seekers into guaranteed employment. </w:t>
            </w:r>
            <w:r>
              <w:rPr>
                <w:rFonts w:cs="Calibri"/>
                <w:lang w:val="en-GB"/>
              </w:rPr>
              <w:t>As at 31 July</w:t>
            </w:r>
            <w:r w:rsidRPr="00F95202">
              <w:rPr>
                <w:rFonts w:cs="Calibri"/>
                <w:lang w:val="en-GB"/>
              </w:rPr>
              <w:t xml:space="preserve"> 2016, over </w:t>
            </w:r>
            <w:r>
              <w:rPr>
                <w:rFonts w:cs="Calibri"/>
                <w:lang w:val="en-GB"/>
              </w:rPr>
              <w:t>4,500</w:t>
            </w:r>
            <w:r w:rsidRPr="00F95202">
              <w:rPr>
                <w:rFonts w:cs="Calibri"/>
                <w:lang w:val="en-GB"/>
              </w:rPr>
              <w:t xml:space="preserve"> job seekers had commenced employment.</w:t>
            </w:r>
          </w:p>
          <w:p w:rsidR="000276A6" w:rsidRPr="00F95202" w:rsidRDefault="000276A6" w:rsidP="00174D19">
            <w:pPr>
              <w:numPr>
                <w:ilvl w:val="0"/>
                <w:numId w:val="7"/>
              </w:numPr>
              <w:spacing w:before="20" w:after="20"/>
              <w:rPr>
                <w:rFonts w:cs="Calibri"/>
                <w:lang w:val="en-GB"/>
              </w:rPr>
            </w:pPr>
            <w:r w:rsidRPr="00F95202">
              <w:rPr>
                <w:rFonts w:cs="Calibri"/>
                <w:lang w:val="en-GB"/>
              </w:rPr>
              <w:t>Eleven companies have signed up to the Employment Parity Initiative</w:t>
            </w:r>
            <w:r>
              <w:rPr>
                <w:rFonts w:cs="Calibri"/>
                <w:lang w:val="en-GB"/>
              </w:rPr>
              <w:t xml:space="preserve"> </w:t>
            </w:r>
            <w:r w:rsidRPr="00F95202">
              <w:rPr>
                <w:rFonts w:cs="Calibri"/>
                <w:lang w:val="en-GB"/>
              </w:rPr>
              <w:t xml:space="preserve">at May 2016, </w:t>
            </w:r>
            <w:r>
              <w:rPr>
                <w:rFonts w:cs="Calibri"/>
                <w:lang w:val="en-GB"/>
              </w:rPr>
              <w:t>representing a commitment</w:t>
            </w:r>
            <w:r w:rsidRPr="00F95202">
              <w:rPr>
                <w:rFonts w:cs="Calibri"/>
                <w:lang w:val="en-GB"/>
              </w:rPr>
              <w:t xml:space="preserve"> to 7,265 new jobs. Of the eight companies that had reached reporting milestones, almost </w:t>
            </w:r>
            <w:r>
              <w:rPr>
                <w:rFonts w:cs="Calibri"/>
                <w:lang w:val="en-GB"/>
              </w:rPr>
              <w:t>658</w:t>
            </w:r>
            <w:r w:rsidRPr="00F95202">
              <w:rPr>
                <w:rFonts w:cs="Calibri"/>
                <w:lang w:val="en-GB"/>
              </w:rPr>
              <w:t xml:space="preserve"> Indigenous Australians were reported as having commenced employment. </w:t>
            </w:r>
          </w:p>
          <w:p w:rsidR="000276A6" w:rsidRPr="00F95202" w:rsidRDefault="000276A6" w:rsidP="00174D19">
            <w:pPr>
              <w:numPr>
                <w:ilvl w:val="0"/>
                <w:numId w:val="7"/>
              </w:numPr>
              <w:spacing w:before="20" w:after="20"/>
              <w:rPr>
                <w:rFonts w:cs="Calibri"/>
                <w:lang w:val="en-GB"/>
              </w:rPr>
            </w:pPr>
            <w:r>
              <w:rPr>
                <w:rFonts w:cs="Calibri"/>
                <w:lang w:val="en-GB"/>
              </w:rPr>
              <w:t>As a</w:t>
            </w:r>
            <w:r w:rsidRPr="00F95202">
              <w:rPr>
                <w:rFonts w:cs="Calibri"/>
                <w:lang w:val="en-GB"/>
              </w:rPr>
              <w:t xml:space="preserve">t December 2015, Australian Public Service agencies had achieved </w:t>
            </w:r>
            <w:r>
              <w:rPr>
                <w:rFonts w:cs="Calibri"/>
                <w:lang w:val="en-GB"/>
              </w:rPr>
              <w:br/>
            </w:r>
            <w:r w:rsidRPr="00F95202">
              <w:rPr>
                <w:rFonts w:cs="Calibri"/>
                <w:lang w:val="en-GB"/>
              </w:rPr>
              <w:t>2.9 per cent Indigenous representation and non-APS Com</w:t>
            </w:r>
            <w:r>
              <w:rPr>
                <w:rFonts w:cs="Calibri"/>
                <w:lang w:val="en-GB"/>
              </w:rPr>
              <w:t>monwealth agencies 2.2 per cent.</w:t>
            </w:r>
          </w:p>
          <w:p w:rsidR="000276A6" w:rsidRDefault="000276A6" w:rsidP="00174D19">
            <w:pPr>
              <w:numPr>
                <w:ilvl w:val="0"/>
                <w:numId w:val="7"/>
              </w:numPr>
              <w:spacing w:before="20" w:after="20"/>
              <w:rPr>
                <w:rFonts w:cs="Calibri"/>
                <w:lang w:val="en-GB"/>
              </w:rPr>
            </w:pPr>
            <w:r w:rsidRPr="00F95202">
              <w:rPr>
                <w:rFonts w:cs="Calibri"/>
                <w:lang w:val="en-GB"/>
              </w:rPr>
              <w:t>In the first six months of the Commonwealth’s Indigenous Procurement Policy to 31 December 2015, the Government awarded contracts to Indigenous businesses valued at around $9</w:t>
            </w:r>
            <w:r>
              <w:rPr>
                <w:rFonts w:cs="Calibri"/>
                <w:lang w:val="en-GB"/>
              </w:rPr>
              <w:t>2</w:t>
            </w:r>
            <w:r w:rsidRPr="00F95202">
              <w:rPr>
                <w:rFonts w:cs="Calibri"/>
                <w:lang w:val="en-GB"/>
              </w:rPr>
              <w:t xml:space="preserve"> million. This is almost 15 times more than the Government’s procurement commitment in 2012-13.</w:t>
            </w:r>
          </w:p>
          <w:p w:rsidR="000276A6" w:rsidRPr="0063509A" w:rsidRDefault="000276A6" w:rsidP="00174D19">
            <w:pPr>
              <w:numPr>
                <w:ilvl w:val="0"/>
                <w:numId w:val="7"/>
              </w:numPr>
              <w:spacing w:before="20" w:after="20"/>
              <w:rPr>
                <w:rFonts w:cs="Calibri"/>
                <w:lang w:val="en-GB"/>
              </w:rPr>
            </w:pPr>
            <w:r w:rsidRPr="0063509A">
              <w:rPr>
                <w:rFonts w:cs="Calibri"/>
                <w:lang w:val="en-GB"/>
              </w:rPr>
              <w:t xml:space="preserve">Environmental management plans that support land and sea management have generated the equivalent of 777 full-time equivalent (FTE) ranger positions for Indigenous Australians. These FTE positions </w:t>
            </w:r>
            <w:r>
              <w:rPr>
                <w:rFonts w:cs="Calibri"/>
                <w:lang w:val="en-GB"/>
              </w:rPr>
              <w:t xml:space="preserve">have </w:t>
            </w:r>
            <w:r w:rsidRPr="0063509A">
              <w:rPr>
                <w:rFonts w:cs="Calibri"/>
                <w:lang w:val="en-GB"/>
              </w:rPr>
              <w:t>result</w:t>
            </w:r>
            <w:r>
              <w:rPr>
                <w:rFonts w:cs="Calibri"/>
                <w:lang w:val="en-GB"/>
              </w:rPr>
              <w:t>ed</w:t>
            </w:r>
            <w:r w:rsidRPr="0063509A">
              <w:rPr>
                <w:rFonts w:cs="Calibri"/>
                <w:lang w:val="en-GB"/>
              </w:rPr>
              <w:t xml:space="preserve"> in employment for around 1,980 people.</w:t>
            </w:r>
          </w:p>
        </w:tc>
      </w:tr>
      <w:tr w:rsidR="000276A6" w:rsidRPr="0049518A" w:rsidTr="00290750">
        <w:tc>
          <w:tcPr>
            <w:tcW w:w="7088" w:type="dxa"/>
            <w:tcBorders>
              <w:bottom w:val="single" w:sz="4" w:space="0" w:color="auto"/>
            </w:tcBorders>
            <w:shd w:val="clear" w:color="auto" w:fill="auto"/>
          </w:tcPr>
          <w:p w:rsidR="000276A6" w:rsidRPr="0049518A" w:rsidRDefault="000276A6" w:rsidP="0049518A">
            <w:pPr>
              <w:rPr>
                <w:rFonts w:cs="Calibri"/>
                <w:lang w:val="en-GB"/>
              </w:rPr>
            </w:pPr>
            <w:r w:rsidRPr="0049518A">
              <w:rPr>
                <w:rFonts w:cs="Calibri"/>
                <w:lang w:val="en-GB"/>
              </w:rPr>
              <w:lastRenderedPageBreak/>
              <w:t>Indigenous Outcomes Targets</w:t>
            </w:r>
            <w:r>
              <w:rPr>
                <w:rFonts w:cs="Calibri"/>
                <w:lang w:val="en-GB"/>
              </w:rPr>
              <w:t xml:space="preserve"> for </w:t>
            </w:r>
            <w:r w:rsidRPr="00205C19">
              <w:rPr>
                <w:rFonts w:cs="Calibri"/>
                <w:lang w:val="en-GB"/>
              </w:rPr>
              <w:t>jobactive</w:t>
            </w:r>
            <w:r>
              <w:rPr>
                <w:rFonts w:cs="Calibri"/>
                <w:lang w:val="en-GB"/>
              </w:rPr>
              <w:t xml:space="preserve"> employment service providers</w:t>
            </w:r>
            <w:r w:rsidR="00931F38">
              <w:rPr>
                <w:rFonts w:cs="Calibri"/>
                <w:lang w:val="en-GB"/>
              </w:rPr>
              <w:t>.</w:t>
            </w:r>
          </w:p>
        </w:tc>
        <w:tc>
          <w:tcPr>
            <w:tcW w:w="7507" w:type="dxa"/>
            <w:tcBorders>
              <w:bottom w:val="single" w:sz="4" w:space="0" w:color="auto"/>
            </w:tcBorders>
            <w:shd w:val="clear" w:color="auto" w:fill="auto"/>
          </w:tcPr>
          <w:p w:rsidR="000276A6" w:rsidRPr="0049518A" w:rsidRDefault="000276A6" w:rsidP="00205C19">
            <w:pPr>
              <w:rPr>
                <w:rFonts w:cs="Calibri"/>
                <w:lang w:val="en-GB"/>
              </w:rPr>
            </w:pPr>
            <w:r>
              <w:rPr>
                <w:rFonts w:cs="Calibri"/>
                <w:lang w:val="en-GB"/>
              </w:rPr>
              <w:t>This measure is ongoing as part of</w:t>
            </w:r>
            <w:r w:rsidRPr="0049518A">
              <w:rPr>
                <w:rFonts w:cs="Calibri"/>
                <w:lang w:val="en-GB"/>
              </w:rPr>
              <w:t xml:space="preserve"> the </w:t>
            </w:r>
            <w:r w:rsidRPr="00205C19">
              <w:rPr>
                <w:rFonts w:cs="Calibri"/>
                <w:lang w:val="en-GB"/>
              </w:rPr>
              <w:t>jobactive</w:t>
            </w:r>
            <w:r w:rsidRPr="0049518A">
              <w:rPr>
                <w:rFonts w:cs="Calibri"/>
                <w:lang w:val="en-GB"/>
              </w:rPr>
              <w:t xml:space="preserve"> Performance Framework.</w:t>
            </w:r>
          </w:p>
        </w:tc>
      </w:tr>
      <w:tr w:rsidR="000276A6" w:rsidRPr="0049518A" w:rsidTr="00290750">
        <w:tc>
          <w:tcPr>
            <w:tcW w:w="14595" w:type="dxa"/>
            <w:gridSpan w:val="2"/>
            <w:tcBorders>
              <w:bottom w:val="single" w:sz="4" w:space="0" w:color="auto"/>
            </w:tcBorders>
            <w:shd w:val="clear" w:color="auto" w:fill="F2F2F2"/>
          </w:tcPr>
          <w:p w:rsidR="000276A6" w:rsidRPr="00210DF2" w:rsidRDefault="000276A6" w:rsidP="0049518A">
            <w:pPr>
              <w:rPr>
                <w:rFonts w:cs="Calibri"/>
                <w:i/>
                <w:lang w:val="en-GB"/>
              </w:rPr>
            </w:pPr>
            <w:r w:rsidRPr="00210DF2">
              <w:rPr>
                <w:rFonts w:cs="Calibri"/>
                <w:i/>
                <w:lang w:val="en-GB"/>
              </w:rPr>
              <w:t>Workers in industries facing major structural change</w:t>
            </w:r>
          </w:p>
        </w:tc>
      </w:tr>
      <w:tr w:rsidR="000276A6" w:rsidRPr="0049518A" w:rsidTr="00290750">
        <w:tc>
          <w:tcPr>
            <w:tcW w:w="7088" w:type="dxa"/>
            <w:shd w:val="clear" w:color="auto" w:fill="auto"/>
          </w:tcPr>
          <w:p w:rsidR="000276A6" w:rsidRPr="0049518A" w:rsidRDefault="000276A6" w:rsidP="00A53C67">
            <w:pPr>
              <w:rPr>
                <w:rFonts w:cs="Calibri"/>
                <w:lang w:val="en-GB"/>
              </w:rPr>
            </w:pPr>
            <w:r>
              <w:rPr>
                <w:rFonts w:cs="Calibri"/>
                <w:lang w:val="en-GB"/>
              </w:rPr>
              <w:t>A</w:t>
            </w:r>
            <w:r w:rsidRPr="000A039A">
              <w:rPr>
                <w:rFonts w:cs="Calibri"/>
                <w:lang w:val="en-GB"/>
              </w:rPr>
              <w:t xml:space="preserve"> </w:t>
            </w:r>
            <w:r>
              <w:rPr>
                <w:rFonts w:cs="Calibri"/>
                <w:lang w:val="en-GB"/>
              </w:rPr>
              <w:t>$</w:t>
            </w:r>
            <w:r w:rsidRPr="000A039A">
              <w:rPr>
                <w:rFonts w:cs="Calibri"/>
                <w:lang w:val="en-GB"/>
              </w:rPr>
              <w:t xml:space="preserve">155 million Growth Fund to transition </w:t>
            </w:r>
            <w:r w:rsidRPr="0002136E">
              <w:rPr>
                <w:rFonts w:cs="Calibri"/>
                <w:lang w:val="en-GB"/>
              </w:rPr>
              <w:t>re</w:t>
            </w:r>
            <w:r>
              <w:rPr>
                <w:rFonts w:cs="Calibri"/>
                <w:lang w:val="en-GB"/>
              </w:rPr>
              <w:t xml:space="preserve">trenched </w:t>
            </w:r>
            <w:r w:rsidRPr="0002136E">
              <w:rPr>
                <w:rFonts w:cs="Calibri"/>
                <w:lang w:val="en-GB"/>
              </w:rPr>
              <w:t>automotive workers impacted by lar</w:t>
            </w:r>
            <w:r>
              <w:rPr>
                <w:rFonts w:cs="Calibri"/>
                <w:lang w:val="en-GB"/>
              </w:rPr>
              <w:t>g</w:t>
            </w:r>
            <w:r w:rsidRPr="0002136E">
              <w:rPr>
                <w:rFonts w:cs="Calibri"/>
                <w:lang w:val="en-GB"/>
              </w:rPr>
              <w:t>e scale redundancies through</w:t>
            </w:r>
            <w:r>
              <w:rPr>
                <w:rFonts w:cs="Calibri"/>
                <w:lang w:val="en-GB"/>
              </w:rPr>
              <w:t xml:space="preserve"> structural adjustment packages. </w:t>
            </w:r>
          </w:p>
        </w:tc>
        <w:tc>
          <w:tcPr>
            <w:tcW w:w="7507" w:type="dxa"/>
            <w:shd w:val="clear" w:color="auto" w:fill="auto"/>
          </w:tcPr>
          <w:p w:rsidR="000276A6" w:rsidRPr="0058346C" w:rsidRDefault="000276A6" w:rsidP="00202E71">
            <w:pPr>
              <w:spacing w:after="360"/>
              <w:rPr>
                <w:rFonts w:cs="Calibri"/>
                <w:lang w:val="en-GB"/>
              </w:rPr>
            </w:pPr>
            <w:r>
              <w:rPr>
                <w:rFonts w:cs="Calibri"/>
                <w:lang w:val="en-GB"/>
              </w:rPr>
              <w:t xml:space="preserve">This measure is in place. </w:t>
            </w:r>
            <w:r w:rsidRPr="002221E5">
              <w:rPr>
                <w:rFonts w:cs="Calibri"/>
              </w:rPr>
              <w:t>The Government has also provided structural adjustment packages to assist employees in areas where expectations of future employment opportunities for workers in the industry are low or where large scale closures may imp</w:t>
            </w:r>
            <w:r w:rsidR="004D6AD6">
              <w:rPr>
                <w:rFonts w:cs="Calibri"/>
              </w:rPr>
              <w:t>act on the local labour market.</w:t>
            </w:r>
          </w:p>
        </w:tc>
      </w:tr>
      <w:tr w:rsidR="000276A6" w:rsidRPr="0049518A" w:rsidTr="00290750">
        <w:tc>
          <w:tcPr>
            <w:tcW w:w="14595" w:type="dxa"/>
            <w:gridSpan w:val="2"/>
            <w:tcBorders>
              <w:bottom w:val="single" w:sz="4" w:space="0" w:color="auto"/>
            </w:tcBorders>
            <w:shd w:val="clear" w:color="auto" w:fill="F2F2F2"/>
          </w:tcPr>
          <w:p w:rsidR="000276A6" w:rsidRPr="00210DF2" w:rsidRDefault="000276A6" w:rsidP="0049518A">
            <w:pPr>
              <w:rPr>
                <w:rFonts w:cs="Calibri"/>
                <w:i/>
                <w:lang w:val="en-GB"/>
              </w:rPr>
            </w:pPr>
            <w:r w:rsidRPr="00210DF2">
              <w:rPr>
                <w:rFonts w:cs="Calibri"/>
                <w:i/>
                <w:lang w:val="en-GB"/>
              </w:rPr>
              <w:lastRenderedPageBreak/>
              <w:t>Skills development</w:t>
            </w:r>
          </w:p>
        </w:tc>
      </w:tr>
      <w:tr w:rsidR="000276A6" w:rsidRPr="0049518A" w:rsidTr="00290750">
        <w:tc>
          <w:tcPr>
            <w:tcW w:w="7088" w:type="dxa"/>
            <w:shd w:val="clear" w:color="auto" w:fill="auto"/>
          </w:tcPr>
          <w:p w:rsidR="000276A6" w:rsidRPr="0049518A" w:rsidRDefault="000276A6" w:rsidP="00A53C67">
            <w:pPr>
              <w:rPr>
                <w:rFonts w:cs="Calibri"/>
                <w:lang w:val="en-GB"/>
              </w:rPr>
            </w:pPr>
            <w:r>
              <w:rPr>
                <w:rFonts w:cs="Calibri"/>
                <w:lang w:val="en-GB"/>
              </w:rPr>
              <w:t>T</w:t>
            </w:r>
            <w:r w:rsidRPr="0049518A">
              <w:rPr>
                <w:rFonts w:cs="Calibri"/>
                <w:lang w:val="en-GB"/>
              </w:rPr>
              <w:t>he Industry Skills Fund</w:t>
            </w:r>
            <w:r>
              <w:rPr>
                <w:rFonts w:cs="Calibri"/>
                <w:lang w:val="en-GB"/>
              </w:rPr>
              <w:t xml:space="preserve"> to</w:t>
            </w:r>
            <w:r>
              <w:t xml:space="preserve"> assist business to take advantage of growth opportunities and adapt to rapid technological changes.</w:t>
            </w:r>
            <w:r w:rsidRPr="0049518A">
              <w:rPr>
                <w:rFonts w:cs="Calibri"/>
                <w:lang w:val="en-GB"/>
              </w:rPr>
              <w:t xml:space="preserve"> </w:t>
            </w:r>
          </w:p>
        </w:tc>
        <w:tc>
          <w:tcPr>
            <w:tcW w:w="7507" w:type="dxa"/>
            <w:shd w:val="clear" w:color="auto" w:fill="auto"/>
          </w:tcPr>
          <w:p w:rsidR="000276A6" w:rsidRPr="0049518A" w:rsidRDefault="000276A6" w:rsidP="00694F11">
            <w:pPr>
              <w:rPr>
                <w:rFonts w:cs="Calibri"/>
                <w:lang w:val="en-GB"/>
              </w:rPr>
            </w:pPr>
            <w:r w:rsidRPr="0049518A">
              <w:rPr>
                <w:rFonts w:cs="Calibri"/>
                <w:lang w:val="en-GB"/>
              </w:rPr>
              <w:t xml:space="preserve">The </w:t>
            </w:r>
            <w:r>
              <w:rPr>
                <w:rFonts w:cs="Calibri"/>
                <w:lang w:val="en-GB"/>
              </w:rPr>
              <w:t>program</w:t>
            </w:r>
            <w:r w:rsidRPr="0049518A">
              <w:rPr>
                <w:rFonts w:cs="Calibri"/>
                <w:lang w:val="en-GB"/>
              </w:rPr>
              <w:t xml:space="preserve"> </w:t>
            </w:r>
            <w:r>
              <w:rPr>
                <w:rFonts w:cs="Calibri"/>
                <w:lang w:val="en-GB"/>
              </w:rPr>
              <w:t xml:space="preserve">started on </w:t>
            </w:r>
            <w:r w:rsidRPr="0049518A">
              <w:rPr>
                <w:rFonts w:cs="Calibri"/>
                <w:lang w:val="en-GB"/>
              </w:rPr>
              <w:t xml:space="preserve">1 January 2015. The </w:t>
            </w:r>
            <w:r>
              <w:rPr>
                <w:rFonts w:cs="Calibri"/>
                <w:lang w:val="en-GB"/>
              </w:rPr>
              <w:t>program</w:t>
            </w:r>
            <w:r w:rsidRPr="0049518A">
              <w:rPr>
                <w:rFonts w:cs="Calibri"/>
                <w:lang w:val="en-GB"/>
              </w:rPr>
              <w:t xml:space="preserve"> is being taken up by</w:t>
            </w:r>
            <w:r>
              <w:rPr>
                <w:rFonts w:cs="Calibri"/>
                <w:lang w:val="en-GB"/>
              </w:rPr>
              <w:t xml:space="preserve"> a range of eligible applicants and will </w:t>
            </w:r>
            <w:r w:rsidRPr="0049518A">
              <w:rPr>
                <w:rFonts w:cs="Calibri"/>
                <w:lang w:val="en-GB"/>
              </w:rPr>
              <w:t>deliver targeted training places and training support services over five years.</w:t>
            </w:r>
            <w:r>
              <w:rPr>
                <w:rFonts w:cs="Calibri"/>
                <w:lang w:val="en-GB"/>
              </w:rPr>
              <w:t xml:space="preserve"> </w:t>
            </w:r>
          </w:p>
        </w:tc>
      </w:tr>
      <w:tr w:rsidR="000276A6" w:rsidRPr="0049518A" w:rsidTr="00290750">
        <w:tc>
          <w:tcPr>
            <w:tcW w:w="7088" w:type="dxa"/>
            <w:shd w:val="clear" w:color="auto" w:fill="auto"/>
          </w:tcPr>
          <w:p w:rsidR="000276A6" w:rsidRPr="0049518A" w:rsidRDefault="000276A6" w:rsidP="0049518A">
            <w:pPr>
              <w:rPr>
                <w:rFonts w:cs="Calibri"/>
                <w:lang w:val="en-GB"/>
              </w:rPr>
            </w:pPr>
            <w:r>
              <w:rPr>
                <w:rFonts w:cs="Calibri"/>
                <w:lang w:val="en-GB"/>
              </w:rPr>
              <w:t>In 2015, $</w:t>
            </w:r>
            <w:r w:rsidRPr="0049518A">
              <w:rPr>
                <w:rFonts w:cs="Calibri"/>
                <w:lang w:val="en-GB"/>
              </w:rPr>
              <w:t>200 million</w:t>
            </w:r>
            <w:r>
              <w:rPr>
                <w:rFonts w:cs="Calibri"/>
                <w:lang w:val="en-GB"/>
              </w:rPr>
              <w:t xml:space="preserve"> per annum was committed </w:t>
            </w:r>
            <w:r w:rsidRPr="0049518A">
              <w:rPr>
                <w:rFonts w:cs="Calibri"/>
                <w:lang w:val="en-GB"/>
              </w:rPr>
              <w:t>to establish the Australian Apprenticeship Support Network to deliver a new generation of support services to Australian Apprenticeships participants to lift apprenticeship completion rates.</w:t>
            </w:r>
          </w:p>
        </w:tc>
        <w:tc>
          <w:tcPr>
            <w:tcW w:w="7507" w:type="dxa"/>
            <w:shd w:val="clear" w:color="auto" w:fill="auto"/>
          </w:tcPr>
          <w:p w:rsidR="000276A6" w:rsidRPr="0058346C" w:rsidRDefault="000276A6" w:rsidP="006C17BF">
            <w:pPr>
              <w:rPr>
                <w:rFonts w:cs="Calibri"/>
              </w:rPr>
            </w:pPr>
            <w:r w:rsidRPr="0049518A">
              <w:rPr>
                <w:rFonts w:cs="Calibri"/>
                <w:lang w:val="en-GB"/>
              </w:rPr>
              <w:t>The Australian Apprenticeship Support Network commenced on 1 July 2015 and operates from more than 400 locations in all states and territories across Australia.</w:t>
            </w:r>
            <w:r>
              <w:rPr>
                <w:rFonts w:cs="Calibri"/>
                <w:lang w:val="en-GB"/>
              </w:rPr>
              <w:t xml:space="preserve"> </w:t>
            </w:r>
            <w:r w:rsidRPr="00E2237C">
              <w:rPr>
                <w:rFonts w:cs="Calibri"/>
              </w:rPr>
              <w:t xml:space="preserve">The Government is also supporting those learning a trade by providing concessional income contingent Trade Support Loans of up to </w:t>
            </w:r>
            <w:r>
              <w:rPr>
                <w:rFonts w:cs="Calibri"/>
              </w:rPr>
              <w:br/>
              <w:t>$</w:t>
            </w:r>
            <w:r w:rsidRPr="00E2237C">
              <w:rPr>
                <w:rFonts w:cs="Calibri"/>
              </w:rPr>
              <w:t>20,000 over the life of an apprenticeship to assist with the cost of undertaking an apprenticeship.</w:t>
            </w:r>
          </w:p>
        </w:tc>
      </w:tr>
      <w:tr w:rsidR="000276A6" w:rsidRPr="0042048C" w:rsidTr="00290750">
        <w:tc>
          <w:tcPr>
            <w:tcW w:w="7088" w:type="dxa"/>
            <w:shd w:val="clear" w:color="auto" w:fill="auto"/>
          </w:tcPr>
          <w:p w:rsidR="000276A6" w:rsidRPr="0042048C" w:rsidRDefault="001616EA" w:rsidP="0042048C">
            <w:pPr>
              <w:rPr>
                <w:rFonts w:cs="Calibri"/>
                <w:lang w:val="en-GB"/>
              </w:rPr>
            </w:pPr>
            <w:r>
              <w:rPr>
                <w:rFonts w:cs="Calibri"/>
              </w:rPr>
              <w:t>N</w:t>
            </w:r>
            <w:r w:rsidR="000276A6" w:rsidRPr="0042048C">
              <w:rPr>
                <w:rFonts w:cs="Calibri"/>
              </w:rPr>
              <w:t>ew industry led arrangements for training product development and review.</w:t>
            </w:r>
          </w:p>
        </w:tc>
        <w:tc>
          <w:tcPr>
            <w:tcW w:w="7507" w:type="dxa"/>
            <w:shd w:val="clear" w:color="auto" w:fill="auto"/>
          </w:tcPr>
          <w:p w:rsidR="000276A6" w:rsidRPr="0042048C" w:rsidRDefault="000276A6" w:rsidP="001616EA">
            <w:pPr>
              <w:rPr>
                <w:rFonts w:cs="Calibri"/>
                <w:lang w:val="en-GB"/>
              </w:rPr>
            </w:pPr>
            <w:r w:rsidRPr="0042048C">
              <w:rPr>
                <w:rFonts w:cs="Calibri"/>
                <w:lang w:val="en-GB"/>
              </w:rPr>
              <w:t xml:space="preserve">The new arrangements for training product development commenced in </w:t>
            </w:r>
            <w:r w:rsidR="002E400F">
              <w:rPr>
                <w:rFonts w:cs="Calibri"/>
                <w:lang w:val="en-GB"/>
              </w:rPr>
              <w:br/>
            </w:r>
            <w:r w:rsidRPr="0042048C">
              <w:rPr>
                <w:rFonts w:cs="Calibri"/>
                <w:lang w:val="en-GB"/>
              </w:rPr>
              <w:t>January 2016.</w:t>
            </w:r>
          </w:p>
        </w:tc>
      </w:tr>
    </w:tbl>
    <w:p w:rsidR="008B49B0" w:rsidRDefault="008B49B0" w:rsidP="008D0B80">
      <w:pPr>
        <w:rPr>
          <w:rFonts w:cs="Calibri"/>
          <w:b/>
          <w:lang w:val="en-GB"/>
        </w:rPr>
        <w:sectPr w:rsidR="008B49B0" w:rsidSect="002436F6">
          <w:headerReference w:type="default" r:id="rId17"/>
          <w:footerReference w:type="default" r:id="rId18"/>
          <w:pgSz w:w="16783" w:h="11850" w:orient="landscape"/>
          <w:pgMar w:top="2835" w:right="1134" w:bottom="1134" w:left="1134" w:header="851" w:footer="0" w:gutter="0"/>
          <w:cols w:space="720"/>
          <w:docGrid w:linePitch="326"/>
        </w:sectPr>
      </w:pPr>
    </w:p>
    <w:p w:rsidR="0010535D" w:rsidRPr="005234D1" w:rsidRDefault="00F84CF6" w:rsidP="00DB26D7">
      <w:pPr>
        <w:pStyle w:val="Heading2"/>
        <w:spacing w:before="0"/>
      </w:pPr>
      <w:bookmarkStart w:id="104" w:name="_Toc452625239"/>
      <w:bookmarkStart w:id="105" w:name="_Toc458449936"/>
      <w:bookmarkStart w:id="106" w:name="_Toc486599755"/>
      <w:bookmarkStart w:id="107" w:name="_Toc487182931"/>
      <w:r w:rsidRPr="005234D1">
        <w:lastRenderedPageBreak/>
        <w:t>New policy commitments</w:t>
      </w:r>
      <w:bookmarkEnd w:id="104"/>
      <w:bookmarkEnd w:id="105"/>
      <w:bookmarkEnd w:id="106"/>
      <w:bookmarkEnd w:id="107"/>
    </w:p>
    <w:p w:rsidR="00924F55" w:rsidRPr="00924F55" w:rsidRDefault="00924F55" w:rsidP="00174D19">
      <w:pPr>
        <w:spacing w:after="360"/>
        <w:rPr>
          <w:lang w:val="en-GB"/>
        </w:rPr>
      </w:pPr>
      <w:r w:rsidRPr="00924F55">
        <w:rPr>
          <w:lang w:val="en-GB"/>
        </w:rPr>
        <w:t>The following table provides a summary of the key new employment</w:t>
      </w:r>
      <w:r w:rsidR="00365DEB">
        <w:rPr>
          <w:lang w:val="en-GB"/>
        </w:rPr>
        <w:t>-related</w:t>
      </w:r>
      <w:r w:rsidRPr="00924F55">
        <w:rPr>
          <w:lang w:val="en-GB"/>
        </w:rPr>
        <w:t xml:space="preserve"> measures announced by the Australian Government since </w:t>
      </w:r>
      <w:r w:rsidR="00E34742">
        <w:rPr>
          <w:lang w:val="en-GB"/>
        </w:rPr>
        <w:t xml:space="preserve">the G20 Leaders’ Summit in </w:t>
      </w:r>
      <w:r w:rsidRPr="00924F55">
        <w:rPr>
          <w:lang w:val="en-GB"/>
        </w:rPr>
        <w:t>November 201</w:t>
      </w:r>
      <w:r>
        <w:rPr>
          <w:lang w:val="en-GB"/>
        </w:rPr>
        <w:t>5</w:t>
      </w:r>
      <w:r w:rsidRPr="00924F55">
        <w:rPr>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4C24DD" w:rsidRPr="0049518A" w:rsidTr="00174D19">
        <w:trPr>
          <w:tblHeader/>
        </w:trPr>
        <w:tc>
          <w:tcPr>
            <w:tcW w:w="1843" w:type="dxa"/>
            <w:shd w:val="clear" w:color="auto" w:fill="F2F2F2"/>
          </w:tcPr>
          <w:p w:rsidR="004C24DD" w:rsidRPr="0049518A" w:rsidRDefault="004C24DD" w:rsidP="00F84CF6">
            <w:pPr>
              <w:rPr>
                <w:rFonts w:eastAsia="Times New Roman" w:cs="Calibri"/>
                <w:b/>
                <w:bCs/>
                <w:lang w:val="en-GB"/>
              </w:rPr>
            </w:pPr>
            <w:r w:rsidRPr="0049518A">
              <w:rPr>
                <w:rFonts w:eastAsia="Times New Roman" w:cs="Calibri"/>
                <w:b/>
                <w:bCs/>
                <w:lang w:val="en-GB"/>
              </w:rPr>
              <w:t>New policy measure</w:t>
            </w:r>
          </w:p>
        </w:tc>
        <w:tc>
          <w:tcPr>
            <w:tcW w:w="7796" w:type="dxa"/>
            <w:shd w:val="clear" w:color="auto" w:fill="F2F2F2"/>
          </w:tcPr>
          <w:p w:rsidR="004C24DD" w:rsidRPr="0049518A" w:rsidRDefault="004C24DD" w:rsidP="00F84CF6">
            <w:pPr>
              <w:rPr>
                <w:rFonts w:eastAsia="Times New Roman" w:cs="Calibri"/>
                <w:b/>
                <w:bCs/>
                <w:lang w:val="en-GB"/>
              </w:rPr>
            </w:pPr>
            <w:r w:rsidRPr="0049518A">
              <w:rPr>
                <w:rFonts w:eastAsia="Times New Roman" w:cs="Calibri"/>
                <w:b/>
                <w:bCs/>
                <w:lang w:val="en-GB"/>
              </w:rPr>
              <w:t>Description</w:t>
            </w:r>
          </w:p>
        </w:tc>
      </w:tr>
      <w:tr w:rsidR="004C24DD" w:rsidRPr="0049518A" w:rsidTr="004C24DD">
        <w:tc>
          <w:tcPr>
            <w:tcW w:w="1843" w:type="dxa"/>
            <w:shd w:val="clear" w:color="auto" w:fill="auto"/>
          </w:tcPr>
          <w:p w:rsidR="004C24DD" w:rsidRPr="0049518A" w:rsidRDefault="004C24DD" w:rsidP="00205C19">
            <w:pPr>
              <w:rPr>
                <w:rFonts w:eastAsia="Times New Roman" w:cs="Calibri"/>
                <w:b/>
                <w:bCs/>
                <w:lang w:val="en-GB"/>
              </w:rPr>
            </w:pPr>
            <w:r w:rsidRPr="00205C19">
              <w:rPr>
                <w:rFonts w:eastAsia="Times New Roman" w:cs="Calibri"/>
                <w:bCs/>
                <w:lang w:val="en-GB"/>
              </w:rPr>
              <w:t>A.</w:t>
            </w:r>
            <w:r w:rsidRPr="0049518A">
              <w:rPr>
                <w:rFonts w:eastAsia="Times New Roman" w:cs="Calibri"/>
                <w:b/>
                <w:bCs/>
                <w:lang w:val="en-GB"/>
              </w:rPr>
              <w:t xml:space="preserve"> </w:t>
            </w:r>
            <w:r w:rsidR="00205C19" w:rsidRPr="00205C19">
              <w:rPr>
                <w:rFonts w:eastAsia="Times New Roman" w:cs="Calibri"/>
                <w:bCs/>
                <w:lang w:val="en-GB"/>
              </w:rPr>
              <w:t xml:space="preserve">Economic </w:t>
            </w:r>
            <w:r w:rsidR="00205C19">
              <w:rPr>
                <w:rFonts w:eastAsia="Times New Roman" w:cs="Calibri"/>
                <w:bCs/>
                <w:lang w:val="en-GB"/>
              </w:rPr>
              <w:t>s</w:t>
            </w:r>
            <w:r w:rsidR="00C3785B">
              <w:rPr>
                <w:rFonts w:eastAsia="Times New Roman" w:cs="Calibri"/>
                <w:bCs/>
                <w:lang w:val="en-GB"/>
              </w:rPr>
              <w:t>trategy</w:t>
            </w:r>
          </w:p>
        </w:tc>
        <w:tc>
          <w:tcPr>
            <w:tcW w:w="7796" w:type="dxa"/>
            <w:shd w:val="clear" w:color="auto" w:fill="auto"/>
          </w:tcPr>
          <w:p w:rsidR="00C3785B" w:rsidRPr="00C3785B" w:rsidRDefault="00C54B2C" w:rsidP="00C3785B">
            <w:pPr>
              <w:rPr>
                <w:rFonts w:eastAsia="Times New Roman" w:cs="Calibri"/>
                <w:lang w:val="en-GB"/>
              </w:rPr>
            </w:pPr>
            <w:r>
              <w:rPr>
                <w:rFonts w:eastAsia="Times New Roman" w:cs="Calibri"/>
                <w:lang w:val="en-GB"/>
              </w:rPr>
              <w:t>The</w:t>
            </w:r>
            <w:r w:rsidR="00C3785B" w:rsidRPr="00C3785B">
              <w:rPr>
                <w:rFonts w:eastAsia="Times New Roman" w:cs="Calibri"/>
                <w:lang w:val="en-GB"/>
              </w:rPr>
              <w:t xml:space="preserve"> </w:t>
            </w:r>
            <w:r w:rsidR="00205C19">
              <w:rPr>
                <w:rFonts w:eastAsia="Times New Roman" w:cs="Calibri"/>
                <w:lang w:val="en-GB"/>
              </w:rPr>
              <w:t xml:space="preserve">Government’s economic strategy </w:t>
            </w:r>
            <w:r w:rsidR="00C3785B" w:rsidRPr="00C3785B">
              <w:rPr>
                <w:rFonts w:eastAsia="Times New Roman" w:cs="Calibri"/>
                <w:lang w:val="en-GB"/>
              </w:rPr>
              <w:t>will facilitate the economy’s transition to broad based growth over the next decade and beyond. This strategy includes policies to assist small business</w:t>
            </w:r>
            <w:r w:rsidR="00DA4BF0">
              <w:rPr>
                <w:rFonts w:eastAsia="Times New Roman" w:cs="Calibri"/>
                <w:lang w:val="en-GB"/>
              </w:rPr>
              <w:t>es</w:t>
            </w:r>
            <w:r w:rsidR="00C3785B" w:rsidRPr="00C3785B">
              <w:rPr>
                <w:rFonts w:eastAsia="Times New Roman" w:cs="Calibri"/>
                <w:lang w:val="en-GB"/>
              </w:rPr>
              <w:t xml:space="preserve"> and a Youth Employment Package (noted below). </w:t>
            </w:r>
            <w:r>
              <w:rPr>
                <w:rFonts w:eastAsia="Times New Roman" w:cs="Calibri"/>
                <w:lang w:val="en-GB"/>
              </w:rPr>
              <w:t>Initiatives include</w:t>
            </w:r>
            <w:r w:rsidR="00C3785B" w:rsidRPr="00C3785B">
              <w:rPr>
                <w:rFonts w:eastAsia="Times New Roman" w:cs="Calibri"/>
                <w:lang w:val="en-GB"/>
              </w:rPr>
              <w:t>:</w:t>
            </w:r>
          </w:p>
          <w:p w:rsidR="00C3785B" w:rsidRPr="00591215" w:rsidRDefault="00856B0A" w:rsidP="00174D19">
            <w:pPr>
              <w:numPr>
                <w:ilvl w:val="0"/>
                <w:numId w:val="4"/>
              </w:numPr>
              <w:spacing w:before="20" w:after="20"/>
              <w:rPr>
                <w:rFonts w:eastAsia="Times New Roman" w:cs="Calibri"/>
                <w:lang w:val="en-GB"/>
              </w:rPr>
            </w:pPr>
            <w:r w:rsidRPr="00C3785B">
              <w:rPr>
                <w:rFonts w:eastAsia="Times New Roman" w:cs="Calibri"/>
              </w:rPr>
              <w:t>Increasing</w:t>
            </w:r>
            <w:r w:rsidR="00C3785B" w:rsidRPr="00C3785B">
              <w:rPr>
                <w:rFonts w:eastAsia="Times New Roman" w:cs="Calibri"/>
              </w:rPr>
              <w:t xml:space="preserve"> </w:t>
            </w:r>
            <w:r w:rsidR="00C3785B" w:rsidRPr="00591215">
              <w:rPr>
                <w:rFonts w:eastAsia="Times New Roman" w:cs="Calibri"/>
              </w:rPr>
              <w:t>the small business turnover threshold from $2 million to $10 million to allow more businesses to access a range of small business tax concessions.</w:t>
            </w:r>
          </w:p>
          <w:p w:rsidR="00C3785B" w:rsidRPr="00591215" w:rsidRDefault="00C3785B" w:rsidP="00174D19">
            <w:pPr>
              <w:numPr>
                <w:ilvl w:val="0"/>
                <w:numId w:val="4"/>
              </w:numPr>
              <w:spacing w:before="20" w:after="20"/>
              <w:rPr>
                <w:rFonts w:eastAsia="Times New Roman" w:cs="Calibri"/>
                <w:lang w:val="en-GB"/>
              </w:rPr>
            </w:pPr>
            <w:r w:rsidRPr="00591215">
              <w:rPr>
                <w:rFonts w:eastAsia="Times New Roman" w:cs="Calibri"/>
                <w:lang w:val="en-GB"/>
              </w:rPr>
              <w:t>Measures to encourage entrepreneurs</w:t>
            </w:r>
          </w:p>
          <w:p w:rsidR="004C24DD" w:rsidRPr="00EE45BF" w:rsidRDefault="00C3785B" w:rsidP="00174D19">
            <w:pPr>
              <w:numPr>
                <w:ilvl w:val="0"/>
                <w:numId w:val="4"/>
              </w:numPr>
              <w:spacing w:before="20" w:after="20"/>
              <w:rPr>
                <w:rFonts w:eastAsia="Times New Roman" w:cs="Calibri"/>
                <w:lang w:val="en-GB"/>
              </w:rPr>
            </w:pPr>
            <w:r w:rsidRPr="00591215">
              <w:rPr>
                <w:rFonts w:eastAsia="Times New Roman" w:cs="Calibri"/>
              </w:rPr>
              <w:t>Measures to help employers take on unemployed job seekers</w:t>
            </w:r>
            <w:r w:rsidR="0086204D">
              <w:rPr>
                <w:rFonts w:eastAsia="Times New Roman" w:cs="Calibri"/>
              </w:rPr>
              <w:t>.</w:t>
            </w:r>
          </w:p>
        </w:tc>
      </w:tr>
      <w:tr w:rsidR="004C24DD" w:rsidRPr="0049518A" w:rsidTr="004C24DD">
        <w:tc>
          <w:tcPr>
            <w:tcW w:w="1843" w:type="dxa"/>
            <w:shd w:val="clear" w:color="auto" w:fill="auto"/>
          </w:tcPr>
          <w:p w:rsidR="004C24DD" w:rsidRPr="0049518A" w:rsidRDefault="004C24DD" w:rsidP="003A6DEF">
            <w:pPr>
              <w:rPr>
                <w:rFonts w:eastAsia="Times New Roman" w:cs="Calibri"/>
                <w:b/>
                <w:bCs/>
                <w:lang w:val="en-GB"/>
              </w:rPr>
            </w:pPr>
            <w:r w:rsidRPr="00205C19">
              <w:rPr>
                <w:rFonts w:eastAsia="Times New Roman" w:cs="Calibri"/>
                <w:bCs/>
                <w:lang w:val="en-GB"/>
              </w:rPr>
              <w:t>B.</w:t>
            </w:r>
            <w:r w:rsidRPr="0049518A">
              <w:rPr>
                <w:rFonts w:eastAsia="Times New Roman" w:cs="Calibri"/>
                <w:b/>
                <w:bCs/>
                <w:lang w:val="en-GB"/>
              </w:rPr>
              <w:t xml:space="preserve"> </w:t>
            </w:r>
            <w:r w:rsidR="003A6DEF">
              <w:rPr>
                <w:rFonts w:eastAsia="Times New Roman" w:cs="Calibri"/>
                <w:bCs/>
                <w:lang w:val="en-GB"/>
              </w:rPr>
              <w:t>Youth Employment Package</w:t>
            </w:r>
          </w:p>
        </w:tc>
        <w:tc>
          <w:tcPr>
            <w:tcW w:w="7796" w:type="dxa"/>
            <w:shd w:val="clear" w:color="auto" w:fill="auto"/>
          </w:tcPr>
          <w:p w:rsidR="00C3785B" w:rsidRDefault="00C3785B" w:rsidP="002274E3">
            <w:pPr>
              <w:rPr>
                <w:rFonts w:eastAsia="Times New Roman" w:cs="Calibri"/>
                <w:lang w:val="en-GB"/>
              </w:rPr>
            </w:pPr>
            <w:r w:rsidRPr="00C3785B">
              <w:rPr>
                <w:rFonts w:eastAsia="Times New Roman" w:cs="Calibri"/>
                <w:lang w:val="en-GB"/>
              </w:rPr>
              <w:t>The Youth Employment Package includes:</w:t>
            </w:r>
          </w:p>
          <w:p w:rsidR="002274E3" w:rsidRPr="002274E3" w:rsidRDefault="00FA03B7" w:rsidP="00174D19">
            <w:pPr>
              <w:numPr>
                <w:ilvl w:val="0"/>
                <w:numId w:val="5"/>
              </w:numPr>
              <w:spacing w:before="20" w:after="20"/>
              <w:rPr>
                <w:rFonts w:eastAsia="Times New Roman" w:cs="Calibri"/>
                <w:lang w:val="en-GB"/>
              </w:rPr>
            </w:pPr>
            <w:r w:rsidRPr="002274E3">
              <w:rPr>
                <w:rFonts w:cs="Calibri"/>
              </w:rPr>
              <w:t xml:space="preserve">From April 2017, </w:t>
            </w:r>
            <w:r w:rsidR="002C080C">
              <w:rPr>
                <w:rFonts w:cs="Calibri"/>
              </w:rPr>
              <w:t xml:space="preserve">Youth Jobs </w:t>
            </w:r>
            <w:r w:rsidRPr="002274E3">
              <w:rPr>
                <w:rFonts w:cs="Calibri"/>
              </w:rPr>
              <w:t xml:space="preserve">PaTH </w:t>
            </w:r>
            <w:r w:rsidR="009738BC">
              <w:rPr>
                <w:rFonts w:cs="Calibri"/>
              </w:rPr>
              <w:t>program</w:t>
            </w:r>
            <w:r w:rsidRPr="002274E3">
              <w:rPr>
                <w:rFonts w:cs="Calibri"/>
              </w:rPr>
              <w:t xml:space="preserve"> participants will receive employability skills training to prepare them for the workforce and </w:t>
            </w:r>
            <w:r w:rsidR="000D7702">
              <w:rPr>
                <w:rFonts w:cs="Calibri"/>
              </w:rPr>
              <w:t xml:space="preserve">can volunteer for a </w:t>
            </w:r>
            <w:r w:rsidRPr="002274E3">
              <w:rPr>
                <w:rFonts w:cs="Calibri"/>
              </w:rPr>
              <w:t>4</w:t>
            </w:r>
            <w:r w:rsidR="00EC41B4">
              <w:rPr>
                <w:rFonts w:cs="Calibri"/>
              </w:rPr>
              <w:t xml:space="preserve"> to </w:t>
            </w:r>
            <w:r w:rsidRPr="002274E3">
              <w:rPr>
                <w:rFonts w:cs="Calibri"/>
              </w:rPr>
              <w:t xml:space="preserve">12 week internship with an employer to increase their work experience. Participants will receive an additional $200 supplement per fortnight while </w:t>
            </w:r>
            <w:r w:rsidR="000D7702">
              <w:rPr>
                <w:rFonts w:cs="Calibri"/>
              </w:rPr>
              <w:t>undertaking an</w:t>
            </w:r>
            <w:r w:rsidRPr="002274E3">
              <w:rPr>
                <w:rFonts w:cs="Calibri"/>
              </w:rPr>
              <w:t xml:space="preserve"> </w:t>
            </w:r>
            <w:r w:rsidR="000D7702" w:rsidRPr="002274E3">
              <w:rPr>
                <w:rFonts w:cs="Calibri"/>
              </w:rPr>
              <w:t>internship</w:t>
            </w:r>
            <w:r w:rsidRPr="002274E3">
              <w:rPr>
                <w:rFonts w:cs="Calibri"/>
              </w:rPr>
              <w:t xml:space="preserve"> and employers will be eligible for a one-off payment of $1,000. </w:t>
            </w:r>
          </w:p>
          <w:p w:rsidR="00C3785B" w:rsidRPr="002274E3" w:rsidRDefault="00C3785B" w:rsidP="00174D19">
            <w:pPr>
              <w:numPr>
                <w:ilvl w:val="0"/>
                <w:numId w:val="5"/>
              </w:numPr>
              <w:spacing w:before="20" w:after="20"/>
              <w:rPr>
                <w:rFonts w:eastAsia="Times New Roman" w:cs="Calibri"/>
                <w:lang w:val="en-GB"/>
              </w:rPr>
            </w:pPr>
            <w:r w:rsidRPr="002274E3">
              <w:rPr>
                <w:rFonts w:eastAsia="Times New Roman" w:cs="Calibri"/>
                <w:lang w:val="en-GB"/>
              </w:rPr>
              <w:t>The Youth Bonus wage subsidy, which will grant employers who take on an eligible young seeker</w:t>
            </w:r>
            <w:r w:rsidR="002C080C">
              <w:rPr>
                <w:rFonts w:eastAsia="Times New Roman" w:cs="Calibri"/>
                <w:lang w:val="en-GB"/>
              </w:rPr>
              <w:t xml:space="preserve"> up to</w:t>
            </w:r>
            <w:r w:rsidRPr="002274E3">
              <w:rPr>
                <w:rFonts w:eastAsia="Times New Roman" w:cs="Calibri"/>
                <w:lang w:val="en-GB"/>
              </w:rPr>
              <w:t xml:space="preserve"> $10,000</w:t>
            </w:r>
            <w:r w:rsidR="00740BE6" w:rsidRPr="002274E3">
              <w:rPr>
                <w:rFonts w:eastAsia="Times New Roman" w:cs="Calibri"/>
                <w:lang w:val="en-GB"/>
              </w:rPr>
              <w:t xml:space="preserve">, </w:t>
            </w:r>
            <w:r w:rsidR="00B30121" w:rsidRPr="002274E3">
              <w:rPr>
                <w:rFonts w:eastAsia="Times New Roman" w:cs="Calibri"/>
                <w:lang w:val="en-GB"/>
              </w:rPr>
              <w:t>increased from</w:t>
            </w:r>
            <w:r w:rsidR="00740BE6" w:rsidRPr="002274E3">
              <w:rPr>
                <w:rFonts w:eastAsia="Times New Roman" w:cs="Calibri"/>
                <w:lang w:val="en-GB"/>
              </w:rPr>
              <w:t xml:space="preserve"> $6,500</w:t>
            </w:r>
            <w:r w:rsidRPr="002274E3">
              <w:rPr>
                <w:rFonts w:eastAsia="Times New Roman" w:cs="Calibri"/>
                <w:lang w:val="en-GB"/>
              </w:rPr>
              <w:t>.</w:t>
            </w:r>
          </w:p>
          <w:p w:rsidR="00C3785B" w:rsidRPr="00C3785B" w:rsidRDefault="00C3785B" w:rsidP="00174D19">
            <w:pPr>
              <w:numPr>
                <w:ilvl w:val="0"/>
                <w:numId w:val="5"/>
              </w:numPr>
              <w:spacing w:before="20" w:after="20"/>
              <w:rPr>
                <w:rFonts w:eastAsia="Times New Roman" w:cs="Calibri"/>
                <w:lang w:val="en-GB"/>
              </w:rPr>
            </w:pPr>
            <w:r w:rsidRPr="00C3785B">
              <w:rPr>
                <w:rFonts w:eastAsia="Times New Roman" w:cs="Calibri"/>
                <w:lang w:val="en-GB"/>
              </w:rPr>
              <w:t xml:space="preserve">Expanding the number of places in the New Enterprise Incentive Scheme and granting access to </w:t>
            </w:r>
            <w:r w:rsidR="00EE45BF">
              <w:rPr>
                <w:rFonts w:eastAsia="Times New Roman" w:cs="Calibri"/>
                <w:lang w:val="en-GB"/>
              </w:rPr>
              <w:t>the training components to all job seekers.</w:t>
            </w:r>
          </w:p>
          <w:p w:rsidR="004C24DD" w:rsidRPr="00B30121" w:rsidRDefault="00C3785B" w:rsidP="00174D19">
            <w:pPr>
              <w:pStyle w:val="MediumGrid1-Accent21"/>
              <w:numPr>
                <w:ilvl w:val="0"/>
                <w:numId w:val="5"/>
              </w:numPr>
              <w:suppressAutoHyphens w:val="0"/>
              <w:autoSpaceDE/>
              <w:autoSpaceDN/>
              <w:adjustRightInd/>
              <w:spacing w:before="20" w:after="20"/>
              <w:textAlignment w:val="auto"/>
              <w:rPr>
                <w:color w:val="auto"/>
                <w:sz w:val="22"/>
                <w:szCs w:val="22"/>
                <w:lang w:val="en-GB"/>
              </w:rPr>
            </w:pPr>
            <w:r w:rsidRPr="00B30121">
              <w:rPr>
                <w:rFonts w:eastAsia="Times New Roman"/>
                <w:color w:val="auto"/>
                <w:sz w:val="22"/>
                <w:lang w:val="en-GB"/>
              </w:rPr>
              <w:t>Developing “Exploring Being My Own Boss” workshops for job</w:t>
            </w:r>
            <w:r w:rsidR="00DA4BF0">
              <w:rPr>
                <w:rFonts w:eastAsia="Times New Roman"/>
                <w:color w:val="auto"/>
                <w:sz w:val="22"/>
                <w:lang w:val="en-GB"/>
              </w:rPr>
              <w:t xml:space="preserve"> </w:t>
            </w:r>
            <w:r w:rsidRPr="00B30121">
              <w:rPr>
                <w:rFonts w:eastAsia="Times New Roman"/>
                <w:color w:val="auto"/>
                <w:sz w:val="22"/>
                <w:lang w:val="en-GB"/>
              </w:rPr>
              <w:t>seekers to generate interest in self-employment, including Self-Employment Starter Packs</w:t>
            </w:r>
            <w:r w:rsidR="0086204D">
              <w:rPr>
                <w:rFonts w:eastAsia="Times New Roman"/>
                <w:color w:val="auto"/>
                <w:sz w:val="22"/>
                <w:lang w:val="en-GB"/>
              </w:rPr>
              <w:t>.</w:t>
            </w:r>
          </w:p>
        </w:tc>
      </w:tr>
      <w:tr w:rsidR="00ED71F0" w:rsidRPr="0049518A" w:rsidTr="00205C19">
        <w:tc>
          <w:tcPr>
            <w:tcW w:w="1843" w:type="dxa"/>
            <w:tcBorders>
              <w:bottom w:val="single" w:sz="4" w:space="0" w:color="auto"/>
            </w:tcBorders>
            <w:shd w:val="clear" w:color="auto" w:fill="auto"/>
          </w:tcPr>
          <w:p w:rsidR="00ED71F0" w:rsidRPr="00233AE9" w:rsidRDefault="00205C19" w:rsidP="00205C19">
            <w:pPr>
              <w:rPr>
                <w:rFonts w:eastAsia="Times New Roman"/>
                <w:b/>
                <w:bCs/>
              </w:rPr>
            </w:pPr>
            <w:r w:rsidRPr="00205C19">
              <w:rPr>
                <w:rFonts w:eastAsia="Times New Roman"/>
                <w:bCs/>
              </w:rPr>
              <w:t>C</w:t>
            </w:r>
            <w:r w:rsidR="00ED71F0" w:rsidRPr="000D502F">
              <w:rPr>
                <w:rFonts w:eastAsia="Times New Roman"/>
                <w:b/>
                <w:bCs/>
              </w:rPr>
              <w:t xml:space="preserve">. </w:t>
            </w:r>
            <w:r w:rsidR="00ED71F0" w:rsidRPr="000D502F">
              <w:rPr>
                <w:rFonts w:eastAsia="Times New Roman"/>
                <w:bCs/>
              </w:rPr>
              <w:t>Welfare measures</w:t>
            </w:r>
          </w:p>
        </w:tc>
        <w:tc>
          <w:tcPr>
            <w:tcW w:w="7796" w:type="dxa"/>
            <w:tcBorders>
              <w:bottom w:val="single" w:sz="4" w:space="0" w:color="auto"/>
            </w:tcBorders>
            <w:shd w:val="clear" w:color="auto" w:fill="auto"/>
          </w:tcPr>
          <w:p w:rsidR="00ED71F0" w:rsidRPr="00365DEB" w:rsidRDefault="00ED71F0" w:rsidP="00CA07CC">
            <w:pPr>
              <w:pStyle w:val="ListParagraph"/>
              <w:numPr>
                <w:ilvl w:val="0"/>
                <w:numId w:val="21"/>
              </w:numPr>
            </w:pPr>
            <w:r w:rsidRPr="00365DEB">
              <w:t xml:space="preserve">The Try, Test and Learn Fund will finance new and innovative policy interventions to address barriers to work for groups identified </w:t>
            </w:r>
            <w:r w:rsidR="00DE066E" w:rsidRPr="00365DEB">
              <w:t>through</w:t>
            </w:r>
            <w:r w:rsidRPr="00365DEB">
              <w:t xml:space="preserve"> actuarial </w:t>
            </w:r>
            <w:r w:rsidR="00DE066E" w:rsidRPr="00365DEB">
              <w:t xml:space="preserve">analysis </w:t>
            </w:r>
            <w:r w:rsidRPr="00365DEB">
              <w:t>as being at risk of long-term welfare dependence.</w:t>
            </w:r>
            <w:r w:rsidRPr="00365DEB">
              <w:tab/>
            </w:r>
          </w:p>
        </w:tc>
      </w:tr>
      <w:tr w:rsidR="00205C19" w:rsidRPr="0049518A" w:rsidTr="00866A59">
        <w:trPr>
          <w:trHeight w:val="5093"/>
        </w:trPr>
        <w:tc>
          <w:tcPr>
            <w:tcW w:w="1843" w:type="dxa"/>
            <w:shd w:val="clear" w:color="auto" w:fill="auto"/>
          </w:tcPr>
          <w:p w:rsidR="00205C19" w:rsidRPr="00205C19" w:rsidRDefault="00205C19" w:rsidP="00205C19">
            <w:pPr>
              <w:rPr>
                <w:rFonts w:eastAsia="Times New Roman"/>
                <w:bCs/>
              </w:rPr>
            </w:pPr>
            <w:r w:rsidRPr="00205C19">
              <w:rPr>
                <w:rFonts w:eastAsia="Times New Roman"/>
                <w:bCs/>
              </w:rPr>
              <w:lastRenderedPageBreak/>
              <w:t>D. Election commitments</w:t>
            </w:r>
          </w:p>
        </w:tc>
        <w:tc>
          <w:tcPr>
            <w:tcW w:w="7796" w:type="dxa"/>
            <w:shd w:val="clear" w:color="auto" w:fill="auto"/>
          </w:tcPr>
          <w:p w:rsidR="00DD2E5A" w:rsidRPr="00DD2E5A" w:rsidRDefault="001616EA" w:rsidP="00EE45BF">
            <w:r>
              <w:t>M</w:t>
            </w:r>
            <w:r w:rsidR="00DD2E5A">
              <w:t xml:space="preserve">easures </w:t>
            </w:r>
            <w:r w:rsidR="00EE45BF">
              <w:t>to</w:t>
            </w:r>
            <w:r w:rsidR="00DD2E5A">
              <w:t xml:space="preserve"> support </w:t>
            </w:r>
            <w:r>
              <w:t xml:space="preserve">participation and </w:t>
            </w:r>
            <w:r w:rsidR="00DD2E5A">
              <w:t>job creation announced during th</w:t>
            </w:r>
            <w:r w:rsidR="000B6530">
              <w:t>e 2016 federal election include:</w:t>
            </w:r>
          </w:p>
          <w:p w:rsidR="000F0833" w:rsidRDefault="00DD2E5A" w:rsidP="00174D19">
            <w:pPr>
              <w:pStyle w:val="ListParagraph"/>
              <w:numPr>
                <w:ilvl w:val="0"/>
                <w:numId w:val="19"/>
              </w:numPr>
              <w:spacing w:before="20" w:after="20"/>
            </w:pPr>
            <w:r>
              <w:t xml:space="preserve">A commitment of </w:t>
            </w:r>
            <w:r w:rsidR="00434E4D" w:rsidRPr="00434E4D">
              <w:t>$</w:t>
            </w:r>
            <w:r w:rsidR="00434E4D">
              <w:t>200</w:t>
            </w:r>
            <w:r w:rsidR="000F0833" w:rsidRPr="000F0833">
              <w:t xml:space="preserve"> million </w:t>
            </w:r>
            <w:r w:rsidR="000F0833">
              <w:t xml:space="preserve">for </w:t>
            </w:r>
            <w:r w:rsidR="00EC41B4">
              <w:t xml:space="preserve">the </w:t>
            </w:r>
            <w:r w:rsidR="001616EA">
              <w:t xml:space="preserve">Regional </w:t>
            </w:r>
            <w:r w:rsidR="000F0833">
              <w:t xml:space="preserve">Jobs and </w:t>
            </w:r>
            <w:r w:rsidR="00434E4D">
              <w:t>Investment Package</w:t>
            </w:r>
            <w:r w:rsidR="000F0833">
              <w:t xml:space="preserve"> </w:t>
            </w:r>
            <w:r w:rsidR="000F0833" w:rsidRPr="000F0833">
              <w:t xml:space="preserve">to </w:t>
            </w:r>
            <w:r w:rsidR="00EC41B4">
              <w:t xml:space="preserve">create jobs, </w:t>
            </w:r>
            <w:r w:rsidR="000F0833" w:rsidRPr="000F0833">
              <w:t>grow</w:t>
            </w:r>
            <w:r w:rsidR="000F0833">
              <w:t xml:space="preserve"> skills</w:t>
            </w:r>
            <w:r w:rsidR="00EC41B4">
              <w:t xml:space="preserve"> and </w:t>
            </w:r>
            <w:r w:rsidR="00EC41B4" w:rsidRPr="000F0833">
              <w:t xml:space="preserve">diversify the </w:t>
            </w:r>
            <w:r w:rsidR="00EC41B4">
              <w:t>local economy</w:t>
            </w:r>
            <w:r w:rsidR="000F0833">
              <w:t xml:space="preserve"> in </w:t>
            </w:r>
            <w:r w:rsidR="00434E4D">
              <w:t>nine</w:t>
            </w:r>
            <w:r w:rsidR="000F0833">
              <w:t xml:space="preserve"> </w:t>
            </w:r>
            <w:r w:rsidR="000F0833" w:rsidRPr="000F0833">
              <w:t>regions</w:t>
            </w:r>
            <w:r w:rsidR="000F0833">
              <w:t>.</w:t>
            </w:r>
          </w:p>
          <w:p w:rsidR="00BA34A7" w:rsidRDefault="00DD2E5A" w:rsidP="00174D19">
            <w:pPr>
              <w:pStyle w:val="ListParagraph"/>
              <w:numPr>
                <w:ilvl w:val="0"/>
                <w:numId w:val="19"/>
              </w:numPr>
              <w:spacing w:before="20" w:after="20"/>
            </w:pPr>
            <w:proofErr w:type="gramStart"/>
            <w:r>
              <w:t>A</w:t>
            </w:r>
            <w:r w:rsidR="00BA34A7">
              <w:t xml:space="preserve"> plan to boost economic growth and job creation in the state of South Australia.</w:t>
            </w:r>
            <w:proofErr w:type="gramEnd"/>
            <w:r w:rsidR="00BA34A7">
              <w:t xml:space="preserve"> Key elements of this plan include 1,200 </w:t>
            </w:r>
            <w:r w:rsidR="00BA34A7" w:rsidRPr="00BA34A7">
              <w:t>scholarships</w:t>
            </w:r>
            <w:r w:rsidR="00BA34A7">
              <w:t xml:space="preserve"> for post-school education</w:t>
            </w:r>
            <w:r w:rsidR="00BA34A7" w:rsidRPr="00BA34A7">
              <w:t xml:space="preserve">, a youth </w:t>
            </w:r>
            <w:r w:rsidR="00BA34A7">
              <w:t xml:space="preserve">employment </w:t>
            </w:r>
            <w:r w:rsidR="00BA34A7" w:rsidRPr="00BA34A7">
              <w:t xml:space="preserve">pilot program, </w:t>
            </w:r>
            <w:proofErr w:type="gramStart"/>
            <w:r w:rsidR="00BA34A7" w:rsidRPr="00BA34A7">
              <w:t>a Pathways</w:t>
            </w:r>
            <w:proofErr w:type="gramEnd"/>
            <w:r w:rsidR="00BA34A7" w:rsidRPr="00BA34A7">
              <w:t xml:space="preserve"> in Technology pilot, </w:t>
            </w:r>
            <w:r w:rsidR="000F0833">
              <w:t xml:space="preserve">measures to </w:t>
            </w:r>
            <w:r w:rsidR="00BA34A7" w:rsidRPr="00BA34A7">
              <w:t xml:space="preserve">support </w:t>
            </w:r>
            <w:r w:rsidR="00C01F09">
              <w:t xml:space="preserve">the </w:t>
            </w:r>
            <w:r w:rsidR="00BA34A7" w:rsidRPr="00BA34A7">
              <w:t xml:space="preserve">South Australian steel </w:t>
            </w:r>
            <w:r w:rsidR="000F0833">
              <w:t xml:space="preserve">and manufacturing </w:t>
            </w:r>
            <w:r w:rsidR="00C01F09">
              <w:t>industries</w:t>
            </w:r>
            <w:r w:rsidR="00EE45BF">
              <w:t>,</w:t>
            </w:r>
            <w:r w:rsidR="00C01F09">
              <w:t xml:space="preserve"> </w:t>
            </w:r>
            <w:r w:rsidR="000F0833">
              <w:t>as well as</w:t>
            </w:r>
            <w:r w:rsidR="00BA34A7" w:rsidRPr="00BA34A7">
              <w:t xml:space="preserve"> long-term defence projects and infrastructure investment.</w:t>
            </w:r>
          </w:p>
          <w:p w:rsidR="000F0833" w:rsidRDefault="000F0833" w:rsidP="00174D19">
            <w:pPr>
              <w:pStyle w:val="ListParagraph"/>
              <w:numPr>
                <w:ilvl w:val="0"/>
                <w:numId w:val="19"/>
              </w:numPr>
              <w:spacing w:before="20" w:after="20"/>
            </w:pPr>
            <w:r>
              <w:t xml:space="preserve">The Government also announced a plan to improve job creation in the state of Tasmania. Key elements of this plan include measures to support </w:t>
            </w:r>
            <w:r w:rsidRPr="000F0833">
              <w:t>en</w:t>
            </w:r>
            <w:r w:rsidR="00EE45BF">
              <w:t>ergy security, higher education as well as</w:t>
            </w:r>
            <w:r w:rsidRPr="000F0833">
              <w:t xml:space="preserve"> investments in infrastructure and Antarctic research, regional jobs, tourism and forestry</w:t>
            </w:r>
            <w:r>
              <w:t>.</w:t>
            </w:r>
          </w:p>
          <w:p w:rsidR="00DD2E5A" w:rsidRDefault="00DD2E5A" w:rsidP="00174D19">
            <w:pPr>
              <w:pStyle w:val="ListParagraph"/>
              <w:numPr>
                <w:ilvl w:val="0"/>
                <w:numId w:val="19"/>
              </w:numPr>
              <w:spacing w:before="20" w:after="20"/>
            </w:pPr>
            <w:proofErr w:type="gramStart"/>
            <w:r>
              <w:t xml:space="preserve">A commitment of $115 million for </w:t>
            </w:r>
            <w:r w:rsidRPr="00DD2E5A">
              <w:t>targeted support for Indigenous entrepreneurs and small Indigenous businesses</w:t>
            </w:r>
            <w:r w:rsidR="00DA4BF0">
              <w:t>.</w:t>
            </w:r>
            <w:proofErr w:type="gramEnd"/>
          </w:p>
          <w:p w:rsidR="00BA34A7" w:rsidRDefault="00BA34A7" w:rsidP="00174D19">
            <w:pPr>
              <w:pStyle w:val="ListParagraph"/>
              <w:numPr>
                <w:ilvl w:val="0"/>
                <w:numId w:val="19"/>
              </w:numPr>
              <w:spacing w:before="20" w:after="20"/>
            </w:pPr>
            <w:r w:rsidRPr="00BA34A7">
              <w:t>The Government has committed $10 million over the next two years to expand the</w:t>
            </w:r>
            <w:r w:rsidR="002B3F5C">
              <w:t xml:space="preserve"> </w:t>
            </w:r>
            <w:r w:rsidR="002B3F5C" w:rsidRPr="002B3F5C">
              <w:t>UnitingCare Pre-Employment Program pilots</w:t>
            </w:r>
            <w:r w:rsidRPr="00BA34A7">
              <w:t>. This investment will assist up to 1,400 women aged between 25 and 54 to find a job.</w:t>
            </w:r>
          </w:p>
          <w:p w:rsidR="00205C19" w:rsidRDefault="00CD5B55" w:rsidP="00174D19">
            <w:pPr>
              <w:pStyle w:val="ListParagraph"/>
              <w:numPr>
                <w:ilvl w:val="0"/>
                <w:numId w:val="19"/>
              </w:numPr>
              <w:spacing w:before="20" w:after="20"/>
            </w:pPr>
            <w:r w:rsidRPr="00CD5B55">
              <w:t xml:space="preserve">Over 2016-17 to 2019-20, $48 million has been committed to The Smith Family to expand its Learning for Life program to support an additional </w:t>
            </w:r>
            <w:proofErr w:type="gramStart"/>
            <w:r w:rsidRPr="00CD5B55">
              <w:t>24,000 disadvantaged</w:t>
            </w:r>
            <w:proofErr w:type="gramEnd"/>
            <w:r w:rsidRPr="00CD5B55">
              <w:t xml:space="preserve"> young Australians to achieve improved educational outcomes.</w:t>
            </w:r>
          </w:p>
          <w:p w:rsidR="00694F11" w:rsidRDefault="00694F11" w:rsidP="00174D19">
            <w:pPr>
              <w:pStyle w:val="ListParagraph"/>
              <w:numPr>
                <w:ilvl w:val="0"/>
                <w:numId w:val="19"/>
              </w:numPr>
              <w:spacing w:before="20" w:after="20"/>
            </w:pPr>
            <w:r w:rsidRPr="00694F11">
              <w:t>The Australian Government has committed $24 million over four years for scholarships to support students to undertake studies in South Australia that include an internship component to link scholarships to real jobs.</w:t>
            </w:r>
          </w:p>
          <w:p w:rsidR="000D41B9" w:rsidRPr="00866A59" w:rsidRDefault="00F72444" w:rsidP="00174D19">
            <w:pPr>
              <w:pStyle w:val="ListParagraph"/>
              <w:numPr>
                <w:ilvl w:val="0"/>
                <w:numId w:val="19"/>
              </w:numPr>
              <w:spacing w:before="20" w:after="20"/>
            </w:pPr>
            <w:proofErr w:type="gramStart"/>
            <w:r>
              <w:t xml:space="preserve">A commitment </w:t>
            </w:r>
            <w:r w:rsidR="005A468A" w:rsidRPr="006B0BFF">
              <w:t xml:space="preserve">to provide additional funding for </w:t>
            </w:r>
            <w:r w:rsidR="005A468A">
              <w:t xml:space="preserve">the Fair Work Ombudsman and to </w:t>
            </w:r>
            <w:r w:rsidR="005A468A" w:rsidRPr="006B0BFF">
              <w:t xml:space="preserve">amend the </w:t>
            </w:r>
            <w:r w:rsidR="005A468A" w:rsidRPr="006B0BFF">
              <w:rPr>
                <w:i/>
              </w:rPr>
              <w:t>Fair Work Act 2009</w:t>
            </w:r>
            <w:r w:rsidR="005A468A" w:rsidRPr="006B0BFF">
              <w:t xml:space="preserve"> to strengthen protections for vulnerable workers</w:t>
            </w:r>
            <w:r w:rsidR="005A468A">
              <w:t>.</w:t>
            </w:r>
            <w:proofErr w:type="gramEnd"/>
            <w:r w:rsidR="005A468A">
              <w:t xml:space="preserve"> The Government </w:t>
            </w:r>
            <w:r>
              <w:t xml:space="preserve">also </w:t>
            </w:r>
            <w:r w:rsidR="005A468A" w:rsidRPr="006B0BFF">
              <w:t>establish</w:t>
            </w:r>
            <w:r w:rsidR="005A468A">
              <w:t>ed</w:t>
            </w:r>
            <w:r w:rsidR="005A468A" w:rsidRPr="006B0BFF">
              <w:t xml:space="preserve"> a Migrant Worker</w:t>
            </w:r>
            <w:r w:rsidR="005A468A">
              <w:t>s’ Taskforce in October 2016 as part of th</w:t>
            </w:r>
            <w:r w:rsidR="00C713A5">
              <w:t>is</w:t>
            </w:r>
            <w:r w:rsidR="005A468A">
              <w:t xml:space="preserve"> commitment.</w:t>
            </w:r>
          </w:p>
        </w:tc>
      </w:tr>
    </w:tbl>
    <w:p w:rsidR="00422FD9" w:rsidRPr="005234D1" w:rsidRDefault="00BC48EE" w:rsidP="00174D19">
      <w:pPr>
        <w:pStyle w:val="Heading2"/>
        <w:spacing w:before="0" w:after="120"/>
      </w:pPr>
      <w:bookmarkStart w:id="108" w:name="_Toc452625240"/>
      <w:r>
        <w:br w:type="page"/>
      </w:r>
      <w:bookmarkStart w:id="109" w:name="_Toc458449937"/>
      <w:bookmarkStart w:id="110" w:name="_Toc486599756"/>
      <w:bookmarkStart w:id="111" w:name="_Toc487182932"/>
      <w:r w:rsidR="00B81F14" w:rsidRPr="005234D1">
        <w:lastRenderedPageBreak/>
        <w:t>Multi-year collective commitments</w:t>
      </w:r>
      <w:bookmarkEnd w:id="108"/>
      <w:bookmarkEnd w:id="109"/>
      <w:bookmarkEnd w:id="110"/>
      <w:bookmarkEnd w:id="111"/>
    </w:p>
    <w:p w:rsidR="003B255E" w:rsidRDefault="003B255E" w:rsidP="00DB26D7">
      <w:pPr>
        <w:pStyle w:val="Heading3"/>
      </w:pPr>
      <w:bookmarkStart w:id="112" w:name="_Toc452625241"/>
      <w:bookmarkStart w:id="113" w:name="_Toc458449938"/>
      <w:bookmarkStart w:id="114" w:name="_Toc487182933"/>
      <w:r w:rsidRPr="00DB26D7">
        <w:t>Collective commitment to increase female labour force participation and gender equality</w:t>
      </w:r>
      <w:bookmarkEnd w:id="112"/>
      <w:bookmarkEnd w:id="113"/>
      <w:bookmarkEnd w:id="114"/>
      <w:r w:rsidRPr="00DB26D7">
        <w:t xml:space="preserve"> </w:t>
      </w:r>
    </w:p>
    <w:p w:rsidR="003B255E" w:rsidRPr="004C4413" w:rsidRDefault="00873DE0" w:rsidP="00174D19">
      <w:pPr>
        <w:autoSpaceDE w:val="0"/>
        <w:autoSpaceDN w:val="0"/>
        <w:adjustRightInd w:val="0"/>
        <w:rPr>
          <w:b/>
        </w:rPr>
      </w:pPr>
      <w:r>
        <w:rPr>
          <w:rFonts w:cs="Calibri"/>
          <w:lang w:val="en-AU"/>
        </w:rPr>
        <w:t xml:space="preserve">The </w:t>
      </w:r>
      <w:r w:rsidR="003B255E" w:rsidRPr="004C4413">
        <w:rPr>
          <w:rFonts w:cs="Calibri"/>
          <w:lang w:val="en-AU"/>
        </w:rPr>
        <w:t>Australia</w:t>
      </w:r>
      <w:r>
        <w:rPr>
          <w:rFonts w:cs="Calibri"/>
          <w:lang w:val="en-AU"/>
        </w:rPr>
        <w:t>n Government</w:t>
      </w:r>
      <w:r w:rsidR="003B255E" w:rsidRPr="004C4413">
        <w:rPr>
          <w:rFonts w:cs="Calibri"/>
          <w:lang w:val="en-AU"/>
        </w:rPr>
        <w:t xml:space="preserve"> is committed to increasing women’s workforce participation, understanding that it will</w:t>
      </w:r>
      <w:r w:rsidR="003B255E">
        <w:rPr>
          <w:rFonts w:cs="Calibri"/>
          <w:lang w:val="en-AU"/>
        </w:rPr>
        <w:t xml:space="preserve"> enable Australia to realise it</w:t>
      </w:r>
      <w:r w:rsidR="003B255E" w:rsidRPr="004C4413">
        <w:rPr>
          <w:rFonts w:cs="Calibri"/>
          <w:lang w:val="en-AU"/>
        </w:rPr>
        <w:t xml:space="preserve">s economic potential and help to achieve gender equality. Importantly, </w:t>
      </w:r>
      <w:r w:rsidR="003B255E" w:rsidRPr="004C4413">
        <w:rPr>
          <w:rFonts w:cs="Calibri"/>
        </w:rPr>
        <w:t>t</w:t>
      </w:r>
      <w:r w:rsidR="003B255E" w:rsidRPr="004C4413">
        <w:t>he economic security that comes with paid work can increase family wellbeing and</w:t>
      </w:r>
      <w:r w:rsidR="003B255E" w:rsidRPr="004C4413">
        <w:rPr>
          <w:b/>
        </w:rPr>
        <w:t xml:space="preserve"> </w:t>
      </w:r>
      <w:r w:rsidR="003B255E" w:rsidRPr="004C4413">
        <w:t>reduce women’s vulnerability to poverty, homelessness and family violence.</w:t>
      </w:r>
    </w:p>
    <w:p w:rsidR="003B255E" w:rsidRPr="004C4413" w:rsidRDefault="003B255E" w:rsidP="00174D19">
      <w:pPr>
        <w:autoSpaceDE w:val="0"/>
        <w:autoSpaceDN w:val="0"/>
        <w:adjustRightInd w:val="0"/>
        <w:rPr>
          <w:rFonts w:cs="Calibri"/>
          <w:lang w:val="en-AU"/>
        </w:rPr>
      </w:pPr>
      <w:r w:rsidRPr="004C4413">
        <w:rPr>
          <w:rFonts w:cs="Calibri"/>
          <w:lang w:val="en-AU"/>
        </w:rPr>
        <w:t>Given the complex factors that drive women’s participation, addressing the barriers and enhancing the enablers for women to participate in paid work requires a multi-faceted policy approach.</w:t>
      </w:r>
    </w:p>
    <w:p w:rsidR="003B255E" w:rsidRPr="004C4413" w:rsidRDefault="003B255E" w:rsidP="00174D19">
      <w:pPr>
        <w:autoSpaceDE w:val="0"/>
        <w:autoSpaceDN w:val="0"/>
        <w:adjustRightInd w:val="0"/>
        <w:rPr>
          <w:rFonts w:cs="Calibri"/>
          <w:lang w:val="en-AU"/>
        </w:rPr>
      </w:pPr>
      <w:r>
        <w:rPr>
          <w:rFonts w:cs="Calibri"/>
          <w:lang w:val="en-AU"/>
        </w:rPr>
        <w:t>To form a strong foundation for</w:t>
      </w:r>
      <w:r w:rsidRPr="004C4413">
        <w:rPr>
          <w:rFonts w:cs="Calibri"/>
          <w:lang w:val="en-AU"/>
        </w:rPr>
        <w:t xml:space="preserve"> women’s workforce participation, Australia has in place a world class education and training system which delivers positive outcomes for </w:t>
      </w:r>
      <w:r w:rsidR="000679F2">
        <w:rPr>
          <w:rFonts w:cs="Calibri"/>
          <w:lang w:val="en-AU"/>
        </w:rPr>
        <w:t>women</w:t>
      </w:r>
      <w:r w:rsidRPr="004C4413">
        <w:rPr>
          <w:rFonts w:cs="Calibri"/>
          <w:lang w:val="en-AU"/>
        </w:rPr>
        <w:t xml:space="preserve">, a tax and transfer system designed to encourage workforce participation and active labour market </w:t>
      </w:r>
      <w:r w:rsidR="009738BC">
        <w:rPr>
          <w:rFonts w:cs="Calibri"/>
          <w:lang w:val="en-AU"/>
        </w:rPr>
        <w:t>programs</w:t>
      </w:r>
      <w:r w:rsidRPr="004C4413">
        <w:rPr>
          <w:rFonts w:cs="Calibri"/>
          <w:lang w:val="en-AU"/>
        </w:rPr>
        <w:t xml:space="preserve"> which are flexible to support the needs of job seekers. For those in employment, Australia has a legislative </w:t>
      </w:r>
      <w:proofErr w:type="gramStart"/>
      <w:r w:rsidRPr="004C4413">
        <w:rPr>
          <w:rFonts w:cs="Calibri"/>
          <w:lang w:val="en-AU"/>
        </w:rPr>
        <w:t>framework which</w:t>
      </w:r>
      <w:proofErr w:type="gramEnd"/>
      <w:r w:rsidRPr="004C4413">
        <w:rPr>
          <w:rFonts w:cs="Calibri"/>
          <w:lang w:val="en-AU"/>
        </w:rPr>
        <w:t xml:space="preserve"> guarantees entitlements and protections for employees and prioritises gender equality with a compulsory reporting framework for </w:t>
      </w:r>
      <w:r w:rsidR="00174D19">
        <w:rPr>
          <w:rFonts w:cs="Calibri"/>
          <w:lang w:val="en-AU"/>
        </w:rPr>
        <w:t>large private sector employers.</w:t>
      </w:r>
    </w:p>
    <w:p w:rsidR="000D786C" w:rsidRDefault="003B255E" w:rsidP="00174D19">
      <w:pPr>
        <w:autoSpaceDE w:val="0"/>
        <w:autoSpaceDN w:val="0"/>
        <w:adjustRightInd w:val="0"/>
        <w:rPr>
          <w:rFonts w:cs="Calibri"/>
          <w:lang w:val="en-AU"/>
        </w:rPr>
      </w:pPr>
      <w:r w:rsidRPr="004C4413">
        <w:rPr>
          <w:rFonts w:cs="Calibri"/>
          <w:lang w:val="en-AU"/>
        </w:rPr>
        <w:t xml:space="preserve">To build upon the existing framework, the Australian Government has introduced a range of initiatives to provide targeted support for women to enter and stay attached to the workforce across key policy areas. These include initiatives designed to improve financial literacy and retirement savings, address long-term welfare reliance, support female advancement in growth industries and encourage entrepreneurs and small business operators to thrive. </w:t>
      </w:r>
      <w:r w:rsidR="00C01F09">
        <w:rPr>
          <w:rFonts w:cs="Calibri"/>
          <w:lang w:val="en-AU"/>
        </w:rPr>
        <w:t xml:space="preserve">A summary of these initiatives </w:t>
      </w:r>
      <w:proofErr w:type="gramStart"/>
      <w:r w:rsidR="00C01F09">
        <w:rPr>
          <w:rFonts w:cs="Calibri"/>
          <w:lang w:val="en-AU"/>
        </w:rPr>
        <w:t>is provided</w:t>
      </w:r>
      <w:proofErr w:type="gramEnd"/>
      <w:r w:rsidR="00C01F09">
        <w:rPr>
          <w:rFonts w:cs="Calibri"/>
          <w:lang w:val="en-AU"/>
        </w:rPr>
        <w:t xml:space="preserve"> in the table</w:t>
      </w:r>
      <w:r w:rsidR="000679F2">
        <w:rPr>
          <w:rFonts w:cs="Calibri"/>
          <w:lang w:val="en-AU"/>
        </w:rPr>
        <w:t xml:space="preserve"> overleaf</w:t>
      </w:r>
      <w:r w:rsidR="00C01F09">
        <w:rPr>
          <w:rFonts w:cs="Calibri"/>
          <w:lang w:val="en-AU"/>
        </w:rPr>
        <w:t>.</w:t>
      </w:r>
    </w:p>
    <w:p w:rsidR="00174D19" w:rsidRPr="00FD5913" w:rsidRDefault="00174D19" w:rsidP="00174D19">
      <w:pPr>
        <w:pStyle w:val="TableheadingH2"/>
        <w:spacing w:before="240" w:after="0"/>
      </w:pPr>
      <w:bookmarkStart w:id="115" w:name="_Toc487182934"/>
      <w:r w:rsidRPr="00FD5913">
        <w:t xml:space="preserve">Chart </w:t>
      </w:r>
      <w:r>
        <w:t>1</w:t>
      </w:r>
      <w:r w:rsidRPr="00FD5913">
        <w:t xml:space="preserve">: Male and female </w:t>
      </w:r>
      <w:proofErr w:type="spellStart"/>
      <w:r w:rsidRPr="00FD5913">
        <w:t>labour</w:t>
      </w:r>
      <w:proofErr w:type="spellEnd"/>
      <w:r w:rsidRPr="00FD5913">
        <w:t xml:space="preserve"> force participation rates, 1980–2016</w:t>
      </w:r>
      <w:bookmarkEnd w:id="115"/>
    </w:p>
    <w:p w:rsidR="00174D19" w:rsidRPr="004C4413" w:rsidRDefault="00174D19" w:rsidP="00174D19">
      <w:pPr>
        <w:autoSpaceDE w:val="0"/>
        <w:autoSpaceDN w:val="0"/>
        <w:adjustRightInd w:val="0"/>
        <w:spacing w:after="240"/>
        <w:jc w:val="center"/>
        <w:rPr>
          <w:rFonts w:cs="Calibri"/>
          <w:lang w:val="en-AU"/>
        </w:rPr>
      </w:pPr>
      <w:r>
        <w:rPr>
          <w:rFonts w:cs="Calibri"/>
          <w:noProof/>
          <w:lang w:val="en-AU" w:eastAsia="en-AU"/>
        </w:rPr>
        <w:drawing>
          <wp:inline distT="0" distB="0" distL="0" distR="0" wp14:anchorId="50691BF4">
            <wp:extent cx="4685665" cy="3399790"/>
            <wp:effectExtent l="0" t="0" r="635" b="0"/>
            <wp:docPr id="1" name="Picture 1" descr="Chart 1: Male and female labour force participation rates, 1980–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5665" cy="3399790"/>
                    </a:xfrm>
                    <a:prstGeom prst="rect">
                      <a:avLst/>
                    </a:prstGeom>
                    <a:noFill/>
                  </pic:spPr>
                </pic:pic>
              </a:graphicData>
            </a:graphic>
          </wp:inline>
        </w:drawing>
      </w:r>
    </w:p>
    <w:p w:rsidR="00E87B88" w:rsidRPr="005A7A38" w:rsidRDefault="00E87B88" w:rsidP="00E87B88">
      <w:pPr>
        <w:rPr>
          <w:rFonts w:cs="Calibri"/>
          <w:sz w:val="18"/>
          <w:szCs w:val="18"/>
        </w:rPr>
      </w:pPr>
      <w:r w:rsidRPr="00FD5913">
        <w:rPr>
          <w:rFonts w:cs="Calibri"/>
          <w:sz w:val="18"/>
          <w:szCs w:val="18"/>
        </w:rPr>
        <w:t xml:space="preserve">Source: Australian Bureau of Statistics, </w:t>
      </w:r>
      <w:r w:rsidRPr="00FD5913">
        <w:rPr>
          <w:rFonts w:cs="Calibri"/>
          <w:i/>
          <w:iCs/>
          <w:sz w:val="18"/>
          <w:szCs w:val="18"/>
        </w:rPr>
        <w:t>Labour Force, Australia</w:t>
      </w:r>
      <w:r w:rsidR="00FD5913" w:rsidRPr="00FD5913">
        <w:rPr>
          <w:rFonts w:cs="Calibri"/>
          <w:sz w:val="18"/>
          <w:szCs w:val="18"/>
        </w:rPr>
        <w:t xml:space="preserve">, August </w:t>
      </w:r>
      <w:r w:rsidRPr="00FD5913">
        <w:rPr>
          <w:rFonts w:cs="Calibri"/>
          <w:sz w:val="18"/>
          <w:szCs w:val="18"/>
        </w:rPr>
        <w:t>2016 (cat. no. 6202.0), people 15 years and over, trend data</w:t>
      </w:r>
    </w:p>
    <w:p w:rsidR="00AE0016" w:rsidRDefault="00AE0016" w:rsidP="00422FD9">
      <w:pPr>
        <w:autoSpaceDE w:val="0"/>
        <w:autoSpaceDN w:val="0"/>
        <w:adjustRightInd w:val="0"/>
        <w:spacing w:after="240"/>
        <w:rPr>
          <w:rFonts w:cs="Calibri"/>
          <w:lang w:val="en-AU"/>
        </w:rPr>
        <w:sectPr w:rsidR="00AE0016" w:rsidSect="00357C5A">
          <w:headerReference w:type="default" r:id="rId20"/>
          <w:footerReference w:type="default" r:id="rId21"/>
          <w:pgSz w:w="11850" w:h="16783"/>
          <w:pgMar w:top="2835" w:right="1134" w:bottom="1134" w:left="1134" w:header="851" w:footer="992" w:gutter="0"/>
          <w:cols w:space="720"/>
          <w:docGrid w:linePitch="326"/>
        </w:sectPr>
      </w:pPr>
    </w:p>
    <w:p w:rsidR="003B255E" w:rsidRDefault="003B255E" w:rsidP="00174D19">
      <w:pPr>
        <w:pStyle w:val="Heading3"/>
        <w:rPr>
          <w:rFonts w:eastAsia="SimSun"/>
        </w:rPr>
      </w:pPr>
      <w:bookmarkStart w:id="116" w:name="_Toc487182935"/>
      <w:r w:rsidRPr="004C4413">
        <w:rPr>
          <w:rFonts w:eastAsia="SimSun"/>
        </w:rPr>
        <w:lastRenderedPageBreak/>
        <w:t>Key measures introduced in pursuit of the collective commitment to increase female labour force participation</w:t>
      </w:r>
      <w:bookmarkEnd w:id="116"/>
      <w:r w:rsidRPr="004C4413">
        <w:rPr>
          <w:rFonts w:eastAsia="SimSun"/>
        </w:rPr>
        <w:t xml:space="preserve"> </w:t>
      </w:r>
    </w:p>
    <w:tbl>
      <w:tblPr>
        <w:tblW w:w="14382"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5"/>
        <w:gridCol w:w="7297"/>
      </w:tblGrid>
      <w:tr w:rsidR="00A366F0" w:rsidRPr="0049518A" w:rsidTr="00174D19">
        <w:trPr>
          <w:tblHeader/>
        </w:trPr>
        <w:tc>
          <w:tcPr>
            <w:tcW w:w="7085" w:type="dxa"/>
            <w:tcBorders>
              <w:bottom w:val="single" w:sz="4" w:space="0" w:color="auto"/>
            </w:tcBorders>
            <w:shd w:val="clear" w:color="auto" w:fill="F2F2F2"/>
          </w:tcPr>
          <w:p w:rsidR="00A366F0" w:rsidRPr="0049518A" w:rsidRDefault="00A366F0" w:rsidP="005142CE">
            <w:pPr>
              <w:rPr>
                <w:rFonts w:cs="Calibri"/>
                <w:b/>
                <w:lang w:val="en-GB"/>
              </w:rPr>
            </w:pPr>
            <w:r w:rsidRPr="0049518A">
              <w:rPr>
                <w:rFonts w:cs="Calibri"/>
                <w:b/>
                <w:bCs/>
                <w:lang w:val="en-GB"/>
              </w:rPr>
              <w:t xml:space="preserve">Policy </w:t>
            </w:r>
            <w:r>
              <w:rPr>
                <w:rFonts w:cs="Calibri"/>
                <w:b/>
                <w:bCs/>
                <w:lang w:val="en-GB"/>
              </w:rPr>
              <w:t>c</w:t>
            </w:r>
            <w:r w:rsidRPr="0049518A">
              <w:rPr>
                <w:rFonts w:cs="Calibri"/>
                <w:b/>
                <w:bCs/>
                <w:lang w:val="en-GB"/>
              </w:rPr>
              <w:t>ommitment</w:t>
            </w:r>
            <w:r>
              <w:rPr>
                <w:rFonts w:cs="Calibri"/>
                <w:b/>
                <w:bCs/>
                <w:lang w:val="en-GB"/>
              </w:rPr>
              <w:t xml:space="preserve"> / description</w:t>
            </w:r>
          </w:p>
        </w:tc>
        <w:tc>
          <w:tcPr>
            <w:tcW w:w="7297" w:type="dxa"/>
            <w:tcBorders>
              <w:bottom w:val="single" w:sz="4" w:space="0" w:color="auto"/>
            </w:tcBorders>
            <w:shd w:val="clear" w:color="auto" w:fill="F2F2F2"/>
          </w:tcPr>
          <w:p w:rsidR="00A366F0" w:rsidRPr="0049518A" w:rsidRDefault="00A366F0" w:rsidP="005142CE">
            <w:pPr>
              <w:rPr>
                <w:rFonts w:cs="Calibri"/>
                <w:b/>
                <w:lang w:val="en-GB"/>
              </w:rPr>
            </w:pPr>
            <w:r>
              <w:rPr>
                <w:rFonts w:cs="Calibri"/>
                <w:b/>
                <w:bCs/>
                <w:lang w:val="en-GB"/>
              </w:rPr>
              <w:t>Status of implementation and results achieved</w:t>
            </w:r>
          </w:p>
        </w:tc>
      </w:tr>
      <w:tr w:rsidR="00A366F0" w:rsidRPr="0049518A" w:rsidTr="00290750">
        <w:tc>
          <w:tcPr>
            <w:tcW w:w="14382" w:type="dxa"/>
            <w:gridSpan w:val="2"/>
            <w:tcBorders>
              <w:bottom w:val="single" w:sz="4" w:space="0" w:color="auto"/>
            </w:tcBorders>
            <w:shd w:val="clear" w:color="auto" w:fill="F2F2F2"/>
          </w:tcPr>
          <w:p w:rsidR="00A366F0" w:rsidRPr="004F7D5D" w:rsidRDefault="004F7D5D" w:rsidP="00B37EC6">
            <w:pPr>
              <w:rPr>
                <w:rFonts w:ascii="Garamond" w:hAnsi="Garamond" w:cs="Calibri"/>
                <w:bCs/>
                <w:i/>
                <w:lang w:val="en-GB" w:eastAsia="tr-TR"/>
              </w:rPr>
            </w:pPr>
            <w:r w:rsidRPr="00B37EC6">
              <w:rPr>
                <w:rFonts w:cs="Calibri"/>
                <w:i/>
                <w:lang w:val="en-AU"/>
              </w:rPr>
              <w:t>i) Address unequal treatment of men and women in the labour market (2014 Declaration priorities 5, 6)</w:t>
            </w:r>
          </w:p>
        </w:tc>
      </w:tr>
      <w:tr w:rsidR="00A366F0" w:rsidRPr="000D502F" w:rsidTr="00290750">
        <w:tc>
          <w:tcPr>
            <w:tcW w:w="7085" w:type="dxa"/>
            <w:tcBorders>
              <w:bottom w:val="single" w:sz="4" w:space="0" w:color="auto"/>
            </w:tcBorders>
            <w:shd w:val="clear" w:color="auto" w:fill="auto"/>
          </w:tcPr>
          <w:p w:rsidR="004F7D5D" w:rsidRPr="00AF6CEB" w:rsidRDefault="004F7D5D" w:rsidP="00B16EA5">
            <w:pPr>
              <w:rPr>
                <w:b/>
                <w:lang w:val="en-GB"/>
              </w:rPr>
            </w:pPr>
            <w:r w:rsidRPr="00AF6CEB">
              <w:rPr>
                <w:b/>
                <w:lang w:val="en-GB"/>
              </w:rPr>
              <w:t>Ending violence against women and their children</w:t>
            </w:r>
          </w:p>
          <w:p w:rsidR="00120A94" w:rsidRPr="00EE45BF" w:rsidRDefault="00120A94" w:rsidP="00B16EA5">
            <w:pPr>
              <w:autoSpaceDE w:val="0"/>
              <w:autoSpaceDN w:val="0"/>
              <w:rPr>
                <w:rFonts w:cs="Calibri"/>
              </w:rPr>
            </w:pPr>
            <w:r w:rsidRPr="00EE45BF">
              <w:rPr>
                <w:rFonts w:cs="Calibri"/>
              </w:rPr>
              <w:t>Ensuring</w:t>
            </w:r>
            <w:r w:rsidR="004F7D5D" w:rsidRPr="00EE45BF">
              <w:rPr>
                <w:rFonts w:cs="Calibri"/>
              </w:rPr>
              <w:t xml:space="preserve"> the safety of women and their children at risk of experiencing violence is an immediate and urgent priority for the Australian Government.</w:t>
            </w:r>
            <w:r w:rsidR="00D540B8" w:rsidRPr="00EE45BF">
              <w:rPr>
                <w:rFonts w:cs="Calibri"/>
              </w:rPr>
              <w:t xml:space="preserve"> Building a culture that supports gender equality and reduces </w:t>
            </w:r>
            <w:r w:rsidR="0061713E">
              <w:rPr>
                <w:rFonts w:cs="Calibri"/>
              </w:rPr>
              <w:t>violence against women will</w:t>
            </w:r>
            <w:r w:rsidR="00D540B8" w:rsidRPr="00EE45BF">
              <w:rPr>
                <w:rFonts w:cs="Calibri"/>
              </w:rPr>
              <w:t xml:space="preserve"> improve women’s workforce participation and economic security.</w:t>
            </w:r>
            <w:r w:rsidR="00BF7188" w:rsidRPr="00EE45BF">
              <w:rPr>
                <w:rFonts w:cs="Calibri"/>
              </w:rPr>
              <w:t xml:space="preserve"> </w:t>
            </w:r>
          </w:p>
          <w:p w:rsidR="00B16EA5" w:rsidRPr="00D7423D" w:rsidRDefault="004F7D5D" w:rsidP="00CA07CC">
            <w:pPr>
              <w:numPr>
                <w:ilvl w:val="0"/>
                <w:numId w:val="13"/>
              </w:numPr>
              <w:autoSpaceDE w:val="0"/>
              <w:autoSpaceDN w:val="0"/>
              <w:rPr>
                <w:rFonts w:eastAsia="Calibri" w:cs="Calibri"/>
                <w:lang w:eastAsia="en-US"/>
              </w:rPr>
            </w:pPr>
            <w:r w:rsidRPr="00AF6CEB">
              <w:t xml:space="preserve">The Government partners with </w:t>
            </w:r>
            <w:r w:rsidR="000679F2">
              <w:t>s</w:t>
            </w:r>
            <w:r w:rsidRPr="00AF6CEB">
              <w:t xml:space="preserve">tates and </w:t>
            </w:r>
            <w:r w:rsidR="000679F2">
              <w:t>t</w:t>
            </w:r>
            <w:r w:rsidRPr="00AF6CEB">
              <w:t xml:space="preserve">erritories through the </w:t>
            </w:r>
            <w:r w:rsidRPr="00D7423D">
              <w:rPr>
                <w:i/>
              </w:rPr>
              <w:t>National Plan to Reduce Violence against Women a</w:t>
            </w:r>
            <w:r w:rsidR="00B16EA5" w:rsidRPr="00D7423D">
              <w:rPr>
                <w:i/>
              </w:rPr>
              <w:t>nd their Children 2010 – 2022</w:t>
            </w:r>
            <w:r w:rsidR="00B16EA5" w:rsidRPr="00AF6CEB">
              <w:t>.</w:t>
            </w:r>
          </w:p>
          <w:p w:rsidR="00A366F0" w:rsidRPr="00C01F09" w:rsidRDefault="0061713E" w:rsidP="00CA07CC">
            <w:pPr>
              <w:numPr>
                <w:ilvl w:val="0"/>
                <w:numId w:val="13"/>
              </w:numPr>
              <w:autoSpaceDE w:val="0"/>
              <w:autoSpaceDN w:val="0"/>
              <w:rPr>
                <w:rFonts w:eastAsia="Calibri" w:cs="Calibri"/>
                <w:lang w:eastAsia="en-US"/>
              </w:rPr>
            </w:pPr>
            <w:r>
              <w:t>As part of the 2016-17</w:t>
            </w:r>
            <w:r w:rsidR="0061693B">
              <w:t xml:space="preserve"> Budget, the Australian Government has committed an additional $100 million to deliver the Third Action Plan of </w:t>
            </w:r>
            <w:r w:rsidR="00A07C7F">
              <w:t xml:space="preserve">this </w:t>
            </w:r>
            <w:r w:rsidR="0061693B">
              <w:t>Plan.</w:t>
            </w:r>
            <w:r w:rsidR="00210DF2">
              <w:t xml:space="preserve"> </w:t>
            </w:r>
            <w:r w:rsidR="0061693B">
              <w:t>This builds on the $100 million Women’s Safety Package, launched in September 2015, and on the Commonwealth’s much broader investments that drive a reduction in violence, including income support, education, housing and health</w:t>
            </w:r>
            <w:r w:rsidR="00210DF2">
              <w:t xml:space="preserve"> measures</w:t>
            </w:r>
            <w:r w:rsidR="0061693B">
              <w:t>.</w:t>
            </w:r>
          </w:p>
        </w:tc>
        <w:tc>
          <w:tcPr>
            <w:tcW w:w="7297" w:type="dxa"/>
            <w:tcBorders>
              <w:bottom w:val="single" w:sz="4" w:space="0" w:color="auto"/>
            </w:tcBorders>
            <w:shd w:val="clear" w:color="auto" w:fill="auto"/>
          </w:tcPr>
          <w:p w:rsidR="00A366F0" w:rsidRPr="00AF6CEB" w:rsidRDefault="004F7D5D" w:rsidP="005142CE">
            <w:pPr>
              <w:rPr>
                <w:lang w:val="en-GB"/>
              </w:rPr>
            </w:pPr>
            <w:r w:rsidRPr="00AF6CEB">
              <w:rPr>
                <w:lang w:val="en-GB"/>
              </w:rPr>
              <w:t xml:space="preserve">The Second Action Plan under the National Plan </w:t>
            </w:r>
            <w:r w:rsidR="003B4D2C">
              <w:rPr>
                <w:lang w:val="en-GB"/>
              </w:rPr>
              <w:t xml:space="preserve">to reduce violence against women and children </w:t>
            </w:r>
            <w:r w:rsidRPr="00AF6CEB">
              <w:rPr>
                <w:lang w:val="en-GB"/>
              </w:rPr>
              <w:t>ran from 2013 to 2016. The Third Action Plan will run from 2016 to 2019.</w:t>
            </w:r>
          </w:p>
          <w:p w:rsidR="00B16EA5" w:rsidRPr="00AF6CEB" w:rsidRDefault="004F7D5D" w:rsidP="00CA07CC">
            <w:pPr>
              <w:numPr>
                <w:ilvl w:val="0"/>
                <w:numId w:val="14"/>
              </w:numPr>
              <w:rPr>
                <w:lang w:val="en-GB"/>
              </w:rPr>
            </w:pPr>
            <w:r w:rsidRPr="00AF6CEB">
              <w:rPr>
                <w:lang w:val="en-GB"/>
              </w:rPr>
              <w:t>Outcomes of the Second Action Plan 2013 – 2016 include the establishment of ANROWS, Our Watch and White Ribbon, agreement of National Perpetrator Intervention Standards, agreement on a National Domestic Violence Order Scheme, continuation of “The Line” primary prevention behaviour change campaign for young people aged 12 to 20 years, and commencement of the national campaign to change community attitudes to violence.</w:t>
            </w:r>
          </w:p>
          <w:p w:rsidR="00B16EA5" w:rsidRPr="00AF6CEB" w:rsidRDefault="00B16EA5" w:rsidP="00210DF2">
            <w:pPr>
              <w:rPr>
                <w:lang w:val="en-GB"/>
              </w:rPr>
            </w:pPr>
          </w:p>
        </w:tc>
      </w:tr>
      <w:tr w:rsidR="00A366F0" w:rsidRPr="000D502F" w:rsidTr="00290750">
        <w:tc>
          <w:tcPr>
            <w:tcW w:w="7085" w:type="dxa"/>
            <w:tcBorders>
              <w:bottom w:val="single" w:sz="4" w:space="0" w:color="auto"/>
            </w:tcBorders>
            <w:shd w:val="clear" w:color="auto" w:fill="auto"/>
          </w:tcPr>
          <w:p w:rsidR="00A366F0" w:rsidRPr="00AF6CEB" w:rsidRDefault="004F7D5D" w:rsidP="005142CE">
            <w:pPr>
              <w:rPr>
                <w:b/>
                <w:lang w:val="en-GB"/>
              </w:rPr>
            </w:pPr>
            <w:r w:rsidRPr="00AF6CEB">
              <w:rPr>
                <w:b/>
                <w:lang w:val="en-GB"/>
              </w:rPr>
              <w:t>Workplace Gender Equality Reporting</w:t>
            </w:r>
          </w:p>
          <w:p w:rsidR="004F7D5D" w:rsidRPr="00AF6CEB" w:rsidRDefault="004F7D5D" w:rsidP="004F7D5D">
            <w:pPr>
              <w:autoSpaceDE w:val="0"/>
              <w:autoSpaceDN w:val="0"/>
              <w:adjustRightInd w:val="0"/>
              <w:rPr>
                <w:rFonts w:cs="Calibri"/>
              </w:rPr>
            </w:pPr>
            <w:r w:rsidRPr="00AF6CEB">
              <w:rPr>
                <w:rFonts w:cs="Calibri"/>
              </w:rPr>
              <w:t>Private sector employers with 100 or more employees are required to report annually to the Workplace Gender Equality Agency. The gender reporting framework is designed so that individual organisations can monitor, reflect upon and improve their own gender equality performance.</w:t>
            </w:r>
          </w:p>
          <w:p w:rsidR="004F7D5D" w:rsidRPr="00AF6CEB" w:rsidRDefault="004F7D5D" w:rsidP="00B16EA5">
            <w:pPr>
              <w:autoSpaceDE w:val="0"/>
              <w:autoSpaceDN w:val="0"/>
              <w:adjustRightInd w:val="0"/>
              <w:rPr>
                <w:rFonts w:cs="Calibri"/>
              </w:rPr>
            </w:pPr>
            <w:r w:rsidRPr="00AF6CEB">
              <w:rPr>
                <w:rFonts w:cs="Calibri"/>
              </w:rPr>
              <w:t xml:space="preserve">In 2015, changes to the </w:t>
            </w:r>
            <w:r w:rsidRPr="00AF6CEB">
              <w:rPr>
                <w:rFonts w:cs="Calibri"/>
                <w:i/>
              </w:rPr>
              <w:t xml:space="preserve">Workplace Gender Equality (Matters in relation to </w:t>
            </w:r>
            <w:r w:rsidRPr="00AF6CEB">
              <w:rPr>
                <w:rFonts w:cs="Calibri"/>
                <w:i/>
              </w:rPr>
              <w:lastRenderedPageBreak/>
              <w:t>Gender Equality Indicators</w:t>
            </w:r>
            <w:r w:rsidR="00D7423D">
              <w:rPr>
                <w:rFonts w:cs="Calibri"/>
                <w:i/>
              </w:rPr>
              <w:t>)</w:t>
            </w:r>
            <w:r w:rsidRPr="00AF6CEB">
              <w:rPr>
                <w:rFonts w:cs="Calibri"/>
                <w:i/>
              </w:rPr>
              <w:t xml:space="preserve"> Instrument (No. 1) </w:t>
            </w:r>
            <w:r w:rsidRPr="00AF6CEB">
              <w:rPr>
                <w:rFonts w:cs="Calibri"/>
              </w:rPr>
              <w:t>were made to streamline reporting requirements and to ensure gender reporting drives results in the workplace, whilst still representing value for effort. </w:t>
            </w:r>
          </w:p>
        </w:tc>
        <w:tc>
          <w:tcPr>
            <w:tcW w:w="7297" w:type="dxa"/>
            <w:tcBorders>
              <w:bottom w:val="single" w:sz="4" w:space="0" w:color="auto"/>
            </w:tcBorders>
            <w:shd w:val="clear" w:color="auto" w:fill="auto"/>
          </w:tcPr>
          <w:p w:rsidR="00A366F0" w:rsidRPr="00AF6CEB" w:rsidRDefault="004F7D5D" w:rsidP="00AF6CEB">
            <w:pPr>
              <w:autoSpaceDE w:val="0"/>
              <w:autoSpaceDN w:val="0"/>
              <w:adjustRightInd w:val="0"/>
              <w:rPr>
                <w:lang w:val="en-GB"/>
              </w:rPr>
            </w:pPr>
            <w:r w:rsidRPr="00AF6CEB">
              <w:rPr>
                <w:rFonts w:cs="Calibri"/>
              </w:rPr>
              <w:lastRenderedPageBreak/>
              <w:t xml:space="preserve">Changes to the gender reporting requirements were announced on 25 February 2015, and became effective in the 2015-16 reporting year. </w:t>
            </w:r>
          </w:p>
          <w:p w:rsidR="004F7D5D" w:rsidRPr="00AF6CEB" w:rsidRDefault="004F7D5D" w:rsidP="004F7D5D">
            <w:pPr>
              <w:rPr>
                <w:rFonts w:cs="Calibri"/>
                <w:i/>
                <w:lang w:val="en-GB"/>
              </w:rPr>
            </w:pPr>
            <w:r w:rsidRPr="00AF6CEB">
              <w:rPr>
                <w:rFonts w:cs="Calibri"/>
                <w:lang w:val="en-GB"/>
              </w:rPr>
              <w:t xml:space="preserve">In 2015, 12,000 employers covering 4 million employees reported for the second year of reporting under the </w:t>
            </w:r>
            <w:r w:rsidRPr="00AF6CEB">
              <w:rPr>
                <w:rFonts w:cs="Calibri"/>
                <w:i/>
                <w:lang w:val="en-GB"/>
              </w:rPr>
              <w:t>Workplace Gender Equality Act</w:t>
            </w:r>
          </w:p>
          <w:p w:rsidR="004F7D5D" w:rsidRPr="00AF6CEB" w:rsidRDefault="004F7D5D" w:rsidP="00D7423D">
            <w:pPr>
              <w:rPr>
                <w:rFonts w:cs="Calibri"/>
                <w:lang w:val="en-GB"/>
              </w:rPr>
            </w:pPr>
            <w:r w:rsidRPr="00AF6CEB">
              <w:rPr>
                <w:rFonts w:cs="Calibri"/>
                <w:i/>
                <w:lang w:val="en-GB"/>
              </w:rPr>
              <w:t>2012</w:t>
            </w:r>
            <w:r w:rsidRPr="00AF6CEB">
              <w:rPr>
                <w:rFonts w:cs="Calibri"/>
                <w:lang w:val="en-GB"/>
              </w:rPr>
              <w:t xml:space="preserve">. This is the first time-series data on the status of gender equality in </w:t>
            </w:r>
            <w:r w:rsidRPr="00AF6CEB">
              <w:rPr>
                <w:rFonts w:cs="Calibri"/>
                <w:lang w:val="en-GB"/>
              </w:rPr>
              <w:lastRenderedPageBreak/>
              <w:t>Australian private sector workplaces.</w:t>
            </w:r>
          </w:p>
        </w:tc>
      </w:tr>
      <w:tr w:rsidR="00A366F0" w:rsidRPr="0049518A" w:rsidTr="00290750">
        <w:tc>
          <w:tcPr>
            <w:tcW w:w="14382" w:type="dxa"/>
            <w:gridSpan w:val="2"/>
            <w:tcBorders>
              <w:bottom w:val="single" w:sz="4" w:space="0" w:color="auto"/>
            </w:tcBorders>
            <w:shd w:val="clear" w:color="auto" w:fill="D9D9D9"/>
          </w:tcPr>
          <w:p w:rsidR="00A366F0" w:rsidRPr="00AF6CEB" w:rsidRDefault="00B37EC6" w:rsidP="005142CE">
            <w:pPr>
              <w:rPr>
                <w:rFonts w:cs="Calibri"/>
                <w:lang w:val="en-GB"/>
              </w:rPr>
            </w:pPr>
            <w:r w:rsidRPr="00AF6CEB">
              <w:rPr>
                <w:rFonts w:cs="Calibri"/>
                <w:i/>
                <w:lang w:val="en-AU"/>
              </w:rPr>
              <w:lastRenderedPageBreak/>
              <w:t>ii) Promote an enabling environment for gender equality in the labour market (2014 Declaration priorities 1, 2, 4, 10, 11)</w:t>
            </w:r>
          </w:p>
        </w:tc>
      </w:tr>
      <w:tr w:rsidR="00A366F0" w:rsidRPr="001264AF" w:rsidTr="00290750">
        <w:tc>
          <w:tcPr>
            <w:tcW w:w="7085" w:type="dxa"/>
            <w:tcBorders>
              <w:bottom w:val="single" w:sz="4" w:space="0" w:color="auto"/>
            </w:tcBorders>
            <w:shd w:val="clear" w:color="auto" w:fill="auto"/>
          </w:tcPr>
          <w:p w:rsidR="00B37EC6" w:rsidRPr="00AF6CEB" w:rsidRDefault="00B37EC6" w:rsidP="00B37EC6">
            <w:pPr>
              <w:rPr>
                <w:rFonts w:cs="Calibri"/>
                <w:b/>
                <w:lang w:val="en-GB"/>
              </w:rPr>
            </w:pPr>
            <w:r w:rsidRPr="00AF6CEB">
              <w:rPr>
                <w:rFonts w:cs="Calibri"/>
                <w:b/>
                <w:lang w:val="en-GB"/>
              </w:rPr>
              <w:t xml:space="preserve">The </w:t>
            </w:r>
            <w:r w:rsidRPr="00E115E5">
              <w:rPr>
                <w:rFonts w:cs="Calibri"/>
                <w:b/>
                <w:lang w:val="en-GB"/>
              </w:rPr>
              <w:t>jobactive</w:t>
            </w:r>
            <w:r w:rsidRPr="00AF6CEB">
              <w:rPr>
                <w:rFonts w:cs="Calibri"/>
                <w:b/>
                <w:lang w:val="en-GB"/>
              </w:rPr>
              <w:t xml:space="preserve"> employment service </w:t>
            </w:r>
          </w:p>
          <w:p w:rsidR="00B37EC6" w:rsidRPr="00AF6CEB" w:rsidRDefault="00B37EC6" w:rsidP="00B37EC6">
            <w:pPr>
              <w:pStyle w:val="MediumGrid1-Accent21"/>
              <w:suppressAutoHyphens w:val="0"/>
              <w:autoSpaceDE/>
              <w:autoSpaceDN/>
              <w:adjustRightInd/>
              <w:spacing w:after="0"/>
              <w:ind w:left="0"/>
              <w:contextualSpacing w:val="0"/>
              <w:textAlignment w:val="auto"/>
              <w:rPr>
                <w:color w:val="auto"/>
                <w:sz w:val="22"/>
                <w:szCs w:val="22"/>
              </w:rPr>
            </w:pPr>
            <w:r w:rsidRPr="00AF6CEB">
              <w:rPr>
                <w:color w:val="auto"/>
                <w:sz w:val="22"/>
                <w:szCs w:val="22"/>
              </w:rPr>
              <w:t xml:space="preserve">All services for job seekers </w:t>
            </w:r>
            <w:r w:rsidR="00E115E5">
              <w:rPr>
                <w:color w:val="auto"/>
                <w:sz w:val="22"/>
                <w:szCs w:val="22"/>
              </w:rPr>
              <w:t xml:space="preserve">provided through jobactive </w:t>
            </w:r>
            <w:r w:rsidRPr="00AF6CEB">
              <w:rPr>
                <w:color w:val="auto"/>
                <w:sz w:val="22"/>
                <w:szCs w:val="22"/>
              </w:rPr>
              <w:t>must be delivered equitably within a framework that recognises other factors relevant to the individual, for example, caring responsibilities, disability, age, gender and cultural and linguistic diversity.</w:t>
            </w:r>
          </w:p>
          <w:p w:rsidR="00A366F0" w:rsidRPr="00AF6CEB" w:rsidRDefault="00B37EC6" w:rsidP="00210DF2">
            <w:pPr>
              <w:pStyle w:val="MediumGrid1-Accent21"/>
              <w:suppressAutoHyphens w:val="0"/>
              <w:autoSpaceDE/>
              <w:autoSpaceDN/>
              <w:adjustRightInd/>
              <w:spacing w:after="0"/>
              <w:ind w:left="0"/>
              <w:textAlignment w:val="auto"/>
              <w:rPr>
                <w:color w:val="auto"/>
                <w:sz w:val="22"/>
                <w:szCs w:val="22"/>
              </w:rPr>
            </w:pPr>
            <w:r w:rsidRPr="00AF6CEB">
              <w:rPr>
                <w:color w:val="auto"/>
                <w:sz w:val="22"/>
                <w:szCs w:val="22"/>
              </w:rPr>
              <w:t>From 1 November 2015, parents with participation requirements became eligible for the Parents wage subsidies of up to $6</w:t>
            </w:r>
            <w:r w:rsidR="00DA4BF0">
              <w:rPr>
                <w:color w:val="auto"/>
                <w:sz w:val="22"/>
                <w:szCs w:val="22"/>
              </w:rPr>
              <w:t>,</w:t>
            </w:r>
            <w:r w:rsidRPr="00AF6CEB">
              <w:rPr>
                <w:color w:val="auto"/>
                <w:sz w:val="22"/>
                <w:szCs w:val="22"/>
              </w:rPr>
              <w:t>500 after six months in jobactive.</w:t>
            </w:r>
          </w:p>
        </w:tc>
        <w:tc>
          <w:tcPr>
            <w:tcW w:w="7297" w:type="dxa"/>
            <w:tcBorders>
              <w:bottom w:val="single" w:sz="4" w:space="0" w:color="auto"/>
            </w:tcBorders>
            <w:shd w:val="clear" w:color="auto" w:fill="auto"/>
          </w:tcPr>
          <w:p w:rsidR="00B37EC6" w:rsidRPr="00AF6CEB" w:rsidRDefault="00B37EC6" w:rsidP="00174D19">
            <w:pPr>
              <w:rPr>
                <w:rFonts w:cs="Calibri"/>
                <w:lang w:val="en-GB"/>
              </w:rPr>
            </w:pPr>
            <w:r w:rsidRPr="00AF6CEB">
              <w:t xml:space="preserve">At 31 December 2015, there were almost 369,000 women on the jobactive caseload (48.5 per cent) and there </w:t>
            </w:r>
            <w:r w:rsidR="007956A5">
              <w:t>had been</w:t>
            </w:r>
            <w:r w:rsidRPr="00AF6CEB">
              <w:t xml:space="preserve"> 65,000 job placements for women. Of these job placements. 22,000 jobs </w:t>
            </w:r>
            <w:proofErr w:type="gramStart"/>
            <w:r w:rsidRPr="00AF6CEB">
              <w:t>were sustained</w:t>
            </w:r>
            <w:proofErr w:type="gramEnd"/>
            <w:r w:rsidRPr="00AF6CEB">
              <w:t xml:space="preserve"> for four-weeks and 9,000 jobs were jobs were sustained for 12-weeks.</w:t>
            </w:r>
          </w:p>
        </w:tc>
      </w:tr>
      <w:tr w:rsidR="0021589D" w:rsidRPr="001264AF" w:rsidTr="00290750">
        <w:tc>
          <w:tcPr>
            <w:tcW w:w="7085" w:type="dxa"/>
            <w:tcBorders>
              <w:bottom w:val="single" w:sz="4" w:space="0" w:color="auto"/>
            </w:tcBorders>
            <w:shd w:val="clear" w:color="auto" w:fill="auto"/>
          </w:tcPr>
          <w:p w:rsidR="0021589D" w:rsidRPr="00AF6CEB" w:rsidRDefault="0021589D" w:rsidP="00B37EC6">
            <w:pPr>
              <w:rPr>
                <w:b/>
                <w:lang w:val="en-AU"/>
              </w:rPr>
            </w:pPr>
            <w:r w:rsidRPr="00AF6CEB">
              <w:rPr>
                <w:b/>
                <w:lang w:val="en-AU"/>
              </w:rPr>
              <w:t>National Innovation and Science Agenda</w:t>
            </w:r>
          </w:p>
          <w:p w:rsidR="0021589D" w:rsidRPr="00AF6CEB" w:rsidRDefault="0021589D" w:rsidP="00B16EA5">
            <w:pPr>
              <w:rPr>
                <w:rFonts w:cs="Calibri"/>
                <w:lang w:val="en-AU"/>
              </w:rPr>
            </w:pPr>
            <w:r w:rsidRPr="00AF6CEB">
              <w:rPr>
                <w:rFonts w:cs="Calibri"/>
                <w:lang w:val="en-AU"/>
              </w:rPr>
              <w:t>The National Innovation and Science Agenda includes a number of initiatives to encourage women to participate in growth industries, including:</w:t>
            </w:r>
          </w:p>
          <w:p w:rsidR="0021589D" w:rsidRPr="00AF6CEB" w:rsidRDefault="0021589D" w:rsidP="00CA07CC">
            <w:pPr>
              <w:pStyle w:val="MediumGrid1-Accent21"/>
              <w:numPr>
                <w:ilvl w:val="0"/>
                <w:numId w:val="10"/>
              </w:numPr>
              <w:suppressAutoHyphens w:val="0"/>
              <w:autoSpaceDE/>
              <w:autoSpaceDN/>
              <w:adjustRightInd/>
              <w:spacing w:after="0"/>
              <w:contextualSpacing w:val="0"/>
              <w:textAlignment w:val="auto"/>
              <w:rPr>
                <w:color w:val="auto"/>
                <w:sz w:val="22"/>
                <w:szCs w:val="22"/>
              </w:rPr>
            </w:pPr>
            <w:r w:rsidRPr="00AF6CEB">
              <w:rPr>
                <w:color w:val="auto"/>
                <w:sz w:val="22"/>
                <w:szCs w:val="22"/>
              </w:rPr>
              <w:t>$48 million over five years to support Science, Technology, Engineering and Mathematics</w:t>
            </w:r>
            <w:r w:rsidR="000679F2">
              <w:rPr>
                <w:color w:val="auto"/>
                <w:sz w:val="22"/>
                <w:szCs w:val="22"/>
              </w:rPr>
              <w:t xml:space="preserve"> (STEM)</w:t>
            </w:r>
            <w:r w:rsidRPr="00AF6CEB">
              <w:rPr>
                <w:color w:val="auto"/>
                <w:sz w:val="22"/>
                <w:szCs w:val="22"/>
              </w:rPr>
              <w:t xml:space="preserve"> at all levels of education.</w:t>
            </w:r>
          </w:p>
          <w:p w:rsidR="0021589D" w:rsidRPr="00AF6CEB" w:rsidRDefault="0021589D" w:rsidP="00CA07CC">
            <w:pPr>
              <w:pStyle w:val="MediumGrid1-Accent21"/>
              <w:numPr>
                <w:ilvl w:val="0"/>
                <w:numId w:val="10"/>
              </w:numPr>
              <w:suppressAutoHyphens w:val="0"/>
              <w:autoSpaceDE/>
              <w:autoSpaceDN/>
              <w:adjustRightInd/>
              <w:spacing w:after="0"/>
              <w:contextualSpacing w:val="0"/>
              <w:textAlignment w:val="auto"/>
              <w:rPr>
                <w:color w:val="auto"/>
                <w:sz w:val="22"/>
                <w:szCs w:val="22"/>
              </w:rPr>
            </w:pPr>
            <w:r w:rsidRPr="00AF6CEB">
              <w:rPr>
                <w:color w:val="auto"/>
                <w:sz w:val="22"/>
                <w:szCs w:val="22"/>
              </w:rPr>
              <w:t xml:space="preserve">$51 million over five years to increase the Information Communication and Technology literacy of Australian primary and high school students, and </w:t>
            </w:r>
            <w:r w:rsidR="00E115E5">
              <w:rPr>
                <w:color w:val="auto"/>
                <w:sz w:val="22"/>
                <w:szCs w:val="22"/>
              </w:rPr>
              <w:t>improve</w:t>
            </w:r>
            <w:r w:rsidR="00E115E5" w:rsidRPr="00AF6CEB">
              <w:rPr>
                <w:color w:val="auto"/>
                <w:sz w:val="22"/>
                <w:szCs w:val="22"/>
              </w:rPr>
              <w:t xml:space="preserve"> </w:t>
            </w:r>
            <w:r w:rsidRPr="00AF6CEB">
              <w:rPr>
                <w:color w:val="auto"/>
                <w:sz w:val="22"/>
                <w:szCs w:val="22"/>
              </w:rPr>
              <w:t>young female students exposure to careers in STEM fields.</w:t>
            </w:r>
          </w:p>
          <w:p w:rsidR="0021589D" w:rsidRPr="00AF6CEB" w:rsidRDefault="0021589D" w:rsidP="00CA07CC">
            <w:pPr>
              <w:pStyle w:val="MediumGrid1-Accent21"/>
              <w:numPr>
                <w:ilvl w:val="0"/>
                <w:numId w:val="10"/>
              </w:numPr>
              <w:suppressAutoHyphens w:val="0"/>
              <w:autoSpaceDE/>
              <w:autoSpaceDN/>
              <w:adjustRightInd/>
              <w:spacing w:after="0"/>
              <w:contextualSpacing w:val="0"/>
              <w:textAlignment w:val="auto"/>
              <w:rPr>
                <w:sz w:val="22"/>
                <w:szCs w:val="22"/>
                <w:lang w:val="en-GB"/>
              </w:rPr>
            </w:pPr>
            <w:r w:rsidRPr="00AF6CEB">
              <w:rPr>
                <w:color w:val="auto"/>
                <w:sz w:val="22"/>
                <w:szCs w:val="22"/>
              </w:rPr>
              <w:t>$1</w:t>
            </w:r>
            <w:r w:rsidR="004233E3">
              <w:rPr>
                <w:color w:val="auto"/>
                <w:sz w:val="22"/>
                <w:szCs w:val="22"/>
              </w:rPr>
              <w:t>3</w:t>
            </w:r>
            <w:r w:rsidRPr="00AF6CEB">
              <w:rPr>
                <w:color w:val="auto"/>
                <w:sz w:val="22"/>
                <w:szCs w:val="22"/>
              </w:rPr>
              <w:t xml:space="preserve"> million to implement the ‘</w:t>
            </w:r>
            <w:r w:rsidRPr="00AF6CEB">
              <w:rPr>
                <w:i/>
                <w:color w:val="auto"/>
                <w:sz w:val="22"/>
                <w:szCs w:val="22"/>
              </w:rPr>
              <w:t>Expanding opportunities for women in STEM and entrepreneurship</w:t>
            </w:r>
            <w:r w:rsidRPr="00AF6CEB">
              <w:rPr>
                <w:color w:val="auto"/>
                <w:sz w:val="22"/>
                <w:szCs w:val="22"/>
              </w:rPr>
              <w:t xml:space="preserve">’ initiative. </w:t>
            </w:r>
          </w:p>
        </w:tc>
        <w:tc>
          <w:tcPr>
            <w:tcW w:w="7297" w:type="dxa"/>
            <w:tcBorders>
              <w:bottom w:val="single" w:sz="4" w:space="0" w:color="auto"/>
            </w:tcBorders>
            <w:shd w:val="clear" w:color="auto" w:fill="auto"/>
          </w:tcPr>
          <w:p w:rsidR="0021589D" w:rsidRPr="00AF6CEB" w:rsidRDefault="0021589D" w:rsidP="007956A5">
            <w:pPr>
              <w:rPr>
                <w:rFonts w:cs="Calibri"/>
                <w:lang w:val="en-GB"/>
              </w:rPr>
            </w:pPr>
            <w:r w:rsidRPr="00AF6CEB">
              <w:rPr>
                <w:rFonts w:eastAsia="Calibri" w:cs="Calibri"/>
                <w:kern w:val="0"/>
                <w:lang w:val="en-AU" w:eastAsia="en-US"/>
              </w:rPr>
              <w:t xml:space="preserve">These initiatives will commence </w:t>
            </w:r>
            <w:r w:rsidR="007956A5">
              <w:rPr>
                <w:rFonts w:eastAsia="Calibri" w:cs="Calibri"/>
                <w:kern w:val="0"/>
                <w:lang w:val="en-AU" w:eastAsia="en-US"/>
              </w:rPr>
              <w:t>during</w:t>
            </w:r>
            <w:r w:rsidR="007956A5" w:rsidRPr="00AF6CEB">
              <w:rPr>
                <w:rFonts w:eastAsia="Calibri" w:cs="Calibri"/>
                <w:kern w:val="0"/>
                <w:lang w:val="en-AU" w:eastAsia="en-US"/>
              </w:rPr>
              <w:t xml:space="preserve"> </w:t>
            </w:r>
            <w:r w:rsidRPr="00AF6CEB">
              <w:rPr>
                <w:rFonts w:eastAsia="Calibri" w:cs="Calibri"/>
                <w:kern w:val="0"/>
                <w:lang w:val="en-AU" w:eastAsia="en-US"/>
              </w:rPr>
              <w:t>2016.</w:t>
            </w:r>
          </w:p>
        </w:tc>
      </w:tr>
      <w:tr w:rsidR="0021589D" w:rsidRPr="001264AF" w:rsidTr="00290750">
        <w:tc>
          <w:tcPr>
            <w:tcW w:w="7085" w:type="dxa"/>
            <w:tcBorders>
              <w:bottom w:val="single" w:sz="4" w:space="0" w:color="auto"/>
            </w:tcBorders>
            <w:shd w:val="clear" w:color="auto" w:fill="auto"/>
          </w:tcPr>
          <w:p w:rsidR="0021589D" w:rsidRPr="00AF6CEB" w:rsidRDefault="0021589D" w:rsidP="00B37EC6">
            <w:pPr>
              <w:rPr>
                <w:rFonts w:cs="Calibri"/>
                <w:b/>
                <w:lang w:val="en-GB"/>
              </w:rPr>
            </w:pPr>
            <w:r w:rsidRPr="00AF6CEB">
              <w:rPr>
                <w:rFonts w:cs="Calibri"/>
                <w:b/>
                <w:i/>
                <w:lang w:val="en-GB"/>
              </w:rPr>
              <w:t>Jobs for Families</w:t>
            </w:r>
            <w:r w:rsidRPr="00AF6CEB">
              <w:rPr>
                <w:rFonts w:cs="Calibri"/>
                <w:b/>
                <w:lang w:val="en-GB"/>
              </w:rPr>
              <w:t xml:space="preserve"> Child Care Package</w:t>
            </w:r>
          </w:p>
          <w:p w:rsidR="0021589D" w:rsidRPr="00AF6CEB" w:rsidRDefault="0021589D" w:rsidP="00B37EC6">
            <w:pPr>
              <w:rPr>
                <w:rFonts w:cs="Calibri"/>
              </w:rPr>
            </w:pPr>
            <w:r w:rsidRPr="00AF6CEB">
              <w:rPr>
                <w:rFonts w:cs="Calibri"/>
              </w:rPr>
              <w:lastRenderedPageBreak/>
              <w:t>The Package will provide greater choice for more than 1.2 million families by delivering a simpler, more affordable, more flexible and more accessible child care system.</w:t>
            </w:r>
          </w:p>
          <w:p w:rsidR="0021589D" w:rsidRPr="000440C9" w:rsidRDefault="0021589D" w:rsidP="00B37EC6">
            <w:pPr>
              <w:rPr>
                <w:rFonts w:cs="Calibri"/>
                <w:lang w:val="en-GB"/>
              </w:rPr>
            </w:pPr>
            <w:r w:rsidRPr="00AF6CEB">
              <w:t>The Government will invest around $40 billion on child care support over the next four years. This significant investment includes an increase of more than $3 billion to support the implementation of the Package.</w:t>
            </w:r>
          </w:p>
        </w:tc>
        <w:tc>
          <w:tcPr>
            <w:tcW w:w="7297" w:type="dxa"/>
            <w:tcBorders>
              <w:bottom w:val="single" w:sz="4" w:space="0" w:color="auto"/>
            </w:tcBorders>
            <w:shd w:val="clear" w:color="auto" w:fill="auto"/>
          </w:tcPr>
          <w:p w:rsidR="0021589D" w:rsidRPr="00AF6CEB" w:rsidRDefault="00A376E7" w:rsidP="0021589D">
            <w:pPr>
              <w:rPr>
                <w:rFonts w:cs="Calibri"/>
                <w:lang w:val="en-GB"/>
              </w:rPr>
            </w:pPr>
            <w:r>
              <w:rPr>
                <w:rFonts w:cs="Calibri"/>
                <w:lang w:val="en-GB"/>
              </w:rPr>
              <w:lastRenderedPageBreak/>
              <w:t xml:space="preserve">The Nanny Pilot Programme commenced in </w:t>
            </w:r>
            <w:r w:rsidR="0021589D" w:rsidRPr="00AF6CEB">
              <w:rPr>
                <w:rFonts w:cs="Calibri"/>
                <w:lang w:val="en-GB"/>
              </w:rPr>
              <w:t>January 2016.</w:t>
            </w:r>
          </w:p>
          <w:p w:rsidR="0021589D" w:rsidRPr="00AF6CEB" w:rsidRDefault="00A376E7" w:rsidP="0021589D">
            <w:pPr>
              <w:rPr>
                <w:rFonts w:cs="Calibri"/>
                <w:lang w:val="en-GB"/>
              </w:rPr>
            </w:pPr>
            <w:r>
              <w:rPr>
                <w:rFonts w:cs="Calibri"/>
                <w:lang w:val="en-GB"/>
              </w:rPr>
              <w:lastRenderedPageBreak/>
              <w:t xml:space="preserve">The </w:t>
            </w:r>
            <w:r w:rsidR="0021589D" w:rsidRPr="00AF6CEB">
              <w:rPr>
                <w:rFonts w:cs="Calibri"/>
                <w:lang w:val="en-GB"/>
              </w:rPr>
              <w:t xml:space="preserve">Inclusion Support Programme and </w:t>
            </w:r>
            <w:r w:rsidR="005F1A40">
              <w:rPr>
                <w:rFonts w:cs="Calibri"/>
                <w:lang w:val="en-GB"/>
              </w:rPr>
              <w:t>Connected Beginnings Programme</w:t>
            </w:r>
            <w:r w:rsidR="0021589D" w:rsidRPr="00AF6CEB">
              <w:rPr>
                <w:rFonts w:cs="Calibri"/>
                <w:lang w:val="en-GB"/>
              </w:rPr>
              <w:t xml:space="preserve"> under the Child Care Safety Net </w:t>
            </w:r>
            <w:r>
              <w:rPr>
                <w:rFonts w:cs="Calibri"/>
                <w:lang w:val="en-GB"/>
              </w:rPr>
              <w:t xml:space="preserve">commenced in </w:t>
            </w:r>
            <w:r w:rsidR="0021589D" w:rsidRPr="00AF6CEB">
              <w:rPr>
                <w:rFonts w:cs="Calibri"/>
                <w:lang w:val="en-GB"/>
              </w:rPr>
              <w:t>July 2016.</w:t>
            </w:r>
          </w:p>
          <w:p w:rsidR="0021589D" w:rsidRPr="00AF6CEB" w:rsidRDefault="00A376E7" w:rsidP="005F1A40">
            <w:pPr>
              <w:rPr>
                <w:rFonts w:eastAsia="Calibri" w:cs="Calibri"/>
                <w:kern w:val="0"/>
                <w:lang w:val="en-AU" w:eastAsia="en-US"/>
              </w:rPr>
            </w:pPr>
            <w:r>
              <w:rPr>
                <w:rFonts w:cs="Calibri"/>
                <w:lang w:val="en-GB"/>
              </w:rPr>
              <w:t>The l</w:t>
            </w:r>
            <w:r w:rsidR="0021589D" w:rsidRPr="00AF6CEB">
              <w:rPr>
                <w:rFonts w:cs="Calibri"/>
                <w:lang w:val="en-GB"/>
              </w:rPr>
              <w:t>egislated components of the Package</w:t>
            </w:r>
            <w:r>
              <w:rPr>
                <w:rFonts w:cs="Calibri"/>
                <w:lang w:val="en-GB"/>
              </w:rPr>
              <w:t>,</w:t>
            </w:r>
            <w:r w:rsidR="0021589D" w:rsidRPr="00AF6CEB">
              <w:rPr>
                <w:rFonts w:cs="Calibri"/>
                <w:lang w:val="en-GB"/>
              </w:rPr>
              <w:t xml:space="preserve"> including the Child Care Subsidy</w:t>
            </w:r>
            <w:r w:rsidR="005F1A40">
              <w:rPr>
                <w:rFonts w:cs="Calibri"/>
                <w:lang w:val="en-GB"/>
              </w:rPr>
              <w:t xml:space="preserve"> and</w:t>
            </w:r>
            <w:r w:rsidR="0021589D" w:rsidRPr="00AF6CEB">
              <w:rPr>
                <w:rFonts w:cs="Calibri"/>
                <w:lang w:val="en-GB"/>
              </w:rPr>
              <w:t xml:space="preserve"> Additional Child Care Subsidy</w:t>
            </w:r>
            <w:r>
              <w:rPr>
                <w:rFonts w:cs="Calibri"/>
                <w:lang w:val="en-GB"/>
              </w:rPr>
              <w:t xml:space="preserve"> will commence in </w:t>
            </w:r>
            <w:r w:rsidR="0021589D" w:rsidRPr="00AF6CEB">
              <w:rPr>
                <w:rFonts w:cs="Calibri"/>
                <w:lang w:val="en-GB"/>
              </w:rPr>
              <w:t>July 2018.</w:t>
            </w:r>
          </w:p>
        </w:tc>
      </w:tr>
      <w:tr w:rsidR="00A366F0" w:rsidRPr="0049518A" w:rsidTr="00290750">
        <w:tc>
          <w:tcPr>
            <w:tcW w:w="14382" w:type="dxa"/>
            <w:gridSpan w:val="2"/>
            <w:tcBorders>
              <w:bottom w:val="single" w:sz="4" w:space="0" w:color="auto"/>
            </w:tcBorders>
            <w:shd w:val="clear" w:color="auto" w:fill="F2F2F2"/>
          </w:tcPr>
          <w:p w:rsidR="00A366F0" w:rsidRPr="00AF6CEB" w:rsidRDefault="0021589D" w:rsidP="005142CE">
            <w:pPr>
              <w:rPr>
                <w:rFonts w:cs="Calibri"/>
                <w:lang w:val="en-GB"/>
              </w:rPr>
            </w:pPr>
            <w:r w:rsidRPr="00AF6CEB">
              <w:rPr>
                <w:rFonts w:cs="Calibri"/>
                <w:i/>
                <w:lang w:val="en-AU"/>
              </w:rPr>
              <w:lastRenderedPageBreak/>
              <w:t>iii) Make work pay, improve job quality and reduce informality (2014 Declaration priorities 7, 8, 9)</w:t>
            </w:r>
          </w:p>
        </w:tc>
      </w:tr>
      <w:tr w:rsidR="0021589D" w:rsidRPr="000D502F" w:rsidTr="00290750">
        <w:tc>
          <w:tcPr>
            <w:tcW w:w="7085" w:type="dxa"/>
            <w:shd w:val="clear" w:color="auto" w:fill="auto"/>
          </w:tcPr>
          <w:p w:rsidR="0021589D" w:rsidRPr="00AF6CEB" w:rsidRDefault="0021589D" w:rsidP="004F7D5D">
            <w:pPr>
              <w:rPr>
                <w:rFonts w:cs="Calibri"/>
                <w:b/>
                <w:lang w:val="en-GB"/>
              </w:rPr>
            </w:pPr>
            <w:r w:rsidRPr="00AF6CEB">
              <w:rPr>
                <w:rFonts w:cs="Calibri"/>
                <w:b/>
                <w:lang w:val="en-GB"/>
              </w:rPr>
              <w:t>Superannuation reform package</w:t>
            </w:r>
          </w:p>
          <w:p w:rsidR="0021589D" w:rsidRPr="00AF6CEB" w:rsidRDefault="00150E8B" w:rsidP="001714C1">
            <w:pPr>
              <w:pStyle w:val="MediumGrid1-Accent21"/>
              <w:suppressAutoHyphens w:val="0"/>
              <w:autoSpaceDE/>
              <w:autoSpaceDN/>
              <w:adjustRightInd/>
              <w:spacing w:after="0"/>
              <w:ind w:left="0"/>
              <w:textAlignment w:val="auto"/>
              <w:rPr>
                <w:rFonts w:eastAsia="Times New Roman"/>
                <w:bCs/>
                <w:color w:val="auto"/>
                <w:sz w:val="22"/>
                <w:szCs w:val="22"/>
              </w:rPr>
            </w:pPr>
            <w:r>
              <w:rPr>
                <w:iCs/>
                <w:color w:val="auto"/>
                <w:sz w:val="22"/>
                <w:szCs w:val="22"/>
              </w:rPr>
              <w:t>Priorities to i</w:t>
            </w:r>
            <w:r w:rsidR="00DE36E0">
              <w:rPr>
                <w:iCs/>
                <w:color w:val="auto"/>
                <w:sz w:val="22"/>
                <w:szCs w:val="22"/>
              </w:rPr>
              <w:t>mprove</w:t>
            </w:r>
            <w:r w:rsidR="0021589D" w:rsidRPr="00AF6CEB">
              <w:rPr>
                <w:iCs/>
                <w:color w:val="auto"/>
                <w:sz w:val="22"/>
                <w:szCs w:val="22"/>
              </w:rPr>
              <w:t xml:space="preserve"> the flexibility and equity of the superannuation system</w:t>
            </w:r>
            <w:r>
              <w:rPr>
                <w:iCs/>
                <w:color w:val="auto"/>
                <w:sz w:val="22"/>
                <w:szCs w:val="22"/>
              </w:rPr>
              <w:t xml:space="preserve"> </w:t>
            </w:r>
            <w:r w:rsidR="0021589D" w:rsidRPr="00AF6CEB">
              <w:rPr>
                <w:iCs/>
                <w:color w:val="auto"/>
                <w:sz w:val="22"/>
                <w:szCs w:val="22"/>
              </w:rPr>
              <w:t>include assisting low income earners, and those who take time out of the workforce to raise children or to care for a relative (of wh</w:t>
            </w:r>
            <w:r w:rsidR="00210DF2">
              <w:rPr>
                <w:iCs/>
                <w:color w:val="auto"/>
                <w:sz w:val="22"/>
                <w:szCs w:val="22"/>
              </w:rPr>
              <w:t>om a high proportion are women)</w:t>
            </w:r>
            <w:r w:rsidR="0021589D" w:rsidRPr="00AF6CEB">
              <w:rPr>
                <w:iCs/>
                <w:color w:val="auto"/>
                <w:sz w:val="22"/>
                <w:szCs w:val="22"/>
              </w:rPr>
              <w:t xml:space="preserve"> to save for retirement.</w:t>
            </w:r>
          </w:p>
        </w:tc>
        <w:tc>
          <w:tcPr>
            <w:tcW w:w="7297" w:type="dxa"/>
            <w:shd w:val="clear" w:color="auto" w:fill="auto"/>
          </w:tcPr>
          <w:p w:rsidR="0021589D" w:rsidRPr="00AF6CEB" w:rsidRDefault="00A376E7" w:rsidP="00A376E7">
            <w:pPr>
              <w:spacing w:after="240"/>
              <w:rPr>
                <w:rFonts w:cs="Calibri"/>
              </w:rPr>
            </w:pPr>
            <w:r>
              <w:rPr>
                <w:rFonts w:cs="Calibri"/>
                <w:lang w:val="en-GB"/>
              </w:rPr>
              <w:t>These measures were a</w:t>
            </w:r>
            <w:r w:rsidR="0021589D" w:rsidRPr="00AF6CEB">
              <w:rPr>
                <w:rFonts w:cs="Calibri"/>
                <w:lang w:val="en-GB"/>
              </w:rPr>
              <w:t>nnounced in the 2016-17 Budget. The changes are to apply from 1 July 2017.</w:t>
            </w:r>
          </w:p>
        </w:tc>
      </w:tr>
      <w:tr w:rsidR="0021589D" w:rsidRPr="000D502F" w:rsidTr="00290750">
        <w:tc>
          <w:tcPr>
            <w:tcW w:w="7085" w:type="dxa"/>
            <w:shd w:val="clear" w:color="auto" w:fill="auto"/>
          </w:tcPr>
          <w:p w:rsidR="0021589D" w:rsidRPr="00AF6CEB" w:rsidRDefault="0021589D" w:rsidP="004F7D5D">
            <w:pPr>
              <w:rPr>
                <w:rFonts w:cs="Calibri"/>
                <w:b/>
                <w:lang w:val="en-GB"/>
              </w:rPr>
            </w:pPr>
            <w:r w:rsidRPr="00AF6CEB">
              <w:rPr>
                <w:rFonts w:cs="Calibri"/>
                <w:b/>
                <w:lang w:val="en-GB"/>
              </w:rPr>
              <w:t>Australian Public Service Gender Equality Strategy</w:t>
            </w:r>
          </w:p>
          <w:p w:rsidR="0021589D" w:rsidRPr="00AF6CEB" w:rsidRDefault="0021589D" w:rsidP="004F7D5D">
            <w:pPr>
              <w:rPr>
                <w:rFonts w:cs="Calibri"/>
                <w:lang w:val="en-GB"/>
              </w:rPr>
            </w:pPr>
            <w:r w:rsidRPr="00AF6CEB">
              <w:rPr>
                <w:iCs/>
              </w:rPr>
              <w:t xml:space="preserve">The Strategy, released on 28 April 2016, </w:t>
            </w:r>
            <w:r w:rsidR="00C87E2F">
              <w:rPr>
                <w:iCs/>
              </w:rPr>
              <w:t xml:space="preserve">includes reforms to remove barriers to </w:t>
            </w:r>
            <w:r w:rsidR="00C87E2F" w:rsidRPr="00AF6CEB">
              <w:t>workforce partici</w:t>
            </w:r>
            <w:r w:rsidR="00DE36E0">
              <w:t>pation and career progression for</w:t>
            </w:r>
            <w:r w:rsidR="00C87E2F" w:rsidRPr="00AF6CEB">
              <w:t xml:space="preserve"> women</w:t>
            </w:r>
            <w:r w:rsidR="00C87E2F">
              <w:t xml:space="preserve"> within Australian Government agencies.</w:t>
            </w:r>
          </w:p>
        </w:tc>
        <w:tc>
          <w:tcPr>
            <w:tcW w:w="7297" w:type="dxa"/>
            <w:shd w:val="clear" w:color="auto" w:fill="auto"/>
          </w:tcPr>
          <w:p w:rsidR="0021589D" w:rsidRPr="00AF6CEB" w:rsidRDefault="0021589D" w:rsidP="005142CE">
            <w:pPr>
              <w:spacing w:after="240"/>
              <w:rPr>
                <w:rFonts w:cs="Calibri"/>
                <w:lang w:val="en-GB"/>
              </w:rPr>
            </w:pPr>
            <w:r w:rsidRPr="00AF6CEB">
              <w:rPr>
                <w:rFonts w:eastAsia="Calibri" w:cs="Calibri"/>
                <w:iCs/>
                <w:kern w:val="0"/>
                <w:lang w:eastAsia="en-US"/>
              </w:rPr>
              <w:t>The Strategy spans 2016–2019.</w:t>
            </w:r>
          </w:p>
        </w:tc>
      </w:tr>
      <w:tr w:rsidR="0021589D" w:rsidRPr="000D502F" w:rsidTr="00290750">
        <w:tc>
          <w:tcPr>
            <w:tcW w:w="7085" w:type="dxa"/>
            <w:shd w:val="clear" w:color="auto" w:fill="auto"/>
          </w:tcPr>
          <w:p w:rsidR="0021589D" w:rsidRPr="00AF6CEB" w:rsidRDefault="0021589D" w:rsidP="004F7D5D">
            <w:pPr>
              <w:rPr>
                <w:rFonts w:cs="Calibri"/>
                <w:b/>
                <w:lang w:val="en-GB"/>
              </w:rPr>
            </w:pPr>
            <w:r w:rsidRPr="00AF6CEB">
              <w:rPr>
                <w:rFonts w:cs="Calibri"/>
                <w:b/>
                <w:lang w:val="en-GB"/>
              </w:rPr>
              <w:t>Increasing women’s leadership</w:t>
            </w:r>
          </w:p>
          <w:p w:rsidR="0021589D" w:rsidRPr="00AF6CEB" w:rsidRDefault="007B41E1" w:rsidP="00210DF2">
            <w:pPr>
              <w:pStyle w:val="MediumGrid1-Accent21"/>
              <w:suppressAutoHyphens w:val="0"/>
              <w:autoSpaceDE/>
              <w:autoSpaceDN/>
              <w:adjustRightInd/>
              <w:spacing w:after="0"/>
              <w:ind w:left="0"/>
              <w:contextualSpacing w:val="0"/>
              <w:textAlignment w:val="auto"/>
              <w:rPr>
                <w:rFonts w:eastAsia="Times New Roman"/>
                <w:bCs/>
                <w:color w:val="auto"/>
                <w:sz w:val="22"/>
                <w:szCs w:val="22"/>
              </w:rPr>
            </w:pPr>
            <w:r>
              <w:rPr>
                <w:rFonts w:eastAsia="Times New Roman"/>
                <w:bCs/>
                <w:color w:val="auto"/>
                <w:sz w:val="22"/>
                <w:szCs w:val="22"/>
              </w:rPr>
              <w:t>T</w:t>
            </w:r>
            <w:r w:rsidR="0021589D" w:rsidRPr="00AF6CEB">
              <w:rPr>
                <w:rFonts w:eastAsia="Times New Roman"/>
                <w:bCs/>
                <w:color w:val="auto"/>
                <w:sz w:val="22"/>
                <w:szCs w:val="22"/>
              </w:rPr>
              <w:t xml:space="preserve">he Government has committed to a new gender diversity target of women holding 50 per cent of Australian Government board positions, with at least 40 per cent representation of women and men on individual boards. </w:t>
            </w:r>
            <w:r w:rsidR="00C87E2F">
              <w:rPr>
                <w:rFonts w:eastAsia="Times New Roman"/>
                <w:bCs/>
                <w:color w:val="auto"/>
                <w:sz w:val="22"/>
                <w:szCs w:val="22"/>
              </w:rPr>
              <w:t xml:space="preserve">This target is supported by the BoardLinks </w:t>
            </w:r>
            <w:r w:rsidR="009738BC">
              <w:rPr>
                <w:rFonts w:eastAsia="Times New Roman"/>
                <w:bCs/>
                <w:color w:val="auto"/>
                <w:sz w:val="22"/>
                <w:szCs w:val="22"/>
              </w:rPr>
              <w:t>Program</w:t>
            </w:r>
            <w:r w:rsidR="00C87E2F">
              <w:rPr>
                <w:rFonts w:eastAsia="Times New Roman"/>
                <w:bCs/>
                <w:color w:val="auto"/>
                <w:sz w:val="22"/>
                <w:szCs w:val="22"/>
              </w:rPr>
              <w:t xml:space="preserve">, </w:t>
            </w:r>
            <w:r w:rsidR="0021589D" w:rsidRPr="00AF6CEB">
              <w:rPr>
                <w:rFonts w:eastAsia="Times New Roman"/>
                <w:bCs/>
                <w:color w:val="auto"/>
                <w:sz w:val="22"/>
                <w:szCs w:val="22"/>
              </w:rPr>
              <w:t>which features a dat</w:t>
            </w:r>
            <w:r w:rsidR="00DE36E0">
              <w:rPr>
                <w:rFonts w:eastAsia="Times New Roman"/>
                <w:bCs/>
                <w:color w:val="auto"/>
                <w:sz w:val="22"/>
                <w:szCs w:val="22"/>
              </w:rPr>
              <w:t>abase of suitable</w:t>
            </w:r>
            <w:r w:rsidR="0021589D" w:rsidRPr="00AF6CEB">
              <w:rPr>
                <w:rFonts w:eastAsia="Times New Roman"/>
                <w:bCs/>
                <w:color w:val="auto"/>
                <w:sz w:val="22"/>
                <w:szCs w:val="22"/>
              </w:rPr>
              <w:t xml:space="preserve"> women seeking appointment to a Government board. </w:t>
            </w:r>
          </w:p>
        </w:tc>
        <w:tc>
          <w:tcPr>
            <w:tcW w:w="7297" w:type="dxa"/>
            <w:shd w:val="clear" w:color="auto" w:fill="auto"/>
          </w:tcPr>
          <w:p w:rsidR="006E1594" w:rsidRPr="006E1594" w:rsidRDefault="006E1594" w:rsidP="006E1594">
            <w:pPr>
              <w:autoSpaceDE w:val="0"/>
              <w:autoSpaceDN w:val="0"/>
              <w:rPr>
                <w:rFonts w:cs="Calibri"/>
                <w:lang w:val="en-GB"/>
              </w:rPr>
            </w:pPr>
            <w:r w:rsidRPr="006E1594">
              <w:rPr>
                <w:rFonts w:cs="Calibri"/>
                <w:lang w:val="en-GB"/>
              </w:rPr>
              <w:t xml:space="preserve">The new target applies from 1 July 2016. As at 30 June 2016, women held </w:t>
            </w:r>
          </w:p>
          <w:p w:rsidR="0021589D" w:rsidRPr="00AF6CEB" w:rsidRDefault="006E1594" w:rsidP="006E1594">
            <w:pPr>
              <w:spacing w:after="240"/>
              <w:rPr>
                <w:rFonts w:cs="Calibri"/>
                <w:lang w:val="en-GB"/>
              </w:rPr>
            </w:pPr>
            <w:r w:rsidRPr="006E1594">
              <w:rPr>
                <w:rFonts w:cs="Calibri"/>
                <w:lang w:val="en-GB"/>
              </w:rPr>
              <w:t>40.5 per cent of Commonwealth Government board positions, compared to 39.1 per cent the previous year.</w:t>
            </w:r>
          </w:p>
        </w:tc>
      </w:tr>
      <w:tr w:rsidR="00A366F0" w:rsidRPr="0049518A" w:rsidTr="00290750">
        <w:tc>
          <w:tcPr>
            <w:tcW w:w="14382" w:type="dxa"/>
            <w:gridSpan w:val="2"/>
            <w:tcBorders>
              <w:bottom w:val="single" w:sz="4" w:space="0" w:color="auto"/>
            </w:tcBorders>
            <w:shd w:val="clear" w:color="auto" w:fill="F2F2F2"/>
          </w:tcPr>
          <w:p w:rsidR="00A366F0" w:rsidRPr="00AF6CEB" w:rsidRDefault="005B68F4" w:rsidP="005142CE">
            <w:pPr>
              <w:rPr>
                <w:rFonts w:cs="Calibri"/>
                <w:lang w:val="en-GB"/>
              </w:rPr>
            </w:pPr>
            <w:r w:rsidRPr="00AF6CEB">
              <w:rPr>
                <w:rFonts w:cs="Calibri"/>
                <w:i/>
                <w:lang w:val="en-AU"/>
              </w:rPr>
              <w:t>iv) Promote entrepreneurship (2014 Declaration policy priority 3)</w:t>
            </w:r>
          </w:p>
        </w:tc>
      </w:tr>
      <w:tr w:rsidR="00A366F0" w:rsidRPr="0049518A" w:rsidTr="00290750">
        <w:tc>
          <w:tcPr>
            <w:tcW w:w="7085" w:type="dxa"/>
            <w:shd w:val="clear" w:color="auto" w:fill="auto"/>
          </w:tcPr>
          <w:p w:rsidR="005B68F4" w:rsidRPr="00150E8B" w:rsidRDefault="005B68F4" w:rsidP="005B68F4">
            <w:pPr>
              <w:pStyle w:val="MediumGrid1-Accent21"/>
              <w:suppressAutoHyphens w:val="0"/>
              <w:autoSpaceDE/>
              <w:autoSpaceDN/>
              <w:adjustRightInd/>
              <w:spacing w:after="0"/>
              <w:ind w:left="0"/>
              <w:contextualSpacing w:val="0"/>
              <w:textAlignment w:val="auto"/>
              <w:rPr>
                <w:rFonts w:asciiTheme="minorHAnsi" w:hAnsiTheme="minorHAnsi" w:cstheme="minorHAnsi"/>
                <w:b/>
                <w:color w:val="auto"/>
                <w:sz w:val="22"/>
                <w:szCs w:val="22"/>
              </w:rPr>
            </w:pPr>
            <w:r w:rsidRPr="00150E8B">
              <w:rPr>
                <w:rFonts w:asciiTheme="minorHAnsi" w:hAnsiTheme="minorHAnsi" w:cstheme="minorHAnsi"/>
                <w:b/>
                <w:color w:val="auto"/>
                <w:sz w:val="22"/>
                <w:szCs w:val="22"/>
              </w:rPr>
              <w:lastRenderedPageBreak/>
              <w:t>Support for Entrepreneurs</w:t>
            </w:r>
          </w:p>
          <w:p w:rsidR="00A366F0" w:rsidRPr="00150E8B" w:rsidRDefault="005B68F4" w:rsidP="00DE36E0">
            <w:pPr>
              <w:pStyle w:val="MediumGrid1-Accent21"/>
              <w:suppressAutoHyphens w:val="0"/>
              <w:autoSpaceDE/>
              <w:autoSpaceDN/>
              <w:adjustRightInd/>
              <w:spacing w:after="0"/>
              <w:ind w:left="0"/>
              <w:textAlignment w:val="auto"/>
              <w:rPr>
                <w:rFonts w:asciiTheme="minorHAnsi" w:hAnsiTheme="minorHAnsi" w:cstheme="minorHAnsi"/>
                <w:color w:val="auto"/>
                <w:sz w:val="22"/>
                <w:szCs w:val="22"/>
              </w:rPr>
            </w:pPr>
            <w:r w:rsidRPr="00150E8B">
              <w:rPr>
                <w:rFonts w:asciiTheme="minorHAnsi" w:hAnsiTheme="minorHAnsi" w:cstheme="minorHAnsi"/>
                <w:color w:val="auto"/>
                <w:sz w:val="22"/>
                <w:szCs w:val="22"/>
              </w:rPr>
              <w:t>A range of new initiatives and improvements</w:t>
            </w:r>
            <w:r w:rsidR="007B41E1" w:rsidRPr="00150E8B">
              <w:rPr>
                <w:rFonts w:asciiTheme="minorHAnsi" w:hAnsiTheme="minorHAnsi" w:cstheme="minorHAnsi"/>
                <w:color w:val="auto"/>
                <w:sz w:val="22"/>
                <w:szCs w:val="22"/>
              </w:rPr>
              <w:t xml:space="preserve"> set out elsewhere in this document</w:t>
            </w:r>
            <w:r w:rsidRPr="00150E8B">
              <w:rPr>
                <w:rFonts w:asciiTheme="minorHAnsi" w:hAnsiTheme="minorHAnsi" w:cstheme="minorHAnsi"/>
                <w:color w:val="auto"/>
                <w:sz w:val="22"/>
                <w:szCs w:val="22"/>
              </w:rPr>
              <w:t xml:space="preserve"> will provide practical measures </w:t>
            </w:r>
            <w:r w:rsidR="00DE36E0">
              <w:rPr>
                <w:rFonts w:asciiTheme="minorHAnsi" w:hAnsiTheme="minorHAnsi" w:cstheme="minorHAnsi"/>
                <w:color w:val="auto"/>
                <w:sz w:val="22"/>
                <w:szCs w:val="22"/>
              </w:rPr>
              <w:t>to</w:t>
            </w:r>
            <w:r w:rsidRPr="00150E8B">
              <w:rPr>
                <w:rFonts w:asciiTheme="minorHAnsi" w:hAnsiTheme="minorHAnsi" w:cstheme="minorHAnsi"/>
                <w:color w:val="auto"/>
                <w:sz w:val="22"/>
                <w:szCs w:val="22"/>
              </w:rPr>
              <w:t xml:space="preserve"> encourage </w:t>
            </w:r>
            <w:r w:rsidR="007B41E1" w:rsidRPr="00150E8B">
              <w:rPr>
                <w:rFonts w:asciiTheme="minorHAnsi" w:hAnsiTheme="minorHAnsi" w:cstheme="minorHAnsi"/>
                <w:color w:val="auto"/>
                <w:sz w:val="22"/>
                <w:szCs w:val="22"/>
              </w:rPr>
              <w:t>women</w:t>
            </w:r>
            <w:r w:rsidR="00150E8B" w:rsidRPr="00150E8B">
              <w:rPr>
                <w:rFonts w:asciiTheme="minorHAnsi" w:hAnsiTheme="minorHAnsi" w:cstheme="minorHAnsi"/>
                <w:color w:val="auto"/>
                <w:sz w:val="22"/>
                <w:szCs w:val="22"/>
              </w:rPr>
              <w:t xml:space="preserve"> </w:t>
            </w:r>
            <w:r w:rsidRPr="00150E8B">
              <w:rPr>
                <w:rFonts w:asciiTheme="minorHAnsi" w:hAnsiTheme="minorHAnsi" w:cstheme="minorHAnsi"/>
                <w:color w:val="auto"/>
                <w:sz w:val="22"/>
                <w:szCs w:val="22"/>
              </w:rPr>
              <w:t xml:space="preserve">to start a business and create their own job. </w:t>
            </w:r>
          </w:p>
        </w:tc>
        <w:tc>
          <w:tcPr>
            <w:tcW w:w="7297" w:type="dxa"/>
            <w:shd w:val="clear" w:color="auto" w:fill="auto"/>
          </w:tcPr>
          <w:p w:rsidR="00A366F0" w:rsidRPr="00150E8B" w:rsidRDefault="003C254F" w:rsidP="005142CE">
            <w:pPr>
              <w:rPr>
                <w:rFonts w:asciiTheme="minorHAnsi" w:hAnsiTheme="minorHAnsi" w:cstheme="minorHAnsi"/>
                <w:lang w:val="en-GB"/>
              </w:rPr>
            </w:pPr>
            <w:r w:rsidRPr="00150E8B">
              <w:rPr>
                <w:rFonts w:asciiTheme="minorHAnsi" w:hAnsiTheme="minorHAnsi" w:cstheme="minorHAnsi"/>
                <w:lang w:val="en-GB"/>
              </w:rPr>
              <w:t>These measures will commence from December 2016</w:t>
            </w:r>
            <w:r w:rsidR="000679F2">
              <w:rPr>
                <w:rFonts w:asciiTheme="minorHAnsi" w:hAnsiTheme="minorHAnsi" w:cstheme="minorHAnsi"/>
                <w:lang w:val="en-GB"/>
              </w:rPr>
              <w:t>.</w:t>
            </w:r>
          </w:p>
        </w:tc>
      </w:tr>
      <w:tr w:rsidR="00A366F0" w:rsidRPr="002E23D4" w:rsidTr="00290750">
        <w:tc>
          <w:tcPr>
            <w:tcW w:w="7085" w:type="dxa"/>
            <w:shd w:val="clear" w:color="auto" w:fill="auto"/>
          </w:tcPr>
          <w:p w:rsidR="005B68F4" w:rsidRPr="00150E8B" w:rsidRDefault="005B68F4" w:rsidP="005B68F4">
            <w:pPr>
              <w:rPr>
                <w:rFonts w:asciiTheme="minorHAnsi" w:hAnsiTheme="minorHAnsi" w:cstheme="minorHAnsi"/>
                <w:b/>
                <w:lang w:val="en-GB"/>
              </w:rPr>
            </w:pPr>
            <w:r w:rsidRPr="00150E8B">
              <w:rPr>
                <w:rFonts w:asciiTheme="minorHAnsi" w:hAnsiTheme="minorHAnsi" w:cstheme="minorHAnsi"/>
                <w:b/>
                <w:lang w:val="en-GB"/>
              </w:rPr>
              <w:t>National Financial Literacy Strategy</w:t>
            </w:r>
          </w:p>
          <w:p w:rsidR="00A366F0" w:rsidRPr="00150E8B" w:rsidRDefault="005B68F4" w:rsidP="00DE36E0">
            <w:pPr>
              <w:pStyle w:val="MediumGrid1-Accent21"/>
              <w:suppressAutoHyphens w:val="0"/>
              <w:autoSpaceDE/>
              <w:autoSpaceDN/>
              <w:adjustRightInd/>
              <w:spacing w:after="0"/>
              <w:ind w:left="0"/>
              <w:contextualSpacing w:val="0"/>
              <w:textAlignment w:val="auto"/>
              <w:rPr>
                <w:rFonts w:asciiTheme="minorHAnsi" w:eastAsia="SimSun" w:hAnsiTheme="minorHAnsi" w:cstheme="minorHAnsi"/>
                <w:color w:val="auto"/>
                <w:kern w:val="2"/>
                <w:sz w:val="22"/>
                <w:szCs w:val="22"/>
                <w:lang w:val="en-GB" w:eastAsia="zh-CN"/>
              </w:rPr>
            </w:pPr>
            <w:r w:rsidRPr="00150E8B">
              <w:rPr>
                <w:rFonts w:asciiTheme="minorHAnsi" w:eastAsia="SimSun" w:hAnsiTheme="minorHAnsi" w:cstheme="minorHAnsi"/>
                <w:color w:val="auto"/>
                <w:kern w:val="2"/>
                <w:sz w:val="22"/>
                <w:szCs w:val="22"/>
                <w:lang w:val="en-GB" w:eastAsia="zh-CN"/>
              </w:rPr>
              <w:t>Women are a key audience under the National</w:t>
            </w:r>
            <w:r w:rsidR="00DE36E0">
              <w:rPr>
                <w:rFonts w:asciiTheme="minorHAnsi" w:eastAsia="SimSun" w:hAnsiTheme="minorHAnsi" w:cstheme="minorHAnsi"/>
                <w:color w:val="auto"/>
                <w:kern w:val="2"/>
                <w:sz w:val="22"/>
                <w:szCs w:val="22"/>
                <w:lang w:val="en-GB" w:eastAsia="zh-CN"/>
              </w:rPr>
              <w:t xml:space="preserve"> Financial Literacy </w:t>
            </w:r>
            <w:r w:rsidRPr="00150E8B">
              <w:rPr>
                <w:rFonts w:asciiTheme="minorHAnsi" w:eastAsia="SimSun" w:hAnsiTheme="minorHAnsi" w:cstheme="minorHAnsi"/>
                <w:color w:val="auto"/>
                <w:kern w:val="2"/>
                <w:sz w:val="22"/>
                <w:szCs w:val="22"/>
                <w:lang w:val="en-GB" w:eastAsia="zh-CN"/>
              </w:rPr>
              <w:t>Strategy</w:t>
            </w:r>
            <w:r w:rsidR="00150E8B">
              <w:rPr>
                <w:rFonts w:asciiTheme="minorHAnsi" w:eastAsia="SimSun" w:hAnsiTheme="minorHAnsi" w:cstheme="minorHAnsi"/>
                <w:color w:val="auto"/>
                <w:kern w:val="2"/>
                <w:sz w:val="22"/>
                <w:szCs w:val="22"/>
                <w:lang w:val="en-GB" w:eastAsia="zh-CN"/>
              </w:rPr>
              <w:t xml:space="preserve">, which aims to help individuals to make sound </w:t>
            </w:r>
            <w:r w:rsidR="00150E8B" w:rsidRPr="00150E8B">
              <w:rPr>
                <w:rFonts w:asciiTheme="minorHAnsi" w:eastAsia="SimSun" w:hAnsiTheme="minorHAnsi" w:cstheme="minorHAnsi"/>
                <w:color w:val="auto"/>
                <w:kern w:val="2"/>
                <w:sz w:val="22"/>
                <w:szCs w:val="22"/>
                <w:lang w:val="en-GB" w:eastAsia="zh-CN"/>
              </w:rPr>
              <w:t xml:space="preserve">financial decisions, based on personal circumstances, to improve </w:t>
            </w:r>
            <w:r w:rsidR="00150E8B">
              <w:rPr>
                <w:rFonts w:asciiTheme="minorHAnsi" w:eastAsia="SimSun" w:hAnsiTheme="minorHAnsi" w:cstheme="minorHAnsi"/>
                <w:color w:val="auto"/>
                <w:kern w:val="2"/>
                <w:sz w:val="22"/>
                <w:szCs w:val="22"/>
                <w:lang w:val="en-GB" w:eastAsia="zh-CN"/>
              </w:rPr>
              <w:t xml:space="preserve">their </w:t>
            </w:r>
            <w:r w:rsidR="00150E8B" w:rsidRPr="00150E8B">
              <w:rPr>
                <w:rFonts w:asciiTheme="minorHAnsi" w:eastAsia="SimSun" w:hAnsiTheme="minorHAnsi" w:cstheme="minorHAnsi"/>
                <w:color w:val="auto"/>
                <w:kern w:val="2"/>
                <w:sz w:val="22"/>
                <w:szCs w:val="22"/>
                <w:lang w:val="en-GB" w:eastAsia="zh-CN"/>
              </w:rPr>
              <w:t>financial wellbeing</w:t>
            </w:r>
            <w:r w:rsidRPr="00150E8B">
              <w:rPr>
                <w:rFonts w:asciiTheme="minorHAnsi" w:eastAsia="SimSun" w:hAnsiTheme="minorHAnsi" w:cstheme="minorHAnsi"/>
                <w:color w:val="auto"/>
                <w:kern w:val="2"/>
                <w:sz w:val="22"/>
                <w:szCs w:val="22"/>
                <w:lang w:val="en-GB" w:eastAsia="zh-CN"/>
              </w:rPr>
              <w:t>.</w:t>
            </w:r>
          </w:p>
        </w:tc>
        <w:tc>
          <w:tcPr>
            <w:tcW w:w="7297" w:type="dxa"/>
            <w:shd w:val="clear" w:color="auto" w:fill="auto"/>
          </w:tcPr>
          <w:p w:rsidR="00CA799D" w:rsidRPr="00150E8B" w:rsidRDefault="005B68F4" w:rsidP="00150E8B">
            <w:pPr>
              <w:rPr>
                <w:rFonts w:asciiTheme="minorHAnsi" w:eastAsia="Times New Roman" w:hAnsiTheme="minorHAnsi" w:cstheme="minorHAnsi"/>
                <w:bCs/>
              </w:rPr>
            </w:pPr>
            <w:r w:rsidRPr="00150E8B">
              <w:rPr>
                <w:rFonts w:asciiTheme="minorHAnsi" w:hAnsiTheme="minorHAnsi" w:cstheme="minorHAnsi"/>
                <w:lang w:val="en-GB"/>
              </w:rPr>
              <w:t>The National Financial Literacy Strategy spans 2014–2017</w:t>
            </w:r>
            <w:r w:rsidR="00954633" w:rsidRPr="00150E8B">
              <w:rPr>
                <w:rFonts w:asciiTheme="minorHAnsi" w:hAnsiTheme="minorHAnsi" w:cstheme="minorHAnsi"/>
                <w:lang w:val="en-GB"/>
              </w:rPr>
              <w:t>.</w:t>
            </w:r>
            <w:r w:rsidR="00150E8B" w:rsidRPr="00150E8B">
              <w:rPr>
                <w:rFonts w:asciiTheme="minorHAnsi" w:hAnsiTheme="minorHAnsi" w:cstheme="minorHAnsi"/>
                <w:lang w:val="en-GB"/>
              </w:rPr>
              <w:t xml:space="preserve"> </w:t>
            </w:r>
            <w:r w:rsidR="00FC4BB9" w:rsidRPr="00150E8B">
              <w:rPr>
                <w:rFonts w:asciiTheme="minorHAnsi" w:hAnsiTheme="minorHAnsi" w:cstheme="minorHAnsi"/>
              </w:rPr>
              <w:t xml:space="preserve">Government actions under the National Strategy include the 2015 launch of the Women's Money Toolkit - a free online resource to provide women with the knowledge and confidence to manage their finances and achieve their financial goals. Further resources will be launched in 2016. </w:t>
            </w:r>
            <w:r w:rsidR="00FC4BB9" w:rsidRPr="00150E8B">
              <w:rPr>
                <w:rFonts w:asciiTheme="minorHAnsi" w:hAnsiTheme="minorHAnsi" w:cstheme="minorHAnsi"/>
              </w:rPr>
              <w:br/>
            </w:r>
          </w:p>
        </w:tc>
      </w:tr>
    </w:tbl>
    <w:p w:rsidR="00EB66A3" w:rsidRDefault="00EB66A3" w:rsidP="00EB66A3"/>
    <w:p w:rsidR="00D87277" w:rsidRPr="00EB66A3" w:rsidRDefault="00D87277" w:rsidP="00EB66A3">
      <w:pPr>
        <w:sectPr w:rsidR="00D87277" w:rsidRPr="00EB66A3" w:rsidSect="00EB66A3">
          <w:headerReference w:type="default" r:id="rId22"/>
          <w:footerReference w:type="default" r:id="rId23"/>
          <w:pgSz w:w="16783" w:h="11850" w:orient="landscape"/>
          <w:pgMar w:top="2552" w:right="1348" w:bottom="1134" w:left="1134" w:header="851" w:footer="992" w:gutter="0"/>
          <w:cols w:space="720"/>
          <w:docGrid w:linePitch="326"/>
        </w:sectPr>
      </w:pPr>
    </w:p>
    <w:p w:rsidR="00AA5CDA" w:rsidRDefault="00AA5CDA" w:rsidP="00AA5CDA">
      <w:pPr>
        <w:pStyle w:val="Heading3"/>
        <w:ind w:hanging="1560"/>
      </w:pPr>
      <w:bookmarkStart w:id="117" w:name="_Toc487182936"/>
      <w:r w:rsidRPr="00AA5CDA">
        <w:lastRenderedPageBreak/>
        <w:t>Collective commitment to promote better employment outcomes for youth</w:t>
      </w:r>
      <w:bookmarkEnd w:id="117"/>
    </w:p>
    <w:p w:rsidR="000F63C5" w:rsidRPr="004A2AFF" w:rsidRDefault="000F63C5" w:rsidP="00BB3D98">
      <w:pPr>
        <w:autoSpaceDE w:val="0"/>
        <w:autoSpaceDN w:val="0"/>
        <w:adjustRightInd w:val="0"/>
        <w:ind w:left="-1560"/>
        <w:rPr>
          <w:rFonts w:cs="Calibri"/>
        </w:rPr>
      </w:pPr>
      <w:proofErr w:type="gramStart"/>
      <w:r w:rsidRPr="004A2AFF">
        <w:rPr>
          <w:rFonts w:cs="Calibri"/>
        </w:rPr>
        <w:t xml:space="preserve">While most </w:t>
      </w:r>
      <w:r w:rsidR="00150E8B">
        <w:rPr>
          <w:rFonts w:cs="Calibri"/>
        </w:rPr>
        <w:t xml:space="preserve">Australian </w:t>
      </w:r>
      <w:r w:rsidRPr="004A2AFF">
        <w:rPr>
          <w:rFonts w:cs="Calibri"/>
        </w:rPr>
        <w:t xml:space="preserve">youth are either engaged in some form of work or study, a key concern is the number of young people who are ‘disengaged’, with </w:t>
      </w:r>
      <w:r w:rsidRPr="009675FA">
        <w:rPr>
          <w:rFonts w:cs="Calibri"/>
        </w:rPr>
        <w:t>34</w:t>
      </w:r>
      <w:r w:rsidR="00F72660" w:rsidRPr="009675FA">
        <w:rPr>
          <w:rFonts w:cs="Calibri"/>
        </w:rPr>
        <w:t>4</w:t>
      </w:r>
      <w:r w:rsidR="009675FA" w:rsidRPr="009675FA">
        <w:rPr>
          <w:rFonts w:cs="Calibri"/>
        </w:rPr>
        <w:t>,9</w:t>
      </w:r>
      <w:r w:rsidRPr="009675FA">
        <w:rPr>
          <w:rFonts w:cs="Calibri"/>
        </w:rPr>
        <w:t>00 (or 1</w:t>
      </w:r>
      <w:r w:rsidR="00F72660" w:rsidRPr="009675FA">
        <w:rPr>
          <w:rFonts w:cs="Calibri"/>
        </w:rPr>
        <w:t>1</w:t>
      </w:r>
      <w:r w:rsidR="009675FA" w:rsidRPr="009675FA">
        <w:rPr>
          <w:rFonts w:cs="Calibri"/>
        </w:rPr>
        <w:t>.0</w:t>
      </w:r>
      <w:r w:rsidR="009F755D" w:rsidRPr="009675FA">
        <w:rPr>
          <w:rFonts w:cs="Calibri"/>
        </w:rPr>
        <w:t xml:space="preserve"> </w:t>
      </w:r>
      <w:r w:rsidRPr="009675FA">
        <w:rPr>
          <w:rFonts w:cs="Calibri"/>
        </w:rPr>
        <w:t xml:space="preserve">per cent of the </w:t>
      </w:r>
      <w:r w:rsidR="00AA5CDA" w:rsidRPr="009675FA">
        <w:rPr>
          <w:rFonts w:cs="Calibri"/>
        </w:rPr>
        <w:t>youth aged 15 to 24</w:t>
      </w:r>
      <w:r w:rsidRPr="009675FA">
        <w:rPr>
          <w:rFonts w:cs="Calibri"/>
        </w:rPr>
        <w:t xml:space="preserve">) not in work and not attending full-time education in </w:t>
      </w:r>
      <w:r w:rsidR="009675FA" w:rsidRPr="009675FA">
        <w:rPr>
          <w:rFonts w:cs="Calibri"/>
        </w:rPr>
        <w:t>August</w:t>
      </w:r>
      <w:r w:rsidR="00F72660" w:rsidRPr="009675FA">
        <w:rPr>
          <w:rFonts w:cs="Calibri"/>
        </w:rPr>
        <w:t xml:space="preserve"> </w:t>
      </w:r>
      <w:r w:rsidRPr="009675FA">
        <w:rPr>
          <w:rFonts w:cs="Calibri"/>
        </w:rPr>
        <w:t>2016, compared with 291,300 (or 9.9 per cent) at the</w:t>
      </w:r>
      <w:r w:rsidR="00DE36E0" w:rsidRPr="009675FA">
        <w:rPr>
          <w:rFonts w:cs="Calibri"/>
        </w:rPr>
        <w:t xml:space="preserve"> onset of the Global Financial Crisis</w:t>
      </w:r>
      <w:r w:rsidRPr="009675FA">
        <w:rPr>
          <w:rFonts w:cs="Calibri"/>
        </w:rPr>
        <w:t xml:space="preserve"> in September 2008.</w:t>
      </w:r>
      <w:proofErr w:type="gramEnd"/>
      <w:r w:rsidRPr="009675FA">
        <w:rPr>
          <w:rFonts w:cs="Calibri"/>
        </w:rPr>
        <w:t xml:space="preserve"> Over the last year, however, the proportion of disengaged youth has declined by 0.</w:t>
      </w:r>
      <w:r w:rsidR="00F72660" w:rsidRPr="009675FA">
        <w:rPr>
          <w:rFonts w:cs="Calibri"/>
        </w:rPr>
        <w:t>6</w:t>
      </w:r>
      <w:r w:rsidRPr="009675FA">
        <w:rPr>
          <w:rFonts w:cs="Calibri"/>
        </w:rPr>
        <w:t> percentage point</w:t>
      </w:r>
      <w:r w:rsidR="009675FA" w:rsidRPr="009675FA">
        <w:rPr>
          <w:rFonts w:cs="Calibri"/>
        </w:rPr>
        <w:t>s</w:t>
      </w:r>
      <w:r w:rsidRPr="009675FA">
        <w:rPr>
          <w:rFonts w:cs="Calibri"/>
        </w:rPr>
        <w:t>.</w:t>
      </w:r>
    </w:p>
    <w:p w:rsidR="000F63C5" w:rsidRPr="004A2AFF" w:rsidRDefault="000F63C5" w:rsidP="00BB3D98">
      <w:pPr>
        <w:autoSpaceDE w:val="0"/>
        <w:autoSpaceDN w:val="0"/>
        <w:adjustRightInd w:val="0"/>
        <w:ind w:left="-1560"/>
        <w:rPr>
          <w:rFonts w:cs="Calibri"/>
        </w:rPr>
      </w:pPr>
      <w:r w:rsidRPr="004A2AFF">
        <w:rPr>
          <w:rFonts w:cs="Calibri"/>
        </w:rPr>
        <w:t>The increase in disengagement since September 2008 has been mo</w:t>
      </w:r>
      <w:r w:rsidR="009675FA">
        <w:rPr>
          <w:rFonts w:cs="Calibri"/>
        </w:rPr>
        <w:t xml:space="preserve">re </w:t>
      </w:r>
      <w:r w:rsidRPr="004A2AFF">
        <w:rPr>
          <w:rFonts w:cs="Calibri"/>
        </w:rPr>
        <w:t xml:space="preserve">significant for 20-24 year olds, up from 11.9 per cent </w:t>
      </w:r>
      <w:r w:rsidRPr="009675FA">
        <w:rPr>
          <w:rFonts w:cs="Calibri"/>
        </w:rPr>
        <w:t xml:space="preserve">to </w:t>
      </w:r>
      <w:r w:rsidR="009675FA" w:rsidRPr="009675FA">
        <w:rPr>
          <w:rFonts w:cs="Calibri"/>
        </w:rPr>
        <w:t xml:space="preserve">14.7 per cent in August 2016, although it has declined from 15.7 per cent since August 2015. </w:t>
      </w:r>
      <w:r w:rsidRPr="009675FA">
        <w:rPr>
          <w:rFonts w:cs="Calibri"/>
        </w:rPr>
        <w:t xml:space="preserve">By contrast, the proportion of disengaged 15-19 year olds has decreased by </w:t>
      </w:r>
      <w:r w:rsidR="009675FA" w:rsidRPr="009675FA">
        <w:rPr>
          <w:rFonts w:cs="Calibri"/>
        </w:rPr>
        <w:t>1.0 percentage point since September 2008, to 6.8 per cent in August 2016</w:t>
      </w:r>
      <w:r w:rsidRPr="009675FA">
        <w:rPr>
          <w:rFonts w:cs="Calibri"/>
        </w:rPr>
        <w:t>. This i</w:t>
      </w:r>
      <w:r w:rsidRPr="004A2AFF">
        <w:rPr>
          <w:rFonts w:cs="Calibri"/>
        </w:rPr>
        <w:t>s likely to be due to the rise in the compulsory minimum school leaving age.</w:t>
      </w:r>
    </w:p>
    <w:p w:rsidR="00815624" w:rsidRDefault="000F63C5" w:rsidP="00815624">
      <w:pPr>
        <w:autoSpaceDE w:val="0"/>
        <w:autoSpaceDN w:val="0"/>
        <w:adjustRightInd w:val="0"/>
        <w:spacing w:after="240"/>
        <w:ind w:left="-1560"/>
        <w:rPr>
          <w:rFonts w:cs="Calibri"/>
        </w:rPr>
      </w:pPr>
      <w:r w:rsidRPr="004A2AFF">
        <w:rPr>
          <w:rFonts w:cs="Calibri"/>
        </w:rPr>
        <w:t>While a proportion of the disengaged group may, for various reasons, be voluntarily outside the labour market (for instance, taking a gap year or looking after children, which is more likely to be the case for disengaged women), many are at risk of ultimately failing to make a successful transition to employment.</w:t>
      </w:r>
      <w:r w:rsidR="00150E8B">
        <w:rPr>
          <w:rFonts w:cs="Calibri"/>
        </w:rPr>
        <w:t xml:space="preserve"> </w:t>
      </w:r>
      <w:r w:rsidR="00CB3A47">
        <w:rPr>
          <w:rFonts w:cs="Calibri"/>
        </w:rPr>
        <w:t>Chart</w:t>
      </w:r>
      <w:r w:rsidR="00150E8B">
        <w:rPr>
          <w:rFonts w:cs="Calibri"/>
        </w:rPr>
        <w:t xml:space="preserve"> </w:t>
      </w:r>
      <w:r w:rsidR="00F23188">
        <w:rPr>
          <w:rFonts w:cs="Calibri"/>
        </w:rPr>
        <w:t>2</w:t>
      </w:r>
      <w:r w:rsidR="00150E8B">
        <w:rPr>
          <w:rFonts w:cs="Calibri"/>
        </w:rPr>
        <w:t xml:space="preserve"> shows the trend in the proportion of youth who are not in </w:t>
      </w:r>
      <w:r w:rsidR="00EC41B4">
        <w:rPr>
          <w:rFonts w:cs="Calibri"/>
        </w:rPr>
        <w:t xml:space="preserve">employment </w:t>
      </w:r>
      <w:r w:rsidR="00150E8B">
        <w:rPr>
          <w:rFonts w:cs="Calibri"/>
        </w:rPr>
        <w:t>education</w:t>
      </w:r>
      <w:r w:rsidR="00EC41B4">
        <w:rPr>
          <w:rFonts w:cs="Calibri"/>
        </w:rPr>
        <w:t xml:space="preserve"> or training (NEET)</w:t>
      </w:r>
      <w:r w:rsidR="00150E8B">
        <w:rPr>
          <w:rFonts w:cs="Calibri"/>
        </w:rPr>
        <w:t>,</w:t>
      </w:r>
      <w:r w:rsidR="008B3E01">
        <w:rPr>
          <w:rFonts w:cs="Calibri"/>
        </w:rPr>
        <w:t xml:space="preserve"> using internationally standardised data published by the Organisation for Economic Co-operation and Development (OECD). As of 201</w:t>
      </w:r>
      <w:r w:rsidR="00CE7349">
        <w:rPr>
          <w:rFonts w:cs="Calibri"/>
        </w:rPr>
        <w:t>5</w:t>
      </w:r>
      <w:r w:rsidR="008B3E01">
        <w:rPr>
          <w:rFonts w:cs="Calibri"/>
        </w:rPr>
        <w:t xml:space="preserve"> (most recent data), </w:t>
      </w:r>
      <w:r w:rsidR="0006318F">
        <w:rPr>
          <w:rFonts w:cs="Calibri"/>
        </w:rPr>
        <w:t>3.7</w:t>
      </w:r>
      <w:r w:rsidR="008B3E01">
        <w:rPr>
          <w:rFonts w:cs="Calibri"/>
        </w:rPr>
        <w:t xml:space="preserve"> per cent of Australians aged </w:t>
      </w:r>
      <w:r w:rsidR="0006318F">
        <w:rPr>
          <w:rFonts w:cs="Calibri"/>
        </w:rPr>
        <w:t>15 to 29 were unemployed and 8.1</w:t>
      </w:r>
      <w:r w:rsidR="008B3E01">
        <w:rPr>
          <w:rFonts w:cs="Calibri"/>
        </w:rPr>
        <w:t xml:space="preserve"> per cent were inactive in the </w:t>
      </w:r>
      <w:proofErr w:type="spellStart"/>
      <w:r w:rsidR="008B3E01">
        <w:rPr>
          <w:rFonts w:cs="Calibri"/>
        </w:rPr>
        <w:t>labour</w:t>
      </w:r>
      <w:proofErr w:type="spellEnd"/>
      <w:r w:rsidR="008B3E01">
        <w:rPr>
          <w:rFonts w:cs="Calibri"/>
        </w:rPr>
        <w:t xml:space="preserve"> force.</w:t>
      </w:r>
    </w:p>
    <w:p w:rsidR="00276546" w:rsidRDefault="00CB3A47" w:rsidP="00276546">
      <w:pPr>
        <w:autoSpaceDE w:val="0"/>
        <w:autoSpaceDN w:val="0"/>
        <w:adjustRightInd w:val="0"/>
        <w:ind w:left="-1559"/>
        <w:jc w:val="center"/>
        <w:rPr>
          <w:rFonts w:cs="Calibri"/>
          <w:b/>
        </w:rPr>
      </w:pPr>
      <w:r>
        <w:rPr>
          <w:rFonts w:cs="Calibri"/>
          <w:b/>
        </w:rPr>
        <w:t xml:space="preserve">Chart </w:t>
      </w:r>
      <w:r w:rsidR="00F23188">
        <w:rPr>
          <w:rFonts w:cs="Calibri"/>
          <w:b/>
        </w:rPr>
        <w:t>2</w:t>
      </w:r>
      <w:r w:rsidR="00815624" w:rsidRPr="008B0A24">
        <w:rPr>
          <w:rFonts w:cs="Calibri"/>
          <w:b/>
        </w:rPr>
        <w:t xml:space="preserve">: </w:t>
      </w:r>
      <w:r w:rsidR="00CF5E4F">
        <w:rPr>
          <w:rFonts w:cs="Calibri"/>
          <w:b/>
        </w:rPr>
        <w:t>Proportion of</w:t>
      </w:r>
      <w:r w:rsidR="005B5618">
        <w:rPr>
          <w:rFonts w:cs="Calibri"/>
          <w:b/>
        </w:rPr>
        <w:t xml:space="preserve"> Australian youth not in education, employment or training and </w:t>
      </w:r>
      <w:r w:rsidR="00230387">
        <w:rPr>
          <w:rFonts w:cs="Calibri"/>
          <w:b/>
        </w:rPr>
        <w:t xml:space="preserve">the </w:t>
      </w:r>
      <w:r w:rsidR="005B5618">
        <w:rPr>
          <w:rFonts w:cs="Calibri"/>
          <w:b/>
        </w:rPr>
        <w:t>overall and youth unemployment rates,</w:t>
      </w:r>
      <w:r w:rsidR="00CF5E4F">
        <w:rPr>
          <w:rFonts w:cs="Calibri"/>
          <w:b/>
        </w:rPr>
        <w:t xml:space="preserve"> 1997-201</w:t>
      </w:r>
      <w:r w:rsidR="005B5618">
        <w:rPr>
          <w:rFonts w:cs="Calibri"/>
          <w:b/>
        </w:rPr>
        <w:t>6</w:t>
      </w:r>
    </w:p>
    <w:p w:rsidR="00276546" w:rsidRPr="00276546" w:rsidRDefault="00BB3D98" w:rsidP="00276546">
      <w:pPr>
        <w:autoSpaceDE w:val="0"/>
        <w:autoSpaceDN w:val="0"/>
        <w:adjustRightInd w:val="0"/>
        <w:ind w:left="-1560"/>
        <w:jc w:val="center"/>
        <w:rPr>
          <w:noProof/>
          <w:lang w:val="en-AU" w:eastAsia="en-AU"/>
        </w:rPr>
      </w:pPr>
      <w:r>
        <w:rPr>
          <w:noProof/>
          <w:lang w:val="en-AU" w:eastAsia="en-AU"/>
        </w:rPr>
        <w:drawing>
          <wp:inline distT="0" distB="0" distL="0" distR="0" wp14:anchorId="13F980CD">
            <wp:extent cx="4752340" cy="2961640"/>
            <wp:effectExtent l="0" t="0" r="0" b="0"/>
            <wp:docPr id="3" name="Picture 3" descr="Chart 2: Proportion of Australian youth not in education, employment or training and the overall and youth unemployment rates, 1997-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52340" cy="2961640"/>
                    </a:xfrm>
                    <a:prstGeom prst="rect">
                      <a:avLst/>
                    </a:prstGeom>
                    <a:noFill/>
                  </pic:spPr>
                </pic:pic>
              </a:graphicData>
            </a:graphic>
          </wp:inline>
        </w:drawing>
      </w:r>
    </w:p>
    <w:p w:rsidR="00AE74DA" w:rsidRPr="00276546" w:rsidRDefault="006368B7" w:rsidP="00BB3D98">
      <w:pPr>
        <w:autoSpaceDE w:val="0"/>
        <w:autoSpaceDN w:val="0"/>
        <w:adjustRightInd w:val="0"/>
        <w:ind w:left="-1560"/>
        <w:rPr>
          <w:rFonts w:cs="Calibri"/>
          <w:sz w:val="18"/>
          <w:szCs w:val="18"/>
        </w:rPr>
      </w:pPr>
      <w:r w:rsidRPr="00276546">
        <w:rPr>
          <w:rFonts w:cs="Calibri"/>
          <w:sz w:val="18"/>
          <w:szCs w:val="18"/>
        </w:rPr>
        <w:t xml:space="preserve">Source: </w:t>
      </w:r>
      <w:r w:rsidR="00AE74DA" w:rsidRPr="00276546">
        <w:rPr>
          <w:rFonts w:cs="Calibri"/>
          <w:sz w:val="18"/>
          <w:szCs w:val="18"/>
        </w:rPr>
        <w:t>OECD</w:t>
      </w:r>
      <w:r w:rsidRPr="00276546">
        <w:rPr>
          <w:rFonts w:cs="Calibri"/>
          <w:sz w:val="18"/>
          <w:szCs w:val="18"/>
        </w:rPr>
        <w:t xml:space="preserve"> </w:t>
      </w:r>
      <w:r w:rsidRPr="003B45D7">
        <w:rPr>
          <w:rFonts w:cs="Calibri"/>
          <w:i/>
          <w:sz w:val="18"/>
          <w:szCs w:val="18"/>
        </w:rPr>
        <w:t>Education at a Glance 2014</w:t>
      </w:r>
      <w:r w:rsidRPr="00276546">
        <w:rPr>
          <w:rFonts w:cs="Calibri"/>
          <w:sz w:val="18"/>
          <w:szCs w:val="18"/>
        </w:rPr>
        <w:t xml:space="preserve"> Table C5.3a (1997-2012), OECD </w:t>
      </w:r>
      <w:r w:rsidRPr="003B45D7">
        <w:rPr>
          <w:rFonts w:cs="Calibri"/>
          <w:i/>
          <w:sz w:val="18"/>
          <w:szCs w:val="18"/>
        </w:rPr>
        <w:t>Education at a Glance 2015 Interim Report</w:t>
      </w:r>
      <w:r w:rsidRPr="00276546">
        <w:rPr>
          <w:rFonts w:cs="Calibri"/>
          <w:sz w:val="18"/>
          <w:szCs w:val="18"/>
        </w:rPr>
        <w:t xml:space="preserve"> (2013), </w:t>
      </w:r>
      <w:r w:rsidR="00BC5D57" w:rsidRPr="00276546">
        <w:rPr>
          <w:rFonts w:cs="Calibri"/>
          <w:sz w:val="18"/>
          <w:szCs w:val="18"/>
        </w:rPr>
        <w:t xml:space="preserve">OECD </w:t>
      </w:r>
      <w:r w:rsidR="003B45D7" w:rsidRPr="003B45D7">
        <w:rPr>
          <w:rFonts w:cs="Calibri"/>
          <w:i/>
          <w:sz w:val="18"/>
          <w:szCs w:val="18"/>
        </w:rPr>
        <w:t xml:space="preserve">Education </w:t>
      </w:r>
      <w:r w:rsidR="00BC5D57" w:rsidRPr="003B45D7">
        <w:rPr>
          <w:rFonts w:cs="Calibri"/>
          <w:i/>
          <w:sz w:val="18"/>
          <w:szCs w:val="18"/>
        </w:rPr>
        <w:t>at a Glance 2016</w:t>
      </w:r>
      <w:r w:rsidR="00BC5D57" w:rsidRPr="00276546">
        <w:rPr>
          <w:rFonts w:cs="Calibri"/>
          <w:sz w:val="18"/>
          <w:szCs w:val="18"/>
        </w:rPr>
        <w:t xml:space="preserve"> Table C5.2 (2015), </w:t>
      </w:r>
      <w:r w:rsidR="00B95E7B">
        <w:rPr>
          <w:rFonts w:cs="Calibri"/>
          <w:sz w:val="18"/>
          <w:szCs w:val="18"/>
        </w:rPr>
        <w:t>ABS</w:t>
      </w:r>
      <w:r w:rsidR="00AA6F60">
        <w:rPr>
          <w:rFonts w:cs="Calibri"/>
          <w:sz w:val="18"/>
          <w:szCs w:val="18"/>
        </w:rPr>
        <w:t>,</w:t>
      </w:r>
      <w:r w:rsidR="00AE74DA" w:rsidRPr="00276546">
        <w:rPr>
          <w:rFonts w:cs="Calibri"/>
          <w:sz w:val="18"/>
          <w:szCs w:val="18"/>
        </w:rPr>
        <w:t xml:space="preserve"> </w:t>
      </w:r>
      <w:r w:rsidR="00AE74DA" w:rsidRPr="00835391">
        <w:rPr>
          <w:rFonts w:cs="Calibri"/>
          <w:i/>
          <w:sz w:val="18"/>
          <w:szCs w:val="18"/>
        </w:rPr>
        <w:t>Labour Force</w:t>
      </w:r>
      <w:r w:rsidR="00AA6F60" w:rsidRPr="00835391">
        <w:rPr>
          <w:rFonts w:cs="Calibri"/>
          <w:i/>
          <w:sz w:val="18"/>
          <w:szCs w:val="18"/>
        </w:rPr>
        <w:t>,</w:t>
      </w:r>
      <w:r w:rsidR="00AE74DA" w:rsidRPr="00835391">
        <w:rPr>
          <w:rFonts w:cs="Calibri"/>
          <w:i/>
          <w:sz w:val="18"/>
          <w:szCs w:val="18"/>
        </w:rPr>
        <w:t xml:space="preserve"> Australia</w:t>
      </w:r>
      <w:r w:rsidR="00835391">
        <w:rPr>
          <w:rFonts w:cs="Calibri"/>
          <w:sz w:val="18"/>
          <w:szCs w:val="18"/>
        </w:rPr>
        <w:t>,</w:t>
      </w:r>
      <w:r w:rsidR="00AE74DA" w:rsidRPr="00276546">
        <w:rPr>
          <w:rFonts w:cs="Calibri"/>
          <w:sz w:val="18"/>
          <w:szCs w:val="18"/>
        </w:rPr>
        <w:t xml:space="preserve"> </w:t>
      </w:r>
      <w:r w:rsidR="006565C0">
        <w:rPr>
          <w:rFonts w:cs="Calibri"/>
          <w:sz w:val="18"/>
          <w:szCs w:val="18"/>
        </w:rPr>
        <w:t>August</w:t>
      </w:r>
      <w:r w:rsidR="00AE74DA" w:rsidRPr="00276546">
        <w:rPr>
          <w:rFonts w:cs="Calibri"/>
          <w:sz w:val="18"/>
          <w:szCs w:val="18"/>
        </w:rPr>
        <w:t xml:space="preserve"> 2016, seasonally adjusted</w:t>
      </w:r>
      <w:r w:rsidR="005B5618" w:rsidRPr="00276546">
        <w:rPr>
          <w:rFonts w:cs="Calibri"/>
          <w:sz w:val="18"/>
          <w:szCs w:val="18"/>
        </w:rPr>
        <w:t xml:space="preserve"> data</w:t>
      </w:r>
    </w:p>
    <w:p w:rsidR="00150E8B" w:rsidRPr="00276546" w:rsidRDefault="00150E8B" w:rsidP="00BB3D98">
      <w:pPr>
        <w:autoSpaceDE w:val="0"/>
        <w:autoSpaceDN w:val="0"/>
        <w:adjustRightInd w:val="0"/>
        <w:ind w:left="-1560"/>
        <w:rPr>
          <w:rFonts w:cs="Calibri"/>
        </w:rPr>
      </w:pPr>
      <w:r w:rsidRPr="00276546">
        <w:rPr>
          <w:rFonts w:cs="Calibri"/>
        </w:rPr>
        <w:t xml:space="preserve">Australia has a wide range of measures in place to help young people to prepare for employment and support their transitions into the workplace. The following table provides a summary of the implementation of the measures identified in Australia’s G20 Employment Plans. </w:t>
      </w:r>
    </w:p>
    <w:p w:rsidR="00D87277" w:rsidRDefault="00D87277" w:rsidP="00D80094">
      <w:pPr>
        <w:autoSpaceDE w:val="0"/>
        <w:autoSpaceDN w:val="0"/>
        <w:adjustRightInd w:val="0"/>
        <w:spacing w:after="240"/>
        <w:sectPr w:rsidR="00D87277" w:rsidSect="00D87277">
          <w:headerReference w:type="default" r:id="rId25"/>
          <w:footerReference w:type="default" r:id="rId26"/>
          <w:pgSz w:w="11850" w:h="16783"/>
          <w:pgMar w:top="2835" w:right="1134" w:bottom="1134" w:left="2552" w:header="851" w:footer="992" w:gutter="0"/>
          <w:cols w:space="720"/>
          <w:docGrid w:linePitch="326"/>
        </w:sectPr>
      </w:pPr>
    </w:p>
    <w:p w:rsidR="002E1BB8" w:rsidRPr="00727B14" w:rsidRDefault="001E7494" w:rsidP="00BB3D98">
      <w:pPr>
        <w:pStyle w:val="Heading3"/>
      </w:pPr>
      <w:bookmarkStart w:id="118" w:name="_Toc487182937"/>
      <w:r w:rsidRPr="00727B14">
        <w:lastRenderedPageBreak/>
        <w:t>Key m</w:t>
      </w:r>
      <w:r w:rsidR="00646BF1" w:rsidRPr="00727B14">
        <w:t xml:space="preserve">easures introduced in pursuit of the collective commitment to </w:t>
      </w:r>
      <w:r w:rsidR="002E1BB8" w:rsidRPr="00727B14">
        <w:t>promote better employment outcomes for youth</w:t>
      </w:r>
      <w:bookmarkEnd w:id="118"/>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7"/>
        <w:gridCol w:w="6368"/>
      </w:tblGrid>
      <w:tr w:rsidR="00233E47" w:rsidRPr="007B406F" w:rsidTr="00BB3D98">
        <w:trPr>
          <w:tblHeader/>
        </w:trPr>
        <w:tc>
          <w:tcPr>
            <w:tcW w:w="8227" w:type="dxa"/>
            <w:shd w:val="clear" w:color="auto" w:fill="D9D9D9" w:themeFill="background1" w:themeFillShade="D9"/>
          </w:tcPr>
          <w:p w:rsidR="00233E47" w:rsidRPr="0049518A" w:rsidRDefault="00233E47" w:rsidP="005142CE">
            <w:pPr>
              <w:rPr>
                <w:rFonts w:cs="Calibri"/>
                <w:b/>
                <w:lang w:val="en-GB"/>
              </w:rPr>
            </w:pPr>
            <w:r w:rsidRPr="0049518A">
              <w:rPr>
                <w:rFonts w:cs="Calibri"/>
                <w:b/>
                <w:bCs/>
                <w:lang w:val="en-GB"/>
              </w:rPr>
              <w:t xml:space="preserve">Policy </w:t>
            </w:r>
            <w:r>
              <w:rPr>
                <w:rFonts w:cs="Calibri"/>
                <w:b/>
                <w:bCs/>
                <w:lang w:val="en-GB"/>
              </w:rPr>
              <w:t>c</w:t>
            </w:r>
            <w:r w:rsidRPr="0049518A">
              <w:rPr>
                <w:rFonts w:cs="Calibri"/>
                <w:b/>
                <w:bCs/>
                <w:lang w:val="en-GB"/>
              </w:rPr>
              <w:t>ommitment</w:t>
            </w:r>
            <w:r>
              <w:rPr>
                <w:rFonts w:cs="Calibri"/>
                <w:b/>
                <w:bCs/>
                <w:lang w:val="en-GB"/>
              </w:rPr>
              <w:t xml:space="preserve"> / description</w:t>
            </w:r>
          </w:p>
        </w:tc>
        <w:tc>
          <w:tcPr>
            <w:tcW w:w="6368" w:type="dxa"/>
            <w:shd w:val="clear" w:color="auto" w:fill="D9D9D9" w:themeFill="background1" w:themeFillShade="D9"/>
          </w:tcPr>
          <w:p w:rsidR="00233E47" w:rsidRPr="0049518A" w:rsidRDefault="00233E47" w:rsidP="005142CE">
            <w:pPr>
              <w:rPr>
                <w:rFonts w:cs="Calibri"/>
                <w:b/>
                <w:lang w:val="en-GB"/>
              </w:rPr>
            </w:pPr>
            <w:r>
              <w:rPr>
                <w:rFonts w:cs="Calibri"/>
                <w:b/>
                <w:bCs/>
                <w:lang w:val="en-GB"/>
              </w:rPr>
              <w:t>Status of implementation and results achieved</w:t>
            </w:r>
          </w:p>
        </w:tc>
      </w:tr>
      <w:tr w:rsidR="002E1BB8" w:rsidRPr="007B406F" w:rsidTr="00290750">
        <w:trPr>
          <w:trHeight w:val="156"/>
        </w:trPr>
        <w:tc>
          <w:tcPr>
            <w:tcW w:w="14595" w:type="dxa"/>
            <w:gridSpan w:val="2"/>
            <w:shd w:val="clear" w:color="auto" w:fill="F2F2F2"/>
            <w:vAlign w:val="center"/>
          </w:tcPr>
          <w:p w:rsidR="002E1BB8" w:rsidRPr="00210DF2" w:rsidRDefault="002E1BB8" w:rsidP="009858BF">
            <w:pPr>
              <w:rPr>
                <w:rFonts w:cs="Calibri"/>
                <w:i/>
                <w:color w:val="FF0000"/>
              </w:rPr>
            </w:pPr>
            <w:r w:rsidRPr="00210DF2">
              <w:rPr>
                <w:rFonts w:cs="Calibri"/>
                <w:bCs/>
                <w:i/>
                <w:lang w:val="en-GB" w:eastAsia="tr-TR"/>
              </w:rPr>
              <w:t>S</w:t>
            </w:r>
            <w:r w:rsidRPr="00210DF2">
              <w:rPr>
                <w:rFonts w:cs="Calibri"/>
                <w:i/>
                <w:lang w:val="en-GB"/>
              </w:rPr>
              <w:t>trengthen the education system and prepare all young people for the world of work</w:t>
            </w:r>
          </w:p>
        </w:tc>
      </w:tr>
      <w:tr w:rsidR="00436DF7" w:rsidRPr="007B406F" w:rsidTr="00290750">
        <w:trPr>
          <w:trHeight w:val="526"/>
        </w:trPr>
        <w:tc>
          <w:tcPr>
            <w:tcW w:w="8227" w:type="dxa"/>
          </w:tcPr>
          <w:p w:rsidR="00436DF7" w:rsidRPr="00233E47" w:rsidRDefault="00436DF7" w:rsidP="009858BF">
            <w:pPr>
              <w:rPr>
                <w:rFonts w:cs="Calibri"/>
                <w:b/>
                <w:lang w:val="en-GB"/>
              </w:rPr>
            </w:pPr>
            <w:r w:rsidRPr="00233E47">
              <w:rPr>
                <w:rFonts w:cs="Calibri"/>
                <w:b/>
              </w:rPr>
              <w:t>Australian Apprenticeship Support Network</w:t>
            </w:r>
          </w:p>
          <w:p w:rsidR="00436DF7" w:rsidRPr="007B406F" w:rsidRDefault="00436DF7" w:rsidP="00210DF2">
            <w:pPr>
              <w:rPr>
                <w:rFonts w:cs="Calibri"/>
                <w:lang w:val="en-GB"/>
              </w:rPr>
            </w:pPr>
            <w:r w:rsidRPr="007B406F">
              <w:rPr>
                <w:rFonts w:cs="Calibri"/>
              </w:rPr>
              <w:t>The Australian Apprenticeship Support Network will deliver a new generation of support services to Australian Apprenticeships participants to help improve apprenticeship completion rates</w:t>
            </w:r>
            <w:r w:rsidR="00531CC4">
              <w:rPr>
                <w:rFonts w:cs="Calibri"/>
              </w:rPr>
              <w:t xml:space="preserve">, </w:t>
            </w:r>
            <w:r w:rsidRPr="007B406F">
              <w:rPr>
                <w:rFonts w:cs="Calibri"/>
                <w:lang w:val="en-GB"/>
              </w:rPr>
              <w:t xml:space="preserve">investing up to </w:t>
            </w:r>
            <w:r w:rsidR="00C01F09">
              <w:rPr>
                <w:rFonts w:cs="Calibri"/>
                <w:lang w:val="en-GB"/>
              </w:rPr>
              <w:t>$</w:t>
            </w:r>
            <w:r w:rsidR="00694F11">
              <w:rPr>
                <w:rFonts w:cs="Calibri"/>
                <w:lang w:val="en-GB"/>
              </w:rPr>
              <w:t>189</w:t>
            </w:r>
            <w:r w:rsidRPr="007B406F">
              <w:rPr>
                <w:rFonts w:cs="Calibri"/>
                <w:lang w:val="en-GB"/>
              </w:rPr>
              <w:t xml:space="preserve"> million annually.</w:t>
            </w:r>
          </w:p>
        </w:tc>
        <w:tc>
          <w:tcPr>
            <w:tcW w:w="6368" w:type="dxa"/>
          </w:tcPr>
          <w:p w:rsidR="00436DF7" w:rsidRPr="007B406F" w:rsidRDefault="00436DF7" w:rsidP="009858BF">
            <w:pPr>
              <w:rPr>
                <w:rFonts w:cs="Calibri"/>
                <w:lang w:val="en-GB"/>
              </w:rPr>
            </w:pPr>
            <w:r w:rsidRPr="007B406F">
              <w:rPr>
                <w:rFonts w:cs="Calibri"/>
                <w:lang w:val="en-GB"/>
              </w:rPr>
              <w:t>The Apprenticeship Network has been in place since 1 July 2015 and supports apprentices from a network of more than 420 locations nationally.</w:t>
            </w:r>
          </w:p>
        </w:tc>
      </w:tr>
      <w:tr w:rsidR="00436DF7" w:rsidRPr="007B406F" w:rsidTr="00290750">
        <w:trPr>
          <w:trHeight w:val="690"/>
        </w:trPr>
        <w:tc>
          <w:tcPr>
            <w:tcW w:w="8227" w:type="dxa"/>
            <w:vAlign w:val="center"/>
          </w:tcPr>
          <w:p w:rsidR="00436DF7" w:rsidRPr="00233E47" w:rsidRDefault="00436DF7" w:rsidP="009858BF">
            <w:pPr>
              <w:rPr>
                <w:rFonts w:cs="Calibri"/>
                <w:b/>
                <w:color w:val="FF0000"/>
              </w:rPr>
            </w:pPr>
            <w:r w:rsidRPr="00233E47">
              <w:rPr>
                <w:rFonts w:cs="Calibri"/>
                <w:b/>
                <w:lang w:val="en-GB"/>
              </w:rPr>
              <w:t>Trade Support Loans</w:t>
            </w:r>
            <w:bookmarkStart w:id="119" w:name="_GoBack"/>
            <w:bookmarkEnd w:id="119"/>
          </w:p>
          <w:p w:rsidR="00436DF7" w:rsidRPr="007B406F" w:rsidRDefault="007B41E1" w:rsidP="00B87D3C">
            <w:pPr>
              <w:rPr>
                <w:rFonts w:cs="Calibri"/>
                <w:lang w:val="en-GB"/>
              </w:rPr>
            </w:pPr>
            <w:r>
              <w:rPr>
                <w:rFonts w:cs="Calibri"/>
              </w:rPr>
              <w:t xml:space="preserve">The </w:t>
            </w:r>
            <w:r w:rsidR="00436DF7" w:rsidRPr="007B406F">
              <w:rPr>
                <w:rFonts w:cs="Calibri"/>
              </w:rPr>
              <w:t xml:space="preserve">Trade Support Loans </w:t>
            </w:r>
            <w:r w:rsidR="009738BC">
              <w:rPr>
                <w:rFonts w:cs="Calibri"/>
              </w:rPr>
              <w:t>program</w:t>
            </w:r>
            <w:r>
              <w:rPr>
                <w:rFonts w:cs="Calibri"/>
              </w:rPr>
              <w:t xml:space="preserve"> </w:t>
            </w:r>
            <w:r w:rsidR="00436DF7" w:rsidRPr="007B406F">
              <w:rPr>
                <w:rFonts w:cs="Calibri"/>
              </w:rPr>
              <w:t xml:space="preserve">provides </w:t>
            </w:r>
            <w:r>
              <w:rPr>
                <w:rFonts w:cs="Calibri"/>
              </w:rPr>
              <w:t xml:space="preserve">financial </w:t>
            </w:r>
            <w:r w:rsidR="00436DF7" w:rsidRPr="007B406F">
              <w:rPr>
                <w:rFonts w:cs="Calibri"/>
              </w:rPr>
              <w:t>support to eligible apprentices undertaking a qualification listed on the Trade Support Loans Priority List. This includes key trade occupations such as electricians, plumbers, carpenters, hairdressers and motor mechanics.</w:t>
            </w:r>
          </w:p>
        </w:tc>
        <w:tc>
          <w:tcPr>
            <w:tcW w:w="6368" w:type="dxa"/>
          </w:tcPr>
          <w:p w:rsidR="00436DF7" w:rsidRPr="007B406F" w:rsidRDefault="00436DF7" w:rsidP="009858BF">
            <w:pPr>
              <w:rPr>
                <w:rFonts w:cs="Calibri"/>
                <w:lang w:val="en-GB"/>
              </w:rPr>
            </w:pPr>
            <w:r w:rsidRPr="007B406F">
              <w:rPr>
                <w:rFonts w:cs="Calibri"/>
                <w:lang w:val="en-GB"/>
              </w:rPr>
              <w:t xml:space="preserve">The program </w:t>
            </w:r>
            <w:r w:rsidR="007B41E1" w:rsidRPr="007B406F">
              <w:rPr>
                <w:rFonts w:cs="Calibri"/>
                <w:lang w:val="en-GB"/>
              </w:rPr>
              <w:t>commenced on 21 July 2014</w:t>
            </w:r>
            <w:r w:rsidRPr="007B406F">
              <w:rPr>
                <w:rFonts w:cs="Calibri"/>
                <w:lang w:val="en-GB"/>
              </w:rPr>
              <w:t xml:space="preserve"> and is operating successfully.</w:t>
            </w:r>
          </w:p>
          <w:p w:rsidR="00436DF7" w:rsidRPr="007B406F" w:rsidRDefault="00436DF7" w:rsidP="007B41E1">
            <w:pPr>
              <w:rPr>
                <w:rFonts w:cs="Calibri"/>
                <w:lang w:val="en-GB"/>
              </w:rPr>
            </w:pPr>
          </w:p>
        </w:tc>
      </w:tr>
      <w:tr w:rsidR="00436DF7" w:rsidRPr="007B406F" w:rsidTr="00290750">
        <w:trPr>
          <w:trHeight w:val="690"/>
        </w:trPr>
        <w:tc>
          <w:tcPr>
            <w:tcW w:w="8227" w:type="dxa"/>
            <w:tcBorders>
              <w:top w:val="single" w:sz="4" w:space="0" w:color="auto"/>
              <w:left w:val="single" w:sz="4" w:space="0" w:color="auto"/>
              <w:bottom w:val="single" w:sz="4" w:space="0" w:color="auto"/>
              <w:right w:val="single" w:sz="4" w:space="0" w:color="auto"/>
            </w:tcBorders>
            <w:vAlign w:val="center"/>
          </w:tcPr>
          <w:p w:rsidR="00436DF7" w:rsidRPr="00233E47" w:rsidRDefault="00436DF7" w:rsidP="009858BF">
            <w:pPr>
              <w:rPr>
                <w:rFonts w:cs="Calibri"/>
                <w:b/>
                <w:lang w:val="en-GB"/>
              </w:rPr>
            </w:pPr>
            <w:r w:rsidRPr="00233E47">
              <w:rPr>
                <w:rFonts w:cs="Calibri"/>
                <w:b/>
                <w:lang w:val="en-GB"/>
              </w:rPr>
              <w:t>Higher Education and Research Reforms</w:t>
            </w:r>
          </w:p>
          <w:p w:rsidR="00436DF7" w:rsidRPr="001536B2" w:rsidRDefault="00436DF7" w:rsidP="009858BF">
            <w:pPr>
              <w:rPr>
                <w:rFonts w:cs="Calibri"/>
              </w:rPr>
            </w:pPr>
            <w:r w:rsidRPr="001536B2">
              <w:rPr>
                <w:rFonts w:cs="Calibri"/>
              </w:rPr>
              <w:t xml:space="preserve">The proposed higher education reforms would extend the demand driven university funding system to sub-bachelor </w:t>
            </w:r>
            <w:r w:rsidRPr="004E3F1C">
              <w:rPr>
                <w:rFonts w:cs="Calibri"/>
              </w:rPr>
              <w:t>and bachelor courses at all institutions registered with the national regulator</w:t>
            </w:r>
            <w:r>
              <w:rPr>
                <w:rFonts w:cs="Calibri"/>
              </w:rPr>
              <w:t>.</w:t>
            </w:r>
          </w:p>
        </w:tc>
        <w:tc>
          <w:tcPr>
            <w:tcW w:w="6368" w:type="dxa"/>
            <w:tcBorders>
              <w:top w:val="single" w:sz="4" w:space="0" w:color="auto"/>
              <w:left w:val="single" w:sz="4" w:space="0" w:color="auto"/>
              <w:bottom w:val="single" w:sz="4" w:space="0" w:color="auto"/>
              <w:right w:val="single" w:sz="4" w:space="0" w:color="auto"/>
            </w:tcBorders>
          </w:tcPr>
          <w:p w:rsidR="00436DF7" w:rsidRPr="007B406F" w:rsidRDefault="00436DF7" w:rsidP="009858BF">
            <w:pPr>
              <w:rPr>
                <w:rFonts w:cs="Calibri"/>
                <w:lang w:val="en-GB"/>
              </w:rPr>
            </w:pPr>
            <w:r w:rsidRPr="007B406F">
              <w:rPr>
                <w:rFonts w:cs="Calibri"/>
                <w:lang w:val="en-GB"/>
              </w:rPr>
              <w:t>Current funding arrangements remain in place while the Government consults further with the higher education sector and other stakeholders regarding reforms</w:t>
            </w:r>
            <w:r w:rsidRPr="004E3F1C">
              <w:rPr>
                <w:rFonts w:cs="Calibri"/>
                <w:lang w:val="en-GB"/>
              </w:rPr>
              <w:t xml:space="preserve"> about this and other proposals</w:t>
            </w:r>
            <w:r w:rsidRPr="007B406F">
              <w:rPr>
                <w:rFonts w:cs="Calibri"/>
                <w:lang w:val="en-GB"/>
              </w:rPr>
              <w:t xml:space="preserve">. </w:t>
            </w:r>
          </w:p>
        </w:tc>
      </w:tr>
      <w:tr w:rsidR="002E1BB8" w:rsidRPr="007B406F" w:rsidTr="00290750">
        <w:trPr>
          <w:trHeight w:val="182"/>
        </w:trPr>
        <w:tc>
          <w:tcPr>
            <w:tcW w:w="14595" w:type="dxa"/>
            <w:gridSpan w:val="2"/>
            <w:shd w:val="clear" w:color="auto" w:fill="F2F2F2"/>
            <w:vAlign w:val="center"/>
          </w:tcPr>
          <w:p w:rsidR="002E1BB8" w:rsidRPr="00210DF2" w:rsidRDefault="002E1BB8" w:rsidP="005F68EB">
            <w:pPr>
              <w:rPr>
                <w:rFonts w:cs="Calibri"/>
                <w:i/>
                <w:color w:val="FF0000"/>
              </w:rPr>
            </w:pPr>
            <w:r w:rsidRPr="00210DF2">
              <w:rPr>
                <w:rFonts w:cs="Calibri"/>
                <w:bCs/>
                <w:i/>
                <w:lang w:val="en-GB" w:eastAsia="tr-TR"/>
              </w:rPr>
              <w:t>Provide effective support to unemployed young people to find work</w:t>
            </w:r>
          </w:p>
        </w:tc>
      </w:tr>
      <w:tr w:rsidR="00436DF7" w:rsidRPr="007B406F" w:rsidTr="00290750">
        <w:trPr>
          <w:trHeight w:val="582"/>
        </w:trPr>
        <w:tc>
          <w:tcPr>
            <w:tcW w:w="8227" w:type="dxa"/>
          </w:tcPr>
          <w:p w:rsidR="00436DF7" w:rsidRPr="008B3E01" w:rsidRDefault="00436DF7" w:rsidP="000C2093">
            <w:pPr>
              <w:rPr>
                <w:rFonts w:cs="Calibri"/>
                <w:lang w:val="en-GB"/>
              </w:rPr>
            </w:pPr>
            <w:r w:rsidRPr="00233E47">
              <w:rPr>
                <w:rFonts w:cs="Calibri"/>
                <w:b/>
                <w:lang w:val="en-GB"/>
              </w:rPr>
              <w:t xml:space="preserve">Youth </w:t>
            </w:r>
            <w:r w:rsidR="00EF0FCC">
              <w:rPr>
                <w:rFonts w:cs="Calibri"/>
                <w:b/>
                <w:lang w:val="en-GB"/>
              </w:rPr>
              <w:t>E</w:t>
            </w:r>
            <w:r w:rsidRPr="00233E47">
              <w:rPr>
                <w:rFonts w:cs="Calibri"/>
                <w:b/>
                <w:lang w:val="en-GB"/>
              </w:rPr>
              <w:t xml:space="preserve">mployment </w:t>
            </w:r>
            <w:r w:rsidR="00EF0FCC">
              <w:rPr>
                <w:rFonts w:cs="Calibri"/>
                <w:b/>
                <w:lang w:val="en-GB"/>
              </w:rPr>
              <w:t>S</w:t>
            </w:r>
            <w:r w:rsidRPr="00233E47">
              <w:rPr>
                <w:rFonts w:cs="Calibri"/>
                <w:b/>
                <w:lang w:val="en-GB"/>
              </w:rPr>
              <w:t>trategy</w:t>
            </w:r>
            <w:r w:rsidRPr="00B87D3C">
              <w:rPr>
                <w:rFonts w:cs="Calibri"/>
                <w:lang w:val="en-GB"/>
              </w:rPr>
              <w:t>,</w:t>
            </w:r>
            <w:r w:rsidRPr="00233E47">
              <w:rPr>
                <w:rFonts w:cs="Calibri"/>
                <w:b/>
                <w:lang w:val="en-GB"/>
              </w:rPr>
              <w:t xml:space="preserve"> </w:t>
            </w:r>
            <w:r w:rsidRPr="00DE066E">
              <w:rPr>
                <w:rFonts w:cs="Calibri"/>
                <w:lang w:val="en-GB"/>
              </w:rPr>
              <w:t>including</w:t>
            </w:r>
            <w:r w:rsidR="00DE066E" w:rsidRPr="00DE066E">
              <w:rPr>
                <w:rFonts w:cs="Calibri"/>
                <w:lang w:val="en-GB"/>
              </w:rPr>
              <w:t xml:space="preserve"> the t</w:t>
            </w:r>
            <w:r w:rsidRPr="00DE066E">
              <w:rPr>
                <w:lang w:val="en-GB"/>
              </w:rPr>
              <w:t>ransition</w:t>
            </w:r>
            <w:r w:rsidRPr="00646BF1">
              <w:rPr>
                <w:lang w:val="en-GB"/>
              </w:rPr>
              <w:t xml:space="preserve"> to Work service</w:t>
            </w:r>
            <w:r w:rsidR="00DE066E">
              <w:rPr>
                <w:lang w:val="en-GB"/>
              </w:rPr>
              <w:t xml:space="preserve"> and </w:t>
            </w:r>
            <w:r w:rsidR="003C254F">
              <w:rPr>
                <w:lang w:val="en-GB"/>
              </w:rPr>
              <w:t>Empowering YOUth Initiatives</w:t>
            </w:r>
            <w:r w:rsidR="000C2093">
              <w:rPr>
                <w:rFonts w:eastAsia="Times New Roman" w:cs="Calibri"/>
                <w:kern w:val="0"/>
                <w:szCs w:val="26"/>
                <w:lang w:val="en-GB" w:eastAsia="en-US"/>
              </w:rPr>
              <w:t xml:space="preserve"> described earlier in this document.</w:t>
            </w:r>
          </w:p>
        </w:tc>
        <w:tc>
          <w:tcPr>
            <w:tcW w:w="6368" w:type="dxa"/>
          </w:tcPr>
          <w:p w:rsidR="00436DF7" w:rsidRPr="00BB3D98" w:rsidRDefault="00436DF7" w:rsidP="00BB3D98">
            <w:r w:rsidRPr="007B406F">
              <w:rPr>
                <w:lang w:val="en-GB"/>
              </w:rPr>
              <w:t xml:space="preserve">Elements of the Youth Employment Strategy </w:t>
            </w:r>
            <w:proofErr w:type="gramStart"/>
            <w:r w:rsidR="00580358">
              <w:rPr>
                <w:lang w:val="en-GB"/>
              </w:rPr>
              <w:t xml:space="preserve">have been </w:t>
            </w:r>
            <w:r w:rsidRPr="007B406F">
              <w:rPr>
                <w:lang w:val="en-GB"/>
              </w:rPr>
              <w:t>progressively implemented</w:t>
            </w:r>
            <w:proofErr w:type="gramEnd"/>
            <w:r w:rsidRPr="007B406F">
              <w:rPr>
                <w:lang w:val="en-GB"/>
              </w:rPr>
              <w:t xml:space="preserve"> </w:t>
            </w:r>
            <w:r w:rsidR="00580358">
              <w:rPr>
                <w:lang w:val="en-GB"/>
              </w:rPr>
              <w:t>since</w:t>
            </w:r>
            <w:r w:rsidRPr="007B406F">
              <w:rPr>
                <w:lang w:val="en-GB"/>
              </w:rPr>
              <w:t xml:space="preserve"> 1 January 2016.</w:t>
            </w:r>
          </w:p>
        </w:tc>
      </w:tr>
      <w:tr w:rsidR="00436DF7" w:rsidRPr="007B406F" w:rsidTr="00290750">
        <w:trPr>
          <w:trHeight w:val="277"/>
        </w:trPr>
        <w:tc>
          <w:tcPr>
            <w:tcW w:w="8227" w:type="dxa"/>
            <w:tcBorders>
              <w:top w:val="single" w:sz="4" w:space="0" w:color="auto"/>
              <w:left w:val="single" w:sz="4" w:space="0" w:color="auto"/>
              <w:bottom w:val="single" w:sz="4" w:space="0" w:color="auto"/>
              <w:right w:val="single" w:sz="4" w:space="0" w:color="auto"/>
            </w:tcBorders>
          </w:tcPr>
          <w:p w:rsidR="00436DF7" w:rsidRPr="00233E47" w:rsidRDefault="00436DF7" w:rsidP="009858BF">
            <w:pPr>
              <w:rPr>
                <w:rFonts w:cs="Calibri"/>
                <w:b/>
                <w:lang w:val="en-GB"/>
              </w:rPr>
            </w:pPr>
            <w:r w:rsidRPr="00233E47">
              <w:rPr>
                <w:rFonts w:cs="Calibri"/>
                <w:b/>
                <w:lang w:val="en-GB"/>
              </w:rPr>
              <w:t>Rapid Activation for job ready job seekers aged under 25</w:t>
            </w:r>
          </w:p>
          <w:p w:rsidR="00436DF7" w:rsidRPr="007B406F" w:rsidRDefault="000C2093" w:rsidP="000C2093">
            <w:pPr>
              <w:rPr>
                <w:rFonts w:cs="Calibri"/>
                <w:lang w:val="en-GB"/>
              </w:rPr>
            </w:pPr>
            <w:r>
              <w:rPr>
                <w:rFonts w:cs="Calibri"/>
                <w:lang w:val="en-GB"/>
              </w:rPr>
              <w:t>Under this measure,</w:t>
            </w:r>
            <w:r w:rsidR="00436DF7" w:rsidRPr="00FA5AD3">
              <w:rPr>
                <w:rFonts w:cs="Calibri"/>
                <w:lang w:val="en-GB"/>
              </w:rPr>
              <w:t xml:space="preserve"> job ready job seekers aged under 25 </w:t>
            </w:r>
            <w:r>
              <w:rPr>
                <w:rFonts w:cs="Calibri"/>
                <w:lang w:val="en-GB"/>
              </w:rPr>
              <w:t>must</w:t>
            </w:r>
            <w:r w:rsidR="00436DF7" w:rsidRPr="00FA5AD3">
              <w:rPr>
                <w:rFonts w:cs="Calibri"/>
                <w:lang w:val="en-GB"/>
              </w:rPr>
              <w:t xml:space="preserve"> complete pre-benefit </w:t>
            </w:r>
            <w:r w:rsidR="00436DF7" w:rsidRPr="00FA5AD3">
              <w:rPr>
                <w:rFonts w:cs="Calibri"/>
                <w:lang w:val="en-GB"/>
              </w:rPr>
              <w:lastRenderedPageBreak/>
              <w:t>activities to demonstrate that they are doing all they can to find employment before they become eligible for income support.</w:t>
            </w:r>
          </w:p>
        </w:tc>
        <w:tc>
          <w:tcPr>
            <w:tcW w:w="6368" w:type="dxa"/>
            <w:tcBorders>
              <w:top w:val="single" w:sz="4" w:space="0" w:color="auto"/>
              <w:left w:val="single" w:sz="4" w:space="0" w:color="auto"/>
              <w:bottom w:val="single" w:sz="4" w:space="0" w:color="auto"/>
              <w:right w:val="single" w:sz="4" w:space="0" w:color="auto"/>
            </w:tcBorders>
          </w:tcPr>
          <w:p w:rsidR="00436DF7" w:rsidRPr="00BB3D98" w:rsidRDefault="00D67EC3" w:rsidP="00BB3D98">
            <w:proofErr w:type="gramStart"/>
            <w:r>
              <w:rPr>
                <w:lang w:val="en-GB"/>
              </w:rPr>
              <w:lastRenderedPageBreak/>
              <w:t>I</w:t>
            </w:r>
            <w:r w:rsidR="00436DF7" w:rsidRPr="00FA5AD3">
              <w:rPr>
                <w:lang w:val="en-GB"/>
              </w:rPr>
              <w:t>mplemented on 1 July 2016</w:t>
            </w:r>
            <w:r w:rsidR="00C10483">
              <w:rPr>
                <w:lang w:val="en-GB"/>
              </w:rPr>
              <w:t>.</w:t>
            </w:r>
            <w:proofErr w:type="gramEnd"/>
          </w:p>
        </w:tc>
      </w:tr>
      <w:tr w:rsidR="00A31865" w:rsidRPr="007B406F" w:rsidTr="00290750">
        <w:trPr>
          <w:trHeight w:val="700"/>
        </w:trPr>
        <w:tc>
          <w:tcPr>
            <w:tcW w:w="8227" w:type="dxa"/>
            <w:tcBorders>
              <w:top w:val="single" w:sz="4" w:space="0" w:color="auto"/>
              <w:left w:val="single" w:sz="4" w:space="0" w:color="auto"/>
              <w:bottom w:val="single" w:sz="4" w:space="0" w:color="auto"/>
              <w:right w:val="single" w:sz="4" w:space="0" w:color="auto"/>
            </w:tcBorders>
          </w:tcPr>
          <w:p w:rsidR="00A31865" w:rsidRPr="00233E47" w:rsidRDefault="00A31865" w:rsidP="00A31865">
            <w:pPr>
              <w:rPr>
                <w:rFonts w:cs="Calibri"/>
                <w:b/>
                <w:lang w:val="en-GB"/>
              </w:rPr>
            </w:pPr>
            <w:r w:rsidRPr="00233E47">
              <w:rPr>
                <w:rFonts w:cs="Calibri"/>
                <w:b/>
                <w:lang w:val="en-GB"/>
              </w:rPr>
              <w:lastRenderedPageBreak/>
              <w:t>Youth Employment Package</w:t>
            </w:r>
          </w:p>
          <w:p w:rsidR="00A31865" w:rsidRPr="00E44F14" w:rsidRDefault="00A31865" w:rsidP="00A31865">
            <w:pPr>
              <w:rPr>
                <w:rFonts w:cs="Calibri"/>
                <w:lang w:val="en-GB"/>
              </w:rPr>
            </w:pPr>
            <w:r w:rsidRPr="00E44F14">
              <w:rPr>
                <w:rFonts w:cs="Calibri"/>
                <w:lang w:val="en-GB"/>
              </w:rPr>
              <w:t xml:space="preserve">The Youth Employment Package </w:t>
            </w:r>
            <w:r>
              <w:rPr>
                <w:rFonts w:cs="Calibri"/>
                <w:lang w:val="en-GB"/>
              </w:rPr>
              <w:t>will</w:t>
            </w:r>
            <w:r w:rsidRPr="00E44F14">
              <w:rPr>
                <w:rFonts w:cs="Calibri"/>
                <w:lang w:val="en-GB"/>
              </w:rPr>
              <w:t xml:space="preserve"> </w:t>
            </w:r>
            <w:r w:rsidR="000D7702">
              <w:rPr>
                <w:rFonts w:cs="Calibri"/>
                <w:lang w:val="en-GB"/>
              </w:rPr>
              <w:t>assist</w:t>
            </w:r>
            <w:r w:rsidRPr="00E44F14">
              <w:rPr>
                <w:rFonts w:cs="Calibri"/>
                <w:lang w:val="en-GB"/>
              </w:rPr>
              <w:t xml:space="preserve"> young people</w:t>
            </w:r>
            <w:r w:rsidR="000D7702">
              <w:rPr>
                <w:rFonts w:cs="Calibri"/>
                <w:lang w:val="en-GB"/>
              </w:rPr>
              <w:t xml:space="preserve"> to gain</w:t>
            </w:r>
            <w:r w:rsidRPr="00E44F14">
              <w:rPr>
                <w:rFonts w:cs="Calibri"/>
                <w:lang w:val="en-GB"/>
              </w:rPr>
              <w:t xml:space="preserve"> the employability skills and real work experience they need to get a job.</w:t>
            </w:r>
            <w:r>
              <w:rPr>
                <w:rFonts w:cs="Calibri"/>
                <w:lang w:val="en-GB"/>
              </w:rPr>
              <w:t xml:space="preserve"> </w:t>
            </w:r>
            <w:r w:rsidRPr="00E44F14">
              <w:rPr>
                <w:rFonts w:cs="Calibri"/>
                <w:lang w:val="en-GB"/>
              </w:rPr>
              <w:t xml:space="preserve">The core of the package is </w:t>
            </w:r>
            <w:r>
              <w:rPr>
                <w:rFonts w:cs="Calibri"/>
                <w:lang w:val="en-GB"/>
              </w:rPr>
              <w:t xml:space="preserve">the </w:t>
            </w:r>
            <w:r w:rsidRPr="00E44F14">
              <w:rPr>
                <w:rFonts w:cs="Calibri"/>
                <w:lang w:val="en-GB"/>
              </w:rPr>
              <w:t xml:space="preserve">Youth Jobs PaTH </w:t>
            </w:r>
            <w:r>
              <w:rPr>
                <w:rFonts w:cs="Calibri"/>
                <w:lang w:val="en-GB"/>
              </w:rPr>
              <w:t xml:space="preserve">(Prepare, Trial, Hire) </w:t>
            </w:r>
            <w:r w:rsidRPr="00E44F14">
              <w:rPr>
                <w:rFonts w:cs="Calibri"/>
                <w:lang w:val="en-GB"/>
              </w:rPr>
              <w:t>for young job seeke</w:t>
            </w:r>
            <w:r>
              <w:rPr>
                <w:rFonts w:cs="Calibri"/>
                <w:lang w:val="en-GB"/>
              </w:rPr>
              <w:t>rs, which includes:</w:t>
            </w:r>
          </w:p>
          <w:p w:rsidR="00A31865" w:rsidRPr="00867765" w:rsidRDefault="00A31865" w:rsidP="00CA07CC">
            <w:pPr>
              <w:pStyle w:val="ListParagraph"/>
              <w:numPr>
                <w:ilvl w:val="0"/>
                <w:numId w:val="28"/>
              </w:numPr>
            </w:pPr>
            <w:r w:rsidRPr="00867765">
              <w:t>Employability Skills Training to help young job seekers understand the behaviours expected by employers in the recruitment process and in the workplace</w:t>
            </w:r>
            <w:r>
              <w:t>.</w:t>
            </w:r>
          </w:p>
          <w:p w:rsidR="00A31865" w:rsidRPr="00867765" w:rsidRDefault="00A31865" w:rsidP="00CA07CC">
            <w:pPr>
              <w:pStyle w:val="ListParagraph"/>
              <w:numPr>
                <w:ilvl w:val="0"/>
                <w:numId w:val="28"/>
              </w:numPr>
            </w:pPr>
            <w:r w:rsidRPr="00867765">
              <w:t>Internships of four to 12 weeks to give young job seekers a chance to show what they can do in a real workplace</w:t>
            </w:r>
            <w:r>
              <w:t>.</w:t>
            </w:r>
          </w:p>
          <w:p w:rsidR="00A31865" w:rsidRPr="00BB3D98" w:rsidRDefault="00A31865" w:rsidP="00A31865">
            <w:pPr>
              <w:pStyle w:val="ListParagraph"/>
              <w:numPr>
                <w:ilvl w:val="0"/>
                <w:numId w:val="28"/>
              </w:numPr>
            </w:pPr>
            <w:proofErr w:type="gramStart"/>
            <w:r w:rsidRPr="00867765">
              <w:t xml:space="preserve">A new Youth Bonus wage subsidy to support the employment of young people and further </w:t>
            </w:r>
            <w:r w:rsidRPr="00E44F14">
              <w:t>enhancements</w:t>
            </w:r>
            <w:r w:rsidRPr="00867765">
              <w:t xml:space="preserve"> to existing wage subsidies.</w:t>
            </w:r>
            <w:proofErr w:type="gramEnd"/>
          </w:p>
        </w:tc>
        <w:tc>
          <w:tcPr>
            <w:tcW w:w="6368" w:type="dxa"/>
            <w:tcBorders>
              <w:top w:val="single" w:sz="4" w:space="0" w:color="auto"/>
              <w:left w:val="single" w:sz="4" w:space="0" w:color="auto"/>
              <w:bottom w:val="single" w:sz="4" w:space="0" w:color="auto"/>
              <w:right w:val="single" w:sz="4" w:space="0" w:color="auto"/>
            </w:tcBorders>
          </w:tcPr>
          <w:p w:rsidR="00A31865" w:rsidRPr="00BB3D98" w:rsidRDefault="00A31865" w:rsidP="00BB3D98">
            <w:r w:rsidRPr="007B406F">
              <w:rPr>
                <w:lang w:val="en-GB"/>
              </w:rPr>
              <w:t xml:space="preserve">Elements of the Youth Employment Strategy </w:t>
            </w:r>
            <w:proofErr w:type="gramStart"/>
            <w:r>
              <w:rPr>
                <w:lang w:val="en-GB"/>
              </w:rPr>
              <w:t xml:space="preserve">are being </w:t>
            </w:r>
            <w:r w:rsidRPr="007B406F">
              <w:rPr>
                <w:lang w:val="en-GB"/>
              </w:rPr>
              <w:t>progressively implemented</w:t>
            </w:r>
            <w:proofErr w:type="gramEnd"/>
            <w:r w:rsidRPr="007B406F">
              <w:rPr>
                <w:lang w:val="en-GB"/>
              </w:rPr>
              <w:t xml:space="preserve"> from 1 </w:t>
            </w:r>
            <w:r>
              <w:rPr>
                <w:lang w:val="en-GB"/>
              </w:rPr>
              <w:t xml:space="preserve">October </w:t>
            </w:r>
            <w:r w:rsidRPr="007B406F">
              <w:rPr>
                <w:lang w:val="en-GB"/>
              </w:rPr>
              <w:t>2016.</w:t>
            </w:r>
          </w:p>
        </w:tc>
      </w:tr>
      <w:tr w:rsidR="00A31865" w:rsidRPr="007B406F" w:rsidTr="00290750">
        <w:trPr>
          <w:trHeight w:val="191"/>
        </w:trPr>
        <w:tc>
          <w:tcPr>
            <w:tcW w:w="14595" w:type="dxa"/>
            <w:gridSpan w:val="2"/>
            <w:shd w:val="clear" w:color="auto" w:fill="F2F2F2"/>
            <w:vAlign w:val="center"/>
          </w:tcPr>
          <w:p w:rsidR="00A31865" w:rsidRPr="00BB3D98" w:rsidRDefault="00A31865" w:rsidP="00BB3D98">
            <w:pPr>
              <w:rPr>
                <w:b/>
              </w:rPr>
            </w:pPr>
            <w:r w:rsidRPr="00BB3D98">
              <w:rPr>
                <w:b/>
                <w:lang w:val="en-GB" w:eastAsia="tr-TR"/>
              </w:rPr>
              <w:t>Improve job opportunities</w:t>
            </w:r>
          </w:p>
        </w:tc>
      </w:tr>
      <w:tr w:rsidR="00A31865" w:rsidRPr="007B406F" w:rsidTr="00290750">
        <w:trPr>
          <w:trHeight w:val="700"/>
        </w:trPr>
        <w:tc>
          <w:tcPr>
            <w:tcW w:w="8227" w:type="dxa"/>
            <w:vAlign w:val="center"/>
          </w:tcPr>
          <w:p w:rsidR="00A31865" w:rsidRPr="00233E47" w:rsidRDefault="00A31865" w:rsidP="009858BF">
            <w:pPr>
              <w:rPr>
                <w:rFonts w:cs="Calibri"/>
                <w:b/>
                <w:bCs/>
              </w:rPr>
            </w:pPr>
            <w:r w:rsidRPr="00233E47">
              <w:rPr>
                <w:rFonts w:cs="Calibri"/>
                <w:b/>
                <w:lang w:val="en-GB"/>
              </w:rPr>
              <w:t>National Work Experience Programme</w:t>
            </w:r>
          </w:p>
          <w:p w:rsidR="00A31865" w:rsidRPr="007B406F" w:rsidRDefault="00A31865" w:rsidP="009858BF">
            <w:pPr>
              <w:rPr>
                <w:rFonts w:cs="Calibri"/>
                <w:lang w:val="en-GB"/>
              </w:rPr>
            </w:pPr>
            <w:r w:rsidRPr="00FA5AD3">
              <w:rPr>
                <w:rFonts w:cs="Calibri"/>
                <w:lang w:val="en-GB"/>
              </w:rPr>
              <w:t>The National Work Experience Programme will assist young job seekers in particular to develop practical skills, gain workplace experience and better connect them with real jobs</w:t>
            </w:r>
            <w:r>
              <w:rPr>
                <w:rFonts w:cs="Calibri"/>
                <w:lang w:val="en-GB"/>
              </w:rPr>
              <w:t>.</w:t>
            </w:r>
          </w:p>
          <w:p w:rsidR="00A31865" w:rsidRPr="007B406F" w:rsidRDefault="00A31865" w:rsidP="009858BF">
            <w:pPr>
              <w:rPr>
                <w:rFonts w:cs="Calibri"/>
                <w:lang w:val="en-GB"/>
              </w:rPr>
            </w:pPr>
            <w:r w:rsidRPr="00FA5AD3">
              <w:rPr>
                <w:rFonts w:cs="Calibri"/>
                <w:lang w:val="en-GB"/>
              </w:rPr>
              <w:t>The Programme will vary existing unpaid work experience arrangements to provide stronger incentives for employers to offer work experience and employment opportunities to job seekers.</w:t>
            </w:r>
          </w:p>
        </w:tc>
        <w:tc>
          <w:tcPr>
            <w:tcW w:w="6368" w:type="dxa"/>
          </w:tcPr>
          <w:p w:rsidR="00A31865" w:rsidRPr="007B406F" w:rsidRDefault="00A31865" w:rsidP="009858BF">
            <w:pPr>
              <w:rPr>
                <w:rFonts w:cs="Calibri"/>
                <w:lang w:val="en-GB"/>
              </w:rPr>
            </w:pPr>
            <w:r>
              <w:rPr>
                <w:rFonts w:cs="Calibri"/>
                <w:lang w:val="en-GB"/>
              </w:rPr>
              <w:t>The new arrangements ca</w:t>
            </w:r>
            <w:r w:rsidRPr="00FA5AD3">
              <w:rPr>
                <w:rFonts w:cs="Calibri"/>
                <w:lang w:val="en-GB"/>
              </w:rPr>
              <w:t xml:space="preserve">me into effect on 1 October </w:t>
            </w:r>
            <w:r w:rsidRPr="00E91E4E">
              <w:rPr>
                <w:rFonts w:cs="Calibri"/>
                <w:lang w:val="en-GB"/>
              </w:rPr>
              <w:t>2015</w:t>
            </w:r>
            <w:r>
              <w:rPr>
                <w:rFonts w:cs="Calibri"/>
                <w:lang w:val="en-GB"/>
              </w:rPr>
              <w:t>.</w:t>
            </w:r>
          </w:p>
        </w:tc>
      </w:tr>
    </w:tbl>
    <w:p w:rsidR="00343841" w:rsidRDefault="00343841" w:rsidP="008D0B80">
      <w:pPr>
        <w:autoSpaceDE w:val="0"/>
        <w:autoSpaceDN w:val="0"/>
        <w:adjustRightInd w:val="0"/>
        <w:spacing w:after="240"/>
        <w:sectPr w:rsidR="00343841" w:rsidSect="00357C5A">
          <w:headerReference w:type="default" r:id="rId27"/>
          <w:footerReference w:type="default" r:id="rId28"/>
          <w:pgSz w:w="16783" w:h="11850" w:orient="landscape"/>
          <w:pgMar w:top="2835" w:right="1134" w:bottom="1134" w:left="1134" w:header="851" w:footer="992" w:gutter="0"/>
          <w:cols w:space="720"/>
          <w:docGrid w:linePitch="326"/>
        </w:sectPr>
      </w:pPr>
    </w:p>
    <w:p w:rsidR="002E1BB8" w:rsidRDefault="002E1BB8" w:rsidP="005A7EF1">
      <w:pPr>
        <w:pStyle w:val="Heading3"/>
        <w:ind w:hanging="1276"/>
      </w:pPr>
      <w:bookmarkStart w:id="120" w:name="_Toc487182938"/>
      <w:bookmarkStart w:id="121" w:name="_Toc452625243"/>
      <w:bookmarkStart w:id="122" w:name="_Toc458449940"/>
      <w:r w:rsidRPr="005234D1">
        <w:lastRenderedPageBreak/>
        <w:t>Commitment to promote safer and healthier workplaces</w:t>
      </w:r>
      <w:bookmarkEnd w:id="120"/>
      <w:r w:rsidRPr="005234D1">
        <w:t xml:space="preserve"> </w:t>
      </w:r>
      <w:bookmarkEnd w:id="121"/>
      <w:bookmarkEnd w:id="122"/>
    </w:p>
    <w:p w:rsidR="006B7E01" w:rsidRDefault="00D9050E" w:rsidP="00B87D3C">
      <w:pPr>
        <w:ind w:left="-1276"/>
      </w:pPr>
      <w:r>
        <w:t xml:space="preserve">A range of actions taken </w:t>
      </w:r>
      <w:r w:rsidR="006B7E01">
        <w:t xml:space="preserve">under </w:t>
      </w:r>
      <w:r w:rsidR="006B7E01">
        <w:rPr>
          <w:i/>
        </w:rPr>
        <w:t>Australia’s Work Health and Safety Strategy 2012-2022</w:t>
      </w:r>
      <w:r>
        <w:rPr>
          <w:i/>
        </w:rPr>
        <w:t xml:space="preserve"> </w:t>
      </w:r>
      <w:r>
        <w:t xml:space="preserve">are relevant to </w:t>
      </w:r>
      <w:r w:rsidR="006B7E01">
        <w:t xml:space="preserve">the recommendations of </w:t>
      </w:r>
      <w:r>
        <w:t xml:space="preserve">the </w:t>
      </w:r>
      <w:r w:rsidR="006B7E01">
        <w:t>G20 Labour and Employment Ministers set out in the</w:t>
      </w:r>
      <w:r>
        <w:t>ir 2014</w:t>
      </w:r>
      <w:r w:rsidR="006B7E01">
        <w:t xml:space="preserve"> </w:t>
      </w:r>
      <w:r w:rsidR="006A3366" w:rsidRPr="006A3366">
        <w:rPr>
          <w:i/>
        </w:rPr>
        <w:t xml:space="preserve">G20 </w:t>
      </w:r>
      <w:r w:rsidR="006B7E01" w:rsidRPr="006A3366">
        <w:rPr>
          <w:i/>
        </w:rPr>
        <w:t>Statement on Safer and Healthier Workplaces</w:t>
      </w:r>
      <w:r w:rsidR="006B7E01">
        <w:t xml:space="preserve">. </w:t>
      </w:r>
    </w:p>
    <w:p w:rsidR="004E7C2B" w:rsidRDefault="004E7C2B" w:rsidP="00B87D3C">
      <w:pPr>
        <w:ind w:left="-1276"/>
        <w:rPr>
          <w:rFonts w:cs="Calibri"/>
        </w:rPr>
      </w:pPr>
      <w:r w:rsidRPr="00E2237C">
        <w:rPr>
          <w:rFonts w:cs="Calibri"/>
        </w:rPr>
        <w:t xml:space="preserve">Australia has steadily improved its </w:t>
      </w:r>
      <w:r>
        <w:rPr>
          <w:rFonts w:cs="Calibri"/>
        </w:rPr>
        <w:t xml:space="preserve">work health and safety </w:t>
      </w:r>
      <w:r w:rsidRPr="00E2237C">
        <w:rPr>
          <w:rFonts w:cs="Calibri"/>
        </w:rPr>
        <w:t>performance over the last decade</w:t>
      </w:r>
      <w:r w:rsidR="00BF7C30">
        <w:rPr>
          <w:rFonts w:cs="Calibri"/>
        </w:rPr>
        <w:t xml:space="preserve"> (Chart </w:t>
      </w:r>
      <w:r w:rsidR="00F23188">
        <w:rPr>
          <w:rFonts w:cs="Calibri"/>
        </w:rPr>
        <w:t>3</w:t>
      </w:r>
      <w:r w:rsidR="00BF7C30">
        <w:rPr>
          <w:rFonts w:cs="Calibri"/>
        </w:rPr>
        <w:t>)</w:t>
      </w:r>
      <w:r w:rsidRPr="00E2237C">
        <w:rPr>
          <w:rFonts w:cs="Calibri"/>
        </w:rPr>
        <w:t>. Between 2003</w:t>
      </w:r>
      <w:r>
        <w:rPr>
          <w:rFonts w:cs="Calibri"/>
        </w:rPr>
        <w:t> </w:t>
      </w:r>
      <w:r w:rsidRPr="00E2237C">
        <w:rPr>
          <w:rFonts w:cs="Calibri"/>
        </w:rPr>
        <w:t>and 2014</w:t>
      </w:r>
      <w:r>
        <w:rPr>
          <w:rFonts w:cs="Calibri"/>
        </w:rPr>
        <w:t>,</w:t>
      </w:r>
      <w:r w:rsidRPr="00E2237C">
        <w:rPr>
          <w:rFonts w:cs="Calibri"/>
        </w:rPr>
        <w:t xml:space="preserve"> there was a 41 per cent decrease in the incidence rate of traumatic injury fatalities</w:t>
      </w:r>
      <w:r>
        <w:rPr>
          <w:rFonts w:cs="Calibri"/>
        </w:rPr>
        <w:t xml:space="preserve">. </w:t>
      </w:r>
      <w:r w:rsidRPr="00C30C01">
        <w:rPr>
          <w:rFonts w:cs="Calibri"/>
        </w:rPr>
        <w:t xml:space="preserve">The rate of serious workers’ compensation claims for injury and disease has also declined by </w:t>
      </w:r>
      <w:r w:rsidR="00847634">
        <w:rPr>
          <w:rFonts w:cs="Calibri"/>
        </w:rPr>
        <w:br/>
      </w:r>
      <w:r w:rsidRPr="00C30C01">
        <w:rPr>
          <w:rFonts w:cs="Calibri"/>
        </w:rPr>
        <w:t>38 per cent, from 16 claims per 1000 employees in 2000-01 to 10 claims per 1000 employees in 2013-14.</w:t>
      </w:r>
    </w:p>
    <w:p w:rsidR="00876CE9" w:rsidRDefault="00876CE9" w:rsidP="00C442D0">
      <w:pPr>
        <w:pStyle w:val="TableheadingH2"/>
        <w:spacing w:before="240" w:after="0"/>
        <w:ind w:left="-1276"/>
      </w:pPr>
      <w:bookmarkStart w:id="123" w:name="_Toc487182939"/>
      <w:r>
        <w:t xml:space="preserve">Chart </w:t>
      </w:r>
      <w:r w:rsidR="00F23188">
        <w:t>3</w:t>
      </w:r>
      <w:r w:rsidRPr="008B0A24">
        <w:t>: Worker fatalities: number of fatalities and fatality rate, 2003 to 201</w:t>
      </w:r>
      <w:r w:rsidR="00847634">
        <w:t>5</w:t>
      </w:r>
      <w:bookmarkEnd w:id="123"/>
    </w:p>
    <w:p w:rsidR="00C442D0" w:rsidRDefault="00C442D0" w:rsidP="00390730">
      <w:pPr>
        <w:ind w:left="-1276"/>
        <w:jc w:val="center"/>
        <w:rPr>
          <w:b/>
        </w:rPr>
      </w:pPr>
      <w:bookmarkStart w:id="124" w:name="_Toc487182940"/>
      <w:r>
        <w:rPr>
          <w:noProof/>
          <w:lang w:val="en-AU" w:eastAsia="en-AU"/>
        </w:rPr>
        <w:drawing>
          <wp:inline distT="0" distB="0" distL="0" distR="0" wp14:anchorId="23EE531E" wp14:editId="08F75E8C">
            <wp:extent cx="5047615" cy="3028315"/>
            <wp:effectExtent l="0" t="0" r="0" b="0"/>
            <wp:docPr id="6" name="Picture 6" descr="Chart 3: Worker fatalities: number of fatalities and fatality rate, 200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7615" cy="3028315"/>
                    </a:xfrm>
                    <a:prstGeom prst="rect">
                      <a:avLst/>
                    </a:prstGeom>
                    <a:noFill/>
                  </pic:spPr>
                </pic:pic>
              </a:graphicData>
            </a:graphic>
          </wp:inline>
        </w:drawing>
      </w:r>
      <w:bookmarkEnd w:id="124"/>
    </w:p>
    <w:p w:rsidR="00876CE9" w:rsidRPr="0017501D" w:rsidRDefault="00876CE9" w:rsidP="0017501D">
      <w:pPr>
        <w:keepNext/>
        <w:ind w:left="-1260"/>
        <w:rPr>
          <w:noProof/>
          <w:lang w:val="en-AU" w:eastAsia="en-AU"/>
        </w:rPr>
      </w:pPr>
      <w:r w:rsidRPr="00073B6C">
        <w:rPr>
          <w:rFonts w:cs="Calibri"/>
          <w:sz w:val="18"/>
          <w:szCs w:val="18"/>
        </w:rPr>
        <w:t xml:space="preserve">Source: Safe Work Australia, </w:t>
      </w:r>
      <w:r w:rsidRPr="00400890">
        <w:rPr>
          <w:rFonts w:cs="Calibri"/>
          <w:i/>
          <w:sz w:val="18"/>
          <w:szCs w:val="18"/>
        </w:rPr>
        <w:t>Work-related Traumatic Injury Fatalities (unpublished data), Australia</w:t>
      </w:r>
      <w:r w:rsidRPr="00073B6C">
        <w:rPr>
          <w:rFonts w:cs="Calibri"/>
          <w:sz w:val="18"/>
          <w:szCs w:val="18"/>
        </w:rPr>
        <w:t xml:space="preserve">, 2015, </w:t>
      </w:r>
      <w:hyperlink r:id="rId30" w:tgtFrame="_window" w:history="1">
        <w:r w:rsidRPr="00073B6C">
          <w:rPr>
            <w:rFonts w:cs="Calibri"/>
            <w:sz w:val="18"/>
            <w:szCs w:val="18"/>
          </w:rPr>
          <w:t>Notifiable Fatalities Monthly Report December 2015</w:t>
        </w:r>
      </w:hyperlink>
    </w:p>
    <w:p w:rsidR="00843261" w:rsidRDefault="00843261" w:rsidP="00843261"/>
    <w:p w:rsidR="00451F41" w:rsidRDefault="00451F41" w:rsidP="00843261">
      <w:pPr>
        <w:rPr>
          <w:rFonts w:cs="Calibri"/>
          <w:b/>
          <w:bCs/>
        </w:rPr>
        <w:sectPr w:rsidR="00451F41" w:rsidSect="00BB3D98">
          <w:headerReference w:type="default" r:id="rId31"/>
          <w:footerReference w:type="default" r:id="rId32"/>
          <w:pgSz w:w="11906" w:h="16838"/>
          <w:pgMar w:top="2836" w:right="1302" w:bottom="1134" w:left="2441" w:header="708" w:footer="708" w:gutter="0"/>
          <w:cols w:space="708"/>
          <w:docGrid w:linePitch="360"/>
        </w:sectPr>
      </w:pPr>
    </w:p>
    <w:p w:rsidR="007C6E05" w:rsidRDefault="007C6E05" w:rsidP="00C442D0">
      <w:pPr>
        <w:pStyle w:val="Heading3"/>
      </w:pPr>
      <w:bookmarkStart w:id="125" w:name="_Toc487182941"/>
      <w:r>
        <w:lastRenderedPageBreak/>
        <w:t>Key measures introduced in pursuit of safer and healthier workplaces</w:t>
      </w:r>
      <w:bookmarkEnd w:id="125"/>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7229"/>
      </w:tblGrid>
      <w:tr w:rsidR="007C6E05" w:rsidRPr="00C442D0" w:rsidTr="00C442D0">
        <w:trPr>
          <w:tblHeader/>
        </w:trPr>
        <w:tc>
          <w:tcPr>
            <w:tcW w:w="7088" w:type="dxa"/>
            <w:shd w:val="clear" w:color="auto" w:fill="D9D9D9" w:themeFill="background1" w:themeFillShade="D9"/>
          </w:tcPr>
          <w:p w:rsidR="007C6E05" w:rsidRPr="00C442D0" w:rsidRDefault="007C6E05" w:rsidP="00C442D0">
            <w:pPr>
              <w:rPr>
                <w:b/>
              </w:rPr>
            </w:pPr>
            <w:r w:rsidRPr="00C442D0">
              <w:rPr>
                <w:b/>
              </w:rPr>
              <w:t>Policy commitment / description</w:t>
            </w:r>
          </w:p>
        </w:tc>
        <w:tc>
          <w:tcPr>
            <w:tcW w:w="7229" w:type="dxa"/>
            <w:shd w:val="clear" w:color="auto" w:fill="D9D9D9" w:themeFill="background1" w:themeFillShade="D9"/>
          </w:tcPr>
          <w:p w:rsidR="007C6E05" w:rsidRPr="00C442D0" w:rsidRDefault="007C6E05" w:rsidP="00C442D0">
            <w:pPr>
              <w:rPr>
                <w:b/>
              </w:rPr>
            </w:pPr>
            <w:r w:rsidRPr="00C442D0">
              <w:rPr>
                <w:b/>
              </w:rPr>
              <w:t>Status of implementation and results achieved</w:t>
            </w:r>
          </w:p>
        </w:tc>
      </w:tr>
      <w:tr w:rsidR="007C6E05" w:rsidRPr="000C2093" w:rsidTr="00C83857">
        <w:trPr>
          <w:trHeight w:val="145"/>
        </w:trPr>
        <w:tc>
          <w:tcPr>
            <w:tcW w:w="14317" w:type="dxa"/>
            <w:gridSpan w:val="2"/>
            <w:shd w:val="clear" w:color="auto" w:fill="F2F2F2" w:themeFill="background1" w:themeFillShade="F2"/>
            <w:vAlign w:val="center"/>
          </w:tcPr>
          <w:p w:rsidR="007C6E05" w:rsidRPr="00C83857" w:rsidRDefault="007C6E05" w:rsidP="000C2093">
            <w:pPr>
              <w:rPr>
                <w:rFonts w:cs="Calibri"/>
                <w:bCs/>
                <w:i/>
                <w:lang w:val="en-GB" w:eastAsia="tr-TR"/>
              </w:rPr>
            </w:pPr>
            <w:r w:rsidRPr="00C83857">
              <w:rPr>
                <w:rFonts w:cs="Calibri"/>
                <w:bCs/>
                <w:i/>
                <w:lang w:val="en-GB" w:eastAsia="tr-TR"/>
              </w:rPr>
              <w:t>Ongoing assessments and effective incentives and advisory services provided by national safety and health bodies</w:t>
            </w:r>
          </w:p>
        </w:tc>
      </w:tr>
      <w:tr w:rsidR="007C6E05" w:rsidRPr="007B406F" w:rsidTr="0032638E">
        <w:trPr>
          <w:trHeight w:val="1298"/>
        </w:trPr>
        <w:tc>
          <w:tcPr>
            <w:tcW w:w="7088" w:type="dxa"/>
          </w:tcPr>
          <w:p w:rsidR="007C6E05" w:rsidRDefault="007C6E05" w:rsidP="00843261">
            <w:r>
              <w:t xml:space="preserve">Australia has a range of </w:t>
            </w:r>
            <w:r w:rsidR="00D9050E">
              <w:t>work health and safety (</w:t>
            </w:r>
            <w:r>
              <w:t>WHS</w:t>
            </w:r>
            <w:r w:rsidR="00D9050E">
              <w:t>)</w:t>
            </w:r>
            <w:r>
              <w:t xml:space="preserve"> bodies focused on providing advice and guidance to worker and employers to improve </w:t>
            </w:r>
            <w:r w:rsidR="000679F2">
              <w:t>WHS</w:t>
            </w:r>
            <w:r>
              <w:t xml:space="preserve"> outcomes. </w:t>
            </w:r>
          </w:p>
          <w:p w:rsidR="007C6E05" w:rsidRPr="007B406F" w:rsidRDefault="007C6E05" w:rsidP="00843261">
            <w:pPr>
              <w:rPr>
                <w:lang w:val="en-GB"/>
              </w:rPr>
            </w:pPr>
          </w:p>
        </w:tc>
        <w:tc>
          <w:tcPr>
            <w:tcW w:w="7229" w:type="dxa"/>
          </w:tcPr>
          <w:p w:rsidR="007C6E05" w:rsidRPr="008D1F7A" w:rsidRDefault="00D9050E" w:rsidP="0032638E">
            <w:pPr>
              <w:rPr>
                <w:u w:val="single"/>
              </w:rPr>
            </w:pPr>
            <w:r>
              <w:t xml:space="preserve">In addition to Safe Work Australia, which leads the development of national policy to improve </w:t>
            </w:r>
            <w:r w:rsidR="0032638E">
              <w:t xml:space="preserve">WHS </w:t>
            </w:r>
            <w:r>
              <w:t>and workers’ compensation arrangements,</w:t>
            </w:r>
            <w:r>
              <w:rPr>
                <w:rFonts w:ascii="Verdana" w:hAnsi="Verdana" w:cs="Arial"/>
                <w:color w:val="464646"/>
                <w:sz w:val="29"/>
                <w:szCs w:val="29"/>
              </w:rPr>
              <w:t xml:space="preserve"> </w:t>
            </w:r>
            <w:r>
              <w:t>there are a range of safety regulators responsible for specific industries (including mining, maritime, cons</w:t>
            </w:r>
            <w:r w:rsidR="00C83857">
              <w:t>truction, road, rail and air) and</w:t>
            </w:r>
            <w:r>
              <w:t xml:space="preserve"> specific issues (such as regulation of hazardous chemicals, explosives and asbestos). </w:t>
            </w:r>
          </w:p>
        </w:tc>
      </w:tr>
      <w:tr w:rsidR="004621B8" w:rsidRPr="007B406F" w:rsidTr="00C83857">
        <w:trPr>
          <w:trHeight w:val="64"/>
        </w:trPr>
        <w:tc>
          <w:tcPr>
            <w:tcW w:w="14317" w:type="dxa"/>
            <w:gridSpan w:val="2"/>
            <w:shd w:val="clear" w:color="auto" w:fill="F2F2F2" w:themeFill="background1" w:themeFillShade="F2"/>
            <w:vAlign w:val="center"/>
          </w:tcPr>
          <w:p w:rsidR="004621B8" w:rsidRPr="00C83857" w:rsidRDefault="004621B8" w:rsidP="00963F24">
            <w:pPr>
              <w:shd w:val="clear" w:color="auto" w:fill="F2F2F2" w:themeFill="background1" w:themeFillShade="F2"/>
              <w:rPr>
                <w:rFonts w:cs="Calibri"/>
                <w:i/>
                <w:lang w:val="en-GB"/>
              </w:rPr>
            </w:pPr>
            <w:r w:rsidRPr="00C83857">
              <w:rPr>
                <w:rFonts w:cs="Calibri"/>
                <w:i/>
                <w:lang w:val="en-GB"/>
              </w:rPr>
              <w:t>Strengthened legislation and resource for prevention and compensation, training, compliance assistance and enforcement efforts</w:t>
            </w:r>
          </w:p>
        </w:tc>
      </w:tr>
      <w:tr w:rsidR="007C6E05" w:rsidRPr="007B406F" w:rsidTr="00C83857">
        <w:trPr>
          <w:trHeight w:val="795"/>
        </w:trPr>
        <w:tc>
          <w:tcPr>
            <w:tcW w:w="7088" w:type="dxa"/>
            <w:shd w:val="clear" w:color="auto" w:fill="auto"/>
          </w:tcPr>
          <w:p w:rsidR="007C6E05" w:rsidRPr="00D709C3" w:rsidRDefault="005108EC" w:rsidP="00D709C3">
            <w:pPr>
              <w:shd w:val="clear" w:color="auto" w:fill="FFFFFF" w:themeFill="background1"/>
              <w:rPr>
                <w:rFonts w:asciiTheme="minorHAnsi" w:hAnsiTheme="minorHAnsi" w:cstheme="minorHAnsi"/>
              </w:rPr>
            </w:pPr>
            <w:r w:rsidRPr="00D709C3">
              <w:rPr>
                <w:rFonts w:asciiTheme="minorHAnsi" w:hAnsiTheme="minorHAnsi" w:cstheme="minorHAnsi"/>
              </w:rPr>
              <w:t xml:space="preserve">The </w:t>
            </w:r>
            <w:r w:rsidR="007C6E05" w:rsidRPr="00D709C3">
              <w:rPr>
                <w:rFonts w:asciiTheme="minorHAnsi" w:hAnsiTheme="minorHAnsi" w:cstheme="minorHAnsi"/>
                <w:i/>
              </w:rPr>
              <w:t>Inter-Governmental</w:t>
            </w:r>
            <w:r w:rsidR="007C6E05" w:rsidRPr="00D709C3">
              <w:rPr>
                <w:rFonts w:asciiTheme="minorHAnsi" w:hAnsiTheme="minorHAnsi" w:cstheme="minorHAnsi"/>
              </w:rPr>
              <w:t xml:space="preserve"> </w:t>
            </w:r>
            <w:r w:rsidR="007C6E05" w:rsidRPr="00D709C3">
              <w:rPr>
                <w:rFonts w:asciiTheme="minorHAnsi" w:hAnsiTheme="minorHAnsi" w:cstheme="minorHAnsi"/>
                <w:i/>
                <w:lang w:val="en-GB"/>
              </w:rPr>
              <w:t>Agreement for Regulatory and Operational Reform in Occupational Health and Safety</w:t>
            </w:r>
            <w:r w:rsidR="00D9050E" w:rsidRPr="00D709C3">
              <w:rPr>
                <w:rFonts w:asciiTheme="minorHAnsi" w:hAnsiTheme="minorHAnsi" w:cstheme="minorHAnsi"/>
              </w:rPr>
              <w:t xml:space="preserve">, which was adopted in 2008, </w:t>
            </w:r>
            <w:r w:rsidR="007C6E05" w:rsidRPr="00D709C3">
              <w:rPr>
                <w:rFonts w:asciiTheme="minorHAnsi" w:hAnsiTheme="minorHAnsi" w:cstheme="minorHAnsi"/>
              </w:rPr>
              <w:t>committed all states, territories and the Commonwealth to adopt uniform WHS laws comprised of a model Act, supported by model Regulations and Codes of Practice complemented by a nationally consistent approach to compliance and enforcement by December 2011.</w:t>
            </w:r>
          </w:p>
        </w:tc>
        <w:tc>
          <w:tcPr>
            <w:tcW w:w="7229" w:type="dxa"/>
          </w:tcPr>
          <w:p w:rsidR="00352EFA" w:rsidRDefault="007C6E05" w:rsidP="0032638E">
            <w:r>
              <w:t>The model WHS laws commenced in the Commonwealth, New South Wales, Queensland, the Northern Territory and the Australian Capi</w:t>
            </w:r>
            <w:r w:rsidR="00352EFA">
              <w:t xml:space="preserve">tal Territory on </w:t>
            </w:r>
            <w:r w:rsidR="00847634">
              <w:br/>
            </w:r>
            <w:r w:rsidR="00352EFA">
              <w:t xml:space="preserve">1 January 2012, and in </w:t>
            </w:r>
            <w:r>
              <w:t>in Tasmania and South Australia on 1 January 2013.</w:t>
            </w:r>
            <w:r w:rsidR="00352EFA">
              <w:t xml:space="preserve"> </w:t>
            </w:r>
            <w:r>
              <w:t xml:space="preserve">Western Australia and Victoria have yet to implement the model WHS </w:t>
            </w:r>
            <w:r w:rsidR="004621B8">
              <w:t>framework</w:t>
            </w:r>
            <w:r w:rsidR="000679F2">
              <w:t>.</w:t>
            </w:r>
            <w:r w:rsidR="004621B8">
              <w:t xml:space="preserve"> </w:t>
            </w:r>
            <w:r w:rsidR="000679F2">
              <w:t>H</w:t>
            </w:r>
            <w:r w:rsidR="004621B8">
              <w:t>owever</w:t>
            </w:r>
            <w:r w:rsidR="000679F2">
              <w:t>,</w:t>
            </w:r>
            <w:r w:rsidR="004621B8">
              <w:t xml:space="preserve"> in both</w:t>
            </w:r>
            <w:r>
              <w:t xml:space="preserve"> jurisdictions </w:t>
            </w:r>
            <w:r w:rsidR="000679F2">
              <w:t>WHS</w:t>
            </w:r>
            <w:r>
              <w:t xml:space="preserve"> </w:t>
            </w:r>
            <w:proofErr w:type="gramStart"/>
            <w:r>
              <w:t>is govern</w:t>
            </w:r>
            <w:r w:rsidR="00C442D0">
              <w:t>ed</w:t>
            </w:r>
            <w:proofErr w:type="gramEnd"/>
            <w:r w:rsidR="00C442D0">
              <w:t xml:space="preserve"> by a similar system of laws.</w:t>
            </w:r>
          </w:p>
          <w:p w:rsidR="007C6E05" w:rsidRPr="007B406F" w:rsidRDefault="00D9050E" w:rsidP="000679F2">
            <w:pPr>
              <w:rPr>
                <w:rFonts w:cs="Calibri"/>
                <w:lang w:val="en-GB"/>
              </w:rPr>
            </w:pPr>
            <w:r>
              <w:t xml:space="preserve">In 2014 and 2015, </w:t>
            </w:r>
            <w:r w:rsidR="000679F2">
              <w:t>the federal</w:t>
            </w:r>
            <w:r>
              <w:t>, state and territory governments agreed to a number of changes to improve the model WHS laws, in particular, to reduce their regulatory burden on business. These changes to the model WHS laws were made on 21 March 2016 are now to be implemented by each jurisdiction that has adopted the model laws.</w:t>
            </w:r>
          </w:p>
        </w:tc>
      </w:tr>
      <w:tr w:rsidR="007C6E05" w:rsidRPr="007B406F" w:rsidTr="00C83857">
        <w:trPr>
          <w:trHeight w:val="827"/>
        </w:trPr>
        <w:tc>
          <w:tcPr>
            <w:tcW w:w="7088" w:type="dxa"/>
            <w:tcBorders>
              <w:top w:val="single" w:sz="4" w:space="0" w:color="auto"/>
              <w:left w:val="single" w:sz="4" w:space="0" w:color="auto"/>
              <w:bottom w:val="single" w:sz="4" w:space="0" w:color="auto"/>
              <w:right w:val="single" w:sz="4" w:space="0" w:color="auto"/>
            </w:tcBorders>
            <w:shd w:val="clear" w:color="auto" w:fill="auto"/>
          </w:tcPr>
          <w:p w:rsidR="007C6E05" w:rsidRPr="007C35F0" w:rsidRDefault="00D9050E" w:rsidP="007C35F0">
            <w:r w:rsidRPr="007C35F0">
              <w:t xml:space="preserve">Australian WHS laws are supported by Codes of Practice and non-statutory guidance material to assist duty holders with compliance. </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7C6E05" w:rsidRPr="007C35F0" w:rsidRDefault="00D9050E" w:rsidP="0032638E">
            <w:r w:rsidRPr="007C35F0">
              <w:t xml:space="preserve">SWA is responsible for producing these documents and ensuring that they are clear and practical. SWA </w:t>
            </w:r>
            <w:r w:rsidR="00352EFA" w:rsidRPr="007C35F0">
              <w:t xml:space="preserve">has recently </w:t>
            </w:r>
            <w:r w:rsidRPr="007C35F0">
              <w:t xml:space="preserve">revised the Model Codes of Practice for a range </w:t>
            </w:r>
            <w:r w:rsidR="00352EFA" w:rsidRPr="007C35F0">
              <w:t xml:space="preserve">of work practices. </w:t>
            </w:r>
          </w:p>
        </w:tc>
      </w:tr>
      <w:tr w:rsidR="00382DE2" w:rsidRPr="007B406F" w:rsidTr="0057399D">
        <w:trPr>
          <w:trHeight w:val="270"/>
        </w:trPr>
        <w:tc>
          <w:tcPr>
            <w:tcW w:w="7088" w:type="dxa"/>
            <w:tcBorders>
              <w:top w:val="single" w:sz="4" w:space="0" w:color="auto"/>
              <w:left w:val="single" w:sz="4" w:space="0" w:color="auto"/>
              <w:bottom w:val="single" w:sz="4" w:space="0" w:color="auto"/>
              <w:right w:val="single" w:sz="4" w:space="0" w:color="auto"/>
            </w:tcBorders>
            <w:shd w:val="clear" w:color="auto" w:fill="auto"/>
          </w:tcPr>
          <w:p w:rsidR="00382DE2" w:rsidRPr="00CD78FD" w:rsidRDefault="00382DE2" w:rsidP="006542FA">
            <w:r w:rsidRPr="00CD78FD">
              <w:t>Australia will commence a review of the 29 types of high risk work activities that require a license under the model WHS Regulations.</w:t>
            </w:r>
          </w:p>
        </w:tc>
        <w:tc>
          <w:tcPr>
            <w:tcW w:w="7229" w:type="dxa"/>
            <w:tcBorders>
              <w:top w:val="single" w:sz="4" w:space="0" w:color="auto"/>
              <w:left w:val="single" w:sz="4" w:space="0" w:color="auto"/>
              <w:right w:val="single" w:sz="4" w:space="0" w:color="auto"/>
            </w:tcBorders>
            <w:shd w:val="clear" w:color="auto" w:fill="auto"/>
          </w:tcPr>
          <w:p w:rsidR="00382DE2" w:rsidRDefault="00382DE2" w:rsidP="0032638E">
            <w:r w:rsidRPr="00CD78FD">
              <w:t>This review is scheduled to commence in 2017.</w:t>
            </w:r>
          </w:p>
        </w:tc>
      </w:tr>
      <w:tr w:rsidR="00382DE2" w:rsidRPr="007B406F" w:rsidTr="0057399D">
        <w:trPr>
          <w:trHeight w:val="270"/>
        </w:trPr>
        <w:tc>
          <w:tcPr>
            <w:tcW w:w="7088" w:type="dxa"/>
            <w:tcBorders>
              <w:top w:val="single" w:sz="4" w:space="0" w:color="auto"/>
              <w:left w:val="single" w:sz="4" w:space="0" w:color="auto"/>
              <w:bottom w:val="single" w:sz="4" w:space="0" w:color="auto"/>
              <w:right w:val="single" w:sz="4" w:space="0" w:color="auto"/>
            </w:tcBorders>
            <w:shd w:val="clear" w:color="auto" w:fill="auto"/>
          </w:tcPr>
          <w:p w:rsidR="00382DE2" w:rsidRPr="00CD78FD" w:rsidRDefault="0069684D" w:rsidP="00310C4B">
            <w:r w:rsidRPr="0069684D">
              <w:lastRenderedPageBreak/>
              <w:t>The Australian Government Building and Construction WHS Accreditation Scheme</w:t>
            </w:r>
          </w:p>
        </w:tc>
        <w:tc>
          <w:tcPr>
            <w:tcW w:w="7229" w:type="dxa"/>
            <w:tcBorders>
              <w:left w:val="single" w:sz="4" w:space="0" w:color="auto"/>
              <w:bottom w:val="single" w:sz="4" w:space="0" w:color="auto"/>
              <w:right w:val="single" w:sz="4" w:space="0" w:color="auto"/>
            </w:tcBorders>
            <w:shd w:val="clear" w:color="auto" w:fill="auto"/>
          </w:tcPr>
          <w:p w:rsidR="00382DE2" w:rsidRPr="00D66082" w:rsidRDefault="00F72444" w:rsidP="0032638E">
            <w:pPr>
              <w:spacing w:after="240"/>
            </w:pPr>
            <w:r>
              <w:rPr>
                <w:rFonts w:cs="Calibri"/>
                <w:lang w:val="en"/>
              </w:rPr>
              <w:t>Over</w:t>
            </w:r>
            <w:r w:rsidR="00653925">
              <w:rPr>
                <w:rFonts w:cs="Calibri"/>
                <w:lang w:val="en"/>
              </w:rPr>
              <w:t xml:space="preserve"> 400 companies, representing around </w:t>
            </w:r>
            <w:r w:rsidR="00FD3585">
              <w:rPr>
                <w:rFonts w:cs="Calibri"/>
                <w:lang w:val="en"/>
              </w:rPr>
              <w:t>5</w:t>
            </w:r>
            <w:r w:rsidR="00653925">
              <w:rPr>
                <w:rFonts w:cs="Calibri"/>
                <w:lang w:val="en"/>
              </w:rPr>
              <w:t xml:space="preserve">0 per cent of </w:t>
            </w:r>
            <w:r w:rsidR="0032638E">
              <w:rPr>
                <w:rFonts w:cs="Calibri"/>
                <w:lang w:val="en"/>
              </w:rPr>
              <w:t xml:space="preserve">construction </w:t>
            </w:r>
            <w:r w:rsidR="00653925">
              <w:rPr>
                <w:rFonts w:cs="Calibri"/>
                <w:lang w:val="en"/>
              </w:rPr>
              <w:t>industry turnover, have been accredited</w:t>
            </w:r>
            <w:r>
              <w:rPr>
                <w:rFonts w:cs="Calibri"/>
                <w:lang w:val="en"/>
              </w:rPr>
              <w:t xml:space="preserve"> by the Office of the Federal Safety Commissioner</w:t>
            </w:r>
            <w:r w:rsidR="00C713A5">
              <w:rPr>
                <w:rFonts w:cs="Calibri"/>
                <w:lang w:val="en"/>
              </w:rPr>
              <w:t>, leading to safety improvements across the industry.</w:t>
            </w:r>
          </w:p>
        </w:tc>
      </w:tr>
      <w:tr w:rsidR="004621B8" w:rsidRPr="007B406F" w:rsidTr="00C83857">
        <w:trPr>
          <w:trHeight w:val="64"/>
        </w:trPr>
        <w:tc>
          <w:tcPr>
            <w:tcW w:w="143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621B8" w:rsidRPr="00C83857" w:rsidRDefault="004621B8" w:rsidP="00963F24">
            <w:pPr>
              <w:shd w:val="clear" w:color="auto" w:fill="F2F2F2" w:themeFill="background1" w:themeFillShade="F2"/>
              <w:rPr>
                <w:rFonts w:cs="Calibri"/>
                <w:i/>
                <w:lang w:val="en-GB"/>
              </w:rPr>
            </w:pPr>
            <w:r w:rsidRPr="00C83857">
              <w:rPr>
                <w:rFonts w:cs="Calibri"/>
                <w:i/>
                <w:lang w:val="en-GB"/>
              </w:rPr>
              <w:t>Improved data collection and use of empirical data to inform program design and effectively target enforcement and outreach efforts</w:t>
            </w:r>
          </w:p>
        </w:tc>
      </w:tr>
      <w:tr w:rsidR="007C6E05" w:rsidRPr="007B406F" w:rsidTr="00C83857">
        <w:trPr>
          <w:trHeight w:val="1701"/>
        </w:trPr>
        <w:tc>
          <w:tcPr>
            <w:tcW w:w="7088" w:type="dxa"/>
            <w:tcBorders>
              <w:top w:val="single" w:sz="4" w:space="0" w:color="auto"/>
              <w:left w:val="single" w:sz="4" w:space="0" w:color="auto"/>
              <w:bottom w:val="single" w:sz="4" w:space="0" w:color="auto"/>
              <w:right w:val="single" w:sz="4" w:space="0" w:color="auto"/>
            </w:tcBorders>
          </w:tcPr>
          <w:p w:rsidR="007C6E05" w:rsidRPr="0050437E" w:rsidRDefault="007C6E05" w:rsidP="0050437E">
            <w:pPr>
              <w:shd w:val="clear" w:color="auto" w:fill="FFFFFF" w:themeFill="background1"/>
              <w:spacing w:after="240"/>
              <w:rPr>
                <w:rFonts w:asciiTheme="minorHAnsi" w:hAnsiTheme="minorHAnsi" w:cstheme="minorHAnsi"/>
              </w:rPr>
            </w:pPr>
            <w:r>
              <w:rPr>
                <w:rFonts w:asciiTheme="minorHAnsi" w:hAnsiTheme="minorHAnsi" w:cstheme="minorHAnsi"/>
              </w:rPr>
              <w:t xml:space="preserve">A key objective for the Australian Government is to have high quality nationally significant work health and safety and workers’ compensation data. This data collection work is undertaken by SWA under its </w:t>
            </w:r>
            <w:r>
              <w:rPr>
                <w:rFonts w:asciiTheme="minorHAnsi" w:hAnsiTheme="minorHAnsi" w:cstheme="minorHAnsi"/>
                <w:i/>
              </w:rPr>
              <w:t>Research, Evaluation and Data Strategy 2013-2017</w:t>
            </w:r>
            <w:r w:rsidR="0050437E">
              <w:rPr>
                <w:rFonts w:asciiTheme="minorHAnsi" w:hAnsiTheme="minorHAnsi" w:cstheme="minorHAnsi"/>
              </w:rPr>
              <w:t>.</w:t>
            </w:r>
          </w:p>
        </w:tc>
        <w:tc>
          <w:tcPr>
            <w:tcW w:w="7229" w:type="dxa"/>
            <w:tcBorders>
              <w:top w:val="single" w:sz="4" w:space="0" w:color="auto"/>
              <w:left w:val="single" w:sz="4" w:space="0" w:color="auto"/>
              <w:bottom w:val="single" w:sz="4" w:space="0" w:color="auto"/>
              <w:right w:val="single" w:sz="4" w:space="0" w:color="auto"/>
            </w:tcBorders>
          </w:tcPr>
          <w:p w:rsidR="00352EFA" w:rsidRPr="00F93FFC" w:rsidRDefault="00352EFA" w:rsidP="0032638E">
            <w:pPr>
              <w:shd w:val="clear" w:color="auto" w:fill="FFFFFF" w:themeFill="background1"/>
              <w:spacing w:after="240"/>
              <w:rPr>
                <w:rFonts w:asciiTheme="minorHAnsi" w:hAnsiTheme="minorHAnsi" w:cstheme="minorHAnsi"/>
              </w:rPr>
            </w:pPr>
            <w:r>
              <w:rPr>
                <w:rFonts w:asciiTheme="minorHAnsi" w:hAnsiTheme="minorHAnsi" w:cstheme="minorHAnsi"/>
              </w:rPr>
              <w:t>The SWA undertakes data collection work and publishes a range of statistical reports.</w:t>
            </w:r>
          </w:p>
          <w:p w:rsidR="007C6E05" w:rsidRPr="00DC7EAD" w:rsidRDefault="007C6E05" w:rsidP="0032638E">
            <w:pPr>
              <w:shd w:val="clear" w:color="auto" w:fill="FFFFFF" w:themeFill="background1"/>
              <w:rPr>
                <w:rFonts w:asciiTheme="minorHAnsi" w:hAnsiTheme="minorHAnsi" w:cstheme="minorHAnsi"/>
              </w:rPr>
            </w:pPr>
            <w:r>
              <w:rPr>
                <w:rFonts w:asciiTheme="minorHAnsi" w:hAnsiTheme="minorHAnsi" w:cstheme="minorHAnsi"/>
              </w:rPr>
              <w:t>In 2016, a key data collection project will be a survey examining the cost of compliance with Australia’s model work health and safety laws.</w:t>
            </w:r>
            <w:r w:rsidR="00C83857">
              <w:rPr>
                <w:rFonts w:asciiTheme="minorHAnsi" w:hAnsiTheme="minorHAnsi" w:cstheme="minorHAnsi"/>
              </w:rPr>
              <w:t xml:space="preserve"> </w:t>
            </w:r>
            <w:r>
              <w:rPr>
                <w:rFonts w:asciiTheme="minorHAnsi" w:hAnsiTheme="minorHAnsi" w:cstheme="minorHAnsi"/>
              </w:rPr>
              <w:t xml:space="preserve">SWA’s chemical databases will </w:t>
            </w:r>
            <w:r w:rsidR="00352EFA">
              <w:rPr>
                <w:rFonts w:asciiTheme="minorHAnsi" w:hAnsiTheme="minorHAnsi" w:cstheme="minorHAnsi"/>
              </w:rPr>
              <w:t xml:space="preserve">also </w:t>
            </w:r>
            <w:r>
              <w:rPr>
                <w:rFonts w:asciiTheme="minorHAnsi" w:hAnsiTheme="minorHAnsi" w:cstheme="minorHAnsi"/>
              </w:rPr>
              <w:t xml:space="preserve">be updated to reflect the outcomes of the National Industrial Chemical Notification and Assessment Scheme’s Inventory Multi-tiered Assessment and Prioritisation program. </w:t>
            </w:r>
          </w:p>
        </w:tc>
      </w:tr>
      <w:tr w:rsidR="004621B8" w:rsidRPr="007B406F" w:rsidTr="00C83857">
        <w:trPr>
          <w:trHeight w:val="311"/>
        </w:trPr>
        <w:tc>
          <w:tcPr>
            <w:tcW w:w="143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621B8" w:rsidRPr="00C83857" w:rsidRDefault="0027282F" w:rsidP="0032638E">
            <w:pPr>
              <w:shd w:val="clear" w:color="auto" w:fill="F2F2F2" w:themeFill="background1" w:themeFillShade="F2"/>
              <w:rPr>
                <w:rFonts w:cs="Calibri"/>
                <w:i/>
                <w:lang w:val="en-GB"/>
              </w:rPr>
            </w:pPr>
            <w:r>
              <w:br w:type="page"/>
            </w:r>
            <w:r w:rsidR="004621B8" w:rsidRPr="00C83857">
              <w:rPr>
                <w:rFonts w:cs="Calibri"/>
                <w:i/>
                <w:lang w:val="en-GB"/>
              </w:rPr>
              <w:t xml:space="preserve">Action taken to improve OSH conditions for vulnerable workers and in high-risk sectors </w:t>
            </w:r>
          </w:p>
        </w:tc>
      </w:tr>
      <w:tr w:rsidR="007C6E05" w:rsidRPr="007B406F" w:rsidTr="00C83857">
        <w:trPr>
          <w:trHeight w:val="1366"/>
        </w:trPr>
        <w:tc>
          <w:tcPr>
            <w:tcW w:w="7088" w:type="dxa"/>
            <w:tcBorders>
              <w:top w:val="single" w:sz="4" w:space="0" w:color="auto"/>
              <w:left w:val="single" w:sz="4" w:space="0" w:color="auto"/>
              <w:bottom w:val="single" w:sz="4" w:space="0" w:color="auto"/>
              <w:right w:val="single" w:sz="4" w:space="0" w:color="auto"/>
            </w:tcBorders>
          </w:tcPr>
          <w:p w:rsidR="007C6E05" w:rsidRDefault="007C6E05" w:rsidP="008F13BE">
            <w:pPr>
              <w:shd w:val="clear" w:color="auto" w:fill="FFFFFF" w:themeFill="background1"/>
              <w:rPr>
                <w:rFonts w:asciiTheme="minorHAnsi" w:hAnsiTheme="minorHAnsi" w:cstheme="minorHAnsi"/>
              </w:rPr>
            </w:pPr>
            <w:r>
              <w:rPr>
                <w:rFonts w:asciiTheme="minorHAnsi" w:hAnsiTheme="minorHAnsi" w:cstheme="minorHAnsi"/>
              </w:rPr>
              <w:t xml:space="preserve">Young workers have been identified as one of the groups of vulnerable workers under </w:t>
            </w:r>
            <w:r w:rsidR="00352EFA">
              <w:rPr>
                <w:rFonts w:asciiTheme="minorHAnsi" w:hAnsiTheme="minorHAnsi" w:cstheme="minorHAnsi"/>
                <w:i/>
              </w:rPr>
              <w:t>Australia’s Work Health and Safety Strategy 2012-2022</w:t>
            </w:r>
            <w:r>
              <w:rPr>
                <w:rFonts w:asciiTheme="minorHAnsi" w:hAnsiTheme="minorHAnsi" w:cstheme="minorHAnsi"/>
              </w:rPr>
              <w:t>.</w:t>
            </w:r>
          </w:p>
          <w:p w:rsidR="007C6E05" w:rsidRPr="00745EBF" w:rsidRDefault="007C6E05" w:rsidP="00352EFA">
            <w:pPr>
              <w:shd w:val="clear" w:color="auto" w:fill="FFFFFF" w:themeFill="background1"/>
              <w:rPr>
                <w:rFonts w:asciiTheme="minorHAnsi" w:hAnsiTheme="minorHAnsi" w:cstheme="minorHAnsi"/>
              </w:rPr>
            </w:pPr>
          </w:p>
        </w:tc>
        <w:tc>
          <w:tcPr>
            <w:tcW w:w="7229" w:type="dxa"/>
            <w:tcBorders>
              <w:top w:val="single" w:sz="4" w:space="0" w:color="auto"/>
              <w:left w:val="single" w:sz="4" w:space="0" w:color="auto"/>
              <w:right w:val="single" w:sz="4" w:space="0" w:color="auto"/>
            </w:tcBorders>
          </w:tcPr>
          <w:p w:rsidR="007C6E05" w:rsidRPr="00DC7EAD" w:rsidRDefault="007C6E05" w:rsidP="0032638E">
            <w:pPr>
              <w:shd w:val="clear" w:color="auto" w:fill="FFFFFF" w:themeFill="background1"/>
              <w:rPr>
                <w:rFonts w:asciiTheme="minorHAnsi" w:hAnsiTheme="minorHAnsi" w:cstheme="minorHAnsi"/>
              </w:rPr>
            </w:pPr>
            <w:r w:rsidRPr="00DC7EAD">
              <w:rPr>
                <w:rFonts w:asciiTheme="minorHAnsi" w:hAnsiTheme="minorHAnsi" w:cstheme="minorHAnsi"/>
              </w:rPr>
              <w:t>SWA is working with regulators and industry to find practical ways to raise awareness in young workers of the hazards they face in the workplace on a daily basis.</w:t>
            </w:r>
            <w:r w:rsidR="00352EFA">
              <w:rPr>
                <w:rFonts w:asciiTheme="minorHAnsi" w:hAnsiTheme="minorHAnsi" w:cstheme="minorHAnsi"/>
              </w:rPr>
              <w:t xml:space="preserve"> For instance, </w:t>
            </w:r>
            <w:r w:rsidR="00C83857">
              <w:rPr>
                <w:rFonts w:asciiTheme="minorHAnsi" w:hAnsiTheme="minorHAnsi" w:cstheme="minorHAnsi"/>
              </w:rPr>
              <w:t>a project to improve the capabilities of young workers and their supervisors in the construction industry is a priority for 2016</w:t>
            </w:r>
            <w:r w:rsidR="00352EFA">
              <w:rPr>
                <w:rFonts w:asciiTheme="minorHAnsi" w:hAnsiTheme="minorHAnsi" w:cstheme="minorHAnsi"/>
              </w:rPr>
              <w:t>.</w:t>
            </w:r>
          </w:p>
        </w:tc>
      </w:tr>
      <w:tr w:rsidR="007C6E05" w:rsidRPr="007B406F" w:rsidTr="00C83857">
        <w:trPr>
          <w:trHeight w:val="690"/>
        </w:trPr>
        <w:tc>
          <w:tcPr>
            <w:tcW w:w="7088" w:type="dxa"/>
            <w:tcBorders>
              <w:top w:val="single" w:sz="4" w:space="0" w:color="auto"/>
              <w:left w:val="single" w:sz="4" w:space="0" w:color="auto"/>
              <w:bottom w:val="single" w:sz="4" w:space="0" w:color="auto"/>
              <w:right w:val="single" w:sz="4" w:space="0" w:color="auto"/>
            </w:tcBorders>
          </w:tcPr>
          <w:p w:rsidR="007C6E05" w:rsidRDefault="00C10483" w:rsidP="008F13BE">
            <w:pPr>
              <w:shd w:val="clear" w:color="auto" w:fill="FFFFFF" w:themeFill="background1"/>
              <w:rPr>
                <w:rFonts w:asciiTheme="minorHAnsi" w:hAnsiTheme="minorHAnsi" w:cstheme="minorHAnsi"/>
              </w:rPr>
            </w:pPr>
            <w:r>
              <w:rPr>
                <w:rFonts w:asciiTheme="minorHAnsi" w:hAnsiTheme="minorHAnsi" w:cstheme="minorHAnsi"/>
              </w:rPr>
              <w:t xml:space="preserve">In </w:t>
            </w:r>
            <w:r w:rsidR="00352EFA">
              <w:rPr>
                <w:rFonts w:asciiTheme="minorHAnsi" w:hAnsiTheme="minorHAnsi" w:cstheme="minorHAnsi"/>
                <w:i/>
              </w:rPr>
              <w:t>Australia’s Work Health and Safety Strategy 2012-2022</w:t>
            </w:r>
            <w:r>
              <w:rPr>
                <w:rFonts w:asciiTheme="minorHAnsi" w:hAnsiTheme="minorHAnsi" w:cstheme="minorHAnsi"/>
              </w:rPr>
              <w:t>,</w:t>
            </w:r>
            <w:r w:rsidR="007C6E05" w:rsidRPr="00DC7EAD">
              <w:rPr>
                <w:rFonts w:asciiTheme="minorHAnsi" w:hAnsiTheme="minorHAnsi" w:cstheme="minorHAnsi"/>
              </w:rPr>
              <w:t xml:space="preserve"> the agriculture and road transport industries </w:t>
            </w:r>
            <w:r>
              <w:rPr>
                <w:rFonts w:asciiTheme="minorHAnsi" w:hAnsiTheme="minorHAnsi" w:cstheme="minorHAnsi"/>
              </w:rPr>
              <w:t xml:space="preserve">are </w:t>
            </w:r>
            <w:r w:rsidR="000C2093">
              <w:rPr>
                <w:rFonts w:asciiTheme="minorHAnsi" w:hAnsiTheme="minorHAnsi" w:cstheme="minorHAnsi"/>
              </w:rPr>
              <w:t>identified</w:t>
            </w:r>
            <w:r>
              <w:rPr>
                <w:rFonts w:asciiTheme="minorHAnsi" w:hAnsiTheme="minorHAnsi" w:cstheme="minorHAnsi"/>
              </w:rPr>
              <w:t xml:space="preserve"> </w:t>
            </w:r>
            <w:r w:rsidR="007C6E05" w:rsidRPr="00DC7EAD">
              <w:rPr>
                <w:rFonts w:asciiTheme="minorHAnsi" w:hAnsiTheme="minorHAnsi" w:cstheme="minorHAnsi"/>
              </w:rPr>
              <w:t xml:space="preserve">as high risk sectors for all Australian jurisdictions to focus on during the first five years of the </w:t>
            </w:r>
            <w:r w:rsidR="00352EFA">
              <w:rPr>
                <w:rFonts w:asciiTheme="minorHAnsi" w:hAnsiTheme="minorHAnsi" w:cstheme="minorHAnsi"/>
              </w:rPr>
              <w:t>s</w:t>
            </w:r>
            <w:r w:rsidR="007C6E05" w:rsidRPr="00DC7EAD">
              <w:rPr>
                <w:rFonts w:asciiTheme="minorHAnsi" w:hAnsiTheme="minorHAnsi" w:cstheme="minorHAnsi"/>
              </w:rPr>
              <w:t xml:space="preserve">trategy. </w:t>
            </w:r>
          </w:p>
          <w:p w:rsidR="007C6E05" w:rsidRPr="00DC7EAD" w:rsidRDefault="00D709C3" w:rsidP="00D709C3">
            <w:pPr>
              <w:shd w:val="clear" w:color="auto" w:fill="FFFFFF" w:themeFill="background1"/>
              <w:rPr>
                <w:rFonts w:asciiTheme="minorHAnsi" w:hAnsiTheme="minorHAnsi" w:cstheme="minorHAnsi"/>
              </w:rPr>
            </w:pPr>
            <w:r>
              <w:rPr>
                <w:rFonts w:asciiTheme="minorHAnsi" w:hAnsiTheme="minorHAnsi" w:cstheme="minorHAnsi"/>
              </w:rPr>
              <w:t xml:space="preserve"> </w:t>
            </w:r>
          </w:p>
        </w:tc>
        <w:tc>
          <w:tcPr>
            <w:tcW w:w="7229" w:type="dxa"/>
            <w:tcBorders>
              <w:left w:val="single" w:sz="4" w:space="0" w:color="auto"/>
              <w:bottom w:val="single" w:sz="4" w:space="0" w:color="auto"/>
              <w:right w:val="single" w:sz="4" w:space="0" w:color="auto"/>
            </w:tcBorders>
          </w:tcPr>
          <w:p w:rsidR="00D709C3" w:rsidRPr="00D709C3" w:rsidRDefault="00D709C3" w:rsidP="0032638E">
            <w:pPr>
              <w:rPr>
                <w:rFonts w:asciiTheme="minorHAnsi" w:hAnsiTheme="minorHAnsi" w:cstheme="minorHAnsi"/>
              </w:rPr>
            </w:pPr>
            <w:r w:rsidRPr="00D709C3">
              <w:rPr>
                <w:rFonts w:asciiTheme="minorHAnsi" w:hAnsiTheme="minorHAnsi" w:cstheme="minorHAnsi"/>
                <w:i/>
              </w:rPr>
              <w:t>A National Agriculture Activity Plan 2014-2019</w:t>
            </w:r>
            <w:r w:rsidRPr="00D709C3">
              <w:rPr>
                <w:rFonts w:asciiTheme="minorHAnsi" w:hAnsiTheme="minorHAnsi" w:cstheme="minorHAnsi"/>
              </w:rPr>
              <w:t xml:space="preserve"> has been developed specifically to improve work health and safety outcomes for this industry</w:t>
            </w:r>
            <w:r w:rsidR="000C2093">
              <w:rPr>
                <w:rFonts w:asciiTheme="minorHAnsi" w:hAnsiTheme="minorHAnsi" w:cstheme="minorHAnsi"/>
              </w:rPr>
              <w:t>,</w:t>
            </w:r>
            <w:r w:rsidRPr="00D709C3">
              <w:rPr>
                <w:rFonts w:asciiTheme="minorHAnsi" w:hAnsiTheme="minorHAnsi" w:cstheme="minorHAnsi"/>
              </w:rPr>
              <w:t xml:space="preserve"> with further targeted activities and programs</w:t>
            </w:r>
            <w:r w:rsidR="000C2093">
              <w:rPr>
                <w:rFonts w:asciiTheme="minorHAnsi" w:hAnsiTheme="minorHAnsi" w:cstheme="minorHAnsi"/>
              </w:rPr>
              <w:t xml:space="preserve"> to be implemented</w:t>
            </w:r>
            <w:r w:rsidRPr="00D709C3">
              <w:rPr>
                <w:rFonts w:asciiTheme="minorHAnsi" w:hAnsiTheme="minorHAnsi" w:cstheme="minorHAnsi"/>
              </w:rPr>
              <w:t>. In addition</w:t>
            </w:r>
            <w:r w:rsidR="000679F2">
              <w:rPr>
                <w:rFonts w:asciiTheme="minorHAnsi" w:hAnsiTheme="minorHAnsi" w:cstheme="minorHAnsi"/>
              </w:rPr>
              <w:t>,</w:t>
            </w:r>
            <w:r w:rsidRPr="00D709C3">
              <w:rPr>
                <w:rFonts w:asciiTheme="minorHAnsi" w:hAnsiTheme="minorHAnsi" w:cstheme="minorHAnsi"/>
              </w:rPr>
              <w:t xml:space="preserve"> guidance material has been develop</w:t>
            </w:r>
            <w:r w:rsidR="00C83857">
              <w:rPr>
                <w:rFonts w:asciiTheme="minorHAnsi" w:hAnsiTheme="minorHAnsi" w:cstheme="minorHAnsi"/>
              </w:rPr>
              <w:t>ed to support rural workplaces.</w:t>
            </w:r>
          </w:p>
          <w:p w:rsidR="007C6E05" w:rsidRPr="006623BD" w:rsidRDefault="00D709C3" w:rsidP="0032638E">
            <w:pPr>
              <w:rPr>
                <w:rFonts w:asciiTheme="minorHAnsi" w:hAnsiTheme="minorHAnsi" w:cstheme="minorHAnsi"/>
              </w:rPr>
            </w:pPr>
            <w:r w:rsidRPr="00D709C3">
              <w:rPr>
                <w:rFonts w:asciiTheme="minorHAnsi" w:hAnsiTheme="minorHAnsi" w:cstheme="minorHAnsi"/>
              </w:rPr>
              <w:t xml:space="preserve">The </w:t>
            </w:r>
            <w:r w:rsidRPr="00D709C3">
              <w:rPr>
                <w:rFonts w:asciiTheme="minorHAnsi" w:hAnsiTheme="minorHAnsi" w:cstheme="minorHAnsi"/>
                <w:i/>
              </w:rPr>
              <w:t>National Road Safety Strategy 2011-2020</w:t>
            </w:r>
            <w:r w:rsidRPr="00D709C3">
              <w:rPr>
                <w:rFonts w:asciiTheme="minorHAnsi" w:hAnsiTheme="minorHAnsi" w:cstheme="minorHAnsi"/>
              </w:rPr>
              <w:t xml:space="preserve"> sets out the commitment of the Commonwealth, States and Territories to an agreed set of national road safety goals, objectives and actions. This is complemented by a </w:t>
            </w:r>
            <w:r w:rsidRPr="00D709C3">
              <w:rPr>
                <w:rFonts w:asciiTheme="minorHAnsi" w:hAnsiTheme="minorHAnsi" w:cstheme="minorHAnsi"/>
                <w:i/>
              </w:rPr>
              <w:t xml:space="preserve">National Road Safety </w:t>
            </w:r>
            <w:r w:rsidRPr="00D709C3">
              <w:rPr>
                <w:rFonts w:asciiTheme="minorHAnsi" w:hAnsiTheme="minorHAnsi" w:cstheme="minorHAnsi"/>
                <w:i/>
              </w:rPr>
              <w:lastRenderedPageBreak/>
              <w:t>Action Plan 2015-2017</w:t>
            </w:r>
            <w:r w:rsidRPr="00D709C3">
              <w:rPr>
                <w:rFonts w:asciiTheme="minorHAnsi" w:hAnsiTheme="minorHAnsi" w:cstheme="minorHAnsi"/>
              </w:rPr>
              <w:t xml:space="preserve">. Australia has </w:t>
            </w:r>
            <w:r w:rsidR="00C10483">
              <w:rPr>
                <w:rFonts w:asciiTheme="minorHAnsi" w:hAnsiTheme="minorHAnsi" w:cstheme="minorHAnsi"/>
              </w:rPr>
              <w:t xml:space="preserve">also </w:t>
            </w:r>
            <w:r w:rsidRPr="00D709C3">
              <w:rPr>
                <w:rFonts w:asciiTheme="minorHAnsi" w:hAnsiTheme="minorHAnsi" w:cstheme="minorHAnsi"/>
              </w:rPr>
              <w:t>developed Heavy Vehicle National Laws that have been adopted by the Australian Capital Territory, New South Wales, Queensland, South Australia, Tasmania and Victoria. Further work is being undertaken in 2016 to investigate the impact of the current laws, and improve road agencies’ ability to link crash data to driver accreditation.</w:t>
            </w:r>
            <w:r>
              <w:rPr>
                <w:rFonts w:asciiTheme="minorHAnsi" w:hAnsiTheme="minorHAnsi" w:cstheme="minorHAnsi"/>
              </w:rPr>
              <w:t xml:space="preserve"> </w:t>
            </w:r>
          </w:p>
        </w:tc>
      </w:tr>
      <w:tr w:rsidR="00664A49" w:rsidRPr="007B406F" w:rsidTr="00C83857">
        <w:trPr>
          <w:trHeight w:val="240"/>
        </w:trPr>
        <w:tc>
          <w:tcPr>
            <w:tcW w:w="143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64A49" w:rsidRPr="00C83857" w:rsidRDefault="00C83857" w:rsidP="00963F24">
            <w:pPr>
              <w:shd w:val="clear" w:color="auto" w:fill="F2F2F2" w:themeFill="background1" w:themeFillShade="F2"/>
              <w:rPr>
                <w:rFonts w:cs="Calibri"/>
                <w:i/>
                <w:lang w:val="en-GB"/>
              </w:rPr>
            </w:pPr>
            <w:r>
              <w:lastRenderedPageBreak/>
              <w:br w:type="page"/>
            </w:r>
            <w:r w:rsidR="00664A49" w:rsidRPr="00C83857">
              <w:rPr>
                <w:rFonts w:cs="Calibri"/>
                <w:i/>
                <w:lang w:val="en-GB"/>
              </w:rPr>
              <w:t>Raised awareness of the importance of OSH particularly among small and medium enterprises</w:t>
            </w:r>
          </w:p>
        </w:tc>
      </w:tr>
      <w:tr w:rsidR="00664A49" w:rsidRPr="007B406F" w:rsidTr="0027282F">
        <w:trPr>
          <w:trHeight w:val="699"/>
        </w:trPr>
        <w:tc>
          <w:tcPr>
            <w:tcW w:w="7088" w:type="dxa"/>
            <w:tcBorders>
              <w:top w:val="single" w:sz="4" w:space="0" w:color="auto"/>
              <w:left w:val="single" w:sz="4" w:space="0" w:color="auto"/>
              <w:bottom w:val="single" w:sz="4" w:space="0" w:color="auto"/>
              <w:right w:val="single" w:sz="4" w:space="0" w:color="auto"/>
            </w:tcBorders>
          </w:tcPr>
          <w:p w:rsidR="00664A49" w:rsidRPr="00DC7EAD" w:rsidRDefault="00664A49" w:rsidP="008F13BE">
            <w:pPr>
              <w:shd w:val="clear" w:color="auto" w:fill="FFFFFF" w:themeFill="background1"/>
              <w:spacing w:after="240"/>
              <w:rPr>
                <w:rFonts w:asciiTheme="minorHAnsi" w:hAnsiTheme="minorHAnsi" w:cstheme="minorHAnsi"/>
              </w:rPr>
            </w:pPr>
            <w:r>
              <w:rPr>
                <w:rFonts w:asciiTheme="minorHAnsi" w:hAnsiTheme="minorHAnsi" w:cstheme="minorHAnsi"/>
              </w:rPr>
              <w:t xml:space="preserve">In April 2014, the Commonwealth, states and territories asked SWA to assist small business to have access to clear, concise, practical material without compromising safety standards or imposing any further regulatory burden. </w:t>
            </w:r>
          </w:p>
        </w:tc>
        <w:tc>
          <w:tcPr>
            <w:tcW w:w="7229" w:type="dxa"/>
            <w:tcBorders>
              <w:top w:val="single" w:sz="4" w:space="0" w:color="auto"/>
              <w:left w:val="single" w:sz="4" w:space="0" w:color="auto"/>
              <w:bottom w:val="single" w:sz="4" w:space="0" w:color="auto"/>
              <w:right w:val="single" w:sz="4" w:space="0" w:color="auto"/>
            </w:tcBorders>
          </w:tcPr>
          <w:p w:rsidR="00664A49" w:rsidRPr="000426E1" w:rsidRDefault="00664A49" w:rsidP="000426E1">
            <w:pPr>
              <w:spacing w:after="240"/>
              <w:rPr>
                <w:rFonts w:cs="Calibri"/>
                <w:lang w:val="en"/>
              </w:rPr>
            </w:pPr>
            <w:r w:rsidRPr="000426E1">
              <w:rPr>
                <w:rFonts w:cs="Calibri"/>
                <w:lang w:val="en"/>
              </w:rPr>
              <w:t>SWA has redeveloped guidance and fact sheets to help small business owners understand their work health and safety obligations. A suite of case studies from small business owners and regulators to share success stories in achieving positive work health and safety outcomes has also been developed.</w:t>
            </w:r>
          </w:p>
          <w:p w:rsidR="00664A49" w:rsidRPr="006623BD" w:rsidRDefault="00664A49" w:rsidP="000426E1">
            <w:pPr>
              <w:spacing w:after="240"/>
              <w:rPr>
                <w:rFonts w:asciiTheme="minorHAnsi" w:hAnsiTheme="minorHAnsi" w:cstheme="minorHAnsi"/>
              </w:rPr>
            </w:pPr>
            <w:r w:rsidRPr="000426E1">
              <w:rPr>
                <w:rFonts w:cs="Calibri"/>
                <w:lang w:val="en"/>
              </w:rPr>
              <w:t>Work health and safety regulators across Australia offer a range of free services tailored to meet the individual needs of small businesses, such as access to safety advisors and one-on-one consultations on achieving health and safety in the workplace. These agencies also regularly consult with small business representatives to ensure that service delivery is efficient and effective.</w:t>
            </w:r>
            <w:r>
              <w:rPr>
                <w:rFonts w:asciiTheme="minorHAnsi" w:hAnsiTheme="minorHAnsi" w:cstheme="minorHAnsi"/>
              </w:rPr>
              <w:t xml:space="preserve"> </w:t>
            </w:r>
          </w:p>
        </w:tc>
      </w:tr>
      <w:tr w:rsidR="00664A49" w:rsidRPr="007B406F" w:rsidTr="00C83857">
        <w:trPr>
          <w:trHeight w:val="266"/>
        </w:trPr>
        <w:tc>
          <w:tcPr>
            <w:tcW w:w="143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664A49" w:rsidRPr="00C83857" w:rsidRDefault="00664A49" w:rsidP="00963F24">
            <w:pPr>
              <w:shd w:val="clear" w:color="auto" w:fill="F2F2F2" w:themeFill="background1" w:themeFillShade="F2"/>
              <w:rPr>
                <w:rFonts w:cs="Calibri"/>
                <w:i/>
                <w:lang w:val="en-GB"/>
              </w:rPr>
            </w:pPr>
            <w:r w:rsidRPr="00C83857">
              <w:rPr>
                <w:rFonts w:cs="Calibri"/>
                <w:i/>
                <w:lang w:val="en-GB"/>
              </w:rPr>
              <w:t>Sharing of best practices among G20 members and support for exchanges of information, sharing of relevant technologies and coordinating technical cooperation, and partnering with the ILO to improve global OSH</w:t>
            </w:r>
          </w:p>
        </w:tc>
      </w:tr>
      <w:tr w:rsidR="00664A49" w:rsidRPr="007B406F" w:rsidTr="00C83857">
        <w:trPr>
          <w:trHeight w:val="690"/>
        </w:trPr>
        <w:tc>
          <w:tcPr>
            <w:tcW w:w="7088" w:type="dxa"/>
            <w:tcBorders>
              <w:top w:val="single" w:sz="4" w:space="0" w:color="auto"/>
              <w:left w:val="single" w:sz="4" w:space="0" w:color="auto"/>
              <w:bottom w:val="single" w:sz="4" w:space="0" w:color="auto"/>
              <w:right w:val="single" w:sz="4" w:space="0" w:color="auto"/>
            </w:tcBorders>
          </w:tcPr>
          <w:p w:rsidR="00664A49" w:rsidRDefault="00664A49" w:rsidP="008F13BE">
            <w:pPr>
              <w:shd w:val="clear" w:color="auto" w:fill="FFFFFF" w:themeFill="background1"/>
              <w:spacing w:after="240"/>
              <w:rPr>
                <w:rFonts w:asciiTheme="minorHAnsi" w:hAnsiTheme="minorHAnsi" w:cstheme="minorHAnsi"/>
              </w:rPr>
            </w:pPr>
            <w:r>
              <w:rPr>
                <w:rFonts w:asciiTheme="minorHAnsi" w:hAnsiTheme="minorHAnsi" w:cstheme="minorHAnsi"/>
              </w:rPr>
              <w:t xml:space="preserve">Australia is committed to sharing its WHS knowledge internationally and liaises on WHS and workers’ compensation matters through its various </w:t>
            </w:r>
            <w:r w:rsidR="000679F2">
              <w:rPr>
                <w:rFonts w:asciiTheme="minorHAnsi" w:hAnsiTheme="minorHAnsi" w:cstheme="minorHAnsi"/>
              </w:rPr>
              <w:t xml:space="preserve">WHS </w:t>
            </w:r>
            <w:r>
              <w:rPr>
                <w:rFonts w:asciiTheme="minorHAnsi" w:hAnsiTheme="minorHAnsi" w:cstheme="minorHAnsi"/>
              </w:rPr>
              <w:t>agencies.</w:t>
            </w:r>
          </w:p>
          <w:p w:rsidR="00664A49" w:rsidRPr="00233E47" w:rsidRDefault="00664A49" w:rsidP="008F13BE">
            <w:pPr>
              <w:shd w:val="clear" w:color="auto" w:fill="FFFFFF" w:themeFill="background1"/>
              <w:rPr>
                <w:rFonts w:cs="Calibri"/>
                <w:b/>
                <w:lang w:val="en-GB"/>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64A49" w:rsidRPr="005108EC" w:rsidRDefault="00664A49" w:rsidP="000C2093">
            <w:r w:rsidRPr="005108EC">
              <w:t>Examples of this knowledge sharing include:</w:t>
            </w:r>
          </w:p>
          <w:p w:rsidR="00664A49" w:rsidRPr="000C2093" w:rsidRDefault="00664A49" w:rsidP="00CA07CC">
            <w:pPr>
              <w:pStyle w:val="ListParagraph"/>
              <w:numPr>
                <w:ilvl w:val="0"/>
                <w:numId w:val="27"/>
              </w:numPr>
            </w:pPr>
            <w:r w:rsidRPr="000C2093">
              <w:t>SWA actively participates on the United Nations Subcommittee of Experts on the Globally Harmonised System of Classification and Labelling of Chemicals</w:t>
            </w:r>
            <w:r>
              <w:t>. I</w:t>
            </w:r>
            <w:r w:rsidRPr="000C2093">
              <w:t xml:space="preserve">ts Chief Executive Officer is </w:t>
            </w:r>
            <w:r>
              <w:t xml:space="preserve">also </w:t>
            </w:r>
            <w:r w:rsidRPr="000C2093">
              <w:t>a member of Singapore’s International Advisory Panel on Workplace Safety and Health</w:t>
            </w:r>
            <w:r>
              <w:t>,</w:t>
            </w:r>
            <w:r w:rsidRPr="000C2093">
              <w:t xml:space="preserve"> and of the G20 Occupational Safety and Health Experts </w:t>
            </w:r>
            <w:r w:rsidRPr="000C2093">
              <w:lastRenderedPageBreak/>
              <w:t>Network.</w:t>
            </w:r>
          </w:p>
          <w:p w:rsidR="00664A49" w:rsidRPr="005108EC" w:rsidRDefault="00664A49" w:rsidP="00CA07CC">
            <w:pPr>
              <w:pStyle w:val="ListParagraph"/>
              <w:numPr>
                <w:ilvl w:val="0"/>
                <w:numId w:val="22"/>
              </w:numPr>
            </w:pPr>
            <w:r w:rsidRPr="005108EC">
              <w:t>In April 2016, SWA shared its methodology for estimating the total cost of work-related injury and illness for Australian employers, workers and the community with the European Agency for Safety and Health at Work.</w:t>
            </w:r>
          </w:p>
          <w:p w:rsidR="00133FCD" w:rsidRPr="00133FCD" w:rsidRDefault="00664A49" w:rsidP="00CA07CC">
            <w:pPr>
              <w:pStyle w:val="ListParagraph"/>
              <w:numPr>
                <w:ilvl w:val="0"/>
                <w:numId w:val="22"/>
              </w:numPr>
            </w:pPr>
            <w:r w:rsidRPr="007C35F0">
              <w:t xml:space="preserve">Australia </w:t>
            </w:r>
            <w:proofErr w:type="gramStart"/>
            <w:r w:rsidRPr="007C35F0">
              <w:t>is regarded</w:t>
            </w:r>
            <w:proofErr w:type="gramEnd"/>
            <w:r w:rsidRPr="007C35F0">
              <w:t xml:space="preserve"> as an international leader on asbestos management, and the Asbestos Safety and Eradication Agency hosts an annual international conference on this issue.</w:t>
            </w:r>
          </w:p>
        </w:tc>
      </w:tr>
      <w:tr w:rsidR="00744F80" w:rsidRPr="005108EC" w:rsidTr="00F3568D">
        <w:trPr>
          <w:trHeight w:val="832"/>
        </w:trPr>
        <w:tc>
          <w:tcPr>
            <w:tcW w:w="7088" w:type="dxa"/>
            <w:tcBorders>
              <w:top w:val="single" w:sz="4" w:space="0" w:color="auto"/>
              <w:left w:val="single" w:sz="4" w:space="0" w:color="auto"/>
              <w:bottom w:val="single" w:sz="4" w:space="0" w:color="auto"/>
              <w:right w:val="single" w:sz="4" w:space="0" w:color="auto"/>
            </w:tcBorders>
          </w:tcPr>
          <w:p w:rsidR="00744F80" w:rsidRDefault="00744F80" w:rsidP="00F3568D">
            <w:pPr>
              <w:shd w:val="clear" w:color="auto" w:fill="FFFFFF" w:themeFill="background1"/>
              <w:spacing w:after="240"/>
              <w:rPr>
                <w:rFonts w:asciiTheme="minorHAnsi" w:hAnsiTheme="minorHAnsi" w:cstheme="minorHAnsi"/>
              </w:rPr>
            </w:pPr>
            <w:r>
              <w:rPr>
                <w:rFonts w:asciiTheme="minorHAnsi" w:hAnsiTheme="minorHAnsi" w:cstheme="minorHAnsi"/>
              </w:rPr>
              <w:lastRenderedPageBreak/>
              <w:t>Australia is party to a number of ILO conventions relating to WHS and workers’ compensation.</w:t>
            </w:r>
          </w:p>
        </w:tc>
        <w:tc>
          <w:tcPr>
            <w:tcW w:w="7229" w:type="dxa"/>
            <w:tcBorders>
              <w:top w:val="single" w:sz="4" w:space="0" w:color="auto"/>
              <w:left w:val="single" w:sz="4" w:space="0" w:color="auto"/>
              <w:bottom w:val="single" w:sz="4" w:space="0" w:color="auto"/>
              <w:right w:val="single" w:sz="4" w:space="0" w:color="auto"/>
            </w:tcBorders>
          </w:tcPr>
          <w:p w:rsidR="00744F80" w:rsidRPr="005108EC" w:rsidRDefault="00744F80" w:rsidP="00F3568D">
            <w:pPr>
              <w:shd w:val="clear" w:color="auto" w:fill="FFFFFF" w:themeFill="background1"/>
              <w:rPr>
                <w:rFonts w:asciiTheme="minorHAnsi" w:hAnsiTheme="minorHAnsi" w:cstheme="minorHAnsi"/>
              </w:rPr>
            </w:pPr>
            <w:r>
              <w:rPr>
                <w:rFonts w:asciiTheme="minorHAnsi" w:hAnsiTheme="minorHAnsi" w:cstheme="minorHAnsi"/>
              </w:rPr>
              <w:t xml:space="preserve">Australia continues to report to the ILO on compliance with these conventions. SWA is also one of the ILO’s designated National Centres that contributes to the exchange of information among persons responsible for establishing and implementing national WHS policies and programs. </w:t>
            </w:r>
          </w:p>
        </w:tc>
      </w:tr>
    </w:tbl>
    <w:p w:rsidR="00744F80" w:rsidRDefault="00744F80" w:rsidP="00E15A3C">
      <w:pPr>
        <w:autoSpaceDE w:val="0"/>
        <w:autoSpaceDN w:val="0"/>
        <w:adjustRightInd w:val="0"/>
        <w:spacing w:after="240"/>
        <w:rPr>
          <w:rFonts w:cs="Calibri"/>
          <w:b/>
          <w:lang w:val="en-GB"/>
        </w:rPr>
        <w:sectPr w:rsidR="00744F80" w:rsidSect="007C6E05">
          <w:headerReference w:type="default" r:id="rId33"/>
          <w:footerReference w:type="default" r:id="rId34"/>
          <w:pgSz w:w="16838" w:h="11906" w:orient="landscape"/>
          <w:pgMar w:top="2441" w:right="1508" w:bottom="1302" w:left="1134" w:header="708" w:footer="708" w:gutter="0"/>
          <w:cols w:space="708"/>
          <w:docGrid w:linePitch="360"/>
        </w:sectPr>
      </w:pPr>
    </w:p>
    <w:p w:rsidR="00E15A3C" w:rsidRDefault="00E15A3C" w:rsidP="00C442D0">
      <w:pPr>
        <w:pStyle w:val="Heading2"/>
        <w:ind w:left="-709"/>
        <w:rPr>
          <w:lang w:val="en-GB"/>
        </w:rPr>
      </w:pPr>
      <w:bookmarkStart w:id="126" w:name="_Toc487182942"/>
      <w:r>
        <w:rPr>
          <w:lang w:val="en-GB"/>
        </w:rPr>
        <w:lastRenderedPageBreak/>
        <w:t>Appendix</w:t>
      </w:r>
      <w:bookmarkEnd w:id="126"/>
    </w:p>
    <w:p w:rsidR="00E15A3C" w:rsidRPr="00C442D0" w:rsidRDefault="00E15A3C" w:rsidP="00C442D0">
      <w:pPr>
        <w:pStyle w:val="Heading3"/>
        <w:ind w:left="-709"/>
        <w:rPr>
          <w:b w:val="0"/>
          <w:u w:val="single"/>
          <w:lang w:val="en-GB"/>
        </w:rPr>
      </w:pPr>
      <w:bookmarkStart w:id="127" w:name="_Toc487182943"/>
      <w:r w:rsidRPr="00C442D0">
        <w:rPr>
          <w:b w:val="0"/>
          <w:u w:val="single"/>
          <w:lang w:val="en-GB"/>
        </w:rPr>
        <w:t>Notes for Table 1</w:t>
      </w:r>
      <w:bookmarkEnd w:id="127"/>
    </w:p>
    <w:p w:rsidR="00E2677C" w:rsidRDefault="00881201" w:rsidP="00C92D13">
      <w:pPr>
        <w:spacing w:before="120"/>
        <w:ind w:left="-709"/>
        <w:rPr>
          <w:sz w:val="18"/>
          <w:szCs w:val="18"/>
        </w:rPr>
      </w:pPr>
      <w:r w:rsidRPr="002A1B70">
        <w:rPr>
          <w:sz w:val="18"/>
          <w:szCs w:val="18"/>
        </w:rPr>
        <w:t xml:space="preserve">Percentage figures, except in the case of GDP per capita and the Gini coefficient. Growth figures are percentage change on previous year unless otherwise indicated. </w:t>
      </w:r>
      <w:r w:rsidR="00F912DD" w:rsidRPr="002A1B70">
        <w:rPr>
          <w:sz w:val="18"/>
          <w:szCs w:val="18"/>
        </w:rPr>
        <w:t>Data for the incidence of long-term unemployed are expressed as the percentage of all unemployed people.</w:t>
      </w:r>
      <w:r w:rsidR="00F912DD">
        <w:rPr>
          <w:sz w:val="18"/>
          <w:szCs w:val="18"/>
        </w:rPr>
        <w:t xml:space="preserve"> </w:t>
      </w:r>
      <w:r w:rsidR="00E2677C" w:rsidRPr="002A1B70">
        <w:rPr>
          <w:sz w:val="18"/>
          <w:szCs w:val="18"/>
        </w:rPr>
        <w:t>Point-in-time data is for the 2008</w:t>
      </w:r>
      <w:r w:rsidR="00E2677C">
        <w:rPr>
          <w:sz w:val="18"/>
          <w:szCs w:val="18"/>
        </w:rPr>
        <w:t>, 2014</w:t>
      </w:r>
      <w:r w:rsidR="00E2677C" w:rsidRPr="002A1B70">
        <w:rPr>
          <w:sz w:val="18"/>
          <w:szCs w:val="18"/>
        </w:rPr>
        <w:t xml:space="preserve"> or 201</w:t>
      </w:r>
      <w:r w:rsidR="00E2677C">
        <w:rPr>
          <w:sz w:val="18"/>
          <w:szCs w:val="18"/>
        </w:rPr>
        <w:t>5</w:t>
      </w:r>
      <w:r w:rsidR="00E2677C" w:rsidRPr="002A1B70">
        <w:rPr>
          <w:sz w:val="18"/>
          <w:szCs w:val="18"/>
        </w:rPr>
        <w:t xml:space="preserve"> calendar years or June quarter 2008 and June quarter 201</w:t>
      </w:r>
      <w:r w:rsidR="00E2677C">
        <w:rPr>
          <w:sz w:val="18"/>
          <w:szCs w:val="18"/>
        </w:rPr>
        <w:t>5</w:t>
      </w:r>
      <w:r w:rsidR="00E2677C" w:rsidRPr="002A1B70">
        <w:rPr>
          <w:sz w:val="18"/>
          <w:szCs w:val="18"/>
        </w:rPr>
        <w:t>. Time periods were selected on the basis of data availability and consistency across G20 Employment Plans.</w:t>
      </w:r>
      <w:r w:rsidR="00F912DD" w:rsidRPr="00F912DD">
        <w:rPr>
          <w:sz w:val="18"/>
          <w:szCs w:val="18"/>
        </w:rPr>
        <w:t xml:space="preserve"> </w:t>
      </w:r>
    </w:p>
    <w:p w:rsidR="00881201" w:rsidRPr="002A1B70" w:rsidRDefault="00881201" w:rsidP="00C92D13">
      <w:pPr>
        <w:spacing w:before="120"/>
        <w:ind w:left="-709"/>
        <w:rPr>
          <w:sz w:val="18"/>
          <w:szCs w:val="18"/>
        </w:rPr>
      </w:pPr>
      <w:r w:rsidRPr="002A1B70">
        <w:rPr>
          <w:sz w:val="18"/>
          <w:szCs w:val="18"/>
        </w:rPr>
        <w:t xml:space="preserve">Sources: </w:t>
      </w:r>
      <w:r>
        <w:rPr>
          <w:sz w:val="18"/>
          <w:szCs w:val="18"/>
        </w:rPr>
        <w:t>ILOSTAT, OECD.Stat and data provided</w:t>
      </w:r>
      <w:r w:rsidRPr="002A1B70">
        <w:rPr>
          <w:sz w:val="18"/>
          <w:szCs w:val="18"/>
        </w:rPr>
        <w:t xml:space="preserve"> by the ILO</w:t>
      </w:r>
      <w:r>
        <w:rPr>
          <w:sz w:val="18"/>
          <w:szCs w:val="18"/>
        </w:rPr>
        <w:t xml:space="preserve"> and </w:t>
      </w:r>
      <w:r w:rsidRPr="002A1B70">
        <w:rPr>
          <w:sz w:val="18"/>
          <w:szCs w:val="18"/>
        </w:rPr>
        <w:t xml:space="preserve">OECD </w:t>
      </w:r>
      <w:r w:rsidR="00025E6B">
        <w:rPr>
          <w:sz w:val="18"/>
          <w:szCs w:val="18"/>
        </w:rPr>
        <w:t>to</w:t>
      </w:r>
      <w:r w:rsidRPr="002A1B70">
        <w:rPr>
          <w:sz w:val="18"/>
          <w:szCs w:val="18"/>
        </w:rPr>
        <w:t xml:space="preserve"> the G20 Employment Working Group in July 2015. </w:t>
      </w:r>
    </w:p>
    <w:p w:rsidR="00881201" w:rsidRPr="002A1B70" w:rsidRDefault="00881201" w:rsidP="00C92D13">
      <w:pPr>
        <w:spacing w:before="120"/>
        <w:ind w:left="-709"/>
        <w:rPr>
          <w:sz w:val="18"/>
          <w:szCs w:val="18"/>
        </w:rPr>
      </w:pPr>
      <w:r w:rsidRPr="002A1B70">
        <w:rPr>
          <w:sz w:val="18"/>
          <w:szCs w:val="18"/>
        </w:rPr>
        <w:t>(</w:t>
      </w:r>
      <w:r w:rsidR="00C84B3C">
        <w:rPr>
          <w:sz w:val="18"/>
          <w:szCs w:val="18"/>
        </w:rPr>
        <w:t>a</w:t>
      </w:r>
      <w:r w:rsidRPr="002A1B70">
        <w:rPr>
          <w:sz w:val="18"/>
          <w:szCs w:val="18"/>
        </w:rPr>
        <w:t>) Department of Employm</w:t>
      </w:r>
      <w:r w:rsidR="007530A9">
        <w:rPr>
          <w:sz w:val="18"/>
          <w:szCs w:val="18"/>
        </w:rPr>
        <w:t>ent calculations based on OECD.S</w:t>
      </w:r>
      <w:r w:rsidRPr="002A1B70">
        <w:rPr>
          <w:sz w:val="18"/>
          <w:szCs w:val="18"/>
        </w:rPr>
        <w:t xml:space="preserve">tat short-term labour market statistics. </w:t>
      </w:r>
    </w:p>
    <w:sectPr w:rsidR="00881201" w:rsidRPr="002A1B70" w:rsidSect="00C442D0">
      <w:headerReference w:type="default" r:id="rId35"/>
      <w:footerReference w:type="default" r:id="rId36"/>
      <w:pgSz w:w="11906" w:h="16838"/>
      <w:pgMar w:top="2694" w:right="1302" w:bottom="1134" w:left="244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40F" w:rsidRDefault="0020240F">
      <w:r>
        <w:separator/>
      </w:r>
    </w:p>
  </w:endnote>
  <w:endnote w:type="continuationSeparator" w:id="0">
    <w:p w:rsidR="0020240F" w:rsidRDefault="00202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C6" w:rsidRDefault="00427DC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79744" behindDoc="1" locked="0" layoutInCell="1" allowOverlap="1" wp14:anchorId="68C2BA29" wp14:editId="116CA318">
          <wp:simplePos x="0" y="0"/>
          <wp:positionH relativeFrom="column">
            <wp:posOffset>-1548765</wp:posOffset>
          </wp:positionH>
          <wp:positionV relativeFrom="paragraph">
            <wp:posOffset>-1962785</wp:posOffset>
          </wp:positionV>
          <wp:extent cx="7560310" cy="2688590"/>
          <wp:effectExtent l="0" t="0" r="2540" b="0"/>
          <wp:wrapNone/>
          <wp:docPr id="16" name="Picture 1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7560310" cy="268859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29</w:t>
    </w:r>
    <w:r>
      <w:rPr>
        <w:noProof/>
      </w:rPr>
      <w:fldChar w:fldCharType="end"/>
    </w:r>
  </w:p>
  <w:p w:rsidR="0020240F" w:rsidRDefault="0020240F">
    <w:pPr>
      <w:pStyle w:val="Footer"/>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77696" behindDoc="1" locked="0" layoutInCell="1" allowOverlap="1" wp14:anchorId="5C810AC5" wp14:editId="5D871C01">
          <wp:simplePos x="0" y="0"/>
          <wp:positionH relativeFrom="column">
            <wp:posOffset>-722965</wp:posOffset>
          </wp:positionH>
          <wp:positionV relativeFrom="paragraph">
            <wp:posOffset>-1966883</wp:posOffset>
          </wp:positionV>
          <wp:extent cx="10733405" cy="2713355"/>
          <wp:effectExtent l="0" t="0" r="0" b="0"/>
          <wp:wrapNone/>
          <wp:docPr id="9"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32</w:t>
    </w:r>
    <w:r>
      <w:rPr>
        <w:noProof/>
      </w:rPr>
      <w:fldChar w:fldCharType="end"/>
    </w:r>
  </w:p>
  <w:p w:rsidR="0020240F" w:rsidRDefault="0020240F">
    <w:pPr>
      <w:pStyle w:val="Footer"/>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fldChar w:fldCharType="begin"/>
    </w:r>
    <w:r>
      <w:instrText xml:space="preserve"> PAGE   \* MERGEFORMAT </w:instrText>
    </w:r>
    <w:r>
      <w:fldChar w:fldCharType="separate"/>
    </w:r>
    <w:r w:rsidR="00202E71">
      <w:rPr>
        <w:noProof/>
      </w:rPr>
      <w:t>34</w:t>
    </w:r>
    <w:r>
      <w:rPr>
        <w:noProof/>
      </w:rPr>
      <w:fldChar w:fldCharType="end"/>
    </w:r>
  </w:p>
  <w:p w:rsidR="0020240F" w:rsidRDefault="0020240F">
    <w:pPr>
      <w:pStyle w:val="Footer"/>
      <w:ind w:right="360"/>
    </w:pPr>
    <w:r>
      <w:rPr>
        <w:noProof/>
        <w:lang w:val="en-AU" w:eastAsia="en-AU"/>
      </w:rPr>
      <w:drawing>
        <wp:anchor distT="0" distB="0" distL="114300" distR="114300" simplePos="0" relativeHeight="251675648" behindDoc="1" locked="0" layoutInCell="1" allowOverlap="1" wp14:anchorId="08DFB116" wp14:editId="0899529E">
          <wp:simplePos x="0" y="0"/>
          <wp:positionH relativeFrom="column">
            <wp:posOffset>-1729105</wp:posOffset>
          </wp:positionH>
          <wp:positionV relativeFrom="paragraph">
            <wp:posOffset>-1975485</wp:posOffset>
          </wp:positionV>
          <wp:extent cx="10733405" cy="2713355"/>
          <wp:effectExtent l="0" t="0" r="0" b="0"/>
          <wp:wrapNone/>
          <wp:docPr id="10"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p>
  <w:p w:rsidR="0020240F" w:rsidRDefault="0020240F" w:rsidP="00343841">
    <w:pPr>
      <w:pStyle w:val="Footer"/>
      <w:tabs>
        <w:tab w:val="clear" w:pos="4153"/>
        <w:tab w:val="clear" w:pos="8306"/>
        <w:tab w:val="center" w:pos="4611"/>
      </w:tabs>
      <w:ind w:right="360"/>
    </w:pPr>
    <w:r>
      <w:rPr>
        <w:noProof/>
        <w:lang w:val="en-AU" w:eastAsia="en-AU"/>
      </w:rPr>
      <w:drawing>
        <wp:anchor distT="0" distB="0" distL="114300" distR="114300" simplePos="0" relativeHeight="251655168" behindDoc="1" locked="0" layoutInCell="1" allowOverlap="1" wp14:anchorId="0AE6E67D" wp14:editId="5724FEE8">
          <wp:simplePos x="0" y="0"/>
          <wp:positionH relativeFrom="column">
            <wp:posOffset>-755650</wp:posOffset>
          </wp:positionH>
          <wp:positionV relativeFrom="paragraph">
            <wp:posOffset>-1889125</wp:posOffset>
          </wp:positionV>
          <wp:extent cx="7560310" cy="2688590"/>
          <wp:effectExtent l="0" t="0" r="2540" b="0"/>
          <wp:wrapNone/>
          <wp:docPr id="123"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7560310" cy="268859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C6" w:rsidRDefault="00427DC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p>
  <w:p w:rsidR="0020240F" w:rsidRDefault="0020240F" w:rsidP="00343841">
    <w:pPr>
      <w:pStyle w:val="Footer"/>
      <w:tabs>
        <w:tab w:val="clear" w:pos="4153"/>
        <w:tab w:val="clear" w:pos="8306"/>
        <w:tab w:val="center" w:pos="4611"/>
      </w:tabs>
      <w:ind w:right="360"/>
    </w:pPr>
    <w:r>
      <w:rPr>
        <w:noProof/>
        <w:lang w:val="en-AU" w:eastAsia="en-AU"/>
      </w:rPr>
      <w:drawing>
        <wp:anchor distT="0" distB="0" distL="114300" distR="114300" simplePos="0" relativeHeight="251685888" behindDoc="1" locked="0" layoutInCell="1" allowOverlap="1" wp14:anchorId="4F7F527E" wp14:editId="628C82B0">
          <wp:simplePos x="0" y="0"/>
          <wp:positionH relativeFrom="column">
            <wp:posOffset>-755650</wp:posOffset>
          </wp:positionH>
          <wp:positionV relativeFrom="paragraph">
            <wp:posOffset>-1889125</wp:posOffset>
          </wp:positionV>
          <wp:extent cx="7560310" cy="2688590"/>
          <wp:effectExtent l="0" t="0" r="2540" b="0"/>
          <wp:wrapNone/>
          <wp:docPr id="4"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7560310" cy="26885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ptab w:relativeTo="margin" w:alignment="right" w:leader="none"/>
    </w:r>
    <w:r>
      <w:fldChar w:fldCharType="begin"/>
    </w:r>
    <w:r>
      <w:instrText xml:space="preserve"> PAGE   \* MERGEFORMAT </w:instrText>
    </w:r>
    <w:r>
      <w:fldChar w:fldCharType="separate"/>
    </w:r>
    <w:r w:rsidR="00202E71">
      <w:rPr>
        <w:noProof/>
      </w:rP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61312" behindDoc="1" locked="0" layoutInCell="1" allowOverlap="1" wp14:anchorId="5FD57602" wp14:editId="1B1D17E6">
          <wp:simplePos x="0" y="0"/>
          <wp:positionH relativeFrom="column">
            <wp:posOffset>-716915</wp:posOffset>
          </wp:positionH>
          <wp:positionV relativeFrom="paragraph">
            <wp:posOffset>-2272665</wp:posOffset>
          </wp:positionV>
          <wp:extent cx="10733405" cy="2713355"/>
          <wp:effectExtent l="0" t="0" r="0" b="0"/>
          <wp:wrapNone/>
          <wp:docPr id="12"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17</w:t>
    </w:r>
    <w:r>
      <w:rPr>
        <w:noProof/>
      </w:rPr>
      <w:fldChar w:fldCharType="end"/>
    </w:r>
  </w:p>
  <w:p w:rsidR="0020240F" w:rsidRDefault="0020240F">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56192" behindDoc="1" locked="0" layoutInCell="1" allowOverlap="1" wp14:anchorId="7668F3F4" wp14:editId="3363CDA7">
          <wp:simplePos x="0" y="0"/>
          <wp:positionH relativeFrom="column">
            <wp:posOffset>-727075</wp:posOffset>
          </wp:positionH>
          <wp:positionV relativeFrom="paragraph">
            <wp:posOffset>-1597660</wp:posOffset>
          </wp:positionV>
          <wp:extent cx="7560310" cy="2688590"/>
          <wp:effectExtent l="0" t="0" r="2540" b="0"/>
          <wp:wrapNone/>
          <wp:docPr id="87"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7560310" cy="268859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21</w:t>
    </w:r>
    <w:r>
      <w:rPr>
        <w:noProof/>
      </w:rPr>
      <w:fldChar w:fldCharType="end"/>
    </w:r>
  </w:p>
  <w:p w:rsidR="0020240F" w:rsidRDefault="0020240F" w:rsidP="00DD7125">
    <w:pPr>
      <w:pStyle w:val="Footer"/>
      <w:tabs>
        <w:tab w:val="clear" w:pos="4153"/>
        <w:tab w:val="clear" w:pos="8306"/>
        <w:tab w:val="left" w:pos="2284"/>
      </w:tabs>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fldChar w:fldCharType="begin"/>
    </w:r>
    <w:r>
      <w:instrText xml:space="preserve"> PAGE   \* MERGEFORMAT </w:instrText>
    </w:r>
    <w:r>
      <w:fldChar w:fldCharType="separate"/>
    </w:r>
    <w:r w:rsidR="00202E71">
      <w:rPr>
        <w:noProof/>
      </w:rPr>
      <w:t>24</w:t>
    </w:r>
    <w:r>
      <w:rPr>
        <w:noProof/>
      </w:rPr>
      <w:fldChar w:fldCharType="end"/>
    </w:r>
  </w:p>
  <w:p w:rsidR="0020240F" w:rsidRDefault="0020240F">
    <w:pPr>
      <w:pStyle w:val="Footer"/>
      <w:ind w:right="360"/>
    </w:pPr>
    <w:r>
      <w:rPr>
        <w:noProof/>
        <w:lang w:val="en-AU" w:eastAsia="en-AU"/>
      </w:rPr>
      <w:drawing>
        <wp:anchor distT="0" distB="0" distL="114300" distR="114300" simplePos="0" relativeHeight="251662336" behindDoc="1" locked="0" layoutInCell="1" allowOverlap="1" wp14:anchorId="445487D8" wp14:editId="79EC4CAC">
          <wp:simplePos x="0" y="0"/>
          <wp:positionH relativeFrom="column">
            <wp:posOffset>-777240</wp:posOffset>
          </wp:positionH>
          <wp:positionV relativeFrom="paragraph">
            <wp:posOffset>-1829435</wp:posOffset>
          </wp:positionV>
          <wp:extent cx="10733405" cy="2713355"/>
          <wp:effectExtent l="0" t="0" r="0" b="0"/>
          <wp:wrapNone/>
          <wp:docPr id="89"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66432" behindDoc="1" locked="0" layoutInCell="1" allowOverlap="1" wp14:anchorId="35FDD21F" wp14:editId="6572B5B1">
          <wp:simplePos x="0" y="0"/>
          <wp:positionH relativeFrom="column">
            <wp:posOffset>-1951990</wp:posOffset>
          </wp:positionH>
          <wp:positionV relativeFrom="paragraph">
            <wp:posOffset>-1773555</wp:posOffset>
          </wp:positionV>
          <wp:extent cx="10733405" cy="2713355"/>
          <wp:effectExtent l="0" t="0" r="0" b="0"/>
          <wp:wrapNone/>
          <wp:docPr id="94"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26</w:t>
    </w:r>
    <w:r>
      <w:rPr>
        <w:noProof/>
      </w:rPr>
      <w:fldChar w:fldCharType="end"/>
    </w:r>
  </w:p>
  <w:p w:rsidR="0020240F" w:rsidRDefault="0020240F">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Footer"/>
      <w:jc w:val="right"/>
    </w:pPr>
    <w:r>
      <w:rPr>
        <w:noProof/>
        <w:lang w:val="en-AU" w:eastAsia="en-AU"/>
      </w:rPr>
      <w:drawing>
        <wp:anchor distT="0" distB="0" distL="114300" distR="114300" simplePos="0" relativeHeight="251667456" behindDoc="1" locked="0" layoutInCell="1" allowOverlap="1" wp14:anchorId="78B07AEE" wp14:editId="2568F04D">
          <wp:simplePos x="0" y="0"/>
          <wp:positionH relativeFrom="column">
            <wp:posOffset>-720090</wp:posOffset>
          </wp:positionH>
          <wp:positionV relativeFrom="paragraph">
            <wp:posOffset>-1537970</wp:posOffset>
          </wp:positionV>
          <wp:extent cx="10733405" cy="2713355"/>
          <wp:effectExtent l="0" t="0" r="0" b="0"/>
          <wp:wrapNone/>
          <wp:docPr id="99" name="图片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办公用纸-09-100-09"/>
                  <pic:cNvPicPr>
                    <a:picLocks noChangeAspect="1" noChangeArrowheads="1"/>
                  </pic:cNvPicPr>
                </pic:nvPicPr>
                <pic:blipFill>
                  <a:blip r:embed="rId1">
                    <a:extLst>
                      <a:ext uri="{28A0092B-C50C-407E-A947-70E740481C1C}">
                        <a14:useLocalDpi xmlns:a14="http://schemas.microsoft.com/office/drawing/2010/main" val="0"/>
                      </a:ext>
                    </a:extLst>
                  </a:blip>
                  <a:srcRect t="75893" b="-23"/>
                  <a:stretch>
                    <a:fillRect/>
                  </a:stretch>
                </pic:blipFill>
                <pic:spPr bwMode="auto">
                  <a:xfrm>
                    <a:off x="0" y="0"/>
                    <a:ext cx="10733405" cy="27133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202E71">
      <w:rPr>
        <w:noProof/>
      </w:rPr>
      <w:t>28</w:t>
    </w:r>
    <w:r>
      <w:rPr>
        <w:noProof/>
      </w:rPr>
      <w:fldChar w:fldCharType="end"/>
    </w:r>
  </w:p>
  <w:p w:rsidR="0020240F" w:rsidRDefault="0020240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40F" w:rsidRDefault="0020240F">
      <w:r>
        <w:separator/>
      </w:r>
    </w:p>
  </w:footnote>
  <w:footnote w:type="continuationSeparator" w:id="0">
    <w:p w:rsidR="0020240F" w:rsidRDefault="002024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C6" w:rsidRDefault="00427DC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rsidP="007C6E05">
    <w:pPr>
      <w:pStyle w:val="Header"/>
      <w:pBdr>
        <w:top w:val="none" w:sz="0" w:space="13" w:color="auto"/>
      </w:pBdr>
    </w:pPr>
    <w:r>
      <w:rPr>
        <w:noProof/>
        <w:lang w:val="en-AU" w:eastAsia="en-AU"/>
      </w:rPr>
      <w:drawing>
        <wp:anchor distT="0" distB="0" distL="114300" distR="114300" simplePos="0" relativeHeight="251681792" behindDoc="1" locked="0" layoutInCell="1" allowOverlap="1" wp14:anchorId="6B027DDA" wp14:editId="59A2FAEC">
          <wp:simplePos x="0" y="0"/>
          <wp:positionH relativeFrom="column">
            <wp:posOffset>-722870</wp:posOffset>
          </wp:positionH>
          <wp:positionV relativeFrom="paragraph">
            <wp:posOffset>-453390</wp:posOffset>
          </wp:positionV>
          <wp:extent cx="10864850" cy="1757680"/>
          <wp:effectExtent l="0" t="0" r="0" b="0"/>
          <wp:wrapNone/>
          <wp:docPr id="7" name="图片 2"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0" cy="175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rsidP="007C6E05">
    <w:pPr>
      <w:pStyle w:val="Header"/>
      <w:pBdr>
        <w:top w:val="none" w:sz="0" w:space="13" w:color="auto"/>
      </w:pBdr>
    </w:pPr>
    <w:r>
      <w:rPr>
        <w:noProof/>
        <w:lang w:val="en-AU" w:eastAsia="en-AU"/>
      </w:rPr>
      <w:drawing>
        <wp:anchor distT="0" distB="0" distL="114300" distR="114300" simplePos="0" relativeHeight="251673600" behindDoc="1" locked="0" layoutInCell="1" allowOverlap="1" wp14:anchorId="5A30EF82" wp14:editId="226146A3">
          <wp:simplePos x="0" y="0"/>
          <wp:positionH relativeFrom="column">
            <wp:posOffset>-1542008</wp:posOffset>
          </wp:positionH>
          <wp:positionV relativeFrom="paragraph">
            <wp:posOffset>-446369</wp:posOffset>
          </wp:positionV>
          <wp:extent cx="7674610" cy="1810385"/>
          <wp:effectExtent l="0" t="0" r="2540" b="0"/>
          <wp:wrapNone/>
          <wp:docPr id="2" name="图片 9"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val="0"/>
                      </a:ext>
                    </a:extLst>
                  </a:blip>
                  <a:srcRect b="84424"/>
                  <a:stretch>
                    <a:fillRect/>
                  </a:stretch>
                </pic:blipFill>
                <pic:spPr bwMode="auto">
                  <a:xfrm>
                    <a:off x="0" y="0"/>
                    <a:ext cx="767461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Pr="00F347F7" w:rsidRDefault="0020240F">
    <w:pPr>
      <w:pStyle w:val="Header"/>
      <w:rPr>
        <w:b/>
      </w:rPr>
    </w:pPr>
    <w:r w:rsidRPr="00F347F7">
      <w:rPr>
        <w:b/>
        <w:noProof/>
        <w:lang w:val="en-AU" w:eastAsia="en-AU"/>
      </w:rPr>
      <w:drawing>
        <wp:anchor distT="0" distB="0" distL="114300" distR="114300" simplePos="0" relativeHeight="251648000" behindDoc="1" locked="0" layoutInCell="1" allowOverlap="1" wp14:anchorId="34E6BCCB" wp14:editId="12E589DF">
          <wp:simplePos x="0" y="0"/>
          <wp:positionH relativeFrom="column">
            <wp:posOffset>-734060</wp:posOffset>
          </wp:positionH>
          <wp:positionV relativeFrom="paragraph">
            <wp:posOffset>-541020</wp:posOffset>
          </wp:positionV>
          <wp:extent cx="7674610" cy="1735455"/>
          <wp:effectExtent l="0" t="0" r="2540" b="0"/>
          <wp:wrapNone/>
          <wp:docPr id="122" name="图片 9"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val="0"/>
                      </a:ext>
                    </a:extLst>
                  </a:blip>
                  <a:srcRect b="84424"/>
                  <a:stretch>
                    <a:fillRect/>
                  </a:stretch>
                </pic:blipFill>
                <pic:spPr bwMode="auto">
                  <a:xfrm>
                    <a:off x="0" y="0"/>
                    <a:ext cx="7674610" cy="1735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DC6" w:rsidRDefault="00427D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Header"/>
    </w:pPr>
    <w:r>
      <w:rPr>
        <w:noProof/>
        <w:lang w:val="en-AU" w:eastAsia="en-AU"/>
      </w:rPr>
      <w:drawing>
        <wp:anchor distT="0" distB="0" distL="114300" distR="114300" simplePos="0" relativeHeight="251649024" behindDoc="1" locked="0" layoutInCell="1" allowOverlap="1" wp14:anchorId="6D05335B" wp14:editId="7B9009D0">
          <wp:simplePos x="0" y="0"/>
          <wp:positionH relativeFrom="column">
            <wp:posOffset>-716915</wp:posOffset>
          </wp:positionH>
          <wp:positionV relativeFrom="paragraph">
            <wp:posOffset>-536575</wp:posOffset>
          </wp:positionV>
          <wp:extent cx="10864850" cy="1757680"/>
          <wp:effectExtent l="0" t="0" r="0" b="0"/>
          <wp:wrapNone/>
          <wp:docPr id="5" name="图片 2"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0" cy="175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Header"/>
    </w:pPr>
    <w:r>
      <w:rPr>
        <w:noProof/>
        <w:lang w:val="en-AU" w:eastAsia="en-AU"/>
      </w:rPr>
      <w:drawing>
        <wp:anchor distT="0" distB="0" distL="114300" distR="114300" simplePos="0" relativeHeight="251650048" behindDoc="1" locked="0" layoutInCell="1" allowOverlap="1" wp14:anchorId="4FB194B3" wp14:editId="6AA27B81">
          <wp:simplePos x="0" y="0"/>
          <wp:positionH relativeFrom="column">
            <wp:posOffset>-831215</wp:posOffset>
          </wp:positionH>
          <wp:positionV relativeFrom="paragraph">
            <wp:posOffset>-581025</wp:posOffset>
          </wp:positionV>
          <wp:extent cx="7674610" cy="1810385"/>
          <wp:effectExtent l="0" t="0" r="2540" b="0"/>
          <wp:wrapNone/>
          <wp:docPr id="86" name="图片 9"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val="0"/>
                      </a:ext>
                    </a:extLst>
                  </a:blip>
                  <a:srcRect b="84424"/>
                  <a:stretch>
                    <a:fillRect/>
                  </a:stretch>
                </pic:blipFill>
                <pic:spPr bwMode="auto">
                  <a:xfrm>
                    <a:off x="0" y="0"/>
                    <a:ext cx="767461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pPr>
      <w:pStyle w:val="Header"/>
    </w:pPr>
    <w:r>
      <w:rPr>
        <w:noProof/>
        <w:lang w:val="en-AU" w:eastAsia="en-AU"/>
      </w:rPr>
      <w:drawing>
        <wp:anchor distT="0" distB="0" distL="114300" distR="114300" simplePos="0" relativeHeight="251651072" behindDoc="1" locked="0" layoutInCell="1" allowOverlap="1" wp14:anchorId="16D55CCF" wp14:editId="12561C36">
          <wp:simplePos x="0" y="0"/>
          <wp:positionH relativeFrom="column">
            <wp:posOffset>-716915</wp:posOffset>
          </wp:positionH>
          <wp:positionV relativeFrom="paragraph">
            <wp:posOffset>-596265</wp:posOffset>
          </wp:positionV>
          <wp:extent cx="10864850" cy="1757680"/>
          <wp:effectExtent l="0" t="0" r="0" b="0"/>
          <wp:wrapNone/>
          <wp:docPr id="88" name="图片 2"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0" cy="175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rsidP="00D87277">
    <w:pPr>
      <w:pStyle w:val="Header"/>
      <w:pBdr>
        <w:bottom w:val="none" w:sz="0" w:space="2" w:color="auto"/>
      </w:pBdr>
    </w:pPr>
    <w:r>
      <w:rPr>
        <w:noProof/>
        <w:lang w:val="en-AU" w:eastAsia="en-AU"/>
      </w:rPr>
      <w:drawing>
        <wp:anchor distT="0" distB="0" distL="114300" distR="114300" simplePos="0" relativeHeight="251654144" behindDoc="1" locked="0" layoutInCell="1" allowOverlap="1" wp14:anchorId="7FB16D84" wp14:editId="54C36AAC">
          <wp:simplePos x="0" y="0"/>
          <wp:positionH relativeFrom="column">
            <wp:posOffset>-1626870</wp:posOffset>
          </wp:positionH>
          <wp:positionV relativeFrom="paragraph">
            <wp:posOffset>-542925</wp:posOffset>
          </wp:positionV>
          <wp:extent cx="7674610" cy="1810385"/>
          <wp:effectExtent l="0" t="0" r="2540" b="0"/>
          <wp:wrapNone/>
          <wp:docPr id="93" name="图片 9"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val="0"/>
                      </a:ext>
                    </a:extLst>
                  </a:blip>
                  <a:srcRect b="84424"/>
                  <a:stretch>
                    <a:fillRect/>
                  </a:stretch>
                </pic:blipFill>
                <pic:spPr bwMode="auto">
                  <a:xfrm>
                    <a:off x="0" y="0"/>
                    <a:ext cx="7674610" cy="18103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rsidP="00D87277">
    <w:pPr>
      <w:pStyle w:val="Header"/>
      <w:pBdr>
        <w:bottom w:val="none" w:sz="0" w:space="2" w:color="auto"/>
      </w:pBdr>
    </w:pPr>
    <w:r>
      <w:rPr>
        <w:noProof/>
        <w:lang w:val="en-AU" w:eastAsia="en-AU"/>
      </w:rPr>
      <w:drawing>
        <wp:anchor distT="0" distB="0" distL="114300" distR="114300" simplePos="0" relativeHeight="251653120" behindDoc="1" locked="0" layoutInCell="1" allowOverlap="1" wp14:anchorId="78E1E189" wp14:editId="0C962FB2">
          <wp:simplePos x="0" y="0"/>
          <wp:positionH relativeFrom="column">
            <wp:posOffset>-716915</wp:posOffset>
          </wp:positionH>
          <wp:positionV relativeFrom="paragraph">
            <wp:posOffset>-539115</wp:posOffset>
          </wp:positionV>
          <wp:extent cx="10864850" cy="1757680"/>
          <wp:effectExtent l="0" t="0" r="0" b="0"/>
          <wp:wrapNone/>
          <wp:docPr id="98" name="图片 2"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4850" cy="175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40F" w:rsidRDefault="0020240F" w:rsidP="007C6E05">
    <w:pPr>
      <w:pStyle w:val="Header"/>
      <w:pBdr>
        <w:top w:val="none" w:sz="0" w:space="13" w:color="auto"/>
      </w:pBdr>
    </w:pPr>
    <w:r>
      <w:rPr>
        <w:noProof/>
        <w:lang w:val="en-AU" w:eastAsia="en-AU"/>
      </w:rPr>
      <w:drawing>
        <wp:anchor distT="0" distB="0" distL="114300" distR="114300" simplePos="0" relativeHeight="251683840" behindDoc="1" locked="0" layoutInCell="1" allowOverlap="1" wp14:anchorId="7849BC3F" wp14:editId="3FC7A2F0">
          <wp:simplePos x="0" y="0"/>
          <wp:positionH relativeFrom="column">
            <wp:posOffset>-1549628</wp:posOffset>
          </wp:positionH>
          <wp:positionV relativeFrom="paragraph">
            <wp:posOffset>-453090</wp:posOffset>
          </wp:positionV>
          <wp:extent cx="7674610" cy="1735455"/>
          <wp:effectExtent l="0" t="0" r="2540" b="0"/>
          <wp:wrapNone/>
          <wp:docPr id="15" name="图片 9" descr="G20 Ch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1">
                    <a:extLst>
                      <a:ext uri="{28A0092B-C50C-407E-A947-70E740481C1C}">
                        <a14:useLocalDpi xmlns:a14="http://schemas.microsoft.com/office/drawing/2010/main" val="0"/>
                      </a:ext>
                    </a:extLst>
                  </a:blip>
                  <a:srcRect b="84424"/>
                  <a:stretch>
                    <a:fillRect/>
                  </a:stretch>
                </pic:blipFill>
                <pic:spPr bwMode="auto">
                  <a:xfrm>
                    <a:off x="0" y="0"/>
                    <a:ext cx="7674610" cy="1735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06ED86"/>
    <w:lvl w:ilvl="0">
      <w:start w:val="1"/>
      <w:numFmt w:val="decimal"/>
      <w:lvlText w:val="%1."/>
      <w:lvlJc w:val="left"/>
      <w:pPr>
        <w:tabs>
          <w:tab w:val="num" w:pos="1492"/>
        </w:tabs>
        <w:ind w:left="1492" w:hanging="360"/>
      </w:pPr>
    </w:lvl>
  </w:abstractNum>
  <w:abstractNum w:abstractNumId="1">
    <w:nsid w:val="FFFFFF7D"/>
    <w:multiLevelType w:val="singleLevel"/>
    <w:tmpl w:val="17C8C38A"/>
    <w:lvl w:ilvl="0">
      <w:start w:val="1"/>
      <w:numFmt w:val="decimal"/>
      <w:lvlText w:val="%1."/>
      <w:lvlJc w:val="left"/>
      <w:pPr>
        <w:tabs>
          <w:tab w:val="num" w:pos="1209"/>
        </w:tabs>
        <w:ind w:left="1209" w:hanging="360"/>
      </w:pPr>
    </w:lvl>
  </w:abstractNum>
  <w:abstractNum w:abstractNumId="2">
    <w:nsid w:val="FFFFFF7E"/>
    <w:multiLevelType w:val="singleLevel"/>
    <w:tmpl w:val="ECBEC2EE"/>
    <w:lvl w:ilvl="0">
      <w:start w:val="1"/>
      <w:numFmt w:val="decimal"/>
      <w:lvlText w:val="%1."/>
      <w:lvlJc w:val="left"/>
      <w:pPr>
        <w:tabs>
          <w:tab w:val="num" w:pos="926"/>
        </w:tabs>
        <w:ind w:left="926" w:hanging="360"/>
      </w:pPr>
    </w:lvl>
  </w:abstractNum>
  <w:abstractNum w:abstractNumId="3">
    <w:nsid w:val="FFFFFF7F"/>
    <w:multiLevelType w:val="singleLevel"/>
    <w:tmpl w:val="9A3C8F02"/>
    <w:lvl w:ilvl="0">
      <w:start w:val="1"/>
      <w:numFmt w:val="decimal"/>
      <w:lvlText w:val="%1."/>
      <w:lvlJc w:val="left"/>
      <w:pPr>
        <w:tabs>
          <w:tab w:val="num" w:pos="643"/>
        </w:tabs>
        <w:ind w:left="643" w:hanging="360"/>
      </w:pPr>
    </w:lvl>
  </w:abstractNum>
  <w:abstractNum w:abstractNumId="4">
    <w:nsid w:val="FFFFFF80"/>
    <w:multiLevelType w:val="singleLevel"/>
    <w:tmpl w:val="A6246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458D0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3C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805A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40A4C0"/>
    <w:lvl w:ilvl="0">
      <w:start w:val="1"/>
      <w:numFmt w:val="decimal"/>
      <w:lvlText w:val="%1."/>
      <w:lvlJc w:val="left"/>
      <w:pPr>
        <w:tabs>
          <w:tab w:val="num" w:pos="360"/>
        </w:tabs>
        <w:ind w:left="360" w:hanging="360"/>
      </w:pPr>
    </w:lvl>
  </w:abstractNum>
  <w:abstractNum w:abstractNumId="9">
    <w:nsid w:val="FFFFFF89"/>
    <w:multiLevelType w:val="singleLevel"/>
    <w:tmpl w:val="B14EA916"/>
    <w:lvl w:ilvl="0">
      <w:start w:val="1"/>
      <w:numFmt w:val="bullet"/>
      <w:lvlText w:val=""/>
      <w:lvlJc w:val="left"/>
      <w:pPr>
        <w:tabs>
          <w:tab w:val="num" w:pos="360"/>
        </w:tabs>
        <w:ind w:left="360" w:hanging="360"/>
      </w:pPr>
      <w:rPr>
        <w:rFonts w:ascii="Symbol" w:hAnsi="Symbol" w:hint="default"/>
      </w:rPr>
    </w:lvl>
  </w:abstractNum>
  <w:abstractNum w:abstractNumId="10">
    <w:nsid w:val="00000008"/>
    <w:multiLevelType w:val="multilevel"/>
    <w:tmpl w:val="00000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D66404"/>
    <w:multiLevelType w:val="multilevel"/>
    <w:tmpl w:val="79F2B3C0"/>
    <w:name w:val="StandardBulletedList"/>
    <w:lvl w:ilvl="0">
      <w:start w:val="1"/>
      <w:numFmt w:val="bullet"/>
      <w:pStyle w:val="Bullet"/>
      <w:lvlText w:val="•"/>
      <w:lvlJc w:val="left"/>
      <w:pPr>
        <w:tabs>
          <w:tab w:val="num" w:pos="425"/>
        </w:tabs>
        <w:ind w:left="425" w:hanging="425"/>
      </w:pPr>
      <w:rPr>
        <w:rFonts w:ascii="Times New Roman" w:hAnsi="Times New Roman" w:cs="Times New Roman"/>
      </w:rPr>
    </w:lvl>
    <w:lvl w:ilvl="1">
      <w:start w:val="1"/>
      <w:numFmt w:val="bullet"/>
      <w:pStyle w:val="Dash"/>
      <w:lvlText w:val="–"/>
      <w:lvlJc w:val="left"/>
      <w:pPr>
        <w:tabs>
          <w:tab w:val="num" w:pos="850"/>
        </w:tabs>
        <w:ind w:left="850" w:hanging="425"/>
      </w:pPr>
      <w:rPr>
        <w:rFonts w:ascii="Times New Roman" w:hAnsi="Times New Roman" w:cs="Times New Roman"/>
      </w:rPr>
    </w:lvl>
    <w:lvl w:ilvl="2">
      <w:start w:val="1"/>
      <w:numFmt w:val="bullet"/>
      <w:pStyle w:val="DoubleDot"/>
      <w:lvlText w:val=":"/>
      <w:lvlJc w:val="left"/>
      <w:pPr>
        <w:tabs>
          <w:tab w:val="num" w:pos="1275"/>
        </w:tabs>
        <w:ind w:left="1275"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5A925D5"/>
    <w:multiLevelType w:val="hybridMultilevel"/>
    <w:tmpl w:val="8EB09514"/>
    <w:lvl w:ilvl="0" w:tplc="A0AC5114">
      <w:numFmt w:val="bullet"/>
      <w:lvlText w:val="•"/>
      <w:lvlJc w:val="left"/>
      <w:pPr>
        <w:ind w:left="780" w:hanging="420"/>
      </w:pPr>
      <w:rPr>
        <w:rFonts w:ascii="Calibri" w:eastAsia="SimSun" w:hAnsi="Calibri" w:cs="Times New Roman"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6265403"/>
    <w:multiLevelType w:val="hybridMultilevel"/>
    <w:tmpl w:val="9A1802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62708BD"/>
    <w:multiLevelType w:val="hybridMultilevel"/>
    <w:tmpl w:val="52EEEB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9D54495"/>
    <w:multiLevelType w:val="hybridMultilevel"/>
    <w:tmpl w:val="79169C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A2354AC"/>
    <w:multiLevelType w:val="hybridMultilevel"/>
    <w:tmpl w:val="09960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D9E6D7F"/>
    <w:multiLevelType w:val="hybridMultilevel"/>
    <w:tmpl w:val="F620DD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85924D4"/>
    <w:multiLevelType w:val="hybridMultilevel"/>
    <w:tmpl w:val="73EE0856"/>
    <w:lvl w:ilvl="0" w:tplc="4D90EDA4">
      <w:start w:val="1"/>
      <w:numFmt w:val="decimal"/>
      <w:pStyle w:val="Heading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B4C2E06"/>
    <w:multiLevelType w:val="hybridMultilevel"/>
    <w:tmpl w:val="B95EB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33451877"/>
    <w:multiLevelType w:val="hybridMultilevel"/>
    <w:tmpl w:val="C08A1B24"/>
    <w:lvl w:ilvl="0" w:tplc="02AE3A44">
      <w:numFmt w:val="bullet"/>
      <w:lvlText w:val="•"/>
      <w:lvlJc w:val="left"/>
      <w:pPr>
        <w:ind w:left="420" w:hanging="420"/>
      </w:pPr>
      <w:rPr>
        <w:rFonts w:ascii="Calibri" w:eastAsia="SimSun"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CC879E1"/>
    <w:multiLevelType w:val="hybridMultilevel"/>
    <w:tmpl w:val="327A0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A637CFC"/>
    <w:multiLevelType w:val="hybridMultilevel"/>
    <w:tmpl w:val="437A0D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F147B98"/>
    <w:multiLevelType w:val="hybridMultilevel"/>
    <w:tmpl w:val="272657C4"/>
    <w:lvl w:ilvl="0" w:tplc="4BD495E8">
      <w:start w:val="1"/>
      <w:numFmt w:val="bullet"/>
      <w:pStyle w:val="CERDBodyTextDotPoint"/>
      <w:lvlText w:val=""/>
      <w:lvlJc w:val="left"/>
      <w:pPr>
        <w:ind w:left="142" w:firstLine="0"/>
      </w:pPr>
      <w:rPr>
        <w:rFonts w:ascii="Wingdings" w:hAnsi="Wingdings" w:hint="default"/>
        <w:b/>
        <w:i w:val="0"/>
        <w:color w:val="auto"/>
        <w:position w:val="2"/>
        <w:sz w:val="12"/>
      </w:rPr>
    </w:lvl>
    <w:lvl w:ilvl="1" w:tplc="0C090019">
      <w:start w:val="1"/>
      <w:numFmt w:val="lowerLetter"/>
      <w:lvlText w:val="%2."/>
      <w:lvlJc w:val="left"/>
      <w:pPr>
        <w:ind w:left="1080" w:hanging="360"/>
      </w:pPr>
    </w:lvl>
    <w:lvl w:ilvl="2" w:tplc="04E2D340">
      <w:numFmt w:val="bullet"/>
      <w:lvlText w:val="•"/>
      <w:lvlJc w:val="left"/>
      <w:pPr>
        <w:ind w:left="2340" w:hanging="720"/>
      </w:pPr>
      <w:rPr>
        <w:rFonts w:ascii="Calibri" w:eastAsia="Times New Roman"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4">
    <w:nsid w:val="51DC3CE9"/>
    <w:multiLevelType w:val="hybridMultilevel"/>
    <w:tmpl w:val="A5D42E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523511A2"/>
    <w:multiLevelType w:val="hybridMultilevel"/>
    <w:tmpl w:val="5D0C2D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DF552F"/>
    <w:multiLevelType w:val="hybridMultilevel"/>
    <w:tmpl w:val="8596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BE5355"/>
    <w:multiLevelType w:val="hybridMultilevel"/>
    <w:tmpl w:val="36C22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620F2521"/>
    <w:multiLevelType w:val="hybridMultilevel"/>
    <w:tmpl w:val="E8DA71D0"/>
    <w:lvl w:ilvl="0" w:tplc="B66E47C0">
      <w:start w:val="3"/>
      <w:numFmt w:val="bullet"/>
      <w:pStyle w:val="ListParagraph"/>
      <w:lvlText w:val="•"/>
      <w:lvlJc w:val="left"/>
      <w:pPr>
        <w:ind w:left="780" w:hanging="42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2C748E2"/>
    <w:multiLevelType w:val="hybridMultilevel"/>
    <w:tmpl w:val="AB488B42"/>
    <w:lvl w:ilvl="0" w:tplc="CE14628A">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nsid w:val="64B11B1A"/>
    <w:multiLevelType w:val="hybridMultilevel"/>
    <w:tmpl w:val="D1A2C198"/>
    <w:lvl w:ilvl="0" w:tplc="02AE3A44">
      <w:numFmt w:val="bullet"/>
      <w:lvlText w:val="•"/>
      <w:lvlJc w:val="left"/>
      <w:pPr>
        <w:ind w:left="780" w:hanging="42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55078E8"/>
    <w:multiLevelType w:val="hybridMultilevel"/>
    <w:tmpl w:val="7FB81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7307502"/>
    <w:multiLevelType w:val="hybridMultilevel"/>
    <w:tmpl w:val="4EC41906"/>
    <w:lvl w:ilvl="0" w:tplc="02AE3A44">
      <w:numFmt w:val="bullet"/>
      <w:lvlText w:val="•"/>
      <w:lvlJc w:val="left"/>
      <w:pPr>
        <w:ind w:left="720" w:hanging="36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7614E30"/>
    <w:multiLevelType w:val="hybridMultilevel"/>
    <w:tmpl w:val="BBF09F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nsid w:val="6D2C7913"/>
    <w:multiLevelType w:val="hybridMultilevel"/>
    <w:tmpl w:val="6A4A36E6"/>
    <w:lvl w:ilvl="0" w:tplc="85B0315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748F5F3D"/>
    <w:multiLevelType w:val="hybridMultilevel"/>
    <w:tmpl w:val="E05818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nsid w:val="74A6527E"/>
    <w:multiLevelType w:val="hybridMultilevel"/>
    <w:tmpl w:val="FB94E9F8"/>
    <w:lvl w:ilvl="0" w:tplc="02AE3A44">
      <w:numFmt w:val="bullet"/>
      <w:lvlText w:val="•"/>
      <w:lvlJc w:val="left"/>
      <w:pPr>
        <w:ind w:left="780" w:hanging="420"/>
      </w:pPr>
      <w:rPr>
        <w:rFonts w:ascii="Calibri" w:eastAsia="SimSu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72C2EC1"/>
    <w:multiLevelType w:val="hybridMultilevel"/>
    <w:tmpl w:val="7744D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D225A29"/>
    <w:multiLevelType w:val="hybridMultilevel"/>
    <w:tmpl w:val="82E2AFB2"/>
    <w:lvl w:ilvl="0" w:tplc="02AE3A44">
      <w:numFmt w:val="bullet"/>
      <w:lvlText w:val="•"/>
      <w:lvlJc w:val="left"/>
      <w:pPr>
        <w:ind w:left="780" w:hanging="420"/>
      </w:pPr>
      <w:rPr>
        <w:rFonts w:ascii="Calibri" w:eastAsia="SimSun" w:hAnsi="Calibri" w:cs="Times New Roman" w:hint="default"/>
      </w:rPr>
    </w:lvl>
    <w:lvl w:ilvl="1" w:tplc="A2AE57C0">
      <w:numFmt w:val="bullet"/>
      <w:lvlText w:val=""/>
      <w:lvlJc w:val="left"/>
      <w:pPr>
        <w:ind w:left="1500" w:hanging="420"/>
      </w:pPr>
      <w:rPr>
        <w:rFonts w:ascii="Symbol" w:eastAsia="SimSun" w:hAnsi="Symbol"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301BEA"/>
    <w:multiLevelType w:val="hybridMultilevel"/>
    <w:tmpl w:val="14AC8802"/>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num w:numId="1">
    <w:abstractNumId w:val="10"/>
  </w:num>
  <w:num w:numId="2">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7"/>
  </w:num>
  <w:num w:numId="5">
    <w:abstractNumId w:val="15"/>
  </w:num>
  <w:num w:numId="6">
    <w:abstractNumId w:val="21"/>
  </w:num>
  <w:num w:numId="7">
    <w:abstractNumId w:val="20"/>
  </w:num>
  <w:num w:numId="8">
    <w:abstractNumId w:val="32"/>
  </w:num>
  <w:num w:numId="9">
    <w:abstractNumId w:val="25"/>
  </w:num>
  <w:num w:numId="10">
    <w:abstractNumId w:val="34"/>
  </w:num>
  <w:num w:numId="11">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2"/>
  </w:num>
  <w:num w:numId="14">
    <w:abstractNumId w:val="31"/>
  </w:num>
  <w:num w:numId="15">
    <w:abstractNumId w:val="18"/>
  </w:num>
  <w:num w:numId="16">
    <w:abstractNumId w:val="39"/>
  </w:num>
  <w:num w:numId="17">
    <w:abstractNumId w:val="35"/>
  </w:num>
  <w:num w:numId="18">
    <w:abstractNumId w:val="33"/>
  </w:num>
  <w:num w:numId="19">
    <w:abstractNumId w:val="24"/>
  </w:num>
  <w:num w:numId="20">
    <w:abstractNumId w:val="14"/>
  </w:num>
  <w:num w:numId="21">
    <w:abstractNumId w:val="19"/>
  </w:num>
  <w:num w:numId="22">
    <w:abstractNumId w:val="37"/>
  </w:num>
  <w:num w:numId="23">
    <w:abstractNumId w:val="26"/>
  </w:num>
  <w:num w:numId="24">
    <w:abstractNumId w:val="30"/>
  </w:num>
  <w:num w:numId="25">
    <w:abstractNumId w:val="12"/>
  </w:num>
  <w:num w:numId="26">
    <w:abstractNumId w:val="36"/>
  </w:num>
  <w:num w:numId="27">
    <w:abstractNumId w:val="16"/>
  </w:num>
  <w:num w:numId="28">
    <w:abstractNumId w:val="13"/>
  </w:num>
  <w:num w:numId="29">
    <w:abstractNumId w:val="29"/>
  </w:num>
  <w:num w:numId="30">
    <w:abstractNumId w:val="28"/>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63"/>
  <w:displayHorizontalDrawingGridEvery w:val="0"/>
  <w:displayVerticalDrawingGridEvery w:val="2"/>
  <w:characterSpacingControl w:val="compressPunctuation"/>
  <w:doNotValidateAgainstSchema/>
  <w:doNotDemarcateInvalidXml/>
  <w:hdrShapeDefaults>
    <o:shapedefaults v:ext="edit" spidmax="267265"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6D2"/>
    <w:rsid w:val="000030FB"/>
    <w:rsid w:val="000051A8"/>
    <w:rsid w:val="00007005"/>
    <w:rsid w:val="00007BFC"/>
    <w:rsid w:val="000148E5"/>
    <w:rsid w:val="000150D8"/>
    <w:rsid w:val="00020870"/>
    <w:rsid w:val="00021D7F"/>
    <w:rsid w:val="00022BDF"/>
    <w:rsid w:val="00023AF9"/>
    <w:rsid w:val="000245DA"/>
    <w:rsid w:val="0002464A"/>
    <w:rsid w:val="00024856"/>
    <w:rsid w:val="00025048"/>
    <w:rsid w:val="00025E6B"/>
    <w:rsid w:val="000261B9"/>
    <w:rsid w:val="00026325"/>
    <w:rsid w:val="000276A6"/>
    <w:rsid w:val="00030151"/>
    <w:rsid w:val="000307ED"/>
    <w:rsid w:val="00032706"/>
    <w:rsid w:val="0003273A"/>
    <w:rsid w:val="00035481"/>
    <w:rsid w:val="00035ED7"/>
    <w:rsid w:val="00036F91"/>
    <w:rsid w:val="00040F58"/>
    <w:rsid w:val="000426E1"/>
    <w:rsid w:val="000438A3"/>
    <w:rsid w:val="000440C9"/>
    <w:rsid w:val="00047C62"/>
    <w:rsid w:val="0005365C"/>
    <w:rsid w:val="00053AEA"/>
    <w:rsid w:val="00054F89"/>
    <w:rsid w:val="0005523E"/>
    <w:rsid w:val="000624FD"/>
    <w:rsid w:val="0006318F"/>
    <w:rsid w:val="00063BF0"/>
    <w:rsid w:val="00064B57"/>
    <w:rsid w:val="000679F2"/>
    <w:rsid w:val="000717DD"/>
    <w:rsid w:val="00073B6C"/>
    <w:rsid w:val="00075B37"/>
    <w:rsid w:val="00077A9A"/>
    <w:rsid w:val="00081B91"/>
    <w:rsid w:val="00083EE0"/>
    <w:rsid w:val="00087051"/>
    <w:rsid w:val="00091DE8"/>
    <w:rsid w:val="0009249C"/>
    <w:rsid w:val="00093943"/>
    <w:rsid w:val="000957D2"/>
    <w:rsid w:val="000A039A"/>
    <w:rsid w:val="000A0EDB"/>
    <w:rsid w:val="000A2568"/>
    <w:rsid w:val="000A3521"/>
    <w:rsid w:val="000A3D1B"/>
    <w:rsid w:val="000A517F"/>
    <w:rsid w:val="000A551C"/>
    <w:rsid w:val="000A5D3D"/>
    <w:rsid w:val="000A6887"/>
    <w:rsid w:val="000A6F42"/>
    <w:rsid w:val="000B00EC"/>
    <w:rsid w:val="000B099B"/>
    <w:rsid w:val="000B1B01"/>
    <w:rsid w:val="000B1D3C"/>
    <w:rsid w:val="000B20AB"/>
    <w:rsid w:val="000B53FF"/>
    <w:rsid w:val="000B6530"/>
    <w:rsid w:val="000C2093"/>
    <w:rsid w:val="000C3285"/>
    <w:rsid w:val="000C442D"/>
    <w:rsid w:val="000D02CE"/>
    <w:rsid w:val="000D0E95"/>
    <w:rsid w:val="000D41B9"/>
    <w:rsid w:val="000D4295"/>
    <w:rsid w:val="000D502F"/>
    <w:rsid w:val="000D527D"/>
    <w:rsid w:val="000D58EC"/>
    <w:rsid w:val="000D6298"/>
    <w:rsid w:val="000D7702"/>
    <w:rsid w:val="000D786C"/>
    <w:rsid w:val="000D7B31"/>
    <w:rsid w:val="000E2B66"/>
    <w:rsid w:val="000E393C"/>
    <w:rsid w:val="000E61DE"/>
    <w:rsid w:val="000E6D2F"/>
    <w:rsid w:val="000E715A"/>
    <w:rsid w:val="000F0833"/>
    <w:rsid w:val="000F2E91"/>
    <w:rsid w:val="000F38F2"/>
    <w:rsid w:val="000F51C8"/>
    <w:rsid w:val="000F537D"/>
    <w:rsid w:val="000F63C5"/>
    <w:rsid w:val="00101154"/>
    <w:rsid w:val="00101C53"/>
    <w:rsid w:val="0010535D"/>
    <w:rsid w:val="001117C1"/>
    <w:rsid w:val="00111EA3"/>
    <w:rsid w:val="00112471"/>
    <w:rsid w:val="00113308"/>
    <w:rsid w:val="0011369D"/>
    <w:rsid w:val="00117780"/>
    <w:rsid w:val="00117B7E"/>
    <w:rsid w:val="00120A94"/>
    <w:rsid w:val="001264AF"/>
    <w:rsid w:val="00127BC8"/>
    <w:rsid w:val="00131313"/>
    <w:rsid w:val="001316D8"/>
    <w:rsid w:val="00133FCD"/>
    <w:rsid w:val="00136758"/>
    <w:rsid w:val="00136E62"/>
    <w:rsid w:val="00137DB5"/>
    <w:rsid w:val="00142207"/>
    <w:rsid w:val="00142D3C"/>
    <w:rsid w:val="001456E9"/>
    <w:rsid w:val="001471EF"/>
    <w:rsid w:val="00150E8B"/>
    <w:rsid w:val="00150EB8"/>
    <w:rsid w:val="00152B76"/>
    <w:rsid w:val="001533C5"/>
    <w:rsid w:val="001536B2"/>
    <w:rsid w:val="0015421D"/>
    <w:rsid w:val="0015461E"/>
    <w:rsid w:val="00154E24"/>
    <w:rsid w:val="00156EBD"/>
    <w:rsid w:val="00160676"/>
    <w:rsid w:val="0016101A"/>
    <w:rsid w:val="001616EA"/>
    <w:rsid w:val="00161D9A"/>
    <w:rsid w:val="00162111"/>
    <w:rsid w:val="00163B04"/>
    <w:rsid w:val="00164B0D"/>
    <w:rsid w:val="00165503"/>
    <w:rsid w:val="00165B28"/>
    <w:rsid w:val="0016642A"/>
    <w:rsid w:val="001709A9"/>
    <w:rsid w:val="001714C1"/>
    <w:rsid w:val="00171737"/>
    <w:rsid w:val="00171795"/>
    <w:rsid w:val="00171DEF"/>
    <w:rsid w:val="001720AD"/>
    <w:rsid w:val="00172A27"/>
    <w:rsid w:val="00174D19"/>
    <w:rsid w:val="0017501D"/>
    <w:rsid w:val="001767A4"/>
    <w:rsid w:val="0018412E"/>
    <w:rsid w:val="00184AD3"/>
    <w:rsid w:val="00184EFF"/>
    <w:rsid w:val="001862AE"/>
    <w:rsid w:val="00191EBA"/>
    <w:rsid w:val="00193D03"/>
    <w:rsid w:val="001940C9"/>
    <w:rsid w:val="001947AF"/>
    <w:rsid w:val="00194940"/>
    <w:rsid w:val="00195631"/>
    <w:rsid w:val="001975F6"/>
    <w:rsid w:val="001A0477"/>
    <w:rsid w:val="001A43D7"/>
    <w:rsid w:val="001A7CAD"/>
    <w:rsid w:val="001B1926"/>
    <w:rsid w:val="001B1DA9"/>
    <w:rsid w:val="001B697C"/>
    <w:rsid w:val="001C14EF"/>
    <w:rsid w:val="001C1CE3"/>
    <w:rsid w:val="001C1F8F"/>
    <w:rsid w:val="001C2B4F"/>
    <w:rsid w:val="001C42B0"/>
    <w:rsid w:val="001D056A"/>
    <w:rsid w:val="001D0EEB"/>
    <w:rsid w:val="001D1212"/>
    <w:rsid w:val="001D1992"/>
    <w:rsid w:val="001D211B"/>
    <w:rsid w:val="001D2A3A"/>
    <w:rsid w:val="001D46D1"/>
    <w:rsid w:val="001D4AAA"/>
    <w:rsid w:val="001D5511"/>
    <w:rsid w:val="001D5801"/>
    <w:rsid w:val="001E02E6"/>
    <w:rsid w:val="001E069E"/>
    <w:rsid w:val="001E0F3B"/>
    <w:rsid w:val="001E1207"/>
    <w:rsid w:val="001E1D56"/>
    <w:rsid w:val="001E1E9D"/>
    <w:rsid w:val="001E2706"/>
    <w:rsid w:val="001E4B91"/>
    <w:rsid w:val="001E4BDD"/>
    <w:rsid w:val="001E5A74"/>
    <w:rsid w:val="001E5C32"/>
    <w:rsid w:val="001E6090"/>
    <w:rsid w:val="001E7494"/>
    <w:rsid w:val="001E7EC2"/>
    <w:rsid w:val="001F1EF4"/>
    <w:rsid w:val="001F3579"/>
    <w:rsid w:val="001F5770"/>
    <w:rsid w:val="001F590F"/>
    <w:rsid w:val="001F79D3"/>
    <w:rsid w:val="00202210"/>
    <w:rsid w:val="0020240F"/>
    <w:rsid w:val="00202E71"/>
    <w:rsid w:val="002045D7"/>
    <w:rsid w:val="00205C19"/>
    <w:rsid w:val="00205C87"/>
    <w:rsid w:val="00210DF2"/>
    <w:rsid w:val="0021274A"/>
    <w:rsid w:val="002130FA"/>
    <w:rsid w:val="00213472"/>
    <w:rsid w:val="0021589D"/>
    <w:rsid w:val="00217BF6"/>
    <w:rsid w:val="00220649"/>
    <w:rsid w:val="00221412"/>
    <w:rsid w:val="002221E5"/>
    <w:rsid w:val="00222D5B"/>
    <w:rsid w:val="00223ADB"/>
    <w:rsid w:val="002274E3"/>
    <w:rsid w:val="00227536"/>
    <w:rsid w:val="00230387"/>
    <w:rsid w:val="00230497"/>
    <w:rsid w:val="00230972"/>
    <w:rsid w:val="00231E6D"/>
    <w:rsid w:val="00231ED4"/>
    <w:rsid w:val="00233AE9"/>
    <w:rsid w:val="00233E47"/>
    <w:rsid w:val="002344B4"/>
    <w:rsid w:val="00235639"/>
    <w:rsid w:val="0023616D"/>
    <w:rsid w:val="0023758B"/>
    <w:rsid w:val="00242909"/>
    <w:rsid w:val="002436F6"/>
    <w:rsid w:val="0024373B"/>
    <w:rsid w:val="00243AE6"/>
    <w:rsid w:val="0024477C"/>
    <w:rsid w:val="00244F3D"/>
    <w:rsid w:val="00246292"/>
    <w:rsid w:val="00247364"/>
    <w:rsid w:val="002501D3"/>
    <w:rsid w:val="00251754"/>
    <w:rsid w:val="00251C97"/>
    <w:rsid w:val="0025287F"/>
    <w:rsid w:val="00252DB3"/>
    <w:rsid w:val="0025320A"/>
    <w:rsid w:val="00261742"/>
    <w:rsid w:val="00261A0E"/>
    <w:rsid w:val="00262042"/>
    <w:rsid w:val="002627B0"/>
    <w:rsid w:val="00262AE0"/>
    <w:rsid w:val="0026380B"/>
    <w:rsid w:val="002640E0"/>
    <w:rsid w:val="0026453E"/>
    <w:rsid w:val="00264925"/>
    <w:rsid w:val="00266158"/>
    <w:rsid w:val="002672CB"/>
    <w:rsid w:val="002720CE"/>
    <w:rsid w:val="0027282F"/>
    <w:rsid w:val="0027537D"/>
    <w:rsid w:val="00275E6C"/>
    <w:rsid w:val="00276546"/>
    <w:rsid w:val="00283C83"/>
    <w:rsid w:val="00287E31"/>
    <w:rsid w:val="00290750"/>
    <w:rsid w:val="00291C20"/>
    <w:rsid w:val="00294629"/>
    <w:rsid w:val="00297DFD"/>
    <w:rsid w:val="002A0D2E"/>
    <w:rsid w:val="002A1B70"/>
    <w:rsid w:val="002A5E3D"/>
    <w:rsid w:val="002A6097"/>
    <w:rsid w:val="002B0553"/>
    <w:rsid w:val="002B2463"/>
    <w:rsid w:val="002B3D33"/>
    <w:rsid w:val="002B3F5C"/>
    <w:rsid w:val="002B4466"/>
    <w:rsid w:val="002B613A"/>
    <w:rsid w:val="002B7317"/>
    <w:rsid w:val="002C080C"/>
    <w:rsid w:val="002C7213"/>
    <w:rsid w:val="002D1156"/>
    <w:rsid w:val="002D3302"/>
    <w:rsid w:val="002D6158"/>
    <w:rsid w:val="002D74F9"/>
    <w:rsid w:val="002E1BB8"/>
    <w:rsid w:val="002E23D4"/>
    <w:rsid w:val="002E38B4"/>
    <w:rsid w:val="002E400F"/>
    <w:rsid w:val="002E5177"/>
    <w:rsid w:val="002E6622"/>
    <w:rsid w:val="003008BD"/>
    <w:rsid w:val="003018CD"/>
    <w:rsid w:val="00303DDA"/>
    <w:rsid w:val="003041F6"/>
    <w:rsid w:val="003047B6"/>
    <w:rsid w:val="00304C22"/>
    <w:rsid w:val="00304D09"/>
    <w:rsid w:val="003066D6"/>
    <w:rsid w:val="00307C45"/>
    <w:rsid w:val="00310387"/>
    <w:rsid w:val="003109A5"/>
    <w:rsid w:val="00310C4B"/>
    <w:rsid w:val="00315FE7"/>
    <w:rsid w:val="00316358"/>
    <w:rsid w:val="003169E7"/>
    <w:rsid w:val="00316B3C"/>
    <w:rsid w:val="0031714D"/>
    <w:rsid w:val="003223BF"/>
    <w:rsid w:val="003223FC"/>
    <w:rsid w:val="0032638E"/>
    <w:rsid w:val="00330710"/>
    <w:rsid w:val="00333C92"/>
    <w:rsid w:val="00337C00"/>
    <w:rsid w:val="00340043"/>
    <w:rsid w:val="00341B0F"/>
    <w:rsid w:val="00342718"/>
    <w:rsid w:val="00343841"/>
    <w:rsid w:val="0034462D"/>
    <w:rsid w:val="003455B4"/>
    <w:rsid w:val="00350635"/>
    <w:rsid w:val="00351FEE"/>
    <w:rsid w:val="00352EFA"/>
    <w:rsid w:val="00354E5E"/>
    <w:rsid w:val="0035512A"/>
    <w:rsid w:val="00357C5A"/>
    <w:rsid w:val="00357F16"/>
    <w:rsid w:val="003607AC"/>
    <w:rsid w:val="00360A83"/>
    <w:rsid w:val="0036146A"/>
    <w:rsid w:val="00362168"/>
    <w:rsid w:val="00365183"/>
    <w:rsid w:val="00365DEB"/>
    <w:rsid w:val="00370A06"/>
    <w:rsid w:val="003713EF"/>
    <w:rsid w:val="00371CA2"/>
    <w:rsid w:val="00373292"/>
    <w:rsid w:val="0037380F"/>
    <w:rsid w:val="00376EB3"/>
    <w:rsid w:val="00380361"/>
    <w:rsid w:val="00380398"/>
    <w:rsid w:val="00380FF0"/>
    <w:rsid w:val="00382DE2"/>
    <w:rsid w:val="00383AE2"/>
    <w:rsid w:val="00384D43"/>
    <w:rsid w:val="00386C00"/>
    <w:rsid w:val="00386CCE"/>
    <w:rsid w:val="0038709B"/>
    <w:rsid w:val="00387EA2"/>
    <w:rsid w:val="00390730"/>
    <w:rsid w:val="00391101"/>
    <w:rsid w:val="00391692"/>
    <w:rsid w:val="0039351A"/>
    <w:rsid w:val="003953DA"/>
    <w:rsid w:val="00395B52"/>
    <w:rsid w:val="003A11F4"/>
    <w:rsid w:val="003A121C"/>
    <w:rsid w:val="003A1845"/>
    <w:rsid w:val="003A4956"/>
    <w:rsid w:val="003A6DEF"/>
    <w:rsid w:val="003B255E"/>
    <w:rsid w:val="003B25D8"/>
    <w:rsid w:val="003B373F"/>
    <w:rsid w:val="003B45D7"/>
    <w:rsid w:val="003B4D2C"/>
    <w:rsid w:val="003B5DCC"/>
    <w:rsid w:val="003C12B4"/>
    <w:rsid w:val="003C1A6E"/>
    <w:rsid w:val="003C23A2"/>
    <w:rsid w:val="003C254F"/>
    <w:rsid w:val="003C3B27"/>
    <w:rsid w:val="003C7E9B"/>
    <w:rsid w:val="003D180B"/>
    <w:rsid w:val="003D199E"/>
    <w:rsid w:val="003D1FA8"/>
    <w:rsid w:val="003D5A14"/>
    <w:rsid w:val="003D64C7"/>
    <w:rsid w:val="003E09CB"/>
    <w:rsid w:val="003E3DBE"/>
    <w:rsid w:val="003E63C9"/>
    <w:rsid w:val="003E664E"/>
    <w:rsid w:val="003E72B9"/>
    <w:rsid w:val="003E7A89"/>
    <w:rsid w:val="003E7F34"/>
    <w:rsid w:val="003F0454"/>
    <w:rsid w:val="003F0E31"/>
    <w:rsid w:val="003F2466"/>
    <w:rsid w:val="003F40DE"/>
    <w:rsid w:val="003F7F53"/>
    <w:rsid w:val="003F7FF1"/>
    <w:rsid w:val="00400890"/>
    <w:rsid w:val="004058FE"/>
    <w:rsid w:val="004113DA"/>
    <w:rsid w:val="00411A42"/>
    <w:rsid w:val="004127D0"/>
    <w:rsid w:val="00413615"/>
    <w:rsid w:val="004144F0"/>
    <w:rsid w:val="004179E0"/>
    <w:rsid w:val="0042048C"/>
    <w:rsid w:val="00422FD9"/>
    <w:rsid w:val="004233E3"/>
    <w:rsid w:val="00423BCB"/>
    <w:rsid w:val="00423D79"/>
    <w:rsid w:val="00427894"/>
    <w:rsid w:val="00427DC6"/>
    <w:rsid w:val="00427EB7"/>
    <w:rsid w:val="00432F95"/>
    <w:rsid w:val="00434C6C"/>
    <w:rsid w:val="00434E4D"/>
    <w:rsid w:val="0043601D"/>
    <w:rsid w:val="00436DF7"/>
    <w:rsid w:val="00442E62"/>
    <w:rsid w:val="004435A6"/>
    <w:rsid w:val="00443DC3"/>
    <w:rsid w:val="00447413"/>
    <w:rsid w:val="0045082C"/>
    <w:rsid w:val="0045149B"/>
    <w:rsid w:val="00451F41"/>
    <w:rsid w:val="00455D99"/>
    <w:rsid w:val="004567BC"/>
    <w:rsid w:val="00456904"/>
    <w:rsid w:val="00456BE4"/>
    <w:rsid w:val="00457D56"/>
    <w:rsid w:val="004607E6"/>
    <w:rsid w:val="00462174"/>
    <w:rsid w:val="004621B8"/>
    <w:rsid w:val="00462214"/>
    <w:rsid w:val="00463C56"/>
    <w:rsid w:val="00465310"/>
    <w:rsid w:val="00467D4B"/>
    <w:rsid w:val="00470293"/>
    <w:rsid w:val="004718EE"/>
    <w:rsid w:val="00472734"/>
    <w:rsid w:val="00472BA9"/>
    <w:rsid w:val="00474087"/>
    <w:rsid w:val="004747B9"/>
    <w:rsid w:val="00477E39"/>
    <w:rsid w:val="00491877"/>
    <w:rsid w:val="00491B57"/>
    <w:rsid w:val="004932F6"/>
    <w:rsid w:val="0049518A"/>
    <w:rsid w:val="00496FE9"/>
    <w:rsid w:val="00497021"/>
    <w:rsid w:val="004A16C0"/>
    <w:rsid w:val="004A1B1C"/>
    <w:rsid w:val="004A2AFF"/>
    <w:rsid w:val="004A4E34"/>
    <w:rsid w:val="004A586F"/>
    <w:rsid w:val="004A5E0E"/>
    <w:rsid w:val="004A6EEC"/>
    <w:rsid w:val="004A7D9E"/>
    <w:rsid w:val="004B1DCB"/>
    <w:rsid w:val="004B2210"/>
    <w:rsid w:val="004B3BB7"/>
    <w:rsid w:val="004B49C4"/>
    <w:rsid w:val="004B6BB9"/>
    <w:rsid w:val="004B7F90"/>
    <w:rsid w:val="004C1152"/>
    <w:rsid w:val="004C24DD"/>
    <w:rsid w:val="004C3942"/>
    <w:rsid w:val="004C56B6"/>
    <w:rsid w:val="004C5EED"/>
    <w:rsid w:val="004C6544"/>
    <w:rsid w:val="004C6955"/>
    <w:rsid w:val="004D0256"/>
    <w:rsid w:val="004D028A"/>
    <w:rsid w:val="004D1341"/>
    <w:rsid w:val="004D1775"/>
    <w:rsid w:val="004D1C04"/>
    <w:rsid w:val="004D20EF"/>
    <w:rsid w:val="004D32F1"/>
    <w:rsid w:val="004D4976"/>
    <w:rsid w:val="004D6AD6"/>
    <w:rsid w:val="004D6EC1"/>
    <w:rsid w:val="004E0748"/>
    <w:rsid w:val="004E093E"/>
    <w:rsid w:val="004E13BC"/>
    <w:rsid w:val="004E3F1C"/>
    <w:rsid w:val="004E52B3"/>
    <w:rsid w:val="004E7C2B"/>
    <w:rsid w:val="004F2790"/>
    <w:rsid w:val="004F3A97"/>
    <w:rsid w:val="004F4CB0"/>
    <w:rsid w:val="004F7890"/>
    <w:rsid w:val="004F7D5D"/>
    <w:rsid w:val="005002A8"/>
    <w:rsid w:val="0050437E"/>
    <w:rsid w:val="00505863"/>
    <w:rsid w:val="00507B76"/>
    <w:rsid w:val="005108EC"/>
    <w:rsid w:val="00512357"/>
    <w:rsid w:val="00513435"/>
    <w:rsid w:val="005142CE"/>
    <w:rsid w:val="00514916"/>
    <w:rsid w:val="0051543A"/>
    <w:rsid w:val="005155A5"/>
    <w:rsid w:val="0051765A"/>
    <w:rsid w:val="00517895"/>
    <w:rsid w:val="00520A1A"/>
    <w:rsid w:val="005234D1"/>
    <w:rsid w:val="0052356E"/>
    <w:rsid w:val="0052658D"/>
    <w:rsid w:val="00527E73"/>
    <w:rsid w:val="00531CC4"/>
    <w:rsid w:val="00531FDA"/>
    <w:rsid w:val="005334A2"/>
    <w:rsid w:val="005341C7"/>
    <w:rsid w:val="00534464"/>
    <w:rsid w:val="0053762C"/>
    <w:rsid w:val="00540F0B"/>
    <w:rsid w:val="005430C9"/>
    <w:rsid w:val="005444E1"/>
    <w:rsid w:val="005457A4"/>
    <w:rsid w:val="005512E4"/>
    <w:rsid w:val="00552EDD"/>
    <w:rsid w:val="005549D0"/>
    <w:rsid w:val="0055548A"/>
    <w:rsid w:val="005563C4"/>
    <w:rsid w:val="0056222A"/>
    <w:rsid w:val="00565FD9"/>
    <w:rsid w:val="005675B3"/>
    <w:rsid w:val="005700D7"/>
    <w:rsid w:val="0057399D"/>
    <w:rsid w:val="00575AFB"/>
    <w:rsid w:val="00577DBA"/>
    <w:rsid w:val="005801C7"/>
    <w:rsid w:val="00580358"/>
    <w:rsid w:val="00581A19"/>
    <w:rsid w:val="0058346C"/>
    <w:rsid w:val="00583924"/>
    <w:rsid w:val="0058552E"/>
    <w:rsid w:val="005865E7"/>
    <w:rsid w:val="00591215"/>
    <w:rsid w:val="005926DA"/>
    <w:rsid w:val="005932B8"/>
    <w:rsid w:val="00597A75"/>
    <w:rsid w:val="00597C59"/>
    <w:rsid w:val="005A0252"/>
    <w:rsid w:val="005A0335"/>
    <w:rsid w:val="005A0EE2"/>
    <w:rsid w:val="005A2776"/>
    <w:rsid w:val="005A34C9"/>
    <w:rsid w:val="005A4520"/>
    <w:rsid w:val="005A468A"/>
    <w:rsid w:val="005A52AD"/>
    <w:rsid w:val="005A62F8"/>
    <w:rsid w:val="005A78C6"/>
    <w:rsid w:val="005A7A38"/>
    <w:rsid w:val="005A7EF1"/>
    <w:rsid w:val="005B18CE"/>
    <w:rsid w:val="005B226D"/>
    <w:rsid w:val="005B3D7F"/>
    <w:rsid w:val="005B5618"/>
    <w:rsid w:val="005B5C22"/>
    <w:rsid w:val="005B5C3D"/>
    <w:rsid w:val="005B6143"/>
    <w:rsid w:val="005B6444"/>
    <w:rsid w:val="005B6562"/>
    <w:rsid w:val="005B68F4"/>
    <w:rsid w:val="005C05E7"/>
    <w:rsid w:val="005C1FD3"/>
    <w:rsid w:val="005C6BE1"/>
    <w:rsid w:val="005D11B2"/>
    <w:rsid w:val="005D19F6"/>
    <w:rsid w:val="005D3DE1"/>
    <w:rsid w:val="005D7306"/>
    <w:rsid w:val="005E125A"/>
    <w:rsid w:val="005E2275"/>
    <w:rsid w:val="005E59C2"/>
    <w:rsid w:val="005E7186"/>
    <w:rsid w:val="005E74D2"/>
    <w:rsid w:val="005F054F"/>
    <w:rsid w:val="005F0D9D"/>
    <w:rsid w:val="005F1A40"/>
    <w:rsid w:val="005F25A0"/>
    <w:rsid w:val="005F2E7F"/>
    <w:rsid w:val="005F38DE"/>
    <w:rsid w:val="005F3F52"/>
    <w:rsid w:val="005F5199"/>
    <w:rsid w:val="005F5AEF"/>
    <w:rsid w:val="005F68EB"/>
    <w:rsid w:val="005F6E05"/>
    <w:rsid w:val="005F7FCC"/>
    <w:rsid w:val="006005EB"/>
    <w:rsid w:val="0060338E"/>
    <w:rsid w:val="00603ACE"/>
    <w:rsid w:val="006049DC"/>
    <w:rsid w:val="00605CF2"/>
    <w:rsid w:val="006069C1"/>
    <w:rsid w:val="0060740F"/>
    <w:rsid w:val="0061254D"/>
    <w:rsid w:val="00612D9C"/>
    <w:rsid w:val="0061469E"/>
    <w:rsid w:val="006155A9"/>
    <w:rsid w:val="0061693B"/>
    <w:rsid w:val="0061713E"/>
    <w:rsid w:val="00617A0C"/>
    <w:rsid w:val="00621078"/>
    <w:rsid w:val="00622EA9"/>
    <w:rsid w:val="00623D56"/>
    <w:rsid w:val="00625751"/>
    <w:rsid w:val="00630ACE"/>
    <w:rsid w:val="006320B7"/>
    <w:rsid w:val="00634103"/>
    <w:rsid w:val="0063509A"/>
    <w:rsid w:val="00636435"/>
    <w:rsid w:val="006368B7"/>
    <w:rsid w:val="00637161"/>
    <w:rsid w:val="00637AAA"/>
    <w:rsid w:val="00637FAA"/>
    <w:rsid w:val="00645240"/>
    <w:rsid w:val="00646087"/>
    <w:rsid w:val="00646BF1"/>
    <w:rsid w:val="00653925"/>
    <w:rsid w:val="006542FA"/>
    <w:rsid w:val="006565C0"/>
    <w:rsid w:val="006566AE"/>
    <w:rsid w:val="00656A88"/>
    <w:rsid w:val="00660542"/>
    <w:rsid w:val="006623BD"/>
    <w:rsid w:val="0066298B"/>
    <w:rsid w:val="00664A49"/>
    <w:rsid w:val="006677B3"/>
    <w:rsid w:val="00667D74"/>
    <w:rsid w:val="006719AF"/>
    <w:rsid w:val="00672892"/>
    <w:rsid w:val="006766E9"/>
    <w:rsid w:val="00677AD2"/>
    <w:rsid w:val="00682903"/>
    <w:rsid w:val="006841A6"/>
    <w:rsid w:val="006849BA"/>
    <w:rsid w:val="00690180"/>
    <w:rsid w:val="00691C29"/>
    <w:rsid w:val="006930B2"/>
    <w:rsid w:val="00694F11"/>
    <w:rsid w:val="00695C2C"/>
    <w:rsid w:val="00696641"/>
    <w:rsid w:val="0069684D"/>
    <w:rsid w:val="006A09E8"/>
    <w:rsid w:val="006A3026"/>
    <w:rsid w:val="006A3366"/>
    <w:rsid w:val="006A3470"/>
    <w:rsid w:val="006A3E88"/>
    <w:rsid w:val="006A5361"/>
    <w:rsid w:val="006B08B3"/>
    <w:rsid w:val="006B353D"/>
    <w:rsid w:val="006B3D36"/>
    <w:rsid w:val="006B4365"/>
    <w:rsid w:val="006B5077"/>
    <w:rsid w:val="006B669D"/>
    <w:rsid w:val="006B7E01"/>
    <w:rsid w:val="006C0A7B"/>
    <w:rsid w:val="006C136C"/>
    <w:rsid w:val="006C1695"/>
    <w:rsid w:val="006C17BF"/>
    <w:rsid w:val="006C1981"/>
    <w:rsid w:val="006C2095"/>
    <w:rsid w:val="006C2907"/>
    <w:rsid w:val="006C3B72"/>
    <w:rsid w:val="006C64B5"/>
    <w:rsid w:val="006C7528"/>
    <w:rsid w:val="006C75DA"/>
    <w:rsid w:val="006D0319"/>
    <w:rsid w:val="006D10AB"/>
    <w:rsid w:val="006D304A"/>
    <w:rsid w:val="006D44FD"/>
    <w:rsid w:val="006D4EC5"/>
    <w:rsid w:val="006D58A3"/>
    <w:rsid w:val="006D5A96"/>
    <w:rsid w:val="006D7568"/>
    <w:rsid w:val="006E02C8"/>
    <w:rsid w:val="006E0350"/>
    <w:rsid w:val="006E0420"/>
    <w:rsid w:val="006E1594"/>
    <w:rsid w:val="006E2A3E"/>
    <w:rsid w:val="006E39B3"/>
    <w:rsid w:val="006E3F32"/>
    <w:rsid w:val="006E560E"/>
    <w:rsid w:val="006E5F89"/>
    <w:rsid w:val="006E6D30"/>
    <w:rsid w:val="006E7E57"/>
    <w:rsid w:val="006F0141"/>
    <w:rsid w:val="006F18EF"/>
    <w:rsid w:val="006F2070"/>
    <w:rsid w:val="006F27B0"/>
    <w:rsid w:val="006F3847"/>
    <w:rsid w:val="00703584"/>
    <w:rsid w:val="0070559B"/>
    <w:rsid w:val="007078B3"/>
    <w:rsid w:val="00710335"/>
    <w:rsid w:val="007117CE"/>
    <w:rsid w:val="007144BB"/>
    <w:rsid w:val="00714E9F"/>
    <w:rsid w:val="00716833"/>
    <w:rsid w:val="00717132"/>
    <w:rsid w:val="00720DE0"/>
    <w:rsid w:val="00722CD4"/>
    <w:rsid w:val="00723C18"/>
    <w:rsid w:val="00724DC6"/>
    <w:rsid w:val="00727B14"/>
    <w:rsid w:val="00730DE5"/>
    <w:rsid w:val="00731E42"/>
    <w:rsid w:val="00733069"/>
    <w:rsid w:val="00733BB1"/>
    <w:rsid w:val="00734997"/>
    <w:rsid w:val="00740BE6"/>
    <w:rsid w:val="00740EDC"/>
    <w:rsid w:val="00741B71"/>
    <w:rsid w:val="007443A2"/>
    <w:rsid w:val="007445CD"/>
    <w:rsid w:val="00744AB2"/>
    <w:rsid w:val="00744F80"/>
    <w:rsid w:val="00750599"/>
    <w:rsid w:val="0075147F"/>
    <w:rsid w:val="007530A9"/>
    <w:rsid w:val="007533CF"/>
    <w:rsid w:val="0075367F"/>
    <w:rsid w:val="00757542"/>
    <w:rsid w:val="00762F77"/>
    <w:rsid w:val="00763B5A"/>
    <w:rsid w:val="00770BC9"/>
    <w:rsid w:val="007745CE"/>
    <w:rsid w:val="0077481C"/>
    <w:rsid w:val="00774B77"/>
    <w:rsid w:val="00775B41"/>
    <w:rsid w:val="00782F78"/>
    <w:rsid w:val="00784C55"/>
    <w:rsid w:val="00785314"/>
    <w:rsid w:val="00787662"/>
    <w:rsid w:val="00794E99"/>
    <w:rsid w:val="007956A5"/>
    <w:rsid w:val="007961C3"/>
    <w:rsid w:val="007970CC"/>
    <w:rsid w:val="007A06D6"/>
    <w:rsid w:val="007A239D"/>
    <w:rsid w:val="007A55B4"/>
    <w:rsid w:val="007A58B6"/>
    <w:rsid w:val="007A5ACF"/>
    <w:rsid w:val="007A5CD2"/>
    <w:rsid w:val="007A653A"/>
    <w:rsid w:val="007A6B95"/>
    <w:rsid w:val="007A75EB"/>
    <w:rsid w:val="007B11A0"/>
    <w:rsid w:val="007B1F3B"/>
    <w:rsid w:val="007B1FFF"/>
    <w:rsid w:val="007B3F00"/>
    <w:rsid w:val="007B402B"/>
    <w:rsid w:val="007B406F"/>
    <w:rsid w:val="007B41E1"/>
    <w:rsid w:val="007B55DF"/>
    <w:rsid w:val="007B75D3"/>
    <w:rsid w:val="007C008D"/>
    <w:rsid w:val="007C35F0"/>
    <w:rsid w:val="007C3B27"/>
    <w:rsid w:val="007C6E05"/>
    <w:rsid w:val="007D09E8"/>
    <w:rsid w:val="007D21AD"/>
    <w:rsid w:val="007D3711"/>
    <w:rsid w:val="007D511A"/>
    <w:rsid w:val="007D6E80"/>
    <w:rsid w:val="007D6FE7"/>
    <w:rsid w:val="007D794D"/>
    <w:rsid w:val="007E1B16"/>
    <w:rsid w:val="007E7A4A"/>
    <w:rsid w:val="007F0373"/>
    <w:rsid w:val="007F0911"/>
    <w:rsid w:val="007F2C71"/>
    <w:rsid w:val="007F42AE"/>
    <w:rsid w:val="007F67FF"/>
    <w:rsid w:val="00802B01"/>
    <w:rsid w:val="00802C6E"/>
    <w:rsid w:val="008031F5"/>
    <w:rsid w:val="0080531D"/>
    <w:rsid w:val="00806D21"/>
    <w:rsid w:val="00812DA0"/>
    <w:rsid w:val="008147FB"/>
    <w:rsid w:val="00815624"/>
    <w:rsid w:val="008164AB"/>
    <w:rsid w:val="00816C76"/>
    <w:rsid w:val="0082009F"/>
    <w:rsid w:val="00820677"/>
    <w:rsid w:val="008249D7"/>
    <w:rsid w:val="00825256"/>
    <w:rsid w:val="008312AD"/>
    <w:rsid w:val="0083381C"/>
    <w:rsid w:val="00835391"/>
    <w:rsid w:val="00836130"/>
    <w:rsid w:val="0083732F"/>
    <w:rsid w:val="00837B13"/>
    <w:rsid w:val="00843261"/>
    <w:rsid w:val="00844926"/>
    <w:rsid w:val="00844DB3"/>
    <w:rsid w:val="00845C50"/>
    <w:rsid w:val="00847634"/>
    <w:rsid w:val="008522BA"/>
    <w:rsid w:val="00855920"/>
    <w:rsid w:val="00856B0A"/>
    <w:rsid w:val="0085723C"/>
    <w:rsid w:val="00857357"/>
    <w:rsid w:val="0086204D"/>
    <w:rsid w:val="00862780"/>
    <w:rsid w:val="008644A4"/>
    <w:rsid w:val="008648D6"/>
    <w:rsid w:val="008658C3"/>
    <w:rsid w:val="00866A59"/>
    <w:rsid w:val="00870AE8"/>
    <w:rsid w:val="00870EF1"/>
    <w:rsid w:val="0087107D"/>
    <w:rsid w:val="0087135D"/>
    <w:rsid w:val="008733AE"/>
    <w:rsid w:val="00873DE0"/>
    <w:rsid w:val="00873EDD"/>
    <w:rsid w:val="00874736"/>
    <w:rsid w:val="008768B1"/>
    <w:rsid w:val="00876923"/>
    <w:rsid w:val="00876CE9"/>
    <w:rsid w:val="00880596"/>
    <w:rsid w:val="00880AC7"/>
    <w:rsid w:val="00881201"/>
    <w:rsid w:val="00885081"/>
    <w:rsid w:val="0088511E"/>
    <w:rsid w:val="008877D2"/>
    <w:rsid w:val="00890822"/>
    <w:rsid w:val="00897F90"/>
    <w:rsid w:val="008A1136"/>
    <w:rsid w:val="008A2677"/>
    <w:rsid w:val="008A3ACF"/>
    <w:rsid w:val="008A3E67"/>
    <w:rsid w:val="008A52B1"/>
    <w:rsid w:val="008B0A24"/>
    <w:rsid w:val="008B0D0F"/>
    <w:rsid w:val="008B1195"/>
    <w:rsid w:val="008B3E01"/>
    <w:rsid w:val="008B49B0"/>
    <w:rsid w:val="008B6237"/>
    <w:rsid w:val="008B79E2"/>
    <w:rsid w:val="008C2D74"/>
    <w:rsid w:val="008C41D4"/>
    <w:rsid w:val="008C4827"/>
    <w:rsid w:val="008C5847"/>
    <w:rsid w:val="008D0B80"/>
    <w:rsid w:val="008D1F7A"/>
    <w:rsid w:val="008D38A5"/>
    <w:rsid w:val="008D542D"/>
    <w:rsid w:val="008E1B61"/>
    <w:rsid w:val="008F0E78"/>
    <w:rsid w:val="008F13BE"/>
    <w:rsid w:val="008F2134"/>
    <w:rsid w:val="008F2D94"/>
    <w:rsid w:val="008F47C1"/>
    <w:rsid w:val="008F6187"/>
    <w:rsid w:val="008F742B"/>
    <w:rsid w:val="008F7991"/>
    <w:rsid w:val="008F7D5D"/>
    <w:rsid w:val="009011C8"/>
    <w:rsid w:val="00901DE9"/>
    <w:rsid w:val="0090216A"/>
    <w:rsid w:val="00902AFC"/>
    <w:rsid w:val="00902E76"/>
    <w:rsid w:val="0090393B"/>
    <w:rsid w:val="00904DA3"/>
    <w:rsid w:val="00906B21"/>
    <w:rsid w:val="0091187A"/>
    <w:rsid w:val="00912908"/>
    <w:rsid w:val="00917F78"/>
    <w:rsid w:val="00920E28"/>
    <w:rsid w:val="009211B1"/>
    <w:rsid w:val="00921BE1"/>
    <w:rsid w:val="00921D50"/>
    <w:rsid w:val="00924F55"/>
    <w:rsid w:val="009258EA"/>
    <w:rsid w:val="00926B88"/>
    <w:rsid w:val="00927EFE"/>
    <w:rsid w:val="009314A8"/>
    <w:rsid w:val="00931F38"/>
    <w:rsid w:val="00932689"/>
    <w:rsid w:val="00934CA6"/>
    <w:rsid w:val="0093532C"/>
    <w:rsid w:val="00935B74"/>
    <w:rsid w:val="00936CE2"/>
    <w:rsid w:val="009403C7"/>
    <w:rsid w:val="009410DF"/>
    <w:rsid w:val="009422FB"/>
    <w:rsid w:val="0094267E"/>
    <w:rsid w:val="00945404"/>
    <w:rsid w:val="00947FF8"/>
    <w:rsid w:val="00950C42"/>
    <w:rsid w:val="00951142"/>
    <w:rsid w:val="009516A8"/>
    <w:rsid w:val="009521A7"/>
    <w:rsid w:val="0095245A"/>
    <w:rsid w:val="00952514"/>
    <w:rsid w:val="0095322B"/>
    <w:rsid w:val="00954633"/>
    <w:rsid w:val="00960C4C"/>
    <w:rsid w:val="009623F2"/>
    <w:rsid w:val="00962B7E"/>
    <w:rsid w:val="00963BE4"/>
    <w:rsid w:val="00963F24"/>
    <w:rsid w:val="00963F91"/>
    <w:rsid w:val="00965B42"/>
    <w:rsid w:val="00966E82"/>
    <w:rsid w:val="009675FA"/>
    <w:rsid w:val="00970B62"/>
    <w:rsid w:val="009738BC"/>
    <w:rsid w:val="00974C42"/>
    <w:rsid w:val="009752EE"/>
    <w:rsid w:val="009821F0"/>
    <w:rsid w:val="009858BF"/>
    <w:rsid w:val="00985DB7"/>
    <w:rsid w:val="0098786B"/>
    <w:rsid w:val="00991059"/>
    <w:rsid w:val="00997101"/>
    <w:rsid w:val="009A0015"/>
    <w:rsid w:val="009A16FC"/>
    <w:rsid w:val="009A2906"/>
    <w:rsid w:val="009A2D88"/>
    <w:rsid w:val="009A5480"/>
    <w:rsid w:val="009A7F6A"/>
    <w:rsid w:val="009B01FE"/>
    <w:rsid w:val="009B1412"/>
    <w:rsid w:val="009B16ED"/>
    <w:rsid w:val="009B48CD"/>
    <w:rsid w:val="009B59F5"/>
    <w:rsid w:val="009B7C9D"/>
    <w:rsid w:val="009C5DA6"/>
    <w:rsid w:val="009C72B9"/>
    <w:rsid w:val="009C7BDC"/>
    <w:rsid w:val="009D29AF"/>
    <w:rsid w:val="009D2AFE"/>
    <w:rsid w:val="009D43AA"/>
    <w:rsid w:val="009D6347"/>
    <w:rsid w:val="009D767C"/>
    <w:rsid w:val="009D7B54"/>
    <w:rsid w:val="009E03FB"/>
    <w:rsid w:val="009E33F1"/>
    <w:rsid w:val="009E3B8A"/>
    <w:rsid w:val="009E70D7"/>
    <w:rsid w:val="009E73B6"/>
    <w:rsid w:val="009E74E6"/>
    <w:rsid w:val="009F1A3F"/>
    <w:rsid w:val="009F42F5"/>
    <w:rsid w:val="009F6278"/>
    <w:rsid w:val="009F7232"/>
    <w:rsid w:val="009F755D"/>
    <w:rsid w:val="00A0036D"/>
    <w:rsid w:val="00A025A1"/>
    <w:rsid w:val="00A05D67"/>
    <w:rsid w:val="00A07324"/>
    <w:rsid w:val="00A07C7F"/>
    <w:rsid w:val="00A100AA"/>
    <w:rsid w:val="00A145E5"/>
    <w:rsid w:val="00A14D48"/>
    <w:rsid w:val="00A16C53"/>
    <w:rsid w:val="00A213FF"/>
    <w:rsid w:val="00A221F7"/>
    <w:rsid w:val="00A24E7A"/>
    <w:rsid w:val="00A24F40"/>
    <w:rsid w:val="00A263D8"/>
    <w:rsid w:val="00A31865"/>
    <w:rsid w:val="00A33616"/>
    <w:rsid w:val="00A34109"/>
    <w:rsid w:val="00A34F76"/>
    <w:rsid w:val="00A352B3"/>
    <w:rsid w:val="00A35DCA"/>
    <w:rsid w:val="00A366F0"/>
    <w:rsid w:val="00A376E7"/>
    <w:rsid w:val="00A43526"/>
    <w:rsid w:val="00A44EF3"/>
    <w:rsid w:val="00A452A5"/>
    <w:rsid w:val="00A45886"/>
    <w:rsid w:val="00A45EAE"/>
    <w:rsid w:val="00A46E51"/>
    <w:rsid w:val="00A53195"/>
    <w:rsid w:val="00A53C67"/>
    <w:rsid w:val="00A60BD3"/>
    <w:rsid w:val="00A62FD5"/>
    <w:rsid w:val="00A659D6"/>
    <w:rsid w:val="00A67A49"/>
    <w:rsid w:val="00A700CF"/>
    <w:rsid w:val="00A70762"/>
    <w:rsid w:val="00A71165"/>
    <w:rsid w:val="00A71602"/>
    <w:rsid w:val="00A71D4C"/>
    <w:rsid w:val="00A72F86"/>
    <w:rsid w:val="00A74437"/>
    <w:rsid w:val="00A752A3"/>
    <w:rsid w:val="00A80364"/>
    <w:rsid w:val="00A81696"/>
    <w:rsid w:val="00A82CB6"/>
    <w:rsid w:val="00A84202"/>
    <w:rsid w:val="00A84927"/>
    <w:rsid w:val="00A85DEF"/>
    <w:rsid w:val="00A86099"/>
    <w:rsid w:val="00A86CC9"/>
    <w:rsid w:val="00A87407"/>
    <w:rsid w:val="00A907DF"/>
    <w:rsid w:val="00A938A0"/>
    <w:rsid w:val="00A9510E"/>
    <w:rsid w:val="00AA2C58"/>
    <w:rsid w:val="00AA32E6"/>
    <w:rsid w:val="00AA3812"/>
    <w:rsid w:val="00AA3C91"/>
    <w:rsid w:val="00AA5CDA"/>
    <w:rsid w:val="00AA6F60"/>
    <w:rsid w:val="00AB0523"/>
    <w:rsid w:val="00AB09E1"/>
    <w:rsid w:val="00AC0F8B"/>
    <w:rsid w:val="00AC11A0"/>
    <w:rsid w:val="00AC1515"/>
    <w:rsid w:val="00AC185D"/>
    <w:rsid w:val="00AC2C1E"/>
    <w:rsid w:val="00AC582A"/>
    <w:rsid w:val="00AC7EC3"/>
    <w:rsid w:val="00AD12B6"/>
    <w:rsid w:val="00AD1E2D"/>
    <w:rsid w:val="00AD2B3F"/>
    <w:rsid w:val="00AD44F4"/>
    <w:rsid w:val="00AD6CBD"/>
    <w:rsid w:val="00AD7590"/>
    <w:rsid w:val="00AE0016"/>
    <w:rsid w:val="00AE2C82"/>
    <w:rsid w:val="00AE56E8"/>
    <w:rsid w:val="00AE7160"/>
    <w:rsid w:val="00AE74DA"/>
    <w:rsid w:val="00AF0CFA"/>
    <w:rsid w:val="00AF0F0D"/>
    <w:rsid w:val="00AF18C7"/>
    <w:rsid w:val="00AF240B"/>
    <w:rsid w:val="00AF29AA"/>
    <w:rsid w:val="00AF3E30"/>
    <w:rsid w:val="00AF4E77"/>
    <w:rsid w:val="00AF6CEB"/>
    <w:rsid w:val="00B03B5F"/>
    <w:rsid w:val="00B06B64"/>
    <w:rsid w:val="00B12FA6"/>
    <w:rsid w:val="00B158A0"/>
    <w:rsid w:val="00B16EA5"/>
    <w:rsid w:val="00B20321"/>
    <w:rsid w:val="00B212B0"/>
    <w:rsid w:val="00B21FB5"/>
    <w:rsid w:val="00B23921"/>
    <w:rsid w:val="00B23AD7"/>
    <w:rsid w:val="00B249E7"/>
    <w:rsid w:val="00B256D5"/>
    <w:rsid w:val="00B27102"/>
    <w:rsid w:val="00B30121"/>
    <w:rsid w:val="00B30200"/>
    <w:rsid w:val="00B30796"/>
    <w:rsid w:val="00B32677"/>
    <w:rsid w:val="00B32BA2"/>
    <w:rsid w:val="00B330A6"/>
    <w:rsid w:val="00B33494"/>
    <w:rsid w:val="00B37EC6"/>
    <w:rsid w:val="00B414D3"/>
    <w:rsid w:val="00B42941"/>
    <w:rsid w:val="00B42CC8"/>
    <w:rsid w:val="00B45710"/>
    <w:rsid w:val="00B47B05"/>
    <w:rsid w:val="00B51676"/>
    <w:rsid w:val="00B53379"/>
    <w:rsid w:val="00B53C5B"/>
    <w:rsid w:val="00B54B0A"/>
    <w:rsid w:val="00B559EA"/>
    <w:rsid w:val="00B56AEC"/>
    <w:rsid w:val="00B57240"/>
    <w:rsid w:val="00B60C67"/>
    <w:rsid w:val="00B62D5F"/>
    <w:rsid w:val="00B654BA"/>
    <w:rsid w:val="00B670B4"/>
    <w:rsid w:val="00B7151E"/>
    <w:rsid w:val="00B724CF"/>
    <w:rsid w:val="00B7380D"/>
    <w:rsid w:val="00B75E29"/>
    <w:rsid w:val="00B762EC"/>
    <w:rsid w:val="00B76642"/>
    <w:rsid w:val="00B80794"/>
    <w:rsid w:val="00B81D76"/>
    <w:rsid w:val="00B81F14"/>
    <w:rsid w:val="00B826B4"/>
    <w:rsid w:val="00B83FF5"/>
    <w:rsid w:val="00B87D3C"/>
    <w:rsid w:val="00B938BC"/>
    <w:rsid w:val="00B942C6"/>
    <w:rsid w:val="00B95AAC"/>
    <w:rsid w:val="00B95E7B"/>
    <w:rsid w:val="00B9664B"/>
    <w:rsid w:val="00BA34A7"/>
    <w:rsid w:val="00BA6CD9"/>
    <w:rsid w:val="00BA7945"/>
    <w:rsid w:val="00BB0BDD"/>
    <w:rsid w:val="00BB1557"/>
    <w:rsid w:val="00BB34F1"/>
    <w:rsid w:val="00BB3D17"/>
    <w:rsid w:val="00BB3D98"/>
    <w:rsid w:val="00BB49E6"/>
    <w:rsid w:val="00BB78CB"/>
    <w:rsid w:val="00BC0580"/>
    <w:rsid w:val="00BC48EE"/>
    <w:rsid w:val="00BC5971"/>
    <w:rsid w:val="00BC5B6D"/>
    <w:rsid w:val="00BC5D57"/>
    <w:rsid w:val="00BC61AB"/>
    <w:rsid w:val="00BC707D"/>
    <w:rsid w:val="00BC7B12"/>
    <w:rsid w:val="00BD05E3"/>
    <w:rsid w:val="00BD125E"/>
    <w:rsid w:val="00BD2287"/>
    <w:rsid w:val="00BD26A6"/>
    <w:rsid w:val="00BD5EF8"/>
    <w:rsid w:val="00BE0C0A"/>
    <w:rsid w:val="00BE2AB2"/>
    <w:rsid w:val="00BE3A9E"/>
    <w:rsid w:val="00BE49E5"/>
    <w:rsid w:val="00BE63CE"/>
    <w:rsid w:val="00BE6A23"/>
    <w:rsid w:val="00BE7BA4"/>
    <w:rsid w:val="00BF091E"/>
    <w:rsid w:val="00BF12FC"/>
    <w:rsid w:val="00BF17B3"/>
    <w:rsid w:val="00BF426F"/>
    <w:rsid w:val="00BF4CFB"/>
    <w:rsid w:val="00BF7188"/>
    <w:rsid w:val="00BF7C30"/>
    <w:rsid w:val="00C01F09"/>
    <w:rsid w:val="00C0385E"/>
    <w:rsid w:val="00C047D3"/>
    <w:rsid w:val="00C05839"/>
    <w:rsid w:val="00C10483"/>
    <w:rsid w:val="00C10739"/>
    <w:rsid w:val="00C1412A"/>
    <w:rsid w:val="00C14BA7"/>
    <w:rsid w:val="00C164D9"/>
    <w:rsid w:val="00C17275"/>
    <w:rsid w:val="00C211DC"/>
    <w:rsid w:val="00C262C7"/>
    <w:rsid w:val="00C273A0"/>
    <w:rsid w:val="00C27E8E"/>
    <w:rsid w:val="00C30B33"/>
    <w:rsid w:val="00C30C01"/>
    <w:rsid w:val="00C3552B"/>
    <w:rsid w:val="00C3785B"/>
    <w:rsid w:val="00C40287"/>
    <w:rsid w:val="00C41319"/>
    <w:rsid w:val="00C43CAB"/>
    <w:rsid w:val="00C442D0"/>
    <w:rsid w:val="00C45C0A"/>
    <w:rsid w:val="00C4604A"/>
    <w:rsid w:val="00C4608A"/>
    <w:rsid w:val="00C52FD1"/>
    <w:rsid w:val="00C54B2C"/>
    <w:rsid w:val="00C54FC0"/>
    <w:rsid w:val="00C556BF"/>
    <w:rsid w:val="00C57E52"/>
    <w:rsid w:val="00C602AF"/>
    <w:rsid w:val="00C64B99"/>
    <w:rsid w:val="00C64EC3"/>
    <w:rsid w:val="00C66BA8"/>
    <w:rsid w:val="00C66C23"/>
    <w:rsid w:val="00C6722E"/>
    <w:rsid w:val="00C713A5"/>
    <w:rsid w:val="00C735D1"/>
    <w:rsid w:val="00C738F5"/>
    <w:rsid w:val="00C7396A"/>
    <w:rsid w:val="00C742E6"/>
    <w:rsid w:val="00C74A69"/>
    <w:rsid w:val="00C75866"/>
    <w:rsid w:val="00C761A2"/>
    <w:rsid w:val="00C77CE2"/>
    <w:rsid w:val="00C80939"/>
    <w:rsid w:val="00C80C1D"/>
    <w:rsid w:val="00C82C70"/>
    <w:rsid w:val="00C83857"/>
    <w:rsid w:val="00C84B3C"/>
    <w:rsid w:val="00C857AA"/>
    <w:rsid w:val="00C85F7D"/>
    <w:rsid w:val="00C87E2F"/>
    <w:rsid w:val="00C92386"/>
    <w:rsid w:val="00C92D13"/>
    <w:rsid w:val="00C935CC"/>
    <w:rsid w:val="00C94567"/>
    <w:rsid w:val="00C94FED"/>
    <w:rsid w:val="00C953C2"/>
    <w:rsid w:val="00C96681"/>
    <w:rsid w:val="00CA07CC"/>
    <w:rsid w:val="00CA0AE3"/>
    <w:rsid w:val="00CA13F6"/>
    <w:rsid w:val="00CA6A7E"/>
    <w:rsid w:val="00CA799D"/>
    <w:rsid w:val="00CB06B3"/>
    <w:rsid w:val="00CB08EF"/>
    <w:rsid w:val="00CB3A47"/>
    <w:rsid w:val="00CB3DB5"/>
    <w:rsid w:val="00CB69EE"/>
    <w:rsid w:val="00CB7BD4"/>
    <w:rsid w:val="00CC38D7"/>
    <w:rsid w:val="00CC5F06"/>
    <w:rsid w:val="00CC6040"/>
    <w:rsid w:val="00CC6BDB"/>
    <w:rsid w:val="00CC70BE"/>
    <w:rsid w:val="00CC70E8"/>
    <w:rsid w:val="00CD0CC3"/>
    <w:rsid w:val="00CD4D7B"/>
    <w:rsid w:val="00CD50E6"/>
    <w:rsid w:val="00CD5B55"/>
    <w:rsid w:val="00CD7D64"/>
    <w:rsid w:val="00CD7EF0"/>
    <w:rsid w:val="00CE1FA4"/>
    <w:rsid w:val="00CE4031"/>
    <w:rsid w:val="00CE52E8"/>
    <w:rsid w:val="00CE60F6"/>
    <w:rsid w:val="00CE7349"/>
    <w:rsid w:val="00CE7FB1"/>
    <w:rsid w:val="00CE7FBB"/>
    <w:rsid w:val="00CF043B"/>
    <w:rsid w:val="00CF4F19"/>
    <w:rsid w:val="00CF5292"/>
    <w:rsid w:val="00CF5E4F"/>
    <w:rsid w:val="00D01490"/>
    <w:rsid w:val="00D0150F"/>
    <w:rsid w:val="00D03A73"/>
    <w:rsid w:val="00D119D6"/>
    <w:rsid w:val="00D13A06"/>
    <w:rsid w:val="00D15FDE"/>
    <w:rsid w:val="00D1687F"/>
    <w:rsid w:val="00D16D11"/>
    <w:rsid w:val="00D1778F"/>
    <w:rsid w:val="00D21513"/>
    <w:rsid w:val="00D21B4E"/>
    <w:rsid w:val="00D22C29"/>
    <w:rsid w:val="00D23C65"/>
    <w:rsid w:val="00D26232"/>
    <w:rsid w:val="00D2773C"/>
    <w:rsid w:val="00D30608"/>
    <w:rsid w:val="00D3251E"/>
    <w:rsid w:val="00D32CCD"/>
    <w:rsid w:val="00D32DEE"/>
    <w:rsid w:val="00D32E33"/>
    <w:rsid w:val="00D3520D"/>
    <w:rsid w:val="00D35AFF"/>
    <w:rsid w:val="00D40664"/>
    <w:rsid w:val="00D4243A"/>
    <w:rsid w:val="00D4250D"/>
    <w:rsid w:val="00D51742"/>
    <w:rsid w:val="00D51DF5"/>
    <w:rsid w:val="00D5237C"/>
    <w:rsid w:val="00D52B19"/>
    <w:rsid w:val="00D540B8"/>
    <w:rsid w:val="00D541A3"/>
    <w:rsid w:val="00D542DD"/>
    <w:rsid w:val="00D550F5"/>
    <w:rsid w:val="00D56168"/>
    <w:rsid w:val="00D57A7F"/>
    <w:rsid w:val="00D60FBD"/>
    <w:rsid w:val="00D616C0"/>
    <w:rsid w:val="00D63418"/>
    <w:rsid w:val="00D65F58"/>
    <w:rsid w:val="00D66082"/>
    <w:rsid w:val="00D67EC3"/>
    <w:rsid w:val="00D709C3"/>
    <w:rsid w:val="00D711AA"/>
    <w:rsid w:val="00D73EED"/>
    <w:rsid w:val="00D7423D"/>
    <w:rsid w:val="00D7594F"/>
    <w:rsid w:val="00D77605"/>
    <w:rsid w:val="00D80094"/>
    <w:rsid w:val="00D83E12"/>
    <w:rsid w:val="00D84330"/>
    <w:rsid w:val="00D86243"/>
    <w:rsid w:val="00D87277"/>
    <w:rsid w:val="00D87322"/>
    <w:rsid w:val="00D9050E"/>
    <w:rsid w:val="00D93CB6"/>
    <w:rsid w:val="00D969F8"/>
    <w:rsid w:val="00DA08DB"/>
    <w:rsid w:val="00DA3467"/>
    <w:rsid w:val="00DA3AF5"/>
    <w:rsid w:val="00DA3F54"/>
    <w:rsid w:val="00DA4BF0"/>
    <w:rsid w:val="00DA7835"/>
    <w:rsid w:val="00DA7D0E"/>
    <w:rsid w:val="00DB26D7"/>
    <w:rsid w:val="00DB2F4B"/>
    <w:rsid w:val="00DB51A7"/>
    <w:rsid w:val="00DB5E9B"/>
    <w:rsid w:val="00DB6189"/>
    <w:rsid w:val="00DB7220"/>
    <w:rsid w:val="00DB7843"/>
    <w:rsid w:val="00DC1D9C"/>
    <w:rsid w:val="00DC1E22"/>
    <w:rsid w:val="00DC2B97"/>
    <w:rsid w:val="00DC312C"/>
    <w:rsid w:val="00DC3A48"/>
    <w:rsid w:val="00DC3ED6"/>
    <w:rsid w:val="00DC4E3B"/>
    <w:rsid w:val="00DD2E5A"/>
    <w:rsid w:val="00DD683C"/>
    <w:rsid w:val="00DD7125"/>
    <w:rsid w:val="00DD7B07"/>
    <w:rsid w:val="00DD7C1D"/>
    <w:rsid w:val="00DD7E52"/>
    <w:rsid w:val="00DE066E"/>
    <w:rsid w:val="00DE2910"/>
    <w:rsid w:val="00DE36E0"/>
    <w:rsid w:val="00DE4E33"/>
    <w:rsid w:val="00DF2256"/>
    <w:rsid w:val="00DF2FF2"/>
    <w:rsid w:val="00DF5E24"/>
    <w:rsid w:val="00DF7256"/>
    <w:rsid w:val="00DF774F"/>
    <w:rsid w:val="00E01BA5"/>
    <w:rsid w:val="00E04256"/>
    <w:rsid w:val="00E115E5"/>
    <w:rsid w:val="00E14609"/>
    <w:rsid w:val="00E15661"/>
    <w:rsid w:val="00E15A3C"/>
    <w:rsid w:val="00E21A98"/>
    <w:rsid w:val="00E2237C"/>
    <w:rsid w:val="00E232A9"/>
    <w:rsid w:val="00E2541B"/>
    <w:rsid w:val="00E262CF"/>
    <w:rsid w:val="00E2677C"/>
    <w:rsid w:val="00E27B85"/>
    <w:rsid w:val="00E27FF2"/>
    <w:rsid w:val="00E3154F"/>
    <w:rsid w:val="00E32032"/>
    <w:rsid w:val="00E32221"/>
    <w:rsid w:val="00E33214"/>
    <w:rsid w:val="00E34742"/>
    <w:rsid w:val="00E35936"/>
    <w:rsid w:val="00E36C30"/>
    <w:rsid w:val="00E372E3"/>
    <w:rsid w:val="00E41942"/>
    <w:rsid w:val="00E426BA"/>
    <w:rsid w:val="00E4314E"/>
    <w:rsid w:val="00E4379F"/>
    <w:rsid w:val="00E45854"/>
    <w:rsid w:val="00E461EF"/>
    <w:rsid w:val="00E464FC"/>
    <w:rsid w:val="00E51B1C"/>
    <w:rsid w:val="00E5385B"/>
    <w:rsid w:val="00E543B8"/>
    <w:rsid w:val="00E549CD"/>
    <w:rsid w:val="00E55203"/>
    <w:rsid w:val="00E60AF7"/>
    <w:rsid w:val="00E63911"/>
    <w:rsid w:val="00E65C05"/>
    <w:rsid w:val="00E713F9"/>
    <w:rsid w:val="00E72FBF"/>
    <w:rsid w:val="00E743FE"/>
    <w:rsid w:val="00E7450B"/>
    <w:rsid w:val="00E80962"/>
    <w:rsid w:val="00E818B9"/>
    <w:rsid w:val="00E829B7"/>
    <w:rsid w:val="00E839AE"/>
    <w:rsid w:val="00E864B8"/>
    <w:rsid w:val="00E875BF"/>
    <w:rsid w:val="00E87B88"/>
    <w:rsid w:val="00E91E4E"/>
    <w:rsid w:val="00E93C8A"/>
    <w:rsid w:val="00EA1709"/>
    <w:rsid w:val="00EA31F2"/>
    <w:rsid w:val="00EB0829"/>
    <w:rsid w:val="00EB0C4C"/>
    <w:rsid w:val="00EB1D0C"/>
    <w:rsid w:val="00EB1FA7"/>
    <w:rsid w:val="00EB6542"/>
    <w:rsid w:val="00EB66A3"/>
    <w:rsid w:val="00EB7A48"/>
    <w:rsid w:val="00EC0B77"/>
    <w:rsid w:val="00EC41B4"/>
    <w:rsid w:val="00EC5ABD"/>
    <w:rsid w:val="00EC6F1F"/>
    <w:rsid w:val="00EC70EB"/>
    <w:rsid w:val="00ED26CD"/>
    <w:rsid w:val="00ED32FF"/>
    <w:rsid w:val="00ED3EEF"/>
    <w:rsid w:val="00ED4436"/>
    <w:rsid w:val="00ED516D"/>
    <w:rsid w:val="00ED66D3"/>
    <w:rsid w:val="00ED6DD1"/>
    <w:rsid w:val="00ED71F0"/>
    <w:rsid w:val="00EE45BF"/>
    <w:rsid w:val="00EE5A16"/>
    <w:rsid w:val="00EE6F45"/>
    <w:rsid w:val="00EF0FCC"/>
    <w:rsid w:val="00EF2552"/>
    <w:rsid w:val="00EF6975"/>
    <w:rsid w:val="00EF760F"/>
    <w:rsid w:val="00EF7AE2"/>
    <w:rsid w:val="00F01653"/>
    <w:rsid w:val="00F021ED"/>
    <w:rsid w:val="00F03E26"/>
    <w:rsid w:val="00F05325"/>
    <w:rsid w:val="00F05BA9"/>
    <w:rsid w:val="00F130DE"/>
    <w:rsid w:val="00F13697"/>
    <w:rsid w:val="00F141E9"/>
    <w:rsid w:val="00F15F08"/>
    <w:rsid w:val="00F20179"/>
    <w:rsid w:val="00F21A7B"/>
    <w:rsid w:val="00F22759"/>
    <w:rsid w:val="00F23188"/>
    <w:rsid w:val="00F24377"/>
    <w:rsid w:val="00F24E9F"/>
    <w:rsid w:val="00F30E22"/>
    <w:rsid w:val="00F32FA7"/>
    <w:rsid w:val="00F347F7"/>
    <w:rsid w:val="00F355DF"/>
    <w:rsid w:val="00F3568D"/>
    <w:rsid w:val="00F40E0E"/>
    <w:rsid w:val="00F436A5"/>
    <w:rsid w:val="00F451D4"/>
    <w:rsid w:val="00F455E5"/>
    <w:rsid w:val="00F479A7"/>
    <w:rsid w:val="00F47EC4"/>
    <w:rsid w:val="00F50EFB"/>
    <w:rsid w:val="00F568FE"/>
    <w:rsid w:val="00F61F1D"/>
    <w:rsid w:val="00F62244"/>
    <w:rsid w:val="00F6542D"/>
    <w:rsid w:val="00F678D5"/>
    <w:rsid w:val="00F67CE4"/>
    <w:rsid w:val="00F7073C"/>
    <w:rsid w:val="00F708F1"/>
    <w:rsid w:val="00F7106A"/>
    <w:rsid w:val="00F713E0"/>
    <w:rsid w:val="00F72444"/>
    <w:rsid w:val="00F72660"/>
    <w:rsid w:val="00F72669"/>
    <w:rsid w:val="00F74D5A"/>
    <w:rsid w:val="00F77E6E"/>
    <w:rsid w:val="00F80197"/>
    <w:rsid w:val="00F803EC"/>
    <w:rsid w:val="00F83F22"/>
    <w:rsid w:val="00F84A44"/>
    <w:rsid w:val="00F84CF6"/>
    <w:rsid w:val="00F84DBB"/>
    <w:rsid w:val="00F86D69"/>
    <w:rsid w:val="00F90AC1"/>
    <w:rsid w:val="00F912DD"/>
    <w:rsid w:val="00F91C7D"/>
    <w:rsid w:val="00F92189"/>
    <w:rsid w:val="00F925EF"/>
    <w:rsid w:val="00F95202"/>
    <w:rsid w:val="00F97202"/>
    <w:rsid w:val="00FA03B7"/>
    <w:rsid w:val="00FA065A"/>
    <w:rsid w:val="00FA3944"/>
    <w:rsid w:val="00FA5AD3"/>
    <w:rsid w:val="00FB1363"/>
    <w:rsid w:val="00FB2127"/>
    <w:rsid w:val="00FB24F9"/>
    <w:rsid w:val="00FB4B57"/>
    <w:rsid w:val="00FB7E1D"/>
    <w:rsid w:val="00FC046F"/>
    <w:rsid w:val="00FC1611"/>
    <w:rsid w:val="00FC25B1"/>
    <w:rsid w:val="00FC43C1"/>
    <w:rsid w:val="00FC4BB9"/>
    <w:rsid w:val="00FC578A"/>
    <w:rsid w:val="00FC6819"/>
    <w:rsid w:val="00FD1909"/>
    <w:rsid w:val="00FD247E"/>
    <w:rsid w:val="00FD323A"/>
    <w:rsid w:val="00FD3585"/>
    <w:rsid w:val="00FD5913"/>
    <w:rsid w:val="00FD6E4A"/>
    <w:rsid w:val="00FD7CD0"/>
    <w:rsid w:val="00FD7E57"/>
    <w:rsid w:val="00FE11DF"/>
    <w:rsid w:val="00FE1AF2"/>
    <w:rsid w:val="00FE4B38"/>
    <w:rsid w:val="00FE5106"/>
    <w:rsid w:val="00FF004D"/>
    <w:rsid w:val="00FF052C"/>
    <w:rsid w:val="00FF12A4"/>
    <w:rsid w:val="00FF2876"/>
    <w:rsid w:val="00FF3A0D"/>
    <w:rsid w:val="00FF4327"/>
    <w:rsid w:val="00FF5254"/>
    <w:rsid w:val="00FF6A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40F"/>
    <w:pPr>
      <w:widowControl w:val="0"/>
      <w:spacing w:after="120"/>
    </w:pPr>
    <w:rPr>
      <w:rFonts w:ascii="Calibri" w:hAnsi="Calibri"/>
      <w:kern w:val="2"/>
      <w:sz w:val="22"/>
      <w:szCs w:val="22"/>
      <w:lang w:val="en-US" w:eastAsia="zh-CN"/>
    </w:rPr>
  </w:style>
  <w:style w:type="paragraph" w:styleId="Heading1">
    <w:name w:val="heading 1"/>
    <w:basedOn w:val="Normal"/>
    <w:next w:val="Normal"/>
    <w:link w:val="Heading1Char"/>
    <w:uiPriority w:val="9"/>
    <w:qFormat/>
    <w:rsid w:val="00340043"/>
    <w:pPr>
      <w:keepNext/>
      <w:numPr>
        <w:numId w:val="15"/>
      </w:numPr>
      <w:spacing w:after="240"/>
      <w:outlineLvl w:val="0"/>
    </w:pPr>
    <w:rPr>
      <w:rFonts w:eastAsia="Times New Roman" w:cs="Calibri"/>
      <w:b/>
      <w:bCs/>
      <w:kern w:val="32"/>
      <w:sz w:val="32"/>
      <w:szCs w:val="32"/>
    </w:rPr>
  </w:style>
  <w:style w:type="paragraph" w:styleId="Heading2">
    <w:name w:val="heading 2"/>
    <w:basedOn w:val="Normal"/>
    <w:next w:val="Normal"/>
    <w:link w:val="Heading2Char"/>
    <w:uiPriority w:val="9"/>
    <w:qFormat/>
    <w:rsid w:val="00340043"/>
    <w:pPr>
      <w:keepNext/>
      <w:keepLines/>
      <w:spacing w:before="120" w:after="240"/>
      <w:outlineLvl w:val="1"/>
    </w:pPr>
    <w:rPr>
      <w:rFonts w:asciiTheme="minorHAnsi" w:eastAsiaTheme="majorEastAsia" w:hAnsiTheme="minorHAnsi" w:cstheme="majorBidi"/>
      <w:b/>
      <w:bCs/>
      <w:sz w:val="28"/>
      <w:szCs w:val="26"/>
    </w:rPr>
  </w:style>
  <w:style w:type="paragraph" w:styleId="Heading3">
    <w:name w:val="heading 3"/>
    <w:basedOn w:val="Normal"/>
    <w:next w:val="Normal"/>
    <w:link w:val="Heading3Char"/>
    <w:uiPriority w:val="9"/>
    <w:qFormat/>
    <w:rsid w:val="00340043"/>
    <w:pPr>
      <w:keepNext/>
      <w:keepLines/>
      <w:spacing w:before="120"/>
      <w:outlineLvl w:val="2"/>
    </w:pPr>
    <w:rPr>
      <w:rFonts w:asciiTheme="minorHAnsi" w:eastAsiaTheme="majorEastAsia" w:hAnsiTheme="minorHAnsi" w:cstheme="majorBidi"/>
      <w:b/>
      <w:bCs/>
    </w:rPr>
  </w:style>
  <w:style w:type="paragraph" w:styleId="Heading4">
    <w:name w:val="heading 4"/>
    <w:basedOn w:val="Normal"/>
    <w:next w:val="Normal"/>
    <w:link w:val="Heading4Char"/>
    <w:uiPriority w:val="9"/>
    <w:unhideWhenUsed/>
    <w:qFormat/>
    <w:rsid w:val="008877D2"/>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link w:val="Subtitle"/>
    <w:rPr>
      <w:rFonts w:ascii="Cambria" w:eastAsia="Times New Roman" w:hAnsi="Cambria" w:cs="Times New Roman"/>
      <w:i/>
      <w:iCs/>
      <w:color w:val="4F81BD"/>
      <w:spacing w:val="15"/>
      <w:sz w:val="24"/>
      <w:szCs w:val="24"/>
      <w:lang w:eastAsia="en-US"/>
    </w:rPr>
  </w:style>
  <w:style w:type="character" w:customStyle="1" w:styleId="FooterChar">
    <w:name w:val="Footer Char"/>
    <w:link w:val="Footer"/>
    <w:uiPriority w:val="99"/>
    <w:rPr>
      <w:rFonts w:eastAsia="SimSun"/>
      <w:kern w:val="2"/>
      <w:sz w:val="18"/>
      <w:szCs w:val="22"/>
    </w:rPr>
  </w:style>
  <w:style w:type="paragraph" w:styleId="Header">
    <w:name w:val="header"/>
    <w:basedOn w:val="Normal"/>
    <w:link w:val="HeaderChar"/>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Subtitle">
    <w:name w:val="Subtitle"/>
    <w:basedOn w:val="Normal"/>
    <w:next w:val="Normal"/>
    <w:link w:val="SubtitleChar"/>
    <w:qFormat/>
    <w:pPr>
      <w:widowControl/>
    </w:pPr>
    <w:rPr>
      <w:rFonts w:ascii="Cambria" w:eastAsia="Times New Roman" w:hAnsi="Cambria"/>
      <w:i/>
      <w:iCs/>
      <w:color w:val="4F81BD"/>
      <w:spacing w:val="15"/>
      <w:sz w:val="24"/>
      <w:szCs w:val="24"/>
      <w:lang w:eastAsia="en-US"/>
    </w:rPr>
  </w:style>
  <w:style w:type="paragraph" w:styleId="Footer">
    <w:name w:val="footer"/>
    <w:basedOn w:val="Normal"/>
    <w:link w:val="FooterChar"/>
    <w:uiPriority w:val="99"/>
    <w:pPr>
      <w:tabs>
        <w:tab w:val="center" w:pos="4153"/>
        <w:tab w:val="right" w:pos="8306"/>
      </w:tabs>
      <w:snapToGrid w:val="0"/>
    </w:pPr>
    <w:rPr>
      <w:sz w:val="18"/>
    </w:rPr>
  </w:style>
  <w:style w:type="paragraph" w:customStyle="1" w:styleId="1">
    <w:name w:val="列出段落1"/>
    <w:basedOn w:val="Normal"/>
    <w:pPr>
      <w:widowControl/>
      <w:ind w:left="720"/>
      <w:contextualSpacing/>
    </w:pPr>
    <w:rPr>
      <w:rFonts w:ascii="Times New Roman" w:eastAsia="Times New Roman" w:hAnsi="Times New Roman"/>
      <w:kern w:val="0"/>
      <w:sz w:val="24"/>
      <w:szCs w:val="24"/>
      <w:lang w:eastAsia="en-US"/>
    </w:rPr>
  </w:style>
  <w:style w:type="paragraph" w:customStyle="1" w:styleId="note">
    <w:name w:val="note"/>
    <w:basedOn w:val="Normal"/>
    <w:qFormat/>
    <w:pPr>
      <w:widowControl/>
    </w:pPr>
    <w:rPr>
      <w:rFonts w:ascii="Cambria" w:eastAsia="Calibri" w:hAnsi="Cambria"/>
      <w:kern w:val="0"/>
      <w:sz w:val="18"/>
      <w:lang w:eastAsia="en-US"/>
    </w:rPr>
  </w:style>
  <w:style w:type="paragraph" w:styleId="BalloonText">
    <w:name w:val="Balloon Text"/>
    <w:basedOn w:val="Normal"/>
    <w:link w:val="BalloonTextChar"/>
    <w:uiPriority w:val="99"/>
    <w:semiHidden/>
    <w:unhideWhenUsed/>
    <w:rsid w:val="005D3DE1"/>
    <w:rPr>
      <w:rFonts w:ascii="Tahoma" w:hAnsi="Tahoma" w:cs="Tahoma"/>
      <w:sz w:val="16"/>
      <w:szCs w:val="16"/>
    </w:rPr>
  </w:style>
  <w:style w:type="character" w:customStyle="1" w:styleId="BalloonTextChar">
    <w:name w:val="Balloon Text Char"/>
    <w:link w:val="BalloonText"/>
    <w:uiPriority w:val="99"/>
    <w:semiHidden/>
    <w:rsid w:val="005D3DE1"/>
    <w:rPr>
      <w:rFonts w:ascii="Tahoma" w:hAnsi="Tahoma" w:cs="Tahoma"/>
      <w:kern w:val="2"/>
      <w:sz w:val="16"/>
      <w:szCs w:val="16"/>
      <w:lang w:val="en-US" w:eastAsia="zh-CN"/>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
    <w:basedOn w:val="Normal"/>
    <w:link w:val="FootnoteTextChar"/>
    <w:uiPriority w:val="99"/>
    <w:unhideWhenUsed/>
    <w:rsid w:val="005D3DE1"/>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link w:val="FootnoteText"/>
    <w:uiPriority w:val="99"/>
    <w:rsid w:val="005D3DE1"/>
    <w:rPr>
      <w:rFonts w:ascii="Calibri" w:hAnsi="Calibri"/>
      <w:kern w:val="2"/>
      <w:lang w:val="en-US" w:eastAsia="zh-CN"/>
    </w:rPr>
  </w:style>
  <w:style w:type="character" w:styleId="FootnoteReference">
    <w:name w:val="footnote reference"/>
    <w:uiPriority w:val="99"/>
    <w:rsid w:val="005D3DE1"/>
    <w:rPr>
      <w:vertAlign w:val="superscript"/>
    </w:rPr>
  </w:style>
  <w:style w:type="table" w:styleId="TableGrid">
    <w:name w:val="Table Grid"/>
    <w:basedOn w:val="TableNormal"/>
    <w:uiPriority w:val="59"/>
    <w:rsid w:val="006A3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DBodyTextDotPoint">
    <w:name w:val="CERD Body Text Dot Point"/>
    <w:basedOn w:val="Normal"/>
    <w:uiPriority w:val="99"/>
    <w:rsid w:val="006A3E88"/>
    <w:pPr>
      <w:widowControl/>
      <w:numPr>
        <w:numId w:val="2"/>
      </w:numPr>
      <w:spacing w:after="200"/>
      <w:ind w:left="720" w:hanging="360"/>
    </w:pPr>
    <w:rPr>
      <w:rFonts w:eastAsia="Calibri" w:cs="Calibri"/>
      <w:kern w:val="0"/>
      <w:sz w:val="24"/>
      <w:szCs w:val="24"/>
      <w:lang w:val="en-AU" w:eastAsia="ja-JP"/>
    </w:rPr>
  </w:style>
  <w:style w:type="paragraph" w:customStyle="1" w:styleId="MediumGrid1-Accent21">
    <w:name w:val="Medium Grid 1 - Accent 21"/>
    <w:aliases w:val="Recommendation,List Paragraph1,List Paragraph11,L,Dot pt,F5 List Paragraph,No Spacing1,List Paragraph Char Char Char,Indicator Text,Numbered Para 1,Bullet 1,List Paragraph12,Bullet Points,MAIN CONTENT,Colorful List - Accent 11"/>
    <w:basedOn w:val="Normal"/>
    <w:link w:val="MediumGrid1-Accent2Char"/>
    <w:uiPriority w:val="34"/>
    <w:qFormat/>
    <w:rsid w:val="00BF4CFB"/>
    <w:pPr>
      <w:widowControl/>
      <w:suppressAutoHyphens/>
      <w:autoSpaceDE w:val="0"/>
      <w:autoSpaceDN w:val="0"/>
      <w:adjustRightInd w:val="0"/>
      <w:ind w:left="720"/>
      <w:contextualSpacing/>
      <w:textAlignment w:val="center"/>
    </w:pPr>
    <w:rPr>
      <w:rFonts w:eastAsia="Calibri" w:cs="Calibri"/>
      <w:color w:val="595959"/>
      <w:kern w:val="0"/>
      <w:sz w:val="20"/>
      <w:szCs w:val="21"/>
      <w:lang w:eastAsia="en-US"/>
    </w:rPr>
  </w:style>
  <w:style w:type="character" w:customStyle="1" w:styleId="MediumGrid1-Accent2Char">
    <w:name w:val="Medium Grid 1 - Accent 2 Char"/>
    <w:aliases w:val="Recommendation Char,List Paragraph1 Char,List Paragraph11 Char,L Char,Dot pt Char,F5 List Paragraph Char,No Spacing1 Char,List Paragraph Char Char Char Char,Indicator Text Char,Numbered Para 1 Char,Bullet 1 Char,列 Char"/>
    <w:link w:val="MediumGrid1-Accent21"/>
    <w:uiPriority w:val="34"/>
    <w:qFormat/>
    <w:locked/>
    <w:rsid w:val="00BF4CFB"/>
    <w:rPr>
      <w:rFonts w:ascii="Calibri" w:eastAsia="Calibri" w:hAnsi="Calibri" w:cs="Calibri"/>
      <w:color w:val="595959"/>
      <w:szCs w:val="21"/>
      <w:lang w:val="en-US" w:eastAsia="en-US"/>
    </w:rPr>
  </w:style>
  <w:style w:type="table" w:styleId="LightShading-Accent2">
    <w:name w:val="Light Shading Accent 2"/>
    <w:basedOn w:val="TableNormal"/>
    <w:uiPriority w:val="60"/>
    <w:qFormat/>
    <w:rsid w:val="00DF2FF2"/>
    <w:rPr>
      <w:rFonts w:ascii="Calibri" w:eastAsia="Times New Roman" w:hAnsi="Calibri"/>
      <w:color w:val="365F91"/>
      <w:sz w:val="24"/>
      <w:szCs w:val="24"/>
      <w:lang w:val="en-US"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857357"/>
    <w:pPr>
      <w:autoSpaceDE w:val="0"/>
      <w:autoSpaceDN w:val="0"/>
      <w:adjustRightInd w:val="0"/>
    </w:pPr>
    <w:rPr>
      <w:rFonts w:ascii="Myriad Pro Light" w:eastAsia="Calibri" w:hAnsi="Myriad Pro Light" w:cs="Myriad Pro Light"/>
      <w:color w:val="000000"/>
      <w:sz w:val="24"/>
      <w:szCs w:val="24"/>
      <w:lang w:eastAsia="en-US"/>
    </w:rPr>
  </w:style>
  <w:style w:type="character" w:styleId="CommentReference">
    <w:name w:val="annotation reference"/>
    <w:uiPriority w:val="99"/>
    <w:semiHidden/>
    <w:unhideWhenUsed/>
    <w:rsid w:val="00D30608"/>
    <w:rPr>
      <w:sz w:val="16"/>
      <w:szCs w:val="16"/>
    </w:rPr>
  </w:style>
  <w:style w:type="paragraph" w:styleId="CommentText">
    <w:name w:val="annotation text"/>
    <w:basedOn w:val="Normal"/>
    <w:link w:val="CommentTextChar"/>
    <w:uiPriority w:val="99"/>
    <w:semiHidden/>
    <w:unhideWhenUsed/>
    <w:rsid w:val="00D30608"/>
    <w:rPr>
      <w:sz w:val="20"/>
      <w:szCs w:val="20"/>
    </w:rPr>
  </w:style>
  <w:style w:type="character" w:customStyle="1" w:styleId="CommentTextChar">
    <w:name w:val="Comment Text Char"/>
    <w:link w:val="CommentText"/>
    <w:uiPriority w:val="99"/>
    <w:semiHidden/>
    <w:rsid w:val="00D30608"/>
    <w:rPr>
      <w:rFonts w:ascii="Calibri" w:hAnsi="Calibri"/>
      <w:kern w:val="2"/>
      <w:lang w:val="en-US" w:eastAsia="zh-CN"/>
    </w:rPr>
  </w:style>
  <w:style w:type="paragraph" w:styleId="CommentSubject">
    <w:name w:val="annotation subject"/>
    <w:basedOn w:val="CommentText"/>
    <w:next w:val="CommentText"/>
    <w:link w:val="CommentSubjectChar"/>
    <w:uiPriority w:val="99"/>
    <w:semiHidden/>
    <w:unhideWhenUsed/>
    <w:rsid w:val="00D30608"/>
    <w:rPr>
      <w:b/>
      <w:bCs/>
    </w:rPr>
  </w:style>
  <w:style w:type="character" w:customStyle="1" w:styleId="CommentSubjectChar">
    <w:name w:val="Comment Subject Char"/>
    <w:link w:val="CommentSubject"/>
    <w:uiPriority w:val="99"/>
    <w:semiHidden/>
    <w:rsid w:val="00D30608"/>
    <w:rPr>
      <w:rFonts w:ascii="Calibri" w:hAnsi="Calibri"/>
      <w:b/>
      <w:bCs/>
      <w:kern w:val="2"/>
      <w:lang w:val="en-US" w:eastAsia="zh-CN"/>
    </w:rPr>
  </w:style>
  <w:style w:type="character" w:styleId="Hyperlink">
    <w:name w:val="Hyperlink"/>
    <w:uiPriority w:val="99"/>
    <w:unhideWhenUsed/>
    <w:rsid w:val="00021D7F"/>
    <w:rPr>
      <w:color w:val="0000FF"/>
      <w:u w:val="single"/>
    </w:rPr>
  </w:style>
  <w:style w:type="character" w:customStyle="1" w:styleId="Heading1Char">
    <w:name w:val="Heading 1 Char"/>
    <w:link w:val="Heading1"/>
    <w:uiPriority w:val="9"/>
    <w:rsid w:val="00340043"/>
    <w:rPr>
      <w:rFonts w:ascii="Calibri" w:eastAsia="Times New Roman" w:hAnsi="Calibri" w:cs="Calibri"/>
      <w:b/>
      <w:bCs/>
      <w:kern w:val="32"/>
      <w:sz w:val="32"/>
      <w:szCs w:val="32"/>
      <w:lang w:val="en-US" w:eastAsia="zh-CN"/>
    </w:rPr>
  </w:style>
  <w:style w:type="paragraph" w:customStyle="1" w:styleId="TOCHeading1">
    <w:name w:val="TOC Heading1"/>
    <w:basedOn w:val="Heading1"/>
    <w:next w:val="Normal"/>
    <w:uiPriority w:val="39"/>
    <w:unhideWhenUsed/>
    <w:qFormat/>
    <w:rsid w:val="0049518A"/>
    <w:pPr>
      <w:keepLines/>
      <w:widowControl/>
      <w:spacing w:before="480" w:after="0" w:line="276" w:lineRule="auto"/>
      <w:outlineLvl w:val="9"/>
    </w:pPr>
    <w:rPr>
      <w:color w:val="365F91"/>
      <w:kern w:val="0"/>
      <w:sz w:val="28"/>
      <w:szCs w:val="28"/>
      <w:lang w:eastAsia="ja-JP"/>
    </w:rPr>
  </w:style>
  <w:style w:type="paragraph" w:styleId="NormalWeb">
    <w:name w:val="Normal (Web)"/>
    <w:basedOn w:val="Normal"/>
    <w:uiPriority w:val="99"/>
    <w:unhideWhenUsed/>
    <w:rsid w:val="000A2568"/>
    <w:pPr>
      <w:widowControl/>
      <w:spacing w:before="100" w:beforeAutospacing="1" w:after="100" w:afterAutospacing="1"/>
    </w:pPr>
    <w:rPr>
      <w:rFonts w:ascii="Times New Roman" w:eastAsia="Calibri" w:hAnsi="Times New Roman"/>
      <w:kern w:val="0"/>
      <w:sz w:val="24"/>
      <w:szCs w:val="24"/>
      <w:lang w:eastAsia="en-US"/>
    </w:rPr>
  </w:style>
  <w:style w:type="character" w:customStyle="1" w:styleId="HeaderChar">
    <w:name w:val="Header Char"/>
    <w:link w:val="Header"/>
    <w:rsid w:val="003B255E"/>
    <w:rPr>
      <w:kern w:val="2"/>
      <w:sz w:val="18"/>
      <w:szCs w:val="22"/>
      <w:lang w:val="en-US" w:eastAsia="zh-CN"/>
    </w:rPr>
  </w:style>
  <w:style w:type="character" w:customStyle="1" w:styleId="BulletChar">
    <w:name w:val="Bullet Char"/>
    <w:aliases w:val="b Char,b + line Char Char,b Char Char"/>
    <w:link w:val="Bullet"/>
    <w:locked/>
    <w:rsid w:val="003B255E"/>
    <w:rPr>
      <w:rFonts w:ascii="Arial" w:eastAsia="Times New Roman" w:hAnsi="Arial" w:cs="Calibri"/>
      <w:color w:val="000000"/>
      <w:sz w:val="18"/>
    </w:rPr>
  </w:style>
  <w:style w:type="paragraph" w:customStyle="1" w:styleId="Bullet">
    <w:name w:val="Bullet"/>
    <w:aliases w:val="b,b1,b + line,level 1,Body,Bullet + line"/>
    <w:basedOn w:val="Normal"/>
    <w:link w:val="BulletChar"/>
    <w:rsid w:val="003B255E"/>
    <w:pPr>
      <w:widowControl/>
      <w:numPr>
        <w:numId w:val="11"/>
      </w:numPr>
      <w:spacing w:before="120" w:after="200" w:line="276" w:lineRule="auto"/>
    </w:pPr>
    <w:rPr>
      <w:rFonts w:ascii="Arial" w:eastAsia="Times New Roman" w:hAnsi="Arial" w:cs="Calibri"/>
      <w:color w:val="000000"/>
      <w:kern w:val="0"/>
      <w:sz w:val="18"/>
      <w:szCs w:val="20"/>
      <w:lang w:val="en-AU" w:eastAsia="en-AU"/>
    </w:rPr>
  </w:style>
  <w:style w:type="paragraph" w:customStyle="1" w:styleId="Dash">
    <w:name w:val="Dash"/>
    <w:basedOn w:val="Normal"/>
    <w:rsid w:val="003B255E"/>
    <w:pPr>
      <w:widowControl/>
      <w:numPr>
        <w:ilvl w:val="1"/>
        <w:numId w:val="11"/>
      </w:numPr>
      <w:tabs>
        <w:tab w:val="clear" w:pos="850"/>
      </w:tabs>
      <w:spacing w:before="120" w:after="200" w:line="276" w:lineRule="auto"/>
      <w:ind w:left="-480" w:hanging="360"/>
    </w:pPr>
    <w:rPr>
      <w:rFonts w:ascii="Arial" w:eastAsia="Times New Roman" w:hAnsi="Arial" w:cs="Calibri"/>
      <w:color w:val="000000"/>
      <w:kern w:val="0"/>
      <w:sz w:val="18"/>
      <w:szCs w:val="20"/>
      <w:lang w:val="en-AU" w:eastAsia="en-AU"/>
    </w:rPr>
  </w:style>
  <w:style w:type="paragraph" w:customStyle="1" w:styleId="DoubleDot">
    <w:name w:val="Double Dot"/>
    <w:basedOn w:val="Normal"/>
    <w:rsid w:val="003B255E"/>
    <w:pPr>
      <w:widowControl/>
      <w:numPr>
        <w:ilvl w:val="2"/>
        <w:numId w:val="11"/>
      </w:numPr>
      <w:tabs>
        <w:tab w:val="clear" w:pos="1275"/>
      </w:tabs>
      <w:spacing w:before="120" w:after="200" w:line="276" w:lineRule="auto"/>
      <w:ind w:left="240" w:hanging="180"/>
    </w:pPr>
    <w:rPr>
      <w:rFonts w:ascii="Arial" w:eastAsia="Times New Roman" w:hAnsi="Arial" w:cs="Calibri"/>
      <w:color w:val="000000"/>
      <w:kern w:val="0"/>
      <w:sz w:val="18"/>
      <w:szCs w:val="20"/>
      <w:lang w:val="en-AU" w:eastAsia="en-AU"/>
    </w:rPr>
  </w:style>
  <w:style w:type="character" w:styleId="Emphasis">
    <w:name w:val="Emphasis"/>
    <w:uiPriority w:val="20"/>
    <w:qFormat/>
    <w:rsid w:val="00B7380D"/>
    <w:rPr>
      <w:i/>
      <w:iCs/>
    </w:rPr>
  </w:style>
  <w:style w:type="paragraph" w:styleId="TOC1">
    <w:name w:val="toc 1"/>
    <w:basedOn w:val="Normal"/>
    <w:next w:val="Normal"/>
    <w:autoRedefine/>
    <w:uiPriority w:val="39"/>
    <w:unhideWhenUsed/>
    <w:qFormat/>
    <w:rsid w:val="003047B6"/>
    <w:pPr>
      <w:tabs>
        <w:tab w:val="left" w:pos="420"/>
        <w:tab w:val="right" w:pos="9572"/>
      </w:tabs>
      <w:spacing w:before="360"/>
    </w:pPr>
    <w:rPr>
      <w:rFonts w:ascii="Calibri Light" w:hAnsi="Calibri Light"/>
      <w:b/>
      <w:bCs/>
      <w:caps/>
      <w:noProof/>
      <w:sz w:val="18"/>
      <w:szCs w:val="18"/>
    </w:rPr>
  </w:style>
  <w:style w:type="paragraph" w:styleId="TOC2">
    <w:name w:val="toc 2"/>
    <w:basedOn w:val="Normal"/>
    <w:next w:val="Normal"/>
    <w:autoRedefine/>
    <w:uiPriority w:val="39"/>
    <w:unhideWhenUsed/>
    <w:qFormat/>
    <w:rsid w:val="00AF18C7"/>
    <w:pPr>
      <w:spacing w:before="240"/>
    </w:pPr>
    <w:rPr>
      <w:b/>
      <w:bCs/>
      <w:sz w:val="20"/>
      <w:szCs w:val="20"/>
    </w:rPr>
  </w:style>
  <w:style w:type="paragraph" w:styleId="TOC3">
    <w:name w:val="toc 3"/>
    <w:basedOn w:val="Normal"/>
    <w:next w:val="Normal"/>
    <w:autoRedefine/>
    <w:uiPriority w:val="39"/>
    <w:unhideWhenUsed/>
    <w:qFormat/>
    <w:rsid w:val="00AF18C7"/>
    <w:pPr>
      <w:ind w:left="210"/>
    </w:pPr>
    <w:rPr>
      <w:sz w:val="20"/>
      <w:szCs w:val="20"/>
    </w:rPr>
  </w:style>
  <w:style w:type="paragraph" w:styleId="TOC4">
    <w:name w:val="toc 4"/>
    <w:basedOn w:val="Normal"/>
    <w:next w:val="Normal"/>
    <w:autoRedefine/>
    <w:uiPriority w:val="39"/>
    <w:unhideWhenUsed/>
    <w:rsid w:val="00AF18C7"/>
    <w:pPr>
      <w:ind w:left="420"/>
    </w:pPr>
    <w:rPr>
      <w:sz w:val="20"/>
      <w:szCs w:val="20"/>
    </w:rPr>
  </w:style>
  <w:style w:type="paragraph" w:styleId="TOC5">
    <w:name w:val="toc 5"/>
    <w:basedOn w:val="Normal"/>
    <w:next w:val="Normal"/>
    <w:autoRedefine/>
    <w:uiPriority w:val="39"/>
    <w:unhideWhenUsed/>
    <w:rsid w:val="00AF18C7"/>
    <w:pPr>
      <w:ind w:left="630"/>
    </w:pPr>
    <w:rPr>
      <w:sz w:val="20"/>
      <w:szCs w:val="20"/>
    </w:rPr>
  </w:style>
  <w:style w:type="paragraph" w:styleId="TOC6">
    <w:name w:val="toc 6"/>
    <w:basedOn w:val="Normal"/>
    <w:next w:val="Normal"/>
    <w:autoRedefine/>
    <w:uiPriority w:val="39"/>
    <w:unhideWhenUsed/>
    <w:rsid w:val="00AF18C7"/>
    <w:pPr>
      <w:ind w:left="840"/>
    </w:pPr>
    <w:rPr>
      <w:sz w:val="20"/>
      <w:szCs w:val="20"/>
    </w:rPr>
  </w:style>
  <w:style w:type="paragraph" w:styleId="TOC7">
    <w:name w:val="toc 7"/>
    <w:basedOn w:val="Normal"/>
    <w:next w:val="Normal"/>
    <w:autoRedefine/>
    <w:uiPriority w:val="39"/>
    <w:unhideWhenUsed/>
    <w:rsid w:val="00AF18C7"/>
    <w:pPr>
      <w:ind w:left="1050"/>
    </w:pPr>
    <w:rPr>
      <w:sz w:val="20"/>
      <w:szCs w:val="20"/>
    </w:rPr>
  </w:style>
  <w:style w:type="paragraph" w:styleId="TOC8">
    <w:name w:val="toc 8"/>
    <w:basedOn w:val="Normal"/>
    <w:next w:val="Normal"/>
    <w:autoRedefine/>
    <w:uiPriority w:val="39"/>
    <w:unhideWhenUsed/>
    <w:rsid w:val="00AF18C7"/>
    <w:pPr>
      <w:ind w:left="1260"/>
    </w:pPr>
    <w:rPr>
      <w:sz w:val="20"/>
      <w:szCs w:val="20"/>
    </w:rPr>
  </w:style>
  <w:style w:type="paragraph" w:styleId="TOC9">
    <w:name w:val="toc 9"/>
    <w:basedOn w:val="Normal"/>
    <w:next w:val="Normal"/>
    <w:autoRedefine/>
    <w:uiPriority w:val="39"/>
    <w:unhideWhenUsed/>
    <w:rsid w:val="00AF18C7"/>
    <w:pPr>
      <w:ind w:left="1470"/>
    </w:pPr>
    <w:rPr>
      <w:sz w:val="20"/>
      <w:szCs w:val="20"/>
    </w:rPr>
  </w:style>
  <w:style w:type="paragraph" w:styleId="ListParagraph">
    <w:name w:val="List Paragraph"/>
    <w:basedOn w:val="Normal"/>
    <w:uiPriority w:val="34"/>
    <w:qFormat/>
    <w:rsid w:val="00CA07CC"/>
    <w:pPr>
      <w:widowControl/>
      <w:numPr>
        <w:numId w:val="30"/>
      </w:numPr>
      <w:ind w:left="357" w:hanging="357"/>
    </w:pPr>
    <w:rPr>
      <w:rFonts w:eastAsia="Times New Roman"/>
      <w:kern w:val="0"/>
      <w:szCs w:val="26"/>
      <w:lang w:val="en-AU" w:eastAsia="en-US"/>
    </w:rPr>
  </w:style>
  <w:style w:type="character" w:customStyle="1" w:styleId="Heading2Char">
    <w:name w:val="Heading 2 Char"/>
    <w:basedOn w:val="DefaultParagraphFont"/>
    <w:link w:val="Heading2"/>
    <w:uiPriority w:val="9"/>
    <w:rsid w:val="00340043"/>
    <w:rPr>
      <w:rFonts w:asciiTheme="minorHAnsi" w:eastAsiaTheme="majorEastAsia" w:hAnsiTheme="minorHAnsi" w:cstheme="majorBidi"/>
      <w:b/>
      <w:bCs/>
      <w:kern w:val="2"/>
      <w:sz w:val="28"/>
      <w:szCs w:val="26"/>
      <w:lang w:val="en-US" w:eastAsia="zh-CN"/>
    </w:rPr>
  </w:style>
  <w:style w:type="character" w:customStyle="1" w:styleId="Heading3Char">
    <w:name w:val="Heading 3 Char"/>
    <w:basedOn w:val="DefaultParagraphFont"/>
    <w:link w:val="Heading3"/>
    <w:uiPriority w:val="9"/>
    <w:rsid w:val="00340043"/>
    <w:rPr>
      <w:rFonts w:asciiTheme="minorHAnsi" w:eastAsiaTheme="majorEastAsia" w:hAnsiTheme="minorHAnsi" w:cstheme="majorBidi"/>
      <w:b/>
      <w:bCs/>
      <w:kern w:val="2"/>
      <w:sz w:val="22"/>
      <w:szCs w:val="22"/>
      <w:lang w:val="en-US" w:eastAsia="zh-CN"/>
    </w:rPr>
  </w:style>
  <w:style w:type="paragraph" w:styleId="TOCHeading">
    <w:name w:val="TOC Heading"/>
    <w:basedOn w:val="Heading1"/>
    <w:next w:val="Normal"/>
    <w:uiPriority w:val="39"/>
    <w:unhideWhenUsed/>
    <w:qFormat/>
    <w:rsid w:val="00727B14"/>
    <w:pPr>
      <w:keepLines/>
      <w:widowControl/>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NoSpacing">
    <w:name w:val="No Spacing"/>
    <w:uiPriority w:val="1"/>
    <w:qFormat/>
    <w:rsid w:val="001E0F3B"/>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470293"/>
    <w:rPr>
      <w:color w:val="800080" w:themeColor="followedHyperlink"/>
      <w:u w:val="single"/>
    </w:rPr>
  </w:style>
  <w:style w:type="paragraph" w:styleId="Title">
    <w:name w:val="Title"/>
    <w:basedOn w:val="Normal"/>
    <w:next w:val="Normal"/>
    <w:link w:val="TitleChar"/>
    <w:uiPriority w:val="10"/>
    <w:qFormat/>
    <w:rsid w:val="000F51C8"/>
    <w:pPr>
      <w:jc w:val="center"/>
    </w:pPr>
    <w:rPr>
      <w:rFonts w:cs="Calibri"/>
      <w:b/>
      <w:sz w:val="96"/>
      <w:szCs w:val="96"/>
    </w:rPr>
  </w:style>
  <w:style w:type="character" w:customStyle="1" w:styleId="TitleChar">
    <w:name w:val="Title Char"/>
    <w:basedOn w:val="DefaultParagraphFont"/>
    <w:link w:val="Title"/>
    <w:uiPriority w:val="10"/>
    <w:rsid w:val="000F51C8"/>
    <w:rPr>
      <w:rFonts w:ascii="Calibri" w:hAnsi="Calibri" w:cs="Calibri"/>
      <w:b/>
      <w:kern w:val="2"/>
      <w:sz w:val="96"/>
      <w:szCs w:val="96"/>
      <w:lang w:val="en-US" w:eastAsia="zh-CN"/>
    </w:rPr>
  </w:style>
  <w:style w:type="paragraph" w:customStyle="1" w:styleId="TableheadingH2">
    <w:name w:val="Table heading (H2)"/>
    <w:basedOn w:val="Heading2"/>
    <w:link w:val="TableheadingH2Char"/>
    <w:qFormat/>
    <w:rsid w:val="00340043"/>
    <w:pPr>
      <w:jc w:val="center"/>
    </w:pPr>
    <w:rPr>
      <w:rFonts w:ascii="Calibri" w:hAnsi="Calibri" w:cs="Calibri"/>
      <w:sz w:val="22"/>
    </w:rPr>
  </w:style>
  <w:style w:type="character" w:customStyle="1" w:styleId="TableheadingH2Char">
    <w:name w:val="Table heading (H2) Char"/>
    <w:basedOn w:val="Heading2Char"/>
    <w:link w:val="TableheadingH2"/>
    <w:rsid w:val="00340043"/>
    <w:rPr>
      <w:rFonts w:ascii="Calibri" w:eastAsiaTheme="majorEastAsia" w:hAnsi="Calibri" w:cs="Calibri"/>
      <w:b/>
      <w:bCs/>
      <w:kern w:val="2"/>
      <w:sz w:val="22"/>
      <w:szCs w:val="26"/>
      <w:lang w:val="en-US" w:eastAsia="zh-CN"/>
    </w:rPr>
  </w:style>
  <w:style w:type="character" w:customStyle="1" w:styleId="Heading4Char">
    <w:name w:val="Heading 4 Char"/>
    <w:basedOn w:val="DefaultParagraphFont"/>
    <w:link w:val="Heading4"/>
    <w:uiPriority w:val="9"/>
    <w:rsid w:val="008877D2"/>
    <w:rPr>
      <w:rFonts w:ascii="Calibri" w:hAnsi="Calibri"/>
      <w:i/>
      <w:kern w:val="2"/>
      <w:sz w:val="22"/>
      <w:szCs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40F"/>
    <w:pPr>
      <w:widowControl w:val="0"/>
      <w:spacing w:after="120"/>
    </w:pPr>
    <w:rPr>
      <w:rFonts w:ascii="Calibri" w:hAnsi="Calibri"/>
      <w:kern w:val="2"/>
      <w:sz w:val="22"/>
      <w:szCs w:val="22"/>
      <w:lang w:val="en-US" w:eastAsia="zh-CN"/>
    </w:rPr>
  </w:style>
  <w:style w:type="paragraph" w:styleId="Heading1">
    <w:name w:val="heading 1"/>
    <w:basedOn w:val="Normal"/>
    <w:next w:val="Normal"/>
    <w:link w:val="Heading1Char"/>
    <w:uiPriority w:val="9"/>
    <w:qFormat/>
    <w:rsid w:val="00340043"/>
    <w:pPr>
      <w:keepNext/>
      <w:numPr>
        <w:numId w:val="15"/>
      </w:numPr>
      <w:spacing w:after="240"/>
      <w:outlineLvl w:val="0"/>
    </w:pPr>
    <w:rPr>
      <w:rFonts w:eastAsia="Times New Roman" w:cs="Calibri"/>
      <w:b/>
      <w:bCs/>
      <w:kern w:val="32"/>
      <w:sz w:val="32"/>
      <w:szCs w:val="32"/>
    </w:rPr>
  </w:style>
  <w:style w:type="paragraph" w:styleId="Heading2">
    <w:name w:val="heading 2"/>
    <w:basedOn w:val="Normal"/>
    <w:next w:val="Normal"/>
    <w:link w:val="Heading2Char"/>
    <w:uiPriority w:val="9"/>
    <w:qFormat/>
    <w:rsid w:val="00340043"/>
    <w:pPr>
      <w:keepNext/>
      <w:keepLines/>
      <w:spacing w:before="120" w:after="240"/>
      <w:outlineLvl w:val="1"/>
    </w:pPr>
    <w:rPr>
      <w:rFonts w:asciiTheme="minorHAnsi" w:eastAsiaTheme="majorEastAsia" w:hAnsiTheme="minorHAnsi" w:cstheme="majorBidi"/>
      <w:b/>
      <w:bCs/>
      <w:sz w:val="28"/>
      <w:szCs w:val="26"/>
    </w:rPr>
  </w:style>
  <w:style w:type="paragraph" w:styleId="Heading3">
    <w:name w:val="heading 3"/>
    <w:basedOn w:val="Normal"/>
    <w:next w:val="Normal"/>
    <w:link w:val="Heading3Char"/>
    <w:uiPriority w:val="9"/>
    <w:qFormat/>
    <w:rsid w:val="00340043"/>
    <w:pPr>
      <w:keepNext/>
      <w:keepLines/>
      <w:spacing w:before="120"/>
      <w:outlineLvl w:val="2"/>
    </w:pPr>
    <w:rPr>
      <w:rFonts w:asciiTheme="minorHAnsi" w:eastAsiaTheme="majorEastAsia" w:hAnsiTheme="minorHAnsi" w:cstheme="majorBidi"/>
      <w:b/>
      <w:bCs/>
    </w:rPr>
  </w:style>
  <w:style w:type="paragraph" w:styleId="Heading4">
    <w:name w:val="heading 4"/>
    <w:basedOn w:val="Normal"/>
    <w:next w:val="Normal"/>
    <w:link w:val="Heading4Char"/>
    <w:uiPriority w:val="9"/>
    <w:unhideWhenUsed/>
    <w:qFormat/>
    <w:rsid w:val="008877D2"/>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link w:val="Subtitle"/>
    <w:rPr>
      <w:rFonts w:ascii="Cambria" w:eastAsia="Times New Roman" w:hAnsi="Cambria" w:cs="Times New Roman"/>
      <w:i/>
      <w:iCs/>
      <w:color w:val="4F81BD"/>
      <w:spacing w:val="15"/>
      <w:sz w:val="24"/>
      <w:szCs w:val="24"/>
      <w:lang w:eastAsia="en-US"/>
    </w:rPr>
  </w:style>
  <w:style w:type="character" w:customStyle="1" w:styleId="FooterChar">
    <w:name w:val="Footer Char"/>
    <w:link w:val="Footer"/>
    <w:uiPriority w:val="99"/>
    <w:rPr>
      <w:rFonts w:eastAsia="SimSun"/>
      <w:kern w:val="2"/>
      <w:sz w:val="18"/>
      <w:szCs w:val="22"/>
    </w:rPr>
  </w:style>
  <w:style w:type="paragraph" w:styleId="Header">
    <w:name w:val="header"/>
    <w:basedOn w:val="Normal"/>
    <w:link w:val="HeaderChar"/>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Subtitle">
    <w:name w:val="Subtitle"/>
    <w:basedOn w:val="Normal"/>
    <w:next w:val="Normal"/>
    <w:link w:val="SubtitleChar"/>
    <w:qFormat/>
    <w:pPr>
      <w:widowControl/>
    </w:pPr>
    <w:rPr>
      <w:rFonts w:ascii="Cambria" w:eastAsia="Times New Roman" w:hAnsi="Cambria"/>
      <w:i/>
      <w:iCs/>
      <w:color w:val="4F81BD"/>
      <w:spacing w:val="15"/>
      <w:sz w:val="24"/>
      <w:szCs w:val="24"/>
      <w:lang w:eastAsia="en-US"/>
    </w:rPr>
  </w:style>
  <w:style w:type="paragraph" w:styleId="Footer">
    <w:name w:val="footer"/>
    <w:basedOn w:val="Normal"/>
    <w:link w:val="FooterChar"/>
    <w:uiPriority w:val="99"/>
    <w:pPr>
      <w:tabs>
        <w:tab w:val="center" w:pos="4153"/>
        <w:tab w:val="right" w:pos="8306"/>
      </w:tabs>
      <w:snapToGrid w:val="0"/>
    </w:pPr>
    <w:rPr>
      <w:sz w:val="18"/>
    </w:rPr>
  </w:style>
  <w:style w:type="paragraph" w:customStyle="1" w:styleId="1">
    <w:name w:val="列出段落1"/>
    <w:basedOn w:val="Normal"/>
    <w:pPr>
      <w:widowControl/>
      <w:ind w:left="720"/>
      <w:contextualSpacing/>
    </w:pPr>
    <w:rPr>
      <w:rFonts w:ascii="Times New Roman" w:eastAsia="Times New Roman" w:hAnsi="Times New Roman"/>
      <w:kern w:val="0"/>
      <w:sz w:val="24"/>
      <w:szCs w:val="24"/>
      <w:lang w:eastAsia="en-US"/>
    </w:rPr>
  </w:style>
  <w:style w:type="paragraph" w:customStyle="1" w:styleId="note">
    <w:name w:val="note"/>
    <w:basedOn w:val="Normal"/>
    <w:qFormat/>
    <w:pPr>
      <w:widowControl/>
    </w:pPr>
    <w:rPr>
      <w:rFonts w:ascii="Cambria" w:eastAsia="Calibri" w:hAnsi="Cambria"/>
      <w:kern w:val="0"/>
      <w:sz w:val="18"/>
      <w:lang w:eastAsia="en-US"/>
    </w:rPr>
  </w:style>
  <w:style w:type="paragraph" w:styleId="BalloonText">
    <w:name w:val="Balloon Text"/>
    <w:basedOn w:val="Normal"/>
    <w:link w:val="BalloonTextChar"/>
    <w:uiPriority w:val="99"/>
    <w:semiHidden/>
    <w:unhideWhenUsed/>
    <w:rsid w:val="005D3DE1"/>
    <w:rPr>
      <w:rFonts w:ascii="Tahoma" w:hAnsi="Tahoma" w:cs="Tahoma"/>
      <w:sz w:val="16"/>
      <w:szCs w:val="16"/>
    </w:rPr>
  </w:style>
  <w:style w:type="character" w:customStyle="1" w:styleId="BalloonTextChar">
    <w:name w:val="Balloon Text Char"/>
    <w:link w:val="BalloonText"/>
    <w:uiPriority w:val="99"/>
    <w:semiHidden/>
    <w:rsid w:val="005D3DE1"/>
    <w:rPr>
      <w:rFonts w:ascii="Tahoma" w:hAnsi="Tahoma" w:cs="Tahoma"/>
      <w:kern w:val="2"/>
      <w:sz w:val="16"/>
      <w:szCs w:val="16"/>
      <w:lang w:val="en-US" w:eastAsia="zh-CN"/>
    </w:rPr>
  </w:style>
  <w:style w:type="paragraph" w:styleId="FootnoteText">
    <w:name w:val="footnote text"/>
    <w:aliases w:val="Footnote Text Char1 Char,Footnote Text Char Char Char,Footnote Text Char1 Char Char Char,Footnote Text Char Char Char Char Char,Footnote Text Char1 Char1,Footnote Text Char Char Char1,Footnote Text AFPC 1-9,AFPC Footnote Text"/>
    <w:basedOn w:val="Normal"/>
    <w:link w:val="FootnoteTextChar"/>
    <w:uiPriority w:val="99"/>
    <w:unhideWhenUsed/>
    <w:rsid w:val="005D3DE1"/>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link w:val="FootnoteText"/>
    <w:uiPriority w:val="99"/>
    <w:rsid w:val="005D3DE1"/>
    <w:rPr>
      <w:rFonts w:ascii="Calibri" w:hAnsi="Calibri"/>
      <w:kern w:val="2"/>
      <w:lang w:val="en-US" w:eastAsia="zh-CN"/>
    </w:rPr>
  </w:style>
  <w:style w:type="character" w:styleId="FootnoteReference">
    <w:name w:val="footnote reference"/>
    <w:uiPriority w:val="99"/>
    <w:rsid w:val="005D3DE1"/>
    <w:rPr>
      <w:vertAlign w:val="superscript"/>
    </w:rPr>
  </w:style>
  <w:style w:type="table" w:styleId="TableGrid">
    <w:name w:val="Table Grid"/>
    <w:basedOn w:val="TableNormal"/>
    <w:uiPriority w:val="59"/>
    <w:rsid w:val="006A3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DBodyTextDotPoint">
    <w:name w:val="CERD Body Text Dot Point"/>
    <w:basedOn w:val="Normal"/>
    <w:uiPriority w:val="99"/>
    <w:rsid w:val="006A3E88"/>
    <w:pPr>
      <w:widowControl/>
      <w:numPr>
        <w:numId w:val="2"/>
      </w:numPr>
      <w:spacing w:after="200"/>
      <w:ind w:left="720" w:hanging="360"/>
    </w:pPr>
    <w:rPr>
      <w:rFonts w:eastAsia="Calibri" w:cs="Calibri"/>
      <w:kern w:val="0"/>
      <w:sz w:val="24"/>
      <w:szCs w:val="24"/>
      <w:lang w:val="en-AU" w:eastAsia="ja-JP"/>
    </w:rPr>
  </w:style>
  <w:style w:type="paragraph" w:customStyle="1" w:styleId="MediumGrid1-Accent21">
    <w:name w:val="Medium Grid 1 - Accent 21"/>
    <w:aliases w:val="Recommendation,List Paragraph1,List Paragraph11,L,Dot pt,F5 List Paragraph,No Spacing1,List Paragraph Char Char Char,Indicator Text,Numbered Para 1,Bullet 1,List Paragraph12,Bullet Points,MAIN CONTENT,Colorful List - Accent 11"/>
    <w:basedOn w:val="Normal"/>
    <w:link w:val="MediumGrid1-Accent2Char"/>
    <w:uiPriority w:val="34"/>
    <w:qFormat/>
    <w:rsid w:val="00BF4CFB"/>
    <w:pPr>
      <w:widowControl/>
      <w:suppressAutoHyphens/>
      <w:autoSpaceDE w:val="0"/>
      <w:autoSpaceDN w:val="0"/>
      <w:adjustRightInd w:val="0"/>
      <w:ind w:left="720"/>
      <w:contextualSpacing/>
      <w:textAlignment w:val="center"/>
    </w:pPr>
    <w:rPr>
      <w:rFonts w:eastAsia="Calibri" w:cs="Calibri"/>
      <w:color w:val="595959"/>
      <w:kern w:val="0"/>
      <w:sz w:val="20"/>
      <w:szCs w:val="21"/>
      <w:lang w:eastAsia="en-US"/>
    </w:rPr>
  </w:style>
  <w:style w:type="character" w:customStyle="1" w:styleId="MediumGrid1-Accent2Char">
    <w:name w:val="Medium Grid 1 - Accent 2 Char"/>
    <w:aliases w:val="Recommendation Char,List Paragraph1 Char,List Paragraph11 Char,L Char,Dot pt Char,F5 List Paragraph Char,No Spacing1 Char,List Paragraph Char Char Char Char,Indicator Text Char,Numbered Para 1 Char,Bullet 1 Char,列 Char"/>
    <w:link w:val="MediumGrid1-Accent21"/>
    <w:uiPriority w:val="34"/>
    <w:qFormat/>
    <w:locked/>
    <w:rsid w:val="00BF4CFB"/>
    <w:rPr>
      <w:rFonts w:ascii="Calibri" w:eastAsia="Calibri" w:hAnsi="Calibri" w:cs="Calibri"/>
      <w:color w:val="595959"/>
      <w:szCs w:val="21"/>
      <w:lang w:val="en-US" w:eastAsia="en-US"/>
    </w:rPr>
  </w:style>
  <w:style w:type="table" w:styleId="LightShading-Accent2">
    <w:name w:val="Light Shading Accent 2"/>
    <w:basedOn w:val="TableNormal"/>
    <w:uiPriority w:val="60"/>
    <w:qFormat/>
    <w:rsid w:val="00DF2FF2"/>
    <w:rPr>
      <w:rFonts w:ascii="Calibri" w:eastAsia="Times New Roman" w:hAnsi="Calibri"/>
      <w:color w:val="365F91"/>
      <w:sz w:val="24"/>
      <w:szCs w:val="24"/>
      <w:lang w:val="en-US"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857357"/>
    <w:pPr>
      <w:autoSpaceDE w:val="0"/>
      <w:autoSpaceDN w:val="0"/>
      <w:adjustRightInd w:val="0"/>
    </w:pPr>
    <w:rPr>
      <w:rFonts w:ascii="Myriad Pro Light" w:eastAsia="Calibri" w:hAnsi="Myriad Pro Light" w:cs="Myriad Pro Light"/>
      <w:color w:val="000000"/>
      <w:sz w:val="24"/>
      <w:szCs w:val="24"/>
      <w:lang w:eastAsia="en-US"/>
    </w:rPr>
  </w:style>
  <w:style w:type="character" w:styleId="CommentReference">
    <w:name w:val="annotation reference"/>
    <w:uiPriority w:val="99"/>
    <w:semiHidden/>
    <w:unhideWhenUsed/>
    <w:rsid w:val="00D30608"/>
    <w:rPr>
      <w:sz w:val="16"/>
      <w:szCs w:val="16"/>
    </w:rPr>
  </w:style>
  <w:style w:type="paragraph" w:styleId="CommentText">
    <w:name w:val="annotation text"/>
    <w:basedOn w:val="Normal"/>
    <w:link w:val="CommentTextChar"/>
    <w:uiPriority w:val="99"/>
    <w:semiHidden/>
    <w:unhideWhenUsed/>
    <w:rsid w:val="00D30608"/>
    <w:rPr>
      <w:sz w:val="20"/>
      <w:szCs w:val="20"/>
    </w:rPr>
  </w:style>
  <w:style w:type="character" w:customStyle="1" w:styleId="CommentTextChar">
    <w:name w:val="Comment Text Char"/>
    <w:link w:val="CommentText"/>
    <w:uiPriority w:val="99"/>
    <w:semiHidden/>
    <w:rsid w:val="00D30608"/>
    <w:rPr>
      <w:rFonts w:ascii="Calibri" w:hAnsi="Calibri"/>
      <w:kern w:val="2"/>
      <w:lang w:val="en-US" w:eastAsia="zh-CN"/>
    </w:rPr>
  </w:style>
  <w:style w:type="paragraph" w:styleId="CommentSubject">
    <w:name w:val="annotation subject"/>
    <w:basedOn w:val="CommentText"/>
    <w:next w:val="CommentText"/>
    <w:link w:val="CommentSubjectChar"/>
    <w:uiPriority w:val="99"/>
    <w:semiHidden/>
    <w:unhideWhenUsed/>
    <w:rsid w:val="00D30608"/>
    <w:rPr>
      <w:b/>
      <w:bCs/>
    </w:rPr>
  </w:style>
  <w:style w:type="character" w:customStyle="1" w:styleId="CommentSubjectChar">
    <w:name w:val="Comment Subject Char"/>
    <w:link w:val="CommentSubject"/>
    <w:uiPriority w:val="99"/>
    <w:semiHidden/>
    <w:rsid w:val="00D30608"/>
    <w:rPr>
      <w:rFonts w:ascii="Calibri" w:hAnsi="Calibri"/>
      <w:b/>
      <w:bCs/>
      <w:kern w:val="2"/>
      <w:lang w:val="en-US" w:eastAsia="zh-CN"/>
    </w:rPr>
  </w:style>
  <w:style w:type="character" w:styleId="Hyperlink">
    <w:name w:val="Hyperlink"/>
    <w:uiPriority w:val="99"/>
    <w:unhideWhenUsed/>
    <w:rsid w:val="00021D7F"/>
    <w:rPr>
      <w:color w:val="0000FF"/>
      <w:u w:val="single"/>
    </w:rPr>
  </w:style>
  <w:style w:type="character" w:customStyle="1" w:styleId="Heading1Char">
    <w:name w:val="Heading 1 Char"/>
    <w:link w:val="Heading1"/>
    <w:uiPriority w:val="9"/>
    <w:rsid w:val="00340043"/>
    <w:rPr>
      <w:rFonts w:ascii="Calibri" w:eastAsia="Times New Roman" w:hAnsi="Calibri" w:cs="Calibri"/>
      <w:b/>
      <w:bCs/>
      <w:kern w:val="32"/>
      <w:sz w:val="32"/>
      <w:szCs w:val="32"/>
      <w:lang w:val="en-US" w:eastAsia="zh-CN"/>
    </w:rPr>
  </w:style>
  <w:style w:type="paragraph" w:customStyle="1" w:styleId="TOCHeading1">
    <w:name w:val="TOC Heading1"/>
    <w:basedOn w:val="Heading1"/>
    <w:next w:val="Normal"/>
    <w:uiPriority w:val="39"/>
    <w:unhideWhenUsed/>
    <w:qFormat/>
    <w:rsid w:val="0049518A"/>
    <w:pPr>
      <w:keepLines/>
      <w:widowControl/>
      <w:spacing w:before="480" w:after="0" w:line="276" w:lineRule="auto"/>
      <w:outlineLvl w:val="9"/>
    </w:pPr>
    <w:rPr>
      <w:color w:val="365F91"/>
      <w:kern w:val="0"/>
      <w:sz w:val="28"/>
      <w:szCs w:val="28"/>
      <w:lang w:eastAsia="ja-JP"/>
    </w:rPr>
  </w:style>
  <w:style w:type="paragraph" w:styleId="NormalWeb">
    <w:name w:val="Normal (Web)"/>
    <w:basedOn w:val="Normal"/>
    <w:uiPriority w:val="99"/>
    <w:unhideWhenUsed/>
    <w:rsid w:val="000A2568"/>
    <w:pPr>
      <w:widowControl/>
      <w:spacing w:before="100" w:beforeAutospacing="1" w:after="100" w:afterAutospacing="1"/>
    </w:pPr>
    <w:rPr>
      <w:rFonts w:ascii="Times New Roman" w:eastAsia="Calibri" w:hAnsi="Times New Roman"/>
      <w:kern w:val="0"/>
      <w:sz w:val="24"/>
      <w:szCs w:val="24"/>
      <w:lang w:eastAsia="en-US"/>
    </w:rPr>
  </w:style>
  <w:style w:type="character" w:customStyle="1" w:styleId="HeaderChar">
    <w:name w:val="Header Char"/>
    <w:link w:val="Header"/>
    <w:rsid w:val="003B255E"/>
    <w:rPr>
      <w:kern w:val="2"/>
      <w:sz w:val="18"/>
      <w:szCs w:val="22"/>
      <w:lang w:val="en-US" w:eastAsia="zh-CN"/>
    </w:rPr>
  </w:style>
  <w:style w:type="character" w:customStyle="1" w:styleId="BulletChar">
    <w:name w:val="Bullet Char"/>
    <w:aliases w:val="b Char,b + line Char Char,b Char Char"/>
    <w:link w:val="Bullet"/>
    <w:locked/>
    <w:rsid w:val="003B255E"/>
    <w:rPr>
      <w:rFonts w:ascii="Arial" w:eastAsia="Times New Roman" w:hAnsi="Arial" w:cs="Calibri"/>
      <w:color w:val="000000"/>
      <w:sz w:val="18"/>
    </w:rPr>
  </w:style>
  <w:style w:type="paragraph" w:customStyle="1" w:styleId="Bullet">
    <w:name w:val="Bullet"/>
    <w:aliases w:val="b,b1,b + line,level 1,Body,Bullet + line"/>
    <w:basedOn w:val="Normal"/>
    <w:link w:val="BulletChar"/>
    <w:rsid w:val="003B255E"/>
    <w:pPr>
      <w:widowControl/>
      <w:numPr>
        <w:numId w:val="11"/>
      </w:numPr>
      <w:spacing w:before="120" w:after="200" w:line="276" w:lineRule="auto"/>
    </w:pPr>
    <w:rPr>
      <w:rFonts w:ascii="Arial" w:eastAsia="Times New Roman" w:hAnsi="Arial" w:cs="Calibri"/>
      <w:color w:val="000000"/>
      <w:kern w:val="0"/>
      <w:sz w:val="18"/>
      <w:szCs w:val="20"/>
      <w:lang w:val="en-AU" w:eastAsia="en-AU"/>
    </w:rPr>
  </w:style>
  <w:style w:type="paragraph" w:customStyle="1" w:styleId="Dash">
    <w:name w:val="Dash"/>
    <w:basedOn w:val="Normal"/>
    <w:rsid w:val="003B255E"/>
    <w:pPr>
      <w:widowControl/>
      <w:numPr>
        <w:ilvl w:val="1"/>
        <w:numId w:val="11"/>
      </w:numPr>
      <w:tabs>
        <w:tab w:val="clear" w:pos="850"/>
      </w:tabs>
      <w:spacing w:before="120" w:after="200" w:line="276" w:lineRule="auto"/>
      <w:ind w:left="-480" w:hanging="360"/>
    </w:pPr>
    <w:rPr>
      <w:rFonts w:ascii="Arial" w:eastAsia="Times New Roman" w:hAnsi="Arial" w:cs="Calibri"/>
      <w:color w:val="000000"/>
      <w:kern w:val="0"/>
      <w:sz w:val="18"/>
      <w:szCs w:val="20"/>
      <w:lang w:val="en-AU" w:eastAsia="en-AU"/>
    </w:rPr>
  </w:style>
  <w:style w:type="paragraph" w:customStyle="1" w:styleId="DoubleDot">
    <w:name w:val="Double Dot"/>
    <w:basedOn w:val="Normal"/>
    <w:rsid w:val="003B255E"/>
    <w:pPr>
      <w:widowControl/>
      <w:numPr>
        <w:ilvl w:val="2"/>
        <w:numId w:val="11"/>
      </w:numPr>
      <w:tabs>
        <w:tab w:val="clear" w:pos="1275"/>
      </w:tabs>
      <w:spacing w:before="120" w:after="200" w:line="276" w:lineRule="auto"/>
      <w:ind w:left="240" w:hanging="180"/>
    </w:pPr>
    <w:rPr>
      <w:rFonts w:ascii="Arial" w:eastAsia="Times New Roman" w:hAnsi="Arial" w:cs="Calibri"/>
      <w:color w:val="000000"/>
      <w:kern w:val="0"/>
      <w:sz w:val="18"/>
      <w:szCs w:val="20"/>
      <w:lang w:val="en-AU" w:eastAsia="en-AU"/>
    </w:rPr>
  </w:style>
  <w:style w:type="character" w:styleId="Emphasis">
    <w:name w:val="Emphasis"/>
    <w:uiPriority w:val="20"/>
    <w:qFormat/>
    <w:rsid w:val="00B7380D"/>
    <w:rPr>
      <w:i/>
      <w:iCs/>
    </w:rPr>
  </w:style>
  <w:style w:type="paragraph" w:styleId="TOC1">
    <w:name w:val="toc 1"/>
    <w:basedOn w:val="Normal"/>
    <w:next w:val="Normal"/>
    <w:autoRedefine/>
    <w:uiPriority w:val="39"/>
    <w:unhideWhenUsed/>
    <w:qFormat/>
    <w:rsid w:val="003047B6"/>
    <w:pPr>
      <w:tabs>
        <w:tab w:val="left" w:pos="420"/>
        <w:tab w:val="right" w:pos="9572"/>
      </w:tabs>
      <w:spacing w:before="360"/>
    </w:pPr>
    <w:rPr>
      <w:rFonts w:ascii="Calibri Light" w:hAnsi="Calibri Light"/>
      <w:b/>
      <w:bCs/>
      <w:caps/>
      <w:noProof/>
      <w:sz w:val="18"/>
      <w:szCs w:val="18"/>
    </w:rPr>
  </w:style>
  <w:style w:type="paragraph" w:styleId="TOC2">
    <w:name w:val="toc 2"/>
    <w:basedOn w:val="Normal"/>
    <w:next w:val="Normal"/>
    <w:autoRedefine/>
    <w:uiPriority w:val="39"/>
    <w:unhideWhenUsed/>
    <w:qFormat/>
    <w:rsid w:val="00AF18C7"/>
    <w:pPr>
      <w:spacing w:before="240"/>
    </w:pPr>
    <w:rPr>
      <w:b/>
      <w:bCs/>
      <w:sz w:val="20"/>
      <w:szCs w:val="20"/>
    </w:rPr>
  </w:style>
  <w:style w:type="paragraph" w:styleId="TOC3">
    <w:name w:val="toc 3"/>
    <w:basedOn w:val="Normal"/>
    <w:next w:val="Normal"/>
    <w:autoRedefine/>
    <w:uiPriority w:val="39"/>
    <w:unhideWhenUsed/>
    <w:qFormat/>
    <w:rsid w:val="00AF18C7"/>
    <w:pPr>
      <w:ind w:left="210"/>
    </w:pPr>
    <w:rPr>
      <w:sz w:val="20"/>
      <w:szCs w:val="20"/>
    </w:rPr>
  </w:style>
  <w:style w:type="paragraph" w:styleId="TOC4">
    <w:name w:val="toc 4"/>
    <w:basedOn w:val="Normal"/>
    <w:next w:val="Normal"/>
    <w:autoRedefine/>
    <w:uiPriority w:val="39"/>
    <w:unhideWhenUsed/>
    <w:rsid w:val="00AF18C7"/>
    <w:pPr>
      <w:ind w:left="420"/>
    </w:pPr>
    <w:rPr>
      <w:sz w:val="20"/>
      <w:szCs w:val="20"/>
    </w:rPr>
  </w:style>
  <w:style w:type="paragraph" w:styleId="TOC5">
    <w:name w:val="toc 5"/>
    <w:basedOn w:val="Normal"/>
    <w:next w:val="Normal"/>
    <w:autoRedefine/>
    <w:uiPriority w:val="39"/>
    <w:unhideWhenUsed/>
    <w:rsid w:val="00AF18C7"/>
    <w:pPr>
      <w:ind w:left="630"/>
    </w:pPr>
    <w:rPr>
      <w:sz w:val="20"/>
      <w:szCs w:val="20"/>
    </w:rPr>
  </w:style>
  <w:style w:type="paragraph" w:styleId="TOC6">
    <w:name w:val="toc 6"/>
    <w:basedOn w:val="Normal"/>
    <w:next w:val="Normal"/>
    <w:autoRedefine/>
    <w:uiPriority w:val="39"/>
    <w:unhideWhenUsed/>
    <w:rsid w:val="00AF18C7"/>
    <w:pPr>
      <w:ind w:left="840"/>
    </w:pPr>
    <w:rPr>
      <w:sz w:val="20"/>
      <w:szCs w:val="20"/>
    </w:rPr>
  </w:style>
  <w:style w:type="paragraph" w:styleId="TOC7">
    <w:name w:val="toc 7"/>
    <w:basedOn w:val="Normal"/>
    <w:next w:val="Normal"/>
    <w:autoRedefine/>
    <w:uiPriority w:val="39"/>
    <w:unhideWhenUsed/>
    <w:rsid w:val="00AF18C7"/>
    <w:pPr>
      <w:ind w:left="1050"/>
    </w:pPr>
    <w:rPr>
      <w:sz w:val="20"/>
      <w:szCs w:val="20"/>
    </w:rPr>
  </w:style>
  <w:style w:type="paragraph" w:styleId="TOC8">
    <w:name w:val="toc 8"/>
    <w:basedOn w:val="Normal"/>
    <w:next w:val="Normal"/>
    <w:autoRedefine/>
    <w:uiPriority w:val="39"/>
    <w:unhideWhenUsed/>
    <w:rsid w:val="00AF18C7"/>
    <w:pPr>
      <w:ind w:left="1260"/>
    </w:pPr>
    <w:rPr>
      <w:sz w:val="20"/>
      <w:szCs w:val="20"/>
    </w:rPr>
  </w:style>
  <w:style w:type="paragraph" w:styleId="TOC9">
    <w:name w:val="toc 9"/>
    <w:basedOn w:val="Normal"/>
    <w:next w:val="Normal"/>
    <w:autoRedefine/>
    <w:uiPriority w:val="39"/>
    <w:unhideWhenUsed/>
    <w:rsid w:val="00AF18C7"/>
    <w:pPr>
      <w:ind w:left="1470"/>
    </w:pPr>
    <w:rPr>
      <w:sz w:val="20"/>
      <w:szCs w:val="20"/>
    </w:rPr>
  </w:style>
  <w:style w:type="paragraph" w:styleId="ListParagraph">
    <w:name w:val="List Paragraph"/>
    <w:basedOn w:val="Normal"/>
    <w:uiPriority w:val="34"/>
    <w:qFormat/>
    <w:rsid w:val="00CA07CC"/>
    <w:pPr>
      <w:widowControl/>
      <w:numPr>
        <w:numId w:val="30"/>
      </w:numPr>
      <w:ind w:left="357" w:hanging="357"/>
    </w:pPr>
    <w:rPr>
      <w:rFonts w:eastAsia="Times New Roman"/>
      <w:kern w:val="0"/>
      <w:szCs w:val="26"/>
      <w:lang w:val="en-AU" w:eastAsia="en-US"/>
    </w:rPr>
  </w:style>
  <w:style w:type="character" w:customStyle="1" w:styleId="Heading2Char">
    <w:name w:val="Heading 2 Char"/>
    <w:basedOn w:val="DefaultParagraphFont"/>
    <w:link w:val="Heading2"/>
    <w:uiPriority w:val="9"/>
    <w:rsid w:val="00340043"/>
    <w:rPr>
      <w:rFonts w:asciiTheme="minorHAnsi" w:eastAsiaTheme="majorEastAsia" w:hAnsiTheme="minorHAnsi" w:cstheme="majorBidi"/>
      <w:b/>
      <w:bCs/>
      <w:kern w:val="2"/>
      <w:sz w:val="28"/>
      <w:szCs w:val="26"/>
      <w:lang w:val="en-US" w:eastAsia="zh-CN"/>
    </w:rPr>
  </w:style>
  <w:style w:type="character" w:customStyle="1" w:styleId="Heading3Char">
    <w:name w:val="Heading 3 Char"/>
    <w:basedOn w:val="DefaultParagraphFont"/>
    <w:link w:val="Heading3"/>
    <w:uiPriority w:val="9"/>
    <w:rsid w:val="00340043"/>
    <w:rPr>
      <w:rFonts w:asciiTheme="minorHAnsi" w:eastAsiaTheme="majorEastAsia" w:hAnsiTheme="minorHAnsi" w:cstheme="majorBidi"/>
      <w:b/>
      <w:bCs/>
      <w:kern w:val="2"/>
      <w:sz w:val="22"/>
      <w:szCs w:val="22"/>
      <w:lang w:val="en-US" w:eastAsia="zh-CN"/>
    </w:rPr>
  </w:style>
  <w:style w:type="paragraph" w:styleId="TOCHeading">
    <w:name w:val="TOC Heading"/>
    <w:basedOn w:val="Heading1"/>
    <w:next w:val="Normal"/>
    <w:uiPriority w:val="39"/>
    <w:unhideWhenUsed/>
    <w:qFormat/>
    <w:rsid w:val="00727B14"/>
    <w:pPr>
      <w:keepLines/>
      <w:widowControl/>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NoSpacing">
    <w:name w:val="No Spacing"/>
    <w:uiPriority w:val="1"/>
    <w:qFormat/>
    <w:rsid w:val="001E0F3B"/>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470293"/>
    <w:rPr>
      <w:color w:val="800080" w:themeColor="followedHyperlink"/>
      <w:u w:val="single"/>
    </w:rPr>
  </w:style>
  <w:style w:type="paragraph" w:styleId="Title">
    <w:name w:val="Title"/>
    <w:basedOn w:val="Normal"/>
    <w:next w:val="Normal"/>
    <w:link w:val="TitleChar"/>
    <w:uiPriority w:val="10"/>
    <w:qFormat/>
    <w:rsid w:val="000F51C8"/>
    <w:pPr>
      <w:jc w:val="center"/>
    </w:pPr>
    <w:rPr>
      <w:rFonts w:cs="Calibri"/>
      <w:b/>
      <w:sz w:val="96"/>
      <w:szCs w:val="96"/>
    </w:rPr>
  </w:style>
  <w:style w:type="character" w:customStyle="1" w:styleId="TitleChar">
    <w:name w:val="Title Char"/>
    <w:basedOn w:val="DefaultParagraphFont"/>
    <w:link w:val="Title"/>
    <w:uiPriority w:val="10"/>
    <w:rsid w:val="000F51C8"/>
    <w:rPr>
      <w:rFonts w:ascii="Calibri" w:hAnsi="Calibri" w:cs="Calibri"/>
      <w:b/>
      <w:kern w:val="2"/>
      <w:sz w:val="96"/>
      <w:szCs w:val="96"/>
      <w:lang w:val="en-US" w:eastAsia="zh-CN"/>
    </w:rPr>
  </w:style>
  <w:style w:type="paragraph" w:customStyle="1" w:styleId="TableheadingH2">
    <w:name w:val="Table heading (H2)"/>
    <w:basedOn w:val="Heading2"/>
    <w:link w:val="TableheadingH2Char"/>
    <w:qFormat/>
    <w:rsid w:val="00340043"/>
    <w:pPr>
      <w:jc w:val="center"/>
    </w:pPr>
    <w:rPr>
      <w:rFonts w:ascii="Calibri" w:hAnsi="Calibri" w:cs="Calibri"/>
      <w:sz w:val="22"/>
    </w:rPr>
  </w:style>
  <w:style w:type="character" w:customStyle="1" w:styleId="TableheadingH2Char">
    <w:name w:val="Table heading (H2) Char"/>
    <w:basedOn w:val="Heading2Char"/>
    <w:link w:val="TableheadingH2"/>
    <w:rsid w:val="00340043"/>
    <w:rPr>
      <w:rFonts w:ascii="Calibri" w:eastAsiaTheme="majorEastAsia" w:hAnsi="Calibri" w:cs="Calibri"/>
      <w:b/>
      <w:bCs/>
      <w:kern w:val="2"/>
      <w:sz w:val="22"/>
      <w:szCs w:val="26"/>
      <w:lang w:val="en-US" w:eastAsia="zh-CN"/>
    </w:rPr>
  </w:style>
  <w:style w:type="character" w:customStyle="1" w:styleId="Heading4Char">
    <w:name w:val="Heading 4 Char"/>
    <w:basedOn w:val="DefaultParagraphFont"/>
    <w:link w:val="Heading4"/>
    <w:uiPriority w:val="9"/>
    <w:rsid w:val="008877D2"/>
    <w:rPr>
      <w:rFonts w:ascii="Calibri" w:hAnsi="Calibri"/>
      <w:i/>
      <w:kern w:val="2"/>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5521">
      <w:bodyDiv w:val="1"/>
      <w:marLeft w:val="0"/>
      <w:marRight w:val="0"/>
      <w:marTop w:val="0"/>
      <w:marBottom w:val="0"/>
      <w:divBdr>
        <w:top w:val="none" w:sz="0" w:space="0" w:color="auto"/>
        <w:left w:val="none" w:sz="0" w:space="0" w:color="auto"/>
        <w:bottom w:val="none" w:sz="0" w:space="0" w:color="auto"/>
        <w:right w:val="none" w:sz="0" w:space="0" w:color="auto"/>
      </w:divBdr>
    </w:div>
    <w:div w:id="26223060">
      <w:bodyDiv w:val="1"/>
      <w:marLeft w:val="0"/>
      <w:marRight w:val="0"/>
      <w:marTop w:val="0"/>
      <w:marBottom w:val="0"/>
      <w:divBdr>
        <w:top w:val="none" w:sz="0" w:space="0" w:color="auto"/>
        <w:left w:val="none" w:sz="0" w:space="0" w:color="auto"/>
        <w:bottom w:val="none" w:sz="0" w:space="0" w:color="auto"/>
        <w:right w:val="none" w:sz="0" w:space="0" w:color="auto"/>
      </w:divBdr>
    </w:div>
    <w:div w:id="34429709">
      <w:bodyDiv w:val="1"/>
      <w:marLeft w:val="0"/>
      <w:marRight w:val="0"/>
      <w:marTop w:val="0"/>
      <w:marBottom w:val="0"/>
      <w:divBdr>
        <w:top w:val="none" w:sz="0" w:space="0" w:color="auto"/>
        <w:left w:val="none" w:sz="0" w:space="0" w:color="auto"/>
        <w:bottom w:val="none" w:sz="0" w:space="0" w:color="auto"/>
        <w:right w:val="none" w:sz="0" w:space="0" w:color="auto"/>
      </w:divBdr>
    </w:div>
    <w:div w:id="237440926">
      <w:bodyDiv w:val="1"/>
      <w:marLeft w:val="0"/>
      <w:marRight w:val="0"/>
      <w:marTop w:val="0"/>
      <w:marBottom w:val="0"/>
      <w:divBdr>
        <w:top w:val="none" w:sz="0" w:space="0" w:color="auto"/>
        <w:left w:val="none" w:sz="0" w:space="0" w:color="auto"/>
        <w:bottom w:val="none" w:sz="0" w:space="0" w:color="auto"/>
        <w:right w:val="none" w:sz="0" w:space="0" w:color="auto"/>
      </w:divBdr>
    </w:div>
    <w:div w:id="261257028">
      <w:bodyDiv w:val="1"/>
      <w:marLeft w:val="0"/>
      <w:marRight w:val="0"/>
      <w:marTop w:val="0"/>
      <w:marBottom w:val="0"/>
      <w:divBdr>
        <w:top w:val="none" w:sz="0" w:space="0" w:color="auto"/>
        <w:left w:val="none" w:sz="0" w:space="0" w:color="auto"/>
        <w:bottom w:val="none" w:sz="0" w:space="0" w:color="auto"/>
        <w:right w:val="none" w:sz="0" w:space="0" w:color="auto"/>
      </w:divBdr>
    </w:div>
    <w:div w:id="264004006">
      <w:bodyDiv w:val="1"/>
      <w:marLeft w:val="0"/>
      <w:marRight w:val="0"/>
      <w:marTop w:val="0"/>
      <w:marBottom w:val="0"/>
      <w:divBdr>
        <w:top w:val="none" w:sz="0" w:space="0" w:color="auto"/>
        <w:left w:val="none" w:sz="0" w:space="0" w:color="auto"/>
        <w:bottom w:val="none" w:sz="0" w:space="0" w:color="auto"/>
        <w:right w:val="none" w:sz="0" w:space="0" w:color="auto"/>
      </w:divBdr>
    </w:div>
    <w:div w:id="290133376">
      <w:bodyDiv w:val="1"/>
      <w:marLeft w:val="0"/>
      <w:marRight w:val="0"/>
      <w:marTop w:val="0"/>
      <w:marBottom w:val="0"/>
      <w:divBdr>
        <w:top w:val="none" w:sz="0" w:space="0" w:color="auto"/>
        <w:left w:val="none" w:sz="0" w:space="0" w:color="auto"/>
        <w:bottom w:val="none" w:sz="0" w:space="0" w:color="auto"/>
        <w:right w:val="none" w:sz="0" w:space="0" w:color="auto"/>
      </w:divBdr>
      <w:divsChild>
        <w:div w:id="716468969">
          <w:marLeft w:val="0"/>
          <w:marRight w:val="0"/>
          <w:marTop w:val="0"/>
          <w:marBottom w:val="0"/>
          <w:divBdr>
            <w:top w:val="none" w:sz="0" w:space="0" w:color="auto"/>
            <w:left w:val="none" w:sz="0" w:space="0" w:color="auto"/>
            <w:bottom w:val="none" w:sz="0" w:space="0" w:color="auto"/>
            <w:right w:val="none" w:sz="0" w:space="0" w:color="auto"/>
          </w:divBdr>
          <w:divsChild>
            <w:div w:id="1723361115">
              <w:marLeft w:val="0"/>
              <w:marRight w:val="0"/>
              <w:marTop w:val="0"/>
              <w:marBottom w:val="0"/>
              <w:divBdr>
                <w:top w:val="none" w:sz="0" w:space="0" w:color="auto"/>
                <w:left w:val="none" w:sz="0" w:space="0" w:color="auto"/>
                <w:bottom w:val="none" w:sz="0" w:space="0" w:color="auto"/>
                <w:right w:val="none" w:sz="0" w:space="0" w:color="auto"/>
              </w:divBdr>
              <w:divsChild>
                <w:div w:id="2127045831">
                  <w:marLeft w:val="0"/>
                  <w:marRight w:val="0"/>
                  <w:marTop w:val="0"/>
                  <w:marBottom w:val="0"/>
                  <w:divBdr>
                    <w:top w:val="none" w:sz="0" w:space="0" w:color="auto"/>
                    <w:left w:val="none" w:sz="0" w:space="0" w:color="auto"/>
                    <w:bottom w:val="none" w:sz="0" w:space="0" w:color="auto"/>
                    <w:right w:val="none" w:sz="0" w:space="0" w:color="auto"/>
                  </w:divBdr>
                  <w:divsChild>
                    <w:div w:id="736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54219">
      <w:bodyDiv w:val="1"/>
      <w:marLeft w:val="0"/>
      <w:marRight w:val="0"/>
      <w:marTop w:val="0"/>
      <w:marBottom w:val="0"/>
      <w:divBdr>
        <w:top w:val="none" w:sz="0" w:space="0" w:color="auto"/>
        <w:left w:val="none" w:sz="0" w:space="0" w:color="auto"/>
        <w:bottom w:val="none" w:sz="0" w:space="0" w:color="auto"/>
        <w:right w:val="none" w:sz="0" w:space="0" w:color="auto"/>
      </w:divBdr>
    </w:div>
    <w:div w:id="299187220">
      <w:bodyDiv w:val="1"/>
      <w:marLeft w:val="0"/>
      <w:marRight w:val="0"/>
      <w:marTop w:val="0"/>
      <w:marBottom w:val="0"/>
      <w:divBdr>
        <w:top w:val="none" w:sz="0" w:space="0" w:color="auto"/>
        <w:left w:val="none" w:sz="0" w:space="0" w:color="auto"/>
        <w:bottom w:val="none" w:sz="0" w:space="0" w:color="auto"/>
        <w:right w:val="none" w:sz="0" w:space="0" w:color="auto"/>
      </w:divBdr>
    </w:div>
    <w:div w:id="353653856">
      <w:bodyDiv w:val="1"/>
      <w:marLeft w:val="0"/>
      <w:marRight w:val="0"/>
      <w:marTop w:val="0"/>
      <w:marBottom w:val="0"/>
      <w:divBdr>
        <w:top w:val="none" w:sz="0" w:space="0" w:color="auto"/>
        <w:left w:val="none" w:sz="0" w:space="0" w:color="auto"/>
        <w:bottom w:val="none" w:sz="0" w:space="0" w:color="auto"/>
        <w:right w:val="none" w:sz="0" w:space="0" w:color="auto"/>
      </w:divBdr>
    </w:div>
    <w:div w:id="392120345">
      <w:bodyDiv w:val="1"/>
      <w:marLeft w:val="0"/>
      <w:marRight w:val="0"/>
      <w:marTop w:val="0"/>
      <w:marBottom w:val="0"/>
      <w:divBdr>
        <w:top w:val="none" w:sz="0" w:space="0" w:color="auto"/>
        <w:left w:val="none" w:sz="0" w:space="0" w:color="auto"/>
        <w:bottom w:val="none" w:sz="0" w:space="0" w:color="auto"/>
        <w:right w:val="none" w:sz="0" w:space="0" w:color="auto"/>
      </w:divBdr>
      <w:divsChild>
        <w:div w:id="1373919506">
          <w:marLeft w:val="0"/>
          <w:marRight w:val="0"/>
          <w:marTop w:val="0"/>
          <w:marBottom w:val="0"/>
          <w:divBdr>
            <w:top w:val="none" w:sz="0" w:space="0" w:color="auto"/>
            <w:left w:val="none" w:sz="0" w:space="0" w:color="auto"/>
            <w:bottom w:val="none" w:sz="0" w:space="0" w:color="auto"/>
            <w:right w:val="none" w:sz="0" w:space="0" w:color="auto"/>
          </w:divBdr>
          <w:divsChild>
            <w:div w:id="687174262">
              <w:marLeft w:val="0"/>
              <w:marRight w:val="0"/>
              <w:marTop w:val="0"/>
              <w:marBottom w:val="0"/>
              <w:divBdr>
                <w:top w:val="none" w:sz="0" w:space="0" w:color="auto"/>
                <w:left w:val="none" w:sz="0" w:space="0" w:color="auto"/>
                <w:bottom w:val="none" w:sz="0" w:space="0" w:color="auto"/>
                <w:right w:val="none" w:sz="0" w:space="0" w:color="auto"/>
              </w:divBdr>
              <w:divsChild>
                <w:div w:id="57332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65218">
      <w:bodyDiv w:val="1"/>
      <w:marLeft w:val="0"/>
      <w:marRight w:val="0"/>
      <w:marTop w:val="0"/>
      <w:marBottom w:val="0"/>
      <w:divBdr>
        <w:top w:val="none" w:sz="0" w:space="0" w:color="auto"/>
        <w:left w:val="none" w:sz="0" w:space="0" w:color="auto"/>
        <w:bottom w:val="none" w:sz="0" w:space="0" w:color="auto"/>
        <w:right w:val="none" w:sz="0" w:space="0" w:color="auto"/>
      </w:divBdr>
    </w:div>
    <w:div w:id="497035415">
      <w:bodyDiv w:val="1"/>
      <w:marLeft w:val="0"/>
      <w:marRight w:val="0"/>
      <w:marTop w:val="0"/>
      <w:marBottom w:val="0"/>
      <w:divBdr>
        <w:top w:val="none" w:sz="0" w:space="0" w:color="auto"/>
        <w:left w:val="none" w:sz="0" w:space="0" w:color="auto"/>
        <w:bottom w:val="none" w:sz="0" w:space="0" w:color="auto"/>
        <w:right w:val="none" w:sz="0" w:space="0" w:color="auto"/>
      </w:divBdr>
    </w:div>
    <w:div w:id="510680809">
      <w:bodyDiv w:val="1"/>
      <w:marLeft w:val="0"/>
      <w:marRight w:val="0"/>
      <w:marTop w:val="0"/>
      <w:marBottom w:val="0"/>
      <w:divBdr>
        <w:top w:val="none" w:sz="0" w:space="0" w:color="auto"/>
        <w:left w:val="none" w:sz="0" w:space="0" w:color="auto"/>
        <w:bottom w:val="none" w:sz="0" w:space="0" w:color="auto"/>
        <w:right w:val="none" w:sz="0" w:space="0" w:color="auto"/>
      </w:divBdr>
    </w:div>
    <w:div w:id="550769702">
      <w:bodyDiv w:val="1"/>
      <w:marLeft w:val="0"/>
      <w:marRight w:val="0"/>
      <w:marTop w:val="0"/>
      <w:marBottom w:val="0"/>
      <w:divBdr>
        <w:top w:val="none" w:sz="0" w:space="0" w:color="auto"/>
        <w:left w:val="none" w:sz="0" w:space="0" w:color="auto"/>
        <w:bottom w:val="none" w:sz="0" w:space="0" w:color="auto"/>
        <w:right w:val="none" w:sz="0" w:space="0" w:color="auto"/>
      </w:divBdr>
    </w:div>
    <w:div w:id="610867480">
      <w:bodyDiv w:val="1"/>
      <w:marLeft w:val="0"/>
      <w:marRight w:val="0"/>
      <w:marTop w:val="0"/>
      <w:marBottom w:val="0"/>
      <w:divBdr>
        <w:top w:val="none" w:sz="0" w:space="0" w:color="auto"/>
        <w:left w:val="none" w:sz="0" w:space="0" w:color="auto"/>
        <w:bottom w:val="none" w:sz="0" w:space="0" w:color="auto"/>
        <w:right w:val="none" w:sz="0" w:space="0" w:color="auto"/>
      </w:divBdr>
    </w:div>
    <w:div w:id="642933611">
      <w:bodyDiv w:val="1"/>
      <w:marLeft w:val="0"/>
      <w:marRight w:val="0"/>
      <w:marTop w:val="0"/>
      <w:marBottom w:val="0"/>
      <w:divBdr>
        <w:top w:val="none" w:sz="0" w:space="0" w:color="auto"/>
        <w:left w:val="none" w:sz="0" w:space="0" w:color="auto"/>
        <w:bottom w:val="none" w:sz="0" w:space="0" w:color="auto"/>
        <w:right w:val="none" w:sz="0" w:space="0" w:color="auto"/>
      </w:divBdr>
      <w:divsChild>
        <w:div w:id="919171421">
          <w:marLeft w:val="0"/>
          <w:marRight w:val="0"/>
          <w:marTop w:val="0"/>
          <w:marBottom w:val="0"/>
          <w:divBdr>
            <w:top w:val="none" w:sz="0" w:space="0" w:color="auto"/>
            <w:left w:val="none" w:sz="0" w:space="0" w:color="auto"/>
            <w:bottom w:val="none" w:sz="0" w:space="0" w:color="auto"/>
            <w:right w:val="none" w:sz="0" w:space="0" w:color="auto"/>
          </w:divBdr>
          <w:divsChild>
            <w:div w:id="1541671538">
              <w:marLeft w:val="0"/>
              <w:marRight w:val="0"/>
              <w:marTop w:val="0"/>
              <w:marBottom w:val="0"/>
              <w:divBdr>
                <w:top w:val="none" w:sz="0" w:space="0" w:color="auto"/>
                <w:left w:val="none" w:sz="0" w:space="0" w:color="auto"/>
                <w:bottom w:val="none" w:sz="0" w:space="0" w:color="auto"/>
                <w:right w:val="none" w:sz="0" w:space="0" w:color="auto"/>
              </w:divBdr>
              <w:divsChild>
                <w:div w:id="287203681">
                  <w:marLeft w:val="0"/>
                  <w:marRight w:val="0"/>
                  <w:marTop w:val="0"/>
                  <w:marBottom w:val="0"/>
                  <w:divBdr>
                    <w:top w:val="none" w:sz="0" w:space="0" w:color="auto"/>
                    <w:left w:val="none" w:sz="0" w:space="0" w:color="auto"/>
                    <w:bottom w:val="none" w:sz="0" w:space="0" w:color="auto"/>
                    <w:right w:val="none" w:sz="0" w:space="0" w:color="auto"/>
                  </w:divBdr>
                  <w:divsChild>
                    <w:div w:id="590964760">
                      <w:marLeft w:val="0"/>
                      <w:marRight w:val="0"/>
                      <w:marTop w:val="0"/>
                      <w:marBottom w:val="0"/>
                      <w:divBdr>
                        <w:top w:val="none" w:sz="0" w:space="0" w:color="auto"/>
                        <w:left w:val="none" w:sz="0" w:space="0" w:color="auto"/>
                        <w:bottom w:val="none" w:sz="0" w:space="0" w:color="auto"/>
                        <w:right w:val="none" w:sz="0" w:space="0" w:color="auto"/>
                      </w:divBdr>
                      <w:divsChild>
                        <w:div w:id="1642467096">
                          <w:marLeft w:val="0"/>
                          <w:marRight w:val="0"/>
                          <w:marTop w:val="0"/>
                          <w:marBottom w:val="0"/>
                          <w:divBdr>
                            <w:top w:val="none" w:sz="0" w:space="0" w:color="auto"/>
                            <w:left w:val="none" w:sz="0" w:space="0" w:color="auto"/>
                            <w:bottom w:val="none" w:sz="0" w:space="0" w:color="auto"/>
                            <w:right w:val="none" w:sz="0" w:space="0" w:color="auto"/>
                          </w:divBdr>
                          <w:divsChild>
                            <w:div w:id="151334844">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 w:id="666785370">
      <w:bodyDiv w:val="1"/>
      <w:marLeft w:val="0"/>
      <w:marRight w:val="0"/>
      <w:marTop w:val="0"/>
      <w:marBottom w:val="0"/>
      <w:divBdr>
        <w:top w:val="none" w:sz="0" w:space="0" w:color="auto"/>
        <w:left w:val="none" w:sz="0" w:space="0" w:color="auto"/>
        <w:bottom w:val="none" w:sz="0" w:space="0" w:color="auto"/>
        <w:right w:val="none" w:sz="0" w:space="0" w:color="auto"/>
      </w:divBdr>
    </w:div>
    <w:div w:id="672491354">
      <w:bodyDiv w:val="1"/>
      <w:marLeft w:val="0"/>
      <w:marRight w:val="0"/>
      <w:marTop w:val="0"/>
      <w:marBottom w:val="0"/>
      <w:divBdr>
        <w:top w:val="none" w:sz="0" w:space="0" w:color="auto"/>
        <w:left w:val="none" w:sz="0" w:space="0" w:color="auto"/>
        <w:bottom w:val="none" w:sz="0" w:space="0" w:color="auto"/>
        <w:right w:val="none" w:sz="0" w:space="0" w:color="auto"/>
      </w:divBdr>
    </w:div>
    <w:div w:id="748312924">
      <w:bodyDiv w:val="1"/>
      <w:marLeft w:val="0"/>
      <w:marRight w:val="0"/>
      <w:marTop w:val="0"/>
      <w:marBottom w:val="0"/>
      <w:divBdr>
        <w:top w:val="none" w:sz="0" w:space="0" w:color="auto"/>
        <w:left w:val="none" w:sz="0" w:space="0" w:color="auto"/>
        <w:bottom w:val="none" w:sz="0" w:space="0" w:color="auto"/>
        <w:right w:val="none" w:sz="0" w:space="0" w:color="auto"/>
      </w:divBdr>
    </w:div>
    <w:div w:id="754982945">
      <w:bodyDiv w:val="1"/>
      <w:marLeft w:val="0"/>
      <w:marRight w:val="0"/>
      <w:marTop w:val="0"/>
      <w:marBottom w:val="0"/>
      <w:divBdr>
        <w:top w:val="none" w:sz="0" w:space="0" w:color="auto"/>
        <w:left w:val="none" w:sz="0" w:space="0" w:color="auto"/>
        <w:bottom w:val="none" w:sz="0" w:space="0" w:color="auto"/>
        <w:right w:val="none" w:sz="0" w:space="0" w:color="auto"/>
      </w:divBdr>
      <w:divsChild>
        <w:div w:id="1662083180">
          <w:marLeft w:val="0"/>
          <w:marRight w:val="0"/>
          <w:marTop w:val="0"/>
          <w:marBottom w:val="0"/>
          <w:divBdr>
            <w:top w:val="none" w:sz="0" w:space="0" w:color="auto"/>
            <w:left w:val="none" w:sz="0" w:space="0" w:color="auto"/>
            <w:bottom w:val="none" w:sz="0" w:space="0" w:color="auto"/>
            <w:right w:val="none" w:sz="0" w:space="0" w:color="auto"/>
          </w:divBdr>
          <w:divsChild>
            <w:div w:id="1302617451">
              <w:marLeft w:val="0"/>
              <w:marRight w:val="0"/>
              <w:marTop w:val="0"/>
              <w:marBottom w:val="0"/>
              <w:divBdr>
                <w:top w:val="none" w:sz="0" w:space="0" w:color="auto"/>
                <w:left w:val="none" w:sz="0" w:space="0" w:color="auto"/>
                <w:bottom w:val="none" w:sz="0" w:space="0" w:color="auto"/>
                <w:right w:val="none" w:sz="0" w:space="0" w:color="auto"/>
              </w:divBdr>
              <w:divsChild>
                <w:div w:id="16559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2614">
      <w:bodyDiv w:val="1"/>
      <w:marLeft w:val="0"/>
      <w:marRight w:val="0"/>
      <w:marTop w:val="0"/>
      <w:marBottom w:val="0"/>
      <w:divBdr>
        <w:top w:val="none" w:sz="0" w:space="0" w:color="auto"/>
        <w:left w:val="none" w:sz="0" w:space="0" w:color="auto"/>
        <w:bottom w:val="none" w:sz="0" w:space="0" w:color="auto"/>
        <w:right w:val="none" w:sz="0" w:space="0" w:color="auto"/>
      </w:divBdr>
      <w:divsChild>
        <w:div w:id="284771287">
          <w:marLeft w:val="0"/>
          <w:marRight w:val="0"/>
          <w:marTop w:val="0"/>
          <w:marBottom w:val="0"/>
          <w:divBdr>
            <w:top w:val="none" w:sz="0" w:space="0" w:color="auto"/>
            <w:left w:val="none" w:sz="0" w:space="0" w:color="auto"/>
            <w:bottom w:val="none" w:sz="0" w:space="0" w:color="auto"/>
            <w:right w:val="none" w:sz="0" w:space="0" w:color="auto"/>
          </w:divBdr>
          <w:divsChild>
            <w:div w:id="1113524385">
              <w:marLeft w:val="0"/>
              <w:marRight w:val="0"/>
              <w:marTop w:val="0"/>
              <w:marBottom w:val="0"/>
              <w:divBdr>
                <w:top w:val="none" w:sz="0" w:space="0" w:color="auto"/>
                <w:left w:val="none" w:sz="0" w:space="0" w:color="auto"/>
                <w:bottom w:val="none" w:sz="0" w:space="0" w:color="auto"/>
                <w:right w:val="none" w:sz="0" w:space="0" w:color="auto"/>
              </w:divBdr>
              <w:divsChild>
                <w:div w:id="2140487486">
                  <w:marLeft w:val="0"/>
                  <w:marRight w:val="0"/>
                  <w:marTop w:val="0"/>
                  <w:marBottom w:val="0"/>
                  <w:divBdr>
                    <w:top w:val="none" w:sz="0" w:space="0" w:color="auto"/>
                    <w:left w:val="none" w:sz="0" w:space="0" w:color="auto"/>
                    <w:bottom w:val="none" w:sz="0" w:space="0" w:color="auto"/>
                    <w:right w:val="none" w:sz="0" w:space="0" w:color="auto"/>
                  </w:divBdr>
                  <w:divsChild>
                    <w:div w:id="1982419270">
                      <w:marLeft w:val="0"/>
                      <w:marRight w:val="0"/>
                      <w:marTop w:val="0"/>
                      <w:marBottom w:val="0"/>
                      <w:divBdr>
                        <w:top w:val="none" w:sz="0" w:space="0" w:color="auto"/>
                        <w:left w:val="none" w:sz="0" w:space="0" w:color="auto"/>
                        <w:bottom w:val="none" w:sz="0" w:space="0" w:color="auto"/>
                        <w:right w:val="none" w:sz="0" w:space="0" w:color="auto"/>
                      </w:divBdr>
                      <w:divsChild>
                        <w:div w:id="208420658">
                          <w:marLeft w:val="0"/>
                          <w:marRight w:val="0"/>
                          <w:marTop w:val="0"/>
                          <w:marBottom w:val="0"/>
                          <w:divBdr>
                            <w:top w:val="none" w:sz="0" w:space="0" w:color="auto"/>
                            <w:left w:val="none" w:sz="0" w:space="0" w:color="auto"/>
                            <w:bottom w:val="none" w:sz="0" w:space="0" w:color="auto"/>
                            <w:right w:val="none" w:sz="0" w:space="0" w:color="auto"/>
                          </w:divBdr>
                          <w:divsChild>
                            <w:div w:id="105857125">
                              <w:marLeft w:val="-225"/>
                              <w:marRight w:val="-225"/>
                              <w:marTop w:val="0"/>
                              <w:marBottom w:val="0"/>
                              <w:divBdr>
                                <w:top w:val="none" w:sz="0" w:space="0" w:color="auto"/>
                                <w:left w:val="none" w:sz="0" w:space="0" w:color="auto"/>
                                <w:bottom w:val="none" w:sz="0" w:space="0" w:color="auto"/>
                                <w:right w:val="none" w:sz="0" w:space="0" w:color="auto"/>
                              </w:divBdr>
                              <w:divsChild>
                                <w:div w:id="438305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 w:id="829256106">
      <w:bodyDiv w:val="1"/>
      <w:marLeft w:val="0"/>
      <w:marRight w:val="0"/>
      <w:marTop w:val="0"/>
      <w:marBottom w:val="0"/>
      <w:divBdr>
        <w:top w:val="none" w:sz="0" w:space="0" w:color="auto"/>
        <w:left w:val="none" w:sz="0" w:space="0" w:color="auto"/>
        <w:bottom w:val="none" w:sz="0" w:space="0" w:color="auto"/>
        <w:right w:val="none" w:sz="0" w:space="0" w:color="auto"/>
      </w:divBdr>
    </w:div>
    <w:div w:id="845097938">
      <w:bodyDiv w:val="1"/>
      <w:marLeft w:val="0"/>
      <w:marRight w:val="0"/>
      <w:marTop w:val="0"/>
      <w:marBottom w:val="0"/>
      <w:divBdr>
        <w:top w:val="none" w:sz="0" w:space="0" w:color="auto"/>
        <w:left w:val="none" w:sz="0" w:space="0" w:color="auto"/>
        <w:bottom w:val="none" w:sz="0" w:space="0" w:color="auto"/>
        <w:right w:val="none" w:sz="0" w:space="0" w:color="auto"/>
      </w:divBdr>
    </w:div>
    <w:div w:id="875234971">
      <w:bodyDiv w:val="1"/>
      <w:marLeft w:val="0"/>
      <w:marRight w:val="0"/>
      <w:marTop w:val="0"/>
      <w:marBottom w:val="0"/>
      <w:divBdr>
        <w:top w:val="none" w:sz="0" w:space="0" w:color="auto"/>
        <w:left w:val="none" w:sz="0" w:space="0" w:color="auto"/>
        <w:bottom w:val="none" w:sz="0" w:space="0" w:color="auto"/>
        <w:right w:val="none" w:sz="0" w:space="0" w:color="auto"/>
      </w:divBdr>
    </w:div>
    <w:div w:id="929701941">
      <w:bodyDiv w:val="1"/>
      <w:marLeft w:val="0"/>
      <w:marRight w:val="0"/>
      <w:marTop w:val="0"/>
      <w:marBottom w:val="0"/>
      <w:divBdr>
        <w:top w:val="none" w:sz="0" w:space="0" w:color="auto"/>
        <w:left w:val="none" w:sz="0" w:space="0" w:color="auto"/>
        <w:bottom w:val="none" w:sz="0" w:space="0" w:color="auto"/>
        <w:right w:val="none" w:sz="0" w:space="0" w:color="auto"/>
      </w:divBdr>
    </w:div>
    <w:div w:id="950555761">
      <w:bodyDiv w:val="1"/>
      <w:marLeft w:val="0"/>
      <w:marRight w:val="0"/>
      <w:marTop w:val="0"/>
      <w:marBottom w:val="0"/>
      <w:divBdr>
        <w:top w:val="none" w:sz="0" w:space="0" w:color="auto"/>
        <w:left w:val="none" w:sz="0" w:space="0" w:color="auto"/>
        <w:bottom w:val="none" w:sz="0" w:space="0" w:color="auto"/>
        <w:right w:val="none" w:sz="0" w:space="0" w:color="auto"/>
      </w:divBdr>
    </w:div>
    <w:div w:id="974680698">
      <w:bodyDiv w:val="1"/>
      <w:marLeft w:val="0"/>
      <w:marRight w:val="0"/>
      <w:marTop w:val="0"/>
      <w:marBottom w:val="0"/>
      <w:divBdr>
        <w:top w:val="none" w:sz="0" w:space="0" w:color="auto"/>
        <w:left w:val="none" w:sz="0" w:space="0" w:color="auto"/>
        <w:bottom w:val="none" w:sz="0" w:space="0" w:color="auto"/>
        <w:right w:val="none" w:sz="0" w:space="0" w:color="auto"/>
      </w:divBdr>
    </w:div>
    <w:div w:id="1012877917">
      <w:bodyDiv w:val="1"/>
      <w:marLeft w:val="0"/>
      <w:marRight w:val="0"/>
      <w:marTop w:val="0"/>
      <w:marBottom w:val="0"/>
      <w:divBdr>
        <w:top w:val="none" w:sz="0" w:space="0" w:color="auto"/>
        <w:left w:val="none" w:sz="0" w:space="0" w:color="auto"/>
        <w:bottom w:val="none" w:sz="0" w:space="0" w:color="auto"/>
        <w:right w:val="none" w:sz="0" w:space="0" w:color="auto"/>
      </w:divBdr>
    </w:div>
    <w:div w:id="1049302090">
      <w:bodyDiv w:val="1"/>
      <w:marLeft w:val="0"/>
      <w:marRight w:val="0"/>
      <w:marTop w:val="0"/>
      <w:marBottom w:val="0"/>
      <w:divBdr>
        <w:top w:val="none" w:sz="0" w:space="0" w:color="auto"/>
        <w:left w:val="none" w:sz="0" w:space="0" w:color="auto"/>
        <w:bottom w:val="none" w:sz="0" w:space="0" w:color="auto"/>
        <w:right w:val="none" w:sz="0" w:space="0" w:color="auto"/>
      </w:divBdr>
      <w:divsChild>
        <w:div w:id="1012025364">
          <w:marLeft w:val="0"/>
          <w:marRight w:val="0"/>
          <w:marTop w:val="0"/>
          <w:marBottom w:val="0"/>
          <w:divBdr>
            <w:top w:val="none" w:sz="0" w:space="0" w:color="auto"/>
            <w:left w:val="none" w:sz="0" w:space="0" w:color="auto"/>
            <w:bottom w:val="none" w:sz="0" w:space="0" w:color="auto"/>
            <w:right w:val="none" w:sz="0" w:space="0" w:color="auto"/>
          </w:divBdr>
          <w:divsChild>
            <w:div w:id="1300496986">
              <w:marLeft w:val="0"/>
              <w:marRight w:val="0"/>
              <w:marTop w:val="0"/>
              <w:marBottom w:val="0"/>
              <w:divBdr>
                <w:top w:val="none" w:sz="0" w:space="0" w:color="auto"/>
                <w:left w:val="none" w:sz="0" w:space="0" w:color="auto"/>
                <w:bottom w:val="none" w:sz="0" w:space="0" w:color="auto"/>
                <w:right w:val="none" w:sz="0" w:space="0" w:color="auto"/>
              </w:divBdr>
              <w:divsChild>
                <w:div w:id="1469973680">
                  <w:marLeft w:val="0"/>
                  <w:marRight w:val="0"/>
                  <w:marTop w:val="0"/>
                  <w:marBottom w:val="0"/>
                  <w:divBdr>
                    <w:top w:val="none" w:sz="0" w:space="0" w:color="auto"/>
                    <w:left w:val="none" w:sz="0" w:space="0" w:color="auto"/>
                    <w:bottom w:val="none" w:sz="0" w:space="0" w:color="auto"/>
                    <w:right w:val="none" w:sz="0" w:space="0" w:color="auto"/>
                  </w:divBdr>
                  <w:divsChild>
                    <w:div w:id="419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557065">
      <w:bodyDiv w:val="1"/>
      <w:marLeft w:val="0"/>
      <w:marRight w:val="0"/>
      <w:marTop w:val="0"/>
      <w:marBottom w:val="0"/>
      <w:divBdr>
        <w:top w:val="none" w:sz="0" w:space="0" w:color="auto"/>
        <w:left w:val="none" w:sz="0" w:space="0" w:color="auto"/>
        <w:bottom w:val="none" w:sz="0" w:space="0" w:color="auto"/>
        <w:right w:val="none" w:sz="0" w:space="0" w:color="auto"/>
      </w:divBdr>
    </w:div>
    <w:div w:id="1111709118">
      <w:bodyDiv w:val="1"/>
      <w:marLeft w:val="0"/>
      <w:marRight w:val="0"/>
      <w:marTop w:val="0"/>
      <w:marBottom w:val="0"/>
      <w:divBdr>
        <w:top w:val="none" w:sz="0" w:space="0" w:color="auto"/>
        <w:left w:val="none" w:sz="0" w:space="0" w:color="auto"/>
        <w:bottom w:val="none" w:sz="0" w:space="0" w:color="auto"/>
        <w:right w:val="none" w:sz="0" w:space="0" w:color="auto"/>
      </w:divBdr>
    </w:div>
    <w:div w:id="1130981172">
      <w:bodyDiv w:val="1"/>
      <w:marLeft w:val="0"/>
      <w:marRight w:val="0"/>
      <w:marTop w:val="0"/>
      <w:marBottom w:val="0"/>
      <w:divBdr>
        <w:top w:val="none" w:sz="0" w:space="0" w:color="auto"/>
        <w:left w:val="none" w:sz="0" w:space="0" w:color="auto"/>
        <w:bottom w:val="none" w:sz="0" w:space="0" w:color="auto"/>
        <w:right w:val="none" w:sz="0" w:space="0" w:color="auto"/>
      </w:divBdr>
    </w:div>
    <w:div w:id="1175344294">
      <w:bodyDiv w:val="1"/>
      <w:marLeft w:val="0"/>
      <w:marRight w:val="0"/>
      <w:marTop w:val="0"/>
      <w:marBottom w:val="0"/>
      <w:divBdr>
        <w:top w:val="none" w:sz="0" w:space="0" w:color="auto"/>
        <w:left w:val="none" w:sz="0" w:space="0" w:color="auto"/>
        <w:bottom w:val="none" w:sz="0" w:space="0" w:color="auto"/>
        <w:right w:val="none" w:sz="0" w:space="0" w:color="auto"/>
      </w:divBdr>
    </w:div>
    <w:div w:id="1213037026">
      <w:bodyDiv w:val="1"/>
      <w:marLeft w:val="0"/>
      <w:marRight w:val="0"/>
      <w:marTop w:val="0"/>
      <w:marBottom w:val="0"/>
      <w:divBdr>
        <w:top w:val="none" w:sz="0" w:space="0" w:color="auto"/>
        <w:left w:val="none" w:sz="0" w:space="0" w:color="auto"/>
        <w:bottom w:val="none" w:sz="0" w:space="0" w:color="auto"/>
        <w:right w:val="none" w:sz="0" w:space="0" w:color="auto"/>
      </w:divBdr>
    </w:div>
    <w:div w:id="1243874538">
      <w:bodyDiv w:val="1"/>
      <w:marLeft w:val="0"/>
      <w:marRight w:val="0"/>
      <w:marTop w:val="0"/>
      <w:marBottom w:val="0"/>
      <w:divBdr>
        <w:top w:val="none" w:sz="0" w:space="0" w:color="auto"/>
        <w:left w:val="none" w:sz="0" w:space="0" w:color="auto"/>
        <w:bottom w:val="none" w:sz="0" w:space="0" w:color="auto"/>
        <w:right w:val="none" w:sz="0" w:space="0" w:color="auto"/>
      </w:divBdr>
    </w:div>
    <w:div w:id="1268806830">
      <w:bodyDiv w:val="1"/>
      <w:marLeft w:val="0"/>
      <w:marRight w:val="0"/>
      <w:marTop w:val="0"/>
      <w:marBottom w:val="0"/>
      <w:divBdr>
        <w:top w:val="none" w:sz="0" w:space="0" w:color="auto"/>
        <w:left w:val="none" w:sz="0" w:space="0" w:color="auto"/>
        <w:bottom w:val="none" w:sz="0" w:space="0" w:color="auto"/>
        <w:right w:val="none" w:sz="0" w:space="0" w:color="auto"/>
      </w:divBdr>
    </w:div>
    <w:div w:id="1290092726">
      <w:bodyDiv w:val="1"/>
      <w:marLeft w:val="0"/>
      <w:marRight w:val="0"/>
      <w:marTop w:val="0"/>
      <w:marBottom w:val="0"/>
      <w:divBdr>
        <w:top w:val="none" w:sz="0" w:space="0" w:color="auto"/>
        <w:left w:val="none" w:sz="0" w:space="0" w:color="auto"/>
        <w:bottom w:val="none" w:sz="0" w:space="0" w:color="auto"/>
        <w:right w:val="none" w:sz="0" w:space="0" w:color="auto"/>
      </w:divBdr>
    </w:div>
    <w:div w:id="1321695356">
      <w:bodyDiv w:val="1"/>
      <w:marLeft w:val="0"/>
      <w:marRight w:val="0"/>
      <w:marTop w:val="0"/>
      <w:marBottom w:val="0"/>
      <w:divBdr>
        <w:top w:val="none" w:sz="0" w:space="0" w:color="auto"/>
        <w:left w:val="none" w:sz="0" w:space="0" w:color="auto"/>
        <w:bottom w:val="none" w:sz="0" w:space="0" w:color="auto"/>
        <w:right w:val="none" w:sz="0" w:space="0" w:color="auto"/>
      </w:divBdr>
    </w:div>
    <w:div w:id="1368946484">
      <w:bodyDiv w:val="1"/>
      <w:marLeft w:val="0"/>
      <w:marRight w:val="0"/>
      <w:marTop w:val="0"/>
      <w:marBottom w:val="0"/>
      <w:divBdr>
        <w:top w:val="none" w:sz="0" w:space="0" w:color="auto"/>
        <w:left w:val="none" w:sz="0" w:space="0" w:color="auto"/>
        <w:bottom w:val="none" w:sz="0" w:space="0" w:color="auto"/>
        <w:right w:val="none" w:sz="0" w:space="0" w:color="auto"/>
      </w:divBdr>
    </w:div>
    <w:div w:id="1378893079">
      <w:bodyDiv w:val="1"/>
      <w:marLeft w:val="0"/>
      <w:marRight w:val="0"/>
      <w:marTop w:val="0"/>
      <w:marBottom w:val="0"/>
      <w:divBdr>
        <w:top w:val="none" w:sz="0" w:space="0" w:color="auto"/>
        <w:left w:val="none" w:sz="0" w:space="0" w:color="auto"/>
        <w:bottom w:val="none" w:sz="0" w:space="0" w:color="auto"/>
        <w:right w:val="none" w:sz="0" w:space="0" w:color="auto"/>
      </w:divBdr>
    </w:div>
    <w:div w:id="1379471270">
      <w:bodyDiv w:val="1"/>
      <w:marLeft w:val="0"/>
      <w:marRight w:val="0"/>
      <w:marTop w:val="0"/>
      <w:marBottom w:val="0"/>
      <w:divBdr>
        <w:top w:val="none" w:sz="0" w:space="0" w:color="auto"/>
        <w:left w:val="none" w:sz="0" w:space="0" w:color="auto"/>
        <w:bottom w:val="none" w:sz="0" w:space="0" w:color="auto"/>
        <w:right w:val="none" w:sz="0" w:space="0" w:color="auto"/>
      </w:divBdr>
    </w:div>
    <w:div w:id="1469467352">
      <w:bodyDiv w:val="1"/>
      <w:marLeft w:val="0"/>
      <w:marRight w:val="0"/>
      <w:marTop w:val="0"/>
      <w:marBottom w:val="0"/>
      <w:divBdr>
        <w:top w:val="none" w:sz="0" w:space="0" w:color="auto"/>
        <w:left w:val="none" w:sz="0" w:space="0" w:color="auto"/>
        <w:bottom w:val="none" w:sz="0" w:space="0" w:color="auto"/>
        <w:right w:val="none" w:sz="0" w:space="0" w:color="auto"/>
      </w:divBdr>
    </w:div>
    <w:div w:id="1478262274">
      <w:bodyDiv w:val="1"/>
      <w:marLeft w:val="0"/>
      <w:marRight w:val="0"/>
      <w:marTop w:val="0"/>
      <w:marBottom w:val="0"/>
      <w:divBdr>
        <w:top w:val="none" w:sz="0" w:space="0" w:color="auto"/>
        <w:left w:val="none" w:sz="0" w:space="0" w:color="auto"/>
        <w:bottom w:val="none" w:sz="0" w:space="0" w:color="auto"/>
        <w:right w:val="none" w:sz="0" w:space="0" w:color="auto"/>
      </w:divBdr>
    </w:div>
    <w:div w:id="1598634757">
      <w:bodyDiv w:val="1"/>
      <w:marLeft w:val="0"/>
      <w:marRight w:val="0"/>
      <w:marTop w:val="0"/>
      <w:marBottom w:val="0"/>
      <w:divBdr>
        <w:top w:val="none" w:sz="0" w:space="0" w:color="auto"/>
        <w:left w:val="none" w:sz="0" w:space="0" w:color="auto"/>
        <w:bottom w:val="none" w:sz="0" w:space="0" w:color="auto"/>
        <w:right w:val="none" w:sz="0" w:space="0" w:color="auto"/>
      </w:divBdr>
    </w:div>
    <w:div w:id="1634409100">
      <w:bodyDiv w:val="1"/>
      <w:marLeft w:val="0"/>
      <w:marRight w:val="0"/>
      <w:marTop w:val="0"/>
      <w:marBottom w:val="0"/>
      <w:divBdr>
        <w:top w:val="none" w:sz="0" w:space="0" w:color="auto"/>
        <w:left w:val="none" w:sz="0" w:space="0" w:color="auto"/>
        <w:bottom w:val="none" w:sz="0" w:space="0" w:color="auto"/>
        <w:right w:val="none" w:sz="0" w:space="0" w:color="auto"/>
      </w:divBdr>
    </w:div>
    <w:div w:id="1664157906">
      <w:bodyDiv w:val="1"/>
      <w:marLeft w:val="0"/>
      <w:marRight w:val="0"/>
      <w:marTop w:val="0"/>
      <w:marBottom w:val="0"/>
      <w:divBdr>
        <w:top w:val="none" w:sz="0" w:space="0" w:color="auto"/>
        <w:left w:val="none" w:sz="0" w:space="0" w:color="auto"/>
        <w:bottom w:val="none" w:sz="0" w:space="0" w:color="auto"/>
        <w:right w:val="none" w:sz="0" w:space="0" w:color="auto"/>
      </w:divBdr>
    </w:div>
    <w:div w:id="1677347011">
      <w:bodyDiv w:val="1"/>
      <w:marLeft w:val="0"/>
      <w:marRight w:val="0"/>
      <w:marTop w:val="0"/>
      <w:marBottom w:val="0"/>
      <w:divBdr>
        <w:top w:val="none" w:sz="0" w:space="0" w:color="auto"/>
        <w:left w:val="none" w:sz="0" w:space="0" w:color="auto"/>
        <w:bottom w:val="none" w:sz="0" w:space="0" w:color="auto"/>
        <w:right w:val="none" w:sz="0" w:space="0" w:color="auto"/>
      </w:divBdr>
    </w:div>
    <w:div w:id="1691879920">
      <w:bodyDiv w:val="1"/>
      <w:marLeft w:val="0"/>
      <w:marRight w:val="0"/>
      <w:marTop w:val="0"/>
      <w:marBottom w:val="0"/>
      <w:divBdr>
        <w:top w:val="none" w:sz="0" w:space="0" w:color="auto"/>
        <w:left w:val="none" w:sz="0" w:space="0" w:color="auto"/>
        <w:bottom w:val="none" w:sz="0" w:space="0" w:color="auto"/>
        <w:right w:val="none" w:sz="0" w:space="0" w:color="auto"/>
      </w:divBdr>
    </w:div>
    <w:div w:id="1712412396">
      <w:bodyDiv w:val="1"/>
      <w:marLeft w:val="0"/>
      <w:marRight w:val="0"/>
      <w:marTop w:val="0"/>
      <w:marBottom w:val="0"/>
      <w:divBdr>
        <w:top w:val="none" w:sz="0" w:space="0" w:color="auto"/>
        <w:left w:val="none" w:sz="0" w:space="0" w:color="auto"/>
        <w:bottom w:val="none" w:sz="0" w:space="0" w:color="auto"/>
        <w:right w:val="none" w:sz="0" w:space="0" w:color="auto"/>
      </w:divBdr>
    </w:div>
    <w:div w:id="1729769360">
      <w:bodyDiv w:val="1"/>
      <w:marLeft w:val="0"/>
      <w:marRight w:val="0"/>
      <w:marTop w:val="0"/>
      <w:marBottom w:val="0"/>
      <w:divBdr>
        <w:top w:val="none" w:sz="0" w:space="0" w:color="auto"/>
        <w:left w:val="none" w:sz="0" w:space="0" w:color="auto"/>
        <w:bottom w:val="none" w:sz="0" w:space="0" w:color="auto"/>
        <w:right w:val="none" w:sz="0" w:space="0" w:color="auto"/>
      </w:divBdr>
    </w:div>
    <w:div w:id="1802184955">
      <w:bodyDiv w:val="1"/>
      <w:marLeft w:val="0"/>
      <w:marRight w:val="0"/>
      <w:marTop w:val="0"/>
      <w:marBottom w:val="0"/>
      <w:divBdr>
        <w:top w:val="none" w:sz="0" w:space="0" w:color="auto"/>
        <w:left w:val="none" w:sz="0" w:space="0" w:color="auto"/>
        <w:bottom w:val="none" w:sz="0" w:space="0" w:color="auto"/>
        <w:right w:val="none" w:sz="0" w:space="0" w:color="auto"/>
      </w:divBdr>
    </w:div>
    <w:div w:id="1814757434">
      <w:bodyDiv w:val="1"/>
      <w:marLeft w:val="0"/>
      <w:marRight w:val="0"/>
      <w:marTop w:val="0"/>
      <w:marBottom w:val="0"/>
      <w:divBdr>
        <w:top w:val="none" w:sz="0" w:space="0" w:color="auto"/>
        <w:left w:val="none" w:sz="0" w:space="0" w:color="auto"/>
        <w:bottom w:val="none" w:sz="0" w:space="0" w:color="auto"/>
        <w:right w:val="none" w:sz="0" w:space="0" w:color="auto"/>
      </w:divBdr>
    </w:div>
    <w:div w:id="1868332075">
      <w:bodyDiv w:val="1"/>
      <w:marLeft w:val="0"/>
      <w:marRight w:val="0"/>
      <w:marTop w:val="0"/>
      <w:marBottom w:val="0"/>
      <w:divBdr>
        <w:top w:val="none" w:sz="0" w:space="0" w:color="auto"/>
        <w:left w:val="none" w:sz="0" w:space="0" w:color="auto"/>
        <w:bottom w:val="none" w:sz="0" w:space="0" w:color="auto"/>
        <w:right w:val="none" w:sz="0" w:space="0" w:color="auto"/>
      </w:divBdr>
    </w:div>
    <w:div w:id="1878663271">
      <w:bodyDiv w:val="1"/>
      <w:marLeft w:val="0"/>
      <w:marRight w:val="0"/>
      <w:marTop w:val="0"/>
      <w:marBottom w:val="0"/>
      <w:divBdr>
        <w:top w:val="none" w:sz="0" w:space="0" w:color="auto"/>
        <w:left w:val="none" w:sz="0" w:space="0" w:color="auto"/>
        <w:bottom w:val="none" w:sz="0" w:space="0" w:color="auto"/>
        <w:right w:val="none" w:sz="0" w:space="0" w:color="auto"/>
      </w:divBdr>
    </w:div>
    <w:div w:id="1922368466">
      <w:bodyDiv w:val="1"/>
      <w:marLeft w:val="0"/>
      <w:marRight w:val="0"/>
      <w:marTop w:val="0"/>
      <w:marBottom w:val="0"/>
      <w:divBdr>
        <w:top w:val="none" w:sz="0" w:space="0" w:color="auto"/>
        <w:left w:val="none" w:sz="0" w:space="0" w:color="auto"/>
        <w:bottom w:val="none" w:sz="0" w:space="0" w:color="auto"/>
        <w:right w:val="none" w:sz="0" w:space="0" w:color="auto"/>
      </w:divBdr>
    </w:div>
    <w:div w:id="1996176428">
      <w:bodyDiv w:val="1"/>
      <w:marLeft w:val="0"/>
      <w:marRight w:val="0"/>
      <w:marTop w:val="0"/>
      <w:marBottom w:val="0"/>
      <w:divBdr>
        <w:top w:val="none" w:sz="0" w:space="0" w:color="auto"/>
        <w:left w:val="none" w:sz="0" w:space="0" w:color="auto"/>
        <w:bottom w:val="none" w:sz="0" w:space="0" w:color="auto"/>
        <w:right w:val="none" w:sz="0" w:space="0" w:color="auto"/>
      </w:divBdr>
    </w:div>
    <w:div w:id="2000041107">
      <w:bodyDiv w:val="1"/>
      <w:marLeft w:val="0"/>
      <w:marRight w:val="0"/>
      <w:marTop w:val="0"/>
      <w:marBottom w:val="0"/>
      <w:divBdr>
        <w:top w:val="none" w:sz="0" w:space="0" w:color="auto"/>
        <w:left w:val="none" w:sz="0" w:space="0" w:color="auto"/>
        <w:bottom w:val="none" w:sz="0" w:space="0" w:color="auto"/>
        <w:right w:val="none" w:sz="0" w:space="0" w:color="auto"/>
      </w:divBdr>
    </w:div>
    <w:div w:id="2063820320">
      <w:bodyDiv w:val="1"/>
      <w:marLeft w:val="0"/>
      <w:marRight w:val="0"/>
      <w:marTop w:val="0"/>
      <w:marBottom w:val="0"/>
      <w:divBdr>
        <w:top w:val="none" w:sz="0" w:space="0" w:color="auto"/>
        <w:left w:val="none" w:sz="0" w:space="0" w:color="auto"/>
        <w:bottom w:val="none" w:sz="0" w:space="0" w:color="auto"/>
        <w:right w:val="none" w:sz="0" w:space="0" w:color="auto"/>
      </w:divBdr>
    </w:div>
    <w:div w:id="2071489758">
      <w:bodyDiv w:val="1"/>
      <w:marLeft w:val="0"/>
      <w:marRight w:val="0"/>
      <w:marTop w:val="0"/>
      <w:marBottom w:val="0"/>
      <w:divBdr>
        <w:top w:val="none" w:sz="0" w:space="0" w:color="auto"/>
        <w:left w:val="none" w:sz="0" w:space="0" w:color="auto"/>
        <w:bottom w:val="none" w:sz="0" w:space="0" w:color="auto"/>
        <w:right w:val="none" w:sz="0" w:space="0" w:color="auto"/>
      </w:divBdr>
    </w:div>
    <w:div w:id="2099402282">
      <w:bodyDiv w:val="1"/>
      <w:marLeft w:val="0"/>
      <w:marRight w:val="0"/>
      <w:marTop w:val="0"/>
      <w:marBottom w:val="0"/>
      <w:divBdr>
        <w:top w:val="none" w:sz="0" w:space="0" w:color="auto"/>
        <w:left w:val="none" w:sz="0" w:space="0" w:color="auto"/>
        <w:bottom w:val="none" w:sz="0" w:space="0" w:color="auto"/>
        <w:right w:val="none" w:sz="0" w:space="0" w:color="auto"/>
      </w:divBdr>
    </w:div>
    <w:div w:id="2123455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oter" Target="foot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G20EmploymentAust@employment.gov.au" TargetMode="Externa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hyperlink" Target="http://www.safeworkaustralia.gov.au/sites/SWA/about/Publications/Documents/555/notifiable-fatalities-report-december-2015.pdf" TargetMode="External"/><Relationship Id="rId35" Type="http://schemas.openxmlformats.org/officeDocument/2006/relationships/header" Target="header11.xml"/></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37284-C05D-4483-8238-EF219215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E911673.dotm</Template>
  <TotalTime>0</TotalTime>
  <Pages>35</Pages>
  <Words>9626</Words>
  <Characters>54873</Characters>
  <Application>Microsoft Office Word</Application>
  <DocSecurity>0</DocSecurity>
  <PresentationFormat/>
  <Lines>457</Lines>
  <Paragraphs>128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64371</CharactersWithSpaces>
  <SharedDoc>false</SharedDoc>
  <HLinks>
    <vt:vector size="12" baseType="variant">
      <vt:variant>
        <vt:i4>4063306</vt:i4>
      </vt:variant>
      <vt:variant>
        <vt:i4>0</vt:i4>
      </vt:variant>
      <vt:variant>
        <vt:i4>0</vt:i4>
      </vt:variant>
      <vt:variant>
        <vt:i4>5</vt:i4>
      </vt:variant>
      <vt:variant>
        <vt:lpwstr>mailto:G20EmploymentAust@employment.gov.au</vt:lpwstr>
      </vt:variant>
      <vt:variant>
        <vt:lpwstr/>
      </vt:variant>
      <vt:variant>
        <vt:i4>65621</vt:i4>
      </vt:variant>
      <vt:variant>
        <vt:i4>0</vt:i4>
      </vt:variant>
      <vt:variant>
        <vt:i4>0</vt:i4>
      </vt:variant>
      <vt:variant>
        <vt:i4>5</vt:i4>
      </vt:variant>
      <vt:variant>
        <vt:lpwstr>http://www.graduatecareers.com.au/wp-content/uploads/2015/07/Graduate_Destinations_Report_2014_FINAL.pdf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2017-07-06T23:24:00Z</dcterms:created>
  <dcterms:modified xsi:type="dcterms:W3CDTF">2017-07-06T23:34:00Z</dcterms:modified>
</cp:coreProperties>
</file>